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BC190" w14:textId="51B411D5" w:rsidR="00975422" w:rsidRPr="00F64A32" w:rsidRDefault="00983919" w:rsidP="00975422">
      <w:pPr>
        <w:spacing w:line="276" w:lineRule="auto"/>
        <w:jc w:val="both"/>
        <w:rPr>
          <w:rFonts w:asciiTheme="majorBidi" w:hAnsiTheme="majorBidi" w:cstheme="majorBidi"/>
          <w:b/>
          <w:bCs/>
          <w:iCs/>
        </w:rPr>
      </w:pPr>
      <w:r>
        <w:rPr>
          <w:rFonts w:asciiTheme="majorBidi" w:hAnsiTheme="majorBidi" w:cstheme="majorBidi"/>
          <w:b/>
          <w:bCs/>
          <w:iCs/>
        </w:rPr>
        <w:t xml:space="preserve">Original </w:t>
      </w:r>
      <w:r w:rsidR="00975422" w:rsidRPr="00F64A32">
        <w:rPr>
          <w:rFonts w:asciiTheme="majorBidi" w:hAnsiTheme="majorBidi" w:cstheme="majorBidi"/>
          <w:b/>
          <w:bCs/>
          <w:iCs/>
        </w:rPr>
        <w:t xml:space="preserve">Research </w:t>
      </w:r>
      <w:r>
        <w:rPr>
          <w:rFonts w:asciiTheme="majorBidi" w:hAnsiTheme="majorBidi" w:cstheme="majorBidi"/>
          <w:b/>
          <w:bCs/>
          <w:iCs/>
        </w:rPr>
        <w:t>A</w:t>
      </w:r>
      <w:r w:rsidR="00975422" w:rsidRPr="00F64A32">
        <w:rPr>
          <w:rFonts w:asciiTheme="majorBidi" w:hAnsiTheme="majorBidi" w:cstheme="majorBidi"/>
          <w:b/>
          <w:bCs/>
          <w:iCs/>
        </w:rPr>
        <w:t>rticle</w:t>
      </w:r>
    </w:p>
    <w:p w14:paraId="240694AC" w14:textId="1E01C138" w:rsidR="00983919" w:rsidRDefault="00983919" w:rsidP="00983919">
      <w:pPr>
        <w:rPr>
          <w:rFonts w:ascii="Times New Roman" w:hAnsi="Times New Roman" w:cs="Times New Roman"/>
          <w:b/>
          <w:bCs/>
          <w:i/>
          <w:iCs/>
        </w:rPr>
      </w:pPr>
      <w:r w:rsidRPr="00983919">
        <w:rPr>
          <w:rFonts w:ascii="Times New Roman" w:hAnsi="Times New Roman" w:cs="Times New Roman"/>
          <w:b/>
          <w:bCs/>
          <w:i/>
          <w:iCs/>
        </w:rPr>
        <w:t>In Vitro</w:t>
      </w:r>
      <w:r w:rsidRPr="00983919">
        <w:rPr>
          <w:rFonts w:ascii="Times New Roman" w:hAnsi="Times New Roman" w:cs="Times New Roman"/>
          <w:b/>
          <w:bCs/>
        </w:rPr>
        <w:t xml:space="preserve"> Evaluation of Free Radical Scavenging and Antioxidant Activity of Combined Extracts of </w:t>
      </w:r>
      <w:r w:rsidRPr="00983919">
        <w:rPr>
          <w:rFonts w:ascii="Times New Roman" w:hAnsi="Times New Roman" w:cs="Times New Roman"/>
          <w:b/>
          <w:bCs/>
          <w:i/>
          <w:iCs/>
        </w:rPr>
        <w:t>Zingiber officinale</w:t>
      </w:r>
      <w:r w:rsidRPr="00983919">
        <w:rPr>
          <w:rFonts w:ascii="Times New Roman" w:hAnsi="Times New Roman" w:cs="Times New Roman"/>
          <w:b/>
          <w:bCs/>
        </w:rPr>
        <w:t xml:space="preserve">, </w:t>
      </w:r>
      <w:r w:rsidRPr="00983919">
        <w:rPr>
          <w:rFonts w:ascii="Times New Roman" w:hAnsi="Times New Roman" w:cs="Times New Roman"/>
          <w:b/>
          <w:bCs/>
          <w:i/>
          <w:iCs/>
        </w:rPr>
        <w:t>Allium sativum</w:t>
      </w:r>
      <w:r w:rsidRPr="00983919">
        <w:rPr>
          <w:rFonts w:ascii="Times New Roman" w:hAnsi="Times New Roman" w:cs="Times New Roman"/>
          <w:b/>
          <w:bCs/>
        </w:rPr>
        <w:t xml:space="preserve">, and </w:t>
      </w:r>
      <w:r w:rsidRPr="00983919">
        <w:rPr>
          <w:rFonts w:ascii="Times New Roman" w:hAnsi="Times New Roman" w:cs="Times New Roman"/>
          <w:b/>
          <w:bCs/>
          <w:i/>
          <w:iCs/>
        </w:rPr>
        <w:t>Curcuma longa</w:t>
      </w:r>
    </w:p>
    <w:p w14:paraId="7F325629" w14:textId="77777777" w:rsidR="00765957" w:rsidRPr="00983919" w:rsidRDefault="00765957" w:rsidP="00983919">
      <w:pPr>
        <w:rPr>
          <w:rFonts w:ascii="Times New Roman" w:hAnsi="Times New Roman" w:cs="Times New Roman"/>
        </w:rPr>
      </w:pPr>
    </w:p>
    <w:p w14:paraId="399BA177" w14:textId="77777777" w:rsidR="002C1AFF" w:rsidRDefault="002C1AFF" w:rsidP="002C1AFF">
      <w:pPr>
        <w:spacing w:after="0" w:line="240" w:lineRule="auto"/>
        <w:jc w:val="both"/>
        <w:rPr>
          <w:rFonts w:ascii="Times New Roman" w:eastAsia="Times New Roman" w:hAnsi="Times New Roman"/>
        </w:rPr>
      </w:pPr>
      <w:bookmarkStart w:id="0" w:name="_Hlk209258466"/>
    </w:p>
    <w:p w14:paraId="3F6F0C0D" w14:textId="23AE8A41" w:rsidR="002C1AFF" w:rsidRPr="002C1AFF" w:rsidRDefault="002C1AFF" w:rsidP="002C1AFF">
      <w:pPr>
        <w:spacing w:after="0" w:line="240" w:lineRule="auto"/>
        <w:jc w:val="both"/>
        <w:rPr>
          <w:rFonts w:ascii="Times New Roman" w:eastAsia="Times New Roman" w:hAnsi="Times New Roman"/>
          <w:b/>
          <w:bCs/>
        </w:rPr>
      </w:pPr>
      <w:r w:rsidRPr="002C1AFF">
        <w:rPr>
          <w:rFonts w:ascii="Times New Roman" w:eastAsia="Times New Roman" w:hAnsi="Times New Roman"/>
          <w:b/>
          <w:bCs/>
        </w:rPr>
        <w:t>Abstract</w:t>
      </w:r>
    </w:p>
    <w:p w14:paraId="2C58A9FA" w14:textId="0C13F39D" w:rsidR="002C1AFF" w:rsidRPr="00ED199D" w:rsidRDefault="002C1AFF" w:rsidP="002C1AFF">
      <w:pPr>
        <w:spacing w:after="0" w:line="240" w:lineRule="auto"/>
        <w:jc w:val="both"/>
        <w:rPr>
          <w:rFonts w:ascii="Times New Roman" w:eastAsia="Times New Roman" w:hAnsi="Times New Roman" w:cs="Times New Roman"/>
          <w:lang w:val="en-GB"/>
        </w:rPr>
      </w:pPr>
      <w:r w:rsidRPr="00ED199D">
        <w:rPr>
          <w:rFonts w:ascii="Times New Roman" w:eastAsia="Times New Roman" w:hAnsi="Times New Roman"/>
        </w:rPr>
        <w:t xml:space="preserve">Heavy metal exposure and toxicity pose significant risks to human health, </w:t>
      </w:r>
      <w:r w:rsidR="00983919">
        <w:rPr>
          <w:rFonts w:ascii="Times New Roman" w:eastAsia="Times New Roman" w:hAnsi="Times New Roman"/>
        </w:rPr>
        <w:t xml:space="preserve">resulting </w:t>
      </w:r>
      <w:r w:rsidR="00983919" w:rsidRPr="00ED199D">
        <w:rPr>
          <w:rFonts w:ascii="Times New Roman" w:eastAsia="Times New Roman" w:hAnsi="Times New Roman"/>
        </w:rPr>
        <w:t>in</w:t>
      </w:r>
      <w:r w:rsidRPr="00ED199D">
        <w:rPr>
          <w:rFonts w:ascii="Times New Roman" w:eastAsia="Times New Roman" w:hAnsi="Times New Roman"/>
        </w:rPr>
        <w:t xml:space="preserve"> endocrine </w:t>
      </w:r>
      <w:proofErr w:type="spellStart"/>
      <w:r w:rsidRPr="00ED199D">
        <w:rPr>
          <w:rFonts w:ascii="Times New Roman" w:eastAsia="Times New Roman" w:hAnsi="Times New Roman"/>
        </w:rPr>
        <w:t>dysruption</w:t>
      </w:r>
      <w:proofErr w:type="spellEnd"/>
      <w:r w:rsidRPr="00ED199D">
        <w:rPr>
          <w:rFonts w:ascii="Times New Roman" w:eastAsia="Times New Roman" w:hAnsi="Times New Roman"/>
        </w:rPr>
        <w:t>, oxidative stress</w:t>
      </w:r>
      <w:r w:rsidRPr="00ED199D">
        <w:rPr>
          <w:rFonts w:ascii="Times New Roman" w:eastAsia="Times New Roman" w:hAnsi="Times New Roman"/>
          <w:lang w:val="en-GB"/>
        </w:rPr>
        <w:t>, neurodegeneration</w:t>
      </w:r>
      <w:r w:rsidRPr="00ED199D">
        <w:rPr>
          <w:rFonts w:ascii="Times New Roman" w:eastAsia="Times New Roman" w:hAnsi="Times New Roman"/>
        </w:rPr>
        <w:t xml:space="preserve"> and breakdown of </w:t>
      </w:r>
      <w:r w:rsidR="00983919" w:rsidRPr="00ED199D">
        <w:rPr>
          <w:rFonts w:ascii="Times New Roman" w:eastAsia="Times New Roman" w:hAnsi="Times New Roman"/>
        </w:rPr>
        <w:t>the</w:t>
      </w:r>
      <w:r w:rsidRPr="00ED199D">
        <w:rPr>
          <w:rFonts w:ascii="Times New Roman" w:eastAsia="Times New Roman" w:hAnsi="Times New Roman"/>
        </w:rPr>
        <w:t xml:space="preserve"> immune sy</w:t>
      </w:r>
      <w:r w:rsidR="00983919">
        <w:rPr>
          <w:rFonts w:ascii="Times New Roman" w:eastAsia="Times New Roman" w:hAnsi="Times New Roman"/>
        </w:rPr>
        <w:t>s</w:t>
      </w:r>
      <w:r w:rsidRPr="00ED199D">
        <w:rPr>
          <w:rFonts w:ascii="Times New Roman" w:eastAsia="Times New Roman" w:hAnsi="Times New Roman"/>
        </w:rPr>
        <w:t xml:space="preserve">tem. </w:t>
      </w:r>
      <w:r w:rsidRPr="00ED199D">
        <w:rPr>
          <w:rFonts w:ascii="Times New Roman" w:eastAsia="Times New Roman" w:hAnsi="Times New Roman"/>
          <w:lang w:val="en-GB"/>
        </w:rPr>
        <w:t>This</w:t>
      </w:r>
      <w:r w:rsidRPr="00ED199D">
        <w:rPr>
          <w:rFonts w:ascii="Times New Roman" w:eastAsia="Times New Roman" w:hAnsi="Times New Roman"/>
        </w:rPr>
        <w:t xml:space="preserve"> study evaluate</w:t>
      </w:r>
      <w:r w:rsidRPr="00ED199D">
        <w:rPr>
          <w:rFonts w:ascii="Times New Roman" w:eastAsia="Times New Roman" w:hAnsi="Times New Roman"/>
          <w:lang w:val="en-GB"/>
        </w:rPr>
        <w:t>d</w:t>
      </w:r>
      <w:r w:rsidRPr="00ED199D">
        <w:rPr>
          <w:rFonts w:ascii="Times New Roman" w:eastAsia="Times New Roman" w:hAnsi="Times New Roman"/>
        </w:rPr>
        <w:t xml:space="preserve"> the </w:t>
      </w:r>
      <w:r w:rsidRPr="00ED199D">
        <w:rPr>
          <w:rFonts w:ascii="Times New Roman" w:eastAsia="Times New Roman" w:hAnsi="Times New Roman"/>
          <w:i/>
          <w:iCs/>
          <w:lang w:val="en-GB"/>
        </w:rPr>
        <w:t>in vitro</w:t>
      </w:r>
      <w:r w:rsidRPr="00ED199D">
        <w:rPr>
          <w:rFonts w:ascii="Times New Roman" w:eastAsia="Times New Roman" w:hAnsi="Times New Roman"/>
          <w:lang w:val="en-GB"/>
        </w:rPr>
        <w:t xml:space="preserve"> </w:t>
      </w:r>
      <w:r w:rsidRPr="00ED199D">
        <w:rPr>
          <w:rFonts w:ascii="Times New Roman" w:eastAsia="Times New Roman" w:hAnsi="Times New Roman"/>
        </w:rPr>
        <w:t xml:space="preserve">antioxidant </w:t>
      </w:r>
      <w:r w:rsidRPr="00ED199D">
        <w:rPr>
          <w:rFonts w:ascii="Times New Roman" w:eastAsia="Times New Roman" w:hAnsi="Times New Roman"/>
          <w:lang w:val="en-GB"/>
        </w:rPr>
        <w:t xml:space="preserve">and </w:t>
      </w:r>
      <w:r w:rsidRPr="00ED199D">
        <w:rPr>
          <w:rFonts w:ascii="Times New Roman" w:eastAsia="Times New Roman" w:hAnsi="Times New Roman"/>
        </w:rPr>
        <w:t xml:space="preserve">metal chelating capacity of combined plant extracts </w:t>
      </w:r>
      <w:r w:rsidRPr="00ED199D">
        <w:rPr>
          <w:rFonts w:ascii="Times New Roman" w:eastAsia="Times New Roman" w:hAnsi="Times New Roman" w:cs="Times New Roman"/>
        </w:rPr>
        <w:t>ginger, garlic, and turmeric</w:t>
      </w:r>
      <w:r w:rsidRPr="00ED199D">
        <w:rPr>
          <w:rFonts w:ascii="Times New Roman" w:eastAsia="Times New Roman" w:hAnsi="Times New Roman"/>
        </w:rPr>
        <w:t>.</w:t>
      </w:r>
      <w:bookmarkEnd w:id="0"/>
      <w:r w:rsidRPr="00ED199D">
        <w:rPr>
          <w:rFonts w:ascii="Times New Roman" w:eastAsia="Times New Roman" w:hAnsi="Times New Roman"/>
        </w:rPr>
        <w:t xml:space="preserve">  </w:t>
      </w:r>
      <w:r w:rsidRPr="00ED199D">
        <w:rPr>
          <w:rFonts w:ascii="Times New Roman" w:eastAsia="Times New Roman" w:hAnsi="Times New Roman"/>
          <w:i/>
          <w:iCs/>
          <w:lang w:val="en-GB"/>
        </w:rPr>
        <w:t>In vitro</w:t>
      </w:r>
      <w:r w:rsidRPr="00ED199D">
        <w:rPr>
          <w:rFonts w:ascii="Times New Roman" w:eastAsia="Times New Roman" w:hAnsi="Times New Roman"/>
          <w:lang w:val="en-GB"/>
        </w:rPr>
        <w:t xml:space="preserve"> antioxidant methods adopted were </w:t>
      </w:r>
      <w:r w:rsidRPr="00ED199D">
        <w:rPr>
          <w:rFonts w:ascii="Times New Roman" w:eastAsia="Times New Roman" w:hAnsi="Times New Roman" w:cs="Times New Roman"/>
        </w:rPr>
        <w:t>2,2-diphenyl-1-picryl-hydrazyl (DPPH)</w:t>
      </w:r>
      <w:r w:rsidRPr="00ED199D">
        <w:rPr>
          <w:rFonts w:ascii="Times New Roman" w:eastAsia="Times New Roman" w:hAnsi="Times New Roman" w:cs="Times New Roman"/>
          <w:lang w:val="en-GB"/>
        </w:rPr>
        <w:t>,</w:t>
      </w:r>
      <w:r w:rsidRPr="00ED199D">
        <w:rPr>
          <w:rFonts w:ascii="Times New Roman" w:eastAsia="Times New Roman" w:hAnsi="Times New Roman" w:cs="Times New Roman"/>
        </w:rPr>
        <w:t xml:space="preserve"> nitric oxide, hydroxyl radical scavenging</w:t>
      </w:r>
      <w:r w:rsidRPr="00ED199D">
        <w:rPr>
          <w:rFonts w:ascii="Times New Roman" w:eastAsia="Times New Roman" w:hAnsi="Times New Roman" w:cs="Times New Roman"/>
          <w:lang w:val="en-GB"/>
        </w:rPr>
        <w:t>, reducing power of extracts by utilizing a Fe³⁺ to Fe²⁺ transformation assay,</w:t>
      </w:r>
      <w:r w:rsidRPr="00ED199D">
        <w:rPr>
          <w:rFonts w:ascii="Times New Roman" w:eastAsia="Times New Roman" w:hAnsi="Times New Roman" w:cs="Times New Roman"/>
        </w:rPr>
        <w:t xml:space="preserve"> </w:t>
      </w:r>
      <w:r w:rsidRPr="00ED199D">
        <w:rPr>
          <w:rFonts w:ascii="Times New Roman" w:eastAsia="Times New Roman" w:hAnsi="Times New Roman" w:cs="Times New Roman"/>
          <w:kern w:val="0"/>
          <w14:ligatures w14:val="none"/>
        </w:rPr>
        <w:t>chelating power of the extracts by measuring their ability to inhibit Fe²⁺-ferrozine complex formation</w:t>
      </w:r>
      <w:r w:rsidRPr="00ED199D">
        <w:rPr>
          <w:rFonts w:ascii="Times New Roman" w:eastAsia="Times New Roman" w:hAnsi="Times New Roman" w:cs="Times New Roman"/>
          <w:lang w:val="en-GB"/>
        </w:rPr>
        <w:t xml:space="preserve"> and </w:t>
      </w:r>
      <w:r>
        <w:rPr>
          <w:rFonts w:ascii="Times New Roman" w:eastAsia="Times New Roman" w:hAnsi="Times New Roman" w:cs="Times New Roman"/>
          <w:lang w:val="en-GB"/>
        </w:rPr>
        <w:t>total</w:t>
      </w:r>
      <w:r w:rsidRPr="00ED199D">
        <w:rPr>
          <w:rFonts w:ascii="Times New Roman" w:eastAsia="Times New Roman" w:hAnsi="Times New Roman" w:cs="Times New Roman"/>
        </w:rPr>
        <w:t xml:space="preserve"> </w:t>
      </w:r>
      <w:r>
        <w:rPr>
          <w:rFonts w:ascii="Times New Roman" w:eastAsia="Times New Roman" w:hAnsi="Times New Roman" w:cs="Times New Roman"/>
        </w:rPr>
        <w:t>an</w:t>
      </w:r>
      <w:r w:rsidRPr="00ED199D">
        <w:rPr>
          <w:rFonts w:ascii="Times New Roman" w:eastAsia="Times New Roman" w:hAnsi="Times New Roman" w:cs="Times New Roman"/>
        </w:rPr>
        <w:t xml:space="preserve">tioxidant </w:t>
      </w:r>
      <w:r>
        <w:rPr>
          <w:rFonts w:ascii="Times New Roman" w:eastAsia="Times New Roman" w:hAnsi="Times New Roman" w:cs="Times New Roman"/>
        </w:rPr>
        <w:t>capacity</w:t>
      </w:r>
      <w:r w:rsidRPr="00ED199D">
        <w:rPr>
          <w:rFonts w:ascii="Times New Roman" w:eastAsia="Times New Roman" w:hAnsi="Times New Roman" w:cs="Times New Roman"/>
        </w:rPr>
        <w:t xml:space="preserve"> (TAC) </w:t>
      </w:r>
      <w:r w:rsidRPr="00ED199D">
        <w:rPr>
          <w:rFonts w:ascii="Times New Roman" w:eastAsia="Times New Roman" w:hAnsi="Times New Roman" w:cs="Times New Roman"/>
          <w:lang w:val="en-GB"/>
        </w:rPr>
        <w:t xml:space="preserve">which </w:t>
      </w:r>
      <w:r w:rsidRPr="00ED199D">
        <w:rPr>
          <w:rFonts w:ascii="Times New Roman" w:eastAsia="Times New Roman" w:hAnsi="Times New Roman" w:cs="Times New Roman"/>
        </w:rPr>
        <w:t>measure</w:t>
      </w:r>
      <w:r w:rsidRPr="00ED199D">
        <w:rPr>
          <w:rFonts w:ascii="Times New Roman" w:eastAsia="Times New Roman" w:hAnsi="Times New Roman" w:cs="Times New Roman"/>
          <w:lang w:val="en-GB"/>
        </w:rPr>
        <w:t>d</w:t>
      </w:r>
      <w:r w:rsidRPr="00ED199D">
        <w:rPr>
          <w:rFonts w:ascii="Times New Roman" w:eastAsia="Times New Roman" w:hAnsi="Times New Roman" w:cs="Times New Roman"/>
        </w:rPr>
        <w:t xml:space="preserve"> the ability of an extract to neutralize free radicals</w:t>
      </w:r>
      <w:r w:rsidRPr="00ED199D">
        <w:rPr>
          <w:rFonts w:ascii="Times New Roman" w:eastAsia="Times New Roman" w:hAnsi="Times New Roman" w:cs="Times New Roman"/>
          <w:lang w:val="en-GB"/>
        </w:rPr>
        <w:t>. The results showed that</w:t>
      </w:r>
      <w:r w:rsidRPr="00ED199D">
        <w:rPr>
          <w:rFonts w:ascii="Times New Roman" w:eastAsia="Times New Roman" w:hAnsi="Times New Roman" w:cs="Times New Roman"/>
        </w:rPr>
        <w:t xml:space="preserve"> Group 5 (40% ginger, 30% garlic, 30% turmeric) and Group 9 (40% turmeric, 30% garlic, 30% ginger) showed the highest levels of DPPH radical scavenging activity, achieving over 84% inhibition at 1000 μg/ml. These groups displayed a progressive increase in antioxidant activity with increasing concentration, reaching levels comparable to the standard control, gallic acid, which </w:t>
      </w:r>
      <w:r w:rsidRPr="00ED199D">
        <w:rPr>
          <w:rFonts w:ascii="Times New Roman" w:eastAsia="Times New Roman" w:hAnsi="Times New Roman" w:cs="Times New Roman"/>
          <w:lang w:val="en-GB"/>
        </w:rPr>
        <w:t xml:space="preserve">presented </w:t>
      </w:r>
      <w:r w:rsidRPr="00ED199D">
        <w:rPr>
          <w:rFonts w:ascii="Times New Roman" w:eastAsia="Times New Roman" w:hAnsi="Times New Roman" w:cs="Times New Roman"/>
        </w:rPr>
        <w:t>91.50% inhibition at 500 μg/ml and 82.05% at 200 μg/ml.</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Group 5 </w:t>
      </w:r>
      <w:r w:rsidRPr="00ED199D">
        <w:rPr>
          <w:rFonts w:ascii="Times New Roman" w:eastAsia="Times New Roman" w:hAnsi="Times New Roman" w:cs="Times New Roman"/>
          <w:lang w:val="en-GB"/>
        </w:rPr>
        <w:t>also demonstrated</w:t>
      </w:r>
      <w:r w:rsidRPr="00ED199D">
        <w:rPr>
          <w:rFonts w:ascii="Times New Roman" w:eastAsia="Times New Roman" w:hAnsi="Times New Roman" w:cs="Times New Roman"/>
        </w:rPr>
        <w:t xml:space="preserve"> the highest nitric oxide scavenging activity, achieving 94.98% inhibition at 2000 µg/m</w:t>
      </w:r>
      <w:r w:rsidRPr="00ED199D">
        <w:rPr>
          <w:rFonts w:ascii="Times New Roman" w:eastAsia="Times New Roman" w:hAnsi="Times New Roman" w:cs="Times New Roman"/>
          <w:lang w:val="en-GB"/>
        </w:rPr>
        <w:t>L</w:t>
      </w:r>
      <w:r w:rsidRPr="00ED199D">
        <w:rPr>
          <w:rFonts w:ascii="Times New Roman" w:eastAsia="Times New Roman" w:hAnsi="Times New Roman" w:cs="Times New Roman"/>
        </w:rPr>
        <w:t xml:space="preserve"> and 90.75% inhibition at 1000 µg/ml</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The </w:t>
      </w:r>
      <w:r w:rsidRPr="00ED199D">
        <w:rPr>
          <w:rFonts w:ascii="Times New Roman" w:eastAsia="Times New Roman" w:hAnsi="Times New Roman" w:cs="Times New Roman"/>
          <w:lang w:val="en-GB"/>
        </w:rPr>
        <w:t xml:space="preserve">Group 5 </w:t>
      </w:r>
      <w:r w:rsidRPr="00ED199D">
        <w:rPr>
          <w:rFonts w:ascii="Times New Roman" w:eastAsia="Times New Roman" w:hAnsi="Times New Roman" w:cs="Times New Roman"/>
        </w:rPr>
        <w:t xml:space="preserve">combination </w:t>
      </w:r>
      <w:r w:rsidRPr="00ED199D">
        <w:rPr>
          <w:rFonts w:ascii="Times New Roman" w:eastAsia="Times New Roman" w:hAnsi="Times New Roman" w:cs="Times New Roman"/>
          <w:lang w:val="en-GB"/>
        </w:rPr>
        <w:t>also presented</w:t>
      </w:r>
      <w:r w:rsidRPr="00ED199D">
        <w:rPr>
          <w:rFonts w:ascii="Times New Roman" w:eastAsia="Times New Roman" w:hAnsi="Times New Roman" w:cs="Times New Roman"/>
        </w:rPr>
        <w:t xml:space="preserve"> the highest hydroxyl radical scavenging outcome in the assay </w:t>
      </w:r>
      <w:r w:rsidRPr="00ED199D">
        <w:rPr>
          <w:rFonts w:ascii="Times New Roman" w:eastAsia="Times New Roman" w:hAnsi="Times New Roman" w:cs="Times New Roman"/>
          <w:lang w:val="en-GB"/>
        </w:rPr>
        <w:t xml:space="preserve">achieving </w:t>
      </w:r>
      <w:r w:rsidRPr="00ED199D">
        <w:rPr>
          <w:rFonts w:ascii="Times New Roman" w:eastAsia="Times New Roman" w:hAnsi="Times New Roman" w:cs="Times New Roman"/>
        </w:rPr>
        <w:t xml:space="preserve">an 86.77% inhibition at 4000 µg/ml, which </w:t>
      </w:r>
      <w:r w:rsidR="006C78D6">
        <w:rPr>
          <w:rFonts w:ascii="Times New Roman" w:eastAsia="Times New Roman" w:hAnsi="Times New Roman" w:cs="Times New Roman"/>
          <w:lang w:val="en-GB"/>
        </w:rPr>
        <w:t>was</w:t>
      </w:r>
      <w:r w:rsidRPr="00ED199D">
        <w:rPr>
          <w:rFonts w:ascii="Times New Roman" w:eastAsia="Times New Roman" w:hAnsi="Times New Roman" w:cs="Times New Roman"/>
        </w:rPr>
        <w:t xml:space="preserve"> the highest percentage inhibition among all the test groups.</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The </w:t>
      </w:r>
      <w:r w:rsidRPr="00ED199D">
        <w:rPr>
          <w:rFonts w:ascii="Times New Roman" w:eastAsia="Times New Roman" w:hAnsi="Times New Roman" w:cs="Times New Roman"/>
          <w:lang w:val="en-GB"/>
        </w:rPr>
        <w:t xml:space="preserve">appropriate </w:t>
      </w:r>
      <w:r w:rsidRPr="00ED199D">
        <w:rPr>
          <w:rFonts w:ascii="Times New Roman" w:eastAsia="Times New Roman" w:hAnsi="Times New Roman" w:cs="Times New Roman"/>
        </w:rPr>
        <w:t xml:space="preserve">combination ratios in this study showed enhanced </w:t>
      </w:r>
      <w:r w:rsidRPr="00ED199D">
        <w:rPr>
          <w:rFonts w:ascii="Times New Roman" w:eastAsia="Times New Roman" w:hAnsi="Times New Roman" w:cs="Times New Roman"/>
          <w:lang w:val="en-GB"/>
        </w:rPr>
        <w:t>radical</w:t>
      </w:r>
      <w:r w:rsidRPr="00ED199D">
        <w:rPr>
          <w:rFonts w:ascii="Times New Roman" w:eastAsia="Times New Roman" w:hAnsi="Times New Roman" w:cs="Times New Roman"/>
        </w:rPr>
        <w:t xml:space="preserve"> scavenging, indicating mixtures more effective</w:t>
      </w:r>
      <w:r w:rsidRPr="00ED199D">
        <w:rPr>
          <w:rFonts w:ascii="Times New Roman" w:eastAsia="Times New Roman" w:hAnsi="Times New Roman" w:cs="Times New Roman"/>
          <w:lang w:val="en-GB"/>
        </w:rPr>
        <w:t>ness</w:t>
      </w:r>
      <w:r w:rsidRPr="00ED199D">
        <w:rPr>
          <w:rFonts w:ascii="Times New Roman" w:eastAsia="Times New Roman" w:hAnsi="Times New Roman" w:cs="Times New Roman"/>
        </w:rPr>
        <w:t xml:space="preserve"> in mitigating metal-induced oxidative stress than single extracts.</w:t>
      </w:r>
    </w:p>
    <w:p w14:paraId="5B3E2D07" w14:textId="77777777" w:rsidR="006C78D6" w:rsidRDefault="006C78D6" w:rsidP="008309D8">
      <w:pPr>
        <w:autoSpaceDE w:val="0"/>
        <w:autoSpaceDN w:val="0"/>
        <w:adjustRightInd w:val="0"/>
        <w:spacing w:after="0" w:line="480" w:lineRule="auto"/>
        <w:jc w:val="both"/>
        <w:rPr>
          <w:rFonts w:ascii="Times New Roman" w:hAnsi="Times New Roman"/>
          <w:b/>
          <w:bCs/>
          <w:color w:val="000000"/>
          <w:lang w:val="en-GB"/>
        </w:rPr>
      </w:pPr>
    </w:p>
    <w:p w14:paraId="55B5174C" w14:textId="74758362" w:rsidR="00F511BF" w:rsidRPr="002C1AFF" w:rsidRDefault="002C1AFF" w:rsidP="008309D8">
      <w:pPr>
        <w:autoSpaceDE w:val="0"/>
        <w:autoSpaceDN w:val="0"/>
        <w:adjustRightInd w:val="0"/>
        <w:spacing w:after="0" w:line="480" w:lineRule="auto"/>
        <w:jc w:val="both"/>
        <w:rPr>
          <w:rFonts w:ascii="Times New Roman" w:hAnsi="Times New Roman"/>
          <w:color w:val="000000"/>
          <w:lang w:val="en-GB"/>
        </w:rPr>
      </w:pPr>
      <w:r w:rsidRPr="002C1AFF">
        <w:rPr>
          <w:rFonts w:ascii="Times New Roman" w:hAnsi="Times New Roman"/>
          <w:b/>
          <w:bCs/>
          <w:color w:val="000000"/>
          <w:lang w:val="en-GB"/>
        </w:rPr>
        <w:t>Keywords:</w:t>
      </w:r>
      <w:r>
        <w:rPr>
          <w:rFonts w:ascii="Times New Roman" w:hAnsi="Times New Roman"/>
          <w:color w:val="000000"/>
          <w:lang w:val="en-GB"/>
        </w:rPr>
        <w:t xml:space="preserve"> Metal chelation, oxidative stress, neurodegeneration, antioxidants</w:t>
      </w:r>
    </w:p>
    <w:p w14:paraId="4C15241F" w14:textId="141C3C82" w:rsidR="002C1AFF" w:rsidRPr="002C1AFF" w:rsidRDefault="002C1AFF" w:rsidP="008309D8">
      <w:pPr>
        <w:autoSpaceDE w:val="0"/>
        <w:autoSpaceDN w:val="0"/>
        <w:adjustRightInd w:val="0"/>
        <w:spacing w:after="0" w:line="480" w:lineRule="auto"/>
        <w:jc w:val="both"/>
        <w:rPr>
          <w:rFonts w:ascii="Times New Roman" w:hAnsi="Times New Roman"/>
          <w:b/>
          <w:bCs/>
          <w:color w:val="000000"/>
        </w:rPr>
      </w:pPr>
      <w:r w:rsidRPr="002C1AFF">
        <w:rPr>
          <w:rFonts w:ascii="Times New Roman" w:hAnsi="Times New Roman"/>
          <w:b/>
          <w:bCs/>
          <w:color w:val="000000"/>
        </w:rPr>
        <w:t>Introduction</w:t>
      </w:r>
    </w:p>
    <w:p w14:paraId="37936449" w14:textId="61B845DF"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4C7D8C">
        <w:rPr>
          <w:rFonts w:ascii="Times New Roman" w:hAnsi="Times New Roman"/>
          <w:color w:val="000000"/>
        </w:rPr>
        <w:t xml:space="preserve">The gross increase in industrial, agricultural, </w:t>
      </w:r>
      <w:r w:rsidRPr="006C78D6">
        <w:rPr>
          <w:rFonts w:ascii="Times New Roman" w:hAnsi="Times New Roman"/>
          <w:color w:val="000000"/>
        </w:rPr>
        <w:t xml:space="preserve">transportation and other daily activities </w:t>
      </w:r>
      <w:r w:rsidR="00E32B25" w:rsidRPr="006C78D6">
        <w:rPr>
          <w:rFonts w:ascii="Times New Roman" w:hAnsi="Times New Roman"/>
          <w:color w:val="000000"/>
        </w:rPr>
        <w:t xml:space="preserve">of man is causing </w:t>
      </w:r>
      <w:r w:rsidRPr="006C78D6">
        <w:rPr>
          <w:rFonts w:ascii="Times New Roman" w:hAnsi="Times New Roman"/>
          <w:color w:val="000000"/>
        </w:rPr>
        <w:t>a massive increase in the levels of pollutants, particularly heavy metals in soil, water, and air environments (</w:t>
      </w:r>
      <w:r w:rsidR="00A26EA4" w:rsidRPr="006C78D6">
        <w:rPr>
          <w:rFonts w:ascii="Times New Roman" w:hAnsi="Times New Roman"/>
        </w:rPr>
        <w:t>Singh et al., 2022; Wan et al., 2024</w:t>
      </w:r>
      <w:r w:rsidRPr="006C78D6">
        <w:rPr>
          <w:rFonts w:ascii="Times New Roman" w:hAnsi="Times New Roman"/>
        </w:rPr>
        <w:t xml:space="preserve">). The resultant </w:t>
      </w:r>
      <w:r w:rsidRPr="006C78D6">
        <w:rPr>
          <w:rFonts w:ascii="Times New Roman" w:hAnsi="Times New Roman"/>
          <w:color w:val="000000"/>
        </w:rPr>
        <w:t xml:space="preserve">environmental pollution has become a global menace with chronic and acute negative effect on the health of </w:t>
      </w:r>
      <w:r w:rsidR="00E32B25" w:rsidRPr="006C78D6">
        <w:rPr>
          <w:rFonts w:ascii="Times New Roman" w:hAnsi="Times New Roman"/>
          <w:color w:val="000000"/>
        </w:rPr>
        <w:t>significant number of human population</w:t>
      </w:r>
      <w:r w:rsidRPr="006C78D6">
        <w:rPr>
          <w:rFonts w:ascii="Times New Roman" w:hAnsi="Times New Roman"/>
          <w:color w:val="000000"/>
        </w:rPr>
        <w:t xml:space="preserve">, resulting in the development of various disease conditions. </w:t>
      </w:r>
      <w:r w:rsidR="00E32B25" w:rsidRPr="006C78D6">
        <w:rPr>
          <w:rFonts w:ascii="Times New Roman" w:hAnsi="Times New Roman"/>
          <w:color w:val="000000"/>
        </w:rPr>
        <w:t>H</w:t>
      </w:r>
      <w:r w:rsidRPr="006C78D6">
        <w:rPr>
          <w:rFonts w:ascii="Times New Roman" w:hAnsi="Times New Roman"/>
          <w:color w:val="000000"/>
        </w:rPr>
        <w:t xml:space="preserve">eavy metals pollution results </w:t>
      </w:r>
      <w:r w:rsidR="00E32B25" w:rsidRPr="006C78D6">
        <w:rPr>
          <w:rFonts w:ascii="Times New Roman" w:hAnsi="Times New Roman"/>
          <w:color w:val="000000"/>
        </w:rPr>
        <w:t>in</w:t>
      </w:r>
      <w:r w:rsidRPr="006C78D6">
        <w:rPr>
          <w:rFonts w:ascii="Times New Roman" w:hAnsi="Times New Roman"/>
          <w:color w:val="000000"/>
        </w:rPr>
        <w:t xml:space="preserve"> enormous harmful effects on</w:t>
      </w:r>
      <w:r w:rsidR="00E32B25" w:rsidRPr="006C78D6">
        <w:rPr>
          <w:rFonts w:ascii="Times New Roman" w:hAnsi="Times New Roman"/>
          <w:color w:val="000000"/>
        </w:rPr>
        <w:t xml:space="preserve">  </w:t>
      </w:r>
      <w:r w:rsidRPr="006C78D6">
        <w:rPr>
          <w:rFonts w:ascii="Times New Roman" w:hAnsi="Times New Roman"/>
          <w:color w:val="000000"/>
        </w:rPr>
        <w:t>human health and the ecosystem (</w:t>
      </w:r>
      <w:proofErr w:type="spellStart"/>
      <w:r w:rsidR="005E3769" w:rsidRPr="006C78D6">
        <w:rPr>
          <w:rFonts w:ascii="Times New Roman" w:hAnsi="Times New Roman"/>
        </w:rPr>
        <w:t>Jomova</w:t>
      </w:r>
      <w:proofErr w:type="spellEnd"/>
      <w:r w:rsidR="005E3769" w:rsidRPr="006C78D6">
        <w:rPr>
          <w:rFonts w:ascii="Times New Roman" w:hAnsi="Times New Roman"/>
        </w:rPr>
        <w:t xml:space="preserve"> et al., 2025</w:t>
      </w:r>
      <w:r w:rsidRPr="006C78D6">
        <w:rPr>
          <w:rFonts w:ascii="Times New Roman" w:hAnsi="Times New Roman"/>
        </w:rPr>
        <w:t>)</w:t>
      </w:r>
      <w:r w:rsidR="005E3769" w:rsidRPr="006C78D6">
        <w:rPr>
          <w:rFonts w:ascii="Times New Roman" w:hAnsi="Times New Roman"/>
        </w:rPr>
        <w:t>.</w:t>
      </w:r>
      <w:r w:rsidR="00E32B25" w:rsidRPr="006C78D6">
        <w:rPr>
          <w:rFonts w:ascii="Times New Roman" w:hAnsi="Times New Roman"/>
          <w:color w:val="000000"/>
        </w:rPr>
        <w:t xml:space="preserve"> </w:t>
      </w:r>
      <w:r w:rsidRPr="006C78D6">
        <w:rPr>
          <w:rFonts w:ascii="Times New Roman" w:hAnsi="Times New Roman"/>
        </w:rPr>
        <w:t xml:space="preserve">Human health is severely impacted by heavy metal pollution, which has recently emerged </w:t>
      </w:r>
      <w:r w:rsidRPr="006C78D6">
        <w:rPr>
          <w:rFonts w:ascii="Times New Roman" w:hAnsi="Times New Roman"/>
        </w:rPr>
        <w:lastRenderedPageBreak/>
        <w:t xml:space="preserve">as a global issue. The extensive occurrence of heavy metals is a result of both natural events and human activities. Heavy metals, including mercury, arsenic, lead, nickel, </w:t>
      </w:r>
      <w:r w:rsidR="00E32B25" w:rsidRPr="006C78D6">
        <w:rPr>
          <w:rFonts w:ascii="Times New Roman" w:hAnsi="Times New Roman"/>
        </w:rPr>
        <w:t xml:space="preserve">cadmium </w:t>
      </w:r>
      <w:r w:rsidRPr="006C78D6">
        <w:rPr>
          <w:rFonts w:ascii="Times New Roman" w:hAnsi="Times New Roman"/>
        </w:rPr>
        <w:t>and iron, are</w:t>
      </w:r>
      <w:r w:rsidR="00E32B25" w:rsidRPr="006C78D6">
        <w:rPr>
          <w:rFonts w:ascii="Times New Roman" w:hAnsi="Times New Roman"/>
        </w:rPr>
        <w:t xml:space="preserve"> among metals of interest causing adverse health consequences due to chronic exposure (Njoku et al., 2023)</w:t>
      </w:r>
      <w:r w:rsidRPr="006C78D6">
        <w:rPr>
          <w:rFonts w:ascii="Times New Roman" w:hAnsi="Times New Roman"/>
        </w:rPr>
        <w:t>. The widespread availability of these potentially dangerous elements poses serious health risks to individuals and communities everywhere (</w:t>
      </w:r>
      <w:proofErr w:type="spellStart"/>
      <w:r w:rsidR="00BD07DA" w:rsidRPr="006C78D6">
        <w:rPr>
          <w:rFonts w:ascii="Times New Roman" w:hAnsi="Times New Roman"/>
        </w:rPr>
        <w:t>Laoye</w:t>
      </w:r>
      <w:proofErr w:type="spellEnd"/>
      <w:r w:rsidR="00BD07DA" w:rsidRPr="006C78D6">
        <w:rPr>
          <w:rFonts w:ascii="Times New Roman" w:hAnsi="Times New Roman"/>
        </w:rPr>
        <w:t xml:space="preserve"> et al., 2025; Latif et al., 2025</w:t>
      </w:r>
      <w:r w:rsidRPr="006C78D6">
        <w:rPr>
          <w:rFonts w:ascii="Times New Roman" w:hAnsi="Times New Roman"/>
        </w:rPr>
        <w:t>).</w:t>
      </w:r>
    </w:p>
    <w:p w14:paraId="0E393197" w14:textId="77777777"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6C78D6">
        <w:rPr>
          <w:rFonts w:ascii="Times New Roman" w:hAnsi="Times New Roman"/>
          <w:color w:val="000000"/>
        </w:rPr>
        <w:t>The toxicity of heavy metals is depending on concentration, period of exposure and route of exposure. Heavy metal exposure takes place on human beings through inhalation from the atmosphere, intake through food and drinking water and, absorption through the skin by dermal contact</w:t>
      </w:r>
      <w:r w:rsidRPr="006C78D6">
        <w:rPr>
          <w:rFonts w:ascii="Times New Roman" w:eastAsia="Times New Roman" w:hAnsi="Times New Roman"/>
          <w:color w:val="000000"/>
        </w:rPr>
        <w:t xml:space="preserve"> leading to bioaccumulation in living organisms.</w:t>
      </w:r>
    </w:p>
    <w:p w14:paraId="0E7AD928" w14:textId="5A0448B0" w:rsidR="00725EDA" w:rsidRPr="006C78D6" w:rsidRDefault="008309D8" w:rsidP="00B405EC">
      <w:pPr>
        <w:spacing w:line="360" w:lineRule="auto"/>
        <w:jc w:val="both"/>
        <w:rPr>
          <w:rFonts w:ascii="Times New Roman" w:hAnsi="Times New Roman"/>
        </w:rPr>
      </w:pPr>
      <w:r w:rsidRPr="006C78D6">
        <w:rPr>
          <w:rFonts w:ascii="Times New Roman" w:hAnsi="Times New Roman"/>
          <w:bCs/>
        </w:rPr>
        <w:t xml:space="preserve">Lead (Pb) </w:t>
      </w:r>
      <w:r w:rsidRPr="006C78D6">
        <w:rPr>
          <w:rFonts w:ascii="Times New Roman" w:eastAsia="Times New Roman" w:hAnsi="Times New Roman"/>
        </w:rPr>
        <w:t>exposure has been linked to neurodevelopmental issues, causing cognitive and behavioral impairments particularly in children, (</w:t>
      </w:r>
      <w:r w:rsidR="00BD07DA" w:rsidRPr="006C78D6">
        <w:rPr>
          <w:rFonts w:ascii="Times New Roman" w:eastAsia="Times New Roman" w:hAnsi="Times New Roman"/>
        </w:rPr>
        <w:t>Ramírez et al., 2021; Collin et al., 2022</w:t>
      </w:r>
      <w:r w:rsidRPr="006C78D6">
        <w:rPr>
          <w:rFonts w:ascii="Times New Roman" w:hAnsi="Times New Roman"/>
          <w:bCs/>
        </w:rPr>
        <w:t>).</w:t>
      </w:r>
      <w:r w:rsidR="00B405EC" w:rsidRPr="006C78D6">
        <w:rPr>
          <w:rFonts w:ascii="Times New Roman" w:eastAsia="Times New Roman" w:hAnsi="Times New Roman"/>
        </w:rPr>
        <w:t xml:space="preserve"> </w:t>
      </w:r>
      <w:r w:rsidRPr="006C78D6">
        <w:rPr>
          <w:rFonts w:ascii="Times New Roman" w:eastAsia="Times New Roman" w:hAnsi="Times New Roman"/>
        </w:rPr>
        <w:t>Cadmium exposure, commonly from tobacco smoke and some foods, is linked to kidney damage and an increased risk of cancer (</w:t>
      </w:r>
      <w:proofErr w:type="spellStart"/>
      <w:r w:rsidR="00096D97" w:rsidRPr="006C78D6">
        <w:rPr>
          <w:rFonts w:ascii="Times New Roman" w:eastAsia="Times New Roman" w:hAnsi="Times New Roman"/>
        </w:rPr>
        <w:t>Charkiewicz</w:t>
      </w:r>
      <w:proofErr w:type="spellEnd"/>
      <w:r w:rsidR="00096D97" w:rsidRPr="006C78D6">
        <w:rPr>
          <w:rFonts w:ascii="Times New Roman" w:eastAsia="Times New Roman" w:hAnsi="Times New Roman"/>
        </w:rPr>
        <w:t xml:space="preserve"> et al., 2023 ; Rasin et al., 2025</w:t>
      </w:r>
      <w:r w:rsidRPr="006C78D6">
        <w:rPr>
          <w:rFonts w:ascii="Times New Roman" w:hAnsi="Times New Roman"/>
          <w:bCs/>
        </w:rPr>
        <w:t>).</w:t>
      </w:r>
      <w:r w:rsidR="00806926" w:rsidRPr="006C78D6">
        <w:rPr>
          <w:rFonts w:ascii="Times New Roman" w:hAnsi="Times New Roman"/>
          <w:bCs/>
        </w:rPr>
        <w:t xml:space="preserve"> </w:t>
      </w:r>
      <w:r w:rsidR="00806926" w:rsidRPr="006C78D6">
        <w:rPr>
          <w:rFonts w:ascii="Times New Roman" w:eastAsia="Times New Roman" w:hAnsi="Times New Roman"/>
        </w:rPr>
        <w:t>Arsenic exposure, primarily through contaminated water and food, has been linked to skin lesions, cardiovascular diseases, and various cancers (</w:t>
      </w:r>
      <w:r w:rsidR="00096D97" w:rsidRPr="006C78D6">
        <w:rPr>
          <w:rFonts w:ascii="Times New Roman" w:eastAsia="Times New Roman" w:hAnsi="Times New Roman"/>
        </w:rPr>
        <w:t>Das et al., 2012 ; Khan et al., 2022</w:t>
      </w:r>
      <w:r w:rsidR="00806926" w:rsidRPr="006C78D6">
        <w:rPr>
          <w:rFonts w:ascii="Times New Roman" w:eastAsia="Times New Roman" w:hAnsi="Times New Roman"/>
        </w:rPr>
        <w:t xml:space="preserve">). </w:t>
      </w:r>
      <w:r w:rsidR="00B405EC" w:rsidRPr="006C78D6">
        <w:rPr>
          <w:rFonts w:ascii="Times New Roman" w:hAnsi="Times New Roman"/>
        </w:rPr>
        <w:t>A</w:t>
      </w:r>
      <w:r w:rsidR="00806926" w:rsidRPr="006C78D6">
        <w:rPr>
          <w:rFonts w:ascii="Times New Roman" w:hAnsi="Times New Roman"/>
        </w:rPr>
        <w:t xml:space="preserve">rsenic </w:t>
      </w:r>
      <w:r w:rsidR="00B405EC" w:rsidRPr="006C78D6">
        <w:rPr>
          <w:rFonts w:ascii="Times New Roman" w:hAnsi="Times New Roman"/>
        </w:rPr>
        <w:t xml:space="preserve">exposure as also seen in other toxic metals induces generation </w:t>
      </w:r>
      <w:r w:rsidR="00806926" w:rsidRPr="006C78D6">
        <w:rPr>
          <w:rFonts w:ascii="Times New Roman" w:hAnsi="Times New Roman"/>
        </w:rPr>
        <w:t>superoxide (O</w:t>
      </w:r>
      <w:r w:rsidR="00806926" w:rsidRPr="006C78D6">
        <w:rPr>
          <w:rFonts w:ascii="Times New Roman" w:hAnsi="Times New Roman"/>
          <w:vertAlign w:val="subscript"/>
        </w:rPr>
        <w:t>2</w:t>
      </w:r>
      <w:r w:rsidR="00806926" w:rsidRPr="006C78D6">
        <w:rPr>
          <w:rFonts w:ascii="Times New Roman" w:hAnsi="Times New Roman"/>
        </w:rPr>
        <w:t>), a</w:t>
      </w:r>
      <w:r w:rsidR="00B405EC" w:rsidRPr="006C78D6">
        <w:rPr>
          <w:rFonts w:ascii="Times New Roman" w:hAnsi="Times New Roman"/>
        </w:rPr>
        <w:t>nd this</w:t>
      </w:r>
      <w:r w:rsidR="00806926" w:rsidRPr="006C78D6">
        <w:rPr>
          <w:rFonts w:ascii="Times New Roman" w:hAnsi="Times New Roman"/>
        </w:rPr>
        <w:t xml:space="preserve"> </w:t>
      </w:r>
      <w:r w:rsidR="00B405EC" w:rsidRPr="006C78D6">
        <w:rPr>
          <w:rFonts w:ascii="Times New Roman" w:hAnsi="Times New Roman"/>
        </w:rPr>
        <w:t>alters</w:t>
      </w:r>
      <w:r w:rsidR="00806926" w:rsidRPr="006C78D6">
        <w:rPr>
          <w:rFonts w:ascii="Times New Roman" w:hAnsi="Times New Roman"/>
        </w:rPr>
        <w:t xml:space="preserve"> various cell signaling pathways resulting in the subsequent production of H</w:t>
      </w:r>
      <w:r w:rsidR="00806926" w:rsidRPr="006C78D6">
        <w:rPr>
          <w:rFonts w:ascii="Times New Roman" w:hAnsi="Times New Roman"/>
          <w:vertAlign w:val="subscript"/>
        </w:rPr>
        <w:t>2</w:t>
      </w:r>
      <w:r w:rsidR="00806926" w:rsidRPr="006C78D6">
        <w:rPr>
          <w:rFonts w:ascii="Times New Roman" w:hAnsi="Times New Roman"/>
        </w:rPr>
        <w:t>O</w:t>
      </w:r>
      <w:r w:rsidR="00806926" w:rsidRPr="006C78D6">
        <w:rPr>
          <w:rFonts w:ascii="Times New Roman" w:hAnsi="Times New Roman"/>
          <w:vertAlign w:val="subscript"/>
        </w:rPr>
        <w:t>2</w:t>
      </w:r>
      <w:r w:rsidR="00806926" w:rsidRPr="006C78D6">
        <w:rPr>
          <w:rFonts w:ascii="Times New Roman" w:hAnsi="Times New Roman"/>
        </w:rPr>
        <w:t xml:space="preserve"> and *OH radicals causing DNA damage, altering of the antioxidant enzymes' capacity, and generation of lipid peroxide</w:t>
      </w:r>
      <w:r w:rsidR="00A26EA4" w:rsidRPr="006C78D6">
        <w:rPr>
          <w:rFonts w:ascii="Times New Roman" w:hAnsi="Times New Roman"/>
        </w:rPr>
        <w:t xml:space="preserve"> </w:t>
      </w:r>
      <w:r w:rsidR="00B405EC" w:rsidRPr="006C78D6">
        <w:rPr>
          <w:rFonts w:ascii="Times New Roman" w:hAnsi="Times New Roman"/>
        </w:rPr>
        <w:t>(</w:t>
      </w:r>
      <w:r w:rsidR="00C70552" w:rsidRPr="006C78D6">
        <w:rPr>
          <w:rFonts w:ascii="Times New Roman" w:hAnsi="Times New Roman"/>
        </w:rPr>
        <w:t>Medda et al., 2020; Palma-Lara et al., 2020</w:t>
      </w:r>
      <w:r w:rsidR="00725EDA" w:rsidRPr="006C78D6">
        <w:rPr>
          <w:rFonts w:ascii="Times New Roman" w:hAnsi="Times New Roman"/>
        </w:rPr>
        <w:t>)</w:t>
      </w:r>
    </w:p>
    <w:p w14:paraId="2AA79401" w14:textId="77777777" w:rsidR="008309D8" w:rsidRPr="006C78D6" w:rsidRDefault="008309D8" w:rsidP="006E1B09">
      <w:pPr>
        <w:spacing w:line="360" w:lineRule="auto"/>
        <w:jc w:val="both"/>
        <w:rPr>
          <w:rFonts w:asciiTheme="majorBidi" w:hAnsiTheme="majorBidi" w:cstheme="majorBidi"/>
          <w:b/>
          <w:bCs/>
        </w:rPr>
      </w:pPr>
    </w:p>
    <w:p w14:paraId="0C921E1A" w14:textId="5AE715E4" w:rsidR="00725EDA" w:rsidRPr="006C78D6" w:rsidRDefault="00725EDA" w:rsidP="00947144">
      <w:pPr>
        <w:spacing w:before="100" w:beforeAutospacing="1" w:after="100" w:afterAutospacing="1" w:line="480" w:lineRule="auto"/>
        <w:jc w:val="both"/>
        <w:rPr>
          <w:rFonts w:ascii="Times New Roman" w:hAnsi="Times New Roman"/>
        </w:rPr>
      </w:pPr>
      <w:r w:rsidRPr="006C78D6">
        <w:rPr>
          <w:rFonts w:ascii="Times New Roman" w:eastAsia="Times New Roman" w:hAnsi="Times New Roman"/>
        </w:rPr>
        <w:t>Several studies have investigated the efficacy of plant extracts in ameliorating the adverse effects of combined heavy metal exposure (</w:t>
      </w:r>
      <w:r w:rsidR="00C70552" w:rsidRPr="006C78D6">
        <w:rPr>
          <w:rFonts w:ascii="Times New Roman" w:eastAsia="Times New Roman" w:hAnsi="Times New Roman"/>
        </w:rPr>
        <w:t>Nash et al 2022 Njoku et al., 2022; Mao et al 2019</w:t>
      </w:r>
      <w:r w:rsidRPr="006C78D6">
        <w:rPr>
          <w:rFonts w:ascii="Times New Roman" w:eastAsia="Times New Roman" w:hAnsi="Times New Roman"/>
        </w:rPr>
        <w:t xml:space="preserve">). The use of </w:t>
      </w:r>
      <w:r w:rsidRPr="006C78D6">
        <w:rPr>
          <w:rFonts w:ascii="Times New Roman" w:eastAsia="Times New Roman" w:hAnsi="Times New Roman"/>
          <w:i/>
        </w:rPr>
        <w:t>Allium sativum</w:t>
      </w:r>
      <w:r w:rsidRPr="006C78D6">
        <w:rPr>
          <w:rFonts w:ascii="Times New Roman" w:eastAsia="Times New Roman" w:hAnsi="Times New Roman"/>
        </w:rPr>
        <w:t xml:space="preserve"> (garlic) extract has been investigated for its ability to counteract the combined toxicity of arsenic, lead, and mercury (</w:t>
      </w:r>
      <w:r w:rsidR="00704D7D" w:rsidRPr="006C78D6">
        <w:rPr>
          <w:rFonts w:ascii="Times New Roman" w:eastAsia="Times New Roman" w:hAnsi="Times New Roman"/>
        </w:rPr>
        <w:t xml:space="preserve">Nwokocha </w:t>
      </w:r>
      <w:r w:rsidRPr="006C78D6">
        <w:rPr>
          <w:rFonts w:ascii="Times New Roman" w:eastAsia="Times New Roman" w:hAnsi="Times New Roman"/>
          <w:i/>
        </w:rPr>
        <w:t>et al</w:t>
      </w:r>
      <w:r w:rsidRPr="006C78D6">
        <w:rPr>
          <w:rFonts w:ascii="Times New Roman" w:eastAsia="Times New Roman" w:hAnsi="Times New Roman"/>
        </w:rPr>
        <w:t>. (201</w:t>
      </w:r>
      <w:r w:rsidR="00704D7D" w:rsidRPr="006C78D6">
        <w:rPr>
          <w:rFonts w:ascii="Times New Roman" w:eastAsia="Times New Roman" w:hAnsi="Times New Roman"/>
        </w:rPr>
        <w:t>2</w:t>
      </w:r>
      <w:r w:rsidRPr="006C78D6">
        <w:rPr>
          <w:rFonts w:ascii="Times New Roman" w:eastAsia="Times New Roman" w:hAnsi="Times New Roman"/>
        </w:rPr>
        <w:t>)</w:t>
      </w:r>
      <w:r w:rsidR="00704D7D" w:rsidRPr="006C78D6">
        <w:rPr>
          <w:rFonts w:ascii="Times New Roman" w:eastAsia="Times New Roman" w:hAnsi="Times New Roman"/>
        </w:rPr>
        <w:t>.</w:t>
      </w:r>
      <w:r w:rsidRPr="006C78D6">
        <w:rPr>
          <w:rFonts w:ascii="Times New Roman" w:eastAsia="Times New Roman" w:hAnsi="Times New Roman"/>
        </w:rPr>
        <w:t xml:space="preserve"> </w:t>
      </w:r>
      <w:r w:rsidR="00704D7D" w:rsidRPr="006C78D6">
        <w:rPr>
          <w:rFonts w:ascii="Times New Roman" w:hAnsi="Times New Roman"/>
        </w:rPr>
        <w:t>Studies</w:t>
      </w:r>
      <w:r w:rsidRPr="006C78D6">
        <w:rPr>
          <w:rFonts w:ascii="Times New Roman" w:hAnsi="Times New Roman"/>
        </w:rPr>
        <w:t xml:space="preserve"> show</w:t>
      </w:r>
      <w:r w:rsidR="00704D7D" w:rsidRPr="006C78D6">
        <w:rPr>
          <w:rFonts w:ascii="Times New Roman" w:hAnsi="Times New Roman"/>
        </w:rPr>
        <w:t>s</w:t>
      </w:r>
      <w:r w:rsidRPr="006C78D6">
        <w:rPr>
          <w:rFonts w:ascii="Times New Roman" w:hAnsi="Times New Roman"/>
        </w:rPr>
        <w:t xml:space="preserve"> that ginger (</w:t>
      </w:r>
      <w:r w:rsidRPr="006C78D6">
        <w:rPr>
          <w:rFonts w:ascii="Times New Roman" w:hAnsi="Times New Roman"/>
          <w:i/>
        </w:rPr>
        <w:t>Zingiber</w:t>
      </w:r>
      <w:r w:rsidRPr="006C78D6">
        <w:rPr>
          <w:rFonts w:ascii="Times New Roman" w:hAnsi="Times New Roman"/>
        </w:rPr>
        <w:t xml:space="preserve"> </w:t>
      </w:r>
      <w:r w:rsidRPr="006C78D6">
        <w:rPr>
          <w:rFonts w:ascii="Times New Roman" w:hAnsi="Times New Roman"/>
          <w:i/>
        </w:rPr>
        <w:t>officinale</w:t>
      </w:r>
      <w:r w:rsidRPr="006C78D6">
        <w:rPr>
          <w:rFonts w:ascii="Times New Roman" w:hAnsi="Times New Roman"/>
        </w:rPr>
        <w:t xml:space="preserve">) </w:t>
      </w:r>
      <w:r w:rsidR="00F511BF" w:rsidRPr="006C78D6">
        <w:rPr>
          <w:rFonts w:ascii="Times New Roman" w:hAnsi="Times New Roman"/>
        </w:rPr>
        <w:t>extracts</w:t>
      </w:r>
      <w:r w:rsidRPr="006C78D6">
        <w:rPr>
          <w:rFonts w:ascii="Times New Roman" w:hAnsi="Times New Roman"/>
        </w:rPr>
        <w:t xml:space="preserve"> alleviated lead induced renal toxicity in male rats by enhancing the levels of </w:t>
      </w:r>
      <w:r w:rsidRPr="006C78D6">
        <w:rPr>
          <w:rFonts w:ascii="Times New Roman" w:hAnsi="Times New Roman"/>
        </w:rPr>
        <w:lastRenderedPageBreak/>
        <w:t xml:space="preserve">glutathione, </w:t>
      </w:r>
      <w:r w:rsidR="00947144" w:rsidRPr="006C78D6">
        <w:rPr>
          <w:rFonts w:ascii="Times New Roman" w:hAnsi="Times New Roman"/>
        </w:rPr>
        <w:t xml:space="preserve">and activities </w:t>
      </w:r>
      <w:r w:rsidRPr="006C78D6">
        <w:rPr>
          <w:rFonts w:ascii="Times New Roman" w:hAnsi="Times New Roman"/>
        </w:rPr>
        <w:t>glutathione peroxidase, glutathione-s-transferase and catalase</w:t>
      </w:r>
      <w:r w:rsidR="00704D7D" w:rsidRPr="006C78D6">
        <w:rPr>
          <w:rFonts w:ascii="Times New Roman" w:hAnsi="Times New Roman"/>
        </w:rPr>
        <w:t xml:space="preserve"> </w:t>
      </w:r>
      <w:commentRangeStart w:id="1"/>
      <w:r w:rsidR="00704D7D" w:rsidRPr="006C78D6">
        <w:rPr>
          <w:rFonts w:ascii="Times New Roman" w:hAnsi="Times New Roman"/>
        </w:rPr>
        <w:t>(</w:t>
      </w:r>
      <w:proofErr w:type="spellStart"/>
      <w:r w:rsidR="00704D7D" w:rsidRPr="006C78D6">
        <w:t>Rostamkhani</w:t>
      </w:r>
      <w:proofErr w:type="spellEnd"/>
      <w:r w:rsidR="00704D7D" w:rsidRPr="006C78D6">
        <w:t xml:space="preserve"> et al, 2022; </w:t>
      </w:r>
      <w:r w:rsidR="00235871" w:rsidRPr="006C78D6">
        <w:t>Wang et al., 2025)</w:t>
      </w:r>
      <w:r w:rsidRPr="006C78D6">
        <w:rPr>
          <w:rFonts w:ascii="Times New Roman" w:hAnsi="Times New Roman"/>
        </w:rPr>
        <w:t>.</w:t>
      </w:r>
      <w:commentRangeEnd w:id="1"/>
      <w:r w:rsidR="00D46275">
        <w:rPr>
          <w:rStyle w:val="CommentReference"/>
        </w:rPr>
        <w:commentReference w:id="1"/>
      </w:r>
      <w:r w:rsidR="00947144" w:rsidRPr="006C78D6">
        <w:rPr>
          <w:rFonts w:ascii="Times New Roman" w:hAnsi="Times New Roman"/>
        </w:rPr>
        <w:t xml:space="preserve"> </w:t>
      </w:r>
      <w:r w:rsidR="00235871" w:rsidRPr="006C78D6">
        <w:rPr>
          <w:rFonts w:ascii="Times New Roman" w:hAnsi="Times New Roman"/>
        </w:rPr>
        <w:t xml:space="preserve">Other studies have </w:t>
      </w:r>
      <w:r w:rsidR="00947144" w:rsidRPr="006C78D6">
        <w:rPr>
          <w:rFonts w:ascii="Times New Roman" w:hAnsi="Times New Roman"/>
        </w:rPr>
        <w:t xml:space="preserve">reported the potentials of </w:t>
      </w:r>
      <w:r w:rsidRPr="006C78D6">
        <w:rPr>
          <w:rFonts w:ascii="Times New Roman" w:hAnsi="Times New Roman"/>
          <w:bCs/>
        </w:rPr>
        <w:t xml:space="preserve">Curcumin </w:t>
      </w:r>
      <w:r w:rsidR="00947144" w:rsidRPr="006C78D6">
        <w:rPr>
          <w:rFonts w:ascii="Times New Roman" w:hAnsi="Times New Roman"/>
          <w:bCs/>
        </w:rPr>
        <w:t>in the amelioration of h</w:t>
      </w:r>
      <w:r w:rsidRPr="006C78D6">
        <w:rPr>
          <w:rFonts w:ascii="Times New Roman" w:hAnsi="Times New Roman"/>
          <w:bCs/>
        </w:rPr>
        <w:t xml:space="preserve">ypertension, </w:t>
      </w:r>
      <w:r w:rsidR="00947144" w:rsidRPr="006C78D6">
        <w:rPr>
          <w:rFonts w:ascii="Times New Roman" w:hAnsi="Times New Roman"/>
          <w:bCs/>
        </w:rPr>
        <w:t>e</w:t>
      </w:r>
      <w:r w:rsidRPr="006C78D6">
        <w:rPr>
          <w:rFonts w:ascii="Times New Roman" w:hAnsi="Times New Roman"/>
          <w:bCs/>
        </w:rPr>
        <w:t xml:space="preserve">ndothelial </w:t>
      </w:r>
      <w:r w:rsidR="00947144" w:rsidRPr="006C78D6">
        <w:rPr>
          <w:rFonts w:ascii="Times New Roman" w:hAnsi="Times New Roman"/>
          <w:bCs/>
        </w:rPr>
        <w:t>d</w:t>
      </w:r>
      <w:r w:rsidRPr="006C78D6">
        <w:rPr>
          <w:rFonts w:ascii="Times New Roman" w:hAnsi="Times New Roman"/>
          <w:bCs/>
        </w:rPr>
        <w:t xml:space="preserve">ysfunction and </w:t>
      </w:r>
      <w:r w:rsidR="00947144" w:rsidRPr="006C78D6">
        <w:rPr>
          <w:rFonts w:ascii="Times New Roman" w:hAnsi="Times New Roman"/>
          <w:bCs/>
        </w:rPr>
        <w:t>o</w:t>
      </w:r>
      <w:r w:rsidRPr="006C78D6">
        <w:rPr>
          <w:rFonts w:ascii="Times New Roman" w:hAnsi="Times New Roman"/>
          <w:bCs/>
        </w:rPr>
        <w:t xml:space="preserve">xidative </w:t>
      </w:r>
      <w:r w:rsidR="00947144" w:rsidRPr="006C78D6">
        <w:rPr>
          <w:rFonts w:ascii="Times New Roman" w:hAnsi="Times New Roman"/>
          <w:bCs/>
        </w:rPr>
        <w:t>s</w:t>
      </w:r>
      <w:r w:rsidRPr="006C78D6">
        <w:rPr>
          <w:rFonts w:ascii="Times New Roman" w:hAnsi="Times New Roman"/>
          <w:bCs/>
        </w:rPr>
        <w:t xml:space="preserve">tress in </w:t>
      </w:r>
      <w:r w:rsidR="00947144" w:rsidRPr="006C78D6">
        <w:rPr>
          <w:rFonts w:ascii="Times New Roman" w:hAnsi="Times New Roman"/>
          <w:bCs/>
        </w:rPr>
        <w:t>r</w:t>
      </w:r>
      <w:r w:rsidRPr="006C78D6">
        <w:rPr>
          <w:rFonts w:ascii="Times New Roman" w:hAnsi="Times New Roman"/>
          <w:bCs/>
        </w:rPr>
        <w:t xml:space="preserve">ats with </w:t>
      </w:r>
      <w:r w:rsidR="00F511BF" w:rsidRPr="006C78D6">
        <w:rPr>
          <w:rFonts w:ascii="Times New Roman" w:hAnsi="Times New Roman"/>
          <w:bCs/>
        </w:rPr>
        <w:t>c</w:t>
      </w:r>
      <w:r w:rsidRPr="006C78D6">
        <w:rPr>
          <w:rFonts w:ascii="Times New Roman" w:hAnsi="Times New Roman"/>
          <w:bCs/>
        </w:rPr>
        <w:t xml:space="preserve">hronic </w:t>
      </w:r>
      <w:r w:rsidR="00F511BF" w:rsidRPr="006C78D6">
        <w:rPr>
          <w:rFonts w:ascii="Times New Roman" w:hAnsi="Times New Roman"/>
          <w:bCs/>
        </w:rPr>
        <w:t>e</w:t>
      </w:r>
      <w:r w:rsidRPr="006C78D6">
        <w:rPr>
          <w:rFonts w:ascii="Times New Roman" w:hAnsi="Times New Roman"/>
          <w:bCs/>
        </w:rPr>
        <w:t xml:space="preserve">xposure to </w:t>
      </w:r>
      <w:r w:rsidR="00F511BF" w:rsidRPr="006C78D6">
        <w:rPr>
          <w:rFonts w:ascii="Times New Roman" w:hAnsi="Times New Roman"/>
          <w:bCs/>
        </w:rPr>
        <w:t>l</w:t>
      </w:r>
      <w:r w:rsidRPr="006C78D6">
        <w:rPr>
          <w:rFonts w:ascii="Times New Roman" w:hAnsi="Times New Roman"/>
          <w:bCs/>
        </w:rPr>
        <w:t xml:space="preserve">ead and </w:t>
      </w:r>
      <w:r w:rsidR="00F511BF" w:rsidRPr="006C78D6">
        <w:rPr>
          <w:rFonts w:ascii="Times New Roman" w:hAnsi="Times New Roman"/>
          <w:bCs/>
        </w:rPr>
        <w:t>c</w:t>
      </w:r>
      <w:r w:rsidRPr="006C78D6">
        <w:rPr>
          <w:rFonts w:ascii="Times New Roman" w:hAnsi="Times New Roman"/>
          <w:bCs/>
        </w:rPr>
        <w:t>admium.</w:t>
      </w:r>
      <w:r w:rsidR="00947144" w:rsidRPr="006C78D6">
        <w:rPr>
          <w:rFonts w:ascii="Times New Roman" w:hAnsi="Times New Roman"/>
        </w:rPr>
        <w:t xml:space="preserve"> </w:t>
      </w:r>
      <w:r w:rsidR="00947144" w:rsidRPr="006C78D6">
        <w:rPr>
          <w:rFonts w:ascii="Times New Roman" w:hAnsi="Times New Roman"/>
          <w:color w:val="000000"/>
        </w:rPr>
        <w:t xml:space="preserve">Further </w:t>
      </w:r>
      <w:r w:rsidRPr="006C78D6">
        <w:rPr>
          <w:rFonts w:ascii="Times New Roman" w:hAnsi="Times New Roman"/>
          <w:color w:val="000000"/>
        </w:rPr>
        <w:t xml:space="preserve">studies </w:t>
      </w:r>
      <w:r w:rsidR="00947144" w:rsidRPr="006C78D6">
        <w:rPr>
          <w:rFonts w:ascii="Times New Roman" w:hAnsi="Times New Roman"/>
          <w:color w:val="000000"/>
        </w:rPr>
        <w:t>have demonstrated the</w:t>
      </w:r>
      <w:r w:rsidRPr="006C78D6">
        <w:rPr>
          <w:rFonts w:ascii="Times New Roman" w:hAnsi="Times New Roman"/>
          <w:color w:val="000000"/>
        </w:rPr>
        <w:t xml:space="preserve"> </w:t>
      </w:r>
      <w:r w:rsidRPr="006C78D6">
        <w:rPr>
          <w:rFonts w:ascii="Times New Roman" w:hAnsi="Times New Roman"/>
        </w:rPr>
        <w:t xml:space="preserve">potential protective effects of </w:t>
      </w:r>
      <w:r w:rsidRPr="006C78D6">
        <w:rPr>
          <w:rFonts w:ascii="Times New Roman" w:hAnsi="Times New Roman"/>
          <w:i/>
        </w:rPr>
        <w:t>Curcuma longa</w:t>
      </w:r>
      <w:r w:rsidRPr="006C78D6">
        <w:rPr>
          <w:rFonts w:ascii="Times New Roman" w:hAnsi="Times New Roman"/>
        </w:rPr>
        <w:t xml:space="preserve"> </w:t>
      </w:r>
      <w:r w:rsidR="00947144" w:rsidRPr="006C78D6">
        <w:rPr>
          <w:rFonts w:ascii="Times New Roman" w:hAnsi="Times New Roman"/>
        </w:rPr>
        <w:t>s</w:t>
      </w:r>
      <w:r w:rsidRPr="006C78D6">
        <w:rPr>
          <w:rFonts w:ascii="Times New Roman" w:hAnsi="Times New Roman"/>
        </w:rPr>
        <w:t xml:space="preserve">upplementation on </w:t>
      </w:r>
      <w:r w:rsidR="00947144" w:rsidRPr="006C78D6">
        <w:rPr>
          <w:rFonts w:ascii="Times New Roman" w:hAnsi="Times New Roman"/>
        </w:rPr>
        <w:t>c</w:t>
      </w:r>
      <w:r w:rsidRPr="006C78D6">
        <w:rPr>
          <w:rFonts w:ascii="Times New Roman" w:hAnsi="Times New Roman"/>
        </w:rPr>
        <w:t>admium-</w:t>
      </w:r>
      <w:r w:rsidR="00947144" w:rsidRPr="006C78D6">
        <w:rPr>
          <w:rFonts w:ascii="Times New Roman" w:hAnsi="Times New Roman"/>
        </w:rPr>
        <w:t>i</w:t>
      </w:r>
      <w:r w:rsidRPr="006C78D6">
        <w:rPr>
          <w:rFonts w:ascii="Times New Roman" w:hAnsi="Times New Roman"/>
        </w:rPr>
        <w:t xml:space="preserve">nduced toxicity in rat </w:t>
      </w:r>
      <w:r w:rsidR="00947144" w:rsidRPr="006C78D6">
        <w:rPr>
          <w:rFonts w:ascii="Times New Roman" w:hAnsi="Times New Roman"/>
        </w:rPr>
        <w:t>lowering c</w:t>
      </w:r>
      <w:r w:rsidRPr="006C78D6">
        <w:rPr>
          <w:rFonts w:ascii="Times New Roman" w:hAnsi="Times New Roman"/>
        </w:rPr>
        <w:t xml:space="preserve">admium toxicity caused </w:t>
      </w:r>
      <w:r w:rsidR="00947144" w:rsidRPr="006C78D6">
        <w:rPr>
          <w:rFonts w:ascii="Times New Roman" w:hAnsi="Times New Roman"/>
        </w:rPr>
        <w:t xml:space="preserve">on </w:t>
      </w:r>
      <w:r w:rsidRPr="006C78D6">
        <w:rPr>
          <w:rFonts w:ascii="Times New Roman" w:hAnsi="Times New Roman"/>
        </w:rPr>
        <w:t>liver and kidney tissue</w:t>
      </w:r>
      <w:r w:rsidR="00947144" w:rsidRPr="006C78D6">
        <w:rPr>
          <w:rFonts w:ascii="Times New Roman" w:hAnsi="Times New Roman"/>
        </w:rPr>
        <w:t>s by r</w:t>
      </w:r>
      <w:r w:rsidRPr="006C78D6">
        <w:rPr>
          <w:rFonts w:ascii="Times New Roman" w:hAnsi="Times New Roman"/>
        </w:rPr>
        <w:t>educed intensity of cadmium-induced oxidative stress (</w:t>
      </w:r>
      <w:proofErr w:type="spellStart"/>
      <w:r w:rsidR="00235871" w:rsidRPr="006C78D6">
        <w:rPr>
          <w:rFonts w:ascii="Times New Roman" w:hAnsi="Times New Roman"/>
        </w:rPr>
        <w:t>Tubsakul</w:t>
      </w:r>
      <w:proofErr w:type="spellEnd"/>
      <w:r w:rsidR="00235871" w:rsidRPr="006C78D6">
        <w:rPr>
          <w:rFonts w:ascii="Times New Roman" w:hAnsi="Times New Roman"/>
        </w:rPr>
        <w:t xml:space="preserve"> et al., 2021; Tang et al., 2023</w:t>
      </w:r>
      <w:r w:rsidR="00975422" w:rsidRPr="006C78D6">
        <w:rPr>
          <w:rFonts w:ascii="Times New Roman" w:hAnsi="Times New Roman"/>
        </w:rPr>
        <w:t>; Moldoveanu et al., 2025</w:t>
      </w:r>
      <w:r w:rsidRPr="006C78D6">
        <w:rPr>
          <w:rFonts w:ascii="Times New Roman" w:hAnsi="Times New Roman"/>
        </w:rPr>
        <w:t>)</w:t>
      </w:r>
      <w:r w:rsidR="00AF62AE" w:rsidRPr="006C78D6">
        <w:rPr>
          <w:rFonts w:ascii="Times New Roman" w:hAnsi="Times New Roman"/>
        </w:rPr>
        <w:t>.</w:t>
      </w:r>
    </w:p>
    <w:p w14:paraId="1C8BF5B1" w14:textId="0B4C0557" w:rsidR="00AF62AE" w:rsidRPr="006C78D6" w:rsidRDefault="00AF62AE" w:rsidP="00AF62AE">
      <w:pPr>
        <w:spacing w:before="100" w:beforeAutospacing="1" w:after="100" w:afterAutospacing="1" w:line="480" w:lineRule="auto"/>
        <w:jc w:val="both"/>
        <w:rPr>
          <w:rFonts w:ascii="Times New Roman" w:eastAsia="Times New Roman" w:hAnsi="Times New Roman"/>
        </w:rPr>
      </w:pPr>
      <w:r w:rsidRPr="006C78D6">
        <w:rPr>
          <w:rFonts w:ascii="Times New Roman" w:eastAsia="Times New Roman" w:hAnsi="Times New Roman"/>
        </w:rPr>
        <w:t xml:space="preserve">These adverse effects caused by chronic exposure to heavy metals from food, drinks and environment which mechanism of toxicity stems from induction of oxidative stress. This informed the study that aims to evaluate the </w:t>
      </w:r>
      <w:r w:rsidRPr="006C78D6">
        <w:rPr>
          <w:rFonts w:ascii="Times New Roman" w:eastAsia="Times New Roman" w:hAnsi="Times New Roman"/>
          <w:i/>
          <w:iCs/>
        </w:rPr>
        <w:t>in vitro</w:t>
      </w:r>
      <w:r w:rsidRPr="006C78D6">
        <w:rPr>
          <w:rFonts w:ascii="Times New Roman" w:eastAsia="Times New Roman" w:hAnsi="Times New Roman"/>
        </w:rPr>
        <w:t xml:space="preserve"> antioxidant capacity of combined plant extracts</w:t>
      </w:r>
      <w:r w:rsidR="00F511BF" w:rsidRPr="006C78D6">
        <w:rPr>
          <w:rFonts w:ascii="Times New Roman" w:eastAsia="Times New Roman" w:hAnsi="Times New Roman"/>
        </w:rPr>
        <w:t xml:space="preserve"> of</w:t>
      </w:r>
      <w:r w:rsidR="00F511BF" w:rsidRPr="006C78D6">
        <w:rPr>
          <w:rFonts w:asciiTheme="majorBidi" w:hAnsiTheme="majorBidi" w:cstheme="majorBidi"/>
        </w:rPr>
        <w:t xml:space="preserve"> garlic</w:t>
      </w:r>
      <w:r w:rsidR="00F511BF" w:rsidRPr="006C78D6">
        <w:rPr>
          <w:rFonts w:asciiTheme="majorBidi" w:eastAsia="Times New Roman" w:hAnsiTheme="majorBidi" w:cstheme="majorBidi"/>
        </w:rPr>
        <w:t>, ginger</w:t>
      </w:r>
      <w:r w:rsidR="00F511BF" w:rsidRPr="006C78D6">
        <w:rPr>
          <w:rFonts w:asciiTheme="majorBidi" w:eastAsia="Times New Roman" w:hAnsiTheme="majorBidi" w:cstheme="majorBidi"/>
          <w:i/>
        </w:rPr>
        <w:t xml:space="preserve"> </w:t>
      </w:r>
      <w:r w:rsidR="00F511BF" w:rsidRPr="006C78D6">
        <w:rPr>
          <w:rFonts w:asciiTheme="majorBidi" w:eastAsia="Times New Roman" w:hAnsiTheme="majorBidi" w:cstheme="majorBidi"/>
        </w:rPr>
        <w:t>and turmeric in</w:t>
      </w:r>
      <w:r w:rsidR="00F511BF" w:rsidRPr="006C78D6">
        <w:rPr>
          <w:rFonts w:ascii="Times New Roman" w:eastAsia="Times New Roman" w:hAnsi="Times New Roman"/>
        </w:rPr>
        <w:t xml:space="preserve"> varying fractions</w:t>
      </w:r>
      <w:r w:rsidRPr="006C78D6">
        <w:rPr>
          <w:rFonts w:ascii="Times New Roman" w:eastAsia="Times New Roman" w:hAnsi="Times New Roman"/>
        </w:rPr>
        <w:t>. The use of plant extracts in treating combined heavy metal toxicity presents a promising avenue for therapeutic intervention. These natural compounds offer a potential alternative or complementary approach to conventional treatments, emphasizing the importance of continued research to unlock their full therapeutic potential.</w:t>
      </w:r>
    </w:p>
    <w:p w14:paraId="7CDF45F6" w14:textId="77777777" w:rsidR="00AF62AE" w:rsidRPr="006C78D6" w:rsidRDefault="00AF62AE" w:rsidP="00947144">
      <w:pPr>
        <w:spacing w:before="100" w:beforeAutospacing="1" w:after="100" w:afterAutospacing="1" w:line="480" w:lineRule="auto"/>
        <w:jc w:val="both"/>
        <w:rPr>
          <w:rFonts w:ascii="Times New Roman" w:hAnsi="Times New Roman"/>
        </w:rPr>
      </w:pPr>
    </w:p>
    <w:p w14:paraId="3E01DD1A" w14:textId="79E5BA4F"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MATERIALS AND METHODS</w:t>
      </w:r>
    </w:p>
    <w:p w14:paraId="0E7FD644" w14:textId="2538E07D" w:rsidR="006E1B09" w:rsidRPr="006C78D6" w:rsidRDefault="006E1B09" w:rsidP="006E1B09">
      <w:pPr>
        <w:spacing w:line="360" w:lineRule="auto"/>
        <w:jc w:val="both"/>
        <w:rPr>
          <w:rFonts w:asciiTheme="majorBidi" w:hAnsiTheme="majorBidi" w:cstheme="majorBidi"/>
          <w:b/>
          <w:bCs/>
        </w:rPr>
      </w:pPr>
      <w:r w:rsidRPr="006C78D6">
        <w:rPr>
          <w:rFonts w:asciiTheme="majorBidi" w:hAnsiTheme="majorBidi" w:cstheme="majorBidi"/>
          <w:b/>
          <w:bCs/>
        </w:rPr>
        <w:t>Procurement and authentication of plant samples</w:t>
      </w:r>
    </w:p>
    <w:p w14:paraId="688C001D" w14:textId="361CEB68"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rPr>
        <w:t xml:space="preserve">The selected </w:t>
      </w:r>
      <w:commentRangeStart w:id="2"/>
      <w:r w:rsidRPr="006C78D6">
        <w:rPr>
          <w:rFonts w:asciiTheme="majorBidi" w:hAnsiTheme="majorBidi" w:cstheme="majorBidi"/>
        </w:rPr>
        <w:t xml:space="preserve">plants samples </w:t>
      </w:r>
      <w:commentRangeEnd w:id="2"/>
      <w:r w:rsidR="00C83428">
        <w:rPr>
          <w:rStyle w:val="CommentReference"/>
        </w:rPr>
        <w:commentReference w:id="2"/>
      </w:r>
      <w:r w:rsidRPr="006C78D6">
        <w:rPr>
          <w:rFonts w:asciiTheme="majorBidi" w:hAnsiTheme="majorBidi" w:cstheme="majorBidi"/>
        </w:rPr>
        <w:t>of garlic</w:t>
      </w:r>
      <w:r w:rsidRPr="006C78D6">
        <w:rPr>
          <w:rFonts w:asciiTheme="majorBidi" w:eastAsia="Times New Roman" w:hAnsiTheme="majorBidi" w:cstheme="majorBidi"/>
        </w:rPr>
        <w:t>, ginger</w:t>
      </w:r>
      <w:r w:rsidRPr="006C78D6">
        <w:rPr>
          <w:rFonts w:asciiTheme="majorBidi" w:eastAsia="Times New Roman" w:hAnsiTheme="majorBidi" w:cstheme="majorBidi"/>
          <w:i/>
        </w:rPr>
        <w:t xml:space="preserve"> </w:t>
      </w:r>
      <w:r w:rsidRPr="006C78D6">
        <w:rPr>
          <w:rFonts w:asciiTheme="majorBidi" w:eastAsia="Times New Roman" w:hAnsiTheme="majorBidi" w:cstheme="majorBidi"/>
        </w:rPr>
        <w:t>and turmeric</w:t>
      </w:r>
      <w:r w:rsidRPr="006C78D6">
        <w:rPr>
          <w:rFonts w:asciiTheme="majorBidi" w:hAnsiTheme="majorBidi" w:cstheme="majorBidi"/>
        </w:rPr>
        <w:t xml:space="preserve"> were purchased February 2024 from a local market in </w:t>
      </w:r>
      <w:proofErr w:type="spellStart"/>
      <w:r w:rsidRPr="006C78D6">
        <w:rPr>
          <w:rFonts w:asciiTheme="majorBidi" w:hAnsiTheme="majorBidi" w:cstheme="majorBidi"/>
        </w:rPr>
        <w:t>Ihiagwa</w:t>
      </w:r>
      <w:proofErr w:type="spellEnd"/>
      <w:r w:rsidRPr="006C78D6">
        <w:rPr>
          <w:rFonts w:asciiTheme="majorBidi" w:hAnsiTheme="majorBidi" w:cstheme="majorBidi"/>
        </w:rPr>
        <w:t xml:space="preserve"> in Owerri West Local Government Area of Imo State Nigeria. </w:t>
      </w:r>
      <w:r w:rsidRPr="006C78D6">
        <w:rPr>
          <w:rFonts w:asciiTheme="majorBidi" w:eastAsia="Times New Roman" w:hAnsiTheme="majorBidi" w:cstheme="majorBidi"/>
        </w:rPr>
        <w:t xml:space="preserve">The plants were identified by a plant taxonomist in the Department of Biology of the Federal University of Technology Owerri. The plant samples were deposited at the herbarium of the Department  with voucher numbers FUTO/H21142, FUTO/H21143, FUTO/H21144 for </w:t>
      </w:r>
      <w:r w:rsidRPr="006C78D6">
        <w:rPr>
          <w:rFonts w:asciiTheme="majorBidi" w:hAnsiTheme="majorBidi" w:cstheme="majorBidi"/>
        </w:rPr>
        <w:t>garlic</w:t>
      </w:r>
      <w:r w:rsidRPr="006C78D6">
        <w:rPr>
          <w:rFonts w:asciiTheme="majorBidi" w:eastAsia="Times New Roman" w:hAnsiTheme="majorBidi" w:cstheme="majorBidi"/>
        </w:rPr>
        <w:t>, ginger</w:t>
      </w:r>
      <w:r w:rsidRPr="006C78D6">
        <w:rPr>
          <w:rFonts w:asciiTheme="majorBidi" w:eastAsia="Times New Roman" w:hAnsiTheme="majorBidi" w:cstheme="majorBidi"/>
          <w:i/>
        </w:rPr>
        <w:t xml:space="preserve"> </w:t>
      </w:r>
      <w:r w:rsidRPr="006C78D6">
        <w:rPr>
          <w:rFonts w:asciiTheme="majorBidi" w:eastAsia="Times New Roman" w:hAnsiTheme="majorBidi" w:cstheme="majorBidi"/>
        </w:rPr>
        <w:t>and turmeric respectively.</w:t>
      </w:r>
      <w:r w:rsidRPr="006C78D6">
        <w:rPr>
          <w:rFonts w:asciiTheme="majorBidi" w:hAnsiTheme="majorBidi" w:cstheme="majorBidi"/>
          <w:b/>
          <w:bCs/>
          <w:lang w:val="en-GB"/>
        </w:rPr>
        <w:t xml:space="preserve"> </w:t>
      </w:r>
      <w:r w:rsidRPr="006C78D6">
        <w:rPr>
          <w:rFonts w:asciiTheme="majorBidi" w:hAnsiTheme="majorBidi" w:cstheme="majorBidi"/>
        </w:rPr>
        <w:t xml:space="preserve">The plants samples were cleaned, air dried under shade for four weeks in the </w:t>
      </w:r>
      <w:r w:rsidRPr="006C78D6">
        <w:rPr>
          <w:rFonts w:asciiTheme="majorBidi" w:hAnsiTheme="majorBidi" w:cstheme="majorBidi"/>
        </w:rPr>
        <w:lastRenderedPageBreak/>
        <w:t xml:space="preserve">Laboratory of the Department of Biochemistry, </w:t>
      </w:r>
      <w:r w:rsidRPr="006C78D6">
        <w:rPr>
          <w:rFonts w:asciiTheme="majorBidi" w:eastAsia="Times New Roman" w:hAnsiTheme="majorBidi" w:cstheme="majorBidi"/>
        </w:rPr>
        <w:t>Federal University of Technology Owerri.</w:t>
      </w:r>
      <w:r w:rsidRPr="006C78D6">
        <w:rPr>
          <w:rFonts w:asciiTheme="majorBidi" w:hAnsiTheme="majorBidi" w:cstheme="majorBidi"/>
        </w:rPr>
        <w:t xml:space="preserve"> The plant samples were pulverized  separately using an Electric blender, sieved and stored in separate airtight containers.</w:t>
      </w:r>
    </w:p>
    <w:p w14:paraId="0880AA4F" w14:textId="21039126" w:rsidR="008D7C8A" w:rsidRPr="006C78D6" w:rsidRDefault="00CE5C06"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 xml:space="preserve">Preparation of </w:t>
      </w:r>
      <w:r w:rsidR="006E1B09" w:rsidRPr="006C78D6">
        <w:rPr>
          <w:rFonts w:asciiTheme="majorBidi" w:hAnsiTheme="majorBidi" w:cstheme="majorBidi"/>
          <w:b/>
          <w:bCs/>
          <w:lang w:val="en-GB"/>
        </w:rPr>
        <w:t xml:space="preserve">plant </w:t>
      </w:r>
      <w:r w:rsidRPr="006C78D6">
        <w:rPr>
          <w:rFonts w:asciiTheme="majorBidi" w:hAnsiTheme="majorBidi" w:cstheme="majorBidi"/>
          <w:b/>
          <w:bCs/>
          <w:lang w:val="en-GB"/>
        </w:rPr>
        <w:t>extracts</w:t>
      </w:r>
    </w:p>
    <w:p w14:paraId="4C565B14" w14:textId="6FB3AD2C" w:rsidR="00663A13" w:rsidRPr="006C78D6" w:rsidRDefault="00BC6F00" w:rsidP="006E1B09">
      <w:pPr>
        <w:spacing w:line="360" w:lineRule="auto"/>
        <w:jc w:val="both"/>
        <w:rPr>
          <w:rFonts w:asciiTheme="majorBidi" w:hAnsiTheme="majorBidi" w:cstheme="majorBidi"/>
          <w:color w:val="000000"/>
          <w:lang w:val="en-GB"/>
        </w:rPr>
      </w:pPr>
      <w:r w:rsidRPr="006C78D6">
        <w:rPr>
          <w:rFonts w:asciiTheme="majorBidi" w:hAnsiTheme="majorBidi" w:cstheme="majorBidi"/>
          <w:color w:val="000000"/>
        </w:rPr>
        <w:t xml:space="preserve">The </w:t>
      </w:r>
      <w:commentRangeStart w:id="3"/>
      <w:r w:rsidRPr="006C78D6">
        <w:rPr>
          <w:rFonts w:asciiTheme="majorBidi" w:hAnsiTheme="majorBidi" w:cstheme="majorBidi"/>
          <w:color w:val="000000"/>
        </w:rPr>
        <w:t xml:space="preserve">extracts </w:t>
      </w:r>
      <w:commentRangeEnd w:id="3"/>
      <w:r w:rsidR="00762CDF">
        <w:rPr>
          <w:rStyle w:val="CommentReference"/>
        </w:rPr>
        <w:commentReference w:id="3"/>
      </w:r>
      <w:r w:rsidRPr="006C78D6">
        <w:rPr>
          <w:rFonts w:asciiTheme="majorBidi" w:hAnsiTheme="majorBidi" w:cstheme="majorBidi"/>
          <w:color w:val="000000"/>
        </w:rPr>
        <w:t>were prepared by blending and mixing ginger, garlic, and turmeric powders in warm distilled water, followed by filtration. This method ensured that the bioactive compounds were adequately extracted</w:t>
      </w:r>
      <w:r w:rsidR="00CE5C06" w:rsidRPr="006C78D6">
        <w:rPr>
          <w:rFonts w:asciiTheme="majorBidi" w:hAnsiTheme="majorBidi" w:cstheme="majorBidi"/>
          <w:color w:val="000000"/>
          <w:lang w:val="en-GB"/>
        </w:rPr>
        <w:t>.</w:t>
      </w:r>
      <w:r w:rsidRPr="006C78D6">
        <w:rPr>
          <w:rFonts w:asciiTheme="majorBidi" w:hAnsiTheme="majorBidi" w:cstheme="majorBidi"/>
          <w:color w:val="000000"/>
        </w:rPr>
        <w:t xml:space="preserve"> </w:t>
      </w:r>
      <w:r w:rsidR="00663A13" w:rsidRPr="006C78D6">
        <w:rPr>
          <w:rFonts w:asciiTheme="majorBidi" w:hAnsiTheme="majorBidi" w:cstheme="majorBidi"/>
          <w:color w:val="000000"/>
        </w:rPr>
        <w:t>The aqueous extract of the single plant samples was prepared by adding 25 g of plant sample powder into 100 mL of warm distilled water. This was allowed to stand for 2 hours with intermittent shaking and then filter</w:t>
      </w:r>
      <w:r w:rsidR="00CE5C06" w:rsidRPr="006C78D6">
        <w:rPr>
          <w:rFonts w:asciiTheme="majorBidi" w:hAnsiTheme="majorBidi" w:cstheme="majorBidi"/>
          <w:color w:val="000000"/>
        </w:rPr>
        <w:t>ed with a muslin cloth.</w:t>
      </w:r>
      <w:r w:rsidR="00663A13" w:rsidRPr="006C78D6">
        <w:rPr>
          <w:rFonts w:asciiTheme="majorBidi" w:hAnsiTheme="majorBidi" w:cstheme="majorBidi"/>
          <w:color w:val="000000"/>
        </w:rPr>
        <w:t xml:space="preserve"> The </w:t>
      </w:r>
      <w:r w:rsidR="00CE5C06" w:rsidRPr="006C78D6">
        <w:rPr>
          <w:rFonts w:asciiTheme="majorBidi" w:hAnsiTheme="majorBidi" w:cstheme="majorBidi"/>
          <w:color w:val="000000"/>
        </w:rPr>
        <w:t xml:space="preserve">filtrated was </w:t>
      </w:r>
      <w:r w:rsidR="00663A13" w:rsidRPr="006C78D6">
        <w:rPr>
          <w:rFonts w:asciiTheme="majorBidi" w:hAnsiTheme="majorBidi" w:cstheme="majorBidi"/>
          <w:color w:val="000000"/>
        </w:rPr>
        <w:t xml:space="preserve">filtered </w:t>
      </w:r>
      <w:r w:rsidR="00CE5C06" w:rsidRPr="006C78D6">
        <w:rPr>
          <w:rFonts w:asciiTheme="majorBidi" w:hAnsiTheme="majorBidi" w:cstheme="majorBidi"/>
          <w:color w:val="000000"/>
        </w:rPr>
        <w:t>further with</w:t>
      </w:r>
      <w:r w:rsidR="00663A13" w:rsidRPr="006C78D6">
        <w:rPr>
          <w:rFonts w:asciiTheme="majorBidi" w:hAnsiTheme="majorBidi" w:cstheme="majorBidi"/>
          <w:color w:val="000000"/>
        </w:rPr>
        <w:t xml:space="preserve"> Whatman No. 1 paper</w:t>
      </w:r>
      <w:r w:rsidR="00CE5C06" w:rsidRPr="006C78D6">
        <w:rPr>
          <w:rFonts w:asciiTheme="majorBidi" w:hAnsiTheme="majorBidi" w:cstheme="majorBidi"/>
          <w:color w:val="000000"/>
        </w:rPr>
        <w:t xml:space="preserve"> to get the final extract used for the </w:t>
      </w:r>
      <w:r w:rsidR="00CE5C06" w:rsidRPr="006C78D6">
        <w:rPr>
          <w:rFonts w:asciiTheme="majorBidi" w:hAnsiTheme="majorBidi" w:cstheme="majorBidi"/>
          <w:i/>
          <w:iCs/>
          <w:color w:val="000000"/>
        </w:rPr>
        <w:t>in vitro</w:t>
      </w:r>
      <w:r w:rsidR="00CE5C06" w:rsidRPr="006C78D6">
        <w:rPr>
          <w:rFonts w:asciiTheme="majorBidi" w:hAnsiTheme="majorBidi" w:cstheme="majorBidi"/>
          <w:color w:val="000000"/>
        </w:rPr>
        <w:t xml:space="preserve"> radical scavenging assay. The combinations were prepared by measuring the percentage weight of the dried samples</w:t>
      </w:r>
      <w:r w:rsidR="00F71930" w:rsidRPr="006C78D6">
        <w:rPr>
          <w:rFonts w:asciiTheme="majorBidi" w:hAnsiTheme="majorBidi" w:cstheme="majorBidi"/>
          <w:color w:val="000000"/>
        </w:rPr>
        <w:t xml:space="preserve"> to make 25g of total dried plant powder</w:t>
      </w:r>
      <w:r w:rsidR="00CE5C06" w:rsidRPr="006C78D6">
        <w:rPr>
          <w:rFonts w:asciiTheme="majorBidi" w:hAnsiTheme="majorBidi" w:cstheme="majorBidi"/>
          <w:color w:val="000000"/>
        </w:rPr>
        <w:t>. The experimental design and grouping of samples are as follows</w:t>
      </w:r>
      <w:r w:rsidR="0039186D" w:rsidRPr="006C78D6">
        <w:rPr>
          <w:rFonts w:asciiTheme="majorBidi" w:hAnsiTheme="majorBidi" w:cstheme="majorBidi"/>
          <w:color w:val="000000"/>
        </w:rPr>
        <w:t>:</w:t>
      </w:r>
    </w:p>
    <w:p w14:paraId="7142D81A" w14:textId="77777777" w:rsidR="00F71930" w:rsidRPr="006C78D6" w:rsidRDefault="004214C5" w:rsidP="00F71930">
      <w:pPr>
        <w:spacing w:after="0" w:line="360" w:lineRule="auto"/>
        <w:rPr>
          <w:rFonts w:asciiTheme="majorBidi" w:hAnsiTheme="majorBidi" w:cstheme="majorBidi"/>
          <w:color w:val="000000"/>
          <w:lang w:val="en-GB"/>
        </w:rPr>
      </w:pPr>
      <w:r w:rsidRPr="006C78D6">
        <w:rPr>
          <w:rFonts w:asciiTheme="majorBidi" w:hAnsiTheme="majorBidi" w:cstheme="majorBidi"/>
          <w:color w:val="000000"/>
          <w:lang w:val="en-GB"/>
        </w:rPr>
        <w:t>Group 1</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G-</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ginger</w:t>
      </w:r>
      <w:r w:rsidRPr="006C78D6">
        <w:rPr>
          <w:rFonts w:asciiTheme="majorBidi" w:hAnsiTheme="majorBidi" w:cstheme="majorBidi"/>
          <w:color w:val="000000"/>
          <w:lang w:val="en-GB"/>
        </w:rPr>
        <w:t xml:space="preserve"> = 100% ginger</w:t>
      </w:r>
      <w:r w:rsidRPr="006C78D6">
        <w:rPr>
          <w:rFonts w:asciiTheme="majorBidi" w:hAnsiTheme="majorBidi" w:cstheme="majorBidi"/>
          <w:color w:val="000000"/>
        </w:rPr>
        <w:br/>
      </w:r>
      <w:r w:rsidRPr="006C78D6">
        <w:rPr>
          <w:rFonts w:asciiTheme="majorBidi" w:hAnsiTheme="majorBidi" w:cstheme="majorBidi"/>
          <w:color w:val="000000"/>
          <w:lang w:val="en-GB"/>
        </w:rPr>
        <w:t>Group 2</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A</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garlic</w:t>
      </w:r>
      <w:r w:rsidRPr="006C78D6">
        <w:rPr>
          <w:rFonts w:asciiTheme="majorBidi" w:hAnsiTheme="majorBidi" w:cstheme="majorBidi"/>
          <w:color w:val="000000"/>
          <w:lang w:val="en-GB"/>
        </w:rPr>
        <w:t xml:space="preserve"> = = 100% garlic</w:t>
      </w:r>
      <w:r w:rsidRPr="006C78D6">
        <w:rPr>
          <w:rFonts w:asciiTheme="majorBidi" w:hAnsiTheme="majorBidi" w:cstheme="majorBidi"/>
          <w:color w:val="000000"/>
        </w:rPr>
        <w:br/>
      </w:r>
      <w:r w:rsidRPr="006C78D6">
        <w:rPr>
          <w:rFonts w:asciiTheme="majorBidi" w:hAnsiTheme="majorBidi" w:cstheme="majorBidi"/>
          <w:color w:val="000000"/>
          <w:lang w:val="en-GB"/>
        </w:rPr>
        <w:t xml:space="preserve">Group </w:t>
      </w:r>
      <w:r w:rsidR="00F71930" w:rsidRPr="006C78D6">
        <w:rPr>
          <w:rFonts w:asciiTheme="majorBidi" w:hAnsiTheme="majorBidi" w:cstheme="majorBidi"/>
          <w:color w:val="000000"/>
          <w:lang w:val="en-GB"/>
        </w:rPr>
        <w:t>3:</w:t>
      </w:r>
      <w:r w:rsidR="00F71930" w:rsidRPr="006C78D6">
        <w:rPr>
          <w:rFonts w:asciiTheme="majorBidi" w:hAnsiTheme="majorBidi" w:cstheme="majorBidi"/>
          <w:color w:val="000000"/>
        </w:rPr>
        <w:t xml:space="preserve"> T</w:t>
      </w:r>
      <w:r w:rsidRPr="006C78D6">
        <w:rPr>
          <w:rFonts w:asciiTheme="majorBidi" w:hAnsiTheme="majorBidi" w:cstheme="majorBidi"/>
          <w:color w:val="000000"/>
        </w:rPr>
        <w:t xml:space="preserve">- </w:t>
      </w:r>
      <w:bookmarkStart w:id="4" w:name="_Hlk177889403"/>
      <w:r w:rsidRPr="006C78D6">
        <w:rPr>
          <w:rFonts w:asciiTheme="majorBidi" w:hAnsiTheme="majorBidi" w:cstheme="majorBidi"/>
          <w:color w:val="000000"/>
        </w:rPr>
        <w:t>Turmeric</w:t>
      </w:r>
      <w:bookmarkEnd w:id="4"/>
      <w:r w:rsidRPr="006C78D6">
        <w:rPr>
          <w:rFonts w:asciiTheme="majorBidi" w:hAnsiTheme="majorBidi" w:cstheme="majorBidi"/>
          <w:color w:val="000000"/>
          <w:lang w:val="en-GB"/>
        </w:rPr>
        <w:t xml:space="preserve"> = 100% t</w:t>
      </w:r>
      <w:r w:rsidRPr="006C78D6">
        <w:rPr>
          <w:rFonts w:asciiTheme="majorBidi" w:hAnsiTheme="majorBidi" w:cstheme="majorBidi"/>
          <w:color w:val="000000"/>
        </w:rPr>
        <w:t>urmeric</w:t>
      </w:r>
    </w:p>
    <w:p w14:paraId="018FF527" w14:textId="217176E1" w:rsidR="004214C5" w:rsidRPr="006C78D6" w:rsidRDefault="004214C5" w:rsidP="00F71930">
      <w:pPr>
        <w:spacing w:line="360" w:lineRule="auto"/>
        <w:rPr>
          <w:rFonts w:asciiTheme="majorBidi" w:hAnsiTheme="majorBidi" w:cstheme="majorBidi"/>
          <w:color w:val="000000"/>
          <w:lang w:val="en-GB"/>
        </w:rPr>
      </w:pPr>
      <w:r w:rsidRPr="006C78D6">
        <w:rPr>
          <w:rFonts w:asciiTheme="majorBidi" w:hAnsiTheme="majorBidi" w:cstheme="majorBidi"/>
          <w:color w:val="000000"/>
        </w:rPr>
        <w:t xml:space="preserve">Group </w:t>
      </w:r>
      <w:r w:rsidRPr="006C78D6">
        <w:rPr>
          <w:rFonts w:asciiTheme="majorBidi" w:hAnsiTheme="majorBidi" w:cstheme="majorBidi"/>
          <w:color w:val="000000"/>
          <w:lang w:val="en-GB"/>
        </w:rPr>
        <w:t>4</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(60G: 30A:10T)</w:t>
      </w:r>
      <w:r w:rsidRPr="006C78D6">
        <w:rPr>
          <w:rFonts w:asciiTheme="majorBidi" w:hAnsiTheme="majorBidi" w:cstheme="majorBidi"/>
          <w:color w:val="000000"/>
          <w:lang w:val="en-GB"/>
        </w:rPr>
        <w:t xml:space="preserve"> = 60% ginger, 30% garlic,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5</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(40G: 30A: 30T)</w:t>
      </w:r>
      <w:r w:rsidRPr="006C78D6">
        <w:rPr>
          <w:rFonts w:asciiTheme="majorBidi" w:hAnsiTheme="majorBidi" w:cstheme="majorBidi"/>
          <w:color w:val="000000"/>
          <w:lang w:val="en-GB"/>
        </w:rPr>
        <w:t xml:space="preserve"> = 40% ginger, 30% garlic,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6</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(60A:30G:10T)</w:t>
      </w:r>
      <w:r w:rsidRPr="006C78D6">
        <w:rPr>
          <w:rFonts w:asciiTheme="majorBidi" w:hAnsiTheme="majorBidi" w:cstheme="majorBidi"/>
          <w:color w:val="000000"/>
          <w:lang w:val="en-GB"/>
        </w:rPr>
        <w:t xml:space="preserve"> = 60% garlic, 30% ginger,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7</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(40A: 30G: 30T)</w:t>
      </w:r>
      <w:r w:rsidRPr="006C78D6">
        <w:rPr>
          <w:rFonts w:asciiTheme="majorBidi" w:hAnsiTheme="majorBidi" w:cstheme="majorBidi"/>
          <w:color w:val="000000"/>
          <w:lang w:val="en-GB"/>
        </w:rPr>
        <w:t xml:space="preserve"> = 40% garlic, 30% ginger,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8</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(60T:30A:10G)</w:t>
      </w:r>
      <w:r w:rsidRPr="006C78D6">
        <w:rPr>
          <w:rFonts w:asciiTheme="majorBidi" w:hAnsiTheme="majorBidi" w:cstheme="majorBidi"/>
          <w:color w:val="000000"/>
          <w:lang w:val="en-GB"/>
        </w:rPr>
        <w:t xml:space="preserve"> = 60% t</w:t>
      </w:r>
      <w:r w:rsidRPr="006C78D6">
        <w:rPr>
          <w:rFonts w:asciiTheme="majorBidi" w:hAnsiTheme="majorBidi" w:cstheme="majorBidi"/>
          <w:color w:val="000000"/>
        </w:rPr>
        <w:t>urmeric</w:t>
      </w:r>
      <w:r w:rsidRPr="006C78D6">
        <w:rPr>
          <w:rFonts w:asciiTheme="majorBidi" w:hAnsiTheme="majorBidi" w:cstheme="majorBidi"/>
          <w:color w:val="000000"/>
          <w:lang w:val="en-GB"/>
        </w:rPr>
        <w:t xml:space="preserve">, 30% garlic, 10% ginger </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9</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(40T: 30A: 30G)</w:t>
      </w:r>
      <w:r w:rsidRPr="006C78D6">
        <w:rPr>
          <w:rFonts w:asciiTheme="majorBidi" w:hAnsiTheme="majorBidi" w:cstheme="majorBidi"/>
          <w:color w:val="000000"/>
          <w:lang w:val="en-GB"/>
        </w:rPr>
        <w:t xml:space="preserve"> = 40% t</w:t>
      </w:r>
      <w:r w:rsidRPr="006C78D6">
        <w:rPr>
          <w:rFonts w:asciiTheme="majorBidi" w:hAnsiTheme="majorBidi" w:cstheme="majorBidi"/>
          <w:color w:val="000000"/>
        </w:rPr>
        <w:t>urmeric</w:t>
      </w:r>
      <w:r w:rsidRPr="006C78D6">
        <w:rPr>
          <w:rFonts w:asciiTheme="majorBidi" w:hAnsiTheme="majorBidi" w:cstheme="majorBidi"/>
          <w:color w:val="000000"/>
          <w:lang w:val="en-GB"/>
        </w:rPr>
        <w:t>, 30% garlic, 30% ginger</w:t>
      </w:r>
      <w:r w:rsidRPr="006C78D6">
        <w:rPr>
          <w:rFonts w:asciiTheme="majorBidi" w:hAnsiTheme="majorBidi" w:cstheme="majorBidi"/>
          <w:color w:val="000000"/>
        </w:rPr>
        <w:br/>
      </w:r>
    </w:p>
    <w:p w14:paraId="1350102B" w14:textId="3D66A5BB" w:rsidR="004214C5" w:rsidRPr="006C78D6" w:rsidRDefault="006E1B09" w:rsidP="006E1B09">
      <w:pPr>
        <w:spacing w:line="360" w:lineRule="auto"/>
        <w:rPr>
          <w:rFonts w:asciiTheme="majorBidi" w:hAnsiTheme="majorBidi" w:cstheme="majorBidi"/>
          <w:b/>
          <w:bCs/>
          <w:lang w:val="en-GB"/>
        </w:rPr>
      </w:pPr>
      <w:r w:rsidRPr="006C78D6">
        <w:rPr>
          <w:rFonts w:asciiTheme="majorBidi" w:hAnsiTheme="majorBidi" w:cstheme="majorBidi"/>
          <w:b/>
          <w:bCs/>
          <w:i/>
          <w:iCs/>
          <w:lang w:val="en-GB"/>
        </w:rPr>
        <w:t>In vitro</w:t>
      </w:r>
      <w:r w:rsidRPr="006C78D6">
        <w:rPr>
          <w:rFonts w:asciiTheme="majorBidi" w:hAnsiTheme="majorBidi" w:cstheme="majorBidi"/>
          <w:b/>
          <w:bCs/>
          <w:lang w:val="en-GB"/>
        </w:rPr>
        <w:t xml:space="preserve"> radical scavenging activities of plant extracts</w:t>
      </w:r>
    </w:p>
    <w:p w14:paraId="02A3CF99" w14:textId="2F3E672A" w:rsidR="00CC31FE" w:rsidRPr="006C78D6" w:rsidRDefault="004214C5" w:rsidP="0039186D">
      <w:pPr>
        <w:spacing w:line="360" w:lineRule="auto"/>
        <w:jc w:val="both"/>
        <w:rPr>
          <w:rFonts w:ascii="Times New Roman" w:hAnsi="Times New Roman" w:cs="Times New Roman"/>
        </w:rPr>
      </w:pPr>
      <w:r w:rsidRPr="006C78D6">
        <w:rPr>
          <w:rFonts w:asciiTheme="majorBidi" w:eastAsia="Times New Roman" w:hAnsiTheme="majorBidi" w:cstheme="majorBidi"/>
        </w:rPr>
        <w:t xml:space="preserve">The scavenging activity of extracts for the radical 2, 2-diphenyl-1-picrylhydrazyl (DPPH) was determined according to the method of Blois (1958) as described by Velazquez </w:t>
      </w:r>
      <w:r w:rsidRPr="006C78D6">
        <w:rPr>
          <w:rFonts w:asciiTheme="majorBidi" w:eastAsia="Times New Roman" w:hAnsiTheme="majorBidi" w:cstheme="majorBidi"/>
          <w:i/>
        </w:rPr>
        <w:t>et al</w:t>
      </w:r>
      <w:r w:rsidRPr="006C78D6">
        <w:rPr>
          <w:rFonts w:asciiTheme="majorBidi" w:eastAsia="Times New Roman" w:hAnsiTheme="majorBidi" w:cstheme="majorBidi"/>
        </w:rPr>
        <w:t xml:space="preserve"> (2003). </w:t>
      </w:r>
      <w:r w:rsidR="00327254" w:rsidRPr="006C78D6">
        <w:rPr>
          <w:rFonts w:asciiTheme="majorBidi" w:hAnsiTheme="majorBidi" w:cstheme="majorBidi"/>
        </w:rPr>
        <w:t xml:space="preserve">The scavenging effect of extract on nitric oxide was measured according to the method of </w:t>
      </w:r>
      <w:proofErr w:type="spellStart"/>
      <w:r w:rsidR="00327254" w:rsidRPr="006C78D6">
        <w:rPr>
          <w:rFonts w:asciiTheme="majorBidi" w:hAnsiTheme="majorBidi" w:cstheme="majorBidi"/>
        </w:rPr>
        <w:t>Marcocci</w:t>
      </w:r>
      <w:proofErr w:type="spellEnd"/>
      <w:r w:rsidR="00327254" w:rsidRPr="006C78D6">
        <w:rPr>
          <w:rFonts w:asciiTheme="majorBidi" w:hAnsiTheme="majorBidi" w:cstheme="majorBidi"/>
        </w:rPr>
        <w:t xml:space="preserve"> et al. (1994) as described by Alisi and </w:t>
      </w:r>
      <w:proofErr w:type="spellStart"/>
      <w:r w:rsidR="00327254" w:rsidRPr="006C78D6">
        <w:rPr>
          <w:rFonts w:asciiTheme="majorBidi" w:hAnsiTheme="majorBidi" w:cstheme="majorBidi"/>
        </w:rPr>
        <w:t>Onyeze</w:t>
      </w:r>
      <w:proofErr w:type="spellEnd"/>
      <w:r w:rsidR="00327254" w:rsidRPr="006C78D6">
        <w:rPr>
          <w:rFonts w:asciiTheme="majorBidi" w:hAnsiTheme="majorBidi" w:cstheme="majorBidi"/>
        </w:rPr>
        <w:t xml:space="preserve"> (2008). </w:t>
      </w:r>
      <w:r w:rsidR="004218B8" w:rsidRPr="006C78D6">
        <w:rPr>
          <w:rFonts w:asciiTheme="majorBidi" w:hAnsiTheme="majorBidi" w:cstheme="majorBidi"/>
        </w:rPr>
        <w:t>The reducing power of the extracts were assessed using Fe</w:t>
      </w:r>
      <w:r w:rsidR="004218B8" w:rsidRPr="006C78D6">
        <w:rPr>
          <w:rFonts w:asciiTheme="majorBidi" w:hAnsiTheme="majorBidi" w:cstheme="majorBidi"/>
          <w:vertAlign w:val="superscript"/>
        </w:rPr>
        <w:t>3+</w:t>
      </w:r>
      <w:r w:rsidR="004218B8" w:rsidRPr="006C78D6">
        <w:rPr>
          <w:rFonts w:asciiTheme="majorBidi" w:hAnsiTheme="majorBidi" w:cstheme="majorBidi"/>
        </w:rPr>
        <w:t>/Fe</w:t>
      </w:r>
      <w:r w:rsidR="004218B8" w:rsidRPr="006C78D6">
        <w:rPr>
          <w:rFonts w:asciiTheme="majorBidi" w:hAnsiTheme="majorBidi" w:cstheme="majorBidi"/>
          <w:vertAlign w:val="superscript"/>
        </w:rPr>
        <w:t>2+</w:t>
      </w:r>
      <w:r w:rsidR="004218B8" w:rsidRPr="006C78D6">
        <w:rPr>
          <w:rFonts w:asciiTheme="majorBidi" w:hAnsiTheme="majorBidi" w:cstheme="majorBidi"/>
        </w:rPr>
        <w:t xml:space="preserve"> transformation in the presence of the test compound as described by </w:t>
      </w:r>
      <w:r w:rsidR="004218B8" w:rsidRPr="006C78D6">
        <w:rPr>
          <w:rFonts w:asciiTheme="majorBidi" w:hAnsiTheme="majorBidi" w:cstheme="majorBidi"/>
        </w:rPr>
        <w:lastRenderedPageBreak/>
        <w:t>Oyaizu (1986) and Hsu et al. (2006).</w:t>
      </w:r>
      <w:r w:rsidR="00663A13" w:rsidRPr="006C78D6">
        <w:rPr>
          <w:rFonts w:asciiTheme="majorBidi" w:hAnsiTheme="majorBidi" w:cstheme="majorBidi"/>
        </w:rPr>
        <w:t xml:space="preserve"> Hydroxyl radical scavenging ability of extracts was measured </w:t>
      </w:r>
      <w:commentRangeStart w:id="5"/>
      <w:r w:rsidR="00663A13" w:rsidRPr="006C78D6">
        <w:rPr>
          <w:rFonts w:asciiTheme="majorBidi" w:hAnsiTheme="majorBidi" w:cstheme="majorBidi"/>
        </w:rPr>
        <w:t>by assessing 2-deoxyribose degradation by hydroxyl radicals generated from Fe</w:t>
      </w:r>
      <w:r w:rsidR="00663A13" w:rsidRPr="006C78D6">
        <w:rPr>
          <w:rFonts w:asciiTheme="majorBidi" w:hAnsiTheme="majorBidi" w:cstheme="majorBidi"/>
          <w:vertAlign w:val="superscript"/>
        </w:rPr>
        <w:t>3+</w:t>
      </w:r>
      <w:r w:rsidR="00663A13" w:rsidRPr="006C78D6">
        <w:rPr>
          <w:rFonts w:asciiTheme="majorBidi" w:hAnsiTheme="majorBidi" w:cstheme="majorBidi"/>
        </w:rPr>
        <w:t>/ascorbate/ EDTA/H</w:t>
      </w:r>
      <w:r w:rsidR="00663A13" w:rsidRPr="006C78D6">
        <w:rPr>
          <w:rFonts w:asciiTheme="majorBidi" w:hAnsiTheme="majorBidi" w:cstheme="majorBidi"/>
          <w:vertAlign w:val="subscript"/>
        </w:rPr>
        <w:t>2</w:t>
      </w:r>
      <w:r w:rsidR="00663A13" w:rsidRPr="006C78D6">
        <w:rPr>
          <w:rFonts w:asciiTheme="majorBidi" w:hAnsiTheme="majorBidi" w:cstheme="majorBidi"/>
        </w:rPr>
        <w:t>O</w:t>
      </w:r>
      <w:r w:rsidR="00663A13" w:rsidRPr="006C78D6">
        <w:rPr>
          <w:rFonts w:asciiTheme="majorBidi" w:hAnsiTheme="majorBidi" w:cstheme="majorBidi"/>
          <w:vertAlign w:val="subscript"/>
        </w:rPr>
        <w:t>2</w:t>
      </w:r>
      <w:r w:rsidR="00663A13" w:rsidRPr="006C78D6">
        <w:rPr>
          <w:rFonts w:asciiTheme="majorBidi" w:hAnsiTheme="majorBidi" w:cstheme="majorBidi"/>
        </w:rPr>
        <w:t xml:space="preserve"> system </w:t>
      </w:r>
      <w:commentRangeEnd w:id="5"/>
      <w:r w:rsidR="00846855">
        <w:rPr>
          <w:rStyle w:val="CommentReference"/>
        </w:rPr>
        <w:commentReference w:id="5"/>
      </w:r>
      <w:r w:rsidR="00663A13" w:rsidRPr="006C78D6">
        <w:rPr>
          <w:rFonts w:asciiTheme="majorBidi" w:hAnsiTheme="majorBidi" w:cstheme="majorBidi"/>
        </w:rPr>
        <w:t xml:space="preserve">as described by Halliwell </w:t>
      </w:r>
      <w:r w:rsidR="00663A13" w:rsidRPr="006C78D6">
        <w:rPr>
          <w:rFonts w:asciiTheme="majorBidi" w:hAnsiTheme="majorBidi" w:cstheme="majorBidi"/>
          <w:i/>
          <w:iCs/>
        </w:rPr>
        <w:t>et al</w:t>
      </w:r>
      <w:r w:rsidR="00663A13" w:rsidRPr="006C78D6">
        <w:rPr>
          <w:rFonts w:asciiTheme="majorBidi" w:hAnsiTheme="majorBidi" w:cstheme="majorBidi"/>
        </w:rPr>
        <w:t xml:space="preserve">. (1987). </w:t>
      </w:r>
      <w:commentRangeStart w:id="6"/>
      <w:r w:rsidR="00663A13" w:rsidRPr="006C78D6">
        <w:rPr>
          <w:rFonts w:asciiTheme="majorBidi" w:hAnsiTheme="majorBidi" w:cstheme="majorBidi"/>
        </w:rPr>
        <w:t>The reaction mixture consisted of deoxyribose (2.8mM), FeCl</w:t>
      </w:r>
      <w:r w:rsidR="00663A13" w:rsidRPr="006C78D6">
        <w:rPr>
          <w:rFonts w:asciiTheme="majorBidi" w:hAnsiTheme="majorBidi" w:cstheme="majorBidi"/>
          <w:vertAlign w:val="subscript"/>
        </w:rPr>
        <w:t xml:space="preserve">3 </w:t>
      </w:r>
      <w:r w:rsidR="00663A13" w:rsidRPr="006C78D6">
        <w:rPr>
          <w:rFonts w:asciiTheme="majorBidi" w:hAnsiTheme="majorBidi" w:cstheme="majorBidi"/>
        </w:rPr>
        <w:t>(0.1mM), EDTA(0.1mM), H</w:t>
      </w:r>
      <w:r w:rsidR="00663A13" w:rsidRPr="006C78D6">
        <w:rPr>
          <w:rFonts w:asciiTheme="majorBidi" w:hAnsiTheme="majorBidi" w:cstheme="majorBidi"/>
          <w:vertAlign w:val="subscript"/>
        </w:rPr>
        <w:t>2</w:t>
      </w:r>
      <w:r w:rsidR="00663A13" w:rsidRPr="006C78D6">
        <w:rPr>
          <w:rFonts w:asciiTheme="majorBidi" w:hAnsiTheme="majorBidi" w:cstheme="majorBidi"/>
        </w:rPr>
        <w:t>O</w:t>
      </w:r>
      <w:r w:rsidR="00663A13" w:rsidRPr="006C78D6">
        <w:rPr>
          <w:rFonts w:asciiTheme="majorBidi" w:hAnsiTheme="majorBidi" w:cstheme="majorBidi"/>
          <w:vertAlign w:val="subscript"/>
        </w:rPr>
        <w:t xml:space="preserve">2 </w:t>
      </w:r>
      <w:r w:rsidR="00663A13" w:rsidRPr="006C78D6">
        <w:rPr>
          <w:rFonts w:asciiTheme="majorBidi" w:hAnsiTheme="majorBidi" w:cstheme="majorBidi"/>
        </w:rPr>
        <w:t>(1mM), ascorbic acid (0.1mM), KH</w:t>
      </w:r>
      <w:r w:rsidR="00663A13" w:rsidRPr="006C78D6">
        <w:rPr>
          <w:rFonts w:asciiTheme="majorBidi" w:hAnsiTheme="majorBidi" w:cstheme="majorBidi"/>
          <w:vertAlign w:val="subscript"/>
        </w:rPr>
        <w:t>2</w:t>
      </w:r>
      <w:r w:rsidR="00663A13" w:rsidRPr="006C78D6">
        <w:rPr>
          <w:rFonts w:asciiTheme="majorBidi" w:hAnsiTheme="majorBidi" w:cstheme="majorBidi"/>
        </w:rPr>
        <w:t>PO</w:t>
      </w:r>
      <w:r w:rsidR="00663A13" w:rsidRPr="006C78D6">
        <w:rPr>
          <w:rFonts w:asciiTheme="majorBidi" w:hAnsiTheme="majorBidi" w:cstheme="majorBidi"/>
          <w:vertAlign w:val="subscript"/>
        </w:rPr>
        <w:t>4</w:t>
      </w:r>
      <w:r w:rsidR="00663A13" w:rsidRPr="006C78D6">
        <w:rPr>
          <w:rFonts w:asciiTheme="majorBidi" w:hAnsiTheme="majorBidi" w:cstheme="majorBidi"/>
        </w:rPr>
        <w:t>/K</w:t>
      </w:r>
      <w:r w:rsidR="00663A13" w:rsidRPr="006C78D6">
        <w:rPr>
          <w:rFonts w:asciiTheme="majorBidi" w:hAnsiTheme="majorBidi" w:cstheme="majorBidi"/>
          <w:vertAlign w:val="subscript"/>
        </w:rPr>
        <w:t>2</w:t>
      </w:r>
      <w:r w:rsidR="00663A13" w:rsidRPr="006C78D6">
        <w:rPr>
          <w:rFonts w:asciiTheme="majorBidi" w:hAnsiTheme="majorBidi" w:cstheme="majorBidi"/>
        </w:rPr>
        <w:t>HPO</w:t>
      </w:r>
      <w:r w:rsidR="00663A13" w:rsidRPr="006C78D6">
        <w:rPr>
          <w:rFonts w:asciiTheme="majorBidi" w:hAnsiTheme="majorBidi" w:cstheme="majorBidi"/>
          <w:vertAlign w:val="subscript"/>
        </w:rPr>
        <w:t>4</w:t>
      </w:r>
      <w:r w:rsidR="00663A13" w:rsidRPr="006C78D6">
        <w:rPr>
          <w:rFonts w:asciiTheme="majorBidi" w:hAnsiTheme="majorBidi" w:cstheme="majorBidi"/>
        </w:rPr>
        <w:t xml:space="preserve">–KOH buffer (20mM, pH 7.4) and the extract (0 – 3000 µg/ml) in a final volume of 1.0 ml. After incubation for 1 </w:t>
      </w:r>
      <w:proofErr w:type="spellStart"/>
      <w:r w:rsidR="00663A13" w:rsidRPr="006C78D6">
        <w:rPr>
          <w:rFonts w:asciiTheme="majorBidi" w:hAnsiTheme="majorBidi" w:cstheme="majorBidi"/>
        </w:rPr>
        <w:t>hr</w:t>
      </w:r>
      <w:proofErr w:type="spellEnd"/>
      <w:r w:rsidR="00663A13" w:rsidRPr="006C78D6">
        <w:rPr>
          <w:rFonts w:asciiTheme="majorBidi" w:hAnsiTheme="majorBidi" w:cstheme="majorBidi"/>
        </w:rPr>
        <w:t xml:space="preserve"> at 37</w:t>
      </w:r>
      <w:r w:rsidR="00663A13" w:rsidRPr="006C78D6">
        <w:rPr>
          <w:rFonts w:asciiTheme="majorBidi" w:hAnsiTheme="majorBidi" w:cstheme="majorBidi"/>
          <w:vertAlign w:val="superscript"/>
        </w:rPr>
        <w:t>o</w:t>
      </w:r>
      <w:r w:rsidR="00663A13" w:rsidRPr="006C78D6">
        <w:rPr>
          <w:rFonts w:asciiTheme="majorBidi" w:hAnsiTheme="majorBidi" w:cstheme="majorBidi"/>
        </w:rPr>
        <w:t xml:space="preserve">C, deoxyribose degradation was measured as </w:t>
      </w:r>
      <w:proofErr w:type="spellStart"/>
      <w:r w:rsidR="00663A13" w:rsidRPr="006C78D6">
        <w:rPr>
          <w:rFonts w:asciiTheme="majorBidi" w:hAnsiTheme="majorBidi" w:cstheme="majorBidi"/>
        </w:rPr>
        <w:t>thiobarbituric</w:t>
      </w:r>
      <w:proofErr w:type="spellEnd"/>
      <w:r w:rsidR="00663A13" w:rsidRPr="006C78D6">
        <w:rPr>
          <w:rFonts w:asciiTheme="majorBidi" w:hAnsiTheme="majorBidi" w:cstheme="majorBidi"/>
        </w:rPr>
        <w:t xml:space="preserve"> acid reactive substances (TBARS) by the method of </w:t>
      </w:r>
      <w:proofErr w:type="spellStart"/>
      <w:r w:rsidR="00663A13" w:rsidRPr="006C78D6">
        <w:rPr>
          <w:rFonts w:asciiTheme="majorBidi" w:hAnsiTheme="majorBidi" w:cstheme="majorBidi"/>
        </w:rPr>
        <w:t>Ohkawa</w:t>
      </w:r>
      <w:proofErr w:type="spellEnd"/>
      <w:r w:rsidR="00663A13" w:rsidRPr="006C78D6">
        <w:rPr>
          <w:rFonts w:asciiTheme="majorBidi" w:hAnsiTheme="majorBidi" w:cstheme="majorBidi"/>
        </w:rPr>
        <w:t xml:space="preserve"> </w:t>
      </w:r>
      <w:r w:rsidR="00663A13" w:rsidRPr="006C78D6">
        <w:rPr>
          <w:rFonts w:asciiTheme="majorBidi" w:hAnsiTheme="majorBidi" w:cstheme="majorBidi"/>
          <w:i/>
          <w:iCs/>
        </w:rPr>
        <w:t>et al</w:t>
      </w:r>
      <w:r w:rsidR="00663A13" w:rsidRPr="006C78D6">
        <w:rPr>
          <w:rFonts w:asciiTheme="majorBidi" w:hAnsiTheme="majorBidi" w:cstheme="majorBidi"/>
        </w:rPr>
        <w:t xml:space="preserve">. (1975), </w:t>
      </w:r>
      <w:commentRangeEnd w:id="6"/>
      <w:r w:rsidR="00727C49">
        <w:rPr>
          <w:rStyle w:val="CommentReference"/>
        </w:rPr>
        <w:commentReference w:id="6"/>
      </w:r>
      <w:r w:rsidR="00663A13" w:rsidRPr="006C78D6">
        <w:rPr>
          <w:rFonts w:asciiTheme="majorBidi" w:hAnsiTheme="majorBidi" w:cstheme="majorBidi"/>
        </w:rPr>
        <w:t xml:space="preserve">as modified by </w:t>
      </w:r>
      <w:r w:rsidR="00663A13" w:rsidRPr="006C78D6">
        <w:rPr>
          <w:rFonts w:asciiTheme="majorBidi" w:hAnsiTheme="majorBidi" w:cstheme="majorBidi"/>
          <w:i/>
          <w:iCs/>
        </w:rPr>
        <w:t>Liu et al</w:t>
      </w:r>
      <w:r w:rsidR="00663A13" w:rsidRPr="006C78D6">
        <w:rPr>
          <w:rFonts w:asciiTheme="majorBidi" w:hAnsiTheme="majorBidi" w:cstheme="majorBidi"/>
        </w:rPr>
        <w:t>. (1990).</w:t>
      </w:r>
      <w:r w:rsidR="00CC31FE" w:rsidRPr="006C78D6">
        <w:rPr>
          <w:rFonts w:asciiTheme="majorBidi" w:hAnsiTheme="majorBidi" w:cstheme="majorBidi"/>
        </w:rPr>
        <w:t xml:space="preserve"> </w:t>
      </w:r>
      <w:r w:rsidR="00CC31FE" w:rsidRPr="006C78D6">
        <w:rPr>
          <w:rFonts w:ascii="Times New Roman" w:hAnsi="Times New Roman" w:cs="Times New Roman"/>
        </w:rPr>
        <w:t xml:space="preserve">The total antioxidant capacity of sample extracts </w:t>
      </w:r>
      <w:r w:rsidR="00A458C4" w:rsidRPr="006C78D6">
        <w:rPr>
          <w:rFonts w:ascii="Times New Roman" w:hAnsi="Times New Roman" w:cs="Times New Roman"/>
        </w:rPr>
        <w:t>was</w:t>
      </w:r>
      <w:r w:rsidR="00CC31FE" w:rsidRPr="006C78D6">
        <w:rPr>
          <w:rFonts w:ascii="Times New Roman" w:hAnsi="Times New Roman" w:cs="Times New Roman"/>
        </w:rPr>
        <w:t xml:space="preserve"> determined by using </w:t>
      </w:r>
      <w:proofErr w:type="spellStart"/>
      <w:r w:rsidR="00CC31FE" w:rsidRPr="006C78D6">
        <w:rPr>
          <w:rFonts w:ascii="Times New Roman" w:hAnsi="Times New Roman" w:cs="Times New Roman"/>
        </w:rPr>
        <w:t>phosphomolybdenum</w:t>
      </w:r>
      <w:proofErr w:type="spellEnd"/>
      <w:r w:rsidR="00CC31FE" w:rsidRPr="006C78D6">
        <w:rPr>
          <w:rFonts w:ascii="Times New Roman" w:hAnsi="Times New Roman" w:cs="Times New Roman"/>
        </w:rPr>
        <w:t xml:space="preserve"> </w:t>
      </w:r>
      <w:r w:rsidR="008D23E9" w:rsidRPr="006C78D6">
        <w:rPr>
          <w:rFonts w:ascii="Times New Roman" w:hAnsi="Times New Roman" w:cs="Times New Roman"/>
        </w:rPr>
        <w:t xml:space="preserve">method </w:t>
      </w:r>
      <w:r w:rsidR="00CC31FE" w:rsidRPr="006C78D6">
        <w:rPr>
          <w:rFonts w:ascii="Times New Roman" w:hAnsi="Times New Roman" w:cs="Times New Roman"/>
        </w:rPr>
        <w:t xml:space="preserve">as described by Prieto </w:t>
      </w:r>
      <w:r w:rsidR="00CC31FE" w:rsidRPr="006C78D6">
        <w:rPr>
          <w:rFonts w:ascii="Times New Roman" w:hAnsi="Times New Roman" w:cs="Times New Roman"/>
          <w:i/>
          <w:iCs/>
        </w:rPr>
        <w:t>et al.</w:t>
      </w:r>
      <w:r w:rsidR="008D23E9" w:rsidRPr="006C78D6">
        <w:rPr>
          <w:rFonts w:ascii="Times New Roman" w:hAnsi="Times New Roman" w:cs="Times New Roman"/>
        </w:rPr>
        <w:t xml:space="preserve"> (</w:t>
      </w:r>
      <w:r w:rsidR="00CC31FE" w:rsidRPr="006C78D6">
        <w:rPr>
          <w:rFonts w:ascii="Times New Roman" w:hAnsi="Times New Roman" w:cs="Times New Roman"/>
        </w:rPr>
        <w:t>1999).</w:t>
      </w:r>
      <w:r w:rsidR="00A458C4" w:rsidRPr="006C78D6">
        <w:rPr>
          <w:rFonts w:ascii="Times New Roman" w:hAnsi="Times New Roman" w:cs="Times New Roman"/>
        </w:rPr>
        <w:t xml:space="preserve"> Chelation power on ferrous (Fe</w:t>
      </w:r>
      <w:r w:rsidR="00A458C4" w:rsidRPr="006C78D6">
        <w:rPr>
          <w:rFonts w:ascii="Times New Roman" w:hAnsi="Times New Roman" w:cs="Times New Roman"/>
          <w:vertAlign w:val="superscript"/>
        </w:rPr>
        <w:t>2+</w:t>
      </w:r>
      <w:r w:rsidR="00A458C4" w:rsidRPr="006C78D6">
        <w:rPr>
          <w:rFonts w:ascii="Times New Roman" w:hAnsi="Times New Roman" w:cs="Times New Roman"/>
        </w:rPr>
        <w:t xml:space="preserve">) ions of the prepared extracts was measured by the method of Dinis </w:t>
      </w:r>
      <w:r w:rsidR="0094591A" w:rsidRPr="006C78D6">
        <w:rPr>
          <w:rFonts w:ascii="Times New Roman" w:hAnsi="Times New Roman" w:cs="Times New Roman"/>
        </w:rPr>
        <w:t xml:space="preserve">et al.(1994) </w:t>
      </w:r>
      <w:r w:rsidR="00A458C4" w:rsidRPr="006C78D6">
        <w:rPr>
          <w:rFonts w:ascii="Times New Roman" w:hAnsi="Times New Roman" w:cs="Times New Roman"/>
        </w:rPr>
        <w:t>with slight modifications .</w:t>
      </w:r>
    </w:p>
    <w:p w14:paraId="050F6BD3" w14:textId="370D3575" w:rsidR="00327254" w:rsidRPr="006C78D6" w:rsidRDefault="00327254" w:rsidP="006E1B09">
      <w:pPr>
        <w:autoSpaceDE w:val="0"/>
        <w:autoSpaceDN w:val="0"/>
        <w:adjustRightInd w:val="0"/>
        <w:spacing w:after="0" w:line="360" w:lineRule="auto"/>
        <w:jc w:val="both"/>
        <w:rPr>
          <w:rFonts w:asciiTheme="majorBidi" w:eastAsia="Times New Roman" w:hAnsiTheme="majorBidi" w:cstheme="majorBidi"/>
          <w:lang w:val="en-GB"/>
        </w:rPr>
      </w:pPr>
    </w:p>
    <w:p w14:paraId="16089F21" w14:textId="72EB9D12" w:rsidR="004214C5" w:rsidRPr="006C78D6" w:rsidRDefault="004214C5"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RESULTS</w:t>
      </w:r>
    </w:p>
    <w:p w14:paraId="18A3DE29" w14:textId="685F0543" w:rsidR="004214C5" w:rsidRPr="006C78D6" w:rsidRDefault="004214C5" w:rsidP="006E1B09">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In this study, different combinations </w:t>
      </w:r>
      <w:r w:rsidRPr="006C78D6">
        <w:rPr>
          <w:rFonts w:asciiTheme="majorBidi" w:eastAsia="Times New Roman" w:hAnsiTheme="majorBidi" w:cstheme="majorBidi"/>
          <w:lang w:val="en-GB"/>
        </w:rPr>
        <w:t xml:space="preserve">(fractions) </w:t>
      </w:r>
      <w:r w:rsidRPr="006C78D6">
        <w:rPr>
          <w:rFonts w:asciiTheme="majorBidi" w:eastAsia="Times New Roman" w:hAnsiTheme="majorBidi" w:cstheme="majorBidi"/>
        </w:rPr>
        <w:t xml:space="preserve">of </w:t>
      </w:r>
      <w:r w:rsidR="00604078" w:rsidRPr="006C78D6">
        <w:rPr>
          <w:rFonts w:asciiTheme="majorBidi" w:eastAsia="Times New Roman" w:hAnsiTheme="majorBidi" w:cstheme="majorBidi"/>
          <w:lang w:val="en-GB"/>
        </w:rPr>
        <w:t xml:space="preserve">samples of </w:t>
      </w:r>
      <w:r w:rsidRPr="006C78D6">
        <w:rPr>
          <w:rFonts w:asciiTheme="majorBidi" w:eastAsia="Times New Roman" w:hAnsiTheme="majorBidi" w:cstheme="majorBidi"/>
          <w:lang w:val="en-GB"/>
        </w:rPr>
        <w:t xml:space="preserve">dried and pulverized </w:t>
      </w:r>
      <w:r w:rsidRPr="006C78D6">
        <w:rPr>
          <w:rFonts w:asciiTheme="majorBidi" w:eastAsia="Times New Roman" w:hAnsiTheme="majorBidi" w:cstheme="majorBidi"/>
        </w:rPr>
        <w:t xml:space="preserve">ginger, garlic, and turmeric were </w:t>
      </w:r>
      <w:r w:rsidR="00604078" w:rsidRPr="006C78D6">
        <w:rPr>
          <w:rFonts w:asciiTheme="majorBidi" w:eastAsia="Times New Roman" w:hAnsiTheme="majorBidi" w:cstheme="majorBidi"/>
          <w:lang w:val="en-GB"/>
        </w:rPr>
        <w:t>evaluated</w:t>
      </w:r>
      <w:r w:rsidRPr="006C78D6">
        <w:rPr>
          <w:rFonts w:asciiTheme="majorBidi" w:eastAsia="Times New Roman" w:hAnsiTheme="majorBidi" w:cstheme="majorBidi"/>
        </w:rPr>
        <w:t xml:space="preserve"> for their scavenging activity at various concentrations (50–1000 μg/m</w:t>
      </w:r>
      <w:r w:rsidR="00604078" w:rsidRPr="006C78D6">
        <w:rPr>
          <w:rFonts w:asciiTheme="majorBidi" w:eastAsia="Times New Roman" w:hAnsiTheme="majorBidi" w:cstheme="majorBidi"/>
          <w:lang w:val="en-GB"/>
        </w:rPr>
        <w:t>L</w:t>
      </w:r>
      <w:r w:rsidRPr="006C78D6">
        <w:rPr>
          <w:rFonts w:asciiTheme="majorBidi" w:eastAsia="Times New Roman" w:hAnsiTheme="majorBidi" w:cstheme="majorBidi"/>
        </w:rPr>
        <w:t>), with gallic acid used as a standard control.</w:t>
      </w:r>
      <w:r w:rsidR="00604078" w:rsidRPr="006C78D6">
        <w:rPr>
          <w:rFonts w:asciiTheme="majorBidi" w:eastAsia="Times New Roman" w:hAnsiTheme="majorBidi" w:cstheme="majorBidi"/>
        </w:rPr>
        <w:t xml:space="preserve"> The results (Table 1) recorded </w:t>
      </w:r>
      <w:r w:rsidRPr="006C78D6">
        <w:rPr>
          <w:rFonts w:asciiTheme="majorBidi" w:eastAsia="Times New Roman" w:hAnsiTheme="majorBidi" w:cstheme="majorBidi"/>
        </w:rPr>
        <w:t xml:space="preserve">Group 5 (40% ginger, 30% garlic, 30% turmeric) and Group 9 (40% turmeric, 30% garlic, 30% ginger) </w:t>
      </w:r>
      <w:r w:rsidR="00604078" w:rsidRPr="006C78D6">
        <w:rPr>
          <w:rFonts w:asciiTheme="majorBidi" w:eastAsia="Times New Roman" w:hAnsiTheme="majorBidi" w:cstheme="majorBidi"/>
          <w:lang w:val="en-GB"/>
        </w:rPr>
        <w:t xml:space="preserve">as </w:t>
      </w:r>
      <w:r w:rsidRPr="006C78D6">
        <w:rPr>
          <w:rFonts w:asciiTheme="majorBidi" w:eastAsia="Times New Roman" w:hAnsiTheme="majorBidi" w:cstheme="majorBidi"/>
        </w:rPr>
        <w:t xml:space="preserve">the highest DPPH radical scavenging activity, achieving over 84% inhibition at </w:t>
      </w:r>
      <w:commentRangeStart w:id="7"/>
      <w:r w:rsidRPr="006C78D6">
        <w:rPr>
          <w:rFonts w:asciiTheme="majorBidi" w:eastAsia="Times New Roman" w:hAnsiTheme="majorBidi" w:cstheme="majorBidi"/>
        </w:rPr>
        <w:t xml:space="preserve">1000 </w:t>
      </w:r>
      <w:proofErr w:type="spellStart"/>
      <w:r w:rsidRPr="006C78D6">
        <w:rPr>
          <w:rFonts w:asciiTheme="majorBidi" w:eastAsia="Times New Roman" w:hAnsiTheme="majorBidi" w:cstheme="majorBidi"/>
        </w:rPr>
        <w:t>μg</w:t>
      </w:r>
      <w:proofErr w:type="spellEnd"/>
      <w:r w:rsidRPr="006C78D6">
        <w:rPr>
          <w:rFonts w:asciiTheme="majorBidi" w:eastAsia="Times New Roman" w:hAnsiTheme="majorBidi" w:cstheme="majorBidi"/>
        </w:rPr>
        <w:t>/m</w:t>
      </w:r>
      <w:r w:rsidR="00604078" w:rsidRPr="006C78D6">
        <w:rPr>
          <w:rFonts w:asciiTheme="majorBidi" w:eastAsia="Times New Roman" w:hAnsiTheme="majorBidi" w:cstheme="majorBidi"/>
          <w:lang w:val="en-GB"/>
        </w:rPr>
        <w:t>L</w:t>
      </w:r>
      <w:commentRangeEnd w:id="7"/>
      <w:r w:rsidR="007224B8">
        <w:rPr>
          <w:rStyle w:val="CommentReference"/>
        </w:rPr>
        <w:commentReference w:id="7"/>
      </w:r>
      <w:r w:rsidRPr="006C78D6">
        <w:rPr>
          <w:rFonts w:asciiTheme="majorBidi" w:eastAsia="Times New Roman" w:hAnsiTheme="majorBidi" w:cstheme="majorBidi"/>
        </w:rPr>
        <w:t xml:space="preserve">. These groups </w:t>
      </w:r>
      <w:r w:rsidR="00604078"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a progressive increase in antioxidant activity with increasing concentration, reaching levels comparable to the standard control, gallic acid, which had 91.50% inhibition at 500 μg/ml and 82.05% at 200 μg/ml.</w:t>
      </w:r>
      <w:r w:rsidR="00604078" w:rsidRPr="006C78D6">
        <w:rPr>
          <w:rFonts w:asciiTheme="majorBidi" w:eastAsia="Times New Roman" w:hAnsiTheme="majorBidi" w:cstheme="majorBidi"/>
          <w:lang w:val="en-GB"/>
        </w:rPr>
        <w:t xml:space="preserve"> </w:t>
      </w:r>
    </w:p>
    <w:p w14:paraId="7B609A46" w14:textId="0F2A327B" w:rsidR="00327254" w:rsidRPr="006C78D6" w:rsidRDefault="00327254" w:rsidP="006E1B09">
      <w:pPr>
        <w:spacing w:line="360" w:lineRule="auto"/>
        <w:jc w:val="both"/>
        <w:rPr>
          <w:rFonts w:asciiTheme="majorBidi" w:eastAsia="Times New Roman" w:hAnsiTheme="majorBidi" w:cstheme="majorBidi"/>
        </w:rPr>
      </w:pPr>
      <w:r w:rsidRPr="006C78D6">
        <w:rPr>
          <w:rFonts w:asciiTheme="majorBidi" w:hAnsiTheme="majorBidi" w:cstheme="majorBidi"/>
          <w:lang w:val="en-GB"/>
        </w:rPr>
        <w:t xml:space="preserve">Results of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scavenging capacities </w:t>
      </w:r>
      <w:r w:rsidRPr="006C78D6">
        <w:rPr>
          <w:rFonts w:asciiTheme="majorBidi" w:eastAsia="Times New Roman" w:hAnsiTheme="majorBidi" w:cstheme="majorBidi"/>
          <w:color w:val="000000"/>
          <w:lang w:val="en-GB"/>
        </w:rPr>
        <w:t xml:space="preserve">is presented in </w:t>
      </w:r>
      <w:r w:rsidRPr="006C78D6">
        <w:rPr>
          <w:rFonts w:asciiTheme="majorBidi" w:hAnsiTheme="majorBidi" w:cstheme="majorBidi"/>
          <w:lang w:val="en-GB"/>
        </w:rPr>
        <w:t xml:space="preserve">Table 2. </w:t>
      </w:r>
      <w:r w:rsidRPr="006C78D6">
        <w:rPr>
          <w:rFonts w:asciiTheme="majorBidi" w:eastAsia="Times New Roman" w:hAnsiTheme="majorBidi" w:cstheme="majorBidi"/>
        </w:rPr>
        <w:t xml:space="preserve">The results show that the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w:t>
      </w:r>
      <w:r w:rsidRPr="006C78D6">
        <w:rPr>
          <w:rFonts w:asciiTheme="majorBidi" w:eastAsia="Times New Roman" w:hAnsiTheme="majorBidi" w:cstheme="majorBidi"/>
        </w:rPr>
        <w:t>scavenging capacity increase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 xml:space="preserve">as </w:t>
      </w:r>
      <w:r w:rsidRPr="006C78D6">
        <w:rPr>
          <w:rFonts w:asciiTheme="majorBidi" w:eastAsia="Times New Roman" w:hAnsiTheme="majorBidi" w:cstheme="majorBidi"/>
        </w:rPr>
        <w:t xml:space="preserve">concentration </w:t>
      </w:r>
      <w:r w:rsidRPr="006C78D6">
        <w:rPr>
          <w:rFonts w:asciiTheme="majorBidi" w:eastAsia="Times New Roman" w:hAnsiTheme="majorBidi" w:cstheme="majorBidi"/>
          <w:lang w:val="en-GB"/>
        </w:rPr>
        <w:t xml:space="preserve">increased </w:t>
      </w:r>
      <w:r w:rsidRPr="006C78D6">
        <w:rPr>
          <w:rFonts w:asciiTheme="majorBidi" w:eastAsia="Times New Roman" w:hAnsiTheme="majorBidi" w:cstheme="majorBidi"/>
        </w:rPr>
        <w:t xml:space="preserve">across all groups, which is consistent with concentration-dependent antioxidant activity. The control, which contained no extracts, showed 0% inhibition, while the standard antioxidant, quercetin, achieved significant scavenging capacities </w:t>
      </w:r>
      <w:r w:rsidR="005B213F" w:rsidRPr="006C78D6">
        <w:rPr>
          <w:rFonts w:asciiTheme="majorBidi" w:eastAsia="Times New Roman" w:hAnsiTheme="majorBidi" w:cstheme="majorBidi"/>
          <w:lang w:val="en-GB"/>
        </w:rPr>
        <w:t xml:space="preserve">demonstrating </w:t>
      </w:r>
      <w:r w:rsidRPr="006C78D6">
        <w:rPr>
          <w:rFonts w:asciiTheme="majorBidi" w:eastAsia="Times New Roman" w:hAnsiTheme="majorBidi" w:cstheme="majorBidi"/>
        </w:rPr>
        <w:t>96.48% at 1000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Among the extracts:</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 xml:space="preserve">Group 5 (40G: 30A: 30T) exhibited the highest nitric oxide scavenging activity, achieving 94.98% inhibition at </w:t>
      </w:r>
      <w:commentRangeStart w:id="8"/>
      <w:r w:rsidRPr="006C78D6">
        <w:rPr>
          <w:rFonts w:asciiTheme="majorBidi" w:eastAsia="Times New Roman" w:hAnsiTheme="majorBidi" w:cstheme="majorBidi"/>
        </w:rPr>
        <w:t>2000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xml:space="preserve"> </w:t>
      </w:r>
      <w:commentRangeEnd w:id="8"/>
      <w:r w:rsidR="00EF33D8">
        <w:rPr>
          <w:rStyle w:val="CommentReference"/>
        </w:rPr>
        <w:commentReference w:id="8"/>
      </w:r>
      <w:r w:rsidRPr="006C78D6">
        <w:rPr>
          <w:rFonts w:asciiTheme="majorBidi" w:eastAsia="Times New Roman" w:hAnsiTheme="majorBidi" w:cstheme="majorBidi"/>
        </w:rPr>
        <w:t xml:space="preserve">and 90.75% inhibition at </w:t>
      </w:r>
      <w:commentRangeStart w:id="9"/>
      <w:r w:rsidRPr="006C78D6">
        <w:rPr>
          <w:rFonts w:asciiTheme="majorBidi" w:eastAsia="Times New Roman" w:hAnsiTheme="majorBidi" w:cstheme="majorBidi"/>
        </w:rPr>
        <w:t>1000 µg/m</w:t>
      </w:r>
      <w:r w:rsidR="005B213F" w:rsidRPr="006C78D6">
        <w:rPr>
          <w:rFonts w:asciiTheme="majorBidi" w:eastAsia="Times New Roman" w:hAnsiTheme="majorBidi" w:cstheme="majorBidi"/>
          <w:lang w:val="en-GB"/>
        </w:rPr>
        <w:t>L</w:t>
      </w:r>
      <w:commentRangeEnd w:id="9"/>
      <w:r w:rsidR="00EF33D8">
        <w:rPr>
          <w:rStyle w:val="CommentReference"/>
        </w:rPr>
        <w:commentReference w:id="9"/>
      </w:r>
      <w:r w:rsidRPr="006C78D6">
        <w:rPr>
          <w:rFonts w:asciiTheme="majorBidi" w:eastAsia="Times New Roman" w:hAnsiTheme="majorBidi" w:cstheme="majorBidi"/>
        </w:rPr>
        <w:t>, suggesting a synergistic effect among ginger, garlic, and turmeric.</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 xml:space="preserve">Group 4 (60G: 30A: 10T), with a higher proportion of ginger, </w:t>
      </w:r>
      <w:r w:rsidRPr="006C78D6">
        <w:rPr>
          <w:rFonts w:asciiTheme="majorBidi" w:eastAsia="Times New Roman" w:hAnsiTheme="majorBidi" w:cstheme="majorBidi"/>
        </w:rPr>
        <w:lastRenderedPageBreak/>
        <w:t xml:space="preserve">also demonstrated strong activity (89.83% inhibition at </w:t>
      </w:r>
      <w:commentRangeStart w:id="10"/>
      <w:r w:rsidRPr="006C78D6">
        <w:rPr>
          <w:rFonts w:asciiTheme="majorBidi" w:eastAsia="Times New Roman" w:hAnsiTheme="majorBidi" w:cstheme="majorBidi"/>
        </w:rPr>
        <w:t>2000 µg/ml</w:t>
      </w:r>
      <w:commentRangeEnd w:id="10"/>
      <w:r w:rsidR="00AB3589">
        <w:rPr>
          <w:rStyle w:val="CommentReference"/>
        </w:rPr>
        <w:commentReference w:id="10"/>
      </w:r>
      <w:r w:rsidRPr="006C78D6">
        <w:rPr>
          <w:rFonts w:asciiTheme="majorBidi" w:eastAsia="Times New Roman" w:hAnsiTheme="majorBidi" w:cstheme="majorBidi"/>
        </w:rPr>
        <w:t>), but slightly less than Group 5, possibly due to the reduced turmeric content.</w:t>
      </w:r>
    </w:p>
    <w:p w14:paraId="637DFA3A" w14:textId="77777777" w:rsidR="005577DB" w:rsidRPr="006C78D6" w:rsidRDefault="00BC6F0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 xml:space="preserve">The results of the reducing power of the plant extracts are presented in Table 3. </w:t>
      </w:r>
      <w:r w:rsidR="005577DB" w:rsidRPr="006C78D6">
        <w:rPr>
          <w:rFonts w:asciiTheme="majorBidi" w:eastAsia="Times New Roman" w:hAnsiTheme="majorBidi" w:cstheme="majorBidi"/>
          <w:lang w:val="en-GB"/>
        </w:rPr>
        <w:t>The reducing power of single extract -</w:t>
      </w:r>
      <w:r w:rsidRPr="006C78D6">
        <w:rPr>
          <w:rFonts w:asciiTheme="majorBidi" w:eastAsia="Times New Roman" w:hAnsiTheme="majorBidi" w:cstheme="majorBidi"/>
          <w:lang w:val="en-GB"/>
        </w:rPr>
        <w:t xml:space="preserve">Ginger (Group 1) </w:t>
      </w:r>
      <w:r w:rsidR="005577DB" w:rsidRPr="006C78D6">
        <w:rPr>
          <w:rFonts w:asciiTheme="majorBidi" w:eastAsia="Times New Roman" w:hAnsiTheme="majorBidi" w:cstheme="majorBidi"/>
          <w:lang w:val="en-GB"/>
        </w:rPr>
        <w:t>presented</w:t>
      </w:r>
      <w:r w:rsidRPr="006C78D6">
        <w:rPr>
          <w:rFonts w:asciiTheme="majorBidi" w:eastAsia="Times New Roman" w:hAnsiTheme="majorBidi" w:cstheme="majorBidi"/>
          <w:lang w:val="en-GB"/>
        </w:rPr>
        <w:t xml:space="preserve"> a steadily increasing reducing power with a final OD of 1.433 at </w:t>
      </w:r>
      <w:commentRangeStart w:id="11"/>
      <w:r w:rsidRPr="006C78D6">
        <w:rPr>
          <w:rFonts w:asciiTheme="majorBidi" w:eastAsia="Times New Roman" w:hAnsiTheme="majorBidi" w:cstheme="majorBidi"/>
          <w:lang w:val="en-GB"/>
        </w:rPr>
        <w:t>5000 µg/</w:t>
      </w:r>
      <w:proofErr w:type="spellStart"/>
      <w:r w:rsidRPr="006C78D6">
        <w:rPr>
          <w:rFonts w:asciiTheme="majorBidi" w:eastAsia="Times New Roman" w:hAnsiTheme="majorBidi" w:cstheme="majorBidi"/>
          <w:lang w:val="en-GB"/>
        </w:rPr>
        <w:t>mL</w:t>
      </w:r>
      <w:commentRangeEnd w:id="11"/>
      <w:r w:rsidR="00AB3589">
        <w:rPr>
          <w:rStyle w:val="CommentReference"/>
        </w:rPr>
        <w:commentReference w:id="11"/>
      </w:r>
      <w:r w:rsidRPr="006C78D6">
        <w:rPr>
          <w:rFonts w:asciiTheme="majorBidi" w:eastAsia="Times New Roman" w:hAnsiTheme="majorBidi" w:cstheme="majorBidi"/>
          <w:lang w:val="en-GB"/>
        </w:rPr>
        <w:t>.</w:t>
      </w:r>
      <w:proofErr w:type="spellEnd"/>
      <w:r w:rsidRPr="006C78D6">
        <w:rPr>
          <w:rFonts w:asciiTheme="majorBidi" w:eastAsia="Times New Roman" w:hAnsiTheme="majorBidi" w:cstheme="majorBidi"/>
          <w:lang w:val="en-GB"/>
        </w:rPr>
        <w:t xml:space="preserve"> Garlic (Group 2)</w:t>
      </w:r>
      <w:r w:rsidR="005577DB" w:rsidRPr="006C78D6">
        <w:rPr>
          <w:rFonts w:asciiTheme="majorBidi" w:eastAsia="Times New Roman" w:hAnsiTheme="majorBidi" w:cstheme="majorBidi"/>
          <w:lang w:val="en-GB"/>
        </w:rPr>
        <w:t xml:space="preserve"> demonstrated </w:t>
      </w:r>
      <w:r w:rsidRPr="006C78D6">
        <w:rPr>
          <w:rFonts w:asciiTheme="majorBidi" w:eastAsia="Times New Roman" w:hAnsiTheme="majorBidi" w:cstheme="majorBidi"/>
          <w:lang w:val="en-GB"/>
        </w:rPr>
        <w:t xml:space="preserve">moderate reducing power compared to ginger, with a maximum OD of 1.8625 at </w:t>
      </w:r>
      <w:commentRangeStart w:id="12"/>
      <w:r w:rsidRPr="006C78D6">
        <w:rPr>
          <w:rFonts w:asciiTheme="majorBidi" w:eastAsia="Times New Roman" w:hAnsiTheme="majorBidi" w:cstheme="majorBidi"/>
          <w:lang w:val="en-GB"/>
        </w:rPr>
        <w:t>5000 µg/</w:t>
      </w:r>
      <w:proofErr w:type="spellStart"/>
      <w:r w:rsidRPr="006C78D6">
        <w:rPr>
          <w:rFonts w:asciiTheme="majorBidi" w:eastAsia="Times New Roman" w:hAnsiTheme="majorBidi" w:cstheme="majorBidi"/>
          <w:lang w:val="en-GB"/>
        </w:rPr>
        <w:t>mL</w:t>
      </w:r>
      <w:commentRangeEnd w:id="12"/>
      <w:r w:rsidR="00613C73">
        <w:rPr>
          <w:rStyle w:val="CommentReference"/>
        </w:rPr>
        <w:commentReference w:id="12"/>
      </w:r>
      <w:r w:rsidRPr="006C78D6">
        <w:rPr>
          <w:rFonts w:asciiTheme="majorBidi" w:eastAsia="Times New Roman" w:hAnsiTheme="majorBidi" w:cstheme="majorBidi"/>
          <w:lang w:val="en-GB"/>
        </w:rPr>
        <w:t>.</w:t>
      </w:r>
      <w:proofErr w:type="spellEnd"/>
      <w:r w:rsidRPr="006C78D6">
        <w:rPr>
          <w:rFonts w:asciiTheme="majorBidi" w:eastAsia="Times New Roman" w:hAnsiTheme="majorBidi" w:cstheme="majorBidi"/>
          <w:lang w:val="en-GB"/>
        </w:rPr>
        <w:t xml:space="preserve"> However, garlic's activity at lower concentrations (100-1000 µg/mL) was significantly higher than ginger, suggesting a more potent effect at lower doses.</w:t>
      </w:r>
      <w:r w:rsidR="005577DB"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lang w:val="en-GB"/>
        </w:rPr>
        <w:t>Turmeric (Group 3)</w:t>
      </w:r>
      <w:r w:rsidR="005577DB" w:rsidRPr="006C78D6">
        <w:rPr>
          <w:rFonts w:asciiTheme="majorBidi" w:eastAsia="Times New Roman" w:hAnsiTheme="majorBidi" w:cstheme="majorBidi"/>
          <w:lang w:val="en-GB"/>
        </w:rPr>
        <w:t xml:space="preserve"> recorded</w:t>
      </w:r>
      <w:r w:rsidRPr="006C78D6">
        <w:rPr>
          <w:rFonts w:asciiTheme="majorBidi" w:eastAsia="Times New Roman" w:hAnsiTheme="majorBidi" w:cstheme="majorBidi"/>
          <w:lang w:val="en-GB"/>
        </w:rPr>
        <w:t xml:space="preserve"> the highest reducing power among the single extracts, with an OD of 1.8625 at </w:t>
      </w:r>
      <w:commentRangeStart w:id="13"/>
      <w:r w:rsidRPr="006C78D6">
        <w:rPr>
          <w:rFonts w:asciiTheme="majorBidi" w:eastAsia="Times New Roman" w:hAnsiTheme="majorBidi" w:cstheme="majorBidi"/>
          <w:lang w:val="en-GB"/>
        </w:rPr>
        <w:t>5000 µg/</w:t>
      </w:r>
      <w:proofErr w:type="spellStart"/>
      <w:r w:rsidRPr="006C78D6">
        <w:rPr>
          <w:rFonts w:asciiTheme="majorBidi" w:eastAsia="Times New Roman" w:hAnsiTheme="majorBidi" w:cstheme="majorBidi"/>
          <w:lang w:val="en-GB"/>
        </w:rPr>
        <w:t>mL</w:t>
      </w:r>
      <w:commentRangeEnd w:id="13"/>
      <w:r w:rsidR="00613C73">
        <w:rPr>
          <w:rStyle w:val="CommentReference"/>
        </w:rPr>
        <w:commentReference w:id="13"/>
      </w:r>
      <w:r w:rsidRPr="006C78D6">
        <w:rPr>
          <w:rFonts w:asciiTheme="majorBidi" w:eastAsia="Times New Roman" w:hAnsiTheme="majorBidi" w:cstheme="majorBidi"/>
          <w:lang w:val="en-GB"/>
        </w:rPr>
        <w:t>.</w:t>
      </w:r>
      <w:proofErr w:type="spellEnd"/>
      <w:r w:rsidRPr="006C78D6">
        <w:rPr>
          <w:rFonts w:asciiTheme="majorBidi" w:eastAsia="Times New Roman" w:hAnsiTheme="majorBidi" w:cstheme="majorBidi"/>
          <w:lang w:val="en-GB"/>
        </w:rPr>
        <w:t xml:space="preserve"> This suggests that turmeric is particularly effective in reducing ferric ions, underscoring its strong antioxidant potential.</w:t>
      </w:r>
      <w:r w:rsidR="005577DB" w:rsidRPr="006C78D6">
        <w:rPr>
          <w:rFonts w:asciiTheme="majorBidi" w:eastAsia="Times New Roman" w:hAnsiTheme="majorBidi" w:cstheme="majorBidi"/>
          <w:lang w:val="en-GB"/>
        </w:rPr>
        <w:t xml:space="preserve"> </w:t>
      </w:r>
    </w:p>
    <w:p w14:paraId="6F9F47E7" w14:textId="295A4B8F" w:rsidR="005B213F" w:rsidRPr="006C78D6" w:rsidRDefault="005577DB"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 xml:space="preserve">The combined extracts such as Group 4 (60% ginger, 30% garlic, 10% turmeric) and Group 5 (40% ginger, 30% garlic, 30% turmeric) showed relatively lower reducing power compared to individual extracts, with maximum </w:t>
      </w:r>
      <w:commentRangeStart w:id="14"/>
      <w:r w:rsidRPr="006C78D6">
        <w:rPr>
          <w:rFonts w:asciiTheme="majorBidi" w:eastAsia="Times New Roman" w:hAnsiTheme="majorBidi" w:cstheme="majorBidi"/>
          <w:lang w:val="en-GB"/>
        </w:rPr>
        <w:t xml:space="preserve">ODs of 0.585 and 0.5315, </w:t>
      </w:r>
      <w:commentRangeEnd w:id="14"/>
      <w:r w:rsidR="000E0F6E">
        <w:rPr>
          <w:rStyle w:val="CommentReference"/>
        </w:rPr>
        <w:commentReference w:id="14"/>
      </w:r>
      <w:r w:rsidRPr="006C78D6">
        <w:rPr>
          <w:rFonts w:asciiTheme="majorBidi" w:eastAsia="Times New Roman" w:hAnsiTheme="majorBidi" w:cstheme="majorBidi"/>
          <w:lang w:val="en-GB"/>
        </w:rPr>
        <w:t xml:space="preserve">respectively. Group 6 (60% garlic, 30% ginger, 10% turmeric) and Group 7 (40% garlic, 30% ginger, 30% turmeric) presented moderate reducing power, peaking at </w:t>
      </w:r>
      <w:commentRangeStart w:id="15"/>
      <w:r w:rsidRPr="006C78D6">
        <w:rPr>
          <w:rFonts w:asciiTheme="majorBidi" w:eastAsia="Times New Roman" w:hAnsiTheme="majorBidi" w:cstheme="majorBidi"/>
          <w:lang w:val="en-GB"/>
        </w:rPr>
        <w:t>0.376 and 0.435 OD</w:t>
      </w:r>
      <w:commentRangeEnd w:id="15"/>
      <w:r w:rsidR="00C24213">
        <w:rPr>
          <w:rStyle w:val="CommentReference"/>
        </w:rPr>
        <w:commentReference w:id="15"/>
      </w:r>
      <w:r w:rsidRPr="006C78D6">
        <w:rPr>
          <w:rFonts w:asciiTheme="majorBidi" w:eastAsia="Times New Roman" w:hAnsiTheme="majorBidi" w:cstheme="majorBidi"/>
          <w:lang w:val="en-GB"/>
        </w:rPr>
        <w:t xml:space="preserve">, respectively. Garlic’s influence appears to dominate in these mixtures, maintaining a reasonable level of antioxidant activity. Group 8 (60% turmeric, 30% garlic, 10% ginger) and Group 9 (40% turmeric, 30% garlic, 30% ginger) demonstrated stronger reducing power, with </w:t>
      </w:r>
      <w:commentRangeStart w:id="16"/>
      <w:r w:rsidRPr="006C78D6">
        <w:rPr>
          <w:rFonts w:asciiTheme="majorBidi" w:eastAsia="Times New Roman" w:hAnsiTheme="majorBidi" w:cstheme="majorBidi"/>
          <w:lang w:val="en-GB"/>
        </w:rPr>
        <w:t>ODs of 0.585 and 0.5315</w:t>
      </w:r>
      <w:commentRangeEnd w:id="16"/>
      <w:r w:rsidR="00C24213">
        <w:rPr>
          <w:rStyle w:val="CommentReference"/>
        </w:rPr>
        <w:commentReference w:id="16"/>
      </w:r>
      <w:r w:rsidRPr="006C78D6">
        <w:rPr>
          <w:rFonts w:asciiTheme="majorBidi" w:eastAsia="Times New Roman" w:hAnsiTheme="majorBidi" w:cstheme="majorBidi"/>
          <w:lang w:val="en-GB"/>
        </w:rPr>
        <w:t>, respectively. Turmeric’s high antioxidant potential may have contributed significantly to these combinations.</w:t>
      </w:r>
    </w:p>
    <w:p w14:paraId="3FA50EF2" w14:textId="71FDF445" w:rsidR="005B213F" w:rsidRPr="006C78D6" w:rsidRDefault="0018615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 xml:space="preserve">The results of the hydroxyl radical scavenging assay </w:t>
      </w:r>
      <w:r w:rsidRPr="006C78D6">
        <w:rPr>
          <w:rFonts w:asciiTheme="majorBidi" w:eastAsia="Times New Roman" w:hAnsiTheme="majorBidi" w:cstheme="majorBidi"/>
          <w:lang w:val="en-GB"/>
        </w:rPr>
        <w:t xml:space="preserve">(Table 4) </w:t>
      </w:r>
      <w:r w:rsidRPr="006C78D6">
        <w:rPr>
          <w:rFonts w:asciiTheme="majorBidi" w:eastAsia="Times New Roman" w:hAnsiTheme="majorBidi" w:cstheme="majorBidi"/>
        </w:rPr>
        <w:t>show</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the capacity of different combinations of ginger, garlic, and turmeric extracts to inhibit hydroxyl radical activity, measured as a percentage inhibition of deoxyribose degradation</w:t>
      </w:r>
      <w:r w:rsidRPr="006C78D6">
        <w:rPr>
          <w:rFonts w:asciiTheme="majorBidi" w:eastAsia="Times New Roman" w:hAnsiTheme="majorBidi" w:cstheme="majorBidi"/>
          <w:lang w:val="en-GB"/>
        </w:rPr>
        <w:t xml:space="preserve"> with q</w:t>
      </w:r>
      <w:r w:rsidRPr="006C78D6">
        <w:rPr>
          <w:rFonts w:asciiTheme="majorBidi" w:eastAsia="Times New Roman" w:hAnsiTheme="majorBidi" w:cstheme="majorBidi"/>
        </w:rPr>
        <w:t>uercetin used as the standard control.</w:t>
      </w:r>
      <w:r w:rsidRPr="006C78D6">
        <w:rPr>
          <w:rFonts w:asciiTheme="majorBidi" w:eastAsia="Times New Roman" w:hAnsiTheme="majorBidi" w:cstheme="majorBidi"/>
          <w:lang w:val="en-GB"/>
        </w:rPr>
        <w:t xml:space="preserve"> At </w:t>
      </w:r>
      <w:commentRangeStart w:id="17"/>
      <w:r w:rsidRPr="006C78D6">
        <w:rPr>
          <w:rFonts w:asciiTheme="majorBidi" w:eastAsia="Times New Roman" w:hAnsiTheme="majorBidi" w:cstheme="majorBidi"/>
          <w:lang w:val="en-GB"/>
        </w:rPr>
        <w:t>50 µg/mL</w:t>
      </w:r>
      <w:commentRangeEnd w:id="17"/>
      <w:r w:rsidR="000C47B9">
        <w:rPr>
          <w:rStyle w:val="CommentReference"/>
        </w:rPr>
        <w:commentReference w:id="17"/>
      </w:r>
      <w:r w:rsidRPr="006C78D6">
        <w:rPr>
          <w:rFonts w:asciiTheme="majorBidi" w:eastAsia="Times New Roman" w:hAnsiTheme="majorBidi" w:cstheme="majorBidi"/>
          <w:lang w:val="en-GB"/>
        </w:rPr>
        <w:t xml:space="preserve">, inhibition was low across all groups, with garlic (Group 2) showing the highest inhibition at 11.37%. As the concentration increased, hydroxyl radical scavenging activity improved across all test groups. At </w:t>
      </w:r>
      <w:commentRangeStart w:id="18"/>
      <w:r w:rsidRPr="006C78D6">
        <w:rPr>
          <w:rFonts w:asciiTheme="majorBidi" w:eastAsia="Times New Roman" w:hAnsiTheme="majorBidi" w:cstheme="majorBidi"/>
          <w:lang w:val="en-GB"/>
        </w:rPr>
        <w:t>200 µg/mL</w:t>
      </w:r>
      <w:commentRangeEnd w:id="18"/>
      <w:r w:rsidR="000C47B9">
        <w:rPr>
          <w:rStyle w:val="CommentReference"/>
        </w:rPr>
        <w:commentReference w:id="18"/>
      </w:r>
      <w:r w:rsidRPr="006C78D6">
        <w:rPr>
          <w:rFonts w:asciiTheme="majorBidi" w:eastAsia="Times New Roman" w:hAnsiTheme="majorBidi" w:cstheme="majorBidi"/>
          <w:lang w:val="en-GB"/>
        </w:rPr>
        <w:t xml:space="preserve">, turmeric (Group 3) and the combination of 60% ginger, 30% garlic, and 10% turmeric (Group 4) showed notable increases in inhibition (27.96% and 32.39%, respectively). At </w:t>
      </w:r>
      <w:commentRangeStart w:id="19"/>
      <w:r w:rsidRPr="006C78D6">
        <w:rPr>
          <w:rFonts w:asciiTheme="majorBidi" w:eastAsia="Times New Roman" w:hAnsiTheme="majorBidi" w:cstheme="majorBidi"/>
          <w:lang w:val="en-GB"/>
        </w:rPr>
        <w:t>1000 µg/mL</w:t>
      </w:r>
      <w:commentRangeEnd w:id="19"/>
      <w:r w:rsidR="000C47B9">
        <w:rPr>
          <w:rStyle w:val="CommentReference"/>
        </w:rPr>
        <w:commentReference w:id="19"/>
      </w:r>
      <w:r w:rsidRPr="006C78D6">
        <w:rPr>
          <w:rFonts w:asciiTheme="majorBidi" w:eastAsia="Times New Roman" w:hAnsiTheme="majorBidi" w:cstheme="majorBidi"/>
          <w:lang w:val="en-GB"/>
        </w:rPr>
        <w:t xml:space="preserve">, all combinations, including the individual plant samples (ginger, garlic, turmeric), showed significantly enhanced scavenging abilities, with turmeric (Group 3) and Group 4 (60% ginger, 30% garlic, 10% turmeric) combination reaching </w:t>
      </w:r>
      <w:r w:rsidRPr="006C78D6">
        <w:rPr>
          <w:rFonts w:asciiTheme="majorBidi" w:eastAsia="Times New Roman" w:hAnsiTheme="majorBidi" w:cstheme="majorBidi"/>
          <w:lang w:val="en-GB"/>
        </w:rPr>
        <w:lastRenderedPageBreak/>
        <w:t xml:space="preserve">inhibition percentages of 62.05% and 83.10%, respectively. The combination ratios of 60% turmeric, 30% garlic, and 10% ginger (Group 8) and 40% turmeric, 30% garlic, and 30% ginger (Group 9) also recorded appreciable scavenging activities, particularly at higher concentrations, with Group 9 achieving 84.46% inhibition at </w:t>
      </w:r>
      <w:commentRangeStart w:id="20"/>
      <w:r w:rsidRPr="006C78D6">
        <w:rPr>
          <w:rFonts w:asciiTheme="majorBidi" w:eastAsia="Times New Roman" w:hAnsiTheme="majorBidi" w:cstheme="majorBidi"/>
          <w:lang w:val="en-GB"/>
        </w:rPr>
        <w:t>4000 µg/</w:t>
      </w:r>
      <w:proofErr w:type="spellStart"/>
      <w:r w:rsidRPr="006C78D6">
        <w:rPr>
          <w:rFonts w:asciiTheme="majorBidi" w:eastAsia="Times New Roman" w:hAnsiTheme="majorBidi" w:cstheme="majorBidi"/>
          <w:lang w:val="en-GB"/>
        </w:rPr>
        <w:t>mL</w:t>
      </w:r>
      <w:commentRangeEnd w:id="20"/>
      <w:r w:rsidR="0043345D">
        <w:rPr>
          <w:rStyle w:val="CommentReference"/>
        </w:rPr>
        <w:commentReference w:id="20"/>
      </w:r>
      <w:r w:rsidRPr="006C78D6">
        <w:rPr>
          <w:rFonts w:asciiTheme="majorBidi" w:eastAsia="Times New Roman" w:hAnsiTheme="majorBidi" w:cstheme="majorBidi"/>
          <w:lang w:val="en-GB"/>
        </w:rPr>
        <w:t>.</w:t>
      </w:r>
      <w:proofErr w:type="spellEnd"/>
    </w:p>
    <w:p w14:paraId="7B8B4FBE" w14:textId="422D7857" w:rsidR="008D23E9" w:rsidRPr="006C78D6" w:rsidRDefault="008D23E9" w:rsidP="00A458C4">
      <w:pPr>
        <w:spacing w:before="100" w:beforeAutospacing="1" w:after="100" w:afterAutospacing="1" w:line="360" w:lineRule="auto"/>
        <w:jc w:val="both"/>
        <w:rPr>
          <w:rFonts w:asciiTheme="majorBidi" w:eastAsia="Times New Roman" w:hAnsiTheme="majorBidi" w:cstheme="majorBidi"/>
        </w:rPr>
      </w:pPr>
      <w:r w:rsidRPr="006C78D6">
        <w:rPr>
          <w:rFonts w:ascii="Times New Roman" w:eastAsia="Times New Roman" w:hAnsi="Times New Roman" w:cs="Times New Roman"/>
        </w:rPr>
        <w:t xml:space="preserve">The Total Antioxidant Capacity (TAC) measures the ability of an extract to neutralize free radicals, expressed here in milligrams of gallic acid equivalents (GAE) per gram of extract. The results from Table 5 show varying antioxidant capacities </w:t>
      </w:r>
      <w:r w:rsidR="00F935E8" w:rsidRPr="006C78D6">
        <w:rPr>
          <w:rFonts w:ascii="Times New Roman" w:eastAsia="Times New Roman" w:hAnsi="Times New Roman" w:cs="Times New Roman"/>
        </w:rPr>
        <w:t xml:space="preserve">with Group 8 (60% turmeric, 30% garlic, 10% ginger) recording the highest TAC at 208.12 mg </w:t>
      </w:r>
      <w:commentRangeStart w:id="21"/>
      <w:r w:rsidR="00F935E8" w:rsidRPr="006C78D6">
        <w:rPr>
          <w:rFonts w:ascii="Times New Roman" w:eastAsia="Times New Roman" w:hAnsi="Times New Roman" w:cs="Times New Roman"/>
        </w:rPr>
        <w:t>GAE/g extract</w:t>
      </w:r>
      <w:commentRangeEnd w:id="21"/>
      <w:r w:rsidR="00687D2C">
        <w:rPr>
          <w:rStyle w:val="CommentReference"/>
        </w:rPr>
        <w:commentReference w:id="21"/>
      </w:r>
      <w:r w:rsidR="00F935E8" w:rsidRPr="006C78D6">
        <w:rPr>
          <w:rFonts w:ascii="Times New Roman" w:eastAsia="Times New Roman" w:hAnsi="Times New Roman" w:cs="Times New Roman"/>
        </w:rPr>
        <w:t xml:space="preserve">. The TAC results shows that Groups with higher proportions of turmeric, such as Group 3 (100% turmeric) and Group 8, consistently show high antioxidant capacities. The mixed groups, such as Group 4 (60% ginger, 30% garlic, 10% turmeric) and Group 6 (60% garlic, 30% ginger, 10% turmeric), also displayed high antioxidant capacities, with values exceeding </w:t>
      </w:r>
      <w:commentRangeStart w:id="22"/>
      <w:r w:rsidR="00F935E8" w:rsidRPr="006C78D6">
        <w:rPr>
          <w:rFonts w:ascii="Times New Roman" w:eastAsia="Times New Roman" w:hAnsi="Times New Roman" w:cs="Times New Roman"/>
        </w:rPr>
        <w:t>100 mg GAE/g extract</w:t>
      </w:r>
      <w:commentRangeEnd w:id="22"/>
      <w:r w:rsidR="00BF7C59">
        <w:rPr>
          <w:rStyle w:val="CommentReference"/>
        </w:rPr>
        <w:commentReference w:id="22"/>
      </w:r>
      <w:r w:rsidR="00F935E8" w:rsidRPr="006C78D6">
        <w:rPr>
          <w:rFonts w:ascii="Times New Roman" w:eastAsia="Times New Roman" w:hAnsi="Times New Roman" w:cs="Times New Roman"/>
        </w:rPr>
        <w:t>. The combination of the three ingredients appears to enhance antioxidant activity, even with varying proportions.</w:t>
      </w:r>
    </w:p>
    <w:p w14:paraId="643B2E0B" w14:textId="306A32E2" w:rsidR="00A458C4" w:rsidRPr="006C78D6" w:rsidRDefault="00A458C4" w:rsidP="0039186D">
      <w:pPr>
        <w:spacing w:before="100" w:beforeAutospacing="1" w:after="100" w:afterAutospacing="1" w:line="360" w:lineRule="auto"/>
        <w:jc w:val="both"/>
        <w:rPr>
          <w:rFonts w:ascii="Times New Roman" w:eastAsia="Times New Roman" w:hAnsi="Times New Roman" w:cs="Times New Roman"/>
          <w:kern w:val="0"/>
          <w:lang w:val="en-GB"/>
          <w14:ligatures w14:val="none"/>
        </w:rPr>
      </w:pPr>
      <w:r w:rsidRPr="006C78D6">
        <w:rPr>
          <w:rFonts w:ascii="Times New Roman" w:eastAsia="Times New Roman" w:hAnsi="Times New Roman" w:cs="Times New Roman"/>
          <w:kern w:val="0"/>
          <w14:ligatures w14:val="none"/>
        </w:rPr>
        <w:t xml:space="preserve">The chelating power of the extracts was </w:t>
      </w:r>
      <w:r w:rsidRPr="006C78D6">
        <w:rPr>
          <w:rFonts w:ascii="Times New Roman" w:eastAsia="Times New Roman" w:hAnsi="Times New Roman" w:cs="Times New Roman"/>
          <w:kern w:val="0"/>
          <w:lang w:val="en-GB"/>
          <w14:ligatures w14:val="none"/>
        </w:rPr>
        <w:t>determined</w:t>
      </w:r>
      <w:r w:rsidRPr="006C78D6">
        <w:rPr>
          <w:rFonts w:ascii="Times New Roman" w:eastAsia="Times New Roman" w:hAnsi="Times New Roman" w:cs="Times New Roman"/>
          <w:kern w:val="0"/>
          <w14:ligatures w14:val="none"/>
        </w:rPr>
        <w:t xml:space="preserve"> at different concentrations (</w:t>
      </w:r>
      <w:commentRangeStart w:id="23"/>
      <w:r w:rsidRPr="006C78D6">
        <w:rPr>
          <w:rFonts w:ascii="Times New Roman" w:eastAsia="Times New Roman" w:hAnsi="Times New Roman" w:cs="Times New Roman"/>
          <w:kern w:val="0"/>
          <w14:ligatures w14:val="none"/>
        </w:rPr>
        <w:t>0 mg/mL to 80 mg/mL</w:t>
      </w:r>
      <w:commentRangeEnd w:id="23"/>
      <w:r w:rsidR="0028147B">
        <w:rPr>
          <w:rStyle w:val="CommentReference"/>
        </w:rPr>
        <w:commentReference w:id="23"/>
      </w:r>
      <w:r w:rsidRPr="006C78D6">
        <w:rPr>
          <w:rFonts w:ascii="Times New Roman" w:eastAsia="Times New Roman" w:hAnsi="Times New Roman" w:cs="Times New Roman"/>
          <w:kern w:val="0"/>
          <w14:ligatures w14:val="none"/>
        </w:rPr>
        <w:t>) by measuring their ability to inhibit Fe²⁺-ferrozine complex formation, with absorbance values recorded at 562 nm.</w:t>
      </w:r>
      <w:r w:rsidRPr="006C78D6">
        <w:rPr>
          <w:rFonts w:ascii="Times New Roman" w:eastAsia="Times New Roman" w:hAnsi="Times New Roman" w:cs="Times New Roman"/>
          <w:kern w:val="0"/>
          <w:lang w:val="en-GB"/>
          <w14:ligatures w14:val="none"/>
        </w:rPr>
        <w:t xml:space="preserve"> Results showed that Group 2 (100% Garlic) recorded the highest chelation effect of 87.941% at 80 mg/mL, making it the most effective extract overall in chelating Fe²⁺ ions at high concentrations. Group 3 (100% Turmeric) also performs well, especially at 10 mg/mL presenting high chelation activity (79.076%), reaching 87.236% at 80 mg/mL. Also, the </w:t>
      </w:r>
      <w:r w:rsidR="009714B3" w:rsidRPr="006C78D6">
        <w:rPr>
          <w:rFonts w:ascii="Times New Roman" w:eastAsia="Times New Roman" w:hAnsi="Times New Roman" w:cs="Times New Roman"/>
          <w:kern w:val="0"/>
          <w:lang w:val="en-GB"/>
          <w14:ligatures w14:val="none"/>
        </w:rPr>
        <w:t>c</w:t>
      </w:r>
      <w:r w:rsidRPr="006C78D6">
        <w:rPr>
          <w:rFonts w:ascii="Times New Roman" w:eastAsia="Times New Roman" w:hAnsi="Times New Roman" w:cs="Times New Roman"/>
          <w:kern w:val="0"/>
          <w:lang w:val="en-GB"/>
          <w14:ligatures w14:val="none"/>
        </w:rPr>
        <w:t>ombination Groups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 xml:space="preserve">Group 6 (60% Garlic, 30% Ginger, 10% Turmeric) and Group 7 (40% Garlic, 30% Ginger, 30% Turmeric) both </w:t>
      </w:r>
      <w:r w:rsidR="009714B3" w:rsidRPr="006C78D6">
        <w:rPr>
          <w:rFonts w:ascii="Times New Roman" w:eastAsia="Times New Roman" w:hAnsi="Times New Roman" w:cs="Times New Roman"/>
          <w:kern w:val="0"/>
          <w:lang w:val="en-GB"/>
          <w14:ligatures w14:val="none"/>
        </w:rPr>
        <w:t>recorded</w:t>
      </w:r>
      <w:r w:rsidRPr="006C78D6">
        <w:rPr>
          <w:rFonts w:ascii="Times New Roman" w:eastAsia="Times New Roman" w:hAnsi="Times New Roman" w:cs="Times New Roman"/>
          <w:kern w:val="0"/>
          <w:lang w:val="en-GB"/>
          <w14:ligatures w14:val="none"/>
        </w:rPr>
        <w:t xml:space="preserve"> strong </w:t>
      </w:r>
      <w:r w:rsidR="009714B3" w:rsidRPr="006C78D6">
        <w:rPr>
          <w:rFonts w:ascii="Times New Roman" w:eastAsia="Times New Roman" w:hAnsi="Times New Roman" w:cs="Times New Roman"/>
          <w:kern w:val="0"/>
          <w:lang w:val="en-GB"/>
          <w14:ligatures w14:val="none"/>
        </w:rPr>
        <w:t xml:space="preserve">inhibitory </w:t>
      </w:r>
      <w:r w:rsidR="0039186D" w:rsidRPr="006C78D6">
        <w:rPr>
          <w:rFonts w:ascii="Times New Roman" w:eastAsia="Times New Roman" w:hAnsi="Times New Roman" w:cs="Times New Roman"/>
          <w:kern w:val="0"/>
          <w:lang w:val="en-GB"/>
          <w14:ligatures w14:val="none"/>
        </w:rPr>
        <w:t>capacities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with chelation effects exceeding 84% at 80 mg/mL.</w:t>
      </w:r>
    </w:p>
    <w:p w14:paraId="51563332" w14:textId="77777777" w:rsidR="004214C5" w:rsidRPr="006C78D6" w:rsidRDefault="004214C5" w:rsidP="004214C5">
      <w:pPr>
        <w:rPr>
          <w:rFonts w:asciiTheme="majorBidi" w:hAnsiTheme="majorBidi" w:cstheme="majorBidi"/>
          <w:b/>
          <w:bCs/>
        </w:rPr>
      </w:pPr>
    </w:p>
    <w:p w14:paraId="03A7FD1C" w14:textId="77777777" w:rsidR="004214C5" w:rsidRPr="006C78D6" w:rsidRDefault="004214C5" w:rsidP="004214C5">
      <w:pPr>
        <w:rPr>
          <w:rFonts w:asciiTheme="majorBidi" w:hAnsiTheme="majorBidi" w:cstheme="majorBidi"/>
          <w:b/>
          <w:bCs/>
          <w:lang w:val="en-GB"/>
        </w:rPr>
      </w:pPr>
    </w:p>
    <w:p w14:paraId="184C1B1F" w14:textId="77777777" w:rsidR="004214C5" w:rsidRPr="006C78D6" w:rsidRDefault="004214C5" w:rsidP="004214C5">
      <w:pPr>
        <w:rPr>
          <w:rFonts w:asciiTheme="majorBidi" w:hAnsiTheme="majorBidi" w:cstheme="majorBidi"/>
          <w:b/>
          <w:bCs/>
          <w:lang w:val="en-GB"/>
        </w:rPr>
      </w:pPr>
    </w:p>
    <w:p w14:paraId="00537E9C" w14:textId="77777777" w:rsidR="004214C5" w:rsidRPr="006C78D6" w:rsidRDefault="004214C5" w:rsidP="004214C5">
      <w:pPr>
        <w:rPr>
          <w:rFonts w:asciiTheme="majorBidi" w:hAnsiTheme="majorBidi" w:cstheme="majorBidi"/>
          <w:b/>
          <w:bCs/>
          <w:lang w:val="en-GB"/>
        </w:rPr>
      </w:pPr>
    </w:p>
    <w:p w14:paraId="70778419" w14:textId="77777777" w:rsidR="00F71930" w:rsidRPr="006C78D6" w:rsidRDefault="00F71930" w:rsidP="004214C5">
      <w:pPr>
        <w:rPr>
          <w:rFonts w:asciiTheme="majorBidi" w:hAnsiTheme="majorBidi" w:cstheme="majorBidi"/>
          <w:b/>
          <w:bCs/>
          <w:lang w:val="en-GB"/>
        </w:rPr>
      </w:pPr>
    </w:p>
    <w:p w14:paraId="63B6D8CB" w14:textId="77777777" w:rsidR="00F71930" w:rsidRPr="006C78D6" w:rsidRDefault="00F71930" w:rsidP="004214C5">
      <w:pPr>
        <w:rPr>
          <w:rFonts w:asciiTheme="majorBidi" w:hAnsiTheme="majorBidi" w:cstheme="majorBidi"/>
          <w:b/>
          <w:bCs/>
          <w:lang w:val="en-GB"/>
        </w:rPr>
        <w:sectPr w:rsidR="00F71930" w:rsidRPr="006C78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3CD7DD1" w14:textId="77777777" w:rsidR="004214C5" w:rsidRPr="006C78D6" w:rsidRDefault="004214C5" w:rsidP="004214C5">
      <w:pPr>
        <w:rPr>
          <w:rFonts w:asciiTheme="majorBidi" w:hAnsiTheme="majorBidi" w:cstheme="majorBidi"/>
          <w:b/>
          <w:bCs/>
          <w:lang w:val="en-GB"/>
        </w:rPr>
      </w:pPr>
      <w:r w:rsidRPr="006C78D6">
        <w:rPr>
          <w:rFonts w:asciiTheme="majorBidi" w:hAnsiTheme="majorBidi" w:cstheme="majorBidi"/>
          <w:b/>
          <w:bCs/>
          <w:lang w:val="en-GB"/>
        </w:rPr>
        <w:lastRenderedPageBreak/>
        <w:t xml:space="preserve">Table 1: Results of </w:t>
      </w:r>
      <w:r w:rsidRPr="006C78D6">
        <w:rPr>
          <w:rFonts w:asciiTheme="majorBidi" w:eastAsia="Times New Roman" w:hAnsiTheme="majorBidi" w:cstheme="majorBidi"/>
          <w:b/>
          <w:bCs/>
          <w:color w:val="000000"/>
        </w:rPr>
        <w:t>DPPH radical scavenging</w:t>
      </w:r>
    </w:p>
    <w:p w14:paraId="73C4014F" w14:textId="77777777" w:rsidR="004214C5" w:rsidRPr="006C78D6" w:rsidRDefault="004214C5">
      <w:pPr>
        <w:rPr>
          <w:rFonts w:asciiTheme="majorBidi" w:hAnsiTheme="majorBidi" w:cstheme="majorBidi"/>
          <w:lang w:val="en-GB"/>
        </w:rPr>
      </w:pPr>
    </w:p>
    <w:tbl>
      <w:tblPr>
        <w:tblW w:w="13310" w:type="dxa"/>
        <w:tblLook w:val="04A0" w:firstRow="1" w:lastRow="0" w:firstColumn="1" w:lastColumn="0" w:noHBand="0" w:noVBand="1"/>
      </w:tblPr>
      <w:tblGrid>
        <w:gridCol w:w="1379"/>
        <w:gridCol w:w="1170"/>
        <w:gridCol w:w="1163"/>
        <w:gridCol w:w="1163"/>
        <w:gridCol w:w="1163"/>
        <w:gridCol w:w="1191"/>
        <w:gridCol w:w="1163"/>
        <w:gridCol w:w="1163"/>
        <w:gridCol w:w="1163"/>
        <w:gridCol w:w="1191"/>
        <w:gridCol w:w="945"/>
        <w:gridCol w:w="1229"/>
      </w:tblGrid>
      <w:tr w:rsidR="002C143B" w:rsidRPr="002C143B" w14:paraId="4292A589" w14:textId="77777777" w:rsidTr="002C143B">
        <w:trPr>
          <w:trHeight w:val="324"/>
        </w:trPr>
        <w:tc>
          <w:tcPr>
            <w:tcW w:w="11510" w:type="dxa"/>
            <w:gridSpan w:val="10"/>
            <w:tcBorders>
              <w:top w:val="single" w:sz="8" w:space="0" w:color="auto"/>
              <w:left w:val="single" w:sz="8" w:space="0" w:color="auto"/>
              <w:bottom w:val="single" w:sz="8" w:space="0" w:color="auto"/>
              <w:right w:val="single" w:sz="8" w:space="0" w:color="000000"/>
            </w:tcBorders>
            <w:noWrap/>
            <w:vAlign w:val="center"/>
            <w:hideMark/>
          </w:tcPr>
          <w:p w14:paraId="29E9E585"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DPPH radical scavenging (Test groups)</w:t>
            </w:r>
          </w:p>
        </w:tc>
        <w:tc>
          <w:tcPr>
            <w:tcW w:w="1800" w:type="dxa"/>
            <w:gridSpan w:val="2"/>
            <w:tcBorders>
              <w:top w:val="single" w:sz="8" w:space="0" w:color="auto"/>
              <w:left w:val="nil"/>
              <w:bottom w:val="single" w:sz="8" w:space="0" w:color="auto"/>
              <w:right w:val="single" w:sz="8" w:space="0" w:color="000000"/>
            </w:tcBorders>
            <w:noWrap/>
            <w:vAlign w:val="center"/>
            <w:hideMark/>
          </w:tcPr>
          <w:p w14:paraId="0D16E66D"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Control</w:t>
            </w:r>
          </w:p>
        </w:tc>
      </w:tr>
      <w:tr w:rsidR="002C143B" w:rsidRPr="006C78D6" w14:paraId="3F4F5C4A" w14:textId="77777777" w:rsidTr="002C143B">
        <w:trPr>
          <w:trHeight w:val="636"/>
        </w:trPr>
        <w:tc>
          <w:tcPr>
            <w:tcW w:w="980" w:type="dxa"/>
            <w:tcBorders>
              <w:top w:val="nil"/>
              <w:left w:val="single" w:sz="8" w:space="0" w:color="auto"/>
              <w:bottom w:val="single" w:sz="8" w:space="0" w:color="auto"/>
              <w:right w:val="single" w:sz="8" w:space="0" w:color="auto"/>
            </w:tcBorders>
            <w:noWrap/>
            <w:vAlign w:val="center"/>
            <w:hideMark/>
          </w:tcPr>
          <w:p w14:paraId="0EE54C9E"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commentRangeStart w:id="24"/>
            <w:r w:rsidRPr="002C143B">
              <w:rPr>
                <w:rFonts w:ascii="Times New Roman" w:eastAsia="Times New Roman" w:hAnsi="Times New Roman" w:cs="Times New Roman"/>
                <w:color w:val="000000"/>
                <w:kern w:val="0"/>
                <w14:ligatures w14:val="none"/>
              </w:rPr>
              <w:t>Conc (</w:t>
            </w:r>
            <w:proofErr w:type="spellStart"/>
            <w:r w:rsidRPr="002C143B">
              <w:rPr>
                <w:rFonts w:ascii="Times New Roman" w:eastAsia="Times New Roman" w:hAnsi="Times New Roman" w:cs="Times New Roman"/>
                <w:color w:val="000000"/>
                <w:kern w:val="0"/>
                <w14:ligatures w14:val="none"/>
              </w:rPr>
              <w:t>μg</w:t>
            </w:r>
            <w:proofErr w:type="spellEnd"/>
            <w:r w:rsidRPr="002C143B">
              <w:rPr>
                <w:rFonts w:ascii="Times New Roman" w:eastAsia="Times New Roman" w:hAnsi="Times New Roman" w:cs="Times New Roman"/>
                <w:color w:val="000000"/>
                <w:kern w:val="0"/>
                <w14:ligatures w14:val="none"/>
              </w:rPr>
              <w:t>/ml)</w:t>
            </w:r>
            <w:commentRangeEnd w:id="24"/>
            <w:r w:rsidR="00C54024">
              <w:rPr>
                <w:rStyle w:val="CommentReference"/>
              </w:rPr>
              <w:commentReference w:id="24"/>
            </w:r>
          </w:p>
        </w:tc>
        <w:tc>
          <w:tcPr>
            <w:tcW w:w="1170" w:type="dxa"/>
            <w:tcBorders>
              <w:top w:val="nil"/>
              <w:left w:val="nil"/>
              <w:bottom w:val="single" w:sz="8" w:space="0" w:color="auto"/>
              <w:right w:val="single" w:sz="8" w:space="0" w:color="auto"/>
            </w:tcBorders>
            <w:noWrap/>
            <w:vAlign w:val="center"/>
            <w:hideMark/>
          </w:tcPr>
          <w:p w14:paraId="0DB906B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1</w:t>
            </w:r>
          </w:p>
        </w:tc>
        <w:tc>
          <w:tcPr>
            <w:tcW w:w="1163" w:type="dxa"/>
            <w:tcBorders>
              <w:top w:val="nil"/>
              <w:left w:val="nil"/>
              <w:bottom w:val="single" w:sz="8" w:space="0" w:color="auto"/>
              <w:right w:val="single" w:sz="8" w:space="0" w:color="auto"/>
            </w:tcBorders>
            <w:noWrap/>
            <w:vAlign w:val="center"/>
            <w:hideMark/>
          </w:tcPr>
          <w:p w14:paraId="0E427E1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2</w:t>
            </w:r>
          </w:p>
        </w:tc>
        <w:tc>
          <w:tcPr>
            <w:tcW w:w="1163" w:type="dxa"/>
            <w:tcBorders>
              <w:top w:val="nil"/>
              <w:left w:val="nil"/>
              <w:bottom w:val="single" w:sz="8" w:space="0" w:color="auto"/>
              <w:right w:val="single" w:sz="8" w:space="0" w:color="auto"/>
            </w:tcBorders>
            <w:noWrap/>
            <w:vAlign w:val="center"/>
            <w:hideMark/>
          </w:tcPr>
          <w:p w14:paraId="27ECA86D"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3</w:t>
            </w:r>
          </w:p>
        </w:tc>
        <w:tc>
          <w:tcPr>
            <w:tcW w:w="1163" w:type="dxa"/>
            <w:tcBorders>
              <w:top w:val="nil"/>
              <w:left w:val="nil"/>
              <w:bottom w:val="single" w:sz="8" w:space="0" w:color="auto"/>
              <w:right w:val="single" w:sz="8" w:space="0" w:color="auto"/>
            </w:tcBorders>
            <w:noWrap/>
            <w:vAlign w:val="center"/>
            <w:hideMark/>
          </w:tcPr>
          <w:p w14:paraId="3D06368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4</w:t>
            </w:r>
          </w:p>
        </w:tc>
        <w:tc>
          <w:tcPr>
            <w:tcW w:w="1191" w:type="dxa"/>
            <w:tcBorders>
              <w:top w:val="nil"/>
              <w:left w:val="nil"/>
              <w:bottom w:val="single" w:sz="8" w:space="0" w:color="auto"/>
              <w:right w:val="single" w:sz="8" w:space="0" w:color="auto"/>
            </w:tcBorders>
            <w:noWrap/>
            <w:vAlign w:val="center"/>
            <w:hideMark/>
          </w:tcPr>
          <w:p w14:paraId="326716E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5</w:t>
            </w:r>
          </w:p>
        </w:tc>
        <w:tc>
          <w:tcPr>
            <w:tcW w:w="1163" w:type="dxa"/>
            <w:tcBorders>
              <w:top w:val="nil"/>
              <w:left w:val="nil"/>
              <w:bottom w:val="single" w:sz="8" w:space="0" w:color="auto"/>
              <w:right w:val="single" w:sz="8" w:space="0" w:color="auto"/>
            </w:tcBorders>
            <w:noWrap/>
            <w:vAlign w:val="center"/>
            <w:hideMark/>
          </w:tcPr>
          <w:p w14:paraId="37E6CD20"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6</w:t>
            </w:r>
          </w:p>
        </w:tc>
        <w:tc>
          <w:tcPr>
            <w:tcW w:w="1163" w:type="dxa"/>
            <w:tcBorders>
              <w:top w:val="nil"/>
              <w:left w:val="nil"/>
              <w:bottom w:val="single" w:sz="8" w:space="0" w:color="auto"/>
              <w:right w:val="single" w:sz="8" w:space="0" w:color="auto"/>
            </w:tcBorders>
            <w:noWrap/>
            <w:vAlign w:val="center"/>
            <w:hideMark/>
          </w:tcPr>
          <w:p w14:paraId="2C580E5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7</w:t>
            </w:r>
          </w:p>
        </w:tc>
        <w:tc>
          <w:tcPr>
            <w:tcW w:w="1163" w:type="dxa"/>
            <w:tcBorders>
              <w:top w:val="nil"/>
              <w:left w:val="nil"/>
              <w:bottom w:val="single" w:sz="8" w:space="0" w:color="auto"/>
              <w:right w:val="single" w:sz="8" w:space="0" w:color="auto"/>
            </w:tcBorders>
            <w:noWrap/>
            <w:vAlign w:val="center"/>
            <w:hideMark/>
          </w:tcPr>
          <w:p w14:paraId="492B88B5"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8</w:t>
            </w:r>
          </w:p>
        </w:tc>
        <w:tc>
          <w:tcPr>
            <w:tcW w:w="1191" w:type="dxa"/>
            <w:tcBorders>
              <w:top w:val="nil"/>
              <w:left w:val="nil"/>
              <w:bottom w:val="single" w:sz="8" w:space="0" w:color="auto"/>
              <w:right w:val="single" w:sz="8" w:space="0" w:color="auto"/>
            </w:tcBorders>
            <w:noWrap/>
            <w:vAlign w:val="center"/>
            <w:hideMark/>
          </w:tcPr>
          <w:p w14:paraId="262864D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9</w:t>
            </w:r>
          </w:p>
        </w:tc>
        <w:tc>
          <w:tcPr>
            <w:tcW w:w="945" w:type="dxa"/>
            <w:vMerge w:val="restart"/>
            <w:tcBorders>
              <w:top w:val="nil"/>
              <w:left w:val="single" w:sz="8" w:space="0" w:color="auto"/>
              <w:bottom w:val="single" w:sz="8" w:space="0" w:color="000000"/>
              <w:right w:val="single" w:sz="8" w:space="0" w:color="auto"/>
            </w:tcBorders>
            <w:noWrap/>
            <w:vAlign w:val="center"/>
            <w:hideMark/>
          </w:tcPr>
          <w:p w14:paraId="76B0705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Conc (μg/ml)</w:t>
            </w:r>
          </w:p>
        </w:tc>
        <w:tc>
          <w:tcPr>
            <w:tcW w:w="855" w:type="dxa"/>
            <w:tcBorders>
              <w:top w:val="nil"/>
              <w:left w:val="nil"/>
              <w:bottom w:val="single" w:sz="8" w:space="0" w:color="auto"/>
              <w:right w:val="single" w:sz="8" w:space="0" w:color="auto"/>
            </w:tcBorders>
            <w:vAlign w:val="center"/>
            <w:hideMark/>
          </w:tcPr>
          <w:p w14:paraId="69D22E8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Gallic acid (Standard)</w:t>
            </w:r>
          </w:p>
        </w:tc>
      </w:tr>
      <w:tr w:rsidR="002C143B" w:rsidRPr="006C78D6" w14:paraId="38F99635" w14:textId="77777777" w:rsidTr="002C143B">
        <w:trPr>
          <w:trHeight w:val="636"/>
        </w:trPr>
        <w:tc>
          <w:tcPr>
            <w:tcW w:w="980" w:type="dxa"/>
            <w:tcBorders>
              <w:top w:val="nil"/>
              <w:left w:val="single" w:sz="8" w:space="0" w:color="auto"/>
              <w:bottom w:val="single" w:sz="8" w:space="0" w:color="auto"/>
              <w:right w:val="single" w:sz="8" w:space="0" w:color="auto"/>
            </w:tcBorders>
            <w:vAlign w:val="center"/>
            <w:hideMark/>
          </w:tcPr>
          <w:p w14:paraId="629450A8"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w:t>
            </w:r>
          </w:p>
        </w:tc>
        <w:tc>
          <w:tcPr>
            <w:tcW w:w="1170" w:type="dxa"/>
            <w:tcBorders>
              <w:top w:val="nil"/>
              <w:left w:val="nil"/>
              <w:bottom w:val="single" w:sz="8" w:space="0" w:color="auto"/>
              <w:right w:val="single" w:sz="8" w:space="0" w:color="auto"/>
            </w:tcBorders>
            <w:vAlign w:val="center"/>
            <w:hideMark/>
          </w:tcPr>
          <w:p w14:paraId="6EE72BB3"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58456B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100229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6D3AFE5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0B3B9457"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7B68D8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15FFED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5AC0113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15612AA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945" w:type="dxa"/>
            <w:vMerge/>
            <w:tcBorders>
              <w:top w:val="nil"/>
              <w:left w:val="single" w:sz="8" w:space="0" w:color="auto"/>
              <w:bottom w:val="single" w:sz="8" w:space="0" w:color="000000"/>
              <w:right w:val="single" w:sz="8" w:space="0" w:color="auto"/>
            </w:tcBorders>
            <w:vAlign w:val="center"/>
            <w:hideMark/>
          </w:tcPr>
          <w:p w14:paraId="4BAED68F"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p>
        </w:tc>
        <w:tc>
          <w:tcPr>
            <w:tcW w:w="855" w:type="dxa"/>
            <w:tcBorders>
              <w:top w:val="nil"/>
              <w:left w:val="nil"/>
              <w:bottom w:val="single" w:sz="8" w:space="0" w:color="auto"/>
              <w:right w:val="single" w:sz="8" w:space="0" w:color="auto"/>
            </w:tcBorders>
            <w:vAlign w:val="center"/>
            <w:hideMark/>
          </w:tcPr>
          <w:p w14:paraId="0D6A102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r>
      <w:tr w:rsidR="002C143B" w:rsidRPr="006C78D6" w14:paraId="06C5CEC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5A044F6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70" w:type="dxa"/>
            <w:tcBorders>
              <w:top w:val="nil"/>
              <w:left w:val="nil"/>
              <w:bottom w:val="single" w:sz="8" w:space="0" w:color="auto"/>
              <w:right w:val="single" w:sz="8" w:space="0" w:color="auto"/>
            </w:tcBorders>
            <w:noWrap/>
            <w:vAlign w:val="center"/>
            <w:hideMark/>
          </w:tcPr>
          <w:p w14:paraId="7266648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5D2B678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652FBA2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3062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4F259E4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13508D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1AA109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2EE9107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3E2A2D6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945" w:type="dxa"/>
            <w:tcBorders>
              <w:top w:val="nil"/>
              <w:left w:val="nil"/>
              <w:bottom w:val="single" w:sz="8" w:space="0" w:color="auto"/>
              <w:right w:val="single" w:sz="8" w:space="0" w:color="auto"/>
            </w:tcBorders>
            <w:noWrap/>
            <w:vAlign w:val="center"/>
            <w:hideMark/>
          </w:tcPr>
          <w:p w14:paraId="731D9A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855" w:type="dxa"/>
            <w:tcBorders>
              <w:top w:val="nil"/>
              <w:left w:val="nil"/>
              <w:bottom w:val="single" w:sz="8" w:space="0" w:color="auto"/>
              <w:right w:val="single" w:sz="8" w:space="0" w:color="auto"/>
            </w:tcBorders>
            <w:noWrap/>
            <w:vAlign w:val="center"/>
            <w:hideMark/>
          </w:tcPr>
          <w:p w14:paraId="51B4239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r>
      <w:tr w:rsidR="002C143B" w:rsidRPr="006C78D6" w14:paraId="00DBE3E1"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D9AF60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1170" w:type="dxa"/>
            <w:tcBorders>
              <w:top w:val="nil"/>
              <w:left w:val="nil"/>
              <w:bottom w:val="single" w:sz="8" w:space="0" w:color="auto"/>
              <w:right w:val="single" w:sz="8" w:space="0" w:color="auto"/>
            </w:tcBorders>
            <w:noWrap/>
            <w:vAlign w:val="center"/>
            <w:hideMark/>
          </w:tcPr>
          <w:p w14:paraId="6CDDFBF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5.77</w:t>
            </w:r>
          </w:p>
        </w:tc>
        <w:tc>
          <w:tcPr>
            <w:tcW w:w="1163" w:type="dxa"/>
            <w:tcBorders>
              <w:top w:val="nil"/>
              <w:left w:val="nil"/>
              <w:bottom w:val="single" w:sz="8" w:space="0" w:color="auto"/>
              <w:right w:val="single" w:sz="8" w:space="0" w:color="auto"/>
            </w:tcBorders>
            <w:noWrap/>
            <w:vAlign w:val="center"/>
            <w:hideMark/>
          </w:tcPr>
          <w:p w14:paraId="1B17B88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1.22</w:t>
            </w:r>
          </w:p>
        </w:tc>
        <w:tc>
          <w:tcPr>
            <w:tcW w:w="1163" w:type="dxa"/>
            <w:tcBorders>
              <w:top w:val="nil"/>
              <w:left w:val="nil"/>
              <w:bottom w:val="single" w:sz="8" w:space="0" w:color="auto"/>
              <w:right w:val="single" w:sz="8" w:space="0" w:color="auto"/>
            </w:tcBorders>
            <w:noWrap/>
            <w:vAlign w:val="center"/>
            <w:hideMark/>
          </w:tcPr>
          <w:p w14:paraId="780DDFE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w:t>
            </w:r>
          </w:p>
        </w:tc>
        <w:tc>
          <w:tcPr>
            <w:tcW w:w="1163" w:type="dxa"/>
            <w:tcBorders>
              <w:top w:val="nil"/>
              <w:left w:val="nil"/>
              <w:bottom w:val="single" w:sz="8" w:space="0" w:color="auto"/>
              <w:right w:val="single" w:sz="8" w:space="0" w:color="auto"/>
            </w:tcBorders>
            <w:noWrap/>
            <w:vAlign w:val="center"/>
            <w:hideMark/>
          </w:tcPr>
          <w:p w14:paraId="4752FC0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12.06</w:t>
            </w:r>
          </w:p>
        </w:tc>
        <w:tc>
          <w:tcPr>
            <w:tcW w:w="1191" w:type="dxa"/>
            <w:tcBorders>
              <w:top w:val="nil"/>
              <w:left w:val="nil"/>
              <w:bottom w:val="single" w:sz="8" w:space="0" w:color="auto"/>
              <w:right w:val="single" w:sz="8" w:space="0" w:color="auto"/>
            </w:tcBorders>
            <w:noWrap/>
            <w:vAlign w:val="center"/>
            <w:hideMark/>
          </w:tcPr>
          <w:p w14:paraId="559C70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8.41</w:t>
            </w:r>
          </w:p>
        </w:tc>
        <w:tc>
          <w:tcPr>
            <w:tcW w:w="1163" w:type="dxa"/>
            <w:tcBorders>
              <w:top w:val="nil"/>
              <w:left w:val="nil"/>
              <w:bottom w:val="single" w:sz="8" w:space="0" w:color="auto"/>
              <w:right w:val="single" w:sz="8" w:space="0" w:color="auto"/>
            </w:tcBorders>
            <w:noWrap/>
            <w:vAlign w:val="center"/>
            <w:hideMark/>
          </w:tcPr>
          <w:p w14:paraId="6DA1B4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3.09</w:t>
            </w:r>
          </w:p>
        </w:tc>
        <w:tc>
          <w:tcPr>
            <w:tcW w:w="1163" w:type="dxa"/>
            <w:tcBorders>
              <w:top w:val="nil"/>
              <w:left w:val="nil"/>
              <w:bottom w:val="single" w:sz="8" w:space="0" w:color="auto"/>
              <w:right w:val="single" w:sz="8" w:space="0" w:color="auto"/>
            </w:tcBorders>
            <w:noWrap/>
            <w:vAlign w:val="center"/>
            <w:hideMark/>
          </w:tcPr>
          <w:p w14:paraId="6F866A8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7.96</w:t>
            </w:r>
          </w:p>
        </w:tc>
        <w:tc>
          <w:tcPr>
            <w:tcW w:w="1163" w:type="dxa"/>
            <w:tcBorders>
              <w:top w:val="nil"/>
              <w:left w:val="nil"/>
              <w:bottom w:val="single" w:sz="8" w:space="0" w:color="auto"/>
              <w:right w:val="single" w:sz="8" w:space="0" w:color="auto"/>
            </w:tcBorders>
            <w:noWrap/>
            <w:vAlign w:val="center"/>
            <w:hideMark/>
          </w:tcPr>
          <w:p w14:paraId="12B0F83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5.60</w:t>
            </w:r>
          </w:p>
        </w:tc>
        <w:tc>
          <w:tcPr>
            <w:tcW w:w="1191" w:type="dxa"/>
            <w:tcBorders>
              <w:top w:val="nil"/>
              <w:left w:val="nil"/>
              <w:bottom w:val="single" w:sz="8" w:space="0" w:color="auto"/>
              <w:right w:val="single" w:sz="8" w:space="0" w:color="auto"/>
            </w:tcBorders>
            <w:noWrap/>
            <w:vAlign w:val="center"/>
            <w:hideMark/>
          </w:tcPr>
          <w:p w14:paraId="2A2DFF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w:t>
            </w:r>
          </w:p>
        </w:tc>
        <w:tc>
          <w:tcPr>
            <w:tcW w:w="945" w:type="dxa"/>
            <w:tcBorders>
              <w:top w:val="nil"/>
              <w:left w:val="nil"/>
              <w:bottom w:val="single" w:sz="8" w:space="0" w:color="auto"/>
              <w:right w:val="single" w:sz="8" w:space="0" w:color="auto"/>
            </w:tcBorders>
            <w:noWrap/>
            <w:vAlign w:val="center"/>
            <w:hideMark/>
          </w:tcPr>
          <w:p w14:paraId="41B9A9C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w:t>
            </w:r>
          </w:p>
        </w:tc>
        <w:tc>
          <w:tcPr>
            <w:tcW w:w="855" w:type="dxa"/>
            <w:tcBorders>
              <w:top w:val="nil"/>
              <w:left w:val="nil"/>
              <w:bottom w:val="single" w:sz="8" w:space="0" w:color="auto"/>
              <w:right w:val="single" w:sz="8" w:space="0" w:color="auto"/>
            </w:tcBorders>
            <w:noWrap/>
            <w:vAlign w:val="center"/>
            <w:hideMark/>
          </w:tcPr>
          <w:p w14:paraId="0AB29A7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9.45</w:t>
            </w:r>
          </w:p>
        </w:tc>
      </w:tr>
      <w:tr w:rsidR="002C143B" w:rsidRPr="006C78D6" w14:paraId="26CEF66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EC1E7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1170" w:type="dxa"/>
            <w:tcBorders>
              <w:top w:val="nil"/>
              <w:left w:val="nil"/>
              <w:bottom w:val="single" w:sz="8" w:space="0" w:color="auto"/>
              <w:right w:val="single" w:sz="8" w:space="0" w:color="auto"/>
            </w:tcBorders>
            <w:noWrap/>
            <w:vAlign w:val="center"/>
            <w:hideMark/>
          </w:tcPr>
          <w:p w14:paraId="3FE4E0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10.14</w:t>
            </w:r>
          </w:p>
        </w:tc>
        <w:tc>
          <w:tcPr>
            <w:tcW w:w="1163" w:type="dxa"/>
            <w:tcBorders>
              <w:top w:val="nil"/>
              <w:left w:val="nil"/>
              <w:bottom w:val="single" w:sz="8" w:space="0" w:color="auto"/>
              <w:right w:val="single" w:sz="8" w:space="0" w:color="auto"/>
            </w:tcBorders>
            <w:noWrap/>
            <w:vAlign w:val="center"/>
            <w:hideMark/>
          </w:tcPr>
          <w:p w14:paraId="4A756C7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4.08</w:t>
            </w:r>
          </w:p>
        </w:tc>
        <w:tc>
          <w:tcPr>
            <w:tcW w:w="1163" w:type="dxa"/>
            <w:tcBorders>
              <w:top w:val="nil"/>
              <w:left w:val="nil"/>
              <w:bottom w:val="single" w:sz="8" w:space="0" w:color="auto"/>
              <w:right w:val="single" w:sz="8" w:space="0" w:color="auto"/>
            </w:tcBorders>
            <w:noWrap/>
            <w:vAlign w:val="center"/>
            <w:hideMark/>
          </w:tcPr>
          <w:p w14:paraId="15CF09D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10.16</w:t>
            </w:r>
          </w:p>
        </w:tc>
        <w:tc>
          <w:tcPr>
            <w:tcW w:w="1163" w:type="dxa"/>
            <w:tcBorders>
              <w:top w:val="nil"/>
              <w:left w:val="nil"/>
              <w:bottom w:val="single" w:sz="8" w:space="0" w:color="auto"/>
              <w:right w:val="single" w:sz="8" w:space="0" w:color="auto"/>
            </w:tcBorders>
            <w:noWrap/>
            <w:vAlign w:val="center"/>
            <w:hideMark/>
          </w:tcPr>
          <w:p w14:paraId="42BA4E0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16.34</w:t>
            </w:r>
          </w:p>
        </w:tc>
        <w:tc>
          <w:tcPr>
            <w:tcW w:w="1191" w:type="dxa"/>
            <w:tcBorders>
              <w:top w:val="nil"/>
              <w:left w:val="nil"/>
              <w:bottom w:val="single" w:sz="8" w:space="0" w:color="auto"/>
              <w:right w:val="single" w:sz="8" w:space="0" w:color="auto"/>
            </w:tcBorders>
            <w:noWrap/>
            <w:vAlign w:val="center"/>
            <w:hideMark/>
          </w:tcPr>
          <w:p w14:paraId="005169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13.24</w:t>
            </w:r>
          </w:p>
        </w:tc>
        <w:tc>
          <w:tcPr>
            <w:tcW w:w="1163" w:type="dxa"/>
            <w:tcBorders>
              <w:top w:val="nil"/>
              <w:left w:val="nil"/>
              <w:bottom w:val="single" w:sz="8" w:space="0" w:color="auto"/>
              <w:right w:val="single" w:sz="8" w:space="0" w:color="auto"/>
            </w:tcBorders>
            <w:noWrap/>
            <w:vAlign w:val="center"/>
            <w:hideMark/>
          </w:tcPr>
          <w:p w14:paraId="4E38A64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14.66</w:t>
            </w:r>
          </w:p>
        </w:tc>
        <w:tc>
          <w:tcPr>
            <w:tcW w:w="1163" w:type="dxa"/>
            <w:tcBorders>
              <w:top w:val="nil"/>
              <w:left w:val="nil"/>
              <w:bottom w:val="single" w:sz="8" w:space="0" w:color="auto"/>
              <w:right w:val="single" w:sz="8" w:space="0" w:color="auto"/>
            </w:tcBorders>
            <w:noWrap/>
            <w:vAlign w:val="center"/>
            <w:hideMark/>
          </w:tcPr>
          <w:p w14:paraId="6E503B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22.00</w:t>
            </w:r>
          </w:p>
        </w:tc>
        <w:tc>
          <w:tcPr>
            <w:tcW w:w="1163" w:type="dxa"/>
            <w:tcBorders>
              <w:top w:val="nil"/>
              <w:left w:val="nil"/>
              <w:bottom w:val="single" w:sz="8" w:space="0" w:color="auto"/>
              <w:right w:val="single" w:sz="8" w:space="0" w:color="auto"/>
            </w:tcBorders>
            <w:noWrap/>
            <w:vAlign w:val="center"/>
            <w:hideMark/>
          </w:tcPr>
          <w:p w14:paraId="16F6459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13.31</w:t>
            </w:r>
          </w:p>
        </w:tc>
        <w:tc>
          <w:tcPr>
            <w:tcW w:w="1191" w:type="dxa"/>
            <w:tcBorders>
              <w:top w:val="nil"/>
              <w:left w:val="nil"/>
              <w:bottom w:val="single" w:sz="8" w:space="0" w:color="auto"/>
              <w:right w:val="single" w:sz="8" w:space="0" w:color="auto"/>
            </w:tcBorders>
            <w:noWrap/>
            <w:vAlign w:val="center"/>
            <w:hideMark/>
          </w:tcPr>
          <w:p w14:paraId="00D903B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14.58</w:t>
            </w:r>
          </w:p>
        </w:tc>
        <w:tc>
          <w:tcPr>
            <w:tcW w:w="945" w:type="dxa"/>
            <w:tcBorders>
              <w:top w:val="nil"/>
              <w:left w:val="nil"/>
              <w:bottom w:val="single" w:sz="8" w:space="0" w:color="auto"/>
              <w:right w:val="single" w:sz="8" w:space="0" w:color="auto"/>
            </w:tcBorders>
            <w:noWrap/>
            <w:vAlign w:val="center"/>
            <w:hideMark/>
          </w:tcPr>
          <w:p w14:paraId="2070E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w:t>
            </w:r>
          </w:p>
        </w:tc>
        <w:tc>
          <w:tcPr>
            <w:tcW w:w="855" w:type="dxa"/>
            <w:tcBorders>
              <w:top w:val="nil"/>
              <w:left w:val="nil"/>
              <w:bottom w:val="single" w:sz="8" w:space="0" w:color="auto"/>
              <w:right w:val="single" w:sz="8" w:space="0" w:color="auto"/>
            </w:tcBorders>
            <w:noWrap/>
            <w:vAlign w:val="center"/>
            <w:hideMark/>
          </w:tcPr>
          <w:p w14:paraId="276D4A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22.20</w:t>
            </w:r>
          </w:p>
        </w:tc>
      </w:tr>
      <w:tr w:rsidR="002C143B" w:rsidRPr="006C78D6" w14:paraId="0523DC14"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CCFF24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1170" w:type="dxa"/>
            <w:tcBorders>
              <w:top w:val="nil"/>
              <w:left w:val="nil"/>
              <w:bottom w:val="single" w:sz="8" w:space="0" w:color="auto"/>
              <w:right w:val="single" w:sz="8" w:space="0" w:color="auto"/>
            </w:tcBorders>
            <w:noWrap/>
            <w:vAlign w:val="center"/>
            <w:hideMark/>
          </w:tcPr>
          <w:p w14:paraId="008F2F2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19.81</w:t>
            </w:r>
          </w:p>
        </w:tc>
        <w:tc>
          <w:tcPr>
            <w:tcW w:w="1163" w:type="dxa"/>
            <w:tcBorders>
              <w:top w:val="nil"/>
              <w:left w:val="nil"/>
              <w:bottom w:val="single" w:sz="8" w:space="0" w:color="auto"/>
              <w:right w:val="single" w:sz="8" w:space="0" w:color="auto"/>
            </w:tcBorders>
            <w:noWrap/>
            <w:vAlign w:val="center"/>
            <w:hideMark/>
          </w:tcPr>
          <w:p w14:paraId="100F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9.65</w:t>
            </w:r>
          </w:p>
        </w:tc>
        <w:tc>
          <w:tcPr>
            <w:tcW w:w="1163" w:type="dxa"/>
            <w:tcBorders>
              <w:top w:val="nil"/>
              <w:left w:val="nil"/>
              <w:bottom w:val="single" w:sz="8" w:space="0" w:color="auto"/>
              <w:right w:val="single" w:sz="8" w:space="0" w:color="auto"/>
            </w:tcBorders>
            <w:noWrap/>
            <w:vAlign w:val="center"/>
            <w:hideMark/>
          </w:tcPr>
          <w:p w14:paraId="4B5A42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17.56</w:t>
            </w:r>
          </w:p>
        </w:tc>
        <w:tc>
          <w:tcPr>
            <w:tcW w:w="1163" w:type="dxa"/>
            <w:tcBorders>
              <w:top w:val="nil"/>
              <w:left w:val="nil"/>
              <w:bottom w:val="single" w:sz="8" w:space="0" w:color="auto"/>
              <w:right w:val="single" w:sz="8" w:space="0" w:color="auto"/>
            </w:tcBorders>
            <w:noWrap/>
            <w:vAlign w:val="center"/>
            <w:hideMark/>
          </w:tcPr>
          <w:p w14:paraId="60C53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27.63</w:t>
            </w:r>
          </w:p>
        </w:tc>
        <w:tc>
          <w:tcPr>
            <w:tcW w:w="1191" w:type="dxa"/>
            <w:tcBorders>
              <w:top w:val="nil"/>
              <w:left w:val="nil"/>
              <w:bottom w:val="single" w:sz="8" w:space="0" w:color="auto"/>
              <w:right w:val="single" w:sz="8" w:space="0" w:color="auto"/>
            </w:tcBorders>
            <w:noWrap/>
            <w:vAlign w:val="center"/>
            <w:hideMark/>
          </w:tcPr>
          <w:p w14:paraId="08B8683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21.81</w:t>
            </w:r>
          </w:p>
        </w:tc>
        <w:tc>
          <w:tcPr>
            <w:tcW w:w="1163" w:type="dxa"/>
            <w:tcBorders>
              <w:top w:val="nil"/>
              <w:left w:val="nil"/>
              <w:bottom w:val="single" w:sz="8" w:space="0" w:color="auto"/>
              <w:right w:val="single" w:sz="8" w:space="0" w:color="auto"/>
            </w:tcBorders>
            <w:noWrap/>
            <w:vAlign w:val="center"/>
            <w:hideMark/>
          </w:tcPr>
          <w:p w14:paraId="2582123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25.57</w:t>
            </w:r>
          </w:p>
        </w:tc>
        <w:tc>
          <w:tcPr>
            <w:tcW w:w="1163" w:type="dxa"/>
            <w:tcBorders>
              <w:top w:val="nil"/>
              <w:left w:val="nil"/>
              <w:bottom w:val="single" w:sz="8" w:space="0" w:color="auto"/>
              <w:right w:val="single" w:sz="8" w:space="0" w:color="auto"/>
            </w:tcBorders>
            <w:noWrap/>
            <w:vAlign w:val="center"/>
            <w:hideMark/>
          </w:tcPr>
          <w:p w14:paraId="0A01A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24.46</w:t>
            </w:r>
          </w:p>
        </w:tc>
        <w:tc>
          <w:tcPr>
            <w:tcW w:w="1163" w:type="dxa"/>
            <w:tcBorders>
              <w:top w:val="nil"/>
              <w:left w:val="nil"/>
              <w:bottom w:val="single" w:sz="8" w:space="0" w:color="auto"/>
              <w:right w:val="single" w:sz="8" w:space="0" w:color="auto"/>
            </w:tcBorders>
            <w:noWrap/>
            <w:vAlign w:val="center"/>
            <w:hideMark/>
          </w:tcPr>
          <w:p w14:paraId="7DC34EC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22.24</w:t>
            </w:r>
          </w:p>
        </w:tc>
        <w:tc>
          <w:tcPr>
            <w:tcW w:w="1191" w:type="dxa"/>
            <w:tcBorders>
              <w:top w:val="nil"/>
              <w:left w:val="nil"/>
              <w:bottom w:val="single" w:sz="8" w:space="0" w:color="auto"/>
              <w:right w:val="single" w:sz="8" w:space="0" w:color="auto"/>
            </w:tcBorders>
            <w:noWrap/>
            <w:vAlign w:val="center"/>
            <w:hideMark/>
          </w:tcPr>
          <w:p w14:paraId="48B1FE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29.69</w:t>
            </w:r>
          </w:p>
        </w:tc>
        <w:tc>
          <w:tcPr>
            <w:tcW w:w="945" w:type="dxa"/>
            <w:tcBorders>
              <w:top w:val="nil"/>
              <w:left w:val="nil"/>
              <w:bottom w:val="single" w:sz="8" w:space="0" w:color="auto"/>
              <w:right w:val="single" w:sz="8" w:space="0" w:color="auto"/>
            </w:tcBorders>
            <w:noWrap/>
            <w:vAlign w:val="center"/>
            <w:hideMark/>
          </w:tcPr>
          <w:p w14:paraId="6F760A9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w:t>
            </w:r>
          </w:p>
        </w:tc>
        <w:tc>
          <w:tcPr>
            <w:tcW w:w="855" w:type="dxa"/>
            <w:tcBorders>
              <w:top w:val="nil"/>
              <w:left w:val="nil"/>
              <w:bottom w:val="single" w:sz="8" w:space="0" w:color="auto"/>
              <w:right w:val="single" w:sz="8" w:space="0" w:color="auto"/>
            </w:tcBorders>
            <w:noWrap/>
            <w:vAlign w:val="center"/>
            <w:hideMark/>
          </w:tcPr>
          <w:p w14:paraId="1E823B2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34.96</w:t>
            </w:r>
          </w:p>
        </w:tc>
      </w:tr>
      <w:tr w:rsidR="002C143B" w:rsidRPr="006C78D6" w14:paraId="71494EC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4BBE926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1170" w:type="dxa"/>
            <w:tcBorders>
              <w:top w:val="nil"/>
              <w:left w:val="nil"/>
              <w:bottom w:val="single" w:sz="8" w:space="0" w:color="auto"/>
              <w:right w:val="single" w:sz="8" w:space="0" w:color="auto"/>
            </w:tcBorders>
            <w:noWrap/>
            <w:vAlign w:val="center"/>
            <w:hideMark/>
          </w:tcPr>
          <w:p w14:paraId="6902660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25.74</w:t>
            </w:r>
          </w:p>
        </w:tc>
        <w:tc>
          <w:tcPr>
            <w:tcW w:w="1163" w:type="dxa"/>
            <w:tcBorders>
              <w:top w:val="nil"/>
              <w:left w:val="nil"/>
              <w:bottom w:val="single" w:sz="8" w:space="0" w:color="auto"/>
              <w:right w:val="single" w:sz="8" w:space="0" w:color="auto"/>
            </w:tcBorders>
            <w:noWrap/>
            <w:vAlign w:val="center"/>
            <w:hideMark/>
          </w:tcPr>
          <w:p w14:paraId="1C11361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17.80</w:t>
            </w:r>
          </w:p>
        </w:tc>
        <w:tc>
          <w:tcPr>
            <w:tcW w:w="1163" w:type="dxa"/>
            <w:tcBorders>
              <w:top w:val="nil"/>
              <w:left w:val="nil"/>
              <w:bottom w:val="single" w:sz="8" w:space="0" w:color="auto"/>
              <w:right w:val="single" w:sz="8" w:space="0" w:color="auto"/>
            </w:tcBorders>
            <w:noWrap/>
            <w:vAlign w:val="center"/>
            <w:hideMark/>
          </w:tcPr>
          <w:p w14:paraId="5B5513D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23.08</w:t>
            </w:r>
          </w:p>
        </w:tc>
        <w:tc>
          <w:tcPr>
            <w:tcW w:w="1163" w:type="dxa"/>
            <w:tcBorders>
              <w:top w:val="nil"/>
              <w:left w:val="nil"/>
              <w:bottom w:val="single" w:sz="8" w:space="0" w:color="auto"/>
              <w:right w:val="single" w:sz="8" w:space="0" w:color="auto"/>
            </w:tcBorders>
            <w:noWrap/>
            <w:vAlign w:val="center"/>
            <w:hideMark/>
          </w:tcPr>
          <w:p w14:paraId="69E789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40.66</w:t>
            </w:r>
          </w:p>
        </w:tc>
        <w:tc>
          <w:tcPr>
            <w:tcW w:w="1191" w:type="dxa"/>
            <w:tcBorders>
              <w:top w:val="nil"/>
              <w:left w:val="nil"/>
              <w:bottom w:val="single" w:sz="8" w:space="0" w:color="auto"/>
              <w:right w:val="single" w:sz="8" w:space="0" w:color="auto"/>
            </w:tcBorders>
            <w:noWrap/>
            <w:vAlign w:val="center"/>
            <w:hideMark/>
          </w:tcPr>
          <w:p w14:paraId="72A353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31.62</w:t>
            </w:r>
          </w:p>
        </w:tc>
        <w:tc>
          <w:tcPr>
            <w:tcW w:w="1163" w:type="dxa"/>
            <w:tcBorders>
              <w:top w:val="nil"/>
              <w:left w:val="nil"/>
              <w:bottom w:val="single" w:sz="8" w:space="0" w:color="auto"/>
              <w:right w:val="single" w:sz="8" w:space="0" w:color="auto"/>
            </w:tcBorders>
            <w:noWrap/>
            <w:vAlign w:val="center"/>
            <w:hideMark/>
          </w:tcPr>
          <w:p w14:paraId="7EC10F5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30.46</w:t>
            </w:r>
          </w:p>
        </w:tc>
        <w:tc>
          <w:tcPr>
            <w:tcW w:w="1163" w:type="dxa"/>
            <w:tcBorders>
              <w:top w:val="nil"/>
              <w:left w:val="nil"/>
              <w:bottom w:val="single" w:sz="8" w:space="0" w:color="auto"/>
              <w:right w:val="single" w:sz="8" w:space="0" w:color="auto"/>
            </w:tcBorders>
            <w:noWrap/>
            <w:vAlign w:val="center"/>
            <w:hideMark/>
          </w:tcPr>
          <w:p w14:paraId="4F7560A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36.90</w:t>
            </w:r>
          </w:p>
        </w:tc>
        <w:tc>
          <w:tcPr>
            <w:tcW w:w="1163" w:type="dxa"/>
            <w:tcBorders>
              <w:top w:val="nil"/>
              <w:left w:val="nil"/>
              <w:bottom w:val="single" w:sz="8" w:space="0" w:color="auto"/>
              <w:right w:val="single" w:sz="8" w:space="0" w:color="auto"/>
            </w:tcBorders>
            <w:noWrap/>
            <w:vAlign w:val="center"/>
            <w:hideMark/>
          </w:tcPr>
          <w:p w14:paraId="650ACD5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33.98</w:t>
            </w:r>
          </w:p>
        </w:tc>
        <w:tc>
          <w:tcPr>
            <w:tcW w:w="1191" w:type="dxa"/>
            <w:tcBorders>
              <w:top w:val="nil"/>
              <w:left w:val="nil"/>
              <w:bottom w:val="single" w:sz="8" w:space="0" w:color="auto"/>
              <w:right w:val="single" w:sz="8" w:space="0" w:color="auto"/>
            </w:tcBorders>
            <w:noWrap/>
            <w:vAlign w:val="center"/>
            <w:hideMark/>
          </w:tcPr>
          <w:p w14:paraId="6A74BCE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38.37</w:t>
            </w:r>
          </w:p>
        </w:tc>
        <w:tc>
          <w:tcPr>
            <w:tcW w:w="945" w:type="dxa"/>
            <w:tcBorders>
              <w:top w:val="nil"/>
              <w:left w:val="nil"/>
              <w:bottom w:val="single" w:sz="8" w:space="0" w:color="auto"/>
              <w:right w:val="single" w:sz="8" w:space="0" w:color="auto"/>
            </w:tcBorders>
            <w:noWrap/>
            <w:vAlign w:val="center"/>
            <w:hideMark/>
          </w:tcPr>
          <w:p w14:paraId="1B7ECCA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855" w:type="dxa"/>
            <w:tcBorders>
              <w:top w:val="nil"/>
              <w:left w:val="nil"/>
              <w:bottom w:val="single" w:sz="8" w:space="0" w:color="auto"/>
              <w:right w:val="single" w:sz="8" w:space="0" w:color="auto"/>
            </w:tcBorders>
            <w:noWrap/>
            <w:vAlign w:val="center"/>
            <w:hideMark/>
          </w:tcPr>
          <w:p w14:paraId="6A7DA5A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48.50</w:t>
            </w:r>
          </w:p>
        </w:tc>
      </w:tr>
      <w:tr w:rsidR="002C143B" w:rsidRPr="006C78D6" w14:paraId="4F9402E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246061A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300</w:t>
            </w:r>
          </w:p>
        </w:tc>
        <w:tc>
          <w:tcPr>
            <w:tcW w:w="1170" w:type="dxa"/>
            <w:tcBorders>
              <w:top w:val="nil"/>
              <w:left w:val="nil"/>
              <w:bottom w:val="single" w:sz="8" w:space="0" w:color="auto"/>
              <w:right w:val="single" w:sz="8" w:space="0" w:color="auto"/>
            </w:tcBorders>
            <w:noWrap/>
            <w:vAlign w:val="center"/>
            <w:hideMark/>
          </w:tcPr>
          <w:p w14:paraId="208F9F4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36.51</w:t>
            </w:r>
          </w:p>
        </w:tc>
        <w:tc>
          <w:tcPr>
            <w:tcW w:w="1163" w:type="dxa"/>
            <w:tcBorders>
              <w:top w:val="nil"/>
              <w:left w:val="nil"/>
              <w:bottom w:val="single" w:sz="8" w:space="0" w:color="auto"/>
              <w:right w:val="single" w:sz="8" w:space="0" w:color="auto"/>
            </w:tcBorders>
            <w:noWrap/>
            <w:vAlign w:val="center"/>
            <w:hideMark/>
          </w:tcPr>
          <w:p w14:paraId="40DE75E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29.48</w:t>
            </w:r>
          </w:p>
        </w:tc>
        <w:tc>
          <w:tcPr>
            <w:tcW w:w="1163" w:type="dxa"/>
            <w:tcBorders>
              <w:top w:val="nil"/>
              <w:left w:val="nil"/>
              <w:bottom w:val="single" w:sz="8" w:space="0" w:color="auto"/>
              <w:right w:val="single" w:sz="8" w:space="0" w:color="auto"/>
            </w:tcBorders>
            <w:noWrap/>
            <w:vAlign w:val="center"/>
            <w:hideMark/>
          </w:tcPr>
          <w:p w14:paraId="315E1C9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31.49</w:t>
            </w:r>
          </w:p>
        </w:tc>
        <w:tc>
          <w:tcPr>
            <w:tcW w:w="1163" w:type="dxa"/>
            <w:tcBorders>
              <w:top w:val="nil"/>
              <w:left w:val="nil"/>
              <w:bottom w:val="single" w:sz="8" w:space="0" w:color="auto"/>
              <w:right w:val="single" w:sz="8" w:space="0" w:color="auto"/>
            </w:tcBorders>
            <w:noWrap/>
            <w:vAlign w:val="center"/>
            <w:hideMark/>
          </w:tcPr>
          <w:p w14:paraId="027AFE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48.95</w:t>
            </w:r>
          </w:p>
        </w:tc>
        <w:tc>
          <w:tcPr>
            <w:tcW w:w="1191" w:type="dxa"/>
            <w:tcBorders>
              <w:top w:val="nil"/>
              <w:left w:val="nil"/>
              <w:bottom w:val="single" w:sz="8" w:space="0" w:color="auto"/>
              <w:right w:val="single" w:sz="8" w:space="0" w:color="auto"/>
            </w:tcBorders>
            <w:noWrap/>
            <w:vAlign w:val="center"/>
            <w:hideMark/>
          </w:tcPr>
          <w:p w14:paraId="437BCE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53.43</w:t>
            </w:r>
          </w:p>
        </w:tc>
        <w:tc>
          <w:tcPr>
            <w:tcW w:w="1163" w:type="dxa"/>
            <w:tcBorders>
              <w:top w:val="nil"/>
              <w:left w:val="nil"/>
              <w:bottom w:val="single" w:sz="8" w:space="0" w:color="auto"/>
              <w:right w:val="single" w:sz="8" w:space="0" w:color="auto"/>
            </w:tcBorders>
            <w:noWrap/>
            <w:vAlign w:val="center"/>
            <w:hideMark/>
          </w:tcPr>
          <w:p w14:paraId="7FBE68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36.97</w:t>
            </w:r>
          </w:p>
        </w:tc>
        <w:tc>
          <w:tcPr>
            <w:tcW w:w="1163" w:type="dxa"/>
            <w:tcBorders>
              <w:top w:val="nil"/>
              <w:left w:val="nil"/>
              <w:bottom w:val="single" w:sz="8" w:space="0" w:color="auto"/>
              <w:right w:val="single" w:sz="8" w:space="0" w:color="auto"/>
            </w:tcBorders>
            <w:noWrap/>
            <w:vAlign w:val="center"/>
            <w:hideMark/>
          </w:tcPr>
          <w:p w14:paraId="46B4AC7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46.02</w:t>
            </w:r>
          </w:p>
        </w:tc>
        <w:tc>
          <w:tcPr>
            <w:tcW w:w="1163" w:type="dxa"/>
            <w:tcBorders>
              <w:top w:val="nil"/>
              <w:left w:val="nil"/>
              <w:bottom w:val="single" w:sz="8" w:space="0" w:color="auto"/>
              <w:right w:val="single" w:sz="8" w:space="0" w:color="auto"/>
            </w:tcBorders>
            <w:noWrap/>
            <w:vAlign w:val="center"/>
            <w:hideMark/>
          </w:tcPr>
          <w:p w14:paraId="1C491E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46.06</w:t>
            </w:r>
          </w:p>
        </w:tc>
        <w:tc>
          <w:tcPr>
            <w:tcW w:w="1191" w:type="dxa"/>
            <w:tcBorders>
              <w:top w:val="nil"/>
              <w:left w:val="nil"/>
              <w:bottom w:val="single" w:sz="8" w:space="0" w:color="auto"/>
              <w:right w:val="single" w:sz="8" w:space="0" w:color="auto"/>
            </w:tcBorders>
            <w:noWrap/>
            <w:vAlign w:val="center"/>
            <w:hideMark/>
          </w:tcPr>
          <w:p w14:paraId="3C17B97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47.92</w:t>
            </w:r>
          </w:p>
        </w:tc>
        <w:tc>
          <w:tcPr>
            <w:tcW w:w="945" w:type="dxa"/>
            <w:tcBorders>
              <w:top w:val="nil"/>
              <w:left w:val="nil"/>
              <w:bottom w:val="single" w:sz="8" w:space="0" w:color="auto"/>
              <w:right w:val="single" w:sz="8" w:space="0" w:color="auto"/>
            </w:tcBorders>
            <w:noWrap/>
            <w:vAlign w:val="center"/>
            <w:hideMark/>
          </w:tcPr>
          <w:p w14:paraId="753282C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w:t>
            </w:r>
          </w:p>
        </w:tc>
        <w:tc>
          <w:tcPr>
            <w:tcW w:w="855" w:type="dxa"/>
            <w:tcBorders>
              <w:top w:val="nil"/>
              <w:left w:val="nil"/>
              <w:bottom w:val="single" w:sz="8" w:space="0" w:color="auto"/>
              <w:right w:val="single" w:sz="8" w:space="0" w:color="auto"/>
            </w:tcBorders>
            <w:noWrap/>
            <w:vAlign w:val="center"/>
            <w:hideMark/>
          </w:tcPr>
          <w:p w14:paraId="2DD1401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53.07</w:t>
            </w:r>
          </w:p>
        </w:tc>
      </w:tr>
      <w:tr w:rsidR="002C143B" w:rsidRPr="006C78D6" w14:paraId="2BD790E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C4118C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w:t>
            </w:r>
          </w:p>
        </w:tc>
        <w:tc>
          <w:tcPr>
            <w:tcW w:w="1170" w:type="dxa"/>
            <w:tcBorders>
              <w:top w:val="nil"/>
              <w:left w:val="nil"/>
              <w:bottom w:val="single" w:sz="8" w:space="0" w:color="auto"/>
              <w:right w:val="single" w:sz="8" w:space="0" w:color="auto"/>
            </w:tcBorders>
            <w:noWrap/>
            <w:vAlign w:val="center"/>
            <w:hideMark/>
          </w:tcPr>
          <w:p w14:paraId="685FC26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45.87</w:t>
            </w:r>
          </w:p>
        </w:tc>
        <w:tc>
          <w:tcPr>
            <w:tcW w:w="1163" w:type="dxa"/>
            <w:tcBorders>
              <w:top w:val="nil"/>
              <w:left w:val="nil"/>
              <w:bottom w:val="single" w:sz="8" w:space="0" w:color="auto"/>
              <w:right w:val="single" w:sz="8" w:space="0" w:color="auto"/>
            </w:tcBorders>
            <w:noWrap/>
            <w:vAlign w:val="center"/>
            <w:hideMark/>
          </w:tcPr>
          <w:p w14:paraId="3CB315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35.87</w:t>
            </w:r>
          </w:p>
        </w:tc>
        <w:tc>
          <w:tcPr>
            <w:tcW w:w="1163" w:type="dxa"/>
            <w:tcBorders>
              <w:top w:val="nil"/>
              <w:left w:val="nil"/>
              <w:bottom w:val="single" w:sz="8" w:space="0" w:color="auto"/>
              <w:right w:val="single" w:sz="8" w:space="0" w:color="auto"/>
            </w:tcBorders>
            <w:noWrap/>
            <w:vAlign w:val="center"/>
            <w:hideMark/>
          </w:tcPr>
          <w:p w14:paraId="3D40856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49.06</w:t>
            </w:r>
          </w:p>
        </w:tc>
        <w:tc>
          <w:tcPr>
            <w:tcW w:w="1163" w:type="dxa"/>
            <w:tcBorders>
              <w:top w:val="nil"/>
              <w:left w:val="nil"/>
              <w:bottom w:val="single" w:sz="8" w:space="0" w:color="auto"/>
              <w:right w:val="single" w:sz="8" w:space="0" w:color="auto"/>
            </w:tcBorders>
            <w:noWrap/>
            <w:vAlign w:val="center"/>
            <w:hideMark/>
          </w:tcPr>
          <w:p w14:paraId="6F4A149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52.72</w:t>
            </w:r>
          </w:p>
        </w:tc>
        <w:tc>
          <w:tcPr>
            <w:tcW w:w="1191" w:type="dxa"/>
            <w:tcBorders>
              <w:top w:val="nil"/>
              <w:left w:val="nil"/>
              <w:bottom w:val="single" w:sz="8" w:space="0" w:color="auto"/>
              <w:right w:val="single" w:sz="8" w:space="0" w:color="auto"/>
            </w:tcBorders>
            <w:noWrap/>
            <w:vAlign w:val="center"/>
            <w:hideMark/>
          </w:tcPr>
          <w:p w14:paraId="08048E5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74.14</w:t>
            </w:r>
          </w:p>
        </w:tc>
        <w:tc>
          <w:tcPr>
            <w:tcW w:w="1163" w:type="dxa"/>
            <w:tcBorders>
              <w:top w:val="nil"/>
              <w:left w:val="nil"/>
              <w:bottom w:val="single" w:sz="8" w:space="0" w:color="auto"/>
              <w:right w:val="single" w:sz="8" w:space="0" w:color="auto"/>
            </w:tcBorders>
            <w:noWrap/>
            <w:vAlign w:val="center"/>
            <w:hideMark/>
          </w:tcPr>
          <w:p w14:paraId="31D677E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39.74</w:t>
            </w:r>
          </w:p>
        </w:tc>
        <w:tc>
          <w:tcPr>
            <w:tcW w:w="1163" w:type="dxa"/>
            <w:tcBorders>
              <w:top w:val="nil"/>
              <w:left w:val="nil"/>
              <w:bottom w:val="single" w:sz="8" w:space="0" w:color="auto"/>
              <w:right w:val="single" w:sz="8" w:space="0" w:color="auto"/>
            </w:tcBorders>
            <w:noWrap/>
            <w:vAlign w:val="center"/>
            <w:hideMark/>
          </w:tcPr>
          <w:p w14:paraId="0BC2A4E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56.44</w:t>
            </w:r>
          </w:p>
        </w:tc>
        <w:tc>
          <w:tcPr>
            <w:tcW w:w="1163" w:type="dxa"/>
            <w:tcBorders>
              <w:top w:val="nil"/>
              <w:left w:val="nil"/>
              <w:bottom w:val="single" w:sz="8" w:space="0" w:color="auto"/>
              <w:right w:val="single" w:sz="8" w:space="0" w:color="auto"/>
            </w:tcBorders>
            <w:noWrap/>
            <w:vAlign w:val="center"/>
            <w:hideMark/>
          </w:tcPr>
          <w:p w14:paraId="453CC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56.74</w:t>
            </w:r>
          </w:p>
        </w:tc>
        <w:tc>
          <w:tcPr>
            <w:tcW w:w="1191" w:type="dxa"/>
            <w:tcBorders>
              <w:top w:val="nil"/>
              <w:left w:val="nil"/>
              <w:bottom w:val="single" w:sz="8" w:space="0" w:color="auto"/>
              <w:right w:val="single" w:sz="8" w:space="0" w:color="auto"/>
            </w:tcBorders>
            <w:noWrap/>
            <w:vAlign w:val="center"/>
            <w:hideMark/>
          </w:tcPr>
          <w:p w14:paraId="47879B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57.81</w:t>
            </w:r>
          </w:p>
        </w:tc>
        <w:tc>
          <w:tcPr>
            <w:tcW w:w="945" w:type="dxa"/>
            <w:tcBorders>
              <w:top w:val="nil"/>
              <w:left w:val="nil"/>
              <w:bottom w:val="single" w:sz="8" w:space="0" w:color="auto"/>
              <w:right w:val="single" w:sz="8" w:space="0" w:color="auto"/>
            </w:tcBorders>
            <w:noWrap/>
            <w:vAlign w:val="center"/>
            <w:hideMark/>
          </w:tcPr>
          <w:p w14:paraId="386253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855" w:type="dxa"/>
            <w:tcBorders>
              <w:top w:val="nil"/>
              <w:left w:val="nil"/>
              <w:bottom w:val="single" w:sz="8" w:space="0" w:color="auto"/>
              <w:right w:val="single" w:sz="8" w:space="0" w:color="auto"/>
            </w:tcBorders>
            <w:noWrap/>
            <w:vAlign w:val="center"/>
            <w:hideMark/>
          </w:tcPr>
          <w:p w14:paraId="2F38A9D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62.05</w:t>
            </w:r>
          </w:p>
        </w:tc>
      </w:tr>
      <w:tr w:rsidR="002C143B" w:rsidRPr="006C78D6" w14:paraId="1EE2806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7DF409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1170" w:type="dxa"/>
            <w:tcBorders>
              <w:top w:val="nil"/>
              <w:left w:val="nil"/>
              <w:bottom w:val="single" w:sz="8" w:space="0" w:color="auto"/>
              <w:right w:val="single" w:sz="8" w:space="0" w:color="auto"/>
            </w:tcBorders>
            <w:noWrap/>
            <w:vAlign w:val="center"/>
            <w:hideMark/>
          </w:tcPr>
          <w:p w14:paraId="1ABEBE8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54.60</w:t>
            </w:r>
          </w:p>
        </w:tc>
        <w:tc>
          <w:tcPr>
            <w:tcW w:w="1163" w:type="dxa"/>
            <w:tcBorders>
              <w:top w:val="nil"/>
              <w:left w:val="nil"/>
              <w:bottom w:val="single" w:sz="8" w:space="0" w:color="auto"/>
              <w:right w:val="single" w:sz="8" w:space="0" w:color="auto"/>
            </w:tcBorders>
            <w:noWrap/>
            <w:vAlign w:val="center"/>
            <w:hideMark/>
          </w:tcPr>
          <w:p w14:paraId="22A0C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43.61</w:t>
            </w:r>
          </w:p>
        </w:tc>
        <w:tc>
          <w:tcPr>
            <w:tcW w:w="1163" w:type="dxa"/>
            <w:tcBorders>
              <w:top w:val="nil"/>
              <w:left w:val="nil"/>
              <w:bottom w:val="single" w:sz="8" w:space="0" w:color="auto"/>
              <w:right w:val="single" w:sz="8" w:space="0" w:color="auto"/>
            </w:tcBorders>
            <w:noWrap/>
            <w:vAlign w:val="center"/>
            <w:hideMark/>
          </w:tcPr>
          <w:p w14:paraId="0E52097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50.51</w:t>
            </w:r>
          </w:p>
        </w:tc>
        <w:tc>
          <w:tcPr>
            <w:tcW w:w="1163" w:type="dxa"/>
            <w:tcBorders>
              <w:top w:val="nil"/>
              <w:left w:val="nil"/>
              <w:bottom w:val="single" w:sz="8" w:space="0" w:color="auto"/>
              <w:right w:val="single" w:sz="8" w:space="0" w:color="auto"/>
            </w:tcBorders>
            <w:noWrap/>
            <w:vAlign w:val="center"/>
            <w:hideMark/>
          </w:tcPr>
          <w:p w14:paraId="7C4170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65.18</w:t>
            </w:r>
          </w:p>
        </w:tc>
        <w:tc>
          <w:tcPr>
            <w:tcW w:w="1191" w:type="dxa"/>
            <w:tcBorders>
              <w:top w:val="nil"/>
              <w:left w:val="nil"/>
              <w:bottom w:val="single" w:sz="8" w:space="0" w:color="auto"/>
              <w:right w:val="single" w:sz="8" w:space="0" w:color="auto"/>
            </w:tcBorders>
            <w:noWrap/>
            <w:vAlign w:val="center"/>
            <w:hideMark/>
          </w:tcPr>
          <w:p w14:paraId="757CEBB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77.41</w:t>
            </w:r>
          </w:p>
        </w:tc>
        <w:tc>
          <w:tcPr>
            <w:tcW w:w="1163" w:type="dxa"/>
            <w:tcBorders>
              <w:top w:val="nil"/>
              <w:left w:val="nil"/>
              <w:bottom w:val="single" w:sz="8" w:space="0" w:color="auto"/>
              <w:right w:val="single" w:sz="8" w:space="0" w:color="auto"/>
            </w:tcBorders>
            <w:noWrap/>
            <w:vAlign w:val="center"/>
            <w:hideMark/>
          </w:tcPr>
          <w:p w14:paraId="546AE36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40.07</w:t>
            </w:r>
          </w:p>
        </w:tc>
        <w:tc>
          <w:tcPr>
            <w:tcW w:w="1163" w:type="dxa"/>
            <w:tcBorders>
              <w:top w:val="nil"/>
              <w:left w:val="nil"/>
              <w:bottom w:val="single" w:sz="8" w:space="0" w:color="auto"/>
              <w:right w:val="single" w:sz="8" w:space="0" w:color="auto"/>
            </w:tcBorders>
            <w:noWrap/>
            <w:vAlign w:val="center"/>
            <w:hideMark/>
          </w:tcPr>
          <w:p w14:paraId="23A2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62.08</w:t>
            </w:r>
          </w:p>
        </w:tc>
        <w:tc>
          <w:tcPr>
            <w:tcW w:w="1163" w:type="dxa"/>
            <w:tcBorders>
              <w:top w:val="nil"/>
              <w:left w:val="nil"/>
              <w:bottom w:val="single" w:sz="8" w:space="0" w:color="auto"/>
              <w:right w:val="single" w:sz="8" w:space="0" w:color="auto"/>
            </w:tcBorders>
            <w:noWrap/>
            <w:vAlign w:val="center"/>
            <w:hideMark/>
          </w:tcPr>
          <w:p w14:paraId="39C1471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69.00</w:t>
            </w:r>
          </w:p>
        </w:tc>
        <w:tc>
          <w:tcPr>
            <w:tcW w:w="1191" w:type="dxa"/>
            <w:tcBorders>
              <w:top w:val="nil"/>
              <w:left w:val="nil"/>
              <w:bottom w:val="single" w:sz="8" w:space="0" w:color="auto"/>
              <w:right w:val="single" w:sz="8" w:space="0" w:color="auto"/>
            </w:tcBorders>
            <w:noWrap/>
            <w:vAlign w:val="center"/>
            <w:hideMark/>
          </w:tcPr>
          <w:p w14:paraId="46D1235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69.79</w:t>
            </w:r>
          </w:p>
        </w:tc>
        <w:tc>
          <w:tcPr>
            <w:tcW w:w="945" w:type="dxa"/>
            <w:tcBorders>
              <w:top w:val="nil"/>
              <w:left w:val="nil"/>
              <w:bottom w:val="single" w:sz="8" w:space="0" w:color="auto"/>
              <w:right w:val="single" w:sz="8" w:space="0" w:color="auto"/>
            </w:tcBorders>
            <w:noWrap/>
            <w:vAlign w:val="center"/>
            <w:hideMark/>
          </w:tcPr>
          <w:p w14:paraId="604555E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855" w:type="dxa"/>
            <w:tcBorders>
              <w:top w:val="nil"/>
              <w:left w:val="nil"/>
              <w:bottom w:val="single" w:sz="8" w:space="0" w:color="auto"/>
              <w:right w:val="single" w:sz="8" w:space="0" w:color="auto"/>
            </w:tcBorders>
            <w:noWrap/>
            <w:vAlign w:val="center"/>
            <w:hideMark/>
          </w:tcPr>
          <w:p w14:paraId="5EFCAF6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69.45</w:t>
            </w:r>
          </w:p>
        </w:tc>
      </w:tr>
      <w:tr w:rsidR="002C143B" w:rsidRPr="006C78D6" w14:paraId="5691389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265A64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800</w:t>
            </w:r>
          </w:p>
        </w:tc>
        <w:tc>
          <w:tcPr>
            <w:tcW w:w="1170" w:type="dxa"/>
            <w:tcBorders>
              <w:top w:val="nil"/>
              <w:left w:val="nil"/>
              <w:bottom w:val="single" w:sz="8" w:space="0" w:color="auto"/>
              <w:right w:val="single" w:sz="8" w:space="0" w:color="auto"/>
            </w:tcBorders>
            <w:noWrap/>
            <w:vAlign w:val="center"/>
            <w:hideMark/>
          </w:tcPr>
          <w:p w14:paraId="40A97D2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60.53</w:t>
            </w:r>
          </w:p>
        </w:tc>
        <w:tc>
          <w:tcPr>
            <w:tcW w:w="1163" w:type="dxa"/>
            <w:tcBorders>
              <w:top w:val="nil"/>
              <w:left w:val="nil"/>
              <w:bottom w:val="single" w:sz="8" w:space="0" w:color="auto"/>
              <w:right w:val="single" w:sz="8" w:space="0" w:color="auto"/>
            </w:tcBorders>
            <w:noWrap/>
            <w:vAlign w:val="center"/>
            <w:hideMark/>
          </w:tcPr>
          <w:p w14:paraId="413285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51.77</w:t>
            </w:r>
          </w:p>
        </w:tc>
        <w:tc>
          <w:tcPr>
            <w:tcW w:w="1163" w:type="dxa"/>
            <w:tcBorders>
              <w:top w:val="nil"/>
              <w:left w:val="nil"/>
              <w:bottom w:val="single" w:sz="8" w:space="0" w:color="auto"/>
              <w:right w:val="single" w:sz="8" w:space="0" w:color="auto"/>
            </w:tcBorders>
            <w:noWrap/>
            <w:vAlign w:val="center"/>
            <w:hideMark/>
          </w:tcPr>
          <w:p w14:paraId="4A2AF0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64.59</w:t>
            </w:r>
          </w:p>
        </w:tc>
        <w:tc>
          <w:tcPr>
            <w:tcW w:w="1163" w:type="dxa"/>
            <w:tcBorders>
              <w:top w:val="nil"/>
              <w:left w:val="nil"/>
              <w:bottom w:val="single" w:sz="8" w:space="0" w:color="auto"/>
              <w:right w:val="single" w:sz="8" w:space="0" w:color="auto"/>
            </w:tcBorders>
            <w:noWrap/>
            <w:vAlign w:val="center"/>
            <w:hideMark/>
          </w:tcPr>
          <w:p w14:paraId="6C47F61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70.82</w:t>
            </w:r>
          </w:p>
        </w:tc>
        <w:tc>
          <w:tcPr>
            <w:tcW w:w="1191" w:type="dxa"/>
            <w:tcBorders>
              <w:top w:val="nil"/>
              <w:left w:val="nil"/>
              <w:bottom w:val="single" w:sz="8" w:space="0" w:color="auto"/>
              <w:right w:val="single" w:sz="8" w:space="0" w:color="auto"/>
            </w:tcBorders>
            <w:noWrap/>
            <w:vAlign w:val="center"/>
            <w:hideMark/>
          </w:tcPr>
          <w:p w14:paraId="1FB9BD1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82.55</w:t>
            </w:r>
          </w:p>
        </w:tc>
        <w:tc>
          <w:tcPr>
            <w:tcW w:w="1163" w:type="dxa"/>
            <w:tcBorders>
              <w:top w:val="nil"/>
              <w:left w:val="nil"/>
              <w:bottom w:val="single" w:sz="8" w:space="0" w:color="auto"/>
              <w:right w:val="single" w:sz="8" w:space="0" w:color="auto"/>
            </w:tcBorders>
            <w:noWrap/>
            <w:vAlign w:val="center"/>
            <w:hideMark/>
          </w:tcPr>
          <w:p w14:paraId="3398975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50.00</w:t>
            </w:r>
          </w:p>
        </w:tc>
        <w:tc>
          <w:tcPr>
            <w:tcW w:w="1163" w:type="dxa"/>
            <w:tcBorders>
              <w:top w:val="nil"/>
              <w:left w:val="nil"/>
              <w:bottom w:val="single" w:sz="8" w:space="0" w:color="auto"/>
              <w:right w:val="single" w:sz="8" w:space="0" w:color="auto"/>
            </w:tcBorders>
            <w:noWrap/>
            <w:vAlign w:val="center"/>
            <w:hideMark/>
          </w:tcPr>
          <w:p w14:paraId="7FF2B8F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67.15</w:t>
            </w:r>
          </w:p>
        </w:tc>
        <w:tc>
          <w:tcPr>
            <w:tcW w:w="1163" w:type="dxa"/>
            <w:tcBorders>
              <w:top w:val="nil"/>
              <w:left w:val="nil"/>
              <w:bottom w:val="single" w:sz="8" w:space="0" w:color="auto"/>
              <w:right w:val="single" w:sz="8" w:space="0" w:color="auto"/>
            </w:tcBorders>
            <w:noWrap/>
            <w:vAlign w:val="center"/>
            <w:hideMark/>
          </w:tcPr>
          <w:p w14:paraId="1DAF168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76.01</w:t>
            </w:r>
          </w:p>
        </w:tc>
        <w:tc>
          <w:tcPr>
            <w:tcW w:w="1191" w:type="dxa"/>
            <w:tcBorders>
              <w:top w:val="nil"/>
              <w:left w:val="nil"/>
              <w:bottom w:val="single" w:sz="8" w:space="0" w:color="auto"/>
              <w:right w:val="single" w:sz="8" w:space="0" w:color="auto"/>
            </w:tcBorders>
            <w:noWrap/>
            <w:vAlign w:val="center"/>
            <w:hideMark/>
          </w:tcPr>
          <w:p w14:paraId="61000C7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83.16</w:t>
            </w:r>
          </w:p>
        </w:tc>
        <w:tc>
          <w:tcPr>
            <w:tcW w:w="945" w:type="dxa"/>
            <w:tcBorders>
              <w:top w:val="nil"/>
              <w:left w:val="nil"/>
              <w:bottom w:val="single" w:sz="8" w:space="0" w:color="auto"/>
              <w:right w:val="single" w:sz="8" w:space="0" w:color="auto"/>
            </w:tcBorders>
            <w:noWrap/>
            <w:vAlign w:val="center"/>
            <w:hideMark/>
          </w:tcPr>
          <w:p w14:paraId="59EA04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855" w:type="dxa"/>
            <w:tcBorders>
              <w:top w:val="nil"/>
              <w:left w:val="nil"/>
              <w:bottom w:val="single" w:sz="8" w:space="0" w:color="auto"/>
              <w:right w:val="single" w:sz="8" w:space="0" w:color="auto"/>
            </w:tcBorders>
            <w:noWrap/>
            <w:vAlign w:val="center"/>
            <w:hideMark/>
          </w:tcPr>
          <w:p w14:paraId="01CAA7B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82.05</w:t>
            </w:r>
          </w:p>
        </w:tc>
      </w:tr>
      <w:tr w:rsidR="002C143B" w:rsidRPr="006C78D6" w14:paraId="37F97AA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1C344D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1000</w:t>
            </w:r>
          </w:p>
        </w:tc>
        <w:tc>
          <w:tcPr>
            <w:tcW w:w="1170" w:type="dxa"/>
            <w:tcBorders>
              <w:top w:val="nil"/>
              <w:left w:val="nil"/>
              <w:bottom w:val="single" w:sz="8" w:space="0" w:color="auto"/>
              <w:right w:val="single" w:sz="8" w:space="0" w:color="auto"/>
            </w:tcBorders>
            <w:noWrap/>
            <w:vAlign w:val="center"/>
            <w:hideMark/>
          </w:tcPr>
          <w:p w14:paraId="1D8D0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63.34</w:t>
            </w:r>
          </w:p>
        </w:tc>
        <w:tc>
          <w:tcPr>
            <w:tcW w:w="1163" w:type="dxa"/>
            <w:tcBorders>
              <w:top w:val="nil"/>
              <w:left w:val="nil"/>
              <w:bottom w:val="single" w:sz="8" w:space="0" w:color="auto"/>
              <w:right w:val="single" w:sz="8" w:space="0" w:color="auto"/>
            </w:tcBorders>
            <w:noWrap/>
            <w:vAlign w:val="center"/>
            <w:hideMark/>
          </w:tcPr>
          <w:p w14:paraId="46106B5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61.41</w:t>
            </w:r>
          </w:p>
        </w:tc>
        <w:tc>
          <w:tcPr>
            <w:tcW w:w="1163" w:type="dxa"/>
            <w:tcBorders>
              <w:top w:val="nil"/>
              <w:left w:val="nil"/>
              <w:bottom w:val="single" w:sz="8" w:space="0" w:color="auto"/>
              <w:right w:val="single" w:sz="8" w:space="0" w:color="auto"/>
            </w:tcBorders>
            <w:noWrap/>
            <w:vAlign w:val="center"/>
            <w:hideMark/>
          </w:tcPr>
          <w:p w14:paraId="7EF25CF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77.79</w:t>
            </w:r>
          </w:p>
        </w:tc>
        <w:tc>
          <w:tcPr>
            <w:tcW w:w="1163" w:type="dxa"/>
            <w:tcBorders>
              <w:top w:val="nil"/>
              <w:left w:val="nil"/>
              <w:bottom w:val="single" w:sz="8" w:space="0" w:color="auto"/>
              <w:right w:val="single" w:sz="8" w:space="0" w:color="auto"/>
            </w:tcBorders>
            <w:noWrap/>
            <w:vAlign w:val="center"/>
            <w:hideMark/>
          </w:tcPr>
          <w:p w14:paraId="32E6503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76.85</w:t>
            </w:r>
          </w:p>
        </w:tc>
        <w:tc>
          <w:tcPr>
            <w:tcW w:w="1191" w:type="dxa"/>
            <w:tcBorders>
              <w:top w:val="nil"/>
              <w:left w:val="nil"/>
              <w:bottom w:val="single" w:sz="8" w:space="0" w:color="auto"/>
              <w:right w:val="single" w:sz="8" w:space="0" w:color="auto"/>
            </w:tcBorders>
            <w:noWrap/>
            <w:vAlign w:val="center"/>
            <w:hideMark/>
          </w:tcPr>
          <w:p w14:paraId="489F52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84.42</w:t>
            </w:r>
          </w:p>
        </w:tc>
        <w:tc>
          <w:tcPr>
            <w:tcW w:w="1163" w:type="dxa"/>
            <w:tcBorders>
              <w:top w:val="nil"/>
              <w:left w:val="nil"/>
              <w:bottom w:val="single" w:sz="8" w:space="0" w:color="auto"/>
              <w:right w:val="single" w:sz="8" w:space="0" w:color="auto"/>
            </w:tcBorders>
            <w:noWrap/>
            <w:vAlign w:val="center"/>
            <w:hideMark/>
          </w:tcPr>
          <w:p w14:paraId="2329E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68.89</w:t>
            </w:r>
          </w:p>
        </w:tc>
        <w:tc>
          <w:tcPr>
            <w:tcW w:w="1163" w:type="dxa"/>
            <w:tcBorders>
              <w:top w:val="nil"/>
              <w:left w:val="nil"/>
              <w:bottom w:val="single" w:sz="8" w:space="0" w:color="auto"/>
              <w:right w:val="single" w:sz="8" w:space="0" w:color="auto"/>
            </w:tcBorders>
            <w:noWrap/>
            <w:vAlign w:val="center"/>
            <w:hideMark/>
          </w:tcPr>
          <w:p w14:paraId="194DD2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77.57</w:t>
            </w:r>
          </w:p>
        </w:tc>
        <w:tc>
          <w:tcPr>
            <w:tcW w:w="1163" w:type="dxa"/>
            <w:tcBorders>
              <w:top w:val="nil"/>
              <w:left w:val="nil"/>
              <w:bottom w:val="single" w:sz="8" w:space="0" w:color="auto"/>
              <w:right w:val="single" w:sz="8" w:space="0" w:color="auto"/>
            </w:tcBorders>
            <w:noWrap/>
            <w:vAlign w:val="center"/>
            <w:hideMark/>
          </w:tcPr>
          <w:p w14:paraId="5983D13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81.26</w:t>
            </w:r>
          </w:p>
        </w:tc>
        <w:tc>
          <w:tcPr>
            <w:tcW w:w="1191" w:type="dxa"/>
            <w:tcBorders>
              <w:top w:val="nil"/>
              <w:left w:val="nil"/>
              <w:bottom w:val="single" w:sz="8" w:space="0" w:color="auto"/>
              <w:right w:val="single" w:sz="8" w:space="0" w:color="auto"/>
            </w:tcBorders>
            <w:noWrap/>
            <w:vAlign w:val="center"/>
            <w:hideMark/>
          </w:tcPr>
          <w:p w14:paraId="30FE543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84.38</w:t>
            </w:r>
          </w:p>
        </w:tc>
        <w:tc>
          <w:tcPr>
            <w:tcW w:w="945" w:type="dxa"/>
            <w:tcBorders>
              <w:top w:val="nil"/>
              <w:left w:val="nil"/>
              <w:bottom w:val="single" w:sz="8" w:space="0" w:color="auto"/>
              <w:right w:val="single" w:sz="8" w:space="0" w:color="auto"/>
            </w:tcBorders>
            <w:noWrap/>
            <w:vAlign w:val="center"/>
            <w:hideMark/>
          </w:tcPr>
          <w:p w14:paraId="27F2B4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855" w:type="dxa"/>
            <w:tcBorders>
              <w:top w:val="nil"/>
              <w:left w:val="nil"/>
              <w:bottom w:val="single" w:sz="8" w:space="0" w:color="auto"/>
              <w:right w:val="single" w:sz="8" w:space="0" w:color="auto"/>
            </w:tcBorders>
            <w:noWrap/>
            <w:vAlign w:val="center"/>
            <w:hideMark/>
          </w:tcPr>
          <w:p w14:paraId="2511D3D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91.50</w:t>
            </w:r>
          </w:p>
        </w:tc>
      </w:tr>
    </w:tbl>
    <w:p w14:paraId="2F97F626" w14:textId="77777777" w:rsidR="004214C5" w:rsidRPr="006C78D6" w:rsidRDefault="004214C5">
      <w:pPr>
        <w:rPr>
          <w:rFonts w:asciiTheme="majorBidi" w:hAnsiTheme="majorBidi" w:cstheme="majorBidi"/>
          <w:lang w:val="en-GB"/>
        </w:rPr>
      </w:pPr>
    </w:p>
    <w:p w14:paraId="56E18C80" w14:textId="77777777" w:rsidR="00F71930" w:rsidRPr="006C78D6" w:rsidRDefault="00F71930">
      <w:pPr>
        <w:rPr>
          <w:rFonts w:asciiTheme="majorBidi" w:hAnsiTheme="majorBidi" w:cstheme="majorBidi"/>
          <w:lang w:val="en-GB"/>
        </w:rPr>
      </w:pPr>
    </w:p>
    <w:p w14:paraId="652EFCFC" w14:textId="77777777" w:rsidR="00F71930" w:rsidRPr="006C78D6" w:rsidRDefault="00F71930">
      <w:pPr>
        <w:rPr>
          <w:rFonts w:asciiTheme="majorBidi" w:hAnsiTheme="majorBidi" w:cstheme="majorBidi"/>
          <w:lang w:val="en-GB"/>
        </w:rPr>
      </w:pPr>
    </w:p>
    <w:p w14:paraId="27E473CF" w14:textId="77777777" w:rsidR="00F71930" w:rsidRPr="006C78D6" w:rsidRDefault="00F71930">
      <w:pPr>
        <w:rPr>
          <w:rFonts w:asciiTheme="majorBidi" w:hAnsiTheme="majorBidi" w:cstheme="majorBidi"/>
          <w:lang w:val="en-GB"/>
        </w:rPr>
      </w:pPr>
    </w:p>
    <w:p w14:paraId="41B48977" w14:textId="77777777" w:rsidR="00F71930" w:rsidRPr="006C78D6" w:rsidRDefault="00F71930">
      <w:pPr>
        <w:rPr>
          <w:rFonts w:asciiTheme="majorBidi" w:hAnsiTheme="majorBidi" w:cstheme="majorBidi"/>
          <w:lang w:val="en-GB"/>
        </w:rPr>
      </w:pPr>
    </w:p>
    <w:p w14:paraId="1A1F3EB3" w14:textId="77777777" w:rsidR="00F71930" w:rsidRPr="006C78D6" w:rsidRDefault="00F71930">
      <w:pPr>
        <w:rPr>
          <w:rFonts w:asciiTheme="majorBidi" w:hAnsiTheme="majorBidi" w:cstheme="majorBidi"/>
          <w:lang w:val="en-GB"/>
        </w:rPr>
      </w:pPr>
    </w:p>
    <w:p w14:paraId="2D87CD33" w14:textId="77777777" w:rsidR="00F71930" w:rsidRPr="006C78D6" w:rsidRDefault="00F71930">
      <w:pPr>
        <w:rPr>
          <w:rFonts w:asciiTheme="majorBidi" w:hAnsiTheme="majorBidi" w:cstheme="majorBidi"/>
          <w:lang w:val="en-GB"/>
        </w:rPr>
      </w:pPr>
    </w:p>
    <w:p w14:paraId="6CFDF393" w14:textId="77777777" w:rsidR="00F71930" w:rsidRPr="006C78D6" w:rsidRDefault="00F71930">
      <w:pPr>
        <w:rPr>
          <w:rFonts w:asciiTheme="majorBidi" w:hAnsiTheme="majorBidi" w:cstheme="majorBidi"/>
          <w:lang w:val="en-GB"/>
        </w:rPr>
      </w:pPr>
    </w:p>
    <w:p w14:paraId="720DEE54" w14:textId="5C23E6ED" w:rsidR="00327254" w:rsidRPr="006C78D6" w:rsidRDefault="00327254" w:rsidP="00327254">
      <w:pPr>
        <w:rPr>
          <w:rFonts w:asciiTheme="majorBidi" w:hAnsiTheme="majorBidi" w:cstheme="majorBidi"/>
          <w:lang w:val="en-GB"/>
        </w:rPr>
      </w:pPr>
      <w:r w:rsidRPr="006C78D6">
        <w:rPr>
          <w:rFonts w:asciiTheme="majorBidi" w:hAnsiTheme="majorBidi" w:cstheme="majorBidi"/>
          <w:lang w:val="en-GB"/>
        </w:rPr>
        <w:t xml:space="preserve">Table 2: Result of </w:t>
      </w:r>
      <w:r w:rsidRPr="006C78D6">
        <w:rPr>
          <w:rFonts w:asciiTheme="majorBidi" w:eastAsia="Times New Roman" w:hAnsiTheme="majorBidi" w:cstheme="majorBidi"/>
          <w:color w:val="000000"/>
        </w:rPr>
        <w:t xml:space="preserve">Nitric oxide radical scavenging capacities </w:t>
      </w:r>
    </w:p>
    <w:tbl>
      <w:tblPr>
        <w:tblW w:w="14225" w:type="dxa"/>
        <w:tblLook w:val="04A0" w:firstRow="1" w:lastRow="0" w:firstColumn="1" w:lastColumn="0" w:noHBand="0" w:noVBand="1"/>
      </w:tblPr>
      <w:tblGrid>
        <w:gridCol w:w="1379"/>
        <w:gridCol w:w="1163"/>
        <w:gridCol w:w="1447"/>
        <w:gridCol w:w="1260"/>
        <w:gridCol w:w="1260"/>
        <w:gridCol w:w="1260"/>
        <w:gridCol w:w="1260"/>
        <w:gridCol w:w="1260"/>
        <w:gridCol w:w="1170"/>
        <w:gridCol w:w="1260"/>
        <w:gridCol w:w="824"/>
        <w:gridCol w:w="1116"/>
      </w:tblGrid>
      <w:tr w:rsidR="00327254" w:rsidRPr="006C78D6" w14:paraId="4B16B0F5" w14:textId="77777777" w:rsidTr="002C143B">
        <w:trPr>
          <w:trHeight w:val="300"/>
        </w:trPr>
        <w:tc>
          <w:tcPr>
            <w:tcW w:w="12285" w:type="dxa"/>
            <w:gridSpan w:val="10"/>
            <w:tcBorders>
              <w:top w:val="single" w:sz="4" w:space="0" w:color="auto"/>
              <w:left w:val="single" w:sz="4" w:space="0" w:color="auto"/>
              <w:bottom w:val="single" w:sz="4" w:space="0" w:color="auto"/>
              <w:right w:val="single" w:sz="4" w:space="0" w:color="auto"/>
            </w:tcBorders>
            <w:noWrap/>
            <w:vAlign w:val="bottom"/>
            <w:hideMark/>
          </w:tcPr>
          <w:p w14:paraId="1B7D01EE"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Nitric oxide radical scavenging capacities of Test groups</w:t>
            </w:r>
          </w:p>
        </w:tc>
        <w:tc>
          <w:tcPr>
            <w:tcW w:w="1940" w:type="dxa"/>
            <w:gridSpan w:val="2"/>
            <w:tcBorders>
              <w:top w:val="single" w:sz="4" w:space="0" w:color="auto"/>
              <w:left w:val="nil"/>
              <w:bottom w:val="single" w:sz="4" w:space="0" w:color="auto"/>
              <w:right w:val="single" w:sz="4" w:space="0" w:color="auto"/>
            </w:tcBorders>
            <w:noWrap/>
            <w:vAlign w:val="bottom"/>
            <w:hideMark/>
          </w:tcPr>
          <w:p w14:paraId="25BFD337"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F71930" w:rsidRPr="006C78D6" w14:paraId="45B8A0AF"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408F87E3" w14:textId="77777777" w:rsidR="00327254" w:rsidRPr="006C78D6" w:rsidRDefault="00327254"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5D5CE3F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1</w:t>
            </w:r>
          </w:p>
        </w:tc>
        <w:tc>
          <w:tcPr>
            <w:tcW w:w="1447" w:type="dxa"/>
            <w:tcBorders>
              <w:top w:val="nil"/>
              <w:left w:val="nil"/>
              <w:bottom w:val="single" w:sz="4" w:space="0" w:color="auto"/>
              <w:right w:val="single" w:sz="4" w:space="0" w:color="auto"/>
            </w:tcBorders>
            <w:noWrap/>
            <w:vAlign w:val="bottom"/>
            <w:hideMark/>
          </w:tcPr>
          <w:p w14:paraId="4FA31030"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2</w:t>
            </w:r>
          </w:p>
        </w:tc>
        <w:tc>
          <w:tcPr>
            <w:tcW w:w="1260" w:type="dxa"/>
            <w:tcBorders>
              <w:top w:val="nil"/>
              <w:left w:val="nil"/>
              <w:bottom w:val="single" w:sz="4" w:space="0" w:color="auto"/>
              <w:right w:val="single" w:sz="4" w:space="0" w:color="auto"/>
            </w:tcBorders>
            <w:noWrap/>
            <w:vAlign w:val="bottom"/>
            <w:hideMark/>
          </w:tcPr>
          <w:p w14:paraId="3DB0F2E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3</w:t>
            </w:r>
          </w:p>
        </w:tc>
        <w:tc>
          <w:tcPr>
            <w:tcW w:w="1260" w:type="dxa"/>
            <w:tcBorders>
              <w:top w:val="nil"/>
              <w:left w:val="nil"/>
              <w:bottom w:val="single" w:sz="4" w:space="0" w:color="auto"/>
              <w:right w:val="single" w:sz="4" w:space="0" w:color="auto"/>
            </w:tcBorders>
            <w:noWrap/>
            <w:vAlign w:val="bottom"/>
            <w:hideMark/>
          </w:tcPr>
          <w:p w14:paraId="48627BB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4</w:t>
            </w:r>
          </w:p>
        </w:tc>
        <w:tc>
          <w:tcPr>
            <w:tcW w:w="1260" w:type="dxa"/>
            <w:tcBorders>
              <w:top w:val="nil"/>
              <w:left w:val="nil"/>
              <w:bottom w:val="single" w:sz="4" w:space="0" w:color="auto"/>
              <w:right w:val="single" w:sz="4" w:space="0" w:color="auto"/>
            </w:tcBorders>
            <w:noWrap/>
            <w:vAlign w:val="bottom"/>
            <w:hideMark/>
          </w:tcPr>
          <w:p w14:paraId="05316E2F"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5</w:t>
            </w:r>
          </w:p>
        </w:tc>
        <w:tc>
          <w:tcPr>
            <w:tcW w:w="1260" w:type="dxa"/>
            <w:tcBorders>
              <w:top w:val="nil"/>
              <w:left w:val="nil"/>
              <w:bottom w:val="single" w:sz="4" w:space="0" w:color="auto"/>
              <w:right w:val="single" w:sz="4" w:space="0" w:color="auto"/>
            </w:tcBorders>
            <w:noWrap/>
            <w:vAlign w:val="bottom"/>
            <w:hideMark/>
          </w:tcPr>
          <w:p w14:paraId="545CABDB"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6</w:t>
            </w:r>
          </w:p>
        </w:tc>
        <w:tc>
          <w:tcPr>
            <w:tcW w:w="1260" w:type="dxa"/>
            <w:tcBorders>
              <w:top w:val="nil"/>
              <w:left w:val="nil"/>
              <w:bottom w:val="single" w:sz="4" w:space="0" w:color="auto"/>
              <w:right w:val="single" w:sz="4" w:space="0" w:color="auto"/>
            </w:tcBorders>
            <w:noWrap/>
            <w:vAlign w:val="bottom"/>
            <w:hideMark/>
          </w:tcPr>
          <w:p w14:paraId="0239E5E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7</w:t>
            </w:r>
          </w:p>
        </w:tc>
        <w:tc>
          <w:tcPr>
            <w:tcW w:w="1170" w:type="dxa"/>
            <w:tcBorders>
              <w:top w:val="nil"/>
              <w:left w:val="nil"/>
              <w:bottom w:val="single" w:sz="4" w:space="0" w:color="auto"/>
              <w:right w:val="single" w:sz="4" w:space="0" w:color="auto"/>
            </w:tcBorders>
            <w:noWrap/>
            <w:vAlign w:val="bottom"/>
            <w:hideMark/>
          </w:tcPr>
          <w:p w14:paraId="02356D4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8</w:t>
            </w:r>
          </w:p>
        </w:tc>
        <w:tc>
          <w:tcPr>
            <w:tcW w:w="1260" w:type="dxa"/>
            <w:tcBorders>
              <w:top w:val="nil"/>
              <w:left w:val="nil"/>
              <w:bottom w:val="single" w:sz="4" w:space="0" w:color="auto"/>
              <w:right w:val="single" w:sz="4" w:space="0" w:color="auto"/>
            </w:tcBorders>
            <w:noWrap/>
            <w:vAlign w:val="bottom"/>
            <w:hideMark/>
          </w:tcPr>
          <w:p w14:paraId="56AD92D6"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9</w:t>
            </w:r>
          </w:p>
        </w:tc>
        <w:tc>
          <w:tcPr>
            <w:tcW w:w="1940" w:type="dxa"/>
            <w:gridSpan w:val="2"/>
            <w:tcBorders>
              <w:top w:val="single" w:sz="4" w:space="0" w:color="auto"/>
              <w:left w:val="nil"/>
              <w:bottom w:val="single" w:sz="4" w:space="0" w:color="auto"/>
              <w:right w:val="single" w:sz="4" w:space="0" w:color="auto"/>
            </w:tcBorders>
            <w:noWrap/>
            <w:vAlign w:val="bottom"/>
            <w:hideMark/>
          </w:tcPr>
          <w:p w14:paraId="5BE6F101" w14:textId="77777777" w:rsidR="00327254" w:rsidRPr="006C78D6" w:rsidRDefault="00327254" w:rsidP="002D3364">
            <w:pPr>
              <w:spacing w:after="0" w:line="240" w:lineRule="auto"/>
              <w:jc w:val="center"/>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Quercetin Standard</w:t>
            </w:r>
          </w:p>
        </w:tc>
      </w:tr>
      <w:tr w:rsidR="00F71930" w:rsidRPr="006C78D6" w14:paraId="5F16A8F4"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56F933F0" w14:textId="77777777" w:rsidR="00327254" w:rsidRPr="006C78D6" w:rsidRDefault="00327254" w:rsidP="002D3364">
            <w:pPr>
              <w:spacing w:after="0" w:line="240" w:lineRule="auto"/>
              <w:rPr>
                <w:rFonts w:asciiTheme="majorBidi" w:eastAsia="Times New Roman" w:hAnsiTheme="majorBidi" w:cstheme="majorBidi"/>
                <w:color w:val="000000"/>
              </w:rPr>
            </w:pPr>
            <w:commentRangeStart w:id="25"/>
            <w:r w:rsidRPr="006C78D6">
              <w:rPr>
                <w:rFonts w:asciiTheme="majorBidi" w:eastAsia="Times New Roman" w:hAnsiTheme="majorBidi" w:cstheme="majorBidi"/>
                <w:color w:val="000000"/>
              </w:rPr>
              <w:t>Conc (</w:t>
            </w:r>
            <w:proofErr w:type="spellStart"/>
            <w:r w:rsidRPr="006C78D6">
              <w:rPr>
                <w:rFonts w:asciiTheme="majorBidi" w:eastAsia="Times New Roman" w:hAnsiTheme="majorBidi" w:cstheme="majorBidi"/>
                <w:color w:val="000000"/>
              </w:rPr>
              <w:t>μg</w:t>
            </w:r>
            <w:proofErr w:type="spellEnd"/>
            <w:r w:rsidRPr="006C78D6">
              <w:rPr>
                <w:rFonts w:asciiTheme="majorBidi" w:eastAsia="Times New Roman" w:hAnsiTheme="majorBidi" w:cstheme="majorBidi"/>
                <w:color w:val="000000"/>
              </w:rPr>
              <w:t>/ml)</w:t>
            </w:r>
            <w:commentRangeEnd w:id="25"/>
            <w:r w:rsidR="001C507E">
              <w:rPr>
                <w:rStyle w:val="CommentReference"/>
              </w:rPr>
              <w:commentReference w:id="25"/>
            </w:r>
          </w:p>
        </w:tc>
        <w:tc>
          <w:tcPr>
            <w:tcW w:w="1163" w:type="dxa"/>
            <w:tcBorders>
              <w:top w:val="nil"/>
              <w:left w:val="nil"/>
              <w:bottom w:val="single" w:sz="4" w:space="0" w:color="auto"/>
              <w:right w:val="single" w:sz="4" w:space="0" w:color="auto"/>
            </w:tcBorders>
            <w:noWrap/>
            <w:vAlign w:val="bottom"/>
            <w:hideMark/>
          </w:tcPr>
          <w:p w14:paraId="314A5A4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447" w:type="dxa"/>
            <w:tcBorders>
              <w:top w:val="nil"/>
              <w:left w:val="nil"/>
              <w:bottom w:val="single" w:sz="4" w:space="0" w:color="auto"/>
              <w:right w:val="single" w:sz="4" w:space="0" w:color="auto"/>
            </w:tcBorders>
            <w:noWrap/>
            <w:vAlign w:val="bottom"/>
            <w:hideMark/>
          </w:tcPr>
          <w:p w14:paraId="0C76125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 NO* Garlic</w:t>
            </w:r>
          </w:p>
        </w:tc>
        <w:tc>
          <w:tcPr>
            <w:tcW w:w="1260" w:type="dxa"/>
            <w:tcBorders>
              <w:top w:val="nil"/>
              <w:left w:val="nil"/>
              <w:bottom w:val="single" w:sz="4" w:space="0" w:color="auto"/>
              <w:right w:val="single" w:sz="4" w:space="0" w:color="auto"/>
            </w:tcBorders>
            <w:noWrap/>
            <w:vAlign w:val="bottom"/>
            <w:hideMark/>
          </w:tcPr>
          <w:p w14:paraId="28AA3E1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61CD1D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3AAA3A7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F926EAE"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1FACD59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170" w:type="dxa"/>
            <w:tcBorders>
              <w:top w:val="nil"/>
              <w:left w:val="nil"/>
              <w:bottom w:val="single" w:sz="4" w:space="0" w:color="auto"/>
              <w:right w:val="single" w:sz="4" w:space="0" w:color="auto"/>
            </w:tcBorders>
            <w:noWrap/>
            <w:vAlign w:val="bottom"/>
            <w:hideMark/>
          </w:tcPr>
          <w:p w14:paraId="4489D2A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7663F6C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824" w:type="dxa"/>
            <w:tcBorders>
              <w:top w:val="nil"/>
              <w:left w:val="nil"/>
              <w:bottom w:val="single" w:sz="4" w:space="0" w:color="auto"/>
              <w:right w:val="single" w:sz="4" w:space="0" w:color="auto"/>
            </w:tcBorders>
            <w:noWrap/>
            <w:vAlign w:val="bottom"/>
            <w:hideMark/>
          </w:tcPr>
          <w:p w14:paraId="73FE6E5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Conc (μg/ml)</w:t>
            </w:r>
          </w:p>
        </w:tc>
        <w:tc>
          <w:tcPr>
            <w:tcW w:w="1116" w:type="dxa"/>
            <w:tcBorders>
              <w:top w:val="nil"/>
              <w:left w:val="nil"/>
              <w:bottom w:val="single" w:sz="4" w:space="0" w:color="auto"/>
              <w:right w:val="single" w:sz="4" w:space="0" w:color="auto"/>
            </w:tcBorders>
            <w:noWrap/>
            <w:vAlign w:val="bottom"/>
            <w:hideMark/>
          </w:tcPr>
          <w:p w14:paraId="02DC78E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r>
      <w:tr w:rsidR="00F71930" w:rsidRPr="006C78D6" w14:paraId="7F9986E0"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035C8897"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63" w:type="dxa"/>
            <w:tcBorders>
              <w:top w:val="nil"/>
              <w:left w:val="nil"/>
              <w:bottom w:val="single" w:sz="4" w:space="0" w:color="auto"/>
              <w:right w:val="single" w:sz="4" w:space="0" w:color="auto"/>
            </w:tcBorders>
            <w:noWrap/>
            <w:vAlign w:val="bottom"/>
            <w:hideMark/>
          </w:tcPr>
          <w:p w14:paraId="0FF0BB36"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447" w:type="dxa"/>
            <w:tcBorders>
              <w:top w:val="nil"/>
              <w:left w:val="nil"/>
              <w:bottom w:val="single" w:sz="4" w:space="0" w:color="auto"/>
              <w:right w:val="single" w:sz="4" w:space="0" w:color="auto"/>
            </w:tcBorders>
            <w:noWrap/>
            <w:vAlign w:val="bottom"/>
            <w:hideMark/>
          </w:tcPr>
          <w:p w14:paraId="214ABC7E"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B2DF840"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D999E3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957A48F"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250D01A"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14C3A3B"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70" w:type="dxa"/>
            <w:tcBorders>
              <w:top w:val="nil"/>
              <w:left w:val="nil"/>
              <w:bottom w:val="single" w:sz="4" w:space="0" w:color="auto"/>
              <w:right w:val="single" w:sz="4" w:space="0" w:color="auto"/>
            </w:tcBorders>
            <w:noWrap/>
            <w:vAlign w:val="bottom"/>
            <w:hideMark/>
          </w:tcPr>
          <w:p w14:paraId="5462B98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6A7476E9"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824" w:type="dxa"/>
            <w:tcBorders>
              <w:top w:val="nil"/>
              <w:left w:val="nil"/>
              <w:bottom w:val="single" w:sz="4" w:space="0" w:color="auto"/>
              <w:right w:val="single" w:sz="4" w:space="0" w:color="auto"/>
            </w:tcBorders>
            <w:noWrap/>
            <w:vAlign w:val="bottom"/>
            <w:hideMark/>
          </w:tcPr>
          <w:p w14:paraId="1102C70D"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16" w:type="dxa"/>
            <w:tcBorders>
              <w:top w:val="nil"/>
              <w:left w:val="nil"/>
              <w:bottom w:val="single" w:sz="4" w:space="0" w:color="auto"/>
              <w:right w:val="single" w:sz="4" w:space="0" w:color="auto"/>
            </w:tcBorders>
            <w:noWrap/>
            <w:vAlign w:val="bottom"/>
            <w:hideMark/>
          </w:tcPr>
          <w:p w14:paraId="329B019C"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r>
      <w:tr w:rsidR="002C143B" w:rsidRPr="006C78D6" w14:paraId="61B9957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FD82AF9" w14:textId="4D43ECB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62F56600" w14:textId="527EA5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8.12</w:t>
            </w:r>
          </w:p>
        </w:tc>
        <w:tc>
          <w:tcPr>
            <w:tcW w:w="1447" w:type="dxa"/>
            <w:tcBorders>
              <w:top w:val="nil"/>
              <w:left w:val="nil"/>
              <w:bottom w:val="single" w:sz="4" w:space="0" w:color="auto"/>
              <w:right w:val="single" w:sz="4" w:space="0" w:color="auto"/>
            </w:tcBorders>
            <w:noWrap/>
            <w:vAlign w:val="center"/>
            <w:hideMark/>
          </w:tcPr>
          <w:p w14:paraId="7B56FC24" w14:textId="3CB37B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12.36</w:t>
            </w:r>
          </w:p>
        </w:tc>
        <w:tc>
          <w:tcPr>
            <w:tcW w:w="1260" w:type="dxa"/>
            <w:tcBorders>
              <w:top w:val="nil"/>
              <w:left w:val="nil"/>
              <w:bottom w:val="single" w:sz="4" w:space="0" w:color="auto"/>
              <w:right w:val="single" w:sz="4" w:space="0" w:color="auto"/>
            </w:tcBorders>
            <w:noWrap/>
            <w:vAlign w:val="center"/>
            <w:hideMark/>
          </w:tcPr>
          <w:p w14:paraId="5313F1BB" w14:textId="0D67D6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7.89</w:t>
            </w:r>
          </w:p>
        </w:tc>
        <w:tc>
          <w:tcPr>
            <w:tcW w:w="1260" w:type="dxa"/>
            <w:tcBorders>
              <w:top w:val="nil"/>
              <w:left w:val="nil"/>
              <w:bottom w:val="single" w:sz="4" w:space="0" w:color="auto"/>
              <w:right w:val="single" w:sz="4" w:space="0" w:color="auto"/>
            </w:tcBorders>
            <w:noWrap/>
            <w:vAlign w:val="center"/>
            <w:hideMark/>
          </w:tcPr>
          <w:p w14:paraId="3F2D6821" w14:textId="61F1B7D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18.25</w:t>
            </w:r>
          </w:p>
        </w:tc>
        <w:tc>
          <w:tcPr>
            <w:tcW w:w="1260" w:type="dxa"/>
            <w:tcBorders>
              <w:top w:val="nil"/>
              <w:left w:val="nil"/>
              <w:bottom w:val="single" w:sz="4" w:space="0" w:color="auto"/>
              <w:right w:val="single" w:sz="4" w:space="0" w:color="auto"/>
            </w:tcBorders>
            <w:noWrap/>
            <w:vAlign w:val="center"/>
            <w:hideMark/>
          </w:tcPr>
          <w:p w14:paraId="4C00819F" w14:textId="6A2E39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20.63</w:t>
            </w:r>
          </w:p>
        </w:tc>
        <w:tc>
          <w:tcPr>
            <w:tcW w:w="1260" w:type="dxa"/>
            <w:tcBorders>
              <w:top w:val="nil"/>
              <w:left w:val="nil"/>
              <w:bottom w:val="single" w:sz="4" w:space="0" w:color="auto"/>
              <w:right w:val="single" w:sz="4" w:space="0" w:color="auto"/>
            </w:tcBorders>
            <w:noWrap/>
            <w:vAlign w:val="center"/>
            <w:hideMark/>
          </w:tcPr>
          <w:p w14:paraId="4A797D1D" w14:textId="15A263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260" w:type="dxa"/>
            <w:tcBorders>
              <w:top w:val="nil"/>
              <w:left w:val="nil"/>
              <w:bottom w:val="single" w:sz="4" w:space="0" w:color="auto"/>
              <w:right w:val="single" w:sz="4" w:space="0" w:color="auto"/>
            </w:tcBorders>
            <w:noWrap/>
            <w:vAlign w:val="center"/>
            <w:hideMark/>
          </w:tcPr>
          <w:p w14:paraId="31C19EE6" w14:textId="0703B4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34.31</w:t>
            </w:r>
          </w:p>
        </w:tc>
        <w:tc>
          <w:tcPr>
            <w:tcW w:w="1170" w:type="dxa"/>
            <w:tcBorders>
              <w:top w:val="nil"/>
              <w:left w:val="nil"/>
              <w:bottom w:val="single" w:sz="4" w:space="0" w:color="auto"/>
              <w:right w:val="single" w:sz="4" w:space="0" w:color="auto"/>
            </w:tcBorders>
            <w:noWrap/>
            <w:vAlign w:val="center"/>
            <w:hideMark/>
          </w:tcPr>
          <w:p w14:paraId="6BF99D77" w14:textId="0AEFDE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26.11</w:t>
            </w:r>
          </w:p>
        </w:tc>
        <w:tc>
          <w:tcPr>
            <w:tcW w:w="1260" w:type="dxa"/>
            <w:tcBorders>
              <w:top w:val="nil"/>
              <w:left w:val="nil"/>
              <w:bottom w:val="single" w:sz="4" w:space="0" w:color="auto"/>
              <w:right w:val="single" w:sz="4" w:space="0" w:color="auto"/>
            </w:tcBorders>
            <w:noWrap/>
            <w:vAlign w:val="center"/>
            <w:hideMark/>
          </w:tcPr>
          <w:p w14:paraId="621ADC1C" w14:textId="12EE64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26.06</w:t>
            </w:r>
          </w:p>
        </w:tc>
        <w:tc>
          <w:tcPr>
            <w:tcW w:w="824" w:type="dxa"/>
            <w:tcBorders>
              <w:top w:val="nil"/>
              <w:left w:val="nil"/>
              <w:bottom w:val="single" w:sz="4" w:space="0" w:color="auto"/>
              <w:right w:val="single" w:sz="4" w:space="0" w:color="auto"/>
            </w:tcBorders>
            <w:noWrap/>
            <w:vAlign w:val="center"/>
            <w:hideMark/>
          </w:tcPr>
          <w:p w14:paraId="3B7AFE01" w14:textId="19BADB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16" w:type="dxa"/>
            <w:tcBorders>
              <w:top w:val="nil"/>
              <w:left w:val="nil"/>
              <w:bottom w:val="single" w:sz="4" w:space="0" w:color="auto"/>
              <w:right w:val="single" w:sz="4" w:space="0" w:color="auto"/>
            </w:tcBorders>
            <w:noWrap/>
            <w:vAlign w:val="center"/>
            <w:hideMark/>
          </w:tcPr>
          <w:p w14:paraId="786F526A" w14:textId="0F93A5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33.46</w:t>
            </w:r>
          </w:p>
        </w:tc>
      </w:tr>
      <w:tr w:rsidR="002C143B" w:rsidRPr="006C78D6" w14:paraId="727B27C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7A87BF5" w14:textId="436740D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05A82B8B" w14:textId="79013B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17.48</w:t>
            </w:r>
          </w:p>
        </w:tc>
        <w:tc>
          <w:tcPr>
            <w:tcW w:w="1447" w:type="dxa"/>
            <w:tcBorders>
              <w:top w:val="nil"/>
              <w:left w:val="nil"/>
              <w:bottom w:val="single" w:sz="4" w:space="0" w:color="auto"/>
              <w:right w:val="single" w:sz="4" w:space="0" w:color="auto"/>
            </w:tcBorders>
            <w:noWrap/>
            <w:vAlign w:val="center"/>
            <w:hideMark/>
          </w:tcPr>
          <w:p w14:paraId="1F9B1631" w14:textId="49D2FC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10.28</w:t>
            </w:r>
          </w:p>
        </w:tc>
        <w:tc>
          <w:tcPr>
            <w:tcW w:w="1260" w:type="dxa"/>
            <w:tcBorders>
              <w:top w:val="nil"/>
              <w:left w:val="nil"/>
              <w:bottom w:val="single" w:sz="4" w:space="0" w:color="auto"/>
              <w:right w:val="single" w:sz="4" w:space="0" w:color="auto"/>
            </w:tcBorders>
            <w:noWrap/>
            <w:vAlign w:val="center"/>
            <w:hideMark/>
          </w:tcPr>
          <w:p w14:paraId="1BAF0D1A" w14:textId="6261587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14.38</w:t>
            </w:r>
          </w:p>
        </w:tc>
        <w:tc>
          <w:tcPr>
            <w:tcW w:w="1260" w:type="dxa"/>
            <w:tcBorders>
              <w:top w:val="nil"/>
              <w:left w:val="nil"/>
              <w:bottom w:val="single" w:sz="4" w:space="0" w:color="auto"/>
              <w:right w:val="single" w:sz="4" w:space="0" w:color="auto"/>
            </w:tcBorders>
            <w:noWrap/>
            <w:vAlign w:val="center"/>
            <w:hideMark/>
          </w:tcPr>
          <w:p w14:paraId="259653DF" w14:textId="2513DCA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38.33</w:t>
            </w:r>
          </w:p>
        </w:tc>
        <w:tc>
          <w:tcPr>
            <w:tcW w:w="1260" w:type="dxa"/>
            <w:tcBorders>
              <w:top w:val="nil"/>
              <w:left w:val="nil"/>
              <w:bottom w:val="single" w:sz="4" w:space="0" w:color="auto"/>
              <w:right w:val="single" w:sz="4" w:space="0" w:color="auto"/>
            </w:tcBorders>
            <w:noWrap/>
            <w:vAlign w:val="center"/>
            <w:hideMark/>
          </w:tcPr>
          <w:p w14:paraId="131C590C" w14:textId="5F34CFD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41.96</w:t>
            </w:r>
          </w:p>
        </w:tc>
        <w:tc>
          <w:tcPr>
            <w:tcW w:w="1260" w:type="dxa"/>
            <w:tcBorders>
              <w:top w:val="nil"/>
              <w:left w:val="nil"/>
              <w:bottom w:val="single" w:sz="4" w:space="0" w:color="auto"/>
              <w:right w:val="single" w:sz="4" w:space="0" w:color="auto"/>
            </w:tcBorders>
            <w:noWrap/>
            <w:vAlign w:val="center"/>
            <w:hideMark/>
          </w:tcPr>
          <w:p w14:paraId="4190DC54" w14:textId="6909B5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23.75</w:t>
            </w:r>
          </w:p>
        </w:tc>
        <w:tc>
          <w:tcPr>
            <w:tcW w:w="1260" w:type="dxa"/>
            <w:tcBorders>
              <w:top w:val="nil"/>
              <w:left w:val="nil"/>
              <w:bottom w:val="single" w:sz="4" w:space="0" w:color="auto"/>
              <w:right w:val="single" w:sz="4" w:space="0" w:color="auto"/>
            </w:tcBorders>
            <w:noWrap/>
            <w:vAlign w:val="center"/>
            <w:hideMark/>
          </w:tcPr>
          <w:p w14:paraId="6D615A7B" w14:textId="08C8AF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44.51</w:t>
            </w:r>
          </w:p>
        </w:tc>
        <w:tc>
          <w:tcPr>
            <w:tcW w:w="1170" w:type="dxa"/>
            <w:tcBorders>
              <w:top w:val="nil"/>
              <w:left w:val="nil"/>
              <w:bottom w:val="single" w:sz="4" w:space="0" w:color="auto"/>
              <w:right w:val="single" w:sz="4" w:space="0" w:color="auto"/>
            </w:tcBorders>
            <w:noWrap/>
            <w:vAlign w:val="center"/>
            <w:hideMark/>
          </w:tcPr>
          <w:p w14:paraId="4AD903F7" w14:textId="085617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36.95</w:t>
            </w:r>
          </w:p>
        </w:tc>
        <w:tc>
          <w:tcPr>
            <w:tcW w:w="1260" w:type="dxa"/>
            <w:tcBorders>
              <w:top w:val="nil"/>
              <w:left w:val="nil"/>
              <w:bottom w:val="single" w:sz="4" w:space="0" w:color="auto"/>
              <w:right w:val="single" w:sz="4" w:space="0" w:color="auto"/>
            </w:tcBorders>
            <w:noWrap/>
            <w:vAlign w:val="center"/>
            <w:hideMark/>
          </w:tcPr>
          <w:p w14:paraId="0279E823" w14:textId="2475CEF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44.05</w:t>
            </w:r>
          </w:p>
        </w:tc>
        <w:tc>
          <w:tcPr>
            <w:tcW w:w="824" w:type="dxa"/>
            <w:tcBorders>
              <w:top w:val="nil"/>
              <w:left w:val="nil"/>
              <w:bottom w:val="single" w:sz="4" w:space="0" w:color="auto"/>
              <w:right w:val="single" w:sz="4" w:space="0" w:color="auto"/>
            </w:tcBorders>
            <w:noWrap/>
            <w:vAlign w:val="center"/>
            <w:hideMark/>
          </w:tcPr>
          <w:p w14:paraId="19CB2C2F" w14:textId="4E8EEA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16" w:type="dxa"/>
            <w:tcBorders>
              <w:top w:val="nil"/>
              <w:left w:val="nil"/>
              <w:bottom w:val="single" w:sz="4" w:space="0" w:color="auto"/>
              <w:right w:val="single" w:sz="4" w:space="0" w:color="auto"/>
            </w:tcBorders>
            <w:noWrap/>
            <w:vAlign w:val="center"/>
            <w:hideMark/>
          </w:tcPr>
          <w:p w14:paraId="226AB3A9" w14:textId="55247D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46.77</w:t>
            </w:r>
          </w:p>
        </w:tc>
      </w:tr>
      <w:tr w:rsidR="002C143B" w:rsidRPr="006C78D6" w14:paraId="2A4B462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9B288EF" w14:textId="290372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513C3222" w14:textId="2C663A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30.18</w:t>
            </w:r>
          </w:p>
        </w:tc>
        <w:tc>
          <w:tcPr>
            <w:tcW w:w="1447" w:type="dxa"/>
            <w:tcBorders>
              <w:top w:val="nil"/>
              <w:left w:val="nil"/>
              <w:bottom w:val="single" w:sz="4" w:space="0" w:color="auto"/>
              <w:right w:val="single" w:sz="4" w:space="0" w:color="auto"/>
            </w:tcBorders>
            <w:noWrap/>
            <w:vAlign w:val="center"/>
            <w:hideMark/>
          </w:tcPr>
          <w:p w14:paraId="0D5C1F31" w14:textId="19EBCE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15.19</w:t>
            </w:r>
          </w:p>
        </w:tc>
        <w:tc>
          <w:tcPr>
            <w:tcW w:w="1260" w:type="dxa"/>
            <w:tcBorders>
              <w:top w:val="nil"/>
              <w:left w:val="nil"/>
              <w:bottom w:val="single" w:sz="4" w:space="0" w:color="auto"/>
              <w:right w:val="single" w:sz="4" w:space="0" w:color="auto"/>
            </w:tcBorders>
            <w:noWrap/>
            <w:vAlign w:val="center"/>
            <w:hideMark/>
          </w:tcPr>
          <w:p w14:paraId="2225504D" w14:textId="582B91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23.12</w:t>
            </w:r>
          </w:p>
        </w:tc>
        <w:tc>
          <w:tcPr>
            <w:tcW w:w="1260" w:type="dxa"/>
            <w:tcBorders>
              <w:top w:val="nil"/>
              <w:left w:val="nil"/>
              <w:bottom w:val="single" w:sz="4" w:space="0" w:color="auto"/>
              <w:right w:val="single" w:sz="4" w:space="0" w:color="auto"/>
            </w:tcBorders>
            <w:noWrap/>
            <w:vAlign w:val="center"/>
            <w:hideMark/>
          </w:tcPr>
          <w:p w14:paraId="0C8667FA" w14:textId="71565D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65.75</w:t>
            </w:r>
          </w:p>
        </w:tc>
        <w:tc>
          <w:tcPr>
            <w:tcW w:w="1260" w:type="dxa"/>
            <w:tcBorders>
              <w:top w:val="nil"/>
              <w:left w:val="nil"/>
              <w:bottom w:val="single" w:sz="4" w:space="0" w:color="auto"/>
              <w:right w:val="single" w:sz="4" w:space="0" w:color="auto"/>
            </w:tcBorders>
            <w:noWrap/>
            <w:vAlign w:val="center"/>
            <w:hideMark/>
          </w:tcPr>
          <w:p w14:paraId="1B4F98AC" w14:textId="2E0C72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65.65</w:t>
            </w:r>
          </w:p>
        </w:tc>
        <w:tc>
          <w:tcPr>
            <w:tcW w:w="1260" w:type="dxa"/>
            <w:tcBorders>
              <w:top w:val="nil"/>
              <w:left w:val="nil"/>
              <w:bottom w:val="single" w:sz="4" w:space="0" w:color="auto"/>
              <w:right w:val="single" w:sz="4" w:space="0" w:color="auto"/>
            </w:tcBorders>
            <w:noWrap/>
            <w:vAlign w:val="center"/>
            <w:hideMark/>
          </w:tcPr>
          <w:p w14:paraId="57A0B076" w14:textId="6545E3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34.50</w:t>
            </w:r>
          </w:p>
        </w:tc>
        <w:tc>
          <w:tcPr>
            <w:tcW w:w="1260" w:type="dxa"/>
            <w:tcBorders>
              <w:top w:val="nil"/>
              <w:left w:val="nil"/>
              <w:bottom w:val="single" w:sz="4" w:space="0" w:color="auto"/>
              <w:right w:val="single" w:sz="4" w:space="0" w:color="auto"/>
            </w:tcBorders>
            <w:noWrap/>
            <w:vAlign w:val="center"/>
            <w:hideMark/>
          </w:tcPr>
          <w:p w14:paraId="4A9E7EA0" w14:textId="477DDA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48.96</w:t>
            </w:r>
          </w:p>
        </w:tc>
        <w:tc>
          <w:tcPr>
            <w:tcW w:w="1170" w:type="dxa"/>
            <w:tcBorders>
              <w:top w:val="nil"/>
              <w:left w:val="nil"/>
              <w:bottom w:val="single" w:sz="4" w:space="0" w:color="auto"/>
              <w:right w:val="single" w:sz="4" w:space="0" w:color="auto"/>
            </w:tcBorders>
            <w:noWrap/>
            <w:vAlign w:val="center"/>
            <w:hideMark/>
          </w:tcPr>
          <w:p w14:paraId="3D6C9F36" w14:textId="70382B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45.65</w:t>
            </w:r>
          </w:p>
        </w:tc>
        <w:tc>
          <w:tcPr>
            <w:tcW w:w="1260" w:type="dxa"/>
            <w:tcBorders>
              <w:top w:val="nil"/>
              <w:left w:val="nil"/>
              <w:bottom w:val="single" w:sz="4" w:space="0" w:color="auto"/>
              <w:right w:val="single" w:sz="4" w:space="0" w:color="auto"/>
            </w:tcBorders>
            <w:noWrap/>
            <w:vAlign w:val="center"/>
            <w:hideMark/>
          </w:tcPr>
          <w:p w14:paraId="0B24A15A" w14:textId="0E8A94C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52.64</w:t>
            </w:r>
          </w:p>
        </w:tc>
        <w:tc>
          <w:tcPr>
            <w:tcW w:w="824" w:type="dxa"/>
            <w:tcBorders>
              <w:top w:val="nil"/>
              <w:left w:val="nil"/>
              <w:bottom w:val="single" w:sz="4" w:space="0" w:color="auto"/>
              <w:right w:val="single" w:sz="4" w:space="0" w:color="auto"/>
            </w:tcBorders>
            <w:noWrap/>
            <w:vAlign w:val="center"/>
            <w:hideMark/>
          </w:tcPr>
          <w:p w14:paraId="174EBF28" w14:textId="019AAA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16" w:type="dxa"/>
            <w:tcBorders>
              <w:top w:val="nil"/>
              <w:left w:val="nil"/>
              <w:bottom w:val="single" w:sz="4" w:space="0" w:color="auto"/>
              <w:right w:val="single" w:sz="4" w:space="0" w:color="auto"/>
            </w:tcBorders>
            <w:noWrap/>
            <w:vAlign w:val="center"/>
            <w:hideMark/>
          </w:tcPr>
          <w:p w14:paraId="4308239E" w14:textId="1033AC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68.35</w:t>
            </w:r>
          </w:p>
        </w:tc>
      </w:tr>
      <w:tr w:rsidR="002C143B" w:rsidRPr="006C78D6" w14:paraId="52C5385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4D02E20" w14:textId="7A639A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61864C2D" w14:textId="6006FA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35.90</w:t>
            </w:r>
          </w:p>
        </w:tc>
        <w:tc>
          <w:tcPr>
            <w:tcW w:w="1447" w:type="dxa"/>
            <w:tcBorders>
              <w:top w:val="nil"/>
              <w:left w:val="nil"/>
              <w:bottom w:val="single" w:sz="4" w:space="0" w:color="auto"/>
              <w:right w:val="single" w:sz="4" w:space="0" w:color="auto"/>
            </w:tcBorders>
            <w:noWrap/>
            <w:vAlign w:val="center"/>
            <w:hideMark/>
          </w:tcPr>
          <w:p w14:paraId="78255048" w14:textId="23B0E1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23.02</w:t>
            </w:r>
          </w:p>
        </w:tc>
        <w:tc>
          <w:tcPr>
            <w:tcW w:w="1260" w:type="dxa"/>
            <w:tcBorders>
              <w:top w:val="nil"/>
              <w:left w:val="nil"/>
              <w:bottom w:val="single" w:sz="4" w:space="0" w:color="auto"/>
              <w:right w:val="single" w:sz="4" w:space="0" w:color="auto"/>
            </w:tcBorders>
            <w:noWrap/>
            <w:vAlign w:val="center"/>
            <w:hideMark/>
          </w:tcPr>
          <w:p w14:paraId="4A85D69D" w14:textId="6EF00F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30.55</w:t>
            </w:r>
          </w:p>
        </w:tc>
        <w:tc>
          <w:tcPr>
            <w:tcW w:w="1260" w:type="dxa"/>
            <w:tcBorders>
              <w:top w:val="nil"/>
              <w:left w:val="nil"/>
              <w:bottom w:val="single" w:sz="4" w:space="0" w:color="auto"/>
              <w:right w:val="single" w:sz="4" w:space="0" w:color="auto"/>
            </w:tcBorders>
            <w:noWrap/>
            <w:vAlign w:val="center"/>
            <w:hideMark/>
          </w:tcPr>
          <w:p w14:paraId="0B8713A3" w14:textId="6CCC44C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75.83</w:t>
            </w:r>
          </w:p>
        </w:tc>
        <w:tc>
          <w:tcPr>
            <w:tcW w:w="1260" w:type="dxa"/>
            <w:tcBorders>
              <w:top w:val="nil"/>
              <w:left w:val="nil"/>
              <w:bottom w:val="single" w:sz="4" w:space="0" w:color="auto"/>
              <w:right w:val="single" w:sz="4" w:space="0" w:color="auto"/>
            </w:tcBorders>
            <w:noWrap/>
            <w:vAlign w:val="center"/>
            <w:hideMark/>
          </w:tcPr>
          <w:p w14:paraId="58091C72" w14:textId="639691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71.37</w:t>
            </w:r>
          </w:p>
        </w:tc>
        <w:tc>
          <w:tcPr>
            <w:tcW w:w="1260" w:type="dxa"/>
            <w:tcBorders>
              <w:top w:val="nil"/>
              <w:left w:val="nil"/>
              <w:bottom w:val="single" w:sz="4" w:space="0" w:color="auto"/>
              <w:right w:val="single" w:sz="4" w:space="0" w:color="auto"/>
            </w:tcBorders>
            <w:noWrap/>
            <w:vAlign w:val="center"/>
            <w:hideMark/>
          </w:tcPr>
          <w:p w14:paraId="70951F26" w14:textId="5A08ABE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45.87</w:t>
            </w:r>
          </w:p>
        </w:tc>
        <w:tc>
          <w:tcPr>
            <w:tcW w:w="1260" w:type="dxa"/>
            <w:tcBorders>
              <w:top w:val="nil"/>
              <w:left w:val="nil"/>
              <w:bottom w:val="single" w:sz="4" w:space="0" w:color="auto"/>
              <w:right w:val="single" w:sz="4" w:space="0" w:color="auto"/>
            </w:tcBorders>
            <w:noWrap/>
            <w:vAlign w:val="center"/>
            <w:hideMark/>
          </w:tcPr>
          <w:p w14:paraId="23D8D790" w14:textId="16E4E74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63.74</w:t>
            </w:r>
          </w:p>
        </w:tc>
        <w:tc>
          <w:tcPr>
            <w:tcW w:w="1170" w:type="dxa"/>
            <w:tcBorders>
              <w:top w:val="nil"/>
              <w:left w:val="nil"/>
              <w:bottom w:val="single" w:sz="4" w:space="0" w:color="auto"/>
              <w:right w:val="single" w:sz="4" w:space="0" w:color="auto"/>
            </w:tcBorders>
            <w:noWrap/>
            <w:vAlign w:val="center"/>
            <w:hideMark/>
          </w:tcPr>
          <w:p w14:paraId="50D2725F" w14:textId="3B051F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52.65</w:t>
            </w:r>
          </w:p>
        </w:tc>
        <w:tc>
          <w:tcPr>
            <w:tcW w:w="1260" w:type="dxa"/>
            <w:tcBorders>
              <w:top w:val="nil"/>
              <w:left w:val="nil"/>
              <w:bottom w:val="single" w:sz="4" w:space="0" w:color="auto"/>
              <w:right w:val="single" w:sz="4" w:space="0" w:color="auto"/>
            </w:tcBorders>
            <w:noWrap/>
            <w:vAlign w:val="center"/>
            <w:hideMark/>
          </w:tcPr>
          <w:p w14:paraId="347A9628" w14:textId="3CA7F3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61.89</w:t>
            </w:r>
          </w:p>
        </w:tc>
        <w:tc>
          <w:tcPr>
            <w:tcW w:w="824" w:type="dxa"/>
            <w:tcBorders>
              <w:top w:val="nil"/>
              <w:left w:val="nil"/>
              <w:bottom w:val="single" w:sz="4" w:space="0" w:color="auto"/>
              <w:right w:val="single" w:sz="4" w:space="0" w:color="auto"/>
            </w:tcBorders>
            <w:noWrap/>
            <w:vAlign w:val="center"/>
            <w:hideMark/>
          </w:tcPr>
          <w:p w14:paraId="5DDF48BB" w14:textId="709540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16" w:type="dxa"/>
            <w:tcBorders>
              <w:top w:val="nil"/>
              <w:left w:val="nil"/>
              <w:bottom w:val="single" w:sz="4" w:space="0" w:color="auto"/>
              <w:right w:val="single" w:sz="4" w:space="0" w:color="auto"/>
            </w:tcBorders>
            <w:noWrap/>
            <w:vAlign w:val="center"/>
            <w:hideMark/>
          </w:tcPr>
          <w:p w14:paraId="59F623B8" w14:textId="579E1E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75.57</w:t>
            </w:r>
          </w:p>
        </w:tc>
      </w:tr>
      <w:tr w:rsidR="002C143B" w:rsidRPr="006C78D6" w14:paraId="7AD07962"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3101E8D" w14:textId="73153DA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4C70EE19" w14:textId="3A78AD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40.06</w:t>
            </w:r>
          </w:p>
        </w:tc>
        <w:tc>
          <w:tcPr>
            <w:tcW w:w="1447" w:type="dxa"/>
            <w:tcBorders>
              <w:top w:val="nil"/>
              <w:left w:val="nil"/>
              <w:bottom w:val="single" w:sz="4" w:space="0" w:color="auto"/>
              <w:right w:val="single" w:sz="4" w:space="0" w:color="auto"/>
            </w:tcBorders>
            <w:noWrap/>
            <w:vAlign w:val="center"/>
            <w:hideMark/>
          </w:tcPr>
          <w:p w14:paraId="236B1E0F" w14:textId="0A9017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30.75</w:t>
            </w:r>
          </w:p>
        </w:tc>
        <w:tc>
          <w:tcPr>
            <w:tcW w:w="1260" w:type="dxa"/>
            <w:tcBorders>
              <w:top w:val="nil"/>
              <w:left w:val="nil"/>
              <w:bottom w:val="single" w:sz="4" w:space="0" w:color="auto"/>
              <w:right w:val="single" w:sz="4" w:space="0" w:color="auto"/>
            </w:tcBorders>
            <w:noWrap/>
            <w:vAlign w:val="center"/>
            <w:hideMark/>
          </w:tcPr>
          <w:p w14:paraId="5F6CEB48" w14:textId="0475899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46.24</w:t>
            </w:r>
          </w:p>
        </w:tc>
        <w:tc>
          <w:tcPr>
            <w:tcW w:w="1260" w:type="dxa"/>
            <w:tcBorders>
              <w:top w:val="nil"/>
              <w:left w:val="nil"/>
              <w:bottom w:val="single" w:sz="4" w:space="0" w:color="auto"/>
              <w:right w:val="single" w:sz="4" w:space="0" w:color="auto"/>
            </w:tcBorders>
            <w:noWrap/>
            <w:vAlign w:val="center"/>
            <w:hideMark/>
          </w:tcPr>
          <w:p w14:paraId="708B0E15" w14:textId="1EB2AB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84.08</w:t>
            </w:r>
          </w:p>
        </w:tc>
        <w:tc>
          <w:tcPr>
            <w:tcW w:w="1260" w:type="dxa"/>
            <w:tcBorders>
              <w:top w:val="nil"/>
              <w:left w:val="nil"/>
              <w:bottom w:val="single" w:sz="4" w:space="0" w:color="auto"/>
              <w:right w:val="single" w:sz="4" w:space="0" w:color="auto"/>
            </w:tcBorders>
            <w:noWrap/>
            <w:vAlign w:val="center"/>
            <w:hideMark/>
          </w:tcPr>
          <w:p w14:paraId="21A82F2C" w14:textId="6A6566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82.98</w:t>
            </w:r>
          </w:p>
        </w:tc>
        <w:tc>
          <w:tcPr>
            <w:tcW w:w="1260" w:type="dxa"/>
            <w:tcBorders>
              <w:top w:val="nil"/>
              <w:left w:val="nil"/>
              <w:bottom w:val="single" w:sz="4" w:space="0" w:color="auto"/>
              <w:right w:val="single" w:sz="4" w:space="0" w:color="auto"/>
            </w:tcBorders>
            <w:noWrap/>
            <w:vAlign w:val="center"/>
            <w:hideMark/>
          </w:tcPr>
          <w:p w14:paraId="4C26620E" w14:textId="5D5539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57.87</w:t>
            </w:r>
          </w:p>
        </w:tc>
        <w:tc>
          <w:tcPr>
            <w:tcW w:w="1260" w:type="dxa"/>
            <w:tcBorders>
              <w:top w:val="nil"/>
              <w:left w:val="nil"/>
              <w:bottom w:val="single" w:sz="4" w:space="0" w:color="auto"/>
              <w:right w:val="single" w:sz="4" w:space="0" w:color="auto"/>
            </w:tcBorders>
            <w:noWrap/>
            <w:vAlign w:val="center"/>
            <w:hideMark/>
          </w:tcPr>
          <w:p w14:paraId="778CA054" w14:textId="241559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72.95</w:t>
            </w:r>
          </w:p>
        </w:tc>
        <w:tc>
          <w:tcPr>
            <w:tcW w:w="1170" w:type="dxa"/>
            <w:tcBorders>
              <w:top w:val="nil"/>
              <w:left w:val="nil"/>
              <w:bottom w:val="single" w:sz="4" w:space="0" w:color="auto"/>
              <w:right w:val="single" w:sz="4" w:space="0" w:color="auto"/>
            </w:tcBorders>
            <w:noWrap/>
            <w:vAlign w:val="center"/>
            <w:hideMark/>
          </w:tcPr>
          <w:p w14:paraId="68EFB046" w14:textId="4BA50A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65.19</w:t>
            </w:r>
          </w:p>
        </w:tc>
        <w:tc>
          <w:tcPr>
            <w:tcW w:w="1260" w:type="dxa"/>
            <w:tcBorders>
              <w:top w:val="nil"/>
              <w:left w:val="nil"/>
              <w:bottom w:val="single" w:sz="4" w:space="0" w:color="auto"/>
              <w:right w:val="single" w:sz="4" w:space="0" w:color="auto"/>
            </w:tcBorders>
            <w:noWrap/>
            <w:vAlign w:val="center"/>
            <w:hideMark/>
          </w:tcPr>
          <w:p w14:paraId="4E4A4DB6" w14:textId="7569B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68.87</w:t>
            </w:r>
          </w:p>
        </w:tc>
        <w:tc>
          <w:tcPr>
            <w:tcW w:w="824" w:type="dxa"/>
            <w:tcBorders>
              <w:top w:val="nil"/>
              <w:left w:val="nil"/>
              <w:bottom w:val="single" w:sz="4" w:space="0" w:color="auto"/>
              <w:right w:val="single" w:sz="4" w:space="0" w:color="auto"/>
            </w:tcBorders>
            <w:noWrap/>
            <w:vAlign w:val="center"/>
            <w:hideMark/>
          </w:tcPr>
          <w:p w14:paraId="1394289F" w14:textId="10513D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16" w:type="dxa"/>
            <w:tcBorders>
              <w:top w:val="nil"/>
              <w:left w:val="nil"/>
              <w:bottom w:val="single" w:sz="4" w:space="0" w:color="auto"/>
              <w:right w:val="single" w:sz="4" w:space="0" w:color="auto"/>
            </w:tcBorders>
            <w:noWrap/>
            <w:vAlign w:val="center"/>
            <w:hideMark/>
          </w:tcPr>
          <w:p w14:paraId="35E705A6" w14:textId="4AFF6A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84.32</w:t>
            </w:r>
          </w:p>
        </w:tc>
      </w:tr>
      <w:tr w:rsidR="002C143B" w:rsidRPr="006C78D6" w14:paraId="1F091979"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ACD9AC4" w14:textId="2E55CE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2CB715EA" w14:textId="5A3C42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47.03</w:t>
            </w:r>
          </w:p>
        </w:tc>
        <w:tc>
          <w:tcPr>
            <w:tcW w:w="1447" w:type="dxa"/>
            <w:tcBorders>
              <w:top w:val="nil"/>
              <w:left w:val="nil"/>
              <w:bottom w:val="single" w:sz="4" w:space="0" w:color="auto"/>
              <w:right w:val="single" w:sz="4" w:space="0" w:color="auto"/>
            </w:tcBorders>
            <w:noWrap/>
            <w:vAlign w:val="center"/>
            <w:hideMark/>
          </w:tcPr>
          <w:p w14:paraId="06D07B24" w14:textId="78DA40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38.68</w:t>
            </w:r>
          </w:p>
        </w:tc>
        <w:tc>
          <w:tcPr>
            <w:tcW w:w="1260" w:type="dxa"/>
            <w:tcBorders>
              <w:top w:val="nil"/>
              <w:left w:val="nil"/>
              <w:bottom w:val="single" w:sz="4" w:space="0" w:color="auto"/>
              <w:right w:val="single" w:sz="4" w:space="0" w:color="auto"/>
            </w:tcBorders>
            <w:noWrap/>
            <w:vAlign w:val="center"/>
            <w:hideMark/>
          </w:tcPr>
          <w:p w14:paraId="0710D259" w14:textId="62756AF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54.89</w:t>
            </w:r>
          </w:p>
        </w:tc>
        <w:tc>
          <w:tcPr>
            <w:tcW w:w="1260" w:type="dxa"/>
            <w:tcBorders>
              <w:top w:val="nil"/>
              <w:left w:val="nil"/>
              <w:bottom w:val="single" w:sz="4" w:space="0" w:color="auto"/>
              <w:right w:val="single" w:sz="4" w:space="0" w:color="auto"/>
            </w:tcBorders>
            <w:noWrap/>
            <w:vAlign w:val="center"/>
            <w:hideMark/>
          </w:tcPr>
          <w:p w14:paraId="2B6251A3" w14:textId="63E52C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87.42</w:t>
            </w:r>
          </w:p>
        </w:tc>
        <w:tc>
          <w:tcPr>
            <w:tcW w:w="1260" w:type="dxa"/>
            <w:tcBorders>
              <w:top w:val="nil"/>
              <w:left w:val="nil"/>
              <w:bottom w:val="single" w:sz="4" w:space="0" w:color="auto"/>
              <w:right w:val="single" w:sz="4" w:space="0" w:color="auto"/>
            </w:tcBorders>
            <w:noWrap/>
            <w:vAlign w:val="center"/>
            <w:hideMark/>
          </w:tcPr>
          <w:p w14:paraId="75E2A19E" w14:textId="5125097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86.82</w:t>
            </w:r>
          </w:p>
        </w:tc>
        <w:tc>
          <w:tcPr>
            <w:tcW w:w="1260" w:type="dxa"/>
            <w:tcBorders>
              <w:top w:val="nil"/>
              <w:left w:val="nil"/>
              <w:bottom w:val="single" w:sz="4" w:space="0" w:color="auto"/>
              <w:right w:val="single" w:sz="4" w:space="0" w:color="auto"/>
            </w:tcBorders>
            <w:noWrap/>
            <w:vAlign w:val="center"/>
            <w:hideMark/>
          </w:tcPr>
          <w:p w14:paraId="125F2E93" w14:textId="4C29973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63.86</w:t>
            </w:r>
          </w:p>
        </w:tc>
        <w:tc>
          <w:tcPr>
            <w:tcW w:w="1260" w:type="dxa"/>
            <w:tcBorders>
              <w:top w:val="nil"/>
              <w:left w:val="nil"/>
              <w:bottom w:val="single" w:sz="4" w:space="0" w:color="auto"/>
              <w:right w:val="single" w:sz="4" w:space="0" w:color="auto"/>
            </w:tcBorders>
            <w:noWrap/>
            <w:vAlign w:val="center"/>
            <w:hideMark/>
          </w:tcPr>
          <w:p w14:paraId="688A80C3" w14:textId="2238CC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79.43</w:t>
            </w:r>
          </w:p>
        </w:tc>
        <w:tc>
          <w:tcPr>
            <w:tcW w:w="1170" w:type="dxa"/>
            <w:tcBorders>
              <w:top w:val="nil"/>
              <w:left w:val="nil"/>
              <w:bottom w:val="single" w:sz="4" w:space="0" w:color="auto"/>
              <w:right w:val="single" w:sz="4" w:space="0" w:color="auto"/>
            </w:tcBorders>
            <w:noWrap/>
            <w:vAlign w:val="center"/>
            <w:hideMark/>
          </w:tcPr>
          <w:p w14:paraId="247A9DFF" w14:textId="71E70F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72.05</w:t>
            </w:r>
          </w:p>
        </w:tc>
        <w:tc>
          <w:tcPr>
            <w:tcW w:w="1260" w:type="dxa"/>
            <w:tcBorders>
              <w:top w:val="nil"/>
              <w:left w:val="nil"/>
              <w:bottom w:val="single" w:sz="4" w:space="0" w:color="auto"/>
              <w:right w:val="single" w:sz="4" w:space="0" w:color="auto"/>
            </w:tcBorders>
            <w:noWrap/>
            <w:vAlign w:val="center"/>
            <w:hideMark/>
          </w:tcPr>
          <w:p w14:paraId="0F0BFB5C" w14:textId="02E4D2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73.27</w:t>
            </w:r>
          </w:p>
        </w:tc>
        <w:tc>
          <w:tcPr>
            <w:tcW w:w="824" w:type="dxa"/>
            <w:tcBorders>
              <w:top w:val="nil"/>
              <w:left w:val="nil"/>
              <w:bottom w:val="single" w:sz="4" w:space="0" w:color="auto"/>
              <w:right w:val="single" w:sz="4" w:space="0" w:color="auto"/>
            </w:tcBorders>
            <w:noWrap/>
            <w:vAlign w:val="center"/>
            <w:hideMark/>
          </w:tcPr>
          <w:p w14:paraId="59B6A2FB" w14:textId="14BB36D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16" w:type="dxa"/>
            <w:tcBorders>
              <w:top w:val="nil"/>
              <w:left w:val="nil"/>
              <w:bottom w:val="single" w:sz="4" w:space="0" w:color="auto"/>
              <w:right w:val="single" w:sz="4" w:space="0" w:color="auto"/>
            </w:tcBorders>
            <w:noWrap/>
            <w:vAlign w:val="center"/>
            <w:hideMark/>
          </w:tcPr>
          <w:p w14:paraId="4E97579E" w14:textId="027BF5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90.21</w:t>
            </w:r>
          </w:p>
        </w:tc>
      </w:tr>
      <w:tr w:rsidR="002C143B" w:rsidRPr="006C78D6" w14:paraId="6182D26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B22FEF7" w14:textId="0AB213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489C1290" w14:textId="66CC5F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59.42</w:t>
            </w:r>
          </w:p>
        </w:tc>
        <w:tc>
          <w:tcPr>
            <w:tcW w:w="1447" w:type="dxa"/>
            <w:tcBorders>
              <w:top w:val="nil"/>
              <w:left w:val="nil"/>
              <w:bottom w:val="single" w:sz="4" w:space="0" w:color="auto"/>
              <w:right w:val="single" w:sz="4" w:space="0" w:color="auto"/>
            </w:tcBorders>
            <w:noWrap/>
            <w:vAlign w:val="center"/>
            <w:hideMark/>
          </w:tcPr>
          <w:p w14:paraId="2680E712" w14:textId="4F8BBB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45.66</w:t>
            </w:r>
          </w:p>
        </w:tc>
        <w:tc>
          <w:tcPr>
            <w:tcW w:w="1260" w:type="dxa"/>
            <w:tcBorders>
              <w:top w:val="nil"/>
              <w:left w:val="nil"/>
              <w:bottom w:val="single" w:sz="4" w:space="0" w:color="auto"/>
              <w:right w:val="single" w:sz="4" w:space="0" w:color="auto"/>
            </w:tcBorders>
            <w:noWrap/>
            <w:vAlign w:val="center"/>
            <w:hideMark/>
          </w:tcPr>
          <w:p w14:paraId="3A2D5F54" w14:textId="601046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63.91</w:t>
            </w:r>
          </w:p>
        </w:tc>
        <w:tc>
          <w:tcPr>
            <w:tcW w:w="1260" w:type="dxa"/>
            <w:tcBorders>
              <w:top w:val="nil"/>
              <w:left w:val="nil"/>
              <w:bottom w:val="single" w:sz="4" w:space="0" w:color="auto"/>
              <w:right w:val="single" w:sz="4" w:space="0" w:color="auto"/>
            </w:tcBorders>
            <w:noWrap/>
            <w:vAlign w:val="center"/>
            <w:hideMark/>
          </w:tcPr>
          <w:p w14:paraId="79AEDF6C" w14:textId="470AF1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89.83</w:t>
            </w:r>
          </w:p>
        </w:tc>
        <w:tc>
          <w:tcPr>
            <w:tcW w:w="1260" w:type="dxa"/>
            <w:tcBorders>
              <w:top w:val="nil"/>
              <w:left w:val="nil"/>
              <w:bottom w:val="single" w:sz="4" w:space="0" w:color="auto"/>
              <w:right w:val="single" w:sz="4" w:space="0" w:color="auto"/>
            </w:tcBorders>
            <w:noWrap/>
            <w:vAlign w:val="center"/>
            <w:hideMark/>
          </w:tcPr>
          <w:p w14:paraId="44BE1E22" w14:textId="6572C9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89.96</w:t>
            </w:r>
          </w:p>
        </w:tc>
        <w:tc>
          <w:tcPr>
            <w:tcW w:w="1260" w:type="dxa"/>
            <w:tcBorders>
              <w:top w:val="nil"/>
              <w:left w:val="nil"/>
              <w:bottom w:val="single" w:sz="4" w:space="0" w:color="auto"/>
              <w:right w:val="single" w:sz="4" w:space="0" w:color="auto"/>
            </w:tcBorders>
            <w:noWrap/>
            <w:vAlign w:val="center"/>
            <w:hideMark/>
          </w:tcPr>
          <w:p w14:paraId="4C96C768" w14:textId="31B2B58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71.65</w:t>
            </w:r>
          </w:p>
        </w:tc>
        <w:tc>
          <w:tcPr>
            <w:tcW w:w="1260" w:type="dxa"/>
            <w:tcBorders>
              <w:top w:val="nil"/>
              <w:left w:val="nil"/>
              <w:bottom w:val="single" w:sz="4" w:space="0" w:color="auto"/>
              <w:right w:val="single" w:sz="4" w:space="0" w:color="auto"/>
            </w:tcBorders>
            <w:noWrap/>
            <w:vAlign w:val="center"/>
            <w:hideMark/>
          </w:tcPr>
          <w:p w14:paraId="4F6CBE71" w14:textId="0D030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84.25</w:t>
            </w:r>
          </w:p>
        </w:tc>
        <w:tc>
          <w:tcPr>
            <w:tcW w:w="1170" w:type="dxa"/>
            <w:tcBorders>
              <w:top w:val="nil"/>
              <w:left w:val="nil"/>
              <w:bottom w:val="single" w:sz="4" w:space="0" w:color="auto"/>
              <w:right w:val="single" w:sz="4" w:space="0" w:color="auto"/>
            </w:tcBorders>
            <w:noWrap/>
            <w:vAlign w:val="center"/>
            <w:hideMark/>
          </w:tcPr>
          <w:p w14:paraId="19D2D0D7" w14:textId="48C2B5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81.49</w:t>
            </w:r>
          </w:p>
        </w:tc>
        <w:tc>
          <w:tcPr>
            <w:tcW w:w="1260" w:type="dxa"/>
            <w:tcBorders>
              <w:top w:val="nil"/>
              <w:left w:val="nil"/>
              <w:bottom w:val="single" w:sz="4" w:space="0" w:color="auto"/>
              <w:right w:val="single" w:sz="4" w:space="0" w:color="auto"/>
            </w:tcBorders>
            <w:noWrap/>
            <w:vAlign w:val="center"/>
            <w:hideMark/>
          </w:tcPr>
          <w:p w14:paraId="47A28F23" w14:textId="116E58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85.02</w:t>
            </w:r>
          </w:p>
        </w:tc>
        <w:tc>
          <w:tcPr>
            <w:tcW w:w="824" w:type="dxa"/>
            <w:tcBorders>
              <w:top w:val="nil"/>
              <w:left w:val="nil"/>
              <w:bottom w:val="single" w:sz="4" w:space="0" w:color="auto"/>
              <w:right w:val="single" w:sz="4" w:space="0" w:color="auto"/>
            </w:tcBorders>
            <w:noWrap/>
            <w:vAlign w:val="center"/>
            <w:hideMark/>
          </w:tcPr>
          <w:p w14:paraId="425A130C" w14:textId="058B94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16" w:type="dxa"/>
            <w:tcBorders>
              <w:top w:val="nil"/>
              <w:left w:val="nil"/>
              <w:bottom w:val="single" w:sz="4" w:space="0" w:color="auto"/>
              <w:right w:val="single" w:sz="4" w:space="0" w:color="auto"/>
            </w:tcBorders>
            <w:noWrap/>
            <w:vAlign w:val="center"/>
            <w:hideMark/>
          </w:tcPr>
          <w:p w14:paraId="14998B54" w14:textId="137ECB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94.20</w:t>
            </w:r>
          </w:p>
        </w:tc>
      </w:tr>
      <w:tr w:rsidR="002C143B" w:rsidRPr="006C78D6" w14:paraId="432AA8E4"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2CFB9A6" w14:textId="730671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26120087" w14:textId="6F6E96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61.91</w:t>
            </w:r>
          </w:p>
        </w:tc>
        <w:tc>
          <w:tcPr>
            <w:tcW w:w="1447" w:type="dxa"/>
            <w:tcBorders>
              <w:top w:val="nil"/>
              <w:left w:val="nil"/>
              <w:bottom w:val="single" w:sz="4" w:space="0" w:color="auto"/>
              <w:right w:val="single" w:sz="4" w:space="0" w:color="auto"/>
            </w:tcBorders>
            <w:noWrap/>
            <w:vAlign w:val="center"/>
            <w:hideMark/>
          </w:tcPr>
          <w:p w14:paraId="1BAB1230" w14:textId="4BAAC6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47.55</w:t>
            </w:r>
          </w:p>
        </w:tc>
        <w:tc>
          <w:tcPr>
            <w:tcW w:w="1260" w:type="dxa"/>
            <w:tcBorders>
              <w:top w:val="nil"/>
              <w:left w:val="nil"/>
              <w:bottom w:val="single" w:sz="4" w:space="0" w:color="auto"/>
              <w:right w:val="single" w:sz="4" w:space="0" w:color="auto"/>
            </w:tcBorders>
            <w:noWrap/>
            <w:vAlign w:val="center"/>
            <w:hideMark/>
          </w:tcPr>
          <w:p w14:paraId="0CE5786F" w14:textId="069485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69.64</w:t>
            </w:r>
          </w:p>
        </w:tc>
        <w:tc>
          <w:tcPr>
            <w:tcW w:w="1260" w:type="dxa"/>
            <w:tcBorders>
              <w:top w:val="nil"/>
              <w:left w:val="nil"/>
              <w:bottom w:val="single" w:sz="4" w:space="0" w:color="auto"/>
              <w:right w:val="single" w:sz="4" w:space="0" w:color="auto"/>
            </w:tcBorders>
            <w:noWrap/>
            <w:vAlign w:val="center"/>
            <w:hideMark/>
          </w:tcPr>
          <w:p w14:paraId="5A49E841" w14:textId="0F5DCB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91.08</w:t>
            </w:r>
          </w:p>
        </w:tc>
        <w:tc>
          <w:tcPr>
            <w:tcW w:w="1260" w:type="dxa"/>
            <w:tcBorders>
              <w:top w:val="nil"/>
              <w:left w:val="nil"/>
              <w:bottom w:val="single" w:sz="4" w:space="0" w:color="auto"/>
              <w:right w:val="single" w:sz="4" w:space="0" w:color="auto"/>
            </w:tcBorders>
            <w:noWrap/>
            <w:vAlign w:val="center"/>
            <w:hideMark/>
          </w:tcPr>
          <w:p w14:paraId="605FECB7" w14:textId="5A3FE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90.98</w:t>
            </w:r>
          </w:p>
        </w:tc>
        <w:tc>
          <w:tcPr>
            <w:tcW w:w="1260" w:type="dxa"/>
            <w:tcBorders>
              <w:top w:val="nil"/>
              <w:left w:val="nil"/>
              <w:bottom w:val="single" w:sz="4" w:space="0" w:color="auto"/>
              <w:right w:val="single" w:sz="4" w:space="0" w:color="auto"/>
            </w:tcBorders>
            <w:noWrap/>
            <w:vAlign w:val="center"/>
            <w:hideMark/>
          </w:tcPr>
          <w:p w14:paraId="5B08FFEC" w14:textId="786283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79.75</w:t>
            </w:r>
          </w:p>
        </w:tc>
        <w:tc>
          <w:tcPr>
            <w:tcW w:w="1260" w:type="dxa"/>
            <w:tcBorders>
              <w:top w:val="nil"/>
              <w:left w:val="nil"/>
              <w:bottom w:val="single" w:sz="4" w:space="0" w:color="auto"/>
              <w:right w:val="single" w:sz="4" w:space="0" w:color="auto"/>
            </w:tcBorders>
            <w:noWrap/>
            <w:vAlign w:val="center"/>
            <w:hideMark/>
          </w:tcPr>
          <w:p w14:paraId="034ED99A" w14:textId="5B10A5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89.01</w:t>
            </w:r>
          </w:p>
        </w:tc>
        <w:tc>
          <w:tcPr>
            <w:tcW w:w="1170" w:type="dxa"/>
            <w:tcBorders>
              <w:top w:val="nil"/>
              <w:left w:val="nil"/>
              <w:bottom w:val="single" w:sz="4" w:space="0" w:color="auto"/>
              <w:right w:val="single" w:sz="4" w:space="0" w:color="auto"/>
            </w:tcBorders>
            <w:noWrap/>
            <w:vAlign w:val="center"/>
            <w:hideMark/>
          </w:tcPr>
          <w:p w14:paraId="02FEACC2" w14:textId="741E5D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82.08</w:t>
            </w:r>
          </w:p>
        </w:tc>
        <w:tc>
          <w:tcPr>
            <w:tcW w:w="1260" w:type="dxa"/>
            <w:tcBorders>
              <w:top w:val="nil"/>
              <w:left w:val="nil"/>
              <w:bottom w:val="single" w:sz="4" w:space="0" w:color="auto"/>
              <w:right w:val="single" w:sz="4" w:space="0" w:color="auto"/>
            </w:tcBorders>
            <w:noWrap/>
            <w:vAlign w:val="center"/>
            <w:hideMark/>
          </w:tcPr>
          <w:p w14:paraId="7F3650B6" w14:textId="3EDDD6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87.59</w:t>
            </w:r>
          </w:p>
        </w:tc>
        <w:tc>
          <w:tcPr>
            <w:tcW w:w="824" w:type="dxa"/>
            <w:tcBorders>
              <w:top w:val="nil"/>
              <w:left w:val="nil"/>
              <w:bottom w:val="single" w:sz="4" w:space="0" w:color="auto"/>
              <w:right w:val="single" w:sz="4" w:space="0" w:color="auto"/>
            </w:tcBorders>
            <w:noWrap/>
            <w:vAlign w:val="center"/>
            <w:hideMark/>
          </w:tcPr>
          <w:p w14:paraId="61C35CD5" w14:textId="4CE59E3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16" w:type="dxa"/>
            <w:tcBorders>
              <w:top w:val="nil"/>
              <w:left w:val="nil"/>
              <w:bottom w:val="single" w:sz="4" w:space="0" w:color="auto"/>
              <w:right w:val="single" w:sz="4" w:space="0" w:color="auto"/>
            </w:tcBorders>
            <w:noWrap/>
            <w:vAlign w:val="center"/>
            <w:hideMark/>
          </w:tcPr>
          <w:p w14:paraId="1ECD405B" w14:textId="6E7634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95.91</w:t>
            </w:r>
          </w:p>
        </w:tc>
      </w:tr>
      <w:tr w:rsidR="002C143B" w:rsidRPr="006C78D6" w14:paraId="1E56459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569E17C1" w14:textId="5B26AD0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0A023AA8" w14:textId="0B553A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76.69</w:t>
            </w:r>
          </w:p>
        </w:tc>
        <w:tc>
          <w:tcPr>
            <w:tcW w:w="1447" w:type="dxa"/>
            <w:tcBorders>
              <w:top w:val="nil"/>
              <w:left w:val="nil"/>
              <w:bottom w:val="single" w:sz="4" w:space="0" w:color="auto"/>
              <w:right w:val="single" w:sz="4" w:space="0" w:color="auto"/>
            </w:tcBorders>
            <w:noWrap/>
            <w:vAlign w:val="center"/>
            <w:hideMark/>
          </w:tcPr>
          <w:p w14:paraId="1290F5F5" w14:textId="2524A9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52.45</w:t>
            </w:r>
          </w:p>
        </w:tc>
        <w:tc>
          <w:tcPr>
            <w:tcW w:w="1260" w:type="dxa"/>
            <w:tcBorders>
              <w:top w:val="nil"/>
              <w:left w:val="nil"/>
              <w:bottom w:val="single" w:sz="4" w:space="0" w:color="auto"/>
              <w:right w:val="single" w:sz="4" w:space="0" w:color="auto"/>
            </w:tcBorders>
            <w:noWrap/>
            <w:vAlign w:val="center"/>
            <w:hideMark/>
          </w:tcPr>
          <w:p w14:paraId="5E3870F3" w14:textId="5CE5B1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81.39</w:t>
            </w:r>
          </w:p>
        </w:tc>
        <w:tc>
          <w:tcPr>
            <w:tcW w:w="1260" w:type="dxa"/>
            <w:tcBorders>
              <w:top w:val="nil"/>
              <w:left w:val="nil"/>
              <w:bottom w:val="single" w:sz="4" w:space="0" w:color="auto"/>
              <w:right w:val="single" w:sz="4" w:space="0" w:color="auto"/>
            </w:tcBorders>
            <w:noWrap/>
            <w:vAlign w:val="center"/>
            <w:hideMark/>
          </w:tcPr>
          <w:p w14:paraId="3651F5EA" w14:textId="73592C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92.92</w:t>
            </w:r>
          </w:p>
        </w:tc>
        <w:tc>
          <w:tcPr>
            <w:tcW w:w="1260" w:type="dxa"/>
            <w:tcBorders>
              <w:top w:val="nil"/>
              <w:left w:val="nil"/>
              <w:bottom w:val="single" w:sz="4" w:space="0" w:color="auto"/>
              <w:right w:val="single" w:sz="4" w:space="0" w:color="auto"/>
            </w:tcBorders>
            <w:noWrap/>
            <w:vAlign w:val="center"/>
            <w:hideMark/>
          </w:tcPr>
          <w:p w14:paraId="0153F178" w14:textId="0DC9BD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94.98</w:t>
            </w:r>
          </w:p>
        </w:tc>
        <w:tc>
          <w:tcPr>
            <w:tcW w:w="1260" w:type="dxa"/>
            <w:tcBorders>
              <w:top w:val="nil"/>
              <w:left w:val="nil"/>
              <w:bottom w:val="single" w:sz="4" w:space="0" w:color="auto"/>
              <w:right w:val="single" w:sz="4" w:space="0" w:color="auto"/>
            </w:tcBorders>
            <w:noWrap/>
            <w:vAlign w:val="center"/>
            <w:hideMark/>
          </w:tcPr>
          <w:p w14:paraId="0C634BCF" w14:textId="2ED61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88.79</w:t>
            </w:r>
          </w:p>
        </w:tc>
        <w:tc>
          <w:tcPr>
            <w:tcW w:w="1260" w:type="dxa"/>
            <w:tcBorders>
              <w:top w:val="nil"/>
              <w:left w:val="nil"/>
              <w:bottom w:val="single" w:sz="4" w:space="0" w:color="auto"/>
              <w:right w:val="single" w:sz="4" w:space="0" w:color="auto"/>
            </w:tcBorders>
            <w:noWrap/>
            <w:vAlign w:val="center"/>
            <w:hideMark/>
          </w:tcPr>
          <w:p w14:paraId="585FF50D" w14:textId="5DB87FE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90.72</w:t>
            </w:r>
          </w:p>
        </w:tc>
        <w:tc>
          <w:tcPr>
            <w:tcW w:w="1170" w:type="dxa"/>
            <w:tcBorders>
              <w:top w:val="nil"/>
              <w:left w:val="nil"/>
              <w:bottom w:val="single" w:sz="4" w:space="0" w:color="auto"/>
              <w:right w:val="single" w:sz="4" w:space="0" w:color="auto"/>
            </w:tcBorders>
            <w:noWrap/>
            <w:vAlign w:val="center"/>
            <w:hideMark/>
          </w:tcPr>
          <w:p w14:paraId="7448E98B" w14:textId="08B874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87.02</w:t>
            </w:r>
          </w:p>
        </w:tc>
        <w:tc>
          <w:tcPr>
            <w:tcW w:w="1260" w:type="dxa"/>
            <w:tcBorders>
              <w:top w:val="nil"/>
              <w:left w:val="nil"/>
              <w:bottom w:val="single" w:sz="4" w:space="0" w:color="auto"/>
              <w:right w:val="single" w:sz="4" w:space="0" w:color="auto"/>
            </w:tcBorders>
            <w:noWrap/>
            <w:vAlign w:val="center"/>
            <w:hideMark/>
          </w:tcPr>
          <w:p w14:paraId="2C347EB8" w14:textId="490ABB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90.75</w:t>
            </w:r>
          </w:p>
        </w:tc>
        <w:tc>
          <w:tcPr>
            <w:tcW w:w="824" w:type="dxa"/>
            <w:tcBorders>
              <w:top w:val="nil"/>
              <w:left w:val="nil"/>
              <w:bottom w:val="single" w:sz="4" w:space="0" w:color="auto"/>
              <w:right w:val="single" w:sz="4" w:space="0" w:color="auto"/>
            </w:tcBorders>
            <w:noWrap/>
            <w:vAlign w:val="center"/>
            <w:hideMark/>
          </w:tcPr>
          <w:p w14:paraId="74EE312E" w14:textId="470B5B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16" w:type="dxa"/>
            <w:tcBorders>
              <w:top w:val="nil"/>
              <w:left w:val="nil"/>
              <w:bottom w:val="single" w:sz="4" w:space="0" w:color="auto"/>
              <w:right w:val="single" w:sz="4" w:space="0" w:color="auto"/>
            </w:tcBorders>
            <w:noWrap/>
            <w:vAlign w:val="center"/>
            <w:hideMark/>
          </w:tcPr>
          <w:p w14:paraId="70E1B7D4" w14:textId="7A26CB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96.48</w:t>
            </w:r>
          </w:p>
        </w:tc>
      </w:tr>
    </w:tbl>
    <w:p w14:paraId="7EE8CA73" w14:textId="77777777" w:rsidR="004214C5" w:rsidRPr="006C78D6" w:rsidRDefault="004214C5">
      <w:pPr>
        <w:rPr>
          <w:rFonts w:asciiTheme="majorBidi" w:hAnsiTheme="majorBidi" w:cstheme="majorBidi"/>
          <w:lang w:val="en-GB"/>
        </w:rPr>
      </w:pPr>
    </w:p>
    <w:p w14:paraId="03BE63FF" w14:textId="77777777" w:rsidR="00F71930" w:rsidRPr="006C78D6" w:rsidRDefault="00F71930" w:rsidP="00BA0847">
      <w:pPr>
        <w:rPr>
          <w:rFonts w:asciiTheme="majorBidi" w:hAnsiTheme="majorBidi" w:cstheme="majorBidi"/>
          <w:lang w:val="en-GB"/>
        </w:rPr>
      </w:pPr>
    </w:p>
    <w:p w14:paraId="6940774C" w14:textId="77777777" w:rsidR="00F71930" w:rsidRPr="006C78D6" w:rsidRDefault="00F71930" w:rsidP="00BA0847">
      <w:pPr>
        <w:rPr>
          <w:rFonts w:asciiTheme="majorBidi" w:hAnsiTheme="majorBidi" w:cstheme="majorBidi"/>
          <w:lang w:val="en-GB"/>
        </w:rPr>
      </w:pPr>
    </w:p>
    <w:p w14:paraId="14E7D21C" w14:textId="77777777" w:rsidR="00F71930" w:rsidRPr="006C78D6" w:rsidRDefault="00F71930" w:rsidP="00BA0847">
      <w:pPr>
        <w:rPr>
          <w:rFonts w:asciiTheme="majorBidi" w:hAnsiTheme="majorBidi" w:cstheme="majorBidi"/>
          <w:lang w:val="en-GB"/>
        </w:rPr>
      </w:pPr>
    </w:p>
    <w:p w14:paraId="324BCE58" w14:textId="77777777" w:rsidR="00F71930" w:rsidRPr="006C78D6" w:rsidRDefault="00F71930" w:rsidP="00BA0847">
      <w:pPr>
        <w:rPr>
          <w:rFonts w:asciiTheme="majorBidi" w:hAnsiTheme="majorBidi" w:cstheme="majorBidi"/>
          <w:lang w:val="en-GB"/>
        </w:rPr>
      </w:pPr>
    </w:p>
    <w:p w14:paraId="78A8AD53" w14:textId="77777777" w:rsidR="00F71930" w:rsidRPr="006C78D6" w:rsidRDefault="00F71930" w:rsidP="00BA0847">
      <w:pPr>
        <w:rPr>
          <w:rFonts w:asciiTheme="majorBidi" w:hAnsiTheme="majorBidi" w:cstheme="majorBidi"/>
          <w:lang w:val="en-GB"/>
        </w:rPr>
      </w:pPr>
    </w:p>
    <w:p w14:paraId="0EA5B677" w14:textId="77777777" w:rsidR="00F71930" w:rsidRPr="006C78D6" w:rsidRDefault="00F71930" w:rsidP="00BA0847">
      <w:pPr>
        <w:rPr>
          <w:rFonts w:asciiTheme="majorBidi" w:hAnsiTheme="majorBidi" w:cstheme="majorBidi"/>
          <w:lang w:val="en-GB"/>
        </w:rPr>
      </w:pPr>
    </w:p>
    <w:p w14:paraId="1F733938" w14:textId="77777777" w:rsidR="00F71930" w:rsidRPr="006C78D6" w:rsidRDefault="00F71930" w:rsidP="00BA0847">
      <w:pPr>
        <w:rPr>
          <w:rFonts w:asciiTheme="majorBidi" w:hAnsiTheme="majorBidi" w:cstheme="majorBidi"/>
          <w:lang w:val="en-GB"/>
        </w:rPr>
      </w:pPr>
    </w:p>
    <w:p w14:paraId="6194EEDE" w14:textId="77777777" w:rsidR="00F71930" w:rsidRPr="006C78D6" w:rsidRDefault="00F71930" w:rsidP="00BA0847">
      <w:pPr>
        <w:rPr>
          <w:rFonts w:asciiTheme="majorBidi" w:hAnsiTheme="majorBidi" w:cstheme="majorBidi"/>
          <w:lang w:val="en-GB"/>
        </w:rPr>
      </w:pPr>
    </w:p>
    <w:p w14:paraId="35C977AA" w14:textId="2266ECBE" w:rsidR="00BA0847" w:rsidRPr="006C78D6" w:rsidRDefault="00BA0847" w:rsidP="00BA0847">
      <w:pPr>
        <w:rPr>
          <w:rFonts w:asciiTheme="majorBidi" w:hAnsiTheme="majorBidi" w:cstheme="majorBidi"/>
          <w:lang w:val="en-GB"/>
        </w:rPr>
      </w:pPr>
      <w:r w:rsidRPr="006C78D6">
        <w:rPr>
          <w:rFonts w:asciiTheme="majorBidi" w:hAnsiTheme="majorBidi" w:cstheme="majorBidi"/>
          <w:lang w:val="en-GB"/>
        </w:rPr>
        <w:t xml:space="preserve">Table 3: Results of </w:t>
      </w:r>
      <w:r w:rsidRPr="006C78D6">
        <w:rPr>
          <w:rFonts w:asciiTheme="majorBidi" w:eastAsia="Times New Roman" w:hAnsiTheme="majorBidi" w:cstheme="majorBidi"/>
          <w:color w:val="000000"/>
        </w:rPr>
        <w:t xml:space="preserve">Reducing power </w:t>
      </w:r>
      <w:r w:rsidRPr="006C78D6">
        <w:rPr>
          <w:rFonts w:asciiTheme="majorBidi" w:eastAsia="Times New Roman" w:hAnsiTheme="majorBidi" w:cstheme="majorBidi"/>
          <w:color w:val="000000"/>
          <w:lang w:val="en-GB"/>
        </w:rPr>
        <w:t xml:space="preserve">Assay </w:t>
      </w:r>
    </w:p>
    <w:tbl>
      <w:tblPr>
        <w:tblW w:w="12825" w:type="dxa"/>
        <w:tblLook w:val="04A0" w:firstRow="1" w:lastRow="0" w:firstColumn="1" w:lastColumn="0" w:noHBand="0" w:noVBand="1"/>
      </w:tblPr>
      <w:tblGrid>
        <w:gridCol w:w="1374"/>
        <w:gridCol w:w="900"/>
        <w:gridCol w:w="900"/>
        <w:gridCol w:w="993"/>
        <w:gridCol w:w="1213"/>
        <w:gridCol w:w="1129"/>
        <w:gridCol w:w="900"/>
        <w:gridCol w:w="900"/>
        <w:gridCol w:w="900"/>
        <w:gridCol w:w="900"/>
        <w:gridCol w:w="900"/>
        <w:gridCol w:w="1067"/>
        <w:gridCol w:w="874"/>
      </w:tblGrid>
      <w:tr w:rsidR="00BA0847" w:rsidRPr="006C78D6" w14:paraId="5DDB7B2C" w14:textId="77777777" w:rsidTr="002C143B">
        <w:trPr>
          <w:trHeight w:val="300"/>
        </w:trPr>
        <w:tc>
          <w:tcPr>
            <w:tcW w:w="10879" w:type="dxa"/>
            <w:gridSpan w:val="11"/>
            <w:tcBorders>
              <w:top w:val="single" w:sz="4" w:space="0" w:color="auto"/>
              <w:left w:val="single" w:sz="4" w:space="0" w:color="auto"/>
              <w:bottom w:val="single" w:sz="4" w:space="0" w:color="auto"/>
              <w:right w:val="single" w:sz="4" w:space="0" w:color="auto"/>
            </w:tcBorders>
            <w:noWrap/>
            <w:vAlign w:val="bottom"/>
            <w:hideMark/>
          </w:tcPr>
          <w:p w14:paraId="0D008379"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Reducing power of Test Groups</w:t>
            </w:r>
          </w:p>
        </w:tc>
        <w:tc>
          <w:tcPr>
            <w:tcW w:w="1946" w:type="dxa"/>
            <w:gridSpan w:val="2"/>
            <w:tcBorders>
              <w:top w:val="single" w:sz="4" w:space="0" w:color="auto"/>
              <w:left w:val="nil"/>
              <w:bottom w:val="single" w:sz="4" w:space="0" w:color="auto"/>
              <w:right w:val="single" w:sz="4" w:space="0" w:color="auto"/>
            </w:tcBorders>
            <w:noWrap/>
            <w:vAlign w:val="bottom"/>
            <w:hideMark/>
          </w:tcPr>
          <w:p w14:paraId="67C0787E"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BA0847" w:rsidRPr="006C78D6" w14:paraId="25DCC9BC"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48113B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Single</w:t>
            </w:r>
          </w:p>
        </w:tc>
        <w:tc>
          <w:tcPr>
            <w:tcW w:w="902" w:type="dxa"/>
            <w:tcBorders>
              <w:top w:val="nil"/>
              <w:left w:val="nil"/>
              <w:bottom w:val="single" w:sz="4" w:space="0" w:color="auto"/>
              <w:right w:val="single" w:sz="4" w:space="0" w:color="auto"/>
            </w:tcBorders>
            <w:noWrap/>
            <w:vAlign w:val="bottom"/>
            <w:hideMark/>
          </w:tcPr>
          <w:p w14:paraId="582182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902" w:type="dxa"/>
            <w:tcBorders>
              <w:top w:val="nil"/>
              <w:left w:val="nil"/>
              <w:bottom w:val="single" w:sz="4" w:space="0" w:color="auto"/>
              <w:right w:val="single" w:sz="4" w:space="0" w:color="auto"/>
            </w:tcBorders>
            <w:noWrap/>
            <w:vAlign w:val="bottom"/>
            <w:hideMark/>
          </w:tcPr>
          <w:p w14:paraId="1894F0BB"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996" w:type="dxa"/>
            <w:tcBorders>
              <w:top w:val="nil"/>
              <w:left w:val="nil"/>
              <w:bottom w:val="single" w:sz="4" w:space="0" w:color="auto"/>
              <w:right w:val="single" w:sz="4" w:space="0" w:color="auto"/>
            </w:tcBorders>
            <w:noWrap/>
            <w:vAlign w:val="bottom"/>
            <w:hideMark/>
          </w:tcPr>
          <w:p w14:paraId="24E3EFB5"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216" w:type="dxa"/>
            <w:tcBorders>
              <w:top w:val="nil"/>
              <w:left w:val="nil"/>
              <w:bottom w:val="single" w:sz="4" w:space="0" w:color="auto"/>
              <w:right w:val="single" w:sz="4" w:space="0" w:color="auto"/>
            </w:tcBorders>
            <w:noWrap/>
            <w:vAlign w:val="bottom"/>
            <w:hideMark/>
          </w:tcPr>
          <w:p w14:paraId="576FA7F4"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Combined</w:t>
            </w:r>
          </w:p>
        </w:tc>
        <w:tc>
          <w:tcPr>
            <w:tcW w:w="1132" w:type="dxa"/>
            <w:tcBorders>
              <w:top w:val="nil"/>
              <w:left w:val="nil"/>
              <w:bottom w:val="single" w:sz="4" w:space="0" w:color="auto"/>
              <w:right w:val="single" w:sz="4" w:space="0" w:color="auto"/>
            </w:tcBorders>
            <w:noWrap/>
            <w:vAlign w:val="bottom"/>
            <w:hideMark/>
          </w:tcPr>
          <w:p w14:paraId="718B1421"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902" w:type="dxa"/>
            <w:tcBorders>
              <w:top w:val="nil"/>
              <w:left w:val="nil"/>
              <w:bottom w:val="single" w:sz="4" w:space="0" w:color="auto"/>
              <w:right w:val="single" w:sz="4" w:space="0" w:color="auto"/>
            </w:tcBorders>
            <w:noWrap/>
            <w:vAlign w:val="bottom"/>
            <w:hideMark/>
          </w:tcPr>
          <w:p w14:paraId="7F9023AE"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902" w:type="dxa"/>
            <w:tcBorders>
              <w:top w:val="nil"/>
              <w:left w:val="nil"/>
              <w:bottom w:val="single" w:sz="4" w:space="0" w:color="auto"/>
              <w:right w:val="single" w:sz="4" w:space="0" w:color="auto"/>
            </w:tcBorders>
            <w:noWrap/>
            <w:vAlign w:val="bottom"/>
            <w:hideMark/>
          </w:tcPr>
          <w:p w14:paraId="57B5C7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902" w:type="dxa"/>
            <w:tcBorders>
              <w:top w:val="nil"/>
              <w:left w:val="nil"/>
              <w:bottom w:val="single" w:sz="4" w:space="0" w:color="auto"/>
              <w:right w:val="single" w:sz="4" w:space="0" w:color="auto"/>
            </w:tcBorders>
            <w:noWrap/>
            <w:vAlign w:val="bottom"/>
            <w:hideMark/>
          </w:tcPr>
          <w:p w14:paraId="73B01B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902" w:type="dxa"/>
            <w:tcBorders>
              <w:top w:val="nil"/>
              <w:left w:val="nil"/>
              <w:bottom w:val="single" w:sz="4" w:space="0" w:color="auto"/>
              <w:right w:val="single" w:sz="4" w:space="0" w:color="auto"/>
            </w:tcBorders>
            <w:noWrap/>
            <w:vAlign w:val="bottom"/>
            <w:hideMark/>
          </w:tcPr>
          <w:p w14:paraId="4619105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902" w:type="dxa"/>
            <w:tcBorders>
              <w:top w:val="nil"/>
              <w:left w:val="nil"/>
              <w:bottom w:val="single" w:sz="4" w:space="0" w:color="auto"/>
              <w:right w:val="single" w:sz="4" w:space="0" w:color="auto"/>
            </w:tcBorders>
            <w:noWrap/>
            <w:vAlign w:val="bottom"/>
            <w:hideMark/>
          </w:tcPr>
          <w:p w14:paraId="4A94E19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1070" w:type="dxa"/>
            <w:tcBorders>
              <w:top w:val="nil"/>
              <w:left w:val="nil"/>
              <w:bottom w:val="single" w:sz="4" w:space="0" w:color="auto"/>
              <w:right w:val="single" w:sz="4" w:space="0" w:color="auto"/>
            </w:tcBorders>
            <w:noWrap/>
            <w:vAlign w:val="bottom"/>
            <w:hideMark/>
          </w:tcPr>
          <w:p w14:paraId="4C9F9E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Gallic acid Standard</w:t>
            </w:r>
          </w:p>
        </w:tc>
        <w:tc>
          <w:tcPr>
            <w:tcW w:w="876" w:type="dxa"/>
            <w:tcBorders>
              <w:top w:val="nil"/>
              <w:left w:val="nil"/>
              <w:bottom w:val="single" w:sz="4" w:space="0" w:color="auto"/>
              <w:right w:val="single" w:sz="4" w:space="0" w:color="auto"/>
            </w:tcBorders>
            <w:noWrap/>
            <w:vAlign w:val="bottom"/>
            <w:hideMark/>
          </w:tcPr>
          <w:p w14:paraId="228D680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r>
      <w:tr w:rsidR="00BA0847" w:rsidRPr="006C78D6" w14:paraId="2D392FA1"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2233E812" w14:textId="77777777" w:rsidR="00BA0847" w:rsidRPr="006C78D6" w:rsidRDefault="00BA0847" w:rsidP="002D3364">
            <w:pPr>
              <w:spacing w:after="0" w:line="240" w:lineRule="auto"/>
              <w:rPr>
                <w:rFonts w:asciiTheme="majorBidi" w:eastAsia="Times New Roman" w:hAnsiTheme="majorBidi" w:cstheme="majorBidi"/>
                <w:color w:val="000000"/>
              </w:rPr>
            </w:pPr>
            <w:commentRangeStart w:id="26"/>
            <w:r w:rsidRPr="006C78D6">
              <w:rPr>
                <w:rFonts w:asciiTheme="majorBidi" w:eastAsia="Times New Roman" w:hAnsiTheme="majorBidi" w:cstheme="majorBidi"/>
                <w:color w:val="000000"/>
              </w:rPr>
              <w:t>Conc (</w:t>
            </w:r>
            <w:proofErr w:type="spellStart"/>
            <w:r w:rsidRPr="006C78D6">
              <w:rPr>
                <w:rFonts w:asciiTheme="majorBidi" w:eastAsia="Times New Roman" w:hAnsiTheme="majorBidi" w:cstheme="majorBidi"/>
                <w:color w:val="000000"/>
              </w:rPr>
              <w:t>μg</w:t>
            </w:r>
            <w:proofErr w:type="spellEnd"/>
            <w:r w:rsidRPr="006C78D6">
              <w:rPr>
                <w:rFonts w:asciiTheme="majorBidi" w:eastAsia="Times New Roman" w:hAnsiTheme="majorBidi" w:cstheme="majorBidi"/>
                <w:color w:val="000000"/>
              </w:rPr>
              <w:t>/ml)</w:t>
            </w:r>
            <w:commentRangeEnd w:id="26"/>
            <w:r w:rsidR="002A5C6F">
              <w:rPr>
                <w:rStyle w:val="CommentReference"/>
              </w:rPr>
              <w:commentReference w:id="26"/>
            </w:r>
          </w:p>
        </w:tc>
        <w:tc>
          <w:tcPr>
            <w:tcW w:w="902" w:type="dxa"/>
            <w:tcBorders>
              <w:top w:val="nil"/>
              <w:left w:val="nil"/>
              <w:bottom w:val="single" w:sz="4" w:space="0" w:color="auto"/>
              <w:right w:val="single" w:sz="4" w:space="0" w:color="auto"/>
            </w:tcBorders>
            <w:noWrap/>
            <w:vAlign w:val="bottom"/>
            <w:hideMark/>
          </w:tcPr>
          <w:p w14:paraId="3C5ACBE9"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24D8D87"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96" w:type="dxa"/>
            <w:tcBorders>
              <w:top w:val="nil"/>
              <w:left w:val="nil"/>
              <w:bottom w:val="single" w:sz="4" w:space="0" w:color="auto"/>
              <w:right w:val="single" w:sz="4" w:space="0" w:color="auto"/>
            </w:tcBorders>
            <w:noWrap/>
            <w:vAlign w:val="bottom"/>
            <w:hideMark/>
          </w:tcPr>
          <w:p w14:paraId="743B2C63"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216" w:type="dxa"/>
            <w:tcBorders>
              <w:top w:val="nil"/>
              <w:left w:val="nil"/>
              <w:bottom w:val="single" w:sz="4" w:space="0" w:color="auto"/>
              <w:right w:val="single" w:sz="4" w:space="0" w:color="auto"/>
            </w:tcBorders>
            <w:noWrap/>
            <w:vAlign w:val="bottom"/>
            <w:hideMark/>
          </w:tcPr>
          <w:p w14:paraId="1D22C296"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32" w:type="dxa"/>
            <w:tcBorders>
              <w:top w:val="nil"/>
              <w:left w:val="nil"/>
              <w:bottom w:val="single" w:sz="4" w:space="0" w:color="auto"/>
              <w:right w:val="single" w:sz="4" w:space="0" w:color="auto"/>
            </w:tcBorders>
            <w:noWrap/>
            <w:vAlign w:val="bottom"/>
            <w:hideMark/>
          </w:tcPr>
          <w:p w14:paraId="598FBF3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7AA6BEA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9EDC0B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1066260"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4CF8E4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360047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070" w:type="dxa"/>
            <w:tcBorders>
              <w:top w:val="nil"/>
              <w:left w:val="nil"/>
              <w:bottom w:val="single" w:sz="4" w:space="0" w:color="auto"/>
              <w:right w:val="single" w:sz="4" w:space="0" w:color="auto"/>
            </w:tcBorders>
            <w:noWrap/>
            <w:vAlign w:val="bottom"/>
            <w:hideMark/>
          </w:tcPr>
          <w:p w14:paraId="1598EF8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876" w:type="dxa"/>
            <w:tcBorders>
              <w:top w:val="nil"/>
              <w:left w:val="nil"/>
              <w:bottom w:val="single" w:sz="4" w:space="0" w:color="auto"/>
              <w:right w:val="single" w:sz="4" w:space="0" w:color="auto"/>
            </w:tcBorders>
            <w:noWrap/>
            <w:vAlign w:val="bottom"/>
            <w:hideMark/>
          </w:tcPr>
          <w:p w14:paraId="272ABA4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r>
      <w:tr w:rsidR="002C143B" w:rsidRPr="006C78D6" w14:paraId="113B305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05E4F44E" w14:textId="0BBA21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3B7D0C62" w14:textId="110792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4750E058" w14:textId="5FA481B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96" w:type="dxa"/>
            <w:tcBorders>
              <w:top w:val="nil"/>
              <w:left w:val="nil"/>
              <w:bottom w:val="single" w:sz="4" w:space="0" w:color="auto"/>
              <w:right w:val="single" w:sz="4" w:space="0" w:color="auto"/>
            </w:tcBorders>
            <w:noWrap/>
            <w:vAlign w:val="center"/>
            <w:hideMark/>
          </w:tcPr>
          <w:p w14:paraId="04BB7A85" w14:textId="252CEA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216" w:type="dxa"/>
            <w:tcBorders>
              <w:top w:val="nil"/>
              <w:left w:val="nil"/>
              <w:bottom w:val="single" w:sz="4" w:space="0" w:color="auto"/>
              <w:right w:val="single" w:sz="4" w:space="0" w:color="auto"/>
            </w:tcBorders>
            <w:noWrap/>
            <w:vAlign w:val="center"/>
            <w:hideMark/>
          </w:tcPr>
          <w:p w14:paraId="2757FF09" w14:textId="1969C4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32" w:type="dxa"/>
            <w:tcBorders>
              <w:top w:val="nil"/>
              <w:left w:val="nil"/>
              <w:bottom w:val="single" w:sz="4" w:space="0" w:color="auto"/>
              <w:right w:val="single" w:sz="4" w:space="0" w:color="auto"/>
            </w:tcBorders>
            <w:noWrap/>
            <w:vAlign w:val="center"/>
            <w:hideMark/>
          </w:tcPr>
          <w:p w14:paraId="75DFB104" w14:textId="15DF42C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2196E1DD" w14:textId="6C7DEF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0.029</w:t>
            </w:r>
          </w:p>
        </w:tc>
        <w:tc>
          <w:tcPr>
            <w:tcW w:w="902" w:type="dxa"/>
            <w:tcBorders>
              <w:top w:val="nil"/>
              <w:left w:val="nil"/>
              <w:bottom w:val="single" w:sz="4" w:space="0" w:color="auto"/>
              <w:right w:val="single" w:sz="4" w:space="0" w:color="auto"/>
            </w:tcBorders>
            <w:noWrap/>
            <w:vAlign w:val="center"/>
            <w:hideMark/>
          </w:tcPr>
          <w:p w14:paraId="3463950E" w14:textId="2B0F9D1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6B5A15A5" w14:textId="6342A6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79FD59CB" w14:textId="4C57310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0.016</w:t>
            </w:r>
          </w:p>
        </w:tc>
        <w:tc>
          <w:tcPr>
            <w:tcW w:w="902" w:type="dxa"/>
            <w:tcBorders>
              <w:top w:val="nil"/>
              <w:left w:val="nil"/>
              <w:bottom w:val="single" w:sz="4" w:space="0" w:color="auto"/>
              <w:right w:val="single" w:sz="4" w:space="0" w:color="auto"/>
            </w:tcBorders>
            <w:noWrap/>
            <w:vAlign w:val="center"/>
            <w:hideMark/>
          </w:tcPr>
          <w:p w14:paraId="076AAE85" w14:textId="5B5C4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0.023</w:t>
            </w:r>
          </w:p>
        </w:tc>
        <w:tc>
          <w:tcPr>
            <w:tcW w:w="1070" w:type="dxa"/>
            <w:tcBorders>
              <w:top w:val="nil"/>
              <w:left w:val="nil"/>
              <w:bottom w:val="single" w:sz="4" w:space="0" w:color="auto"/>
              <w:right w:val="single" w:sz="4" w:space="0" w:color="auto"/>
            </w:tcBorders>
            <w:noWrap/>
            <w:vAlign w:val="center"/>
            <w:hideMark/>
          </w:tcPr>
          <w:p w14:paraId="22B5DBD7" w14:textId="48D78E1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876" w:type="dxa"/>
            <w:tcBorders>
              <w:top w:val="nil"/>
              <w:left w:val="nil"/>
              <w:bottom w:val="single" w:sz="4" w:space="0" w:color="auto"/>
              <w:right w:val="single" w:sz="4" w:space="0" w:color="auto"/>
            </w:tcBorders>
            <w:noWrap/>
            <w:vAlign w:val="center"/>
            <w:hideMark/>
          </w:tcPr>
          <w:p w14:paraId="35BF916F" w14:textId="14E3050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0.025</w:t>
            </w:r>
          </w:p>
        </w:tc>
      </w:tr>
      <w:tr w:rsidR="002C143B" w:rsidRPr="006C78D6" w14:paraId="30C5E52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6BAF584" w14:textId="3AA0C3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902" w:type="dxa"/>
            <w:tcBorders>
              <w:top w:val="nil"/>
              <w:left w:val="nil"/>
              <w:bottom w:val="single" w:sz="4" w:space="0" w:color="auto"/>
              <w:right w:val="single" w:sz="4" w:space="0" w:color="auto"/>
            </w:tcBorders>
            <w:noWrap/>
            <w:vAlign w:val="center"/>
            <w:hideMark/>
          </w:tcPr>
          <w:p w14:paraId="6D69965A" w14:textId="067675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06B9ECE4" w14:textId="68AF95C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0.020</w:t>
            </w:r>
          </w:p>
        </w:tc>
        <w:tc>
          <w:tcPr>
            <w:tcW w:w="996" w:type="dxa"/>
            <w:tcBorders>
              <w:top w:val="nil"/>
              <w:left w:val="nil"/>
              <w:bottom w:val="single" w:sz="4" w:space="0" w:color="auto"/>
              <w:right w:val="single" w:sz="4" w:space="0" w:color="auto"/>
            </w:tcBorders>
            <w:noWrap/>
            <w:vAlign w:val="center"/>
            <w:hideMark/>
          </w:tcPr>
          <w:p w14:paraId="25C1936A" w14:textId="55DBFC9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1216" w:type="dxa"/>
            <w:tcBorders>
              <w:top w:val="nil"/>
              <w:left w:val="nil"/>
              <w:bottom w:val="single" w:sz="4" w:space="0" w:color="auto"/>
              <w:right w:val="single" w:sz="4" w:space="0" w:color="auto"/>
            </w:tcBorders>
            <w:noWrap/>
            <w:vAlign w:val="center"/>
            <w:hideMark/>
          </w:tcPr>
          <w:p w14:paraId="0E40FFE9" w14:textId="1CE6EDD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32" w:type="dxa"/>
            <w:tcBorders>
              <w:top w:val="nil"/>
              <w:left w:val="nil"/>
              <w:bottom w:val="single" w:sz="4" w:space="0" w:color="auto"/>
              <w:right w:val="single" w:sz="4" w:space="0" w:color="auto"/>
            </w:tcBorders>
            <w:noWrap/>
            <w:vAlign w:val="center"/>
            <w:hideMark/>
          </w:tcPr>
          <w:p w14:paraId="6EA63C2C" w14:textId="42F6D3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0.047</w:t>
            </w:r>
          </w:p>
        </w:tc>
        <w:tc>
          <w:tcPr>
            <w:tcW w:w="902" w:type="dxa"/>
            <w:tcBorders>
              <w:top w:val="nil"/>
              <w:left w:val="nil"/>
              <w:bottom w:val="single" w:sz="4" w:space="0" w:color="auto"/>
              <w:right w:val="single" w:sz="4" w:space="0" w:color="auto"/>
            </w:tcBorders>
            <w:noWrap/>
            <w:vAlign w:val="center"/>
            <w:hideMark/>
          </w:tcPr>
          <w:p w14:paraId="7A5F5C77" w14:textId="44327A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0.039</w:t>
            </w:r>
          </w:p>
        </w:tc>
        <w:tc>
          <w:tcPr>
            <w:tcW w:w="902" w:type="dxa"/>
            <w:tcBorders>
              <w:top w:val="nil"/>
              <w:left w:val="nil"/>
              <w:bottom w:val="single" w:sz="4" w:space="0" w:color="auto"/>
              <w:right w:val="single" w:sz="4" w:space="0" w:color="auto"/>
            </w:tcBorders>
            <w:noWrap/>
            <w:vAlign w:val="center"/>
            <w:hideMark/>
          </w:tcPr>
          <w:p w14:paraId="376B446E" w14:textId="5B9246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0.034</w:t>
            </w:r>
          </w:p>
        </w:tc>
        <w:tc>
          <w:tcPr>
            <w:tcW w:w="902" w:type="dxa"/>
            <w:tcBorders>
              <w:top w:val="nil"/>
              <w:left w:val="nil"/>
              <w:bottom w:val="single" w:sz="4" w:space="0" w:color="auto"/>
              <w:right w:val="single" w:sz="4" w:space="0" w:color="auto"/>
            </w:tcBorders>
            <w:noWrap/>
            <w:vAlign w:val="center"/>
            <w:hideMark/>
          </w:tcPr>
          <w:p w14:paraId="292D0BE6" w14:textId="119272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0.035</w:t>
            </w:r>
          </w:p>
        </w:tc>
        <w:tc>
          <w:tcPr>
            <w:tcW w:w="902" w:type="dxa"/>
            <w:tcBorders>
              <w:top w:val="nil"/>
              <w:left w:val="nil"/>
              <w:bottom w:val="single" w:sz="4" w:space="0" w:color="auto"/>
              <w:right w:val="single" w:sz="4" w:space="0" w:color="auto"/>
            </w:tcBorders>
            <w:noWrap/>
            <w:vAlign w:val="center"/>
            <w:hideMark/>
          </w:tcPr>
          <w:p w14:paraId="402E4B86" w14:textId="6BD709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4B142CC5" w14:textId="15C2F8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0.027</w:t>
            </w:r>
          </w:p>
        </w:tc>
        <w:tc>
          <w:tcPr>
            <w:tcW w:w="1070" w:type="dxa"/>
            <w:tcBorders>
              <w:top w:val="nil"/>
              <w:left w:val="nil"/>
              <w:bottom w:val="single" w:sz="4" w:space="0" w:color="auto"/>
              <w:right w:val="single" w:sz="4" w:space="0" w:color="auto"/>
            </w:tcBorders>
            <w:noWrap/>
            <w:vAlign w:val="center"/>
            <w:hideMark/>
          </w:tcPr>
          <w:p w14:paraId="60065A48" w14:textId="30578F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w:t>
            </w:r>
          </w:p>
        </w:tc>
        <w:tc>
          <w:tcPr>
            <w:tcW w:w="876" w:type="dxa"/>
            <w:tcBorders>
              <w:top w:val="nil"/>
              <w:left w:val="nil"/>
              <w:bottom w:val="single" w:sz="4" w:space="0" w:color="auto"/>
              <w:right w:val="single" w:sz="4" w:space="0" w:color="auto"/>
            </w:tcBorders>
            <w:noWrap/>
            <w:vAlign w:val="center"/>
            <w:hideMark/>
          </w:tcPr>
          <w:p w14:paraId="6EC25864" w14:textId="2DF4D2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0.094</w:t>
            </w:r>
          </w:p>
        </w:tc>
      </w:tr>
      <w:tr w:rsidR="002C143B" w:rsidRPr="006C78D6" w14:paraId="2C84C8D8"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32F591BE" w14:textId="66099E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902" w:type="dxa"/>
            <w:tcBorders>
              <w:top w:val="nil"/>
              <w:left w:val="nil"/>
              <w:bottom w:val="single" w:sz="4" w:space="0" w:color="auto"/>
              <w:right w:val="single" w:sz="4" w:space="0" w:color="auto"/>
            </w:tcBorders>
            <w:noWrap/>
            <w:vAlign w:val="center"/>
            <w:hideMark/>
          </w:tcPr>
          <w:p w14:paraId="11E4E7D0" w14:textId="7052A0A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0.136</w:t>
            </w:r>
          </w:p>
        </w:tc>
        <w:tc>
          <w:tcPr>
            <w:tcW w:w="902" w:type="dxa"/>
            <w:tcBorders>
              <w:top w:val="nil"/>
              <w:left w:val="nil"/>
              <w:bottom w:val="single" w:sz="4" w:space="0" w:color="auto"/>
              <w:right w:val="single" w:sz="4" w:space="0" w:color="auto"/>
            </w:tcBorders>
            <w:noWrap/>
            <w:vAlign w:val="center"/>
            <w:hideMark/>
          </w:tcPr>
          <w:p w14:paraId="159DDC79" w14:textId="5911595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0.073</w:t>
            </w:r>
          </w:p>
        </w:tc>
        <w:tc>
          <w:tcPr>
            <w:tcW w:w="996" w:type="dxa"/>
            <w:tcBorders>
              <w:top w:val="nil"/>
              <w:left w:val="nil"/>
              <w:bottom w:val="single" w:sz="4" w:space="0" w:color="auto"/>
              <w:right w:val="single" w:sz="4" w:space="0" w:color="auto"/>
            </w:tcBorders>
            <w:noWrap/>
            <w:vAlign w:val="center"/>
            <w:hideMark/>
          </w:tcPr>
          <w:p w14:paraId="641FD37D" w14:textId="1DAE8BB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0.187</w:t>
            </w:r>
          </w:p>
        </w:tc>
        <w:tc>
          <w:tcPr>
            <w:tcW w:w="1216" w:type="dxa"/>
            <w:tcBorders>
              <w:top w:val="nil"/>
              <w:left w:val="nil"/>
              <w:bottom w:val="single" w:sz="4" w:space="0" w:color="auto"/>
              <w:right w:val="single" w:sz="4" w:space="0" w:color="auto"/>
            </w:tcBorders>
            <w:noWrap/>
            <w:vAlign w:val="center"/>
            <w:hideMark/>
          </w:tcPr>
          <w:p w14:paraId="340151D4" w14:textId="2831B6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32" w:type="dxa"/>
            <w:tcBorders>
              <w:top w:val="nil"/>
              <w:left w:val="nil"/>
              <w:bottom w:val="single" w:sz="4" w:space="0" w:color="auto"/>
              <w:right w:val="single" w:sz="4" w:space="0" w:color="auto"/>
            </w:tcBorders>
            <w:noWrap/>
            <w:vAlign w:val="center"/>
            <w:hideMark/>
          </w:tcPr>
          <w:p w14:paraId="31AD0FAD" w14:textId="1A38D5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73F3BA2" w14:textId="6DDB89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0.052</w:t>
            </w:r>
          </w:p>
        </w:tc>
        <w:tc>
          <w:tcPr>
            <w:tcW w:w="902" w:type="dxa"/>
            <w:tcBorders>
              <w:top w:val="nil"/>
              <w:left w:val="nil"/>
              <w:bottom w:val="single" w:sz="4" w:space="0" w:color="auto"/>
              <w:right w:val="single" w:sz="4" w:space="0" w:color="auto"/>
            </w:tcBorders>
            <w:noWrap/>
            <w:vAlign w:val="center"/>
            <w:hideMark/>
          </w:tcPr>
          <w:p w14:paraId="2FDFA340" w14:textId="6CBD91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0.037</w:t>
            </w:r>
          </w:p>
        </w:tc>
        <w:tc>
          <w:tcPr>
            <w:tcW w:w="902" w:type="dxa"/>
            <w:tcBorders>
              <w:top w:val="nil"/>
              <w:left w:val="nil"/>
              <w:bottom w:val="single" w:sz="4" w:space="0" w:color="auto"/>
              <w:right w:val="single" w:sz="4" w:space="0" w:color="auto"/>
            </w:tcBorders>
            <w:noWrap/>
            <w:vAlign w:val="center"/>
            <w:hideMark/>
          </w:tcPr>
          <w:p w14:paraId="31868938" w14:textId="7676C6A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0.058</w:t>
            </w:r>
          </w:p>
        </w:tc>
        <w:tc>
          <w:tcPr>
            <w:tcW w:w="902" w:type="dxa"/>
            <w:tcBorders>
              <w:top w:val="nil"/>
              <w:left w:val="nil"/>
              <w:bottom w:val="single" w:sz="4" w:space="0" w:color="auto"/>
              <w:right w:val="single" w:sz="4" w:space="0" w:color="auto"/>
            </w:tcBorders>
            <w:noWrap/>
            <w:vAlign w:val="center"/>
            <w:hideMark/>
          </w:tcPr>
          <w:p w14:paraId="114B0150" w14:textId="67DC0D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902" w:type="dxa"/>
            <w:tcBorders>
              <w:top w:val="nil"/>
              <w:left w:val="nil"/>
              <w:bottom w:val="single" w:sz="4" w:space="0" w:color="auto"/>
              <w:right w:val="single" w:sz="4" w:space="0" w:color="auto"/>
            </w:tcBorders>
            <w:noWrap/>
            <w:vAlign w:val="center"/>
            <w:hideMark/>
          </w:tcPr>
          <w:p w14:paraId="057E16FC" w14:textId="446791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51446882" w14:textId="42F90F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876" w:type="dxa"/>
            <w:tcBorders>
              <w:top w:val="nil"/>
              <w:left w:val="nil"/>
              <w:bottom w:val="single" w:sz="4" w:space="0" w:color="auto"/>
              <w:right w:val="single" w:sz="4" w:space="0" w:color="auto"/>
            </w:tcBorders>
            <w:noWrap/>
            <w:vAlign w:val="center"/>
            <w:hideMark/>
          </w:tcPr>
          <w:p w14:paraId="486A2E73" w14:textId="05BCD0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0.132</w:t>
            </w:r>
          </w:p>
        </w:tc>
      </w:tr>
      <w:tr w:rsidR="002C143B" w:rsidRPr="006C78D6" w14:paraId="5ECB89E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D19E2DA" w14:textId="0752E7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902" w:type="dxa"/>
            <w:tcBorders>
              <w:top w:val="nil"/>
              <w:left w:val="nil"/>
              <w:bottom w:val="single" w:sz="4" w:space="0" w:color="auto"/>
              <w:right w:val="single" w:sz="4" w:space="0" w:color="auto"/>
            </w:tcBorders>
            <w:noWrap/>
            <w:vAlign w:val="center"/>
            <w:hideMark/>
          </w:tcPr>
          <w:p w14:paraId="6520C3F9" w14:textId="41C608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0.215</w:t>
            </w:r>
          </w:p>
        </w:tc>
        <w:tc>
          <w:tcPr>
            <w:tcW w:w="902" w:type="dxa"/>
            <w:tcBorders>
              <w:top w:val="nil"/>
              <w:left w:val="nil"/>
              <w:bottom w:val="single" w:sz="4" w:space="0" w:color="auto"/>
              <w:right w:val="single" w:sz="4" w:space="0" w:color="auto"/>
            </w:tcBorders>
            <w:noWrap/>
            <w:vAlign w:val="center"/>
            <w:hideMark/>
          </w:tcPr>
          <w:p w14:paraId="350B0E2F" w14:textId="3333BF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0.103</w:t>
            </w:r>
          </w:p>
        </w:tc>
        <w:tc>
          <w:tcPr>
            <w:tcW w:w="996" w:type="dxa"/>
            <w:tcBorders>
              <w:top w:val="nil"/>
              <w:left w:val="nil"/>
              <w:bottom w:val="single" w:sz="4" w:space="0" w:color="auto"/>
              <w:right w:val="single" w:sz="4" w:space="0" w:color="auto"/>
            </w:tcBorders>
            <w:noWrap/>
            <w:vAlign w:val="center"/>
            <w:hideMark/>
          </w:tcPr>
          <w:p w14:paraId="042BFC0B" w14:textId="64D301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0.252</w:t>
            </w:r>
          </w:p>
        </w:tc>
        <w:tc>
          <w:tcPr>
            <w:tcW w:w="1216" w:type="dxa"/>
            <w:tcBorders>
              <w:top w:val="nil"/>
              <w:left w:val="nil"/>
              <w:bottom w:val="single" w:sz="4" w:space="0" w:color="auto"/>
              <w:right w:val="single" w:sz="4" w:space="0" w:color="auto"/>
            </w:tcBorders>
            <w:noWrap/>
            <w:vAlign w:val="center"/>
            <w:hideMark/>
          </w:tcPr>
          <w:p w14:paraId="2670D2BE" w14:textId="146FF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32" w:type="dxa"/>
            <w:tcBorders>
              <w:top w:val="nil"/>
              <w:left w:val="nil"/>
              <w:bottom w:val="single" w:sz="4" w:space="0" w:color="auto"/>
              <w:right w:val="single" w:sz="4" w:space="0" w:color="auto"/>
            </w:tcBorders>
            <w:noWrap/>
            <w:vAlign w:val="center"/>
            <w:hideMark/>
          </w:tcPr>
          <w:p w14:paraId="515184F6" w14:textId="1D1EA7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0.072</w:t>
            </w:r>
          </w:p>
        </w:tc>
        <w:tc>
          <w:tcPr>
            <w:tcW w:w="902" w:type="dxa"/>
            <w:tcBorders>
              <w:top w:val="nil"/>
              <w:left w:val="nil"/>
              <w:bottom w:val="single" w:sz="4" w:space="0" w:color="auto"/>
              <w:right w:val="single" w:sz="4" w:space="0" w:color="auto"/>
            </w:tcBorders>
            <w:noWrap/>
            <w:vAlign w:val="center"/>
            <w:hideMark/>
          </w:tcPr>
          <w:p w14:paraId="3F66A536" w14:textId="7CFBE8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FDCEC45" w14:textId="6808AF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0.045</w:t>
            </w:r>
          </w:p>
        </w:tc>
        <w:tc>
          <w:tcPr>
            <w:tcW w:w="902" w:type="dxa"/>
            <w:tcBorders>
              <w:top w:val="nil"/>
              <w:left w:val="nil"/>
              <w:bottom w:val="single" w:sz="4" w:space="0" w:color="auto"/>
              <w:right w:val="single" w:sz="4" w:space="0" w:color="auto"/>
            </w:tcBorders>
            <w:noWrap/>
            <w:vAlign w:val="center"/>
            <w:hideMark/>
          </w:tcPr>
          <w:p w14:paraId="3961033C" w14:textId="7A4CD8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902" w:type="dxa"/>
            <w:tcBorders>
              <w:top w:val="nil"/>
              <w:left w:val="nil"/>
              <w:bottom w:val="single" w:sz="4" w:space="0" w:color="auto"/>
              <w:right w:val="single" w:sz="4" w:space="0" w:color="auto"/>
            </w:tcBorders>
            <w:noWrap/>
            <w:vAlign w:val="center"/>
            <w:hideMark/>
          </w:tcPr>
          <w:p w14:paraId="59C5EB6A" w14:textId="407D0F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18E51A73" w14:textId="2FAC5B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2834788F" w14:textId="66D0EA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w:t>
            </w:r>
          </w:p>
        </w:tc>
        <w:tc>
          <w:tcPr>
            <w:tcW w:w="876" w:type="dxa"/>
            <w:tcBorders>
              <w:top w:val="nil"/>
              <w:left w:val="nil"/>
              <w:bottom w:val="single" w:sz="4" w:space="0" w:color="auto"/>
              <w:right w:val="single" w:sz="4" w:space="0" w:color="auto"/>
            </w:tcBorders>
            <w:noWrap/>
            <w:vAlign w:val="center"/>
            <w:hideMark/>
          </w:tcPr>
          <w:p w14:paraId="0001C412" w14:textId="1BCB5B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0.167</w:t>
            </w:r>
          </w:p>
        </w:tc>
      </w:tr>
      <w:tr w:rsidR="002C143B" w:rsidRPr="006C78D6" w14:paraId="5DF5219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417658EF" w14:textId="41CC41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902" w:type="dxa"/>
            <w:tcBorders>
              <w:top w:val="nil"/>
              <w:left w:val="nil"/>
              <w:bottom w:val="single" w:sz="4" w:space="0" w:color="auto"/>
              <w:right w:val="single" w:sz="4" w:space="0" w:color="auto"/>
            </w:tcBorders>
            <w:noWrap/>
            <w:vAlign w:val="center"/>
            <w:hideMark/>
          </w:tcPr>
          <w:p w14:paraId="743E8D61" w14:textId="7A287D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0.388</w:t>
            </w:r>
          </w:p>
        </w:tc>
        <w:tc>
          <w:tcPr>
            <w:tcW w:w="902" w:type="dxa"/>
            <w:tcBorders>
              <w:top w:val="nil"/>
              <w:left w:val="nil"/>
              <w:bottom w:val="single" w:sz="4" w:space="0" w:color="auto"/>
              <w:right w:val="single" w:sz="4" w:space="0" w:color="auto"/>
            </w:tcBorders>
            <w:noWrap/>
            <w:vAlign w:val="center"/>
            <w:hideMark/>
          </w:tcPr>
          <w:p w14:paraId="1EC2CA29" w14:textId="3A1A86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96" w:type="dxa"/>
            <w:tcBorders>
              <w:top w:val="nil"/>
              <w:left w:val="nil"/>
              <w:bottom w:val="single" w:sz="4" w:space="0" w:color="auto"/>
              <w:right w:val="single" w:sz="4" w:space="0" w:color="auto"/>
            </w:tcBorders>
            <w:noWrap/>
            <w:vAlign w:val="center"/>
            <w:hideMark/>
          </w:tcPr>
          <w:p w14:paraId="31D24D8E" w14:textId="56F060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0.470</w:t>
            </w:r>
          </w:p>
        </w:tc>
        <w:tc>
          <w:tcPr>
            <w:tcW w:w="1216" w:type="dxa"/>
            <w:tcBorders>
              <w:top w:val="nil"/>
              <w:left w:val="nil"/>
              <w:bottom w:val="single" w:sz="4" w:space="0" w:color="auto"/>
              <w:right w:val="single" w:sz="4" w:space="0" w:color="auto"/>
            </w:tcBorders>
            <w:noWrap/>
            <w:vAlign w:val="center"/>
            <w:hideMark/>
          </w:tcPr>
          <w:p w14:paraId="6BF5FF13" w14:textId="7C02CD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32" w:type="dxa"/>
            <w:tcBorders>
              <w:top w:val="nil"/>
              <w:left w:val="nil"/>
              <w:bottom w:val="single" w:sz="4" w:space="0" w:color="auto"/>
              <w:right w:val="single" w:sz="4" w:space="0" w:color="auto"/>
            </w:tcBorders>
            <w:noWrap/>
            <w:vAlign w:val="center"/>
            <w:hideMark/>
          </w:tcPr>
          <w:p w14:paraId="57476879" w14:textId="5A4B92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0.100</w:t>
            </w:r>
          </w:p>
        </w:tc>
        <w:tc>
          <w:tcPr>
            <w:tcW w:w="902" w:type="dxa"/>
            <w:tcBorders>
              <w:top w:val="nil"/>
              <w:left w:val="nil"/>
              <w:bottom w:val="single" w:sz="4" w:space="0" w:color="auto"/>
              <w:right w:val="single" w:sz="4" w:space="0" w:color="auto"/>
            </w:tcBorders>
            <w:noWrap/>
            <w:vAlign w:val="center"/>
            <w:hideMark/>
          </w:tcPr>
          <w:p w14:paraId="697FCB70" w14:textId="6BA307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66AC6D97" w14:textId="0B8EA1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0.057</w:t>
            </w:r>
          </w:p>
        </w:tc>
        <w:tc>
          <w:tcPr>
            <w:tcW w:w="902" w:type="dxa"/>
            <w:tcBorders>
              <w:top w:val="nil"/>
              <w:left w:val="nil"/>
              <w:bottom w:val="single" w:sz="4" w:space="0" w:color="auto"/>
              <w:right w:val="single" w:sz="4" w:space="0" w:color="auto"/>
            </w:tcBorders>
            <w:noWrap/>
            <w:vAlign w:val="center"/>
            <w:hideMark/>
          </w:tcPr>
          <w:p w14:paraId="7FF514E4" w14:textId="5F7579B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0.080</w:t>
            </w:r>
          </w:p>
        </w:tc>
        <w:tc>
          <w:tcPr>
            <w:tcW w:w="902" w:type="dxa"/>
            <w:tcBorders>
              <w:top w:val="nil"/>
              <w:left w:val="nil"/>
              <w:bottom w:val="single" w:sz="4" w:space="0" w:color="auto"/>
              <w:right w:val="single" w:sz="4" w:space="0" w:color="auto"/>
            </w:tcBorders>
            <w:noWrap/>
            <w:vAlign w:val="center"/>
            <w:hideMark/>
          </w:tcPr>
          <w:p w14:paraId="782F6343" w14:textId="70BC62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0.078</w:t>
            </w:r>
          </w:p>
        </w:tc>
        <w:tc>
          <w:tcPr>
            <w:tcW w:w="902" w:type="dxa"/>
            <w:tcBorders>
              <w:top w:val="nil"/>
              <w:left w:val="nil"/>
              <w:bottom w:val="single" w:sz="4" w:space="0" w:color="auto"/>
              <w:right w:val="single" w:sz="4" w:space="0" w:color="auto"/>
            </w:tcBorders>
            <w:noWrap/>
            <w:vAlign w:val="center"/>
            <w:hideMark/>
          </w:tcPr>
          <w:p w14:paraId="4D000C08" w14:textId="5757F7B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0.067</w:t>
            </w:r>
          </w:p>
        </w:tc>
        <w:tc>
          <w:tcPr>
            <w:tcW w:w="1070" w:type="dxa"/>
            <w:tcBorders>
              <w:top w:val="nil"/>
              <w:left w:val="nil"/>
              <w:bottom w:val="single" w:sz="4" w:space="0" w:color="auto"/>
              <w:right w:val="single" w:sz="4" w:space="0" w:color="auto"/>
            </w:tcBorders>
            <w:noWrap/>
            <w:vAlign w:val="center"/>
            <w:hideMark/>
          </w:tcPr>
          <w:p w14:paraId="15DA7124" w14:textId="350B28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876" w:type="dxa"/>
            <w:tcBorders>
              <w:top w:val="nil"/>
              <w:left w:val="nil"/>
              <w:bottom w:val="single" w:sz="4" w:space="0" w:color="auto"/>
              <w:right w:val="single" w:sz="4" w:space="0" w:color="auto"/>
            </w:tcBorders>
            <w:noWrap/>
            <w:vAlign w:val="center"/>
            <w:hideMark/>
          </w:tcPr>
          <w:p w14:paraId="78332A92" w14:textId="5EE5A08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0.250</w:t>
            </w:r>
          </w:p>
        </w:tc>
      </w:tr>
      <w:tr w:rsidR="002C143B" w:rsidRPr="006C78D6" w14:paraId="0A299B14"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016961E" w14:textId="41B383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902" w:type="dxa"/>
            <w:tcBorders>
              <w:top w:val="nil"/>
              <w:left w:val="nil"/>
              <w:bottom w:val="single" w:sz="4" w:space="0" w:color="auto"/>
              <w:right w:val="single" w:sz="4" w:space="0" w:color="auto"/>
            </w:tcBorders>
            <w:noWrap/>
            <w:vAlign w:val="center"/>
            <w:hideMark/>
          </w:tcPr>
          <w:p w14:paraId="1D89C4D5" w14:textId="7B84C7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0.663</w:t>
            </w:r>
          </w:p>
        </w:tc>
        <w:tc>
          <w:tcPr>
            <w:tcW w:w="902" w:type="dxa"/>
            <w:tcBorders>
              <w:top w:val="nil"/>
              <w:left w:val="nil"/>
              <w:bottom w:val="single" w:sz="4" w:space="0" w:color="auto"/>
              <w:right w:val="single" w:sz="4" w:space="0" w:color="auto"/>
            </w:tcBorders>
            <w:noWrap/>
            <w:vAlign w:val="center"/>
            <w:hideMark/>
          </w:tcPr>
          <w:p w14:paraId="4950E13E" w14:textId="737CAC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96" w:type="dxa"/>
            <w:tcBorders>
              <w:top w:val="nil"/>
              <w:left w:val="nil"/>
              <w:bottom w:val="single" w:sz="4" w:space="0" w:color="auto"/>
              <w:right w:val="single" w:sz="4" w:space="0" w:color="auto"/>
            </w:tcBorders>
            <w:noWrap/>
            <w:vAlign w:val="center"/>
            <w:hideMark/>
          </w:tcPr>
          <w:p w14:paraId="3EDDD466" w14:textId="1986040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1.071</w:t>
            </w:r>
          </w:p>
        </w:tc>
        <w:tc>
          <w:tcPr>
            <w:tcW w:w="1216" w:type="dxa"/>
            <w:tcBorders>
              <w:top w:val="nil"/>
              <w:left w:val="nil"/>
              <w:bottom w:val="single" w:sz="4" w:space="0" w:color="auto"/>
              <w:right w:val="single" w:sz="4" w:space="0" w:color="auto"/>
            </w:tcBorders>
            <w:noWrap/>
            <w:vAlign w:val="center"/>
            <w:hideMark/>
          </w:tcPr>
          <w:p w14:paraId="5F2A34D4" w14:textId="626E3A1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32" w:type="dxa"/>
            <w:tcBorders>
              <w:top w:val="nil"/>
              <w:left w:val="nil"/>
              <w:bottom w:val="single" w:sz="4" w:space="0" w:color="auto"/>
              <w:right w:val="single" w:sz="4" w:space="0" w:color="auto"/>
            </w:tcBorders>
            <w:noWrap/>
            <w:vAlign w:val="center"/>
            <w:hideMark/>
          </w:tcPr>
          <w:p w14:paraId="713998CE" w14:textId="771F55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0.182</w:t>
            </w:r>
          </w:p>
        </w:tc>
        <w:tc>
          <w:tcPr>
            <w:tcW w:w="902" w:type="dxa"/>
            <w:tcBorders>
              <w:top w:val="nil"/>
              <w:left w:val="nil"/>
              <w:bottom w:val="single" w:sz="4" w:space="0" w:color="auto"/>
              <w:right w:val="single" w:sz="4" w:space="0" w:color="auto"/>
            </w:tcBorders>
            <w:noWrap/>
            <w:vAlign w:val="center"/>
            <w:hideMark/>
          </w:tcPr>
          <w:p w14:paraId="49A81756" w14:textId="3B541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0.159</w:t>
            </w:r>
          </w:p>
        </w:tc>
        <w:tc>
          <w:tcPr>
            <w:tcW w:w="902" w:type="dxa"/>
            <w:tcBorders>
              <w:top w:val="nil"/>
              <w:left w:val="nil"/>
              <w:bottom w:val="single" w:sz="4" w:space="0" w:color="auto"/>
              <w:right w:val="single" w:sz="4" w:space="0" w:color="auto"/>
            </w:tcBorders>
            <w:noWrap/>
            <w:vAlign w:val="center"/>
            <w:hideMark/>
          </w:tcPr>
          <w:p w14:paraId="50942BDD" w14:textId="4014ED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0.077</w:t>
            </w:r>
          </w:p>
        </w:tc>
        <w:tc>
          <w:tcPr>
            <w:tcW w:w="902" w:type="dxa"/>
            <w:tcBorders>
              <w:top w:val="nil"/>
              <w:left w:val="nil"/>
              <w:bottom w:val="single" w:sz="4" w:space="0" w:color="auto"/>
              <w:right w:val="single" w:sz="4" w:space="0" w:color="auto"/>
            </w:tcBorders>
            <w:noWrap/>
            <w:vAlign w:val="center"/>
            <w:hideMark/>
          </w:tcPr>
          <w:p w14:paraId="5F638D28" w14:textId="39D89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0.098</w:t>
            </w:r>
          </w:p>
        </w:tc>
        <w:tc>
          <w:tcPr>
            <w:tcW w:w="902" w:type="dxa"/>
            <w:tcBorders>
              <w:top w:val="nil"/>
              <w:left w:val="nil"/>
              <w:bottom w:val="single" w:sz="4" w:space="0" w:color="auto"/>
              <w:right w:val="single" w:sz="4" w:space="0" w:color="auto"/>
            </w:tcBorders>
            <w:noWrap/>
            <w:vAlign w:val="center"/>
            <w:hideMark/>
          </w:tcPr>
          <w:p w14:paraId="092B2980" w14:textId="5A462A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0.093</w:t>
            </w:r>
          </w:p>
        </w:tc>
        <w:tc>
          <w:tcPr>
            <w:tcW w:w="902" w:type="dxa"/>
            <w:tcBorders>
              <w:top w:val="nil"/>
              <w:left w:val="nil"/>
              <w:bottom w:val="single" w:sz="4" w:space="0" w:color="auto"/>
              <w:right w:val="single" w:sz="4" w:space="0" w:color="auto"/>
            </w:tcBorders>
            <w:noWrap/>
            <w:vAlign w:val="center"/>
            <w:hideMark/>
          </w:tcPr>
          <w:p w14:paraId="57E3D18A" w14:textId="7C1D94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0.099</w:t>
            </w:r>
          </w:p>
        </w:tc>
        <w:tc>
          <w:tcPr>
            <w:tcW w:w="1070" w:type="dxa"/>
            <w:tcBorders>
              <w:top w:val="nil"/>
              <w:left w:val="nil"/>
              <w:bottom w:val="single" w:sz="4" w:space="0" w:color="auto"/>
              <w:right w:val="single" w:sz="4" w:space="0" w:color="auto"/>
            </w:tcBorders>
            <w:noWrap/>
            <w:vAlign w:val="center"/>
            <w:hideMark/>
          </w:tcPr>
          <w:p w14:paraId="59EA8442" w14:textId="7BEE0F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w:t>
            </w:r>
          </w:p>
        </w:tc>
        <w:tc>
          <w:tcPr>
            <w:tcW w:w="876" w:type="dxa"/>
            <w:tcBorders>
              <w:top w:val="nil"/>
              <w:left w:val="nil"/>
              <w:bottom w:val="single" w:sz="4" w:space="0" w:color="auto"/>
              <w:right w:val="single" w:sz="4" w:space="0" w:color="auto"/>
            </w:tcBorders>
            <w:noWrap/>
            <w:vAlign w:val="center"/>
            <w:hideMark/>
          </w:tcPr>
          <w:p w14:paraId="14E0ABC0" w14:textId="7DEE8E4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0.370</w:t>
            </w:r>
          </w:p>
        </w:tc>
      </w:tr>
      <w:tr w:rsidR="002C143B" w:rsidRPr="006C78D6" w14:paraId="26446B0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92EF5D3" w14:textId="685224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902" w:type="dxa"/>
            <w:tcBorders>
              <w:top w:val="nil"/>
              <w:left w:val="nil"/>
              <w:bottom w:val="single" w:sz="4" w:space="0" w:color="auto"/>
              <w:right w:val="single" w:sz="4" w:space="0" w:color="auto"/>
            </w:tcBorders>
            <w:noWrap/>
            <w:vAlign w:val="center"/>
            <w:hideMark/>
          </w:tcPr>
          <w:p w14:paraId="19999C43" w14:textId="748767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1.156</w:t>
            </w:r>
          </w:p>
        </w:tc>
        <w:tc>
          <w:tcPr>
            <w:tcW w:w="902" w:type="dxa"/>
            <w:tcBorders>
              <w:top w:val="nil"/>
              <w:left w:val="nil"/>
              <w:bottom w:val="single" w:sz="4" w:space="0" w:color="auto"/>
              <w:right w:val="single" w:sz="4" w:space="0" w:color="auto"/>
            </w:tcBorders>
            <w:noWrap/>
            <w:vAlign w:val="center"/>
            <w:hideMark/>
          </w:tcPr>
          <w:p w14:paraId="350C6C84" w14:textId="5F97FB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0.259</w:t>
            </w:r>
          </w:p>
        </w:tc>
        <w:tc>
          <w:tcPr>
            <w:tcW w:w="996" w:type="dxa"/>
            <w:tcBorders>
              <w:top w:val="nil"/>
              <w:left w:val="nil"/>
              <w:bottom w:val="single" w:sz="4" w:space="0" w:color="auto"/>
              <w:right w:val="single" w:sz="4" w:space="0" w:color="auto"/>
            </w:tcBorders>
            <w:noWrap/>
            <w:vAlign w:val="center"/>
            <w:hideMark/>
          </w:tcPr>
          <w:p w14:paraId="38ABC3F1" w14:textId="00E8C5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1.294</w:t>
            </w:r>
          </w:p>
        </w:tc>
        <w:tc>
          <w:tcPr>
            <w:tcW w:w="1216" w:type="dxa"/>
            <w:tcBorders>
              <w:top w:val="nil"/>
              <w:left w:val="nil"/>
              <w:bottom w:val="single" w:sz="4" w:space="0" w:color="auto"/>
              <w:right w:val="single" w:sz="4" w:space="0" w:color="auto"/>
            </w:tcBorders>
            <w:noWrap/>
            <w:vAlign w:val="center"/>
            <w:hideMark/>
          </w:tcPr>
          <w:p w14:paraId="3088D309" w14:textId="3885812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32" w:type="dxa"/>
            <w:tcBorders>
              <w:top w:val="nil"/>
              <w:left w:val="nil"/>
              <w:bottom w:val="single" w:sz="4" w:space="0" w:color="auto"/>
              <w:right w:val="single" w:sz="4" w:space="0" w:color="auto"/>
            </w:tcBorders>
            <w:noWrap/>
            <w:vAlign w:val="center"/>
            <w:hideMark/>
          </w:tcPr>
          <w:p w14:paraId="0C14DBFC" w14:textId="7CDC5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0.204</w:t>
            </w:r>
          </w:p>
        </w:tc>
        <w:tc>
          <w:tcPr>
            <w:tcW w:w="902" w:type="dxa"/>
            <w:tcBorders>
              <w:top w:val="nil"/>
              <w:left w:val="nil"/>
              <w:bottom w:val="single" w:sz="4" w:space="0" w:color="auto"/>
              <w:right w:val="single" w:sz="4" w:space="0" w:color="auto"/>
            </w:tcBorders>
            <w:noWrap/>
            <w:vAlign w:val="center"/>
            <w:hideMark/>
          </w:tcPr>
          <w:p w14:paraId="1748129D" w14:textId="79E87B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02" w:type="dxa"/>
            <w:tcBorders>
              <w:top w:val="nil"/>
              <w:left w:val="nil"/>
              <w:bottom w:val="single" w:sz="4" w:space="0" w:color="auto"/>
              <w:right w:val="single" w:sz="4" w:space="0" w:color="auto"/>
            </w:tcBorders>
            <w:noWrap/>
            <w:vAlign w:val="center"/>
            <w:hideMark/>
          </w:tcPr>
          <w:p w14:paraId="42FED020" w14:textId="0709827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0.097</w:t>
            </w:r>
          </w:p>
        </w:tc>
        <w:tc>
          <w:tcPr>
            <w:tcW w:w="902" w:type="dxa"/>
            <w:tcBorders>
              <w:top w:val="nil"/>
              <w:left w:val="nil"/>
              <w:bottom w:val="single" w:sz="4" w:space="0" w:color="auto"/>
              <w:right w:val="single" w:sz="4" w:space="0" w:color="auto"/>
            </w:tcBorders>
            <w:noWrap/>
            <w:vAlign w:val="center"/>
            <w:hideMark/>
          </w:tcPr>
          <w:p w14:paraId="44833337" w14:textId="76D4C43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0.113</w:t>
            </w:r>
          </w:p>
        </w:tc>
        <w:tc>
          <w:tcPr>
            <w:tcW w:w="902" w:type="dxa"/>
            <w:tcBorders>
              <w:top w:val="nil"/>
              <w:left w:val="nil"/>
              <w:bottom w:val="single" w:sz="4" w:space="0" w:color="auto"/>
              <w:right w:val="single" w:sz="4" w:space="0" w:color="auto"/>
            </w:tcBorders>
            <w:noWrap/>
            <w:vAlign w:val="center"/>
            <w:hideMark/>
          </w:tcPr>
          <w:p w14:paraId="7850ABC7" w14:textId="4AD7BF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02" w:type="dxa"/>
            <w:tcBorders>
              <w:top w:val="nil"/>
              <w:left w:val="nil"/>
              <w:bottom w:val="single" w:sz="4" w:space="0" w:color="auto"/>
              <w:right w:val="single" w:sz="4" w:space="0" w:color="auto"/>
            </w:tcBorders>
            <w:noWrap/>
            <w:vAlign w:val="center"/>
            <w:hideMark/>
          </w:tcPr>
          <w:p w14:paraId="49DAF996" w14:textId="15C5A94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0.140</w:t>
            </w:r>
          </w:p>
        </w:tc>
        <w:tc>
          <w:tcPr>
            <w:tcW w:w="1070" w:type="dxa"/>
            <w:tcBorders>
              <w:top w:val="nil"/>
              <w:left w:val="nil"/>
              <w:bottom w:val="single" w:sz="4" w:space="0" w:color="auto"/>
              <w:right w:val="single" w:sz="4" w:space="0" w:color="auto"/>
            </w:tcBorders>
            <w:noWrap/>
            <w:vAlign w:val="center"/>
            <w:hideMark/>
          </w:tcPr>
          <w:p w14:paraId="70A5D8EA" w14:textId="7D4BBE2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w:t>
            </w:r>
          </w:p>
        </w:tc>
        <w:tc>
          <w:tcPr>
            <w:tcW w:w="876" w:type="dxa"/>
            <w:tcBorders>
              <w:top w:val="nil"/>
              <w:left w:val="nil"/>
              <w:bottom w:val="single" w:sz="4" w:space="0" w:color="auto"/>
              <w:right w:val="single" w:sz="4" w:space="0" w:color="auto"/>
            </w:tcBorders>
            <w:noWrap/>
            <w:vAlign w:val="center"/>
            <w:hideMark/>
          </w:tcPr>
          <w:p w14:paraId="257F78A7" w14:textId="31197B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0.513</w:t>
            </w:r>
          </w:p>
        </w:tc>
      </w:tr>
      <w:tr w:rsidR="002C143B" w:rsidRPr="006C78D6" w14:paraId="674A723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9CA7C2E" w14:textId="518FBF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5000</w:t>
            </w:r>
          </w:p>
        </w:tc>
        <w:tc>
          <w:tcPr>
            <w:tcW w:w="902" w:type="dxa"/>
            <w:tcBorders>
              <w:top w:val="nil"/>
              <w:left w:val="nil"/>
              <w:bottom w:val="single" w:sz="4" w:space="0" w:color="auto"/>
              <w:right w:val="single" w:sz="4" w:space="0" w:color="auto"/>
            </w:tcBorders>
            <w:noWrap/>
            <w:vAlign w:val="center"/>
            <w:hideMark/>
          </w:tcPr>
          <w:p w14:paraId="580AB0A0" w14:textId="458A14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1.433</w:t>
            </w:r>
          </w:p>
        </w:tc>
        <w:tc>
          <w:tcPr>
            <w:tcW w:w="902" w:type="dxa"/>
            <w:tcBorders>
              <w:top w:val="nil"/>
              <w:left w:val="nil"/>
              <w:bottom w:val="single" w:sz="4" w:space="0" w:color="auto"/>
              <w:right w:val="single" w:sz="4" w:space="0" w:color="auto"/>
            </w:tcBorders>
            <w:noWrap/>
            <w:vAlign w:val="center"/>
            <w:hideMark/>
          </w:tcPr>
          <w:p w14:paraId="2D26C1A5" w14:textId="07F2C3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0.295</w:t>
            </w:r>
          </w:p>
        </w:tc>
        <w:tc>
          <w:tcPr>
            <w:tcW w:w="996" w:type="dxa"/>
            <w:tcBorders>
              <w:top w:val="nil"/>
              <w:left w:val="nil"/>
              <w:bottom w:val="single" w:sz="4" w:space="0" w:color="auto"/>
              <w:right w:val="single" w:sz="4" w:space="0" w:color="auto"/>
            </w:tcBorders>
            <w:noWrap/>
            <w:vAlign w:val="center"/>
            <w:hideMark/>
          </w:tcPr>
          <w:p w14:paraId="42DF9069" w14:textId="0A6402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1.863</w:t>
            </w:r>
          </w:p>
        </w:tc>
        <w:tc>
          <w:tcPr>
            <w:tcW w:w="1216" w:type="dxa"/>
            <w:tcBorders>
              <w:top w:val="nil"/>
              <w:left w:val="nil"/>
              <w:bottom w:val="single" w:sz="4" w:space="0" w:color="auto"/>
              <w:right w:val="single" w:sz="4" w:space="0" w:color="auto"/>
            </w:tcBorders>
            <w:noWrap/>
            <w:vAlign w:val="center"/>
            <w:hideMark/>
          </w:tcPr>
          <w:p w14:paraId="15B3F233" w14:textId="4F32B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32" w:type="dxa"/>
            <w:tcBorders>
              <w:top w:val="nil"/>
              <w:left w:val="nil"/>
              <w:bottom w:val="single" w:sz="4" w:space="0" w:color="auto"/>
              <w:right w:val="single" w:sz="4" w:space="0" w:color="auto"/>
            </w:tcBorders>
            <w:noWrap/>
            <w:vAlign w:val="center"/>
            <w:hideMark/>
          </w:tcPr>
          <w:p w14:paraId="335F5124" w14:textId="07BC1E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0.384</w:t>
            </w:r>
          </w:p>
        </w:tc>
        <w:tc>
          <w:tcPr>
            <w:tcW w:w="902" w:type="dxa"/>
            <w:tcBorders>
              <w:top w:val="nil"/>
              <w:left w:val="nil"/>
              <w:bottom w:val="single" w:sz="4" w:space="0" w:color="auto"/>
              <w:right w:val="single" w:sz="4" w:space="0" w:color="auto"/>
            </w:tcBorders>
            <w:noWrap/>
            <w:vAlign w:val="center"/>
            <w:hideMark/>
          </w:tcPr>
          <w:p w14:paraId="6AB897E9" w14:textId="643F420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0.334</w:t>
            </w:r>
          </w:p>
        </w:tc>
        <w:tc>
          <w:tcPr>
            <w:tcW w:w="902" w:type="dxa"/>
            <w:tcBorders>
              <w:top w:val="nil"/>
              <w:left w:val="nil"/>
              <w:bottom w:val="single" w:sz="4" w:space="0" w:color="auto"/>
              <w:right w:val="single" w:sz="4" w:space="0" w:color="auto"/>
            </w:tcBorders>
            <w:noWrap/>
            <w:vAlign w:val="center"/>
            <w:hideMark/>
          </w:tcPr>
          <w:p w14:paraId="46A8AA93" w14:textId="205E8A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0.180</w:t>
            </w:r>
          </w:p>
        </w:tc>
        <w:tc>
          <w:tcPr>
            <w:tcW w:w="902" w:type="dxa"/>
            <w:tcBorders>
              <w:top w:val="nil"/>
              <w:left w:val="nil"/>
              <w:bottom w:val="single" w:sz="4" w:space="0" w:color="auto"/>
              <w:right w:val="single" w:sz="4" w:space="0" w:color="auto"/>
            </w:tcBorders>
            <w:noWrap/>
            <w:vAlign w:val="center"/>
            <w:hideMark/>
          </w:tcPr>
          <w:p w14:paraId="4FA49694" w14:textId="7E93CB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0.207</w:t>
            </w:r>
          </w:p>
        </w:tc>
        <w:tc>
          <w:tcPr>
            <w:tcW w:w="902" w:type="dxa"/>
            <w:tcBorders>
              <w:top w:val="nil"/>
              <w:left w:val="nil"/>
              <w:bottom w:val="single" w:sz="4" w:space="0" w:color="auto"/>
              <w:right w:val="single" w:sz="4" w:space="0" w:color="auto"/>
            </w:tcBorders>
            <w:noWrap/>
            <w:vAlign w:val="center"/>
            <w:hideMark/>
          </w:tcPr>
          <w:p w14:paraId="7831890C" w14:textId="57EE83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0.239</w:t>
            </w:r>
          </w:p>
        </w:tc>
        <w:tc>
          <w:tcPr>
            <w:tcW w:w="902" w:type="dxa"/>
            <w:tcBorders>
              <w:top w:val="nil"/>
              <w:left w:val="nil"/>
              <w:bottom w:val="single" w:sz="4" w:space="0" w:color="auto"/>
              <w:right w:val="single" w:sz="4" w:space="0" w:color="auto"/>
            </w:tcBorders>
            <w:noWrap/>
            <w:vAlign w:val="center"/>
            <w:hideMark/>
          </w:tcPr>
          <w:p w14:paraId="1F639709" w14:textId="092B87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0.288</w:t>
            </w:r>
          </w:p>
        </w:tc>
        <w:tc>
          <w:tcPr>
            <w:tcW w:w="1070" w:type="dxa"/>
            <w:tcBorders>
              <w:top w:val="nil"/>
              <w:left w:val="nil"/>
              <w:bottom w:val="single" w:sz="4" w:space="0" w:color="auto"/>
              <w:right w:val="single" w:sz="4" w:space="0" w:color="auto"/>
            </w:tcBorders>
            <w:noWrap/>
            <w:vAlign w:val="center"/>
            <w:hideMark/>
          </w:tcPr>
          <w:p w14:paraId="4AA5E98B" w14:textId="23A044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876" w:type="dxa"/>
            <w:tcBorders>
              <w:top w:val="nil"/>
              <w:left w:val="nil"/>
              <w:bottom w:val="single" w:sz="4" w:space="0" w:color="auto"/>
              <w:right w:val="single" w:sz="4" w:space="0" w:color="auto"/>
            </w:tcBorders>
            <w:noWrap/>
            <w:vAlign w:val="center"/>
            <w:hideMark/>
          </w:tcPr>
          <w:p w14:paraId="59FD58F4" w14:textId="220A22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0.750</w:t>
            </w:r>
          </w:p>
        </w:tc>
      </w:tr>
      <w:tr w:rsidR="002C143B" w:rsidRPr="006C78D6" w14:paraId="67D3268B"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E0C7F33" w14:textId="7688FF6D"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0788B7D" w14:textId="43CC3EAC"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1B8C0A96" w14:textId="79E1C859"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667EDD9A" w14:textId="7542781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2C08573B" w14:textId="04A61F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32" w:type="dxa"/>
            <w:tcBorders>
              <w:top w:val="nil"/>
              <w:left w:val="nil"/>
              <w:bottom w:val="single" w:sz="4" w:space="0" w:color="auto"/>
              <w:right w:val="single" w:sz="4" w:space="0" w:color="auto"/>
            </w:tcBorders>
            <w:noWrap/>
            <w:vAlign w:val="center"/>
            <w:hideMark/>
          </w:tcPr>
          <w:p w14:paraId="570736B1" w14:textId="72B064F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0.439</w:t>
            </w:r>
          </w:p>
        </w:tc>
        <w:tc>
          <w:tcPr>
            <w:tcW w:w="902" w:type="dxa"/>
            <w:tcBorders>
              <w:top w:val="nil"/>
              <w:left w:val="nil"/>
              <w:bottom w:val="single" w:sz="4" w:space="0" w:color="auto"/>
              <w:right w:val="single" w:sz="4" w:space="0" w:color="auto"/>
            </w:tcBorders>
            <w:noWrap/>
            <w:vAlign w:val="center"/>
            <w:hideMark/>
          </w:tcPr>
          <w:p w14:paraId="4ACA1059" w14:textId="5E819E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0.399</w:t>
            </w:r>
          </w:p>
        </w:tc>
        <w:tc>
          <w:tcPr>
            <w:tcW w:w="902" w:type="dxa"/>
            <w:tcBorders>
              <w:top w:val="nil"/>
              <w:left w:val="nil"/>
              <w:bottom w:val="single" w:sz="4" w:space="0" w:color="auto"/>
              <w:right w:val="single" w:sz="4" w:space="0" w:color="auto"/>
            </w:tcBorders>
            <w:noWrap/>
            <w:vAlign w:val="center"/>
            <w:hideMark/>
          </w:tcPr>
          <w:p w14:paraId="44E1FD53" w14:textId="2842B3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0.217</w:t>
            </w:r>
          </w:p>
        </w:tc>
        <w:tc>
          <w:tcPr>
            <w:tcW w:w="902" w:type="dxa"/>
            <w:tcBorders>
              <w:top w:val="nil"/>
              <w:left w:val="nil"/>
              <w:bottom w:val="single" w:sz="4" w:space="0" w:color="auto"/>
              <w:right w:val="single" w:sz="4" w:space="0" w:color="auto"/>
            </w:tcBorders>
            <w:noWrap/>
            <w:vAlign w:val="center"/>
            <w:hideMark/>
          </w:tcPr>
          <w:p w14:paraId="2CC02E92" w14:textId="44DD215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0.263</w:t>
            </w:r>
          </w:p>
        </w:tc>
        <w:tc>
          <w:tcPr>
            <w:tcW w:w="902" w:type="dxa"/>
            <w:tcBorders>
              <w:top w:val="nil"/>
              <w:left w:val="nil"/>
              <w:bottom w:val="single" w:sz="4" w:space="0" w:color="auto"/>
              <w:right w:val="single" w:sz="4" w:space="0" w:color="auto"/>
            </w:tcBorders>
            <w:noWrap/>
            <w:vAlign w:val="center"/>
            <w:hideMark/>
          </w:tcPr>
          <w:p w14:paraId="63C77393" w14:textId="533B0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0.272</w:t>
            </w:r>
          </w:p>
        </w:tc>
        <w:tc>
          <w:tcPr>
            <w:tcW w:w="902" w:type="dxa"/>
            <w:tcBorders>
              <w:top w:val="nil"/>
              <w:left w:val="nil"/>
              <w:bottom w:val="single" w:sz="4" w:space="0" w:color="auto"/>
              <w:right w:val="single" w:sz="4" w:space="0" w:color="auto"/>
            </w:tcBorders>
            <w:noWrap/>
            <w:vAlign w:val="center"/>
            <w:hideMark/>
          </w:tcPr>
          <w:p w14:paraId="75A9B4C0" w14:textId="7E035BA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0.376</w:t>
            </w:r>
          </w:p>
        </w:tc>
        <w:tc>
          <w:tcPr>
            <w:tcW w:w="1070" w:type="dxa"/>
            <w:tcBorders>
              <w:top w:val="nil"/>
              <w:left w:val="nil"/>
              <w:bottom w:val="single" w:sz="4" w:space="0" w:color="auto"/>
              <w:right w:val="single" w:sz="4" w:space="0" w:color="auto"/>
            </w:tcBorders>
            <w:noWrap/>
            <w:vAlign w:val="center"/>
            <w:hideMark/>
          </w:tcPr>
          <w:p w14:paraId="0A882E9A" w14:textId="69FC3D0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25707F5F" w14:textId="1B9379C8"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r w:rsidR="002C143B" w:rsidRPr="006C78D6" w14:paraId="1271787A"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A7A83D4" w14:textId="1C6790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92033FB" w14:textId="34D512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23770777" w14:textId="36F00550"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28662D8F" w14:textId="31F073A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72EE8BCE" w14:textId="461533C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32" w:type="dxa"/>
            <w:tcBorders>
              <w:top w:val="nil"/>
              <w:left w:val="nil"/>
              <w:bottom w:val="single" w:sz="4" w:space="0" w:color="auto"/>
              <w:right w:val="single" w:sz="4" w:space="0" w:color="auto"/>
            </w:tcBorders>
            <w:noWrap/>
            <w:vAlign w:val="center"/>
            <w:hideMark/>
          </w:tcPr>
          <w:p w14:paraId="44765B44" w14:textId="063615C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0.585</w:t>
            </w:r>
          </w:p>
        </w:tc>
        <w:tc>
          <w:tcPr>
            <w:tcW w:w="902" w:type="dxa"/>
            <w:tcBorders>
              <w:top w:val="nil"/>
              <w:left w:val="nil"/>
              <w:bottom w:val="single" w:sz="4" w:space="0" w:color="auto"/>
              <w:right w:val="single" w:sz="4" w:space="0" w:color="auto"/>
            </w:tcBorders>
            <w:noWrap/>
            <w:vAlign w:val="center"/>
            <w:hideMark/>
          </w:tcPr>
          <w:p w14:paraId="0B981C3E" w14:textId="22ADD1A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0.532</w:t>
            </w:r>
          </w:p>
        </w:tc>
        <w:tc>
          <w:tcPr>
            <w:tcW w:w="902" w:type="dxa"/>
            <w:tcBorders>
              <w:top w:val="nil"/>
              <w:left w:val="nil"/>
              <w:bottom w:val="single" w:sz="4" w:space="0" w:color="auto"/>
              <w:right w:val="single" w:sz="4" w:space="0" w:color="auto"/>
            </w:tcBorders>
            <w:noWrap/>
            <w:vAlign w:val="center"/>
            <w:hideMark/>
          </w:tcPr>
          <w:p w14:paraId="65803683" w14:textId="3A720A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0.268</w:t>
            </w:r>
          </w:p>
        </w:tc>
        <w:tc>
          <w:tcPr>
            <w:tcW w:w="902" w:type="dxa"/>
            <w:tcBorders>
              <w:top w:val="nil"/>
              <w:left w:val="nil"/>
              <w:bottom w:val="single" w:sz="4" w:space="0" w:color="auto"/>
              <w:right w:val="single" w:sz="4" w:space="0" w:color="auto"/>
            </w:tcBorders>
            <w:noWrap/>
            <w:vAlign w:val="center"/>
            <w:hideMark/>
          </w:tcPr>
          <w:p w14:paraId="02B81E14" w14:textId="2E8812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0.342</w:t>
            </w:r>
          </w:p>
        </w:tc>
        <w:tc>
          <w:tcPr>
            <w:tcW w:w="902" w:type="dxa"/>
            <w:tcBorders>
              <w:top w:val="nil"/>
              <w:left w:val="nil"/>
              <w:bottom w:val="single" w:sz="4" w:space="0" w:color="auto"/>
              <w:right w:val="single" w:sz="4" w:space="0" w:color="auto"/>
            </w:tcBorders>
            <w:noWrap/>
            <w:vAlign w:val="center"/>
            <w:hideMark/>
          </w:tcPr>
          <w:p w14:paraId="6C669A9D" w14:textId="1F77EE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0.367</w:t>
            </w:r>
          </w:p>
        </w:tc>
        <w:tc>
          <w:tcPr>
            <w:tcW w:w="902" w:type="dxa"/>
            <w:tcBorders>
              <w:top w:val="nil"/>
              <w:left w:val="nil"/>
              <w:bottom w:val="single" w:sz="4" w:space="0" w:color="auto"/>
              <w:right w:val="single" w:sz="4" w:space="0" w:color="auto"/>
            </w:tcBorders>
            <w:noWrap/>
            <w:vAlign w:val="center"/>
            <w:hideMark/>
          </w:tcPr>
          <w:p w14:paraId="37465F77" w14:textId="38431E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0.435</w:t>
            </w:r>
          </w:p>
        </w:tc>
        <w:tc>
          <w:tcPr>
            <w:tcW w:w="1070" w:type="dxa"/>
            <w:tcBorders>
              <w:top w:val="nil"/>
              <w:left w:val="nil"/>
              <w:bottom w:val="single" w:sz="4" w:space="0" w:color="auto"/>
              <w:right w:val="single" w:sz="4" w:space="0" w:color="auto"/>
            </w:tcBorders>
            <w:noWrap/>
            <w:vAlign w:val="center"/>
            <w:hideMark/>
          </w:tcPr>
          <w:p w14:paraId="21C92E53" w14:textId="7EC1F464"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3E02F4AD" w14:textId="5CDEA42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bl>
    <w:p w14:paraId="26279BD1" w14:textId="77777777" w:rsidR="00BA0847" w:rsidRPr="006C78D6" w:rsidRDefault="00BA0847" w:rsidP="00BA0847">
      <w:pPr>
        <w:rPr>
          <w:rFonts w:asciiTheme="majorBidi" w:hAnsiTheme="majorBidi" w:cstheme="majorBidi"/>
          <w:lang w:val="en-GB"/>
        </w:rPr>
      </w:pPr>
    </w:p>
    <w:p w14:paraId="7846C214" w14:textId="77777777" w:rsidR="00F71930" w:rsidRPr="006C78D6" w:rsidRDefault="00F71930" w:rsidP="00663A13">
      <w:pPr>
        <w:rPr>
          <w:rFonts w:asciiTheme="majorBidi" w:hAnsiTheme="majorBidi" w:cstheme="majorBidi"/>
          <w:lang w:val="en-GB"/>
        </w:rPr>
      </w:pPr>
    </w:p>
    <w:p w14:paraId="37D921A3" w14:textId="77777777" w:rsidR="00F71930" w:rsidRPr="006C78D6" w:rsidRDefault="00F71930" w:rsidP="00663A13">
      <w:pPr>
        <w:rPr>
          <w:rFonts w:asciiTheme="majorBidi" w:hAnsiTheme="majorBidi" w:cstheme="majorBidi"/>
          <w:lang w:val="en-GB"/>
        </w:rPr>
      </w:pPr>
    </w:p>
    <w:p w14:paraId="46EFF3C4" w14:textId="77777777" w:rsidR="00F71930" w:rsidRPr="006C78D6" w:rsidRDefault="00F71930" w:rsidP="00663A13">
      <w:pPr>
        <w:rPr>
          <w:rFonts w:asciiTheme="majorBidi" w:hAnsiTheme="majorBidi" w:cstheme="majorBidi"/>
          <w:lang w:val="en-GB"/>
        </w:rPr>
      </w:pPr>
    </w:p>
    <w:p w14:paraId="62D6211B" w14:textId="77777777" w:rsidR="00F71930" w:rsidRPr="006C78D6" w:rsidRDefault="00F71930" w:rsidP="00663A13">
      <w:pPr>
        <w:rPr>
          <w:rFonts w:asciiTheme="majorBidi" w:hAnsiTheme="majorBidi" w:cstheme="majorBidi"/>
          <w:lang w:val="en-GB"/>
        </w:rPr>
      </w:pPr>
    </w:p>
    <w:p w14:paraId="468C54E2" w14:textId="77777777" w:rsidR="00F71930" w:rsidRPr="006C78D6" w:rsidRDefault="00F71930" w:rsidP="00663A13">
      <w:pPr>
        <w:rPr>
          <w:rFonts w:asciiTheme="majorBidi" w:hAnsiTheme="majorBidi" w:cstheme="majorBidi"/>
          <w:lang w:val="en-GB"/>
        </w:rPr>
      </w:pPr>
    </w:p>
    <w:p w14:paraId="15D2CF39" w14:textId="77777777" w:rsidR="00F71930" w:rsidRPr="006C78D6" w:rsidRDefault="00F71930" w:rsidP="00663A13">
      <w:pPr>
        <w:rPr>
          <w:rFonts w:asciiTheme="majorBidi" w:hAnsiTheme="majorBidi" w:cstheme="majorBidi"/>
          <w:lang w:val="en-GB"/>
        </w:rPr>
      </w:pPr>
    </w:p>
    <w:p w14:paraId="525F06D4" w14:textId="77777777" w:rsidR="00F71930" w:rsidRPr="006C78D6" w:rsidRDefault="00F71930" w:rsidP="00663A13">
      <w:pPr>
        <w:rPr>
          <w:rFonts w:asciiTheme="majorBidi" w:hAnsiTheme="majorBidi" w:cstheme="majorBidi"/>
          <w:lang w:val="en-GB"/>
        </w:rPr>
      </w:pPr>
    </w:p>
    <w:p w14:paraId="4FAE4C48" w14:textId="5364856A" w:rsidR="00663A13" w:rsidRPr="006C78D6" w:rsidRDefault="00663A13" w:rsidP="00663A13">
      <w:pPr>
        <w:rPr>
          <w:rFonts w:asciiTheme="majorBidi" w:hAnsiTheme="majorBidi" w:cstheme="majorBidi"/>
          <w:lang w:val="en-GB"/>
        </w:rPr>
      </w:pPr>
      <w:r w:rsidRPr="006C78D6">
        <w:rPr>
          <w:rFonts w:asciiTheme="majorBidi" w:hAnsiTheme="majorBidi" w:cstheme="majorBidi"/>
          <w:lang w:val="en-GB"/>
        </w:rPr>
        <w:t xml:space="preserve">Table 4: Results of </w:t>
      </w:r>
      <w:r w:rsidRPr="006C78D6">
        <w:rPr>
          <w:rFonts w:asciiTheme="majorBidi" w:eastAsia="Times New Roman" w:hAnsiTheme="majorBidi" w:cstheme="majorBidi"/>
          <w:color w:val="000000"/>
        </w:rPr>
        <w:t>Hydroxyl radical scavenging</w:t>
      </w:r>
    </w:p>
    <w:tbl>
      <w:tblPr>
        <w:tblW w:w="14012" w:type="dxa"/>
        <w:tblLook w:val="04A0" w:firstRow="1" w:lastRow="0" w:firstColumn="1" w:lastColumn="0" w:noHBand="0" w:noVBand="1"/>
      </w:tblPr>
      <w:tblGrid>
        <w:gridCol w:w="1379"/>
        <w:gridCol w:w="1163"/>
        <w:gridCol w:w="1163"/>
        <w:gridCol w:w="1163"/>
        <w:gridCol w:w="1163"/>
        <w:gridCol w:w="1163"/>
        <w:gridCol w:w="1163"/>
        <w:gridCol w:w="1163"/>
        <w:gridCol w:w="1163"/>
        <w:gridCol w:w="1163"/>
        <w:gridCol w:w="1191"/>
        <w:gridCol w:w="1163"/>
      </w:tblGrid>
      <w:tr w:rsidR="00663A13" w:rsidRPr="006C78D6" w14:paraId="50EF68B8" w14:textId="77777777" w:rsidTr="002C143B">
        <w:trPr>
          <w:trHeight w:val="300"/>
        </w:trPr>
        <w:tc>
          <w:tcPr>
            <w:tcW w:w="11658" w:type="dxa"/>
            <w:gridSpan w:val="10"/>
            <w:tcBorders>
              <w:top w:val="single" w:sz="4" w:space="0" w:color="auto"/>
              <w:left w:val="single" w:sz="4" w:space="0" w:color="auto"/>
              <w:bottom w:val="single" w:sz="4" w:space="0" w:color="auto"/>
              <w:right w:val="single" w:sz="4" w:space="0" w:color="auto"/>
            </w:tcBorders>
            <w:noWrap/>
            <w:vAlign w:val="bottom"/>
            <w:hideMark/>
          </w:tcPr>
          <w:p w14:paraId="6CB14E01"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Hydroxyl radical scavenging</w:t>
            </w:r>
          </w:p>
        </w:tc>
        <w:tc>
          <w:tcPr>
            <w:tcW w:w="2354" w:type="dxa"/>
            <w:gridSpan w:val="2"/>
            <w:tcBorders>
              <w:top w:val="single" w:sz="4" w:space="0" w:color="auto"/>
              <w:left w:val="nil"/>
              <w:bottom w:val="single" w:sz="4" w:space="0" w:color="auto"/>
              <w:right w:val="single" w:sz="4" w:space="0" w:color="auto"/>
            </w:tcBorders>
            <w:noWrap/>
            <w:vAlign w:val="bottom"/>
            <w:hideMark/>
          </w:tcPr>
          <w:p w14:paraId="690A731F"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Standard Control</w:t>
            </w:r>
          </w:p>
        </w:tc>
      </w:tr>
      <w:tr w:rsidR="00663A13" w:rsidRPr="006C78D6" w14:paraId="134CB4E4"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B91295F"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c>
          <w:tcPr>
            <w:tcW w:w="1163" w:type="dxa"/>
            <w:tcBorders>
              <w:top w:val="nil"/>
              <w:left w:val="nil"/>
              <w:bottom w:val="single" w:sz="4" w:space="0" w:color="auto"/>
              <w:right w:val="single" w:sz="4" w:space="0" w:color="auto"/>
            </w:tcBorders>
            <w:noWrap/>
            <w:vAlign w:val="bottom"/>
            <w:hideMark/>
          </w:tcPr>
          <w:p w14:paraId="5AECE2C6"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1163" w:type="dxa"/>
            <w:tcBorders>
              <w:top w:val="nil"/>
              <w:left w:val="nil"/>
              <w:bottom w:val="single" w:sz="4" w:space="0" w:color="auto"/>
              <w:right w:val="single" w:sz="4" w:space="0" w:color="auto"/>
            </w:tcBorders>
            <w:noWrap/>
            <w:vAlign w:val="bottom"/>
            <w:hideMark/>
          </w:tcPr>
          <w:p w14:paraId="4CC4A7C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1163" w:type="dxa"/>
            <w:tcBorders>
              <w:top w:val="nil"/>
              <w:left w:val="nil"/>
              <w:bottom w:val="single" w:sz="4" w:space="0" w:color="auto"/>
              <w:right w:val="single" w:sz="4" w:space="0" w:color="auto"/>
            </w:tcBorders>
            <w:noWrap/>
            <w:vAlign w:val="bottom"/>
            <w:hideMark/>
          </w:tcPr>
          <w:p w14:paraId="2F65AC6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163" w:type="dxa"/>
            <w:tcBorders>
              <w:top w:val="nil"/>
              <w:left w:val="nil"/>
              <w:bottom w:val="single" w:sz="4" w:space="0" w:color="auto"/>
              <w:right w:val="single" w:sz="4" w:space="0" w:color="auto"/>
            </w:tcBorders>
            <w:noWrap/>
            <w:vAlign w:val="bottom"/>
            <w:hideMark/>
          </w:tcPr>
          <w:p w14:paraId="6A93B1D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1163" w:type="dxa"/>
            <w:tcBorders>
              <w:top w:val="nil"/>
              <w:left w:val="nil"/>
              <w:bottom w:val="single" w:sz="4" w:space="0" w:color="auto"/>
              <w:right w:val="single" w:sz="4" w:space="0" w:color="auto"/>
            </w:tcBorders>
            <w:noWrap/>
            <w:vAlign w:val="bottom"/>
            <w:hideMark/>
          </w:tcPr>
          <w:p w14:paraId="3F1AC825"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1163" w:type="dxa"/>
            <w:tcBorders>
              <w:top w:val="nil"/>
              <w:left w:val="nil"/>
              <w:bottom w:val="single" w:sz="4" w:space="0" w:color="auto"/>
              <w:right w:val="single" w:sz="4" w:space="0" w:color="auto"/>
            </w:tcBorders>
            <w:noWrap/>
            <w:vAlign w:val="bottom"/>
            <w:hideMark/>
          </w:tcPr>
          <w:p w14:paraId="017D06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1163" w:type="dxa"/>
            <w:tcBorders>
              <w:top w:val="nil"/>
              <w:left w:val="nil"/>
              <w:bottom w:val="single" w:sz="4" w:space="0" w:color="auto"/>
              <w:right w:val="single" w:sz="4" w:space="0" w:color="auto"/>
            </w:tcBorders>
            <w:noWrap/>
            <w:vAlign w:val="bottom"/>
            <w:hideMark/>
          </w:tcPr>
          <w:p w14:paraId="345C816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1163" w:type="dxa"/>
            <w:tcBorders>
              <w:top w:val="nil"/>
              <w:left w:val="nil"/>
              <w:bottom w:val="single" w:sz="4" w:space="0" w:color="auto"/>
              <w:right w:val="single" w:sz="4" w:space="0" w:color="auto"/>
            </w:tcBorders>
            <w:noWrap/>
            <w:vAlign w:val="bottom"/>
            <w:hideMark/>
          </w:tcPr>
          <w:p w14:paraId="5BDC030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1163" w:type="dxa"/>
            <w:tcBorders>
              <w:top w:val="nil"/>
              <w:left w:val="nil"/>
              <w:bottom w:val="single" w:sz="4" w:space="0" w:color="auto"/>
              <w:right w:val="single" w:sz="4" w:space="0" w:color="auto"/>
            </w:tcBorders>
            <w:noWrap/>
            <w:vAlign w:val="bottom"/>
            <w:hideMark/>
          </w:tcPr>
          <w:p w14:paraId="226C65D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2354" w:type="dxa"/>
            <w:gridSpan w:val="2"/>
            <w:tcBorders>
              <w:top w:val="single" w:sz="4" w:space="0" w:color="auto"/>
              <w:left w:val="nil"/>
              <w:bottom w:val="single" w:sz="4" w:space="0" w:color="auto"/>
              <w:right w:val="single" w:sz="4" w:space="0" w:color="auto"/>
            </w:tcBorders>
            <w:noWrap/>
            <w:vAlign w:val="bottom"/>
            <w:hideMark/>
          </w:tcPr>
          <w:p w14:paraId="338BBFE0"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Quercetin Standard</w:t>
            </w:r>
          </w:p>
        </w:tc>
      </w:tr>
      <w:tr w:rsidR="00663A13" w:rsidRPr="006C78D6" w14:paraId="011946B6"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0C4515E" w14:textId="77777777" w:rsidR="00663A13" w:rsidRPr="006C78D6" w:rsidRDefault="00663A13" w:rsidP="002D3364">
            <w:pPr>
              <w:spacing w:after="0" w:line="240" w:lineRule="auto"/>
              <w:rPr>
                <w:rFonts w:asciiTheme="majorBidi" w:eastAsia="Times New Roman" w:hAnsiTheme="majorBidi" w:cstheme="majorBidi"/>
                <w:color w:val="000000"/>
              </w:rPr>
            </w:pPr>
            <w:commentRangeStart w:id="27"/>
            <w:r w:rsidRPr="006C78D6">
              <w:rPr>
                <w:rFonts w:asciiTheme="majorBidi" w:eastAsia="Times New Roman" w:hAnsiTheme="majorBidi" w:cstheme="majorBidi"/>
                <w:color w:val="000000"/>
              </w:rPr>
              <w:t>Conc (</w:t>
            </w:r>
            <w:proofErr w:type="spellStart"/>
            <w:r w:rsidRPr="006C78D6">
              <w:rPr>
                <w:rFonts w:asciiTheme="majorBidi" w:eastAsia="Times New Roman" w:hAnsiTheme="majorBidi" w:cstheme="majorBidi"/>
                <w:color w:val="000000"/>
              </w:rPr>
              <w:t>μg</w:t>
            </w:r>
            <w:proofErr w:type="spellEnd"/>
            <w:r w:rsidRPr="006C78D6">
              <w:rPr>
                <w:rFonts w:asciiTheme="majorBidi" w:eastAsia="Times New Roman" w:hAnsiTheme="majorBidi" w:cstheme="majorBidi"/>
                <w:color w:val="000000"/>
              </w:rPr>
              <w:t>/ml)</w:t>
            </w:r>
            <w:commentRangeEnd w:id="27"/>
            <w:r w:rsidR="00F910F2">
              <w:rPr>
                <w:rStyle w:val="CommentReference"/>
              </w:rPr>
              <w:commentReference w:id="27"/>
            </w:r>
          </w:p>
        </w:tc>
        <w:tc>
          <w:tcPr>
            <w:tcW w:w="1163" w:type="dxa"/>
            <w:tcBorders>
              <w:top w:val="nil"/>
              <w:left w:val="nil"/>
              <w:bottom w:val="single" w:sz="4" w:space="0" w:color="auto"/>
              <w:right w:val="single" w:sz="4" w:space="0" w:color="auto"/>
            </w:tcBorders>
            <w:noWrap/>
            <w:vAlign w:val="bottom"/>
            <w:hideMark/>
          </w:tcPr>
          <w:p w14:paraId="067242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85B562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13047B61"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DFDF9BA"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036224F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731141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0DD641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855B21B"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7A9E70E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91" w:type="dxa"/>
            <w:tcBorders>
              <w:top w:val="nil"/>
              <w:left w:val="nil"/>
              <w:bottom w:val="single" w:sz="4" w:space="0" w:color="auto"/>
              <w:right w:val="single" w:sz="4" w:space="0" w:color="auto"/>
            </w:tcBorders>
            <w:noWrap/>
            <w:vAlign w:val="bottom"/>
            <w:hideMark/>
          </w:tcPr>
          <w:p w14:paraId="2B5F1A0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7A754D0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r>
      <w:tr w:rsidR="002C143B" w:rsidRPr="006C78D6" w14:paraId="5F6BADE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1BA7215" w14:textId="547FD2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8B771CA" w14:textId="38765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0950F60" w14:textId="37150E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117BAA2C" w14:textId="10B8B1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03C1AB9" w14:textId="17135D2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CDA02A6" w14:textId="13889B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42A4732B" w14:textId="367A08D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39E322CC" w14:textId="7942E1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9BAAE58" w14:textId="210FBC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69BF55AF" w14:textId="162B6D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91" w:type="dxa"/>
            <w:tcBorders>
              <w:top w:val="nil"/>
              <w:left w:val="nil"/>
              <w:bottom w:val="single" w:sz="4" w:space="0" w:color="auto"/>
              <w:right w:val="single" w:sz="4" w:space="0" w:color="auto"/>
            </w:tcBorders>
            <w:noWrap/>
            <w:vAlign w:val="center"/>
            <w:hideMark/>
          </w:tcPr>
          <w:p w14:paraId="6C47141B" w14:textId="236A96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7DDB4179" w14:textId="3C890FF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r>
      <w:tr w:rsidR="002C143B" w:rsidRPr="006C78D6" w14:paraId="4C6235A2"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0FC3763" w14:textId="69962A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26E5A616" w14:textId="79DD99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4.35</w:t>
            </w:r>
          </w:p>
        </w:tc>
        <w:tc>
          <w:tcPr>
            <w:tcW w:w="1163" w:type="dxa"/>
            <w:tcBorders>
              <w:top w:val="nil"/>
              <w:left w:val="nil"/>
              <w:bottom w:val="single" w:sz="4" w:space="0" w:color="auto"/>
              <w:right w:val="single" w:sz="4" w:space="0" w:color="auto"/>
            </w:tcBorders>
            <w:noWrap/>
            <w:vAlign w:val="center"/>
            <w:hideMark/>
          </w:tcPr>
          <w:p w14:paraId="53215AA8" w14:textId="1ACE719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11.37</w:t>
            </w:r>
          </w:p>
        </w:tc>
        <w:tc>
          <w:tcPr>
            <w:tcW w:w="1163" w:type="dxa"/>
            <w:tcBorders>
              <w:top w:val="nil"/>
              <w:left w:val="nil"/>
              <w:bottom w:val="single" w:sz="4" w:space="0" w:color="auto"/>
              <w:right w:val="single" w:sz="4" w:space="0" w:color="auto"/>
            </w:tcBorders>
            <w:noWrap/>
            <w:vAlign w:val="center"/>
            <w:hideMark/>
          </w:tcPr>
          <w:p w14:paraId="419FAF81" w14:textId="5849AE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9.85</w:t>
            </w:r>
          </w:p>
        </w:tc>
        <w:tc>
          <w:tcPr>
            <w:tcW w:w="1163" w:type="dxa"/>
            <w:tcBorders>
              <w:top w:val="nil"/>
              <w:left w:val="nil"/>
              <w:bottom w:val="single" w:sz="4" w:space="0" w:color="auto"/>
              <w:right w:val="single" w:sz="4" w:space="0" w:color="auto"/>
            </w:tcBorders>
            <w:noWrap/>
            <w:vAlign w:val="center"/>
            <w:hideMark/>
          </w:tcPr>
          <w:p w14:paraId="261CC4DA" w14:textId="72051A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3.94</w:t>
            </w:r>
          </w:p>
        </w:tc>
        <w:tc>
          <w:tcPr>
            <w:tcW w:w="1163" w:type="dxa"/>
            <w:tcBorders>
              <w:top w:val="nil"/>
              <w:left w:val="nil"/>
              <w:bottom w:val="single" w:sz="4" w:space="0" w:color="auto"/>
              <w:right w:val="single" w:sz="4" w:space="0" w:color="auto"/>
            </w:tcBorders>
            <w:noWrap/>
            <w:vAlign w:val="center"/>
            <w:hideMark/>
          </w:tcPr>
          <w:p w14:paraId="38B8A2A2" w14:textId="63AA0C2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5.85</w:t>
            </w:r>
          </w:p>
        </w:tc>
        <w:tc>
          <w:tcPr>
            <w:tcW w:w="1163" w:type="dxa"/>
            <w:tcBorders>
              <w:top w:val="nil"/>
              <w:left w:val="nil"/>
              <w:bottom w:val="single" w:sz="4" w:space="0" w:color="auto"/>
              <w:right w:val="single" w:sz="4" w:space="0" w:color="auto"/>
            </w:tcBorders>
            <w:noWrap/>
            <w:vAlign w:val="center"/>
            <w:hideMark/>
          </w:tcPr>
          <w:p w14:paraId="1E43E69D" w14:textId="24D2007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7.56</w:t>
            </w:r>
          </w:p>
        </w:tc>
        <w:tc>
          <w:tcPr>
            <w:tcW w:w="1163" w:type="dxa"/>
            <w:tcBorders>
              <w:top w:val="nil"/>
              <w:left w:val="nil"/>
              <w:bottom w:val="single" w:sz="4" w:space="0" w:color="auto"/>
              <w:right w:val="single" w:sz="4" w:space="0" w:color="auto"/>
            </w:tcBorders>
            <w:noWrap/>
            <w:vAlign w:val="center"/>
            <w:hideMark/>
          </w:tcPr>
          <w:p w14:paraId="2DF2CCA2" w14:textId="0DFEA39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4.74</w:t>
            </w:r>
          </w:p>
        </w:tc>
        <w:tc>
          <w:tcPr>
            <w:tcW w:w="1163" w:type="dxa"/>
            <w:tcBorders>
              <w:top w:val="nil"/>
              <w:left w:val="nil"/>
              <w:bottom w:val="single" w:sz="4" w:space="0" w:color="auto"/>
              <w:right w:val="single" w:sz="4" w:space="0" w:color="auto"/>
            </w:tcBorders>
            <w:noWrap/>
            <w:vAlign w:val="center"/>
            <w:hideMark/>
          </w:tcPr>
          <w:p w14:paraId="56A13426" w14:textId="7C14570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0.80</w:t>
            </w:r>
          </w:p>
        </w:tc>
        <w:tc>
          <w:tcPr>
            <w:tcW w:w="1163" w:type="dxa"/>
            <w:tcBorders>
              <w:top w:val="nil"/>
              <w:left w:val="nil"/>
              <w:bottom w:val="single" w:sz="4" w:space="0" w:color="auto"/>
              <w:right w:val="single" w:sz="4" w:space="0" w:color="auto"/>
            </w:tcBorders>
            <w:noWrap/>
            <w:vAlign w:val="center"/>
            <w:hideMark/>
          </w:tcPr>
          <w:p w14:paraId="015A72B8" w14:textId="755512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5.99</w:t>
            </w:r>
          </w:p>
        </w:tc>
        <w:tc>
          <w:tcPr>
            <w:tcW w:w="1191" w:type="dxa"/>
            <w:tcBorders>
              <w:top w:val="nil"/>
              <w:left w:val="nil"/>
              <w:bottom w:val="single" w:sz="4" w:space="0" w:color="auto"/>
              <w:right w:val="single" w:sz="4" w:space="0" w:color="auto"/>
            </w:tcBorders>
            <w:noWrap/>
            <w:vAlign w:val="center"/>
            <w:hideMark/>
          </w:tcPr>
          <w:p w14:paraId="05EFB951" w14:textId="139C45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63" w:type="dxa"/>
            <w:tcBorders>
              <w:top w:val="nil"/>
              <w:left w:val="nil"/>
              <w:bottom w:val="single" w:sz="4" w:space="0" w:color="auto"/>
              <w:right w:val="single" w:sz="4" w:space="0" w:color="auto"/>
            </w:tcBorders>
            <w:noWrap/>
            <w:vAlign w:val="center"/>
            <w:hideMark/>
          </w:tcPr>
          <w:p w14:paraId="58A4FBF1" w14:textId="13AF87A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9.34</w:t>
            </w:r>
          </w:p>
        </w:tc>
      </w:tr>
      <w:tr w:rsidR="002C143B" w:rsidRPr="006C78D6" w14:paraId="7461AE46"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EB063B6" w14:textId="2DF6F9B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7FEE317A" w14:textId="48028CB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8.71</w:t>
            </w:r>
          </w:p>
        </w:tc>
        <w:tc>
          <w:tcPr>
            <w:tcW w:w="1163" w:type="dxa"/>
            <w:tcBorders>
              <w:top w:val="nil"/>
              <w:left w:val="nil"/>
              <w:bottom w:val="single" w:sz="4" w:space="0" w:color="auto"/>
              <w:right w:val="single" w:sz="4" w:space="0" w:color="auto"/>
            </w:tcBorders>
            <w:noWrap/>
            <w:vAlign w:val="center"/>
            <w:hideMark/>
          </w:tcPr>
          <w:p w14:paraId="6FED18F7" w14:textId="2F4F8A8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18.32</w:t>
            </w:r>
          </w:p>
        </w:tc>
        <w:tc>
          <w:tcPr>
            <w:tcW w:w="1163" w:type="dxa"/>
            <w:tcBorders>
              <w:top w:val="nil"/>
              <w:left w:val="nil"/>
              <w:bottom w:val="single" w:sz="4" w:space="0" w:color="auto"/>
              <w:right w:val="single" w:sz="4" w:space="0" w:color="auto"/>
            </w:tcBorders>
            <w:noWrap/>
            <w:vAlign w:val="center"/>
            <w:hideMark/>
          </w:tcPr>
          <w:p w14:paraId="75E3C179" w14:textId="193FBC2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16.51</w:t>
            </w:r>
          </w:p>
        </w:tc>
        <w:tc>
          <w:tcPr>
            <w:tcW w:w="1163" w:type="dxa"/>
            <w:tcBorders>
              <w:top w:val="nil"/>
              <w:left w:val="nil"/>
              <w:bottom w:val="single" w:sz="4" w:space="0" w:color="auto"/>
              <w:right w:val="single" w:sz="4" w:space="0" w:color="auto"/>
            </w:tcBorders>
            <w:noWrap/>
            <w:vAlign w:val="center"/>
            <w:hideMark/>
          </w:tcPr>
          <w:p w14:paraId="3D824800" w14:textId="45EA63F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16.34</w:t>
            </w:r>
          </w:p>
        </w:tc>
        <w:tc>
          <w:tcPr>
            <w:tcW w:w="1163" w:type="dxa"/>
            <w:tcBorders>
              <w:top w:val="nil"/>
              <w:left w:val="nil"/>
              <w:bottom w:val="single" w:sz="4" w:space="0" w:color="auto"/>
              <w:right w:val="single" w:sz="4" w:space="0" w:color="auto"/>
            </w:tcBorders>
            <w:noWrap/>
            <w:vAlign w:val="center"/>
            <w:hideMark/>
          </w:tcPr>
          <w:p w14:paraId="4A110A61" w14:textId="14E3B0F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8.52</w:t>
            </w:r>
          </w:p>
        </w:tc>
        <w:tc>
          <w:tcPr>
            <w:tcW w:w="1163" w:type="dxa"/>
            <w:tcBorders>
              <w:top w:val="nil"/>
              <w:left w:val="nil"/>
              <w:bottom w:val="single" w:sz="4" w:space="0" w:color="auto"/>
              <w:right w:val="single" w:sz="4" w:space="0" w:color="auto"/>
            </w:tcBorders>
            <w:noWrap/>
            <w:vAlign w:val="center"/>
            <w:hideMark/>
          </w:tcPr>
          <w:p w14:paraId="0AC8180A" w14:textId="3E6525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13.13</w:t>
            </w:r>
          </w:p>
        </w:tc>
        <w:tc>
          <w:tcPr>
            <w:tcW w:w="1163" w:type="dxa"/>
            <w:tcBorders>
              <w:top w:val="nil"/>
              <w:left w:val="nil"/>
              <w:bottom w:val="single" w:sz="4" w:space="0" w:color="auto"/>
              <w:right w:val="single" w:sz="4" w:space="0" w:color="auto"/>
            </w:tcBorders>
            <w:noWrap/>
            <w:vAlign w:val="center"/>
            <w:hideMark/>
          </w:tcPr>
          <w:p w14:paraId="394EE138" w14:textId="4D23A1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14.96</w:t>
            </w:r>
          </w:p>
        </w:tc>
        <w:tc>
          <w:tcPr>
            <w:tcW w:w="1163" w:type="dxa"/>
            <w:tcBorders>
              <w:top w:val="nil"/>
              <w:left w:val="nil"/>
              <w:bottom w:val="single" w:sz="4" w:space="0" w:color="auto"/>
              <w:right w:val="single" w:sz="4" w:space="0" w:color="auto"/>
            </w:tcBorders>
            <w:noWrap/>
            <w:vAlign w:val="center"/>
            <w:hideMark/>
          </w:tcPr>
          <w:p w14:paraId="2222F3EB" w14:textId="5224E0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5.62</w:t>
            </w:r>
          </w:p>
        </w:tc>
        <w:tc>
          <w:tcPr>
            <w:tcW w:w="1163" w:type="dxa"/>
            <w:tcBorders>
              <w:top w:val="nil"/>
              <w:left w:val="nil"/>
              <w:bottom w:val="single" w:sz="4" w:space="0" w:color="auto"/>
              <w:right w:val="single" w:sz="4" w:space="0" w:color="auto"/>
            </w:tcBorders>
            <w:noWrap/>
            <w:vAlign w:val="center"/>
            <w:hideMark/>
          </w:tcPr>
          <w:p w14:paraId="31F4384B" w14:textId="67556A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17.83</w:t>
            </w:r>
          </w:p>
        </w:tc>
        <w:tc>
          <w:tcPr>
            <w:tcW w:w="1191" w:type="dxa"/>
            <w:tcBorders>
              <w:top w:val="nil"/>
              <w:left w:val="nil"/>
              <w:bottom w:val="single" w:sz="4" w:space="0" w:color="auto"/>
              <w:right w:val="single" w:sz="4" w:space="0" w:color="auto"/>
            </w:tcBorders>
            <w:noWrap/>
            <w:vAlign w:val="center"/>
            <w:hideMark/>
          </w:tcPr>
          <w:p w14:paraId="01205863" w14:textId="2AE3FB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63" w:type="dxa"/>
            <w:tcBorders>
              <w:top w:val="nil"/>
              <w:left w:val="nil"/>
              <w:bottom w:val="single" w:sz="4" w:space="0" w:color="auto"/>
              <w:right w:val="single" w:sz="4" w:space="0" w:color="auto"/>
            </w:tcBorders>
            <w:noWrap/>
            <w:vAlign w:val="center"/>
            <w:hideMark/>
          </w:tcPr>
          <w:p w14:paraId="50EB77D9" w14:textId="0BA58D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27.37</w:t>
            </w:r>
          </w:p>
        </w:tc>
      </w:tr>
      <w:tr w:rsidR="002C143B" w:rsidRPr="006C78D6" w14:paraId="01E9FEF3"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267B50E" w14:textId="45FC0F8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3F99BD37" w14:textId="444115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16.84</w:t>
            </w:r>
          </w:p>
        </w:tc>
        <w:tc>
          <w:tcPr>
            <w:tcW w:w="1163" w:type="dxa"/>
            <w:tcBorders>
              <w:top w:val="nil"/>
              <w:left w:val="nil"/>
              <w:bottom w:val="single" w:sz="4" w:space="0" w:color="auto"/>
              <w:right w:val="single" w:sz="4" w:space="0" w:color="auto"/>
            </w:tcBorders>
            <w:noWrap/>
            <w:vAlign w:val="center"/>
            <w:hideMark/>
          </w:tcPr>
          <w:p w14:paraId="07FCCCBD" w14:textId="41194B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29.03</w:t>
            </w:r>
          </w:p>
        </w:tc>
        <w:tc>
          <w:tcPr>
            <w:tcW w:w="1163" w:type="dxa"/>
            <w:tcBorders>
              <w:top w:val="nil"/>
              <w:left w:val="nil"/>
              <w:bottom w:val="single" w:sz="4" w:space="0" w:color="auto"/>
              <w:right w:val="single" w:sz="4" w:space="0" w:color="auto"/>
            </w:tcBorders>
            <w:noWrap/>
            <w:vAlign w:val="center"/>
            <w:hideMark/>
          </w:tcPr>
          <w:p w14:paraId="08471567" w14:textId="50B3CC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27.96</w:t>
            </w:r>
          </w:p>
        </w:tc>
        <w:tc>
          <w:tcPr>
            <w:tcW w:w="1163" w:type="dxa"/>
            <w:tcBorders>
              <w:top w:val="nil"/>
              <w:left w:val="nil"/>
              <w:bottom w:val="single" w:sz="4" w:space="0" w:color="auto"/>
              <w:right w:val="single" w:sz="4" w:space="0" w:color="auto"/>
            </w:tcBorders>
            <w:noWrap/>
            <w:vAlign w:val="center"/>
            <w:hideMark/>
          </w:tcPr>
          <w:p w14:paraId="2A0CC060" w14:textId="5AE5359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32.39</w:t>
            </w:r>
          </w:p>
        </w:tc>
        <w:tc>
          <w:tcPr>
            <w:tcW w:w="1163" w:type="dxa"/>
            <w:tcBorders>
              <w:top w:val="nil"/>
              <w:left w:val="nil"/>
              <w:bottom w:val="single" w:sz="4" w:space="0" w:color="auto"/>
              <w:right w:val="single" w:sz="4" w:space="0" w:color="auto"/>
            </w:tcBorders>
            <w:noWrap/>
            <w:vAlign w:val="center"/>
            <w:hideMark/>
          </w:tcPr>
          <w:p w14:paraId="463CDFF1" w14:textId="55A71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22.52</w:t>
            </w:r>
          </w:p>
        </w:tc>
        <w:tc>
          <w:tcPr>
            <w:tcW w:w="1163" w:type="dxa"/>
            <w:tcBorders>
              <w:top w:val="nil"/>
              <w:left w:val="nil"/>
              <w:bottom w:val="single" w:sz="4" w:space="0" w:color="auto"/>
              <w:right w:val="single" w:sz="4" w:space="0" w:color="auto"/>
            </w:tcBorders>
            <w:noWrap/>
            <w:vAlign w:val="center"/>
            <w:hideMark/>
          </w:tcPr>
          <w:p w14:paraId="2867FBD1" w14:textId="0BE70F0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17.24</w:t>
            </w:r>
          </w:p>
        </w:tc>
        <w:tc>
          <w:tcPr>
            <w:tcW w:w="1163" w:type="dxa"/>
            <w:tcBorders>
              <w:top w:val="nil"/>
              <w:left w:val="nil"/>
              <w:bottom w:val="single" w:sz="4" w:space="0" w:color="auto"/>
              <w:right w:val="single" w:sz="4" w:space="0" w:color="auto"/>
            </w:tcBorders>
            <w:noWrap/>
            <w:vAlign w:val="center"/>
            <w:hideMark/>
          </w:tcPr>
          <w:p w14:paraId="38343D8B" w14:textId="444206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29.78</w:t>
            </w:r>
          </w:p>
        </w:tc>
        <w:tc>
          <w:tcPr>
            <w:tcW w:w="1163" w:type="dxa"/>
            <w:tcBorders>
              <w:top w:val="nil"/>
              <w:left w:val="nil"/>
              <w:bottom w:val="single" w:sz="4" w:space="0" w:color="auto"/>
              <w:right w:val="single" w:sz="4" w:space="0" w:color="auto"/>
            </w:tcBorders>
            <w:noWrap/>
            <w:vAlign w:val="center"/>
            <w:hideMark/>
          </w:tcPr>
          <w:p w14:paraId="4729D550" w14:textId="40A2FF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163" w:type="dxa"/>
            <w:tcBorders>
              <w:top w:val="nil"/>
              <w:left w:val="nil"/>
              <w:bottom w:val="single" w:sz="4" w:space="0" w:color="auto"/>
              <w:right w:val="single" w:sz="4" w:space="0" w:color="auto"/>
            </w:tcBorders>
            <w:noWrap/>
            <w:vAlign w:val="center"/>
            <w:hideMark/>
          </w:tcPr>
          <w:p w14:paraId="2AE93368" w14:textId="04C4CF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22.55</w:t>
            </w:r>
          </w:p>
        </w:tc>
        <w:tc>
          <w:tcPr>
            <w:tcW w:w="1191" w:type="dxa"/>
            <w:tcBorders>
              <w:top w:val="nil"/>
              <w:left w:val="nil"/>
              <w:bottom w:val="single" w:sz="4" w:space="0" w:color="auto"/>
              <w:right w:val="single" w:sz="4" w:space="0" w:color="auto"/>
            </w:tcBorders>
            <w:noWrap/>
            <w:vAlign w:val="center"/>
            <w:hideMark/>
          </w:tcPr>
          <w:p w14:paraId="4F65F259" w14:textId="5679D4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150F2ACF" w14:textId="2F8687F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41.71</w:t>
            </w:r>
          </w:p>
        </w:tc>
      </w:tr>
      <w:tr w:rsidR="002C143B" w:rsidRPr="006C78D6" w14:paraId="1EAD0DC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08E66927" w14:textId="48FB20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0A5CAB7B" w14:textId="4B08867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29.61</w:t>
            </w:r>
          </w:p>
        </w:tc>
        <w:tc>
          <w:tcPr>
            <w:tcW w:w="1163" w:type="dxa"/>
            <w:tcBorders>
              <w:top w:val="nil"/>
              <w:left w:val="nil"/>
              <w:bottom w:val="single" w:sz="4" w:space="0" w:color="auto"/>
              <w:right w:val="single" w:sz="4" w:space="0" w:color="auto"/>
            </w:tcBorders>
            <w:noWrap/>
            <w:vAlign w:val="center"/>
            <w:hideMark/>
          </w:tcPr>
          <w:p w14:paraId="202B3B88" w14:textId="3B95FC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35.00</w:t>
            </w:r>
          </w:p>
        </w:tc>
        <w:tc>
          <w:tcPr>
            <w:tcW w:w="1163" w:type="dxa"/>
            <w:tcBorders>
              <w:top w:val="nil"/>
              <w:left w:val="nil"/>
              <w:bottom w:val="single" w:sz="4" w:space="0" w:color="auto"/>
              <w:right w:val="single" w:sz="4" w:space="0" w:color="auto"/>
            </w:tcBorders>
            <w:noWrap/>
            <w:vAlign w:val="center"/>
            <w:hideMark/>
          </w:tcPr>
          <w:p w14:paraId="3597A148" w14:textId="22E6F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31.03</w:t>
            </w:r>
          </w:p>
        </w:tc>
        <w:tc>
          <w:tcPr>
            <w:tcW w:w="1163" w:type="dxa"/>
            <w:tcBorders>
              <w:top w:val="nil"/>
              <w:left w:val="nil"/>
              <w:bottom w:val="single" w:sz="4" w:space="0" w:color="auto"/>
              <w:right w:val="single" w:sz="4" w:space="0" w:color="auto"/>
            </w:tcBorders>
            <w:noWrap/>
            <w:vAlign w:val="center"/>
            <w:hideMark/>
          </w:tcPr>
          <w:p w14:paraId="1513280B" w14:textId="4433F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40.85</w:t>
            </w:r>
          </w:p>
        </w:tc>
        <w:tc>
          <w:tcPr>
            <w:tcW w:w="1163" w:type="dxa"/>
            <w:tcBorders>
              <w:top w:val="nil"/>
              <w:left w:val="nil"/>
              <w:bottom w:val="single" w:sz="4" w:space="0" w:color="auto"/>
              <w:right w:val="single" w:sz="4" w:space="0" w:color="auto"/>
            </w:tcBorders>
            <w:noWrap/>
            <w:vAlign w:val="center"/>
            <w:hideMark/>
          </w:tcPr>
          <w:p w14:paraId="1AF3DC28" w14:textId="503CB5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29.26</w:t>
            </w:r>
          </w:p>
        </w:tc>
        <w:tc>
          <w:tcPr>
            <w:tcW w:w="1163" w:type="dxa"/>
            <w:tcBorders>
              <w:top w:val="nil"/>
              <w:left w:val="nil"/>
              <w:bottom w:val="single" w:sz="4" w:space="0" w:color="auto"/>
              <w:right w:val="single" w:sz="4" w:space="0" w:color="auto"/>
            </w:tcBorders>
            <w:noWrap/>
            <w:vAlign w:val="center"/>
            <w:hideMark/>
          </w:tcPr>
          <w:p w14:paraId="185199D0" w14:textId="67D8288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25.33</w:t>
            </w:r>
          </w:p>
        </w:tc>
        <w:tc>
          <w:tcPr>
            <w:tcW w:w="1163" w:type="dxa"/>
            <w:tcBorders>
              <w:top w:val="nil"/>
              <w:left w:val="nil"/>
              <w:bottom w:val="single" w:sz="4" w:space="0" w:color="auto"/>
              <w:right w:val="single" w:sz="4" w:space="0" w:color="auto"/>
            </w:tcBorders>
            <w:noWrap/>
            <w:vAlign w:val="center"/>
            <w:hideMark/>
          </w:tcPr>
          <w:p w14:paraId="0D868BA5" w14:textId="72E3E84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32.74</w:t>
            </w:r>
          </w:p>
        </w:tc>
        <w:tc>
          <w:tcPr>
            <w:tcW w:w="1163" w:type="dxa"/>
            <w:tcBorders>
              <w:top w:val="nil"/>
              <w:left w:val="nil"/>
              <w:bottom w:val="single" w:sz="4" w:space="0" w:color="auto"/>
              <w:right w:val="single" w:sz="4" w:space="0" w:color="auto"/>
            </w:tcBorders>
            <w:noWrap/>
            <w:vAlign w:val="center"/>
            <w:hideMark/>
          </w:tcPr>
          <w:p w14:paraId="7DA7EC90" w14:textId="157C40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18.07</w:t>
            </w:r>
          </w:p>
        </w:tc>
        <w:tc>
          <w:tcPr>
            <w:tcW w:w="1163" w:type="dxa"/>
            <w:tcBorders>
              <w:top w:val="nil"/>
              <w:left w:val="nil"/>
              <w:bottom w:val="single" w:sz="4" w:space="0" w:color="auto"/>
              <w:right w:val="single" w:sz="4" w:space="0" w:color="auto"/>
            </w:tcBorders>
            <w:noWrap/>
            <w:vAlign w:val="center"/>
            <w:hideMark/>
          </w:tcPr>
          <w:p w14:paraId="2E2B5649" w14:textId="23AB0B6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25.99</w:t>
            </w:r>
          </w:p>
        </w:tc>
        <w:tc>
          <w:tcPr>
            <w:tcW w:w="1191" w:type="dxa"/>
            <w:tcBorders>
              <w:top w:val="nil"/>
              <w:left w:val="nil"/>
              <w:bottom w:val="single" w:sz="4" w:space="0" w:color="auto"/>
              <w:right w:val="single" w:sz="4" w:space="0" w:color="auto"/>
            </w:tcBorders>
            <w:noWrap/>
            <w:vAlign w:val="center"/>
            <w:hideMark/>
          </w:tcPr>
          <w:p w14:paraId="4F99FFAB" w14:textId="3DC79BD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61F21218" w14:textId="1F7A2B2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50.26</w:t>
            </w:r>
          </w:p>
        </w:tc>
      </w:tr>
      <w:tr w:rsidR="002C143B" w:rsidRPr="006C78D6" w14:paraId="22BF3B5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FF6EDE0" w14:textId="3F5453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6F108F00" w14:textId="70567C6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39.77</w:t>
            </w:r>
          </w:p>
        </w:tc>
        <w:tc>
          <w:tcPr>
            <w:tcW w:w="1163" w:type="dxa"/>
            <w:tcBorders>
              <w:top w:val="nil"/>
              <w:left w:val="nil"/>
              <w:bottom w:val="single" w:sz="4" w:space="0" w:color="auto"/>
              <w:right w:val="single" w:sz="4" w:space="0" w:color="auto"/>
            </w:tcBorders>
            <w:noWrap/>
            <w:vAlign w:val="center"/>
            <w:hideMark/>
          </w:tcPr>
          <w:p w14:paraId="694AF11A" w14:textId="36846F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38.37</w:t>
            </w:r>
          </w:p>
        </w:tc>
        <w:tc>
          <w:tcPr>
            <w:tcW w:w="1163" w:type="dxa"/>
            <w:tcBorders>
              <w:top w:val="nil"/>
              <w:left w:val="nil"/>
              <w:bottom w:val="single" w:sz="4" w:space="0" w:color="auto"/>
              <w:right w:val="single" w:sz="4" w:space="0" w:color="auto"/>
            </w:tcBorders>
            <w:noWrap/>
            <w:vAlign w:val="center"/>
            <w:hideMark/>
          </w:tcPr>
          <w:p w14:paraId="7B106741" w14:textId="6E7E5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35.95</w:t>
            </w:r>
          </w:p>
        </w:tc>
        <w:tc>
          <w:tcPr>
            <w:tcW w:w="1163" w:type="dxa"/>
            <w:tcBorders>
              <w:top w:val="nil"/>
              <w:left w:val="nil"/>
              <w:bottom w:val="single" w:sz="4" w:space="0" w:color="auto"/>
              <w:right w:val="single" w:sz="4" w:space="0" w:color="auto"/>
            </w:tcBorders>
            <w:noWrap/>
            <w:vAlign w:val="center"/>
            <w:hideMark/>
          </w:tcPr>
          <w:p w14:paraId="3F562FA2" w14:textId="3D218A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50.70</w:t>
            </w:r>
          </w:p>
        </w:tc>
        <w:tc>
          <w:tcPr>
            <w:tcW w:w="1163" w:type="dxa"/>
            <w:tcBorders>
              <w:top w:val="nil"/>
              <w:left w:val="nil"/>
              <w:bottom w:val="single" w:sz="4" w:space="0" w:color="auto"/>
              <w:right w:val="single" w:sz="4" w:space="0" w:color="auto"/>
            </w:tcBorders>
            <w:noWrap/>
            <w:vAlign w:val="center"/>
            <w:hideMark/>
          </w:tcPr>
          <w:p w14:paraId="686E3FFA" w14:textId="5DE0D4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55.85</w:t>
            </w:r>
          </w:p>
        </w:tc>
        <w:tc>
          <w:tcPr>
            <w:tcW w:w="1163" w:type="dxa"/>
            <w:tcBorders>
              <w:top w:val="nil"/>
              <w:left w:val="nil"/>
              <w:bottom w:val="single" w:sz="4" w:space="0" w:color="auto"/>
              <w:right w:val="single" w:sz="4" w:space="0" w:color="auto"/>
            </w:tcBorders>
            <w:noWrap/>
            <w:vAlign w:val="center"/>
            <w:hideMark/>
          </w:tcPr>
          <w:p w14:paraId="689949C3" w14:textId="083C631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42.31</w:t>
            </w:r>
          </w:p>
        </w:tc>
        <w:tc>
          <w:tcPr>
            <w:tcW w:w="1163" w:type="dxa"/>
            <w:tcBorders>
              <w:top w:val="nil"/>
              <w:left w:val="nil"/>
              <w:bottom w:val="single" w:sz="4" w:space="0" w:color="auto"/>
              <w:right w:val="single" w:sz="4" w:space="0" w:color="auto"/>
            </w:tcBorders>
            <w:noWrap/>
            <w:vAlign w:val="center"/>
            <w:hideMark/>
          </w:tcPr>
          <w:p w14:paraId="5BAFA5EA" w14:textId="6D827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46.37</w:t>
            </w:r>
          </w:p>
        </w:tc>
        <w:tc>
          <w:tcPr>
            <w:tcW w:w="1163" w:type="dxa"/>
            <w:tcBorders>
              <w:top w:val="nil"/>
              <w:left w:val="nil"/>
              <w:bottom w:val="single" w:sz="4" w:space="0" w:color="auto"/>
              <w:right w:val="single" w:sz="4" w:space="0" w:color="auto"/>
            </w:tcBorders>
            <w:noWrap/>
            <w:vAlign w:val="center"/>
            <w:hideMark/>
          </w:tcPr>
          <w:p w14:paraId="7C7CE74F" w14:textId="5D91EB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38.96</w:t>
            </w:r>
          </w:p>
        </w:tc>
        <w:tc>
          <w:tcPr>
            <w:tcW w:w="1163" w:type="dxa"/>
            <w:tcBorders>
              <w:top w:val="nil"/>
              <w:left w:val="nil"/>
              <w:bottom w:val="single" w:sz="4" w:space="0" w:color="auto"/>
              <w:right w:val="single" w:sz="4" w:space="0" w:color="auto"/>
            </w:tcBorders>
            <w:noWrap/>
            <w:vAlign w:val="center"/>
            <w:hideMark/>
          </w:tcPr>
          <w:p w14:paraId="5EC2B1B7" w14:textId="6D8ECF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36.94</w:t>
            </w:r>
          </w:p>
        </w:tc>
        <w:tc>
          <w:tcPr>
            <w:tcW w:w="1191" w:type="dxa"/>
            <w:tcBorders>
              <w:top w:val="nil"/>
              <w:left w:val="nil"/>
              <w:bottom w:val="single" w:sz="4" w:space="0" w:color="auto"/>
              <w:right w:val="single" w:sz="4" w:space="0" w:color="auto"/>
            </w:tcBorders>
            <w:noWrap/>
            <w:vAlign w:val="center"/>
            <w:hideMark/>
          </w:tcPr>
          <w:p w14:paraId="6E28A899" w14:textId="386316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63" w:type="dxa"/>
            <w:tcBorders>
              <w:top w:val="nil"/>
              <w:left w:val="nil"/>
              <w:bottom w:val="single" w:sz="4" w:space="0" w:color="auto"/>
              <w:right w:val="single" w:sz="4" w:space="0" w:color="auto"/>
            </w:tcBorders>
            <w:noWrap/>
            <w:vAlign w:val="center"/>
            <w:hideMark/>
          </w:tcPr>
          <w:p w14:paraId="28D8DDBC" w14:textId="25CED4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60.39</w:t>
            </w:r>
          </w:p>
        </w:tc>
      </w:tr>
      <w:tr w:rsidR="002C143B" w:rsidRPr="006C78D6" w14:paraId="1F74834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1D54E588" w14:textId="36F5F94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5CF65338" w14:textId="25B2FF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48.48</w:t>
            </w:r>
          </w:p>
        </w:tc>
        <w:tc>
          <w:tcPr>
            <w:tcW w:w="1163" w:type="dxa"/>
            <w:tcBorders>
              <w:top w:val="nil"/>
              <w:left w:val="nil"/>
              <w:bottom w:val="single" w:sz="4" w:space="0" w:color="auto"/>
              <w:right w:val="single" w:sz="4" w:space="0" w:color="auto"/>
            </w:tcBorders>
            <w:noWrap/>
            <w:vAlign w:val="center"/>
            <w:hideMark/>
          </w:tcPr>
          <w:p w14:paraId="70E369C0" w14:textId="549012A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47.67</w:t>
            </w:r>
          </w:p>
        </w:tc>
        <w:tc>
          <w:tcPr>
            <w:tcW w:w="1163" w:type="dxa"/>
            <w:tcBorders>
              <w:top w:val="nil"/>
              <w:left w:val="nil"/>
              <w:bottom w:val="single" w:sz="4" w:space="0" w:color="auto"/>
              <w:right w:val="single" w:sz="4" w:space="0" w:color="auto"/>
            </w:tcBorders>
            <w:noWrap/>
            <w:vAlign w:val="center"/>
            <w:hideMark/>
          </w:tcPr>
          <w:p w14:paraId="5F5CE5DB" w14:textId="5FEB56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41.68</w:t>
            </w:r>
          </w:p>
        </w:tc>
        <w:tc>
          <w:tcPr>
            <w:tcW w:w="1163" w:type="dxa"/>
            <w:tcBorders>
              <w:top w:val="nil"/>
              <w:left w:val="nil"/>
              <w:bottom w:val="single" w:sz="4" w:space="0" w:color="auto"/>
              <w:right w:val="single" w:sz="4" w:space="0" w:color="auto"/>
            </w:tcBorders>
            <w:noWrap/>
            <w:vAlign w:val="center"/>
            <w:hideMark/>
          </w:tcPr>
          <w:p w14:paraId="09EAED2F" w14:textId="517F08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58.87</w:t>
            </w:r>
          </w:p>
        </w:tc>
        <w:tc>
          <w:tcPr>
            <w:tcW w:w="1163" w:type="dxa"/>
            <w:tcBorders>
              <w:top w:val="nil"/>
              <w:left w:val="nil"/>
              <w:bottom w:val="single" w:sz="4" w:space="0" w:color="auto"/>
              <w:right w:val="single" w:sz="4" w:space="0" w:color="auto"/>
            </w:tcBorders>
            <w:noWrap/>
            <w:vAlign w:val="center"/>
            <w:hideMark/>
          </w:tcPr>
          <w:p w14:paraId="1499E9C3" w14:textId="10936D3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57.63</w:t>
            </w:r>
          </w:p>
        </w:tc>
        <w:tc>
          <w:tcPr>
            <w:tcW w:w="1163" w:type="dxa"/>
            <w:tcBorders>
              <w:top w:val="nil"/>
              <w:left w:val="nil"/>
              <w:bottom w:val="single" w:sz="4" w:space="0" w:color="auto"/>
              <w:right w:val="single" w:sz="4" w:space="0" w:color="auto"/>
            </w:tcBorders>
            <w:noWrap/>
            <w:vAlign w:val="center"/>
            <w:hideMark/>
          </w:tcPr>
          <w:p w14:paraId="6FA98E77" w14:textId="650E80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45.62</w:t>
            </w:r>
          </w:p>
        </w:tc>
        <w:tc>
          <w:tcPr>
            <w:tcW w:w="1163" w:type="dxa"/>
            <w:tcBorders>
              <w:top w:val="nil"/>
              <w:left w:val="nil"/>
              <w:bottom w:val="single" w:sz="4" w:space="0" w:color="auto"/>
              <w:right w:val="single" w:sz="4" w:space="0" w:color="auto"/>
            </w:tcBorders>
            <w:noWrap/>
            <w:vAlign w:val="center"/>
            <w:hideMark/>
          </w:tcPr>
          <w:p w14:paraId="56CB6703" w14:textId="1F2CA94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50.81</w:t>
            </w:r>
          </w:p>
        </w:tc>
        <w:tc>
          <w:tcPr>
            <w:tcW w:w="1163" w:type="dxa"/>
            <w:tcBorders>
              <w:top w:val="nil"/>
              <w:left w:val="nil"/>
              <w:bottom w:val="single" w:sz="4" w:space="0" w:color="auto"/>
              <w:right w:val="single" w:sz="4" w:space="0" w:color="auto"/>
            </w:tcBorders>
            <w:noWrap/>
            <w:vAlign w:val="center"/>
            <w:hideMark/>
          </w:tcPr>
          <w:p w14:paraId="543BBAA0" w14:textId="7066165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50.20</w:t>
            </w:r>
          </w:p>
        </w:tc>
        <w:tc>
          <w:tcPr>
            <w:tcW w:w="1163" w:type="dxa"/>
            <w:tcBorders>
              <w:top w:val="nil"/>
              <w:left w:val="nil"/>
              <w:bottom w:val="single" w:sz="4" w:space="0" w:color="auto"/>
              <w:right w:val="single" w:sz="4" w:space="0" w:color="auto"/>
            </w:tcBorders>
            <w:noWrap/>
            <w:vAlign w:val="center"/>
            <w:hideMark/>
          </w:tcPr>
          <w:p w14:paraId="1273727B" w14:textId="75A25C4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47.52</w:t>
            </w:r>
          </w:p>
        </w:tc>
        <w:tc>
          <w:tcPr>
            <w:tcW w:w="1191" w:type="dxa"/>
            <w:tcBorders>
              <w:top w:val="nil"/>
              <w:left w:val="nil"/>
              <w:bottom w:val="single" w:sz="4" w:space="0" w:color="auto"/>
              <w:right w:val="single" w:sz="4" w:space="0" w:color="auto"/>
            </w:tcBorders>
            <w:noWrap/>
            <w:vAlign w:val="center"/>
            <w:hideMark/>
          </w:tcPr>
          <w:p w14:paraId="71FB90CD" w14:textId="740B63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63" w:type="dxa"/>
            <w:tcBorders>
              <w:top w:val="nil"/>
              <w:left w:val="nil"/>
              <w:bottom w:val="single" w:sz="4" w:space="0" w:color="auto"/>
              <w:right w:val="single" w:sz="4" w:space="0" w:color="auto"/>
            </w:tcBorders>
            <w:noWrap/>
            <w:vAlign w:val="center"/>
            <w:hideMark/>
          </w:tcPr>
          <w:p w14:paraId="5AEF0A8C" w14:textId="4BAF01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65.92</w:t>
            </w:r>
          </w:p>
        </w:tc>
      </w:tr>
      <w:tr w:rsidR="002C143B" w:rsidRPr="006C78D6" w14:paraId="751B5879"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53DD6CF9" w14:textId="5C36E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70AA640C" w14:textId="6D2B921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51.23</w:t>
            </w:r>
          </w:p>
        </w:tc>
        <w:tc>
          <w:tcPr>
            <w:tcW w:w="1163" w:type="dxa"/>
            <w:tcBorders>
              <w:top w:val="nil"/>
              <w:left w:val="nil"/>
              <w:bottom w:val="single" w:sz="4" w:space="0" w:color="auto"/>
              <w:right w:val="single" w:sz="4" w:space="0" w:color="auto"/>
            </w:tcBorders>
            <w:noWrap/>
            <w:vAlign w:val="center"/>
            <w:hideMark/>
          </w:tcPr>
          <w:p w14:paraId="53CD0729" w14:textId="4856BF3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58.02</w:t>
            </w:r>
          </w:p>
        </w:tc>
        <w:tc>
          <w:tcPr>
            <w:tcW w:w="1163" w:type="dxa"/>
            <w:tcBorders>
              <w:top w:val="nil"/>
              <w:left w:val="nil"/>
              <w:bottom w:val="single" w:sz="4" w:space="0" w:color="auto"/>
              <w:right w:val="single" w:sz="4" w:space="0" w:color="auto"/>
            </w:tcBorders>
            <w:noWrap/>
            <w:vAlign w:val="center"/>
            <w:hideMark/>
          </w:tcPr>
          <w:p w14:paraId="7B9891D3" w14:textId="6C4D31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48.47</w:t>
            </w:r>
          </w:p>
        </w:tc>
        <w:tc>
          <w:tcPr>
            <w:tcW w:w="1163" w:type="dxa"/>
            <w:tcBorders>
              <w:top w:val="nil"/>
              <w:left w:val="nil"/>
              <w:bottom w:val="single" w:sz="4" w:space="0" w:color="auto"/>
              <w:right w:val="single" w:sz="4" w:space="0" w:color="auto"/>
            </w:tcBorders>
            <w:noWrap/>
            <w:vAlign w:val="center"/>
            <w:hideMark/>
          </w:tcPr>
          <w:p w14:paraId="271F3501" w14:textId="39B1B2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71.83</w:t>
            </w:r>
          </w:p>
        </w:tc>
        <w:tc>
          <w:tcPr>
            <w:tcW w:w="1163" w:type="dxa"/>
            <w:tcBorders>
              <w:top w:val="nil"/>
              <w:left w:val="nil"/>
              <w:bottom w:val="single" w:sz="4" w:space="0" w:color="auto"/>
              <w:right w:val="single" w:sz="4" w:space="0" w:color="auto"/>
            </w:tcBorders>
            <w:noWrap/>
            <w:vAlign w:val="center"/>
            <w:hideMark/>
          </w:tcPr>
          <w:p w14:paraId="734129D2" w14:textId="2FED92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68.45</w:t>
            </w:r>
          </w:p>
        </w:tc>
        <w:tc>
          <w:tcPr>
            <w:tcW w:w="1163" w:type="dxa"/>
            <w:tcBorders>
              <w:top w:val="nil"/>
              <w:left w:val="nil"/>
              <w:bottom w:val="single" w:sz="4" w:space="0" w:color="auto"/>
              <w:right w:val="single" w:sz="4" w:space="0" w:color="auto"/>
            </w:tcBorders>
            <w:noWrap/>
            <w:vAlign w:val="center"/>
            <w:hideMark/>
          </w:tcPr>
          <w:p w14:paraId="25EE61EA" w14:textId="0CD2FF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53.18</w:t>
            </w:r>
          </w:p>
        </w:tc>
        <w:tc>
          <w:tcPr>
            <w:tcW w:w="1163" w:type="dxa"/>
            <w:tcBorders>
              <w:top w:val="nil"/>
              <w:left w:val="nil"/>
              <w:bottom w:val="single" w:sz="4" w:space="0" w:color="auto"/>
              <w:right w:val="single" w:sz="4" w:space="0" w:color="auto"/>
            </w:tcBorders>
            <w:noWrap/>
            <w:vAlign w:val="center"/>
            <w:hideMark/>
          </w:tcPr>
          <w:p w14:paraId="452F14F7" w14:textId="21869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62.81</w:t>
            </w:r>
          </w:p>
        </w:tc>
        <w:tc>
          <w:tcPr>
            <w:tcW w:w="1163" w:type="dxa"/>
            <w:tcBorders>
              <w:top w:val="nil"/>
              <w:left w:val="nil"/>
              <w:bottom w:val="single" w:sz="4" w:space="0" w:color="auto"/>
              <w:right w:val="single" w:sz="4" w:space="0" w:color="auto"/>
            </w:tcBorders>
            <w:noWrap/>
            <w:vAlign w:val="center"/>
            <w:hideMark/>
          </w:tcPr>
          <w:p w14:paraId="3A442218" w14:textId="7A3769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58.63</w:t>
            </w:r>
          </w:p>
        </w:tc>
        <w:tc>
          <w:tcPr>
            <w:tcW w:w="1163" w:type="dxa"/>
            <w:tcBorders>
              <w:top w:val="nil"/>
              <w:left w:val="nil"/>
              <w:bottom w:val="single" w:sz="4" w:space="0" w:color="auto"/>
              <w:right w:val="single" w:sz="4" w:space="0" w:color="auto"/>
            </w:tcBorders>
            <w:noWrap/>
            <w:vAlign w:val="center"/>
            <w:hideMark/>
          </w:tcPr>
          <w:p w14:paraId="62DCCECE" w14:textId="7664F0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63.82</w:t>
            </w:r>
          </w:p>
        </w:tc>
        <w:tc>
          <w:tcPr>
            <w:tcW w:w="1191" w:type="dxa"/>
            <w:tcBorders>
              <w:top w:val="nil"/>
              <w:left w:val="nil"/>
              <w:bottom w:val="single" w:sz="4" w:space="0" w:color="auto"/>
              <w:right w:val="single" w:sz="4" w:space="0" w:color="auto"/>
            </w:tcBorders>
            <w:noWrap/>
            <w:vAlign w:val="center"/>
            <w:hideMark/>
          </w:tcPr>
          <w:p w14:paraId="4BF697BE" w14:textId="450CE2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63" w:type="dxa"/>
            <w:tcBorders>
              <w:top w:val="nil"/>
              <w:left w:val="nil"/>
              <w:bottom w:val="single" w:sz="4" w:space="0" w:color="auto"/>
              <w:right w:val="single" w:sz="4" w:space="0" w:color="auto"/>
            </w:tcBorders>
            <w:noWrap/>
            <w:vAlign w:val="center"/>
            <w:hideMark/>
          </w:tcPr>
          <w:p w14:paraId="4E2824DF" w14:textId="4B0029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72.24</w:t>
            </w:r>
          </w:p>
        </w:tc>
      </w:tr>
      <w:tr w:rsidR="002C143B" w:rsidRPr="006C78D6" w14:paraId="35D0A66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351E1584" w14:textId="2A7C6E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5E2C30A8" w14:textId="2DF379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60.81</w:t>
            </w:r>
          </w:p>
        </w:tc>
        <w:tc>
          <w:tcPr>
            <w:tcW w:w="1163" w:type="dxa"/>
            <w:tcBorders>
              <w:top w:val="nil"/>
              <w:left w:val="nil"/>
              <w:bottom w:val="single" w:sz="4" w:space="0" w:color="auto"/>
              <w:right w:val="single" w:sz="4" w:space="0" w:color="auto"/>
            </w:tcBorders>
            <w:noWrap/>
            <w:vAlign w:val="center"/>
            <w:hideMark/>
          </w:tcPr>
          <w:p w14:paraId="605396B7" w14:textId="472234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67.67</w:t>
            </w:r>
          </w:p>
        </w:tc>
        <w:tc>
          <w:tcPr>
            <w:tcW w:w="1163" w:type="dxa"/>
            <w:tcBorders>
              <w:top w:val="nil"/>
              <w:left w:val="nil"/>
              <w:bottom w:val="single" w:sz="4" w:space="0" w:color="auto"/>
              <w:right w:val="single" w:sz="4" w:space="0" w:color="auto"/>
            </w:tcBorders>
            <w:noWrap/>
            <w:vAlign w:val="center"/>
            <w:hideMark/>
          </w:tcPr>
          <w:p w14:paraId="01C9C3B9" w14:textId="301084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58.85</w:t>
            </w:r>
          </w:p>
        </w:tc>
        <w:tc>
          <w:tcPr>
            <w:tcW w:w="1163" w:type="dxa"/>
            <w:tcBorders>
              <w:top w:val="nil"/>
              <w:left w:val="nil"/>
              <w:bottom w:val="single" w:sz="4" w:space="0" w:color="auto"/>
              <w:right w:val="single" w:sz="4" w:space="0" w:color="auto"/>
            </w:tcBorders>
            <w:noWrap/>
            <w:vAlign w:val="center"/>
            <w:hideMark/>
          </w:tcPr>
          <w:p w14:paraId="3466507F" w14:textId="44E3D02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75.77</w:t>
            </w:r>
          </w:p>
        </w:tc>
        <w:tc>
          <w:tcPr>
            <w:tcW w:w="1163" w:type="dxa"/>
            <w:tcBorders>
              <w:top w:val="nil"/>
              <w:left w:val="nil"/>
              <w:bottom w:val="single" w:sz="4" w:space="0" w:color="auto"/>
              <w:right w:val="single" w:sz="4" w:space="0" w:color="auto"/>
            </w:tcBorders>
            <w:noWrap/>
            <w:vAlign w:val="center"/>
            <w:hideMark/>
          </w:tcPr>
          <w:p w14:paraId="542AEC22" w14:textId="26127B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76.46</w:t>
            </w:r>
          </w:p>
        </w:tc>
        <w:tc>
          <w:tcPr>
            <w:tcW w:w="1163" w:type="dxa"/>
            <w:tcBorders>
              <w:top w:val="nil"/>
              <w:left w:val="nil"/>
              <w:bottom w:val="single" w:sz="4" w:space="0" w:color="auto"/>
              <w:right w:val="single" w:sz="4" w:space="0" w:color="auto"/>
            </w:tcBorders>
            <w:noWrap/>
            <w:vAlign w:val="center"/>
            <w:hideMark/>
          </w:tcPr>
          <w:p w14:paraId="0DB1B696" w14:textId="4A0439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66.84</w:t>
            </w:r>
          </w:p>
        </w:tc>
        <w:tc>
          <w:tcPr>
            <w:tcW w:w="1163" w:type="dxa"/>
            <w:tcBorders>
              <w:top w:val="nil"/>
              <w:left w:val="nil"/>
              <w:bottom w:val="single" w:sz="4" w:space="0" w:color="auto"/>
              <w:right w:val="single" w:sz="4" w:space="0" w:color="auto"/>
            </w:tcBorders>
            <w:noWrap/>
            <w:vAlign w:val="center"/>
            <w:hideMark/>
          </w:tcPr>
          <w:p w14:paraId="75B650FC" w14:textId="5ECF711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64.74</w:t>
            </w:r>
          </w:p>
        </w:tc>
        <w:tc>
          <w:tcPr>
            <w:tcW w:w="1163" w:type="dxa"/>
            <w:tcBorders>
              <w:top w:val="nil"/>
              <w:left w:val="nil"/>
              <w:bottom w:val="single" w:sz="4" w:space="0" w:color="auto"/>
              <w:right w:val="single" w:sz="4" w:space="0" w:color="auto"/>
            </w:tcBorders>
            <w:noWrap/>
            <w:vAlign w:val="center"/>
            <w:hideMark/>
          </w:tcPr>
          <w:p w14:paraId="6E4DD219" w14:textId="66F2F6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66.93</w:t>
            </w:r>
          </w:p>
        </w:tc>
        <w:tc>
          <w:tcPr>
            <w:tcW w:w="1163" w:type="dxa"/>
            <w:tcBorders>
              <w:top w:val="nil"/>
              <w:left w:val="nil"/>
              <w:bottom w:val="single" w:sz="4" w:space="0" w:color="auto"/>
              <w:right w:val="single" w:sz="4" w:space="0" w:color="auto"/>
            </w:tcBorders>
            <w:noWrap/>
            <w:vAlign w:val="center"/>
            <w:hideMark/>
          </w:tcPr>
          <w:p w14:paraId="3A820158" w14:textId="1C20AC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75.80</w:t>
            </w:r>
          </w:p>
        </w:tc>
        <w:tc>
          <w:tcPr>
            <w:tcW w:w="1191" w:type="dxa"/>
            <w:tcBorders>
              <w:top w:val="nil"/>
              <w:left w:val="nil"/>
              <w:bottom w:val="single" w:sz="4" w:space="0" w:color="auto"/>
              <w:right w:val="single" w:sz="4" w:space="0" w:color="auto"/>
            </w:tcBorders>
            <w:noWrap/>
            <w:vAlign w:val="center"/>
            <w:hideMark/>
          </w:tcPr>
          <w:p w14:paraId="287A54FA" w14:textId="13DB08E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781AC3A6" w14:textId="715FEC9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81.84</w:t>
            </w:r>
          </w:p>
        </w:tc>
      </w:tr>
      <w:tr w:rsidR="002C143B" w:rsidRPr="006C78D6" w14:paraId="16CCE21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208D6576" w14:textId="2CB1C05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6B7A2CBE" w14:textId="5038D7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66.91</w:t>
            </w:r>
          </w:p>
        </w:tc>
        <w:tc>
          <w:tcPr>
            <w:tcW w:w="1163" w:type="dxa"/>
            <w:tcBorders>
              <w:top w:val="nil"/>
              <w:left w:val="nil"/>
              <w:bottom w:val="single" w:sz="4" w:space="0" w:color="auto"/>
              <w:right w:val="single" w:sz="4" w:space="0" w:color="auto"/>
            </w:tcBorders>
            <w:noWrap/>
            <w:vAlign w:val="center"/>
            <w:hideMark/>
          </w:tcPr>
          <w:p w14:paraId="49135CCD" w14:textId="23743C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74.30</w:t>
            </w:r>
          </w:p>
        </w:tc>
        <w:tc>
          <w:tcPr>
            <w:tcW w:w="1163" w:type="dxa"/>
            <w:tcBorders>
              <w:top w:val="nil"/>
              <w:left w:val="nil"/>
              <w:bottom w:val="single" w:sz="4" w:space="0" w:color="auto"/>
              <w:right w:val="single" w:sz="4" w:space="0" w:color="auto"/>
            </w:tcBorders>
            <w:noWrap/>
            <w:vAlign w:val="center"/>
            <w:hideMark/>
          </w:tcPr>
          <w:p w14:paraId="06DBEDFB" w14:textId="68D749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62.05</w:t>
            </w:r>
          </w:p>
        </w:tc>
        <w:tc>
          <w:tcPr>
            <w:tcW w:w="1163" w:type="dxa"/>
            <w:tcBorders>
              <w:top w:val="nil"/>
              <w:left w:val="nil"/>
              <w:bottom w:val="single" w:sz="4" w:space="0" w:color="auto"/>
              <w:right w:val="single" w:sz="4" w:space="0" w:color="auto"/>
            </w:tcBorders>
            <w:noWrap/>
            <w:vAlign w:val="center"/>
            <w:hideMark/>
          </w:tcPr>
          <w:p w14:paraId="3E4570EE" w14:textId="6D7A51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83.10</w:t>
            </w:r>
          </w:p>
        </w:tc>
        <w:tc>
          <w:tcPr>
            <w:tcW w:w="1163" w:type="dxa"/>
            <w:tcBorders>
              <w:top w:val="nil"/>
              <w:left w:val="nil"/>
              <w:bottom w:val="single" w:sz="4" w:space="0" w:color="auto"/>
              <w:right w:val="single" w:sz="4" w:space="0" w:color="auto"/>
            </w:tcBorders>
            <w:noWrap/>
            <w:vAlign w:val="center"/>
            <w:hideMark/>
          </w:tcPr>
          <w:p w14:paraId="090A1D87" w14:textId="17EE5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86.77</w:t>
            </w:r>
          </w:p>
        </w:tc>
        <w:tc>
          <w:tcPr>
            <w:tcW w:w="1163" w:type="dxa"/>
            <w:tcBorders>
              <w:top w:val="nil"/>
              <w:left w:val="nil"/>
              <w:bottom w:val="single" w:sz="4" w:space="0" w:color="auto"/>
              <w:right w:val="single" w:sz="4" w:space="0" w:color="auto"/>
            </w:tcBorders>
            <w:noWrap/>
            <w:vAlign w:val="center"/>
            <w:hideMark/>
          </w:tcPr>
          <w:p w14:paraId="641B66F5" w14:textId="7E0BF3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77.19</w:t>
            </w:r>
          </w:p>
        </w:tc>
        <w:tc>
          <w:tcPr>
            <w:tcW w:w="1163" w:type="dxa"/>
            <w:tcBorders>
              <w:top w:val="nil"/>
              <w:left w:val="nil"/>
              <w:bottom w:val="single" w:sz="4" w:space="0" w:color="auto"/>
              <w:right w:val="single" w:sz="4" w:space="0" w:color="auto"/>
            </w:tcBorders>
            <w:noWrap/>
            <w:vAlign w:val="center"/>
            <w:hideMark/>
          </w:tcPr>
          <w:p w14:paraId="0A49B793" w14:textId="23EA4B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80.74</w:t>
            </w:r>
          </w:p>
        </w:tc>
        <w:tc>
          <w:tcPr>
            <w:tcW w:w="1163" w:type="dxa"/>
            <w:tcBorders>
              <w:top w:val="nil"/>
              <w:left w:val="nil"/>
              <w:bottom w:val="single" w:sz="4" w:space="0" w:color="auto"/>
              <w:right w:val="single" w:sz="4" w:space="0" w:color="auto"/>
            </w:tcBorders>
            <w:noWrap/>
            <w:vAlign w:val="center"/>
            <w:hideMark/>
          </w:tcPr>
          <w:p w14:paraId="49142B76" w14:textId="34616C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83.13</w:t>
            </w:r>
          </w:p>
        </w:tc>
        <w:tc>
          <w:tcPr>
            <w:tcW w:w="1163" w:type="dxa"/>
            <w:tcBorders>
              <w:top w:val="nil"/>
              <w:left w:val="nil"/>
              <w:bottom w:val="single" w:sz="4" w:space="0" w:color="auto"/>
              <w:right w:val="single" w:sz="4" w:space="0" w:color="auto"/>
            </w:tcBorders>
            <w:noWrap/>
            <w:vAlign w:val="center"/>
            <w:hideMark/>
          </w:tcPr>
          <w:p w14:paraId="25D43C63" w14:textId="325B029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84.46</w:t>
            </w:r>
          </w:p>
        </w:tc>
        <w:tc>
          <w:tcPr>
            <w:tcW w:w="1191" w:type="dxa"/>
            <w:tcBorders>
              <w:top w:val="nil"/>
              <w:left w:val="nil"/>
              <w:bottom w:val="single" w:sz="4" w:space="0" w:color="auto"/>
              <w:right w:val="single" w:sz="4" w:space="0" w:color="auto"/>
            </w:tcBorders>
            <w:noWrap/>
            <w:vAlign w:val="center"/>
            <w:hideMark/>
          </w:tcPr>
          <w:p w14:paraId="5A1D78BB" w14:textId="709CFE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37AD84D0" w14:textId="32F566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90.66</w:t>
            </w:r>
          </w:p>
        </w:tc>
      </w:tr>
    </w:tbl>
    <w:p w14:paraId="4D0ABE4F" w14:textId="77777777" w:rsidR="00663A13" w:rsidRPr="006C78D6" w:rsidRDefault="00663A13" w:rsidP="00663A13">
      <w:pPr>
        <w:rPr>
          <w:rFonts w:asciiTheme="majorBidi" w:hAnsiTheme="majorBidi" w:cstheme="majorBidi"/>
          <w:b/>
          <w:bCs/>
          <w:lang w:val="en-GB"/>
        </w:rPr>
      </w:pPr>
    </w:p>
    <w:p w14:paraId="2D91C290" w14:textId="77777777" w:rsidR="008D23E9" w:rsidRPr="006C78D6" w:rsidRDefault="008D23E9" w:rsidP="008D23E9">
      <w:pPr>
        <w:rPr>
          <w:lang w:val="en-GB"/>
        </w:rPr>
      </w:pPr>
    </w:p>
    <w:p w14:paraId="31E4F0C0" w14:textId="77777777" w:rsidR="008D23E9" w:rsidRPr="006C78D6" w:rsidRDefault="008D23E9" w:rsidP="008D23E9">
      <w:pPr>
        <w:rPr>
          <w:lang w:val="en-GB"/>
        </w:rPr>
      </w:pPr>
    </w:p>
    <w:p w14:paraId="66DB5BE6" w14:textId="77777777" w:rsidR="008D23E9" w:rsidRPr="006C78D6" w:rsidRDefault="008D23E9" w:rsidP="008D23E9">
      <w:pPr>
        <w:rPr>
          <w:lang w:val="en-GB"/>
        </w:rPr>
      </w:pPr>
    </w:p>
    <w:p w14:paraId="1E060E79" w14:textId="77777777" w:rsidR="008D23E9" w:rsidRPr="006C78D6" w:rsidRDefault="008D23E9" w:rsidP="008D23E9">
      <w:pPr>
        <w:rPr>
          <w:lang w:val="en-GB"/>
        </w:rPr>
      </w:pPr>
    </w:p>
    <w:p w14:paraId="08F9D0FD" w14:textId="77777777" w:rsidR="008D23E9" w:rsidRPr="006C78D6" w:rsidRDefault="008D23E9" w:rsidP="008D23E9">
      <w:pPr>
        <w:rPr>
          <w:lang w:val="en-GB"/>
        </w:rPr>
      </w:pPr>
    </w:p>
    <w:p w14:paraId="28FCF219" w14:textId="77777777" w:rsidR="008D23E9" w:rsidRPr="006C78D6" w:rsidRDefault="008D23E9" w:rsidP="008D23E9">
      <w:pPr>
        <w:rPr>
          <w:lang w:val="en-GB"/>
        </w:rPr>
      </w:pPr>
    </w:p>
    <w:p w14:paraId="62E16A09" w14:textId="0691E4E7" w:rsidR="008D23E9" w:rsidRPr="006C78D6" w:rsidRDefault="008D23E9" w:rsidP="00424E45">
      <w:pPr>
        <w:spacing w:after="0"/>
      </w:pPr>
      <w:r w:rsidRPr="006C78D6">
        <w:rPr>
          <w:lang w:val="en-GB"/>
        </w:rPr>
        <w:lastRenderedPageBreak/>
        <w:t xml:space="preserve">Table 5: </w:t>
      </w:r>
      <w:r w:rsidRPr="006C78D6">
        <w:rPr>
          <w:rFonts w:ascii="Times New Roman" w:eastAsia="Times New Roman" w:hAnsi="Times New Roman" w:cs="Times New Roman"/>
          <w:color w:val="000000"/>
          <w:lang w:eastAsia="en-GB"/>
        </w:rPr>
        <w:t>Total antioxidant capacity in milligram</w:t>
      </w:r>
      <w:r w:rsidR="00F910F2">
        <w:rPr>
          <w:rFonts w:ascii="Times New Roman" w:eastAsia="Times New Roman" w:hAnsi="Times New Roman" w:cs="Times New Roman"/>
          <w:color w:val="000000"/>
          <w:lang w:eastAsia="en-GB"/>
        </w:rPr>
        <w:t xml:space="preserve"> </w:t>
      </w:r>
      <w:r w:rsidRPr="006C78D6">
        <w:rPr>
          <w:rFonts w:ascii="Times New Roman" w:eastAsia="Times New Roman" w:hAnsi="Times New Roman" w:cs="Times New Roman"/>
          <w:color w:val="000000"/>
          <w:lang w:eastAsia="en-GB"/>
        </w:rPr>
        <w:t>gallic acid equivalent per gram extract</w:t>
      </w:r>
      <w:r w:rsidR="00424E45" w:rsidRPr="006C78D6">
        <w:rPr>
          <w:rFonts w:ascii="Times New Roman" w:eastAsia="Times New Roman" w:hAnsi="Times New Roman" w:cs="Times New Roman"/>
          <w:color w:val="000000"/>
          <w:lang w:eastAsia="en-GB"/>
        </w:rPr>
        <w:t xml:space="preserve"> </w:t>
      </w:r>
      <w:r w:rsidR="00424E45" w:rsidRPr="006C78D6">
        <w:rPr>
          <w:rFonts w:ascii="Calibri" w:eastAsia="Times New Roman" w:hAnsi="Calibri" w:cs="Calibri"/>
          <w:color w:val="000000"/>
        </w:rPr>
        <w:t>(GAE mg/g extract)</w:t>
      </w:r>
    </w:p>
    <w:tbl>
      <w:tblPr>
        <w:tblW w:w="12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126"/>
        <w:gridCol w:w="1134"/>
        <w:gridCol w:w="1134"/>
        <w:gridCol w:w="1134"/>
        <w:gridCol w:w="1134"/>
        <w:gridCol w:w="1088"/>
        <w:gridCol w:w="1170"/>
        <w:gridCol w:w="1080"/>
        <w:gridCol w:w="1350"/>
      </w:tblGrid>
      <w:tr w:rsidR="008D23E9" w:rsidRPr="006C78D6" w14:paraId="3FC6CD83" w14:textId="77777777" w:rsidTr="00424E45">
        <w:trPr>
          <w:trHeight w:val="300"/>
        </w:trPr>
        <w:tc>
          <w:tcPr>
            <w:tcW w:w="2250" w:type="dxa"/>
            <w:noWrap/>
            <w:vAlign w:val="bottom"/>
            <w:hideMark/>
          </w:tcPr>
          <w:p w14:paraId="7CADCE8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32D83901" w14:textId="3851C2AC"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1</w:t>
            </w:r>
            <w:r w:rsidR="00424E45" w:rsidRPr="006C78D6">
              <w:rPr>
                <w:rFonts w:ascii="Calibri" w:eastAsia="Times New Roman" w:hAnsi="Calibri" w:cs="Calibri"/>
                <w:color w:val="000000"/>
              </w:rPr>
              <w:t xml:space="preserve"> </w:t>
            </w:r>
            <w:r w:rsidRPr="006C78D6">
              <w:rPr>
                <w:rFonts w:ascii="Calibri" w:eastAsia="Times New Roman" w:hAnsi="Calibri" w:cs="Calibri"/>
                <w:color w:val="000000"/>
              </w:rPr>
              <w:t>TAC (GAE mg/g extract)</w:t>
            </w:r>
          </w:p>
        </w:tc>
        <w:tc>
          <w:tcPr>
            <w:tcW w:w="1134" w:type="dxa"/>
            <w:noWrap/>
            <w:vAlign w:val="bottom"/>
            <w:hideMark/>
          </w:tcPr>
          <w:p w14:paraId="2C0FA4DF"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2 TAC (GAE mg/g extract)</w:t>
            </w:r>
          </w:p>
        </w:tc>
        <w:tc>
          <w:tcPr>
            <w:tcW w:w="1134" w:type="dxa"/>
            <w:noWrap/>
            <w:vAlign w:val="bottom"/>
            <w:hideMark/>
          </w:tcPr>
          <w:p w14:paraId="6F34B9C1"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3 TAC (GAE mg/g extract)</w:t>
            </w:r>
          </w:p>
        </w:tc>
        <w:tc>
          <w:tcPr>
            <w:tcW w:w="1134" w:type="dxa"/>
            <w:noWrap/>
            <w:vAlign w:val="bottom"/>
            <w:hideMark/>
          </w:tcPr>
          <w:p w14:paraId="54C70A89"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4 TAC (GAE mg/g extract)</w:t>
            </w:r>
          </w:p>
        </w:tc>
        <w:tc>
          <w:tcPr>
            <w:tcW w:w="1134" w:type="dxa"/>
            <w:noWrap/>
            <w:vAlign w:val="bottom"/>
            <w:hideMark/>
          </w:tcPr>
          <w:p w14:paraId="72EC197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5 TAC (GAE mg/g extract)</w:t>
            </w:r>
          </w:p>
        </w:tc>
        <w:tc>
          <w:tcPr>
            <w:tcW w:w="1088" w:type="dxa"/>
            <w:noWrap/>
            <w:vAlign w:val="bottom"/>
            <w:hideMark/>
          </w:tcPr>
          <w:p w14:paraId="669AA394"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6 TAC (GAE mg/g extract)</w:t>
            </w:r>
          </w:p>
        </w:tc>
        <w:tc>
          <w:tcPr>
            <w:tcW w:w="1170" w:type="dxa"/>
            <w:noWrap/>
            <w:vAlign w:val="bottom"/>
            <w:hideMark/>
          </w:tcPr>
          <w:p w14:paraId="55825695"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7 TAC (GAE mg/g extract)</w:t>
            </w:r>
          </w:p>
        </w:tc>
        <w:tc>
          <w:tcPr>
            <w:tcW w:w="1080" w:type="dxa"/>
            <w:noWrap/>
            <w:vAlign w:val="bottom"/>
            <w:hideMark/>
          </w:tcPr>
          <w:p w14:paraId="0440689A"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8 TAC (GAE mg/g extract)</w:t>
            </w:r>
          </w:p>
        </w:tc>
        <w:tc>
          <w:tcPr>
            <w:tcW w:w="1350" w:type="dxa"/>
            <w:noWrap/>
            <w:vAlign w:val="bottom"/>
            <w:hideMark/>
          </w:tcPr>
          <w:p w14:paraId="35F98096"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9 TAC (GAE mg/g extract)</w:t>
            </w:r>
          </w:p>
        </w:tc>
      </w:tr>
      <w:tr w:rsidR="008D23E9" w:rsidRPr="006C78D6" w14:paraId="7CEE210B" w14:textId="77777777" w:rsidTr="00424E45">
        <w:trPr>
          <w:trHeight w:val="300"/>
        </w:trPr>
        <w:tc>
          <w:tcPr>
            <w:tcW w:w="2250" w:type="dxa"/>
            <w:noWrap/>
            <w:vAlign w:val="bottom"/>
            <w:hideMark/>
          </w:tcPr>
          <w:p w14:paraId="48C6FE5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517609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75.84</w:t>
            </w:r>
          </w:p>
        </w:tc>
        <w:tc>
          <w:tcPr>
            <w:tcW w:w="1134" w:type="dxa"/>
            <w:noWrap/>
            <w:vAlign w:val="bottom"/>
            <w:hideMark/>
          </w:tcPr>
          <w:p w14:paraId="3CE046C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43.89</w:t>
            </w:r>
          </w:p>
        </w:tc>
        <w:tc>
          <w:tcPr>
            <w:tcW w:w="1134" w:type="dxa"/>
            <w:noWrap/>
            <w:vAlign w:val="bottom"/>
            <w:hideMark/>
          </w:tcPr>
          <w:p w14:paraId="03094C8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108.28</w:t>
            </w:r>
          </w:p>
        </w:tc>
        <w:tc>
          <w:tcPr>
            <w:tcW w:w="1134" w:type="dxa"/>
            <w:noWrap/>
            <w:vAlign w:val="bottom"/>
            <w:hideMark/>
          </w:tcPr>
          <w:p w14:paraId="16C92B3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E8B86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93.58</w:t>
            </w:r>
          </w:p>
        </w:tc>
        <w:tc>
          <w:tcPr>
            <w:tcW w:w="1088" w:type="dxa"/>
            <w:noWrap/>
            <w:vAlign w:val="bottom"/>
            <w:hideMark/>
          </w:tcPr>
          <w:p w14:paraId="09B3726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100.47</w:t>
            </w:r>
          </w:p>
        </w:tc>
        <w:tc>
          <w:tcPr>
            <w:tcW w:w="1170" w:type="dxa"/>
            <w:noWrap/>
            <w:vAlign w:val="bottom"/>
            <w:hideMark/>
          </w:tcPr>
          <w:p w14:paraId="4437CE9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152.89</w:t>
            </w:r>
          </w:p>
        </w:tc>
        <w:tc>
          <w:tcPr>
            <w:tcW w:w="1080" w:type="dxa"/>
            <w:noWrap/>
            <w:vAlign w:val="bottom"/>
            <w:hideMark/>
          </w:tcPr>
          <w:p w14:paraId="2BFCC75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217.89</w:t>
            </w:r>
          </w:p>
        </w:tc>
        <w:tc>
          <w:tcPr>
            <w:tcW w:w="1350" w:type="dxa"/>
            <w:noWrap/>
            <w:vAlign w:val="bottom"/>
            <w:hideMark/>
          </w:tcPr>
          <w:p w14:paraId="1B789B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142.03</w:t>
            </w:r>
          </w:p>
        </w:tc>
      </w:tr>
      <w:tr w:rsidR="008D23E9" w:rsidRPr="006C78D6" w14:paraId="027D4798" w14:textId="77777777" w:rsidTr="00424E45">
        <w:trPr>
          <w:trHeight w:val="300"/>
        </w:trPr>
        <w:tc>
          <w:tcPr>
            <w:tcW w:w="2250" w:type="dxa"/>
            <w:noWrap/>
            <w:vAlign w:val="bottom"/>
            <w:hideMark/>
          </w:tcPr>
          <w:p w14:paraId="56769B68"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F34BAB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70.27</w:t>
            </w:r>
          </w:p>
        </w:tc>
        <w:tc>
          <w:tcPr>
            <w:tcW w:w="1134" w:type="dxa"/>
            <w:noWrap/>
            <w:vAlign w:val="bottom"/>
            <w:hideMark/>
          </w:tcPr>
          <w:p w14:paraId="44EC322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44.16</w:t>
            </w:r>
          </w:p>
        </w:tc>
        <w:tc>
          <w:tcPr>
            <w:tcW w:w="1134" w:type="dxa"/>
            <w:noWrap/>
            <w:vAlign w:val="bottom"/>
            <w:hideMark/>
          </w:tcPr>
          <w:p w14:paraId="344D186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101.20</w:t>
            </w:r>
          </w:p>
        </w:tc>
        <w:tc>
          <w:tcPr>
            <w:tcW w:w="1134" w:type="dxa"/>
            <w:noWrap/>
            <w:vAlign w:val="bottom"/>
            <w:hideMark/>
          </w:tcPr>
          <w:p w14:paraId="0CADE22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107.04</w:t>
            </w:r>
          </w:p>
        </w:tc>
        <w:tc>
          <w:tcPr>
            <w:tcW w:w="1134" w:type="dxa"/>
            <w:noWrap/>
            <w:vAlign w:val="bottom"/>
            <w:hideMark/>
          </w:tcPr>
          <w:p w14:paraId="05CA285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81.95</w:t>
            </w:r>
          </w:p>
        </w:tc>
        <w:tc>
          <w:tcPr>
            <w:tcW w:w="1088" w:type="dxa"/>
            <w:noWrap/>
            <w:vAlign w:val="bottom"/>
            <w:hideMark/>
          </w:tcPr>
          <w:p w14:paraId="37799B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98.14</w:t>
            </w:r>
          </w:p>
        </w:tc>
        <w:tc>
          <w:tcPr>
            <w:tcW w:w="1170" w:type="dxa"/>
            <w:noWrap/>
            <w:vAlign w:val="bottom"/>
            <w:hideMark/>
          </w:tcPr>
          <w:p w14:paraId="4F3ECDB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3767C17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205.25</w:t>
            </w:r>
          </w:p>
        </w:tc>
        <w:tc>
          <w:tcPr>
            <w:tcW w:w="1350" w:type="dxa"/>
            <w:noWrap/>
            <w:vAlign w:val="bottom"/>
            <w:hideMark/>
          </w:tcPr>
          <w:p w14:paraId="227520E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145.44</w:t>
            </w:r>
          </w:p>
        </w:tc>
      </w:tr>
      <w:tr w:rsidR="008D23E9" w:rsidRPr="006C78D6" w14:paraId="5195E9D8" w14:textId="77777777" w:rsidTr="00424E45">
        <w:trPr>
          <w:trHeight w:val="300"/>
        </w:trPr>
        <w:tc>
          <w:tcPr>
            <w:tcW w:w="2250" w:type="dxa"/>
            <w:noWrap/>
            <w:vAlign w:val="bottom"/>
            <w:hideMark/>
          </w:tcPr>
          <w:p w14:paraId="1B3052B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27E2B8D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74.82</w:t>
            </w:r>
          </w:p>
        </w:tc>
        <w:tc>
          <w:tcPr>
            <w:tcW w:w="1134" w:type="dxa"/>
            <w:noWrap/>
            <w:vAlign w:val="bottom"/>
            <w:hideMark/>
          </w:tcPr>
          <w:p w14:paraId="3FD9BF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44.03</w:t>
            </w:r>
          </w:p>
        </w:tc>
        <w:tc>
          <w:tcPr>
            <w:tcW w:w="1134" w:type="dxa"/>
            <w:noWrap/>
            <w:vAlign w:val="bottom"/>
            <w:hideMark/>
          </w:tcPr>
          <w:p w14:paraId="1F98A3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104.74</w:t>
            </w:r>
          </w:p>
        </w:tc>
        <w:tc>
          <w:tcPr>
            <w:tcW w:w="1134" w:type="dxa"/>
            <w:noWrap/>
            <w:vAlign w:val="bottom"/>
            <w:hideMark/>
          </w:tcPr>
          <w:p w14:paraId="3DCB31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101.97</w:t>
            </w:r>
          </w:p>
        </w:tc>
        <w:tc>
          <w:tcPr>
            <w:tcW w:w="1134" w:type="dxa"/>
            <w:noWrap/>
            <w:vAlign w:val="bottom"/>
            <w:hideMark/>
          </w:tcPr>
          <w:p w14:paraId="373CDAC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81.60</w:t>
            </w:r>
          </w:p>
        </w:tc>
        <w:tc>
          <w:tcPr>
            <w:tcW w:w="1088" w:type="dxa"/>
            <w:noWrap/>
            <w:vAlign w:val="bottom"/>
            <w:hideMark/>
          </w:tcPr>
          <w:p w14:paraId="34A157C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107.92</w:t>
            </w:r>
          </w:p>
        </w:tc>
        <w:tc>
          <w:tcPr>
            <w:tcW w:w="1170" w:type="dxa"/>
            <w:noWrap/>
            <w:vAlign w:val="bottom"/>
            <w:hideMark/>
          </w:tcPr>
          <w:p w14:paraId="2CB197E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128.68</w:t>
            </w:r>
          </w:p>
        </w:tc>
        <w:tc>
          <w:tcPr>
            <w:tcW w:w="1080" w:type="dxa"/>
            <w:noWrap/>
            <w:vAlign w:val="bottom"/>
            <w:hideMark/>
          </w:tcPr>
          <w:p w14:paraId="341D69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193.80</w:t>
            </w:r>
          </w:p>
        </w:tc>
        <w:tc>
          <w:tcPr>
            <w:tcW w:w="1350" w:type="dxa"/>
            <w:noWrap/>
            <w:vAlign w:val="bottom"/>
            <w:hideMark/>
          </w:tcPr>
          <w:p w14:paraId="676966B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126.82</w:t>
            </w:r>
          </w:p>
        </w:tc>
      </w:tr>
      <w:tr w:rsidR="008D23E9" w:rsidRPr="006C78D6" w14:paraId="6056595D" w14:textId="77777777" w:rsidTr="00424E45">
        <w:trPr>
          <w:trHeight w:val="300"/>
        </w:trPr>
        <w:tc>
          <w:tcPr>
            <w:tcW w:w="2250" w:type="dxa"/>
            <w:noWrap/>
            <w:vAlign w:val="bottom"/>
            <w:hideMark/>
          </w:tcPr>
          <w:p w14:paraId="7F38F73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477184A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75.58</w:t>
            </w:r>
          </w:p>
        </w:tc>
        <w:tc>
          <w:tcPr>
            <w:tcW w:w="1134" w:type="dxa"/>
            <w:noWrap/>
            <w:vAlign w:val="bottom"/>
            <w:hideMark/>
          </w:tcPr>
          <w:p w14:paraId="68F9C1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45.91</w:t>
            </w:r>
          </w:p>
        </w:tc>
        <w:tc>
          <w:tcPr>
            <w:tcW w:w="1134" w:type="dxa"/>
            <w:noWrap/>
            <w:vAlign w:val="bottom"/>
            <w:hideMark/>
          </w:tcPr>
          <w:p w14:paraId="5070AC4D"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103.07</w:t>
            </w:r>
          </w:p>
        </w:tc>
        <w:tc>
          <w:tcPr>
            <w:tcW w:w="1134" w:type="dxa"/>
            <w:noWrap/>
            <w:vAlign w:val="bottom"/>
            <w:hideMark/>
          </w:tcPr>
          <w:p w14:paraId="0D8EDA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C6F48C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80.54</w:t>
            </w:r>
          </w:p>
        </w:tc>
        <w:tc>
          <w:tcPr>
            <w:tcW w:w="1088" w:type="dxa"/>
            <w:noWrap/>
            <w:vAlign w:val="bottom"/>
            <w:hideMark/>
          </w:tcPr>
          <w:p w14:paraId="14478A6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104.66</w:t>
            </w:r>
          </w:p>
        </w:tc>
        <w:tc>
          <w:tcPr>
            <w:tcW w:w="1170" w:type="dxa"/>
            <w:noWrap/>
            <w:vAlign w:val="bottom"/>
            <w:hideMark/>
          </w:tcPr>
          <w:p w14:paraId="17956D4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138.92</w:t>
            </w:r>
          </w:p>
        </w:tc>
        <w:tc>
          <w:tcPr>
            <w:tcW w:w="1080" w:type="dxa"/>
            <w:noWrap/>
            <w:vAlign w:val="bottom"/>
            <w:hideMark/>
          </w:tcPr>
          <w:p w14:paraId="5A8E312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215.52</w:t>
            </w:r>
          </w:p>
        </w:tc>
        <w:tc>
          <w:tcPr>
            <w:tcW w:w="1350" w:type="dxa"/>
            <w:noWrap/>
            <w:vAlign w:val="bottom"/>
            <w:hideMark/>
          </w:tcPr>
          <w:p w14:paraId="1C00A8B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141.10</w:t>
            </w:r>
          </w:p>
        </w:tc>
      </w:tr>
      <w:tr w:rsidR="008D23E9" w:rsidRPr="006C78D6" w14:paraId="74A05E06" w14:textId="77777777" w:rsidTr="00424E45">
        <w:trPr>
          <w:trHeight w:val="300"/>
        </w:trPr>
        <w:tc>
          <w:tcPr>
            <w:tcW w:w="2250" w:type="dxa"/>
            <w:noWrap/>
            <w:vAlign w:val="bottom"/>
            <w:hideMark/>
          </w:tcPr>
          <w:p w14:paraId="6BAF248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Mean</w:t>
            </w:r>
          </w:p>
        </w:tc>
        <w:tc>
          <w:tcPr>
            <w:tcW w:w="1126" w:type="dxa"/>
            <w:noWrap/>
            <w:vAlign w:val="bottom"/>
            <w:hideMark/>
          </w:tcPr>
          <w:p w14:paraId="3919C79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74.13</w:t>
            </w:r>
          </w:p>
        </w:tc>
        <w:tc>
          <w:tcPr>
            <w:tcW w:w="1134" w:type="dxa"/>
            <w:noWrap/>
            <w:vAlign w:val="bottom"/>
            <w:hideMark/>
          </w:tcPr>
          <w:p w14:paraId="2D0A65F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44.50</w:t>
            </w:r>
          </w:p>
        </w:tc>
        <w:tc>
          <w:tcPr>
            <w:tcW w:w="1134" w:type="dxa"/>
            <w:noWrap/>
            <w:vAlign w:val="bottom"/>
            <w:hideMark/>
          </w:tcPr>
          <w:p w14:paraId="02F5749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104.32</w:t>
            </w:r>
          </w:p>
        </w:tc>
        <w:tc>
          <w:tcPr>
            <w:tcW w:w="1134" w:type="dxa"/>
            <w:noWrap/>
            <w:vAlign w:val="bottom"/>
            <w:hideMark/>
          </w:tcPr>
          <w:p w14:paraId="1D878F5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100.70</w:t>
            </w:r>
          </w:p>
        </w:tc>
        <w:tc>
          <w:tcPr>
            <w:tcW w:w="1134" w:type="dxa"/>
            <w:noWrap/>
            <w:vAlign w:val="bottom"/>
            <w:hideMark/>
          </w:tcPr>
          <w:p w14:paraId="7493C4F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84.42</w:t>
            </w:r>
          </w:p>
        </w:tc>
        <w:tc>
          <w:tcPr>
            <w:tcW w:w="1088" w:type="dxa"/>
            <w:noWrap/>
            <w:vAlign w:val="bottom"/>
            <w:hideMark/>
          </w:tcPr>
          <w:p w14:paraId="63F7407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102.80</w:t>
            </w:r>
          </w:p>
        </w:tc>
        <w:tc>
          <w:tcPr>
            <w:tcW w:w="1170" w:type="dxa"/>
            <w:noWrap/>
            <w:vAlign w:val="bottom"/>
            <w:hideMark/>
          </w:tcPr>
          <w:p w14:paraId="1F7028A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2CD4ADAB"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208.12</w:t>
            </w:r>
          </w:p>
        </w:tc>
        <w:tc>
          <w:tcPr>
            <w:tcW w:w="1350" w:type="dxa"/>
            <w:noWrap/>
            <w:vAlign w:val="bottom"/>
            <w:hideMark/>
          </w:tcPr>
          <w:p w14:paraId="76173D87"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138.85</w:t>
            </w:r>
          </w:p>
        </w:tc>
      </w:tr>
      <w:tr w:rsidR="008D23E9" w:rsidRPr="006C78D6" w14:paraId="0E77B8E8" w14:textId="77777777" w:rsidTr="00424E45">
        <w:trPr>
          <w:trHeight w:val="300"/>
        </w:trPr>
        <w:tc>
          <w:tcPr>
            <w:tcW w:w="2250" w:type="dxa"/>
            <w:noWrap/>
            <w:vAlign w:val="bottom"/>
            <w:hideMark/>
          </w:tcPr>
          <w:p w14:paraId="4744014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Standard Deviation</w:t>
            </w:r>
          </w:p>
        </w:tc>
        <w:tc>
          <w:tcPr>
            <w:tcW w:w="1126" w:type="dxa"/>
            <w:noWrap/>
            <w:vAlign w:val="bottom"/>
            <w:hideMark/>
          </w:tcPr>
          <w:p w14:paraId="16F270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2.61</w:t>
            </w:r>
          </w:p>
        </w:tc>
        <w:tc>
          <w:tcPr>
            <w:tcW w:w="1134" w:type="dxa"/>
            <w:noWrap/>
            <w:vAlign w:val="bottom"/>
            <w:hideMark/>
          </w:tcPr>
          <w:p w14:paraId="6DD247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0.95</w:t>
            </w:r>
          </w:p>
        </w:tc>
        <w:tc>
          <w:tcPr>
            <w:tcW w:w="1134" w:type="dxa"/>
            <w:noWrap/>
            <w:vAlign w:val="bottom"/>
            <w:hideMark/>
          </w:tcPr>
          <w:p w14:paraId="371C15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3.01</w:t>
            </w:r>
          </w:p>
        </w:tc>
        <w:tc>
          <w:tcPr>
            <w:tcW w:w="1134" w:type="dxa"/>
            <w:noWrap/>
            <w:vAlign w:val="bottom"/>
            <w:hideMark/>
          </w:tcPr>
          <w:p w14:paraId="4B6DA65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4.85</w:t>
            </w:r>
          </w:p>
        </w:tc>
        <w:tc>
          <w:tcPr>
            <w:tcW w:w="1134" w:type="dxa"/>
            <w:noWrap/>
            <w:vAlign w:val="bottom"/>
            <w:hideMark/>
          </w:tcPr>
          <w:p w14:paraId="48946CD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6.14</w:t>
            </w:r>
          </w:p>
        </w:tc>
        <w:tc>
          <w:tcPr>
            <w:tcW w:w="1088" w:type="dxa"/>
            <w:noWrap/>
            <w:vAlign w:val="bottom"/>
            <w:hideMark/>
          </w:tcPr>
          <w:p w14:paraId="011F73C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4.35</w:t>
            </w:r>
          </w:p>
        </w:tc>
        <w:tc>
          <w:tcPr>
            <w:tcW w:w="1170" w:type="dxa"/>
            <w:noWrap/>
            <w:vAlign w:val="bottom"/>
            <w:hideMark/>
          </w:tcPr>
          <w:p w14:paraId="2EA8872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9.92</w:t>
            </w:r>
          </w:p>
        </w:tc>
        <w:tc>
          <w:tcPr>
            <w:tcW w:w="1080" w:type="dxa"/>
            <w:noWrap/>
            <w:vAlign w:val="bottom"/>
            <w:hideMark/>
          </w:tcPr>
          <w:p w14:paraId="1256E84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11.01</w:t>
            </w:r>
          </w:p>
        </w:tc>
        <w:tc>
          <w:tcPr>
            <w:tcW w:w="1350" w:type="dxa"/>
            <w:noWrap/>
            <w:vAlign w:val="bottom"/>
            <w:hideMark/>
          </w:tcPr>
          <w:p w14:paraId="2B198E6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8.23</w:t>
            </w:r>
          </w:p>
        </w:tc>
      </w:tr>
    </w:tbl>
    <w:p w14:paraId="21FD44B5" w14:textId="77777777" w:rsidR="008D23E9" w:rsidRPr="006C78D6" w:rsidRDefault="008D23E9" w:rsidP="008D23E9">
      <w:pPr>
        <w:rPr>
          <w:lang w:val="en-GB"/>
        </w:rPr>
      </w:pPr>
    </w:p>
    <w:p w14:paraId="1C002E52" w14:textId="74547571" w:rsidR="00424E45" w:rsidRPr="006C78D6" w:rsidRDefault="00424E45" w:rsidP="00424E45">
      <w:pPr>
        <w:spacing w:after="0"/>
        <w:rPr>
          <w:lang w:val="en-GB"/>
        </w:rPr>
      </w:pPr>
      <w:r w:rsidRPr="006C78D6">
        <w:rPr>
          <w:lang w:val="en-GB"/>
        </w:rPr>
        <w:t>Table 6:</w:t>
      </w:r>
      <w:r w:rsidRPr="006C78D6">
        <w:rPr>
          <w:rFonts w:ascii="Times New Roman" w:eastAsia="Times New Roman" w:hAnsi="Times New Roman" w:cs="Times New Roman"/>
          <w:kern w:val="0"/>
          <w14:ligatures w14:val="none"/>
        </w:rPr>
        <w:t xml:space="preserve"> Chelation </w:t>
      </w:r>
      <w:r w:rsidRPr="006C78D6">
        <w:rPr>
          <w:rFonts w:ascii="Times New Roman" w:eastAsia="Times New Roman" w:hAnsi="Times New Roman" w:cs="Times New Roman"/>
          <w:kern w:val="0"/>
          <w:lang w:val="en-GB"/>
          <w14:ligatures w14:val="none"/>
        </w:rPr>
        <w:t>p</w:t>
      </w:r>
      <w:proofErr w:type="spellStart"/>
      <w:r w:rsidRPr="006C78D6">
        <w:rPr>
          <w:rFonts w:ascii="Times New Roman" w:eastAsia="Times New Roman" w:hAnsi="Times New Roman" w:cs="Times New Roman"/>
          <w:kern w:val="0"/>
          <w14:ligatures w14:val="none"/>
        </w:rPr>
        <w:t>ower</w:t>
      </w:r>
      <w:proofErr w:type="spellEnd"/>
      <w:r w:rsidRPr="006C78D6">
        <w:rPr>
          <w:rFonts w:ascii="Times New Roman" w:eastAsia="Times New Roman" w:hAnsi="Times New Roman" w:cs="Times New Roman"/>
          <w:kern w:val="0"/>
          <w14:ligatures w14:val="none"/>
        </w:rPr>
        <w:t xml:space="preserve"> on </w:t>
      </w:r>
      <w:r w:rsidRPr="006C78D6">
        <w:rPr>
          <w:rFonts w:ascii="Times New Roman" w:eastAsia="Times New Roman" w:hAnsi="Times New Roman" w:cs="Times New Roman"/>
          <w:kern w:val="0"/>
          <w:lang w:val="en-GB"/>
          <w14:ligatures w14:val="none"/>
        </w:rPr>
        <w:t>f</w:t>
      </w:r>
      <w:proofErr w:type="spellStart"/>
      <w:r w:rsidRPr="006C78D6">
        <w:rPr>
          <w:rFonts w:ascii="Times New Roman" w:eastAsia="Times New Roman" w:hAnsi="Times New Roman" w:cs="Times New Roman"/>
          <w:kern w:val="0"/>
          <w14:ligatures w14:val="none"/>
        </w:rPr>
        <w:t>errous</w:t>
      </w:r>
      <w:proofErr w:type="spellEnd"/>
      <w:r w:rsidRPr="006C78D6">
        <w:rPr>
          <w:rFonts w:ascii="Times New Roman" w:eastAsia="Times New Roman" w:hAnsi="Times New Roman" w:cs="Times New Roman"/>
          <w:kern w:val="0"/>
          <w14:ligatures w14:val="none"/>
        </w:rPr>
        <w:t xml:space="preserve"> (Fe2+) </w:t>
      </w:r>
      <w:proofErr w:type="spellStart"/>
      <w:r w:rsidRPr="006C78D6">
        <w:rPr>
          <w:rFonts w:ascii="Times New Roman" w:eastAsia="Times New Roman" w:hAnsi="Times New Roman" w:cs="Times New Roman"/>
          <w:kern w:val="0"/>
          <w:lang w:val="en-GB"/>
          <w14:ligatures w14:val="none"/>
        </w:rPr>
        <w:t>i</w:t>
      </w:r>
      <w:r w:rsidRPr="006C78D6">
        <w:rPr>
          <w:rFonts w:ascii="Times New Roman" w:eastAsia="Times New Roman" w:hAnsi="Times New Roman" w:cs="Times New Roman"/>
          <w:kern w:val="0"/>
          <w14:ligatures w14:val="none"/>
        </w:rPr>
        <w:t>ons</w:t>
      </w:r>
      <w:proofErr w:type="spellEnd"/>
      <w:r w:rsidRPr="006C78D6">
        <w:rPr>
          <w:rFonts w:ascii="Times New Roman" w:eastAsia="Times New Roman" w:hAnsi="Times New Roman" w:cs="Times New Roman"/>
          <w:kern w:val="0"/>
          <w14:ligatures w14:val="none"/>
        </w:rPr>
        <w:t xml:space="preserve"> </w:t>
      </w:r>
      <w:r w:rsidRPr="006C78D6">
        <w:rPr>
          <w:rFonts w:ascii="Times New Roman" w:eastAsia="Times New Roman" w:hAnsi="Times New Roman" w:cs="Times New Roman"/>
          <w:kern w:val="0"/>
          <w:lang w:val="en-GB"/>
          <w14:ligatures w14:val="none"/>
        </w:rPr>
        <w:t>by</w:t>
      </w:r>
      <w:r w:rsidRPr="006C78D6">
        <w:rPr>
          <w:rFonts w:ascii="Times New Roman" w:eastAsia="Times New Roman" w:hAnsi="Times New Roman" w:cs="Times New Roman"/>
          <w:kern w:val="0"/>
          <w14:ligatures w14:val="none"/>
        </w:rPr>
        <w:t xml:space="preserve"> the extracts</w:t>
      </w:r>
    </w:p>
    <w:tbl>
      <w:tblPr>
        <w:tblW w:w="1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194"/>
        <w:gridCol w:w="1275"/>
        <w:gridCol w:w="1134"/>
        <w:gridCol w:w="1134"/>
        <w:gridCol w:w="1211"/>
        <w:gridCol w:w="1075"/>
        <w:gridCol w:w="1542"/>
        <w:gridCol w:w="1275"/>
        <w:gridCol w:w="1407"/>
      </w:tblGrid>
      <w:tr w:rsidR="00424E45" w:rsidRPr="006C78D6" w14:paraId="40667B43" w14:textId="77777777" w:rsidTr="002D3364">
        <w:trPr>
          <w:trHeight w:val="300"/>
        </w:trPr>
        <w:tc>
          <w:tcPr>
            <w:tcW w:w="1495" w:type="dxa"/>
            <w:noWrap/>
            <w:vAlign w:val="bottom"/>
            <w:hideMark/>
          </w:tcPr>
          <w:p w14:paraId="58A4C020"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commentRangeStart w:id="28"/>
            <w:r w:rsidRPr="006C78D6">
              <w:rPr>
                <w:rFonts w:ascii="Calibri" w:eastAsia="Times New Roman" w:hAnsi="Calibri" w:cs="Calibri"/>
                <w:color w:val="000000"/>
                <w:kern w:val="0"/>
                <w:sz w:val="22"/>
                <w:szCs w:val="22"/>
                <w14:ligatures w14:val="none"/>
              </w:rPr>
              <w:t>Concentration of extract used</w:t>
            </w:r>
            <w:commentRangeEnd w:id="28"/>
            <w:r w:rsidR="00CB0748">
              <w:rPr>
                <w:rStyle w:val="CommentReference"/>
              </w:rPr>
              <w:commentReference w:id="28"/>
            </w:r>
          </w:p>
        </w:tc>
        <w:tc>
          <w:tcPr>
            <w:tcW w:w="1194" w:type="dxa"/>
            <w:noWrap/>
            <w:vAlign w:val="bottom"/>
            <w:hideMark/>
          </w:tcPr>
          <w:p w14:paraId="436B7CB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1 (% Inhibition by 100% ginger)</w:t>
            </w:r>
          </w:p>
        </w:tc>
        <w:tc>
          <w:tcPr>
            <w:tcW w:w="1275" w:type="dxa"/>
            <w:noWrap/>
            <w:vAlign w:val="bottom"/>
            <w:hideMark/>
          </w:tcPr>
          <w:p w14:paraId="0D9B6FD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2 (% Inhibition by 100% garlic)</w:t>
            </w:r>
          </w:p>
        </w:tc>
        <w:tc>
          <w:tcPr>
            <w:tcW w:w="1134" w:type="dxa"/>
            <w:noWrap/>
            <w:vAlign w:val="bottom"/>
            <w:hideMark/>
          </w:tcPr>
          <w:p w14:paraId="1F1D4C6A"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3(% Inhibition by 100% tumeric)</w:t>
            </w:r>
          </w:p>
        </w:tc>
        <w:tc>
          <w:tcPr>
            <w:tcW w:w="1134" w:type="dxa"/>
            <w:noWrap/>
            <w:vAlign w:val="bottom"/>
            <w:hideMark/>
          </w:tcPr>
          <w:p w14:paraId="42094DC8" w14:textId="787FCD24"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4 (% Inhibition by 60% ginger, 30% garlic, 10% turmeric)</w:t>
            </w:r>
          </w:p>
        </w:tc>
        <w:tc>
          <w:tcPr>
            <w:tcW w:w="1211" w:type="dxa"/>
            <w:noWrap/>
            <w:vAlign w:val="bottom"/>
            <w:hideMark/>
          </w:tcPr>
          <w:p w14:paraId="79F9D23C" w14:textId="4509CC3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5 (% Inhibition by 40%ginger, 30%garlic, 30% tu</w:t>
            </w:r>
            <w:r w:rsidR="001A4127" w:rsidRPr="006C78D6">
              <w:rPr>
                <w:rFonts w:ascii="Calibri" w:eastAsia="Times New Roman" w:hAnsi="Calibri" w:cs="Calibri"/>
                <w:color w:val="000000"/>
                <w:kern w:val="0"/>
                <w:sz w:val="22"/>
                <w:szCs w:val="22"/>
                <w:lang w:val="en-GB"/>
                <w14:ligatures w14:val="none"/>
              </w:rPr>
              <w:t>r</w:t>
            </w:r>
            <w:r w:rsidRPr="006C78D6">
              <w:rPr>
                <w:rFonts w:ascii="Calibri" w:eastAsia="Times New Roman" w:hAnsi="Calibri" w:cs="Calibri"/>
                <w:color w:val="000000"/>
                <w:kern w:val="0"/>
                <w:sz w:val="22"/>
                <w:szCs w:val="22"/>
                <w14:ligatures w14:val="none"/>
              </w:rPr>
              <w:t>meric)</w:t>
            </w:r>
          </w:p>
        </w:tc>
        <w:tc>
          <w:tcPr>
            <w:tcW w:w="1075" w:type="dxa"/>
            <w:noWrap/>
            <w:vAlign w:val="bottom"/>
            <w:hideMark/>
          </w:tcPr>
          <w:p w14:paraId="00034D2C" w14:textId="0E670A85"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6 (% Inhibition by 60% garlic, 30% ginger, 10%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542" w:type="dxa"/>
            <w:noWrap/>
            <w:vAlign w:val="bottom"/>
            <w:hideMark/>
          </w:tcPr>
          <w:p w14:paraId="19B450C0" w14:textId="183D62BD"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7 (% Inhibition by 40% garlic, 30% ginger, 30%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275" w:type="dxa"/>
            <w:noWrap/>
            <w:vAlign w:val="bottom"/>
            <w:hideMark/>
          </w:tcPr>
          <w:p w14:paraId="358A9F55" w14:textId="6F45E8A6"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8 (% Inhibition by 60%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c>
          <w:tcPr>
            <w:tcW w:w="1407" w:type="dxa"/>
            <w:noWrap/>
            <w:vAlign w:val="bottom"/>
            <w:hideMark/>
          </w:tcPr>
          <w:p w14:paraId="220F4F6B" w14:textId="0271064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9 (% Inhibition by 40%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r>
      <w:tr w:rsidR="00424E45" w:rsidRPr="006C78D6" w14:paraId="601D51EF" w14:textId="77777777" w:rsidTr="002D3364">
        <w:trPr>
          <w:trHeight w:val="300"/>
        </w:trPr>
        <w:tc>
          <w:tcPr>
            <w:tcW w:w="1495" w:type="dxa"/>
            <w:noWrap/>
            <w:vAlign w:val="bottom"/>
            <w:hideMark/>
          </w:tcPr>
          <w:p w14:paraId="3693867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0mg/ml</w:t>
            </w:r>
          </w:p>
        </w:tc>
        <w:tc>
          <w:tcPr>
            <w:tcW w:w="1194" w:type="dxa"/>
            <w:noWrap/>
            <w:vAlign w:val="bottom"/>
            <w:hideMark/>
          </w:tcPr>
          <w:p w14:paraId="54997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275" w:type="dxa"/>
            <w:noWrap/>
            <w:vAlign w:val="bottom"/>
            <w:hideMark/>
          </w:tcPr>
          <w:p w14:paraId="1DEBC0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w:t>
            </w:r>
          </w:p>
        </w:tc>
        <w:tc>
          <w:tcPr>
            <w:tcW w:w="1134" w:type="dxa"/>
            <w:noWrap/>
            <w:vAlign w:val="bottom"/>
            <w:hideMark/>
          </w:tcPr>
          <w:p w14:paraId="7847C90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134" w:type="dxa"/>
            <w:noWrap/>
            <w:vAlign w:val="bottom"/>
            <w:hideMark/>
          </w:tcPr>
          <w:p w14:paraId="74F7F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p>
        </w:tc>
        <w:tc>
          <w:tcPr>
            <w:tcW w:w="1211" w:type="dxa"/>
            <w:noWrap/>
            <w:vAlign w:val="bottom"/>
            <w:hideMark/>
          </w:tcPr>
          <w:p w14:paraId="676C9092"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075" w:type="dxa"/>
            <w:noWrap/>
            <w:vAlign w:val="bottom"/>
            <w:hideMark/>
          </w:tcPr>
          <w:p w14:paraId="4AF30D6D"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542" w:type="dxa"/>
            <w:noWrap/>
            <w:vAlign w:val="bottom"/>
            <w:hideMark/>
          </w:tcPr>
          <w:p w14:paraId="6956E703"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275" w:type="dxa"/>
            <w:noWrap/>
            <w:vAlign w:val="bottom"/>
            <w:hideMark/>
          </w:tcPr>
          <w:p w14:paraId="45E944D1"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407" w:type="dxa"/>
            <w:noWrap/>
            <w:vAlign w:val="bottom"/>
            <w:hideMark/>
          </w:tcPr>
          <w:p w14:paraId="2101E0E4"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r>
      <w:tr w:rsidR="00424E45" w:rsidRPr="006C78D6" w14:paraId="278337E8" w14:textId="77777777" w:rsidTr="002D3364">
        <w:trPr>
          <w:trHeight w:val="300"/>
        </w:trPr>
        <w:tc>
          <w:tcPr>
            <w:tcW w:w="1495" w:type="dxa"/>
            <w:noWrap/>
            <w:vAlign w:val="bottom"/>
            <w:hideMark/>
          </w:tcPr>
          <w:p w14:paraId="5FDD261F"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10mg/ ml</w:t>
            </w:r>
          </w:p>
        </w:tc>
        <w:tc>
          <w:tcPr>
            <w:tcW w:w="1194" w:type="dxa"/>
            <w:noWrap/>
            <w:vAlign w:val="bottom"/>
            <w:hideMark/>
          </w:tcPr>
          <w:p w14:paraId="420C6D7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78.73</w:t>
            </w:r>
          </w:p>
        </w:tc>
        <w:tc>
          <w:tcPr>
            <w:tcW w:w="1275" w:type="dxa"/>
            <w:noWrap/>
            <w:vAlign w:val="bottom"/>
            <w:hideMark/>
          </w:tcPr>
          <w:p w14:paraId="71D0783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63.836</w:t>
            </w:r>
          </w:p>
        </w:tc>
        <w:tc>
          <w:tcPr>
            <w:tcW w:w="1134" w:type="dxa"/>
            <w:noWrap/>
            <w:vAlign w:val="bottom"/>
            <w:hideMark/>
          </w:tcPr>
          <w:p w14:paraId="65A1F9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79.076</w:t>
            </w:r>
          </w:p>
        </w:tc>
        <w:tc>
          <w:tcPr>
            <w:tcW w:w="1134" w:type="dxa"/>
            <w:noWrap/>
            <w:vAlign w:val="bottom"/>
            <w:hideMark/>
          </w:tcPr>
          <w:p w14:paraId="11DC64C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44.683</w:t>
            </w:r>
          </w:p>
        </w:tc>
        <w:tc>
          <w:tcPr>
            <w:tcW w:w="1211" w:type="dxa"/>
            <w:noWrap/>
            <w:vAlign w:val="bottom"/>
            <w:hideMark/>
          </w:tcPr>
          <w:p w14:paraId="4F130633"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075" w:type="dxa"/>
            <w:noWrap/>
            <w:vAlign w:val="bottom"/>
            <w:hideMark/>
          </w:tcPr>
          <w:p w14:paraId="27E1BF8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70.212</w:t>
            </w:r>
          </w:p>
        </w:tc>
        <w:tc>
          <w:tcPr>
            <w:tcW w:w="1542" w:type="dxa"/>
            <w:noWrap/>
            <w:vAlign w:val="bottom"/>
            <w:hideMark/>
          </w:tcPr>
          <w:p w14:paraId="1A7E42B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75" w:type="dxa"/>
            <w:noWrap/>
            <w:vAlign w:val="bottom"/>
            <w:hideMark/>
          </w:tcPr>
          <w:p w14:paraId="78D22CA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45.388</w:t>
            </w:r>
          </w:p>
        </w:tc>
        <w:tc>
          <w:tcPr>
            <w:tcW w:w="1407" w:type="dxa"/>
            <w:noWrap/>
            <w:vAlign w:val="bottom"/>
            <w:hideMark/>
          </w:tcPr>
          <w:p w14:paraId="32093D5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r>
      <w:tr w:rsidR="00424E45" w:rsidRPr="006C78D6" w14:paraId="1B3EC491" w14:textId="77777777" w:rsidTr="002D3364">
        <w:trPr>
          <w:trHeight w:val="300"/>
        </w:trPr>
        <w:tc>
          <w:tcPr>
            <w:tcW w:w="1495" w:type="dxa"/>
            <w:noWrap/>
            <w:vAlign w:val="bottom"/>
            <w:hideMark/>
          </w:tcPr>
          <w:p w14:paraId="70047813"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20mg/ml</w:t>
            </w:r>
          </w:p>
        </w:tc>
        <w:tc>
          <w:tcPr>
            <w:tcW w:w="1194" w:type="dxa"/>
            <w:noWrap/>
            <w:vAlign w:val="bottom"/>
            <w:hideMark/>
          </w:tcPr>
          <w:p w14:paraId="767F64F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275" w:type="dxa"/>
            <w:noWrap/>
            <w:vAlign w:val="bottom"/>
            <w:hideMark/>
          </w:tcPr>
          <w:p w14:paraId="10513F8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134" w:type="dxa"/>
            <w:noWrap/>
            <w:vAlign w:val="bottom"/>
            <w:hideMark/>
          </w:tcPr>
          <w:p w14:paraId="17FE27B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134" w:type="dxa"/>
            <w:noWrap/>
            <w:vAlign w:val="bottom"/>
            <w:hideMark/>
          </w:tcPr>
          <w:p w14:paraId="0C47120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11" w:type="dxa"/>
            <w:noWrap/>
            <w:vAlign w:val="bottom"/>
            <w:hideMark/>
          </w:tcPr>
          <w:p w14:paraId="1D8BF30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075" w:type="dxa"/>
            <w:noWrap/>
            <w:vAlign w:val="bottom"/>
            <w:hideMark/>
          </w:tcPr>
          <w:p w14:paraId="1CF84FB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74.111</w:t>
            </w:r>
          </w:p>
        </w:tc>
        <w:tc>
          <w:tcPr>
            <w:tcW w:w="1542" w:type="dxa"/>
            <w:noWrap/>
            <w:vAlign w:val="bottom"/>
            <w:hideMark/>
          </w:tcPr>
          <w:p w14:paraId="7D178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c>
          <w:tcPr>
            <w:tcW w:w="1275" w:type="dxa"/>
            <w:noWrap/>
            <w:vAlign w:val="bottom"/>
            <w:hideMark/>
          </w:tcPr>
          <w:p w14:paraId="0A5B5F2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63.477</w:t>
            </w:r>
          </w:p>
        </w:tc>
        <w:tc>
          <w:tcPr>
            <w:tcW w:w="1407" w:type="dxa"/>
            <w:noWrap/>
            <w:vAlign w:val="bottom"/>
            <w:hideMark/>
          </w:tcPr>
          <w:p w14:paraId="6E5DB03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r>
      <w:tr w:rsidR="00424E45" w:rsidRPr="006C78D6" w14:paraId="5C2502EA" w14:textId="77777777" w:rsidTr="002D3364">
        <w:trPr>
          <w:trHeight w:val="300"/>
        </w:trPr>
        <w:tc>
          <w:tcPr>
            <w:tcW w:w="1495" w:type="dxa"/>
            <w:noWrap/>
            <w:vAlign w:val="bottom"/>
            <w:hideMark/>
          </w:tcPr>
          <w:p w14:paraId="5207AF57"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40mg/ml</w:t>
            </w:r>
          </w:p>
        </w:tc>
        <w:tc>
          <w:tcPr>
            <w:tcW w:w="1194" w:type="dxa"/>
            <w:noWrap/>
            <w:vAlign w:val="bottom"/>
            <w:hideMark/>
          </w:tcPr>
          <w:p w14:paraId="0BDE6D1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85.465</w:t>
            </w:r>
          </w:p>
        </w:tc>
        <w:tc>
          <w:tcPr>
            <w:tcW w:w="1275" w:type="dxa"/>
            <w:noWrap/>
            <w:vAlign w:val="bottom"/>
            <w:hideMark/>
          </w:tcPr>
          <w:p w14:paraId="6F0B7540"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134" w:type="dxa"/>
            <w:noWrap/>
            <w:vAlign w:val="bottom"/>
            <w:hideMark/>
          </w:tcPr>
          <w:p w14:paraId="259E02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134" w:type="dxa"/>
            <w:noWrap/>
            <w:vAlign w:val="bottom"/>
            <w:hideMark/>
          </w:tcPr>
          <w:p w14:paraId="39C1727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211" w:type="dxa"/>
            <w:noWrap/>
            <w:vAlign w:val="bottom"/>
            <w:hideMark/>
          </w:tcPr>
          <w:p w14:paraId="4D51B6A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73.047</w:t>
            </w:r>
          </w:p>
        </w:tc>
        <w:tc>
          <w:tcPr>
            <w:tcW w:w="1075" w:type="dxa"/>
            <w:noWrap/>
            <w:vAlign w:val="bottom"/>
            <w:hideMark/>
          </w:tcPr>
          <w:p w14:paraId="52D8A93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77.306</w:t>
            </w:r>
          </w:p>
        </w:tc>
        <w:tc>
          <w:tcPr>
            <w:tcW w:w="1542" w:type="dxa"/>
            <w:noWrap/>
            <w:vAlign w:val="bottom"/>
            <w:hideMark/>
          </w:tcPr>
          <w:p w14:paraId="5CE1661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c>
          <w:tcPr>
            <w:tcW w:w="1275" w:type="dxa"/>
            <w:noWrap/>
            <w:vAlign w:val="bottom"/>
            <w:hideMark/>
          </w:tcPr>
          <w:p w14:paraId="4E15A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407" w:type="dxa"/>
            <w:noWrap/>
            <w:vAlign w:val="bottom"/>
            <w:hideMark/>
          </w:tcPr>
          <w:p w14:paraId="2F293D6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76.241</w:t>
            </w:r>
          </w:p>
        </w:tc>
      </w:tr>
      <w:tr w:rsidR="00424E45" w:rsidRPr="006C78D6" w14:paraId="5F440151" w14:textId="77777777" w:rsidTr="002D3364">
        <w:trPr>
          <w:trHeight w:val="300"/>
        </w:trPr>
        <w:tc>
          <w:tcPr>
            <w:tcW w:w="1495" w:type="dxa"/>
            <w:noWrap/>
            <w:vAlign w:val="bottom"/>
            <w:hideMark/>
          </w:tcPr>
          <w:p w14:paraId="12ED9FD4"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80mg/ml</w:t>
            </w:r>
          </w:p>
        </w:tc>
        <w:tc>
          <w:tcPr>
            <w:tcW w:w="1194" w:type="dxa"/>
            <w:noWrap/>
            <w:vAlign w:val="bottom"/>
            <w:hideMark/>
          </w:tcPr>
          <w:p w14:paraId="4119532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81.911</w:t>
            </w:r>
          </w:p>
        </w:tc>
        <w:tc>
          <w:tcPr>
            <w:tcW w:w="1275" w:type="dxa"/>
            <w:noWrap/>
            <w:vAlign w:val="bottom"/>
            <w:hideMark/>
          </w:tcPr>
          <w:p w14:paraId="039879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87.941</w:t>
            </w:r>
          </w:p>
        </w:tc>
        <w:tc>
          <w:tcPr>
            <w:tcW w:w="1134" w:type="dxa"/>
            <w:noWrap/>
            <w:vAlign w:val="bottom"/>
            <w:hideMark/>
          </w:tcPr>
          <w:p w14:paraId="0B7CFE4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87.236</w:t>
            </w:r>
          </w:p>
        </w:tc>
        <w:tc>
          <w:tcPr>
            <w:tcW w:w="1134" w:type="dxa"/>
            <w:noWrap/>
            <w:vAlign w:val="bottom"/>
            <w:hideMark/>
          </w:tcPr>
          <w:p w14:paraId="5532D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80.501</w:t>
            </w:r>
          </w:p>
        </w:tc>
        <w:tc>
          <w:tcPr>
            <w:tcW w:w="1211" w:type="dxa"/>
            <w:noWrap/>
            <w:vAlign w:val="bottom"/>
            <w:hideMark/>
          </w:tcPr>
          <w:p w14:paraId="1A276B2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69.866</w:t>
            </w:r>
          </w:p>
        </w:tc>
        <w:tc>
          <w:tcPr>
            <w:tcW w:w="1075" w:type="dxa"/>
            <w:noWrap/>
            <w:vAlign w:val="bottom"/>
            <w:hideMark/>
          </w:tcPr>
          <w:p w14:paraId="7547271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84.041</w:t>
            </w:r>
          </w:p>
        </w:tc>
        <w:tc>
          <w:tcPr>
            <w:tcW w:w="1542" w:type="dxa"/>
            <w:noWrap/>
            <w:vAlign w:val="bottom"/>
            <w:hideMark/>
          </w:tcPr>
          <w:p w14:paraId="45B3685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275" w:type="dxa"/>
            <w:noWrap/>
            <w:vAlign w:val="bottom"/>
            <w:hideMark/>
          </w:tcPr>
          <w:p w14:paraId="0EB76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407" w:type="dxa"/>
            <w:noWrap/>
            <w:vAlign w:val="bottom"/>
            <w:hideMark/>
          </w:tcPr>
          <w:p w14:paraId="2C9806A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r>
    </w:tbl>
    <w:p w14:paraId="0D43D242" w14:textId="77777777" w:rsidR="00F71930" w:rsidRPr="006C78D6" w:rsidRDefault="00F71930">
      <w:pPr>
        <w:rPr>
          <w:rFonts w:asciiTheme="majorBidi" w:hAnsiTheme="majorBidi" w:cstheme="majorBidi"/>
          <w:lang w:val="en-GB"/>
        </w:rPr>
      </w:pPr>
    </w:p>
    <w:p w14:paraId="7923587F" w14:textId="77777777" w:rsidR="00F71930" w:rsidRPr="006C78D6" w:rsidRDefault="00F71930">
      <w:pPr>
        <w:rPr>
          <w:rFonts w:asciiTheme="majorBidi" w:hAnsiTheme="majorBidi" w:cstheme="majorBidi"/>
          <w:lang w:val="en-GB"/>
        </w:rPr>
      </w:pPr>
    </w:p>
    <w:p w14:paraId="21F3F396" w14:textId="77777777" w:rsidR="006A6B08" w:rsidRPr="006C78D6" w:rsidRDefault="006A6B08">
      <w:pPr>
        <w:rPr>
          <w:rFonts w:asciiTheme="majorBidi" w:hAnsiTheme="majorBidi" w:cstheme="majorBidi"/>
          <w:lang w:val="en-GB"/>
        </w:rPr>
        <w:sectPr w:rsidR="006A6B08" w:rsidRPr="006C78D6" w:rsidSect="00F71930">
          <w:pgSz w:w="15840" w:h="12240" w:orient="landscape"/>
          <w:pgMar w:top="1440" w:right="1440" w:bottom="1440" w:left="1440" w:header="720" w:footer="720" w:gutter="0"/>
          <w:cols w:space="720"/>
          <w:docGrid w:linePitch="360"/>
        </w:sectPr>
      </w:pPr>
    </w:p>
    <w:p w14:paraId="697DB9B7" w14:textId="77777777" w:rsidR="006A6B08" w:rsidRPr="006C78D6" w:rsidRDefault="006A6B08" w:rsidP="005F6903">
      <w:pPr>
        <w:spacing w:before="100" w:beforeAutospacing="1" w:after="100" w:afterAutospacing="1" w:line="240" w:lineRule="auto"/>
        <w:rPr>
          <w:rFonts w:asciiTheme="majorBidi" w:eastAsia="Times New Roman" w:hAnsiTheme="majorBidi" w:cstheme="majorBidi"/>
          <w:lang w:val="en-GB"/>
        </w:rPr>
      </w:pPr>
    </w:p>
    <w:p w14:paraId="04EEFD65" w14:textId="1C68547B" w:rsidR="006A6B08" w:rsidRPr="006C78D6" w:rsidRDefault="006A6B08" w:rsidP="005F6903">
      <w:pPr>
        <w:spacing w:before="100" w:beforeAutospacing="1" w:after="100" w:afterAutospacing="1" w:line="240" w:lineRule="auto"/>
        <w:rPr>
          <w:rFonts w:asciiTheme="majorBidi" w:eastAsia="Times New Roman" w:hAnsiTheme="majorBidi" w:cstheme="majorBidi"/>
          <w:b/>
          <w:bCs/>
          <w:lang w:val="en-GB"/>
        </w:rPr>
      </w:pPr>
      <w:r w:rsidRPr="006C78D6">
        <w:rPr>
          <w:rFonts w:asciiTheme="majorBidi" w:eastAsia="Times New Roman" w:hAnsiTheme="majorBidi" w:cstheme="majorBidi"/>
          <w:b/>
          <w:bCs/>
          <w:lang w:val="en-GB"/>
        </w:rPr>
        <w:t>Discussion</w:t>
      </w:r>
    </w:p>
    <w:p w14:paraId="5B350110" w14:textId="1F16D01A" w:rsidR="005F6903" w:rsidRPr="006C78D6" w:rsidRDefault="005F6903"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The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radical-scavenging activity demonstrated </w:t>
      </w:r>
      <w:r w:rsidRPr="006C78D6">
        <w:rPr>
          <w:rFonts w:asciiTheme="majorBidi" w:eastAsia="Times New Roman" w:hAnsiTheme="majorBidi" w:cstheme="majorBidi"/>
          <w:lang w:val="en-GB"/>
        </w:rPr>
        <w:t xml:space="preserve">in this study </w:t>
      </w:r>
      <w:r w:rsidRPr="006C78D6">
        <w:rPr>
          <w:rFonts w:asciiTheme="majorBidi" w:eastAsia="Times New Roman" w:hAnsiTheme="majorBidi" w:cstheme="majorBidi"/>
        </w:rPr>
        <w:t xml:space="preserve">by </w:t>
      </w:r>
      <w:r w:rsidRPr="006C78D6">
        <w:rPr>
          <w:rFonts w:asciiTheme="majorBidi" w:eastAsia="Times New Roman" w:hAnsiTheme="majorBidi" w:cstheme="majorBidi"/>
          <w:lang w:val="en-GB"/>
        </w:rPr>
        <w:t xml:space="preserve">the </w:t>
      </w:r>
      <w:r w:rsidRPr="006C78D6">
        <w:rPr>
          <w:rFonts w:asciiTheme="majorBidi" w:eastAsia="Times New Roman" w:hAnsiTheme="majorBidi" w:cstheme="majorBidi"/>
        </w:rPr>
        <w:t xml:space="preserve">combinations of ginger, garlic, and turmeric </w:t>
      </w:r>
      <w:r w:rsidRPr="006C78D6">
        <w:rPr>
          <w:rFonts w:asciiTheme="majorBidi" w:eastAsia="Times New Roman" w:hAnsiTheme="majorBidi" w:cstheme="majorBidi"/>
          <w:lang w:val="en-GB"/>
        </w:rPr>
        <w:t>presents the combination as</w:t>
      </w:r>
      <w:r w:rsidRPr="006C78D6">
        <w:rPr>
          <w:rFonts w:asciiTheme="majorBidi" w:eastAsia="Times New Roman" w:hAnsiTheme="majorBidi" w:cstheme="majorBidi"/>
        </w:rPr>
        <w:t xml:space="preserve"> highly valuable in protective and ameliorative therapies, especially in conditions characterized by oxidative stress, such as toxicant exposure. Oxidative stress occurs when there is an imbalance between free radicals (ROS) and antioxidants in the body, leading to cellular damage and inflammation (</w:t>
      </w:r>
      <w:r w:rsidR="00C35F83" w:rsidRPr="006C78D6">
        <w:rPr>
          <w:rFonts w:asciiTheme="majorBidi" w:hAnsiTheme="majorBidi" w:cstheme="majorBidi"/>
        </w:rPr>
        <w:t xml:space="preserve">Pham-Huy et al., 2008; </w:t>
      </w:r>
      <w:r w:rsidR="00682FEB" w:rsidRPr="006C78D6">
        <w:rPr>
          <w:rFonts w:asciiTheme="majorBidi" w:hAnsiTheme="majorBidi" w:cstheme="majorBidi"/>
        </w:rPr>
        <w:t>Chaudhary</w:t>
      </w:r>
      <w:r w:rsidRPr="006C78D6">
        <w:rPr>
          <w:rFonts w:asciiTheme="majorBidi" w:eastAsia="Times New Roman" w:hAnsiTheme="majorBidi" w:cstheme="majorBidi"/>
        </w:rPr>
        <w:t xml:space="preserve"> et al., 20</w:t>
      </w:r>
      <w:r w:rsidR="00682FEB" w:rsidRPr="006C78D6">
        <w:rPr>
          <w:rFonts w:asciiTheme="majorBidi" w:eastAsia="Times New Roman" w:hAnsiTheme="majorBidi" w:cstheme="majorBidi"/>
          <w:lang w:val="en-GB"/>
        </w:rPr>
        <w:t>23</w:t>
      </w:r>
      <w:r w:rsidR="00C35F83" w:rsidRPr="006C78D6">
        <w:rPr>
          <w:rFonts w:asciiTheme="majorBidi" w:eastAsia="Times New Roman" w:hAnsiTheme="majorBidi" w:cstheme="majorBidi"/>
          <w:lang w:val="en-GB"/>
        </w:rPr>
        <w:t xml:space="preserve">; </w:t>
      </w:r>
      <w:r w:rsidR="00C35F83" w:rsidRPr="006C78D6">
        <w:rPr>
          <w:rFonts w:asciiTheme="majorBidi" w:hAnsiTheme="majorBidi" w:cstheme="majorBidi"/>
        </w:rPr>
        <w:t>Dash et al., 2025</w:t>
      </w:r>
      <w:r w:rsidRPr="006C78D6">
        <w:rPr>
          <w:rFonts w:asciiTheme="majorBidi" w:eastAsia="Times New Roman" w:hAnsiTheme="majorBidi" w:cstheme="majorBidi"/>
        </w:rPr>
        <w:t>).</w:t>
      </w:r>
      <w:r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rPr>
        <w:t>The results indicate that the mixture of ginger, garlic, and turmeric provide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synergistic </w:t>
      </w:r>
      <w:r w:rsidRPr="006C78D6">
        <w:rPr>
          <w:rFonts w:asciiTheme="majorBidi" w:eastAsia="Times New Roman" w:hAnsiTheme="majorBidi" w:cstheme="majorBidi"/>
          <w:lang w:val="en-GB"/>
        </w:rPr>
        <w:t xml:space="preserve">DPPH radical scavenging capacity </w:t>
      </w:r>
      <w:r w:rsidRPr="006C78D6">
        <w:rPr>
          <w:rFonts w:asciiTheme="majorBidi" w:eastAsia="Times New Roman" w:hAnsiTheme="majorBidi" w:cstheme="majorBidi"/>
        </w:rPr>
        <w:t xml:space="preserve">with Group 5 and Group 9 </w:t>
      </w:r>
      <w:r w:rsidRPr="006C78D6">
        <w:rPr>
          <w:rFonts w:asciiTheme="majorBidi" w:eastAsia="Times New Roman" w:hAnsiTheme="majorBidi" w:cstheme="majorBidi"/>
          <w:lang w:val="en-GB"/>
        </w:rPr>
        <w:t>presenting</w:t>
      </w:r>
      <w:r w:rsidRPr="006C78D6">
        <w:rPr>
          <w:rFonts w:asciiTheme="majorBidi" w:eastAsia="Times New Roman" w:hAnsiTheme="majorBidi" w:cstheme="majorBidi"/>
        </w:rPr>
        <w:t xml:space="preserve"> superior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compared to the individual </w:t>
      </w:r>
      <w:r w:rsidRPr="006C78D6">
        <w:rPr>
          <w:rFonts w:asciiTheme="majorBidi" w:eastAsia="Times New Roman" w:hAnsiTheme="majorBidi" w:cstheme="majorBidi"/>
          <w:lang w:val="en-GB"/>
        </w:rPr>
        <w:t xml:space="preserve">plants </w:t>
      </w:r>
      <w:r w:rsidRPr="006C78D6">
        <w:rPr>
          <w:rFonts w:asciiTheme="majorBidi" w:eastAsia="Times New Roman" w:hAnsiTheme="majorBidi" w:cstheme="majorBidi"/>
        </w:rPr>
        <w:t xml:space="preserve">(Groups 1, 2, and 3). </w:t>
      </w:r>
      <w:r w:rsidRPr="006C78D6">
        <w:rPr>
          <w:rFonts w:asciiTheme="majorBidi" w:eastAsia="Times New Roman" w:hAnsiTheme="majorBidi" w:cstheme="majorBidi"/>
          <w:lang w:val="en-GB"/>
        </w:rPr>
        <w:t xml:space="preserve">Furthermore </w:t>
      </w:r>
      <w:r w:rsidRPr="006C78D6">
        <w:rPr>
          <w:rFonts w:asciiTheme="majorBidi" w:eastAsia="Times New Roman" w:hAnsiTheme="majorBidi" w:cstheme="majorBidi"/>
        </w:rPr>
        <w:t xml:space="preserve">Turmeric-dominant combinations (Group 8 and Group 9) consistently displayed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scavenging activity, which correlates with turmeric’s well-established radical-scavenging properties due to its active compound curcumin (Prieto et al., 1999</w:t>
      </w:r>
      <w:r w:rsidR="000E68E8" w:rsidRPr="006C78D6">
        <w:rPr>
          <w:rFonts w:asciiTheme="majorBidi" w:eastAsia="Times New Roman" w:hAnsiTheme="majorBidi" w:cstheme="majorBidi"/>
          <w:lang w:val="en-GB"/>
        </w:rPr>
        <w:t xml:space="preserve">; </w:t>
      </w:r>
      <w:r w:rsidR="000E68E8" w:rsidRPr="006C78D6">
        <w:rPr>
          <w:rFonts w:ascii="Times New Roman" w:eastAsia="Times New Roman" w:hAnsi="Times New Roman" w:cs="Times New Roman"/>
        </w:rPr>
        <w:t xml:space="preserve">Jakubczyk et al., 2020; </w:t>
      </w:r>
      <w:proofErr w:type="spellStart"/>
      <w:r w:rsidR="000E68E8" w:rsidRPr="00D86BC2">
        <w:rPr>
          <w:rFonts w:ascii="Times New Roman" w:eastAsia="Times New Roman" w:hAnsi="Times New Roman" w:cs="Times New Roman"/>
        </w:rPr>
        <w:t>Fuloria</w:t>
      </w:r>
      <w:proofErr w:type="spellEnd"/>
      <w:r w:rsidR="000E68E8" w:rsidRPr="006C78D6">
        <w:rPr>
          <w:rFonts w:ascii="Times New Roman" w:eastAsia="Times New Roman" w:hAnsi="Times New Roman" w:cs="Times New Roman"/>
        </w:rPr>
        <w:t xml:space="preserve"> et al., 2022</w:t>
      </w:r>
      <w:r w:rsidRPr="006C78D6">
        <w:rPr>
          <w:rFonts w:asciiTheme="majorBidi" w:eastAsia="Times New Roman" w:hAnsiTheme="majorBidi" w:cstheme="majorBidi"/>
        </w:rPr>
        <w:t xml:space="preserve">). The synergistic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of the combinations </w:t>
      </w:r>
      <w:r w:rsidRPr="006C78D6">
        <w:rPr>
          <w:rFonts w:asciiTheme="majorBidi" w:eastAsia="Times New Roman" w:hAnsiTheme="majorBidi" w:cstheme="majorBidi"/>
          <w:lang w:val="en-GB"/>
        </w:rPr>
        <w:t xml:space="preserve">of </w:t>
      </w:r>
      <w:r w:rsidRPr="006C78D6">
        <w:rPr>
          <w:rFonts w:asciiTheme="majorBidi" w:eastAsia="Times New Roman" w:hAnsiTheme="majorBidi" w:cstheme="majorBidi"/>
        </w:rPr>
        <w:t>Group</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5 and 9 can help neutralize ROS, thus protecting cells from oxidative damage. Turmeric, in particular, through its active compound curcumin, has been shown to inhibit lipid peroxidation and DNA damage, which are common outcomes of oxidative stress. Garlic and ginger further support this activity by providing additional protective mechanisms, such as the modulation of inflammatory pathways and enhancement of detoxification processes (</w:t>
      </w:r>
      <w:r w:rsidR="00AC33D5" w:rsidRPr="006C78D6">
        <w:rPr>
          <w:rFonts w:asciiTheme="majorBidi" w:eastAsia="Times New Roman" w:hAnsiTheme="majorBidi" w:cstheme="majorBidi"/>
        </w:rPr>
        <w:t>Arreola et al., 2015; Shang et al., 2019; Ballester et al., 2022</w:t>
      </w:r>
      <w:r w:rsidRPr="006C78D6">
        <w:rPr>
          <w:rFonts w:asciiTheme="majorBidi" w:eastAsia="Times New Roman" w:hAnsiTheme="majorBidi" w:cstheme="majorBidi"/>
        </w:rPr>
        <w:t>). This suggests that combinations like Group 5 and Group 9 could be particularly effective in therapeutic formulations designed to prevent or reduce oxidative damage caused by environmental toxins, pollutants, or chemical exposure. Their use in functional foods or supplements could also support overall health by boosting the body’s antioxidant defenses.</w:t>
      </w:r>
    </w:p>
    <w:p w14:paraId="483B13C6" w14:textId="4BA76159" w:rsidR="001F124A" w:rsidRPr="006C78D6" w:rsidRDefault="005B213F"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Nitric oxide is a reactive free radical involved in cellular signaling, but its overproduction during oxidative stress contributes to inflammation and tissue damage (Marcocci et al., 1994</w:t>
      </w:r>
      <w:r w:rsidR="00631B44" w:rsidRPr="006C78D6">
        <w:rPr>
          <w:rFonts w:asciiTheme="majorBidi" w:eastAsia="Times New Roman" w:hAnsiTheme="majorBidi" w:cstheme="majorBidi"/>
          <w:lang w:val="en-GB"/>
        </w:rPr>
        <w:t xml:space="preserve">; </w:t>
      </w:r>
      <w:r w:rsidR="00631B44" w:rsidRPr="006C78D6">
        <w:rPr>
          <w:rFonts w:ascii="Times New Roman" w:eastAsia="Times New Roman" w:hAnsi="Times New Roman" w:cs="Times New Roman"/>
        </w:rPr>
        <w:t xml:space="preserve">Abramson et al., 2001; Ujowundu et al., 2023; </w:t>
      </w:r>
      <w:proofErr w:type="spellStart"/>
      <w:r w:rsidR="00631B44" w:rsidRPr="00B52499">
        <w:rPr>
          <w:rFonts w:ascii="Times New Roman" w:eastAsia="Times New Roman" w:hAnsi="Times New Roman" w:cs="Times New Roman"/>
        </w:rPr>
        <w:t>Lelieveld</w:t>
      </w:r>
      <w:proofErr w:type="spellEnd"/>
      <w:r w:rsidR="00631B44" w:rsidRPr="006C78D6">
        <w:rPr>
          <w:rFonts w:ascii="Times New Roman" w:eastAsia="Times New Roman" w:hAnsi="Times New Roman" w:cs="Times New Roman"/>
        </w:rPr>
        <w:t xml:space="preserve"> et al., 2024</w:t>
      </w:r>
      <w:r w:rsidRPr="006C78D6">
        <w:rPr>
          <w:rFonts w:asciiTheme="majorBidi" w:eastAsia="Times New Roman" w:hAnsiTheme="majorBidi" w:cstheme="majorBidi"/>
        </w:rPr>
        <w:t xml:space="preserve">). The ability of natural compounds to scavenge nitric oxide, as seen in this study, indicates their protective role in preventing oxidative damage. In this study, Group 5 (40G: 30A: 30T) </w:t>
      </w:r>
      <w:r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the highest </w:t>
      </w:r>
      <w:r w:rsidRPr="006C78D6">
        <w:rPr>
          <w:rFonts w:asciiTheme="majorBidi" w:eastAsia="Times New Roman" w:hAnsiTheme="majorBidi" w:cstheme="majorBidi"/>
          <w:lang w:val="en-GB"/>
        </w:rPr>
        <w:t xml:space="preserve">nitric oxide </w:t>
      </w:r>
      <w:r w:rsidRPr="006C78D6">
        <w:rPr>
          <w:rFonts w:asciiTheme="majorBidi" w:eastAsia="Times New Roman" w:hAnsiTheme="majorBidi" w:cstheme="majorBidi"/>
        </w:rPr>
        <w:t xml:space="preserve">scavenging activity, </w:t>
      </w:r>
      <w:r w:rsidRPr="006C78D6">
        <w:rPr>
          <w:rFonts w:asciiTheme="majorBidi" w:eastAsia="Times New Roman" w:hAnsiTheme="majorBidi" w:cstheme="majorBidi"/>
          <w:lang w:val="en-GB"/>
        </w:rPr>
        <w:t xml:space="preserve">and this may be attributed </w:t>
      </w:r>
      <w:r w:rsidRPr="006C78D6">
        <w:rPr>
          <w:rFonts w:asciiTheme="majorBidi" w:eastAsia="Times New Roman" w:hAnsiTheme="majorBidi" w:cstheme="majorBidi"/>
        </w:rPr>
        <w:t xml:space="preserve">to the balanced combination of ginger, garlic, and turmeric. These plants are rich in bioactive compounds with known antioxidant properties. Ginger contains gingerols and shogaols, which have demonstrated </w:t>
      </w:r>
      <w:r w:rsidRPr="006C78D6">
        <w:rPr>
          <w:rFonts w:asciiTheme="majorBidi" w:eastAsia="Times New Roman" w:hAnsiTheme="majorBidi" w:cstheme="majorBidi"/>
        </w:rPr>
        <w:lastRenderedPageBreak/>
        <w:t>radical-scavenging properties (</w:t>
      </w:r>
      <w:r w:rsidR="009E1DE5" w:rsidRPr="006C78D6">
        <w:rPr>
          <w:rFonts w:asciiTheme="majorBidi" w:eastAsia="Times New Roman" w:hAnsiTheme="majorBidi" w:cstheme="majorBidi"/>
        </w:rPr>
        <w:t>Dugasani et al., 2010; Mao et al., 2019</w:t>
      </w:r>
      <w:r w:rsidRPr="006C78D6">
        <w:rPr>
          <w:rFonts w:asciiTheme="majorBidi" w:eastAsia="Times New Roman" w:hAnsiTheme="majorBidi" w:cstheme="majorBidi"/>
        </w:rPr>
        <w:t>). Garlic is rich in allicin and sulfur compounds, which can neutralize nitric oxide radicals (Banerjee et al., 2003). Turmeric contains curcuminoids, such as curcumin, which are potent antioxidants and known nitric oxide scavengers (Aggarwal &amp; Harikumar, 2009).</w:t>
      </w:r>
      <w:r w:rsidR="004218B8"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Studies have shown that c</w:t>
      </w:r>
      <w:r w:rsidRPr="006C78D6">
        <w:rPr>
          <w:rFonts w:asciiTheme="majorBidi" w:eastAsia="Times New Roman" w:hAnsiTheme="majorBidi" w:cstheme="majorBidi"/>
        </w:rPr>
        <w:t xml:space="preserve">hronic exposure to heavy metals, such as lead, cadmium, and mercury, induces the production of reactive oxygen species (ROS) and nitric oxide radicals. Metals disrupt cellular redox balance, leading to oxidative stress and activation of inflammatory pathways </w:t>
      </w:r>
      <w:r w:rsidR="009E1DE5" w:rsidRPr="006C78D6">
        <w:rPr>
          <w:rFonts w:asciiTheme="majorBidi" w:eastAsia="Times New Roman" w:hAnsiTheme="majorBidi" w:cstheme="majorBidi"/>
        </w:rPr>
        <w:t>(Amin and Pourbabaki, 2024 Kolawole et al., 2025)</w:t>
      </w:r>
      <w:r w:rsidRPr="006C78D6">
        <w:rPr>
          <w:rFonts w:asciiTheme="majorBidi" w:eastAsia="Times New Roman" w:hAnsiTheme="majorBidi" w:cstheme="majorBidi"/>
        </w:rPr>
        <w:t>. Nitric oxide, when produced excessively in response to metal-induced stress, reacts with superoxide to form peroxynitrite, a highly reactive and toxic compound that can cause lipid peroxidation, DNA damage, and protein nitration (Beckman &amp; Koppenol, 1996).</w:t>
      </w:r>
      <w:r w:rsidR="004218B8" w:rsidRPr="006C78D6">
        <w:rPr>
          <w:rFonts w:asciiTheme="majorBidi" w:eastAsia="Times New Roman" w:hAnsiTheme="majorBidi" w:cstheme="majorBidi"/>
          <w:lang w:val="en-GB"/>
        </w:rPr>
        <w:t xml:space="preserve"> </w:t>
      </w:r>
      <w:r w:rsidR="004218B8" w:rsidRPr="006C78D6">
        <w:rPr>
          <w:rFonts w:asciiTheme="majorBidi" w:eastAsia="Times New Roman" w:hAnsiTheme="majorBidi" w:cstheme="majorBidi"/>
        </w:rPr>
        <w:t>Natural compounds that can scavenge nitric oxide and reduce oxidative stress are valuable in mitigating the toxic effects of heavy metals. The extracts of ginger, garlic, and turmeric,</w:t>
      </w:r>
      <w:r w:rsidR="006A6B08" w:rsidRPr="006C78D6">
        <w:rPr>
          <w:rFonts w:asciiTheme="majorBidi" w:eastAsia="Times New Roman" w:hAnsiTheme="majorBidi" w:cstheme="majorBidi"/>
          <w:lang w:val="en-GB"/>
        </w:rPr>
        <w:t xml:space="preserve"> as</w:t>
      </w:r>
      <w:r w:rsidR="001F124A" w:rsidRPr="006C78D6">
        <w:rPr>
          <w:rFonts w:asciiTheme="majorBidi" w:eastAsia="Times New Roman" w:hAnsiTheme="majorBidi" w:cstheme="majorBidi"/>
          <w:lang w:val="en-GB"/>
        </w:rPr>
        <w:t xml:space="preserve"> </w:t>
      </w:r>
      <w:r w:rsidR="001F124A" w:rsidRPr="006C78D6">
        <w:rPr>
          <w:rFonts w:asciiTheme="majorBidi" w:eastAsia="Times New Roman" w:hAnsiTheme="majorBidi" w:cstheme="majorBidi"/>
        </w:rPr>
        <w:t>shown in this study, possess potent nitric oxide scavenging properties, which may make them effective in reducing the oxidative damage caused by metal exposure.</w:t>
      </w:r>
    </w:p>
    <w:p w14:paraId="1DA19A21" w14:textId="72251DC3" w:rsidR="002A2983" w:rsidRPr="006C78D6" w:rsidRDefault="001F124A"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hAnsiTheme="majorBidi" w:cstheme="majorBidi"/>
        </w:rPr>
        <w:t>The reducing power of bioactive compounds</w:t>
      </w:r>
      <w:r w:rsidRPr="006C78D6">
        <w:rPr>
          <w:rFonts w:asciiTheme="majorBidi" w:hAnsiTheme="majorBidi" w:cstheme="majorBidi"/>
          <w:lang w:val="en-GB"/>
        </w:rPr>
        <w:t xml:space="preserve"> </w:t>
      </w:r>
      <w:r w:rsidRPr="006C78D6">
        <w:rPr>
          <w:rFonts w:asciiTheme="majorBidi" w:hAnsiTheme="majorBidi" w:cstheme="majorBidi"/>
        </w:rPr>
        <w:t>is a measure of their ability to donate electrons and neutralize free radicals, an important aspect of antioxidant activity (Oyaizu, 1986). The results from this study indicate</w:t>
      </w:r>
      <w:r w:rsidRPr="006C78D6">
        <w:rPr>
          <w:rFonts w:asciiTheme="majorBidi" w:hAnsiTheme="majorBidi" w:cstheme="majorBidi"/>
          <w:lang w:val="en-GB"/>
        </w:rPr>
        <w:t>d</w:t>
      </w:r>
      <w:r w:rsidRPr="006C78D6">
        <w:rPr>
          <w:rFonts w:asciiTheme="majorBidi" w:hAnsiTheme="majorBidi" w:cstheme="majorBidi"/>
        </w:rPr>
        <w:t xml:space="preserve"> that turmeric (Group 3) </w:t>
      </w:r>
      <w:r w:rsidRPr="006C78D6">
        <w:rPr>
          <w:rFonts w:asciiTheme="majorBidi" w:hAnsiTheme="majorBidi" w:cstheme="majorBidi"/>
          <w:lang w:val="en-GB"/>
        </w:rPr>
        <w:t>recorded</w:t>
      </w:r>
      <w:r w:rsidRPr="006C78D6">
        <w:rPr>
          <w:rFonts w:asciiTheme="majorBidi" w:hAnsiTheme="majorBidi" w:cstheme="majorBidi"/>
        </w:rPr>
        <w:t xml:space="preserve"> the highest reducing power among the single extracts, </w:t>
      </w:r>
      <w:r w:rsidR="005577DB" w:rsidRPr="006C78D6">
        <w:rPr>
          <w:rFonts w:asciiTheme="majorBidi" w:hAnsiTheme="majorBidi" w:cstheme="majorBidi"/>
        </w:rPr>
        <w:t>closely followed by garlic (Group 2) and ginger (Group 1). This is consistent with previous findings that turmeric contains high levels of curcuminoids, which are known for their potent antioxidant properties (</w:t>
      </w:r>
      <w:proofErr w:type="spellStart"/>
      <w:r w:rsidR="00FB0132" w:rsidRPr="006C78D6">
        <w:rPr>
          <w:rFonts w:asciiTheme="majorBidi" w:hAnsiTheme="majorBidi" w:cstheme="majorBidi"/>
        </w:rPr>
        <w:t>Cozmin</w:t>
      </w:r>
      <w:proofErr w:type="spellEnd"/>
      <w:r w:rsidR="00FB0132" w:rsidRPr="006C78D6">
        <w:rPr>
          <w:rFonts w:asciiTheme="majorBidi" w:hAnsiTheme="majorBidi" w:cstheme="majorBidi"/>
        </w:rPr>
        <w:t xml:space="preserve"> et al., 2024 ; Xu et al., 2025</w:t>
      </w:r>
      <w:r w:rsidR="005577DB" w:rsidRPr="006C78D6">
        <w:rPr>
          <w:rFonts w:asciiTheme="majorBidi" w:hAnsiTheme="majorBidi" w:cstheme="majorBidi"/>
        </w:rPr>
        <w:t>). Garlic, rich in sulfur-containing compounds like allicin, showed moderate reducing power, especially at lower concentrations, indicating its ability to act as an effective antioxidant in smaller doses (Banerjee et al., 2003).</w:t>
      </w:r>
      <w:r w:rsidR="005F6D0F" w:rsidRPr="006C78D6">
        <w:rPr>
          <w:rFonts w:asciiTheme="majorBidi" w:hAnsiTheme="majorBidi" w:cstheme="majorBidi"/>
          <w:lang w:val="en-GB"/>
        </w:rPr>
        <w:t xml:space="preserve"> </w:t>
      </w:r>
      <w:r w:rsidR="005577DB" w:rsidRPr="006C78D6">
        <w:rPr>
          <w:rFonts w:asciiTheme="majorBidi" w:hAnsiTheme="majorBidi" w:cstheme="majorBidi"/>
        </w:rPr>
        <w:t>The combined extracts, however, showed a lower reducing power than the individual components. This may be due to a dilution effect or the interactions between different bioactive compounds that could inhibit each other's activity. For instance, phenolic compounds in turmeric might compete with sulfur compounds in garlic or gingerols in ginger for binding sites or electron donation, resulting in a diminished overall antioxidant capacity (</w:t>
      </w:r>
      <w:r w:rsidR="00DE14F9" w:rsidRPr="006C78D6">
        <w:rPr>
          <w:rFonts w:asciiTheme="majorBidi" w:hAnsiTheme="majorBidi" w:cstheme="majorBidi"/>
        </w:rPr>
        <w:t>Chowdhury et al., 2021; Nash et al., 2022</w:t>
      </w:r>
      <w:r w:rsidR="005577DB" w:rsidRPr="006C78D6">
        <w:rPr>
          <w:rFonts w:asciiTheme="majorBidi" w:hAnsiTheme="majorBidi" w:cstheme="majorBidi"/>
        </w:rPr>
        <w:t>). This finding underscores the complexity of combining natural extracts, where the expected synergistic effects might not always occur.</w:t>
      </w:r>
      <w:r w:rsidR="005F6D0F" w:rsidRPr="006C78D6">
        <w:rPr>
          <w:rFonts w:asciiTheme="majorBidi" w:hAnsiTheme="majorBidi" w:cstheme="majorBidi"/>
        </w:rPr>
        <w:t xml:space="preserve"> Ginger, though less potent than turmeric and garlic in this study, also has notable metal-chelating properties due to its gingerol content. It has been shown to reduce lead-induced hepatotoxicity and oxidative stress in animal models, demonstrating its role as a protective agent against metal toxicity (</w:t>
      </w:r>
      <w:r w:rsidR="00DE14F9" w:rsidRPr="006C78D6">
        <w:rPr>
          <w:rFonts w:asciiTheme="majorBidi" w:hAnsiTheme="majorBidi" w:cstheme="majorBidi"/>
        </w:rPr>
        <w:t>Chowdhury et al., 2021; Nash et al., 2022</w:t>
      </w:r>
      <w:r w:rsidR="005F6D0F" w:rsidRPr="006C78D6">
        <w:rPr>
          <w:rFonts w:asciiTheme="majorBidi" w:hAnsiTheme="majorBidi" w:cstheme="majorBidi"/>
        </w:rPr>
        <w:t>).</w:t>
      </w:r>
      <w:r w:rsidR="005F6D0F" w:rsidRPr="006C78D6">
        <w:rPr>
          <w:rFonts w:asciiTheme="majorBidi" w:hAnsiTheme="majorBidi" w:cstheme="majorBidi"/>
          <w:lang w:val="en-GB"/>
        </w:rPr>
        <w:t xml:space="preserve"> The combined extracts, </w:t>
      </w:r>
      <w:r w:rsidR="005F6D0F" w:rsidRPr="006C78D6">
        <w:rPr>
          <w:rFonts w:asciiTheme="majorBidi" w:hAnsiTheme="majorBidi" w:cstheme="majorBidi"/>
          <w:lang w:val="en-GB"/>
        </w:rPr>
        <w:lastRenderedPageBreak/>
        <w:t>although showing moderate reducing power, may still offer complementary benefits when used as metal chelators. For example, turmeric’s ability to chelate iron and lead, garlic’s efficiency in chelating cadmium and mercury, and ginger’s protective effects against lead toxicity may together provide a broader spectrum of metal chelation. However, the reduced antioxidant power of the combinations compared to individual extracts suggests that these mixtures may need to be optimized to achieve the desired chelation effects without losing efficacy. This is particularly important in chronic metal exposure, where sustained chelation over time is needed to reduce body burden without overwhelming the system with excessive doses of any single component (</w:t>
      </w:r>
      <w:r w:rsidR="00DE14F9" w:rsidRPr="006C78D6">
        <w:rPr>
          <w:rFonts w:ascii="Times New Roman" w:eastAsia="Times New Roman" w:hAnsi="Times New Roman" w:cs="Times New Roman"/>
        </w:rPr>
        <w:t xml:space="preserve">Kim et al., 2019; </w:t>
      </w:r>
      <w:proofErr w:type="spellStart"/>
      <w:r w:rsidR="00DE14F9" w:rsidRPr="006C78D6">
        <w:rPr>
          <w:rFonts w:ascii="Times New Roman" w:eastAsia="Times New Roman" w:hAnsi="Times New Roman" w:cs="Times New Roman"/>
        </w:rPr>
        <w:t>Ceramella</w:t>
      </w:r>
      <w:proofErr w:type="spellEnd"/>
      <w:r w:rsidR="00DE14F9" w:rsidRPr="006C78D6">
        <w:rPr>
          <w:rFonts w:ascii="Times New Roman" w:eastAsia="Times New Roman" w:hAnsi="Times New Roman" w:cs="Times New Roman"/>
        </w:rPr>
        <w:t xml:space="preserve"> et al., 2024</w:t>
      </w:r>
      <w:r w:rsidR="005F6D0F" w:rsidRPr="006C78D6">
        <w:rPr>
          <w:rFonts w:asciiTheme="majorBidi" w:hAnsiTheme="majorBidi" w:cstheme="majorBidi"/>
          <w:lang w:val="en-GB"/>
        </w:rPr>
        <w:t>).</w:t>
      </w:r>
    </w:p>
    <w:p w14:paraId="5BA2B4E9" w14:textId="65D3F590" w:rsidR="002A2983" w:rsidRPr="006C78D6" w:rsidRDefault="00186150"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Hydroxyl radicals are highly reactive species that cause oxidative damage to biomolecules, such as lipids, proteins, and DNA, contributing to various degenerative diseases (</w:t>
      </w:r>
      <w:r w:rsidR="008B1CEE" w:rsidRPr="006C78D6">
        <w:rPr>
          <w:rFonts w:asciiTheme="majorBidi" w:eastAsia="Times New Roman" w:hAnsiTheme="majorBidi" w:cstheme="majorBidi"/>
        </w:rPr>
        <w:t>Dash et al., 2025 ; Chandimali, et al., 2025</w:t>
      </w:r>
      <w:r w:rsidRPr="006C78D6">
        <w:rPr>
          <w:rFonts w:asciiTheme="majorBidi" w:eastAsia="Times New Roman" w:hAnsiTheme="majorBidi" w:cstheme="majorBidi"/>
        </w:rPr>
        <w:t>). The ability to scavenge these radicals is crucial for reducing oxidative stress.</w:t>
      </w:r>
      <w:r w:rsidR="002A2983" w:rsidRPr="006C78D6">
        <w:rPr>
          <w:rFonts w:asciiTheme="majorBidi" w:eastAsia="Times New Roman" w:hAnsiTheme="majorBidi" w:cstheme="majorBidi"/>
        </w:rPr>
        <w:t xml:space="preserve"> In this study, ginger, garlic, and turmeric extracts, both individually and in combination, demonstrate hydroxyl radical scavenging activity, with the efficacy improving at higher concentrations.</w:t>
      </w:r>
      <w:r w:rsidR="002A2983" w:rsidRPr="006C78D6">
        <w:rPr>
          <w:rFonts w:asciiTheme="majorBidi" w:eastAsia="Times New Roman" w:hAnsiTheme="majorBidi" w:cstheme="majorBidi"/>
          <w:lang w:val="en-GB"/>
        </w:rPr>
        <w:t xml:space="preserve"> </w:t>
      </w:r>
      <w:r w:rsidR="002A2983" w:rsidRPr="006C78D6">
        <w:rPr>
          <w:rFonts w:asciiTheme="majorBidi" w:eastAsia="Times New Roman" w:hAnsiTheme="majorBidi" w:cstheme="majorBidi"/>
        </w:rPr>
        <w:t>The 60% ginger, 30% garlic, 10% turmeric combination show</w:t>
      </w:r>
      <w:r w:rsidR="002A2983" w:rsidRPr="006C78D6">
        <w:rPr>
          <w:rFonts w:asciiTheme="majorBidi" w:eastAsia="Times New Roman" w:hAnsiTheme="majorBidi" w:cstheme="majorBidi"/>
          <w:lang w:val="en-GB"/>
        </w:rPr>
        <w:t>ed remarkable hydroxyl radical</w:t>
      </w:r>
      <w:r w:rsidR="002A2983" w:rsidRPr="006C78D6">
        <w:rPr>
          <w:rFonts w:asciiTheme="majorBidi" w:eastAsia="Times New Roman" w:hAnsiTheme="majorBidi" w:cstheme="majorBidi"/>
        </w:rPr>
        <w:t xml:space="preserve"> scavenging effect. This</w:t>
      </w:r>
      <w:r w:rsidR="002A2983" w:rsidRPr="006C78D6">
        <w:rPr>
          <w:rFonts w:asciiTheme="majorBidi" w:eastAsia="Times New Roman" w:hAnsiTheme="majorBidi" w:cstheme="majorBidi"/>
          <w:lang w:val="en-GB"/>
        </w:rPr>
        <w:t xml:space="preserve"> may be attributed to </w:t>
      </w:r>
      <w:r w:rsidR="002A2983" w:rsidRPr="006C78D6">
        <w:rPr>
          <w:rFonts w:asciiTheme="majorBidi" w:eastAsia="Times New Roman" w:hAnsiTheme="majorBidi" w:cstheme="majorBidi"/>
        </w:rPr>
        <w:t xml:space="preserve">the interaction of </w:t>
      </w:r>
      <w:r w:rsidR="002A2983" w:rsidRPr="006C78D6">
        <w:rPr>
          <w:rFonts w:asciiTheme="majorBidi" w:eastAsia="Times New Roman" w:hAnsiTheme="majorBidi" w:cstheme="majorBidi"/>
          <w:lang w:val="en-GB"/>
        </w:rPr>
        <w:t>the bio</w:t>
      </w:r>
      <w:r w:rsidR="002A2983" w:rsidRPr="006C78D6">
        <w:rPr>
          <w:rFonts w:asciiTheme="majorBidi" w:eastAsia="Times New Roman" w:hAnsiTheme="majorBidi" w:cstheme="majorBidi"/>
        </w:rPr>
        <w:t xml:space="preserve">active compounds </w:t>
      </w:r>
      <w:r w:rsidR="002A2983" w:rsidRPr="006C78D6">
        <w:rPr>
          <w:rFonts w:asciiTheme="majorBidi" w:eastAsia="Times New Roman" w:hAnsiTheme="majorBidi" w:cstheme="majorBidi"/>
          <w:lang w:val="en-GB"/>
        </w:rPr>
        <w:t xml:space="preserve">including </w:t>
      </w:r>
      <w:r w:rsidR="002A2983" w:rsidRPr="006C78D6">
        <w:rPr>
          <w:rFonts w:asciiTheme="majorBidi" w:eastAsia="Times New Roman" w:hAnsiTheme="majorBidi" w:cstheme="majorBidi"/>
        </w:rPr>
        <w:t>gingerol, allicin, and curcumin, each contributing to the neutralization of hydroxyl radicals (Lobo et al., 2010). The varying results across different combinations highlight the importance of determining the optimal ratios for maximum antioxidant effects.</w:t>
      </w:r>
    </w:p>
    <w:p w14:paraId="4F121CA9" w14:textId="7E972600" w:rsidR="00F935E8" w:rsidRPr="006C78D6" w:rsidRDefault="00F935E8" w:rsidP="00F935E8">
      <w:pPr>
        <w:pStyle w:val="NormalWeb"/>
        <w:spacing w:line="360" w:lineRule="auto"/>
        <w:rPr>
          <w:rFonts w:asciiTheme="majorBidi" w:hAnsiTheme="majorBidi" w:cstheme="majorBidi"/>
        </w:rPr>
      </w:pPr>
      <w:r w:rsidRPr="006C78D6">
        <w:rPr>
          <w:rFonts w:asciiTheme="majorBidi" w:hAnsiTheme="majorBidi" w:cstheme="majorBidi"/>
        </w:rPr>
        <w:t>From the results, the group with the most significant TAC is Group 8 (60% turmeric, 30% garlic, 10% ginger), with a mean TAC of 208.12 mg GAE/g extract. This value significantly exceeds the TAC values for other groups, emphasizing turmeric's potent antioxidant activity, particularly in high concentrations. Other groups with a higher proportion of turmeric also had elevated antioxidant capacities, such as Group 9 (40% turmeric, 30% garlic, 30% ginger) with 138.85 mg GAE/g extract and Group 3 (100% turmeric) with 104.32 mg GAE/g extract. The significance of this combination as an antioxidant therapy lies in the ability of the plant extracts to neutralize free radicals and reduce oxidative stress more effectively when the three components are combined, particularly in turmeric-dominant mixtures. This could provide a basis for the use of these mixtures in antioxidant-rich supplements or functional foods to combat oxidative damage (</w:t>
      </w:r>
      <w:r w:rsidR="008B1CEE" w:rsidRPr="006C78D6">
        <w:rPr>
          <w:rFonts w:asciiTheme="majorBidi" w:hAnsiTheme="majorBidi" w:cstheme="majorBidi"/>
        </w:rPr>
        <w:t>Kim et al., 2021 ; Tuong et al., 2023 ; Urbańska et al., 2025</w:t>
      </w:r>
      <w:r w:rsidRPr="006C78D6">
        <w:rPr>
          <w:rFonts w:asciiTheme="majorBidi" w:hAnsiTheme="majorBidi" w:cstheme="majorBidi"/>
        </w:rPr>
        <w:t xml:space="preserve">). Turmeric’s curcumin, in particular, has been shown to protect against lipid peroxidation, </w:t>
      </w:r>
      <w:r w:rsidRPr="006C78D6">
        <w:rPr>
          <w:rFonts w:asciiTheme="majorBidi" w:hAnsiTheme="majorBidi" w:cstheme="majorBidi"/>
        </w:rPr>
        <w:lastRenderedPageBreak/>
        <w:t>DNA damage, and protein oxidation (Aggarwal &amp;Harikumar, 2009). The addition of ginger and garlic enhances the overall effect by providing complementary antioxidant mechanisms to improve cellular defenses (</w:t>
      </w:r>
      <w:r w:rsidR="00564D6F" w:rsidRPr="006C78D6">
        <w:rPr>
          <w:rFonts w:asciiTheme="majorBidi" w:hAnsiTheme="majorBidi" w:cstheme="majorBidi"/>
        </w:rPr>
        <w:t>Adegbola et al., 2021; Shaukat et al., 2023</w:t>
      </w:r>
      <w:r w:rsidRPr="006C78D6">
        <w:rPr>
          <w:rFonts w:asciiTheme="majorBidi" w:hAnsiTheme="majorBidi" w:cstheme="majorBidi"/>
        </w:rPr>
        <w:t>).</w:t>
      </w:r>
    </w:p>
    <w:p w14:paraId="55C11FFA" w14:textId="0769E579" w:rsidR="00186150" w:rsidRPr="006C78D6" w:rsidRDefault="00186150" w:rsidP="005F6D0F">
      <w:pPr>
        <w:pStyle w:val="NormalWeb"/>
        <w:rPr>
          <w:rFonts w:asciiTheme="majorBidi" w:hAnsiTheme="majorBidi" w:cstheme="majorBidi"/>
        </w:rPr>
      </w:pPr>
    </w:p>
    <w:p w14:paraId="61A198A3" w14:textId="77777777" w:rsidR="00757292" w:rsidRPr="006C78D6" w:rsidRDefault="00757292" w:rsidP="00757292">
      <w:pPr>
        <w:spacing w:before="100" w:beforeAutospacing="1" w:after="100" w:afterAutospacing="1" w:line="240" w:lineRule="auto"/>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Conclusion</w:t>
      </w:r>
    </w:p>
    <w:p w14:paraId="0F6986C6" w14:textId="77777777" w:rsidR="00757292" w:rsidRPr="006C78D6" w:rsidRDefault="00757292" w:rsidP="00757292">
      <w:pPr>
        <w:spacing w:before="100" w:beforeAutospacing="1" w:after="100" w:afterAutospacing="1" w:line="360" w:lineRule="auto"/>
        <w:jc w:val="both"/>
        <w:rPr>
          <w:rFonts w:ascii="Times New Roman" w:eastAsia="Times New Roman" w:hAnsi="Times New Roman" w:cs="Times New Roman"/>
        </w:rPr>
      </w:pPr>
      <w:r w:rsidRPr="006C78D6">
        <w:rPr>
          <w:rFonts w:ascii="Times New Roman" w:eastAsia="Times New Roman" w:hAnsi="Times New Roman" w:cs="Times New Roman"/>
        </w:rPr>
        <w:t>The combination ratios in this study (e.g., Group 5 with 40% ginger, 30% garlic, and 30% turmeric) showed enhanced 2,2-diphenyl-1-picryl-hydrazyl (DPPH) radical scavenging</w:t>
      </w:r>
      <w:r w:rsidRPr="006C78D6">
        <w:rPr>
          <w:rFonts w:ascii="Times New Roman" w:eastAsia="Times New Roman" w:hAnsi="Times New Roman" w:cs="Times New Roman"/>
          <w:lang w:val="en-GB"/>
        </w:rPr>
        <w:t>,</w:t>
      </w:r>
      <w:r w:rsidRPr="006C78D6">
        <w:rPr>
          <w:rFonts w:ascii="Times New Roman" w:eastAsia="Times New Roman" w:hAnsi="Times New Roman" w:cs="Times New Roman"/>
        </w:rPr>
        <w:t xml:space="preserve"> nitric oxide scavenging, hydroxyl radical scavenging outcome indicating that these mixtures could be more effective in mitigating metal-induced oxidative stress than single extracts.</w:t>
      </w:r>
      <w:r w:rsidRPr="006C78D6">
        <w:rPr>
          <w:rFonts w:ascii="Times New Roman" w:eastAsia="Times New Roman" w:hAnsi="Times New Roman" w:cs="Times New Roman"/>
          <w:lang w:val="en-GB"/>
        </w:rPr>
        <w:t xml:space="preserve"> Whereas the group with </w:t>
      </w:r>
      <w:r w:rsidRPr="006C78D6">
        <w:rPr>
          <w:rFonts w:ascii="Times New Roman" w:eastAsia="Times New Roman" w:hAnsi="Times New Roman" w:cs="Times New Roman"/>
        </w:rPr>
        <w:t>the most significant TAC</w:t>
      </w:r>
      <w:r w:rsidRPr="006C78D6">
        <w:rPr>
          <w:rFonts w:ascii="Times New Roman" w:eastAsia="Times New Roman" w:hAnsi="Times New Roman" w:cs="Times New Roman"/>
          <w:lang w:val="en-GB"/>
        </w:rPr>
        <w:t xml:space="preserve"> and reducing power</w:t>
      </w:r>
      <w:r w:rsidRPr="006C78D6">
        <w:rPr>
          <w:rFonts w:ascii="Times New Roman" w:eastAsia="Times New Roman" w:hAnsi="Times New Roman" w:cs="Times New Roman"/>
        </w:rPr>
        <w:t xml:space="preserve"> </w:t>
      </w:r>
      <w:proofErr w:type="spellStart"/>
      <w:r w:rsidRPr="006C78D6">
        <w:rPr>
          <w:rFonts w:ascii="Times New Roman" w:eastAsia="Times New Roman" w:hAnsi="Times New Roman" w:cs="Times New Roman"/>
          <w:lang w:val="en-GB"/>
        </w:rPr>
        <w:t>wa</w:t>
      </w:r>
      <w:proofErr w:type="spellEnd"/>
      <w:r w:rsidRPr="006C78D6">
        <w:rPr>
          <w:rFonts w:ascii="Times New Roman" w:eastAsia="Times New Roman" w:hAnsi="Times New Roman" w:cs="Times New Roman"/>
        </w:rPr>
        <w:t>s Group 8 (60% turmeric, 30% garlic, 10% ginger), with a mean TAC of 208.12 mg GAE/g extract</w:t>
      </w:r>
      <w:r w:rsidRPr="006C78D6">
        <w:rPr>
          <w:rFonts w:ascii="Times New Roman" w:eastAsia="Times New Roman" w:hAnsi="Times New Roman" w:cs="Times New Roman"/>
          <w:lang w:val="en-GB"/>
        </w:rPr>
        <w:t xml:space="preserve"> and ODs of 0.585 respectively. Turmeric’s higher proportion may have contributed significantly to these combinations. Thes</w:t>
      </w:r>
      <w:r w:rsidRPr="006C78D6">
        <w:rPr>
          <w:rFonts w:ascii="Times New Roman" w:eastAsia="Times New Roman" w:hAnsi="Times New Roman" w:cs="Times New Roman"/>
        </w:rPr>
        <w:t>e results reveal that combinations of ginger, garlic, and turmeric, particularly in near-equal ratios, offer enhanced antioxidant capacity compared to their individual components. This synergistic effect makes these combinations highly valuable as potential protective and therapeutic agents against oxidative stress and metal toxicity. Their dual role as antioxidants and metal chelators provides a strong basis for their application in health-promoting formulations and therapies aimed at reducing oxidative damage and mitigating the effects of chronic toxicant and metal exposures.</w:t>
      </w:r>
    </w:p>
    <w:p w14:paraId="0DB276D4" w14:textId="77777777" w:rsidR="006C78D6" w:rsidRPr="00E80D93" w:rsidRDefault="006C78D6" w:rsidP="006C78D6">
      <w:pPr>
        <w:spacing w:line="360" w:lineRule="auto"/>
        <w:rPr>
          <w:rFonts w:asciiTheme="majorBidi" w:hAnsiTheme="majorBidi" w:cstheme="majorBidi"/>
          <w:b/>
          <w:bCs/>
        </w:rPr>
      </w:pPr>
      <w:r w:rsidRPr="00E80D93">
        <w:rPr>
          <w:rFonts w:asciiTheme="majorBidi" w:hAnsiTheme="majorBidi" w:cstheme="majorBidi"/>
          <w:b/>
          <w:bCs/>
        </w:rPr>
        <w:t>Data Availability</w:t>
      </w:r>
    </w:p>
    <w:p w14:paraId="128557FE" w14:textId="77777777" w:rsidR="006C78D6" w:rsidRDefault="006C78D6" w:rsidP="006C78D6">
      <w:pPr>
        <w:spacing w:line="360" w:lineRule="auto"/>
        <w:jc w:val="both"/>
        <w:rPr>
          <w:rFonts w:asciiTheme="majorBidi" w:hAnsiTheme="majorBidi" w:cstheme="majorBidi"/>
        </w:rPr>
      </w:pPr>
      <w:r w:rsidRPr="00E80D93">
        <w:rPr>
          <w:rFonts w:asciiTheme="majorBidi" w:hAnsiTheme="majorBidi" w:cstheme="majorBidi"/>
        </w:rPr>
        <w:t>The data that supports the findings of this study are available from the authors upon reasonable request.</w:t>
      </w:r>
    </w:p>
    <w:p w14:paraId="208D6EDC"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Consent </w:t>
      </w:r>
      <w:r>
        <w:rPr>
          <w:rFonts w:asciiTheme="majorBidi" w:hAnsiTheme="majorBidi" w:cstheme="majorBidi"/>
          <w:b/>
          <w:bCs/>
        </w:rPr>
        <w:t>a</w:t>
      </w:r>
      <w:r w:rsidRPr="00E80D93">
        <w:rPr>
          <w:rFonts w:asciiTheme="majorBidi" w:hAnsiTheme="majorBidi" w:cstheme="majorBidi"/>
          <w:b/>
          <w:bCs/>
        </w:rPr>
        <w:t xml:space="preserve">nd Ethical Approval </w:t>
      </w:r>
    </w:p>
    <w:p w14:paraId="6CE2C19D" w14:textId="77777777" w:rsidR="006C78D6" w:rsidRPr="00E80D93" w:rsidRDefault="006C78D6" w:rsidP="006C78D6">
      <w:pPr>
        <w:spacing w:line="360" w:lineRule="auto"/>
        <w:jc w:val="both"/>
        <w:rPr>
          <w:rFonts w:asciiTheme="majorBidi" w:hAnsiTheme="majorBidi" w:cstheme="majorBidi"/>
        </w:rPr>
      </w:pPr>
      <w:r w:rsidRPr="00E80D93">
        <w:rPr>
          <w:rFonts w:asciiTheme="majorBidi" w:hAnsiTheme="majorBidi" w:cstheme="majorBidi"/>
        </w:rPr>
        <w:t xml:space="preserve">It is not applicable. </w:t>
      </w:r>
    </w:p>
    <w:p w14:paraId="522AA01E"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Competing Interests </w:t>
      </w:r>
    </w:p>
    <w:p w14:paraId="484D70F2" w14:textId="77777777" w:rsidR="006C78D6" w:rsidRPr="006C78D6" w:rsidRDefault="006C78D6" w:rsidP="006C78D6">
      <w:pPr>
        <w:spacing w:line="360" w:lineRule="auto"/>
        <w:jc w:val="both"/>
        <w:rPr>
          <w:rFonts w:asciiTheme="majorBidi" w:hAnsiTheme="majorBidi" w:cstheme="majorBidi"/>
        </w:rPr>
      </w:pPr>
      <w:r w:rsidRPr="006C78D6">
        <w:rPr>
          <w:rFonts w:asciiTheme="majorBidi" w:hAnsiTheme="majorBidi" w:cstheme="majorBidi"/>
        </w:rPr>
        <w:t>Authors have declared that no competing interests exist.</w:t>
      </w:r>
    </w:p>
    <w:p w14:paraId="5DF2C9C8" w14:textId="77777777" w:rsidR="006C78D6" w:rsidRPr="006C78D6" w:rsidRDefault="006C78D6" w:rsidP="006C78D6">
      <w:pPr>
        <w:rPr>
          <w:rFonts w:cs="Times New Roman"/>
        </w:rPr>
      </w:pPr>
      <w:bookmarkStart w:id="29" w:name="_Hlk204003461"/>
      <w:bookmarkStart w:id="30" w:name="_Hlk209007716"/>
      <w:r w:rsidRPr="006C78D6">
        <w:rPr>
          <w:rFonts w:cs="Times New Roman"/>
        </w:rPr>
        <w:t>Disclaimer (Artificial intelligence)</w:t>
      </w:r>
    </w:p>
    <w:p w14:paraId="4633DDA4" w14:textId="334885C3" w:rsidR="006C78D6" w:rsidRDefault="006C78D6" w:rsidP="006C78D6">
      <w:pPr>
        <w:rPr>
          <w:rFonts w:asciiTheme="majorBidi" w:hAnsiTheme="majorBidi" w:cstheme="majorBidi"/>
          <w:b/>
          <w:bCs/>
        </w:rPr>
      </w:pPr>
      <w:r w:rsidRPr="006C78D6">
        <w:rPr>
          <w:rFonts w:cs="Times New Roman"/>
        </w:rPr>
        <w:lastRenderedPageBreak/>
        <w:t>Author(s) hereby declare that generative AI technologies such as Large Language Models (ChatGPT</w:t>
      </w:r>
      <w:r>
        <w:rPr>
          <w:rFonts w:cs="Times New Roman"/>
        </w:rPr>
        <w:t xml:space="preserve"> an</w:t>
      </w:r>
      <w:r w:rsidRPr="006C78D6">
        <w:rPr>
          <w:rFonts w:cs="Times New Roman"/>
        </w:rPr>
        <w:t xml:space="preserve"> COPILOT) have been used during editing of manuscripts references to journal style.</w:t>
      </w:r>
      <w:bookmarkEnd w:id="29"/>
      <w:bookmarkEnd w:id="30"/>
    </w:p>
    <w:p w14:paraId="69183B23" w14:textId="77777777" w:rsidR="00757292" w:rsidRPr="006C78D6" w:rsidRDefault="00757292" w:rsidP="005F6D0F">
      <w:pPr>
        <w:pStyle w:val="NormalWeb"/>
        <w:rPr>
          <w:rFonts w:asciiTheme="majorBidi" w:hAnsiTheme="majorBidi" w:cstheme="majorBidi"/>
        </w:rPr>
      </w:pPr>
    </w:p>
    <w:p w14:paraId="52ED31C5" w14:textId="485E56E8" w:rsidR="00275588" w:rsidRPr="006C78D6" w:rsidRDefault="00564D6F" w:rsidP="00344BC0">
      <w:pPr>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References</w:t>
      </w:r>
    </w:p>
    <w:p w14:paraId="26DAACDD" w14:textId="77777777" w:rsidR="00975422" w:rsidRPr="006C78D6" w:rsidRDefault="00975422" w:rsidP="00564D6F">
      <w:pPr>
        <w:spacing w:before="100" w:beforeAutospacing="1" w:after="100" w:afterAutospacing="1" w:line="240" w:lineRule="auto"/>
        <w:rPr>
          <w:rFonts w:asciiTheme="majorBidi" w:eastAsia="Times New Roman" w:hAnsiTheme="majorBidi" w:cstheme="majorBidi"/>
          <w:lang w:val="en-GB"/>
        </w:rPr>
      </w:pPr>
      <w:r w:rsidRPr="006C78D6">
        <w:rPr>
          <w:rFonts w:asciiTheme="majorBidi" w:eastAsia="Times New Roman" w:hAnsiTheme="majorBidi" w:cstheme="majorBidi"/>
        </w:rPr>
        <w:t xml:space="preserve">Abramson, S. B., Amin, A. R., Clancy, R. M., &amp; </w:t>
      </w:r>
      <w:proofErr w:type="spellStart"/>
      <w:r w:rsidRPr="006C78D6">
        <w:rPr>
          <w:rFonts w:asciiTheme="majorBidi" w:eastAsia="Times New Roman" w:hAnsiTheme="majorBidi" w:cstheme="majorBidi"/>
        </w:rPr>
        <w:t>Attur</w:t>
      </w:r>
      <w:proofErr w:type="spellEnd"/>
      <w:r w:rsidRPr="006C78D6">
        <w:rPr>
          <w:rFonts w:asciiTheme="majorBidi" w:eastAsia="Times New Roman" w:hAnsiTheme="majorBidi" w:cstheme="majorBidi"/>
        </w:rPr>
        <w:t xml:space="preserve">, M. (2001). The role of nitric oxide in tissue destruction. </w:t>
      </w:r>
      <w:r w:rsidRPr="006C78D6">
        <w:rPr>
          <w:rFonts w:asciiTheme="majorBidi" w:eastAsia="Times New Roman" w:hAnsiTheme="majorBidi" w:cstheme="majorBidi"/>
          <w:i/>
          <w:iCs/>
        </w:rPr>
        <w:t>Best Practice &amp; Research Clinical Rheumatology, 15</w:t>
      </w:r>
      <w:r w:rsidRPr="006C78D6">
        <w:rPr>
          <w:rFonts w:asciiTheme="majorBidi" w:eastAsia="Times New Roman" w:hAnsiTheme="majorBidi" w:cstheme="majorBidi"/>
        </w:rPr>
        <w:t>(5), 831–845. https://doi.org/10.1053/berh.2001.0189</w:t>
      </w:r>
    </w:p>
    <w:p w14:paraId="2E266A4F"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6C78D6">
        <w:rPr>
          <w:rFonts w:asciiTheme="majorBidi" w:eastAsia="Times New Roman" w:hAnsiTheme="majorBidi" w:cstheme="majorBidi"/>
        </w:rPr>
        <w:t xml:space="preserve">Adegbola, P. I., Fadahunsi, O. S., Ajilore, B. S., Akintola, A. O., &amp; </w:t>
      </w:r>
      <w:proofErr w:type="spellStart"/>
      <w:r w:rsidRPr="006C78D6">
        <w:rPr>
          <w:rFonts w:asciiTheme="majorBidi" w:eastAsia="Times New Roman" w:hAnsiTheme="majorBidi" w:cstheme="majorBidi"/>
        </w:rPr>
        <w:t>Olorunnisola</w:t>
      </w:r>
      <w:proofErr w:type="spellEnd"/>
      <w:r w:rsidRPr="006C78D6">
        <w:rPr>
          <w:rFonts w:asciiTheme="majorBidi" w:eastAsia="Times New Roman" w:hAnsiTheme="majorBidi" w:cstheme="majorBidi"/>
        </w:rPr>
        <w:t xml:space="preserve">, O. S. (2021). Combined ginger and garlic extract improves serum lipid profile, oxidative stress markers and reduced IL-6 in diet induced obese rats. </w:t>
      </w:r>
      <w:r w:rsidRPr="006C78D6">
        <w:rPr>
          <w:rFonts w:asciiTheme="majorBidi" w:eastAsia="Times New Roman" w:hAnsiTheme="majorBidi" w:cstheme="majorBidi"/>
          <w:i/>
          <w:iCs/>
        </w:rPr>
        <w:t>Obesity Medicine, 23,</w:t>
      </w:r>
      <w:r w:rsidRPr="006C78D6">
        <w:rPr>
          <w:rFonts w:asciiTheme="majorBidi" w:eastAsia="Times New Roman" w:hAnsiTheme="majorBidi" w:cstheme="majorBidi"/>
        </w:rPr>
        <w:t xml:space="preserve"> 100336. https://doi.org/10.1016/j.obmed.2021.100336</w:t>
      </w:r>
    </w:p>
    <w:p w14:paraId="12C9323E"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Aggarwal, B. B., &amp; Harikumar, K. B. (2009). Potential therapeutic effects of curcumin, the anti-inflammatory agent, against neurodegenerative, cardiovascular, pulmonary, metabolic, autoimmune and neoplastic diseases. </w:t>
      </w:r>
      <w:r w:rsidRPr="00975422">
        <w:rPr>
          <w:rFonts w:asciiTheme="majorBidi" w:eastAsia="Times New Roman" w:hAnsiTheme="majorBidi" w:cstheme="majorBidi"/>
          <w:i/>
          <w:iCs/>
        </w:rPr>
        <w:t>The International Journal of Biochemistry &amp; Cell Biology</w:t>
      </w:r>
      <w:r w:rsidRPr="00975422">
        <w:rPr>
          <w:rFonts w:asciiTheme="majorBidi" w:eastAsia="Times New Roman" w:hAnsiTheme="majorBidi" w:cstheme="majorBidi"/>
        </w:rPr>
        <w:t>, 41(1), 40-59.</w:t>
      </w:r>
    </w:p>
    <w:p w14:paraId="4B992A52" w14:textId="77777777" w:rsidR="00975422" w:rsidRPr="00975422" w:rsidRDefault="00975422" w:rsidP="00564D6F">
      <w:pPr>
        <w:rPr>
          <w:rFonts w:asciiTheme="majorBidi" w:hAnsiTheme="majorBidi" w:cstheme="majorBidi"/>
        </w:rPr>
      </w:pPr>
      <w:proofErr w:type="spellStart"/>
      <w:r w:rsidRPr="00975422">
        <w:rPr>
          <w:rFonts w:asciiTheme="majorBidi" w:hAnsiTheme="majorBidi" w:cstheme="majorBidi"/>
          <w:lang w:val="fr-FR"/>
        </w:rPr>
        <w:t>Alisi</w:t>
      </w:r>
      <w:proofErr w:type="spellEnd"/>
      <w:r w:rsidRPr="00975422">
        <w:rPr>
          <w:rFonts w:asciiTheme="majorBidi" w:hAnsiTheme="majorBidi" w:cstheme="majorBidi"/>
          <w:lang w:val="fr-FR"/>
        </w:rPr>
        <w:t xml:space="preserve">, C. S., &amp; </w:t>
      </w:r>
      <w:proofErr w:type="spellStart"/>
      <w:r w:rsidRPr="00975422">
        <w:rPr>
          <w:rFonts w:asciiTheme="majorBidi" w:hAnsiTheme="majorBidi" w:cstheme="majorBidi"/>
          <w:lang w:val="fr-FR"/>
        </w:rPr>
        <w:t>Onyeze</w:t>
      </w:r>
      <w:proofErr w:type="spellEnd"/>
      <w:r w:rsidRPr="00975422">
        <w:rPr>
          <w:rFonts w:asciiTheme="majorBidi" w:hAnsiTheme="majorBidi" w:cstheme="majorBidi"/>
          <w:lang w:val="fr-FR"/>
        </w:rPr>
        <w:t xml:space="preserve">, R. C. (2008). </w:t>
      </w:r>
      <w:r w:rsidRPr="00975422">
        <w:rPr>
          <w:rFonts w:asciiTheme="majorBidi" w:hAnsiTheme="majorBidi" w:cstheme="majorBidi"/>
        </w:rPr>
        <w:t xml:space="preserve">Nitric oxide scavenging ability of ethyl acetate fraction of methanolic extract of </w:t>
      </w:r>
      <w:proofErr w:type="spellStart"/>
      <w:r w:rsidRPr="00975422">
        <w:rPr>
          <w:rFonts w:asciiTheme="majorBidi" w:hAnsiTheme="majorBidi" w:cstheme="majorBidi"/>
          <w:i/>
          <w:iCs/>
        </w:rPr>
        <w:t>Chromolaena</w:t>
      </w:r>
      <w:proofErr w:type="spellEnd"/>
      <w:r w:rsidRPr="00975422">
        <w:rPr>
          <w:rFonts w:asciiTheme="majorBidi" w:hAnsiTheme="majorBidi" w:cstheme="majorBidi"/>
          <w:i/>
          <w:iCs/>
        </w:rPr>
        <w:t xml:space="preserve"> odorata</w:t>
      </w:r>
      <w:r w:rsidRPr="00975422">
        <w:rPr>
          <w:rFonts w:asciiTheme="majorBidi" w:hAnsiTheme="majorBidi" w:cstheme="majorBidi"/>
        </w:rPr>
        <w:t xml:space="preserve">. </w:t>
      </w:r>
      <w:r w:rsidRPr="00975422">
        <w:rPr>
          <w:rFonts w:asciiTheme="majorBidi" w:hAnsiTheme="majorBidi" w:cstheme="majorBidi"/>
          <w:i/>
          <w:iCs/>
        </w:rPr>
        <w:t>African Journal of Biotechnology, 7</w:t>
      </w:r>
      <w:r w:rsidRPr="00975422">
        <w:rPr>
          <w:rFonts w:asciiTheme="majorBidi" w:hAnsiTheme="majorBidi" w:cstheme="majorBidi"/>
        </w:rPr>
        <w:t>(22), 4169-4174</w:t>
      </w:r>
    </w:p>
    <w:p w14:paraId="4DF975A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975422">
        <w:rPr>
          <w:rFonts w:asciiTheme="majorBidi" w:eastAsia="Times New Roman" w:hAnsiTheme="majorBidi" w:cstheme="majorBidi"/>
          <w:lang w:val="fr-FR"/>
        </w:rPr>
        <w:t xml:space="preserve">Amin </w:t>
      </w:r>
      <w:proofErr w:type="spellStart"/>
      <w:r w:rsidRPr="00975422">
        <w:rPr>
          <w:rFonts w:asciiTheme="majorBidi" w:eastAsia="Times New Roman" w:hAnsiTheme="majorBidi" w:cstheme="majorBidi"/>
          <w:lang w:val="fr-FR"/>
        </w:rPr>
        <w:t>Rajizadeh</w:t>
      </w:r>
      <w:proofErr w:type="spellEnd"/>
      <w:r w:rsidRPr="00975422">
        <w:rPr>
          <w:rFonts w:asciiTheme="majorBidi" w:eastAsia="Times New Roman" w:hAnsiTheme="majorBidi" w:cstheme="majorBidi"/>
          <w:lang w:val="fr-FR"/>
        </w:rPr>
        <w:t xml:space="preserve">, M., &amp; </w:t>
      </w:r>
      <w:proofErr w:type="spellStart"/>
      <w:r w:rsidRPr="00975422">
        <w:rPr>
          <w:rFonts w:asciiTheme="majorBidi" w:eastAsia="Times New Roman" w:hAnsiTheme="majorBidi" w:cstheme="majorBidi"/>
          <w:lang w:val="fr-FR"/>
        </w:rPr>
        <w:t>Pourbabaki</w:t>
      </w:r>
      <w:proofErr w:type="spellEnd"/>
      <w:r w:rsidRPr="00975422">
        <w:rPr>
          <w:rFonts w:asciiTheme="majorBidi" w:eastAsia="Times New Roman" w:hAnsiTheme="majorBidi" w:cstheme="majorBidi"/>
          <w:lang w:val="fr-FR"/>
        </w:rPr>
        <w:t xml:space="preserve">, R. (2024). </w:t>
      </w:r>
      <w:r w:rsidRPr="00975422">
        <w:rPr>
          <w:rFonts w:asciiTheme="majorBidi" w:eastAsia="Times New Roman" w:hAnsiTheme="majorBidi" w:cstheme="majorBidi"/>
        </w:rPr>
        <w:t xml:space="preserve">Oxidative Stress and Exposure to Metals.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10.5772/intechopen.1006077</w:t>
      </w:r>
    </w:p>
    <w:p w14:paraId="7623C77B"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Arreola, R., Quintero-Fabián, S., López-Roa, R. I., Flores-Gutiérrez, E. O., Reyes-Grajeda, J. P., Carrera-Quintanar, L., &amp; Ortuño-Sahagún, D. (2015). Immunomodulation and anti-inflammatory effects of garlic compounds. </w:t>
      </w:r>
      <w:r w:rsidRPr="003A298A">
        <w:rPr>
          <w:rFonts w:asciiTheme="majorBidi" w:eastAsia="Times New Roman" w:hAnsiTheme="majorBidi" w:cstheme="majorBidi"/>
          <w:i/>
          <w:iCs/>
        </w:rPr>
        <w:t>Journal of immunology research</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2015</w:t>
      </w:r>
      <w:r w:rsidRPr="003A298A">
        <w:rPr>
          <w:rFonts w:asciiTheme="majorBidi" w:eastAsia="Times New Roman" w:hAnsiTheme="majorBidi" w:cstheme="majorBidi"/>
        </w:rPr>
        <w:t>, 401630. https://doi.org/10.1155/2015/401630</w:t>
      </w:r>
    </w:p>
    <w:p w14:paraId="55A8B9E3"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Ballester, P., </w:t>
      </w:r>
      <w:proofErr w:type="spellStart"/>
      <w:r w:rsidRPr="003A298A">
        <w:rPr>
          <w:rFonts w:asciiTheme="majorBidi" w:eastAsia="Times New Roman" w:hAnsiTheme="majorBidi" w:cstheme="majorBidi"/>
        </w:rPr>
        <w:t>Cerdá</w:t>
      </w:r>
      <w:proofErr w:type="spellEnd"/>
      <w:r w:rsidRPr="003A298A">
        <w:rPr>
          <w:rFonts w:asciiTheme="majorBidi" w:eastAsia="Times New Roman" w:hAnsiTheme="majorBidi" w:cstheme="majorBidi"/>
        </w:rPr>
        <w:t xml:space="preserve">, B., Arcusa, R., </w:t>
      </w:r>
      <w:proofErr w:type="spellStart"/>
      <w:r w:rsidRPr="003A298A">
        <w:rPr>
          <w:rFonts w:asciiTheme="majorBidi" w:eastAsia="Times New Roman" w:hAnsiTheme="majorBidi" w:cstheme="majorBidi"/>
        </w:rPr>
        <w:t>Marhuenda</w:t>
      </w:r>
      <w:proofErr w:type="spellEnd"/>
      <w:r w:rsidRPr="003A298A">
        <w:rPr>
          <w:rFonts w:asciiTheme="majorBidi" w:eastAsia="Times New Roman" w:hAnsiTheme="majorBidi" w:cstheme="majorBidi"/>
        </w:rPr>
        <w:t xml:space="preserve">, J., </w:t>
      </w:r>
      <w:proofErr w:type="spellStart"/>
      <w:r w:rsidRPr="003A298A">
        <w:rPr>
          <w:rFonts w:asciiTheme="majorBidi" w:eastAsia="Times New Roman" w:hAnsiTheme="majorBidi" w:cstheme="majorBidi"/>
        </w:rPr>
        <w:t>Yamedjeu</w:t>
      </w:r>
      <w:proofErr w:type="spellEnd"/>
      <w:r w:rsidRPr="003A298A">
        <w:rPr>
          <w:rFonts w:asciiTheme="majorBidi" w:eastAsia="Times New Roman" w:hAnsiTheme="majorBidi" w:cstheme="majorBidi"/>
        </w:rPr>
        <w:t xml:space="preserve">, K., &amp; </w:t>
      </w:r>
      <w:proofErr w:type="spellStart"/>
      <w:r w:rsidRPr="003A298A">
        <w:rPr>
          <w:rFonts w:asciiTheme="majorBidi" w:eastAsia="Times New Roman" w:hAnsiTheme="majorBidi" w:cstheme="majorBidi"/>
        </w:rPr>
        <w:t>Zafrilla</w:t>
      </w:r>
      <w:proofErr w:type="spellEnd"/>
      <w:r w:rsidRPr="003A298A">
        <w:rPr>
          <w:rFonts w:asciiTheme="majorBidi" w:eastAsia="Times New Roman" w:hAnsiTheme="majorBidi" w:cstheme="majorBidi"/>
        </w:rPr>
        <w:t xml:space="preserve">, P. (2022). Effect of Ginger on Inflammatory Diseases. </w:t>
      </w:r>
      <w:r w:rsidRPr="003A298A">
        <w:rPr>
          <w:rFonts w:asciiTheme="majorBidi" w:eastAsia="Times New Roman" w:hAnsiTheme="majorBidi" w:cstheme="majorBidi"/>
          <w:i/>
          <w:iCs/>
        </w:rPr>
        <w:t>Molecules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27</w:t>
      </w:r>
      <w:r w:rsidRPr="003A298A">
        <w:rPr>
          <w:rFonts w:asciiTheme="majorBidi" w:eastAsia="Times New Roman" w:hAnsiTheme="majorBidi" w:cstheme="majorBidi"/>
        </w:rPr>
        <w:t>(21), 7223. https://doi.org/10.3390/molecules27217223</w:t>
      </w:r>
    </w:p>
    <w:p w14:paraId="44F00B36"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Banerjee, S. K., Mukherjee, P. K., &amp; Maulik, S. K. (2003). Garlic as an antioxidant: The good, the bad and the ugly. </w:t>
      </w:r>
      <w:r w:rsidRPr="00975422">
        <w:rPr>
          <w:rFonts w:asciiTheme="majorBidi" w:eastAsia="Times New Roman" w:hAnsiTheme="majorBidi" w:cstheme="majorBidi"/>
          <w:i/>
          <w:iCs/>
        </w:rPr>
        <w:t>Phytotherapy Research</w:t>
      </w:r>
      <w:r w:rsidRPr="00975422">
        <w:rPr>
          <w:rFonts w:asciiTheme="majorBidi" w:eastAsia="Times New Roman" w:hAnsiTheme="majorBidi" w:cstheme="majorBidi"/>
        </w:rPr>
        <w:t>, 17(2), 97-106.</w:t>
      </w:r>
    </w:p>
    <w:p w14:paraId="47EAF6F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Beckman, J. S., &amp; Koppenol, W. H. (1996). Nitric oxide, superoxide, and peroxynitrite: The good, the bad, and ugly. </w:t>
      </w:r>
      <w:r w:rsidRPr="00975422">
        <w:rPr>
          <w:rFonts w:asciiTheme="majorBidi" w:eastAsia="Times New Roman" w:hAnsiTheme="majorBidi" w:cstheme="majorBidi"/>
          <w:i/>
          <w:iCs/>
        </w:rPr>
        <w:t>American Journal of Physiology-Cell Physiology</w:t>
      </w:r>
      <w:r w:rsidRPr="00975422">
        <w:rPr>
          <w:rFonts w:asciiTheme="majorBidi" w:eastAsia="Times New Roman" w:hAnsiTheme="majorBidi" w:cstheme="majorBidi"/>
        </w:rPr>
        <w:t>, 271(5), C1424-C1437.</w:t>
      </w:r>
    </w:p>
    <w:p w14:paraId="1C119EED" w14:textId="77777777" w:rsidR="00975422" w:rsidRPr="00903406" w:rsidRDefault="00975422" w:rsidP="00564D6F">
      <w:pPr>
        <w:rPr>
          <w:rFonts w:asciiTheme="majorBidi" w:hAnsiTheme="majorBidi" w:cstheme="majorBidi"/>
          <w:lang w:val="fr-FR"/>
        </w:rPr>
      </w:pPr>
      <w:r w:rsidRPr="00903406">
        <w:rPr>
          <w:rFonts w:asciiTheme="majorBidi" w:hAnsiTheme="majorBidi" w:cstheme="majorBidi"/>
        </w:rPr>
        <w:t xml:space="preserve">Blois, M. S. (1958). Antioxidant determinations by the use of a stable free radical. </w:t>
      </w:r>
      <w:r w:rsidRPr="00903406">
        <w:rPr>
          <w:rFonts w:asciiTheme="majorBidi" w:hAnsiTheme="majorBidi" w:cstheme="majorBidi"/>
          <w:i/>
          <w:iCs/>
          <w:lang w:val="fr-FR"/>
        </w:rPr>
        <w:t>Nature, 181</w:t>
      </w:r>
      <w:r w:rsidRPr="00903406">
        <w:rPr>
          <w:rFonts w:asciiTheme="majorBidi" w:hAnsiTheme="majorBidi" w:cstheme="majorBidi"/>
          <w:lang w:val="fr-FR"/>
        </w:rPr>
        <w:t xml:space="preserve">(4617), 1199–1200. </w:t>
      </w:r>
      <w:hyperlink r:id="rId17" w:history="1">
        <w:r w:rsidRPr="00903406">
          <w:rPr>
            <w:rStyle w:val="Hyperlink"/>
            <w:rFonts w:asciiTheme="majorBidi" w:hAnsiTheme="majorBidi" w:cstheme="majorBidi"/>
            <w:lang w:val="fr-FR"/>
          </w:rPr>
          <w:t>https://doi.org/10.1038/1811199a0</w:t>
        </w:r>
      </w:hyperlink>
    </w:p>
    <w:p w14:paraId="6B0AB63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fr-FR"/>
        </w:rPr>
        <w:lastRenderedPageBreak/>
        <w:t xml:space="preserve">Castelli, S., Carinci, E., &amp; </w:t>
      </w:r>
      <w:proofErr w:type="spellStart"/>
      <w:r w:rsidRPr="00975422">
        <w:rPr>
          <w:rFonts w:asciiTheme="majorBidi" w:eastAsia="Times New Roman" w:hAnsiTheme="majorBidi" w:cstheme="majorBidi"/>
          <w:lang w:val="fr-FR"/>
        </w:rPr>
        <w:t>Baldelli</w:t>
      </w:r>
      <w:proofErr w:type="spellEnd"/>
      <w:r w:rsidRPr="00975422">
        <w:rPr>
          <w:rFonts w:asciiTheme="majorBidi" w:eastAsia="Times New Roman" w:hAnsiTheme="majorBidi" w:cstheme="majorBidi"/>
          <w:lang w:val="fr-FR"/>
        </w:rPr>
        <w:t xml:space="preserve">, S. (2025). </w:t>
      </w:r>
      <w:r w:rsidRPr="00975422">
        <w:rPr>
          <w:rFonts w:asciiTheme="majorBidi" w:eastAsia="Times New Roman" w:hAnsiTheme="majorBidi" w:cstheme="majorBidi"/>
        </w:rPr>
        <w:t xml:space="preserve">Oxidative Stress in Neurodegenerative Disorders: A Key Driver in Impairing Skeletal Muscle Health. </w:t>
      </w:r>
      <w:r w:rsidRPr="00975422">
        <w:rPr>
          <w:rFonts w:asciiTheme="majorBidi" w:eastAsia="Times New Roman" w:hAnsiTheme="majorBidi" w:cstheme="majorBidi"/>
          <w:i/>
          <w:iCs/>
          <w:lang w:val="fr-FR"/>
        </w:rPr>
        <w:t xml:space="preserve">International Journal of </w:t>
      </w:r>
      <w:proofErr w:type="spellStart"/>
      <w:r w:rsidRPr="00975422">
        <w:rPr>
          <w:rFonts w:asciiTheme="majorBidi" w:eastAsia="Times New Roman" w:hAnsiTheme="majorBidi" w:cstheme="majorBidi"/>
          <w:i/>
          <w:iCs/>
          <w:lang w:val="fr-FR"/>
        </w:rPr>
        <w:t>Molecular</w:t>
      </w:r>
      <w:proofErr w:type="spellEnd"/>
      <w:r w:rsidRPr="00975422">
        <w:rPr>
          <w:rFonts w:asciiTheme="majorBidi" w:eastAsia="Times New Roman" w:hAnsiTheme="majorBidi" w:cstheme="majorBidi"/>
          <w:i/>
          <w:iCs/>
          <w:lang w:val="fr-FR"/>
        </w:rPr>
        <w:t xml:space="preserve"> Sciences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26</w:t>
      </w:r>
      <w:r w:rsidRPr="00975422">
        <w:rPr>
          <w:rFonts w:asciiTheme="majorBidi" w:eastAsia="Times New Roman" w:hAnsiTheme="majorBidi" w:cstheme="majorBidi"/>
          <w:lang w:val="fr-FR"/>
        </w:rPr>
        <w:t xml:space="preserve">(12), 5782. https://doi.org/10.3390/ijms26125782 </w:t>
      </w:r>
    </w:p>
    <w:p w14:paraId="14FD978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fr-FR"/>
        </w:rPr>
        <w:t>Ceramella</w:t>
      </w:r>
      <w:proofErr w:type="spellEnd"/>
      <w:r w:rsidRPr="00975422">
        <w:rPr>
          <w:rFonts w:asciiTheme="majorBidi" w:eastAsia="Times New Roman" w:hAnsiTheme="majorBidi" w:cstheme="majorBidi"/>
          <w:lang w:val="fr-FR"/>
        </w:rPr>
        <w:t xml:space="preserve">, J., De Maio, A. C., Basile, G., </w:t>
      </w:r>
      <w:proofErr w:type="spellStart"/>
      <w:r w:rsidRPr="00975422">
        <w:rPr>
          <w:rFonts w:asciiTheme="majorBidi" w:eastAsia="Times New Roman" w:hAnsiTheme="majorBidi" w:cstheme="majorBidi"/>
          <w:lang w:val="fr-FR"/>
        </w:rPr>
        <w:t>Facente</w:t>
      </w:r>
      <w:proofErr w:type="spellEnd"/>
      <w:r w:rsidRPr="00975422">
        <w:rPr>
          <w:rFonts w:asciiTheme="majorBidi" w:eastAsia="Times New Roman" w:hAnsiTheme="majorBidi" w:cstheme="majorBidi"/>
          <w:lang w:val="fr-FR"/>
        </w:rPr>
        <w:t xml:space="preserve">, A., </w:t>
      </w:r>
      <w:proofErr w:type="spellStart"/>
      <w:r w:rsidRPr="00975422">
        <w:rPr>
          <w:rFonts w:asciiTheme="majorBidi" w:eastAsia="Times New Roman" w:hAnsiTheme="majorBidi" w:cstheme="majorBidi"/>
          <w:lang w:val="fr-FR"/>
        </w:rPr>
        <w:t>Scali</w:t>
      </w:r>
      <w:proofErr w:type="spellEnd"/>
      <w:r w:rsidRPr="00975422">
        <w:rPr>
          <w:rFonts w:asciiTheme="majorBidi" w:eastAsia="Times New Roman" w:hAnsiTheme="majorBidi" w:cstheme="majorBidi"/>
          <w:lang w:val="fr-FR"/>
        </w:rPr>
        <w:t xml:space="preserve">, E., Andreu, I., </w:t>
      </w:r>
      <w:proofErr w:type="spellStart"/>
      <w:r w:rsidRPr="00975422">
        <w:rPr>
          <w:rFonts w:asciiTheme="majorBidi" w:eastAsia="Times New Roman" w:hAnsiTheme="majorBidi" w:cstheme="majorBidi"/>
          <w:lang w:val="fr-FR"/>
        </w:rPr>
        <w:t>Sinicropi</w:t>
      </w:r>
      <w:proofErr w:type="spellEnd"/>
      <w:r w:rsidRPr="00975422">
        <w:rPr>
          <w:rFonts w:asciiTheme="majorBidi" w:eastAsia="Times New Roman" w:hAnsiTheme="majorBidi" w:cstheme="majorBidi"/>
          <w:lang w:val="fr-FR"/>
        </w:rPr>
        <w:t xml:space="preserve">, M. S., </w:t>
      </w:r>
      <w:proofErr w:type="spellStart"/>
      <w:r w:rsidRPr="00975422">
        <w:rPr>
          <w:rFonts w:asciiTheme="majorBidi" w:eastAsia="Times New Roman" w:hAnsiTheme="majorBidi" w:cstheme="majorBidi"/>
          <w:lang w:val="fr-FR"/>
        </w:rPr>
        <w:t>Iacopetta</w:t>
      </w:r>
      <w:proofErr w:type="spellEnd"/>
      <w:r w:rsidRPr="00975422">
        <w:rPr>
          <w:rFonts w:asciiTheme="majorBidi" w:eastAsia="Times New Roman" w:hAnsiTheme="majorBidi" w:cstheme="majorBidi"/>
          <w:lang w:val="fr-FR"/>
        </w:rPr>
        <w:t xml:space="preserve">, D., &amp; </w:t>
      </w:r>
      <w:proofErr w:type="spellStart"/>
      <w:r w:rsidRPr="00975422">
        <w:rPr>
          <w:rFonts w:asciiTheme="majorBidi" w:eastAsia="Times New Roman" w:hAnsiTheme="majorBidi" w:cstheme="majorBidi"/>
          <w:lang w:val="fr-FR"/>
        </w:rPr>
        <w:t>Catalano</w:t>
      </w:r>
      <w:proofErr w:type="spellEnd"/>
      <w:r w:rsidRPr="00975422">
        <w:rPr>
          <w:rFonts w:asciiTheme="majorBidi" w:eastAsia="Times New Roman" w:hAnsiTheme="majorBidi" w:cstheme="majorBidi"/>
          <w:lang w:val="fr-FR"/>
        </w:rPr>
        <w:t xml:space="preserve">, A. (2024). </w:t>
      </w:r>
      <w:r w:rsidRPr="00975422">
        <w:rPr>
          <w:rFonts w:asciiTheme="majorBidi" w:eastAsia="Times New Roman" w:hAnsiTheme="majorBidi" w:cstheme="majorBidi"/>
        </w:rPr>
        <w:t xml:space="preserve">Phytochemicals Involved in Mitigating Silent Toxicity Induced by Heavy Metals. </w:t>
      </w:r>
      <w:r w:rsidRPr="00975422">
        <w:rPr>
          <w:rFonts w:asciiTheme="majorBidi" w:eastAsia="Times New Roman" w:hAnsiTheme="majorBidi" w:cstheme="majorBidi"/>
          <w:i/>
          <w:iCs/>
        </w:rPr>
        <w:t>Foods</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13</w:t>
      </w:r>
      <w:r w:rsidRPr="00975422">
        <w:rPr>
          <w:rFonts w:asciiTheme="majorBidi" w:eastAsia="Times New Roman" w:hAnsiTheme="majorBidi" w:cstheme="majorBidi"/>
        </w:rPr>
        <w:t>(7), 978. https://doi.org/10.3390/foods13070978</w:t>
      </w:r>
    </w:p>
    <w:p w14:paraId="5FAAE265"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Chandimali</w:t>
      </w:r>
      <w:proofErr w:type="spellEnd"/>
      <w:r w:rsidRPr="00975422">
        <w:rPr>
          <w:rFonts w:asciiTheme="majorBidi" w:eastAsia="Times New Roman" w:hAnsiTheme="majorBidi" w:cstheme="majorBidi"/>
        </w:rPr>
        <w:t xml:space="preserve">, N., Bak, S. G., Park, E. H., Lim, H.-J., Won, Y.-S., Kim, E.-K., Park, S.-I., &amp; Lee, S. J. (2025). Free radicals and their impact on health and antioxidant defenses: A review. </w:t>
      </w:r>
      <w:r w:rsidRPr="00975422">
        <w:rPr>
          <w:rFonts w:asciiTheme="majorBidi" w:eastAsia="Times New Roman" w:hAnsiTheme="majorBidi" w:cstheme="majorBidi"/>
          <w:i/>
          <w:iCs/>
        </w:rPr>
        <w:t>Cell Death Discovery, 11,</w:t>
      </w:r>
      <w:r w:rsidRPr="00975422">
        <w:rPr>
          <w:rFonts w:asciiTheme="majorBidi" w:eastAsia="Times New Roman" w:hAnsiTheme="majorBidi" w:cstheme="majorBidi"/>
        </w:rPr>
        <w:t xml:space="preserve"> 19. </w:t>
      </w:r>
      <w:hyperlink r:id="rId18" w:tgtFrame="_new" w:history="1">
        <w:r w:rsidRPr="00975422">
          <w:rPr>
            <w:rStyle w:val="Hyperlink"/>
            <w:rFonts w:asciiTheme="majorBidi" w:eastAsia="Times New Roman" w:hAnsiTheme="majorBidi" w:cstheme="majorBidi"/>
          </w:rPr>
          <w:t>https://doi.org/10.1038/s41420-024-02278-8</w:t>
        </w:r>
      </w:hyperlink>
    </w:p>
    <w:p w14:paraId="39BC1A0E" w14:textId="77777777" w:rsidR="00975422" w:rsidRPr="00330925" w:rsidRDefault="00975422" w:rsidP="00975422">
      <w:pPr>
        <w:rPr>
          <w:rFonts w:asciiTheme="majorBidi" w:hAnsiTheme="majorBidi" w:cstheme="majorBidi"/>
        </w:rPr>
      </w:pPr>
      <w:r w:rsidRPr="00330925">
        <w:rPr>
          <w:rFonts w:asciiTheme="majorBidi" w:hAnsiTheme="majorBidi" w:cstheme="majorBidi"/>
        </w:rPr>
        <w:t xml:space="preserve">Charkiewicz, A. E., </w:t>
      </w:r>
      <w:proofErr w:type="spellStart"/>
      <w:r w:rsidRPr="00330925">
        <w:rPr>
          <w:rFonts w:asciiTheme="majorBidi" w:hAnsiTheme="majorBidi" w:cstheme="majorBidi"/>
        </w:rPr>
        <w:t>Omeljaniuk</w:t>
      </w:r>
      <w:proofErr w:type="spellEnd"/>
      <w:r w:rsidRPr="00330925">
        <w:rPr>
          <w:rFonts w:asciiTheme="majorBidi" w:hAnsiTheme="majorBidi" w:cstheme="majorBidi"/>
        </w:rPr>
        <w:t xml:space="preserve">, W. J., Nowak, K., Garley, M., &amp; </w:t>
      </w:r>
      <w:proofErr w:type="spellStart"/>
      <w:r w:rsidRPr="00330925">
        <w:rPr>
          <w:rFonts w:asciiTheme="majorBidi" w:hAnsiTheme="majorBidi" w:cstheme="majorBidi"/>
        </w:rPr>
        <w:t>Nikliński</w:t>
      </w:r>
      <w:proofErr w:type="spellEnd"/>
      <w:r w:rsidRPr="00330925">
        <w:rPr>
          <w:rFonts w:asciiTheme="majorBidi" w:hAnsiTheme="majorBidi" w:cstheme="majorBidi"/>
        </w:rPr>
        <w:t xml:space="preserve">, J. (2023). Cadmium Toxicity and Health Effects-A Brief Summary. </w:t>
      </w:r>
      <w:r w:rsidRPr="00330925">
        <w:rPr>
          <w:rFonts w:asciiTheme="majorBidi" w:hAnsiTheme="majorBidi" w:cstheme="majorBidi"/>
          <w:i/>
          <w:iCs/>
        </w:rPr>
        <w:t>Molecules (Basel, Switzerland)</w:t>
      </w:r>
      <w:r w:rsidRPr="00330925">
        <w:rPr>
          <w:rFonts w:asciiTheme="majorBidi" w:hAnsiTheme="majorBidi" w:cstheme="majorBidi"/>
        </w:rPr>
        <w:t xml:space="preserve">, </w:t>
      </w:r>
      <w:r w:rsidRPr="00330925">
        <w:rPr>
          <w:rFonts w:asciiTheme="majorBidi" w:hAnsiTheme="majorBidi" w:cstheme="majorBidi"/>
          <w:i/>
          <w:iCs/>
        </w:rPr>
        <w:t>28</w:t>
      </w:r>
      <w:r w:rsidRPr="00330925">
        <w:rPr>
          <w:rFonts w:asciiTheme="majorBidi" w:hAnsiTheme="majorBidi" w:cstheme="majorBidi"/>
        </w:rPr>
        <w:t>(18), 6620. https://doi.org/10.3390/molecules28186620</w:t>
      </w:r>
    </w:p>
    <w:p w14:paraId="00404B0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Chaudhary, P., </w:t>
      </w:r>
      <w:proofErr w:type="spellStart"/>
      <w:r w:rsidRPr="00975422">
        <w:rPr>
          <w:rFonts w:asciiTheme="majorBidi" w:hAnsiTheme="majorBidi" w:cstheme="majorBidi"/>
        </w:rPr>
        <w:t>Janmeda</w:t>
      </w:r>
      <w:proofErr w:type="spellEnd"/>
      <w:r w:rsidRPr="00975422">
        <w:rPr>
          <w:rFonts w:asciiTheme="majorBidi" w:hAnsiTheme="majorBidi" w:cstheme="majorBidi"/>
        </w:rPr>
        <w:t xml:space="preserve">, P., </w:t>
      </w:r>
      <w:proofErr w:type="spellStart"/>
      <w:r w:rsidRPr="00975422">
        <w:rPr>
          <w:rFonts w:asciiTheme="majorBidi" w:hAnsiTheme="majorBidi" w:cstheme="majorBidi"/>
        </w:rPr>
        <w:t>Docea</w:t>
      </w:r>
      <w:proofErr w:type="spellEnd"/>
      <w:r w:rsidRPr="00975422">
        <w:rPr>
          <w:rFonts w:asciiTheme="majorBidi" w:hAnsiTheme="majorBidi" w:cstheme="majorBidi"/>
        </w:rPr>
        <w:t xml:space="preserve">, A. O., </w:t>
      </w:r>
      <w:proofErr w:type="spellStart"/>
      <w:r w:rsidRPr="00975422">
        <w:rPr>
          <w:rFonts w:asciiTheme="majorBidi" w:hAnsiTheme="majorBidi" w:cstheme="majorBidi"/>
        </w:rPr>
        <w:t>Yeskaliyeva</w:t>
      </w:r>
      <w:proofErr w:type="spellEnd"/>
      <w:r w:rsidRPr="00975422">
        <w:rPr>
          <w:rFonts w:asciiTheme="majorBidi" w:hAnsiTheme="majorBidi" w:cstheme="majorBidi"/>
        </w:rPr>
        <w:t xml:space="preserve">, B., Abdull Razis, A. F., Modu, B., Calina, D., &amp; Sharifi-Rad, J. (2023). Oxidative stress, free radicals and antioxidants: Potential crosstalk in the pathophysiology of human diseases. </w:t>
      </w:r>
      <w:r w:rsidRPr="00975422">
        <w:rPr>
          <w:rFonts w:asciiTheme="majorBidi" w:hAnsiTheme="majorBidi" w:cstheme="majorBidi"/>
          <w:i/>
          <w:iCs/>
        </w:rPr>
        <w:t>Frontiers in Chemistry, 11</w:t>
      </w:r>
      <w:r w:rsidRPr="00975422">
        <w:rPr>
          <w:rFonts w:asciiTheme="majorBidi" w:hAnsiTheme="majorBidi" w:cstheme="majorBidi"/>
        </w:rPr>
        <w:t xml:space="preserve">, 1158198. </w:t>
      </w:r>
      <w:hyperlink r:id="rId19" w:tgtFrame="_new" w:history="1">
        <w:r w:rsidRPr="00975422">
          <w:rPr>
            <w:rStyle w:val="Hyperlink"/>
            <w:rFonts w:asciiTheme="majorBidi" w:hAnsiTheme="majorBidi" w:cstheme="majorBidi"/>
          </w:rPr>
          <w:t>https://doi.org/10.3389/fchem.2023.1158198</w:t>
        </w:r>
      </w:hyperlink>
    </w:p>
    <w:p w14:paraId="3D8A168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Chowdhury, D. K., Sahu, N. P., Sardar, P., Deo, A. D., Bedekar, M. K., Singha, K. P., &amp; Maiti, M. K. (2021). Feeding turmeric in combination with ginger or garlic enhances the digestive enzyme activities, growth and immunity in </w:t>
      </w:r>
      <w:proofErr w:type="spellStart"/>
      <w:r w:rsidRPr="00975422">
        <w:rPr>
          <w:rFonts w:asciiTheme="majorBidi" w:eastAsia="Times New Roman" w:hAnsiTheme="majorBidi" w:cstheme="majorBidi"/>
          <w:i/>
          <w:iCs/>
        </w:rPr>
        <w:t>Labeo</w:t>
      </w:r>
      <w:proofErr w:type="spellEnd"/>
      <w:r w:rsidRPr="00975422">
        <w:rPr>
          <w:rFonts w:asciiTheme="majorBidi" w:eastAsia="Times New Roman" w:hAnsiTheme="majorBidi" w:cstheme="majorBidi"/>
          <w:i/>
          <w:iCs/>
        </w:rPr>
        <w:t xml:space="preserve"> </w:t>
      </w:r>
      <w:proofErr w:type="spellStart"/>
      <w:r w:rsidRPr="00975422">
        <w:rPr>
          <w:rFonts w:asciiTheme="majorBidi" w:eastAsia="Times New Roman" w:hAnsiTheme="majorBidi" w:cstheme="majorBidi"/>
          <w:i/>
          <w:iCs/>
        </w:rPr>
        <w:t>rohita</w:t>
      </w:r>
      <w:proofErr w:type="spellEnd"/>
      <w:r w:rsidRPr="00975422">
        <w:rPr>
          <w:rFonts w:asciiTheme="majorBidi" w:eastAsia="Times New Roman" w:hAnsiTheme="majorBidi" w:cstheme="majorBidi"/>
        </w:rPr>
        <w:t xml:space="preserve"> fingerlings. </w:t>
      </w:r>
      <w:r w:rsidRPr="00975422">
        <w:rPr>
          <w:rFonts w:asciiTheme="majorBidi" w:eastAsia="Times New Roman" w:hAnsiTheme="majorBidi" w:cstheme="majorBidi"/>
          <w:i/>
          <w:iCs/>
        </w:rPr>
        <w:t>Animal Feed Science and Technology, 277,</w:t>
      </w:r>
      <w:r w:rsidRPr="00975422">
        <w:rPr>
          <w:rFonts w:asciiTheme="majorBidi" w:eastAsia="Times New Roman" w:hAnsiTheme="majorBidi" w:cstheme="majorBidi"/>
        </w:rPr>
        <w:t xml:space="preserve"> 114964. https://doi.org/10.1016/j.anifeedsci.2021.114964</w:t>
      </w:r>
    </w:p>
    <w:p w14:paraId="758EA5C9"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Collin, M. S., Venkatraman, S. K., Vijayakumar, N., Kanimozhi, V., Arbaaz, S. M., Stacey, R. G. S., Anusha, J., Choudhary, R., Lvov, V., Tovar, G. I., </w:t>
      </w:r>
      <w:proofErr w:type="spellStart"/>
      <w:r w:rsidRPr="00975422">
        <w:rPr>
          <w:rFonts w:asciiTheme="majorBidi" w:hAnsiTheme="majorBidi" w:cstheme="majorBidi"/>
        </w:rPr>
        <w:t>Senatov</w:t>
      </w:r>
      <w:proofErr w:type="spellEnd"/>
      <w:r w:rsidRPr="00975422">
        <w:rPr>
          <w:rFonts w:asciiTheme="majorBidi" w:hAnsiTheme="majorBidi" w:cstheme="majorBidi"/>
        </w:rPr>
        <w:t xml:space="preserve">, F., Koppala, S., &amp; </w:t>
      </w:r>
      <w:proofErr w:type="spellStart"/>
      <w:r w:rsidRPr="00975422">
        <w:rPr>
          <w:rFonts w:asciiTheme="majorBidi" w:hAnsiTheme="majorBidi" w:cstheme="majorBidi"/>
        </w:rPr>
        <w:t>Swamiappan</w:t>
      </w:r>
      <w:proofErr w:type="spellEnd"/>
      <w:r w:rsidRPr="00975422">
        <w:rPr>
          <w:rFonts w:asciiTheme="majorBidi" w:hAnsiTheme="majorBidi" w:cstheme="majorBidi"/>
        </w:rPr>
        <w:t xml:space="preserve">, S. (2022). Bioaccumulation of lead (Pb) and its effects on human: A review. </w:t>
      </w:r>
      <w:r w:rsidRPr="00975422">
        <w:rPr>
          <w:rFonts w:asciiTheme="majorBidi" w:hAnsiTheme="majorBidi" w:cstheme="majorBidi"/>
          <w:i/>
          <w:iCs/>
        </w:rPr>
        <w:t>Journal of Hazardous Materials Advances, 7,</w:t>
      </w:r>
      <w:r w:rsidRPr="00975422">
        <w:rPr>
          <w:rFonts w:asciiTheme="majorBidi" w:hAnsiTheme="majorBidi" w:cstheme="majorBidi"/>
        </w:rPr>
        <w:t xml:space="preserve"> 100094. https://doi.org/10.1016/j.hazadv.2022.100094</w:t>
      </w:r>
    </w:p>
    <w:p w14:paraId="7C7B047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en-GB"/>
        </w:rPr>
        <w:t>Cozmin</w:t>
      </w:r>
      <w:proofErr w:type="spellEnd"/>
      <w:r w:rsidRPr="00975422">
        <w:rPr>
          <w:rFonts w:asciiTheme="majorBidi" w:eastAsia="Times New Roman" w:hAnsiTheme="majorBidi" w:cstheme="majorBidi"/>
          <w:lang w:val="en-GB"/>
        </w:rPr>
        <w:t xml:space="preserve">, M., Lungu, I. I., Gutu, C., </w:t>
      </w:r>
      <w:proofErr w:type="spellStart"/>
      <w:r w:rsidRPr="00975422">
        <w:rPr>
          <w:rFonts w:asciiTheme="majorBidi" w:eastAsia="Times New Roman" w:hAnsiTheme="majorBidi" w:cstheme="majorBidi"/>
          <w:lang w:val="en-GB"/>
        </w:rPr>
        <w:t>Stefanache</w:t>
      </w:r>
      <w:proofErr w:type="spellEnd"/>
      <w:r w:rsidRPr="00975422">
        <w:rPr>
          <w:rFonts w:asciiTheme="majorBidi" w:eastAsia="Times New Roman" w:hAnsiTheme="majorBidi" w:cstheme="majorBidi"/>
          <w:lang w:val="en-GB"/>
        </w:rPr>
        <w:t xml:space="preserve">, A., </w:t>
      </w:r>
      <w:proofErr w:type="spellStart"/>
      <w:r w:rsidRPr="00975422">
        <w:rPr>
          <w:rFonts w:asciiTheme="majorBidi" w:eastAsia="Times New Roman" w:hAnsiTheme="majorBidi" w:cstheme="majorBidi"/>
          <w:lang w:val="en-GB"/>
        </w:rPr>
        <w:t>Duceac</w:t>
      </w:r>
      <w:proofErr w:type="spellEnd"/>
      <w:r w:rsidRPr="00975422">
        <w:rPr>
          <w:rFonts w:asciiTheme="majorBidi" w:eastAsia="Times New Roman" w:hAnsiTheme="majorBidi" w:cstheme="majorBidi"/>
          <w:lang w:val="en-GB"/>
        </w:rPr>
        <w:t xml:space="preserve">, L. D., </w:t>
      </w:r>
      <w:proofErr w:type="spellStart"/>
      <w:r w:rsidRPr="00975422">
        <w:rPr>
          <w:rFonts w:asciiTheme="majorBidi" w:eastAsia="Times New Roman" w:hAnsiTheme="majorBidi" w:cstheme="majorBidi"/>
          <w:lang w:val="en-GB"/>
        </w:rPr>
        <w:t>Șoltuzu</w:t>
      </w:r>
      <w:proofErr w:type="spellEnd"/>
      <w:r w:rsidRPr="00975422">
        <w:rPr>
          <w:rFonts w:asciiTheme="majorBidi" w:eastAsia="Times New Roman" w:hAnsiTheme="majorBidi" w:cstheme="majorBidi"/>
          <w:lang w:val="en-GB"/>
        </w:rPr>
        <w:t xml:space="preserve">, B. D., Damir, D., Calin, G., Bogdan Goroftei, E. R., </w:t>
      </w:r>
      <w:proofErr w:type="spellStart"/>
      <w:r w:rsidRPr="00975422">
        <w:rPr>
          <w:rFonts w:asciiTheme="majorBidi" w:eastAsia="Times New Roman" w:hAnsiTheme="majorBidi" w:cstheme="majorBidi"/>
          <w:lang w:val="en-GB"/>
        </w:rPr>
        <w:t>Grierosu</w:t>
      </w:r>
      <w:proofErr w:type="spellEnd"/>
      <w:r w:rsidRPr="00975422">
        <w:rPr>
          <w:rFonts w:asciiTheme="majorBidi" w:eastAsia="Times New Roman" w:hAnsiTheme="majorBidi" w:cstheme="majorBidi"/>
          <w:lang w:val="en-GB"/>
        </w:rPr>
        <w:t xml:space="preserve">, C., &amp; </w:t>
      </w:r>
      <w:proofErr w:type="spellStart"/>
      <w:r w:rsidRPr="00975422">
        <w:rPr>
          <w:rFonts w:asciiTheme="majorBidi" w:eastAsia="Times New Roman" w:hAnsiTheme="majorBidi" w:cstheme="majorBidi"/>
          <w:lang w:val="en-GB"/>
        </w:rPr>
        <w:t>Boev</w:t>
      </w:r>
      <w:proofErr w:type="spellEnd"/>
      <w:r w:rsidRPr="00975422">
        <w:rPr>
          <w:rFonts w:asciiTheme="majorBidi" w:eastAsia="Times New Roman" w:hAnsiTheme="majorBidi" w:cstheme="majorBidi"/>
          <w:lang w:val="en-GB"/>
        </w:rPr>
        <w:t xml:space="preserve">, M. (2024). </w:t>
      </w:r>
      <w:r w:rsidRPr="00975422">
        <w:rPr>
          <w:rFonts w:asciiTheme="majorBidi" w:eastAsia="Times New Roman" w:hAnsiTheme="majorBidi" w:cstheme="majorBidi"/>
        </w:rPr>
        <w:t xml:space="preserve">Turmeric: from spice to cure. A review of the anti-cancer, radioprotective and anti-inflammatory effects of turmeric sourced compounds. Frontiers in nutrition, 11, 1399888. </w:t>
      </w:r>
      <w:hyperlink r:id="rId20" w:history="1">
        <w:r w:rsidRPr="00975422">
          <w:rPr>
            <w:rStyle w:val="Hyperlink"/>
            <w:rFonts w:asciiTheme="majorBidi" w:eastAsia="Times New Roman" w:hAnsiTheme="majorBidi" w:cstheme="majorBidi"/>
          </w:rPr>
          <w:t>https://doi.org/10.3389/fnut.2024.1399888</w:t>
        </w:r>
      </w:hyperlink>
    </w:p>
    <w:p w14:paraId="1666E0D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Das, N., Paul, S., Chatterjee, D., Banerjee, N., Majumder, N. S., Sarma, N., Sau, T. J., Basu, S., Banerjee, S., Majumder, P., Bandyopadhyay, A. K., States, J. C., &amp; Giri, A. K. (2012). Arsenic exposure through drinking water increases the risk of liver and cardiovascular diseases in the population of West Bengal, India. </w:t>
      </w:r>
      <w:r w:rsidRPr="00975422">
        <w:rPr>
          <w:rFonts w:asciiTheme="majorBidi" w:hAnsiTheme="majorBidi" w:cstheme="majorBidi"/>
          <w:i/>
          <w:iCs/>
        </w:rPr>
        <w:t>BMC Public Health, 12,</w:t>
      </w:r>
      <w:r w:rsidRPr="00975422">
        <w:rPr>
          <w:rFonts w:asciiTheme="majorBidi" w:hAnsiTheme="majorBidi" w:cstheme="majorBidi"/>
        </w:rPr>
        <w:t xml:space="preserve"> 639. https://doi.org/10.1186/1471-2458-12-639</w:t>
      </w:r>
    </w:p>
    <w:p w14:paraId="03CC2D9D" w14:textId="77777777" w:rsidR="00975422" w:rsidRPr="00975422" w:rsidRDefault="00975422" w:rsidP="00564D6F">
      <w:pPr>
        <w:rPr>
          <w:rFonts w:asciiTheme="majorBidi" w:hAnsiTheme="majorBidi" w:cstheme="majorBidi"/>
        </w:rPr>
      </w:pPr>
      <w:r w:rsidRPr="00975422">
        <w:rPr>
          <w:rFonts w:asciiTheme="majorBidi" w:hAnsiTheme="majorBidi" w:cstheme="majorBidi"/>
        </w:rPr>
        <w:t xml:space="preserve">Dash, U. C., </w:t>
      </w:r>
      <w:proofErr w:type="spellStart"/>
      <w:r w:rsidRPr="00975422">
        <w:rPr>
          <w:rFonts w:asciiTheme="majorBidi" w:hAnsiTheme="majorBidi" w:cstheme="majorBidi"/>
        </w:rPr>
        <w:t>Bhol</w:t>
      </w:r>
      <w:proofErr w:type="spellEnd"/>
      <w:r w:rsidRPr="00975422">
        <w:rPr>
          <w:rFonts w:asciiTheme="majorBidi" w:hAnsiTheme="majorBidi" w:cstheme="majorBidi"/>
        </w:rPr>
        <w:t xml:space="preserve">, N. K., Swain, S. K., Samal, R. R., Nayak, P. K., Raina, V., Panda, S. K., Kerry, R. G., Duttaroy, A. K., &amp; Jena, A. B. (2025). Oxidative stress and inflammation in the pathogenesis of neurological disorders: Mechanisms and implications. </w:t>
      </w:r>
      <w:r w:rsidRPr="00975422">
        <w:rPr>
          <w:rFonts w:asciiTheme="majorBidi" w:hAnsiTheme="majorBidi" w:cstheme="majorBidi"/>
          <w:i/>
          <w:iCs/>
        </w:rPr>
        <w:t>Acta Pharmaceutica Sinica B, 15</w:t>
      </w:r>
      <w:r w:rsidRPr="00975422">
        <w:rPr>
          <w:rFonts w:asciiTheme="majorBidi" w:hAnsiTheme="majorBidi" w:cstheme="majorBidi"/>
        </w:rPr>
        <w:t>(1), 15–34. https://doi.org/10.1016/j.apsb.2024.06.014</w:t>
      </w:r>
    </w:p>
    <w:p w14:paraId="4AFE9888" w14:textId="77777777" w:rsidR="00975422" w:rsidRPr="00975422" w:rsidRDefault="00975422" w:rsidP="00564D6F">
      <w:pPr>
        <w:rPr>
          <w:rFonts w:asciiTheme="majorBidi" w:hAnsiTheme="majorBidi" w:cstheme="majorBidi"/>
        </w:rPr>
      </w:pPr>
      <w:r w:rsidRPr="00975422">
        <w:rPr>
          <w:rFonts w:asciiTheme="majorBidi" w:hAnsiTheme="majorBidi" w:cstheme="majorBidi"/>
        </w:rPr>
        <w:lastRenderedPageBreak/>
        <w:t>Dinis, T. C., Madeira, V. M., &amp; Almeida, L. M. (1994). Action of phenolic derivatives (acetaminophen, salicylate, and 5-aminosalicylate) as inhibitors of lipid peroxidation and as radical scavengers. Archives of Biochemistry and Biophysics, 315(1), 161–169.</w:t>
      </w:r>
    </w:p>
    <w:p w14:paraId="242E719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Dugasani, S., </w:t>
      </w:r>
      <w:proofErr w:type="spellStart"/>
      <w:r w:rsidRPr="00975422">
        <w:rPr>
          <w:rFonts w:asciiTheme="majorBidi" w:eastAsia="Times New Roman" w:hAnsiTheme="majorBidi" w:cstheme="majorBidi"/>
        </w:rPr>
        <w:t>Pichika</w:t>
      </w:r>
      <w:proofErr w:type="spellEnd"/>
      <w:r w:rsidRPr="00975422">
        <w:rPr>
          <w:rFonts w:asciiTheme="majorBidi" w:eastAsia="Times New Roman" w:hAnsiTheme="majorBidi" w:cstheme="majorBidi"/>
        </w:rPr>
        <w:t xml:space="preserve">, M. R., Nadarajah, V. D., </w:t>
      </w:r>
      <w:proofErr w:type="spellStart"/>
      <w:r w:rsidRPr="00975422">
        <w:rPr>
          <w:rFonts w:asciiTheme="majorBidi" w:eastAsia="Times New Roman" w:hAnsiTheme="majorBidi" w:cstheme="majorBidi"/>
        </w:rPr>
        <w:t>Balijepalli</w:t>
      </w:r>
      <w:proofErr w:type="spellEnd"/>
      <w:r w:rsidRPr="00975422">
        <w:rPr>
          <w:rFonts w:asciiTheme="majorBidi" w:eastAsia="Times New Roman" w:hAnsiTheme="majorBidi" w:cstheme="majorBidi"/>
        </w:rPr>
        <w:t xml:space="preserve">, M. K., Tandra, S., &amp; </w:t>
      </w:r>
      <w:proofErr w:type="spellStart"/>
      <w:r w:rsidRPr="00975422">
        <w:rPr>
          <w:rFonts w:asciiTheme="majorBidi" w:eastAsia="Times New Roman" w:hAnsiTheme="majorBidi" w:cstheme="majorBidi"/>
        </w:rPr>
        <w:t>Korlakunta</w:t>
      </w:r>
      <w:proofErr w:type="spellEnd"/>
      <w:r w:rsidRPr="00975422">
        <w:rPr>
          <w:rFonts w:asciiTheme="majorBidi" w:eastAsia="Times New Roman" w:hAnsiTheme="majorBidi" w:cstheme="majorBidi"/>
        </w:rPr>
        <w:t xml:space="preserve">, J. N. (2010). Comparative antioxidant and anti-inflammatory effects of [6]-gingerol, [8]-gingerol, [10]-gingerol and [6]-shogaol. </w:t>
      </w:r>
      <w:r w:rsidRPr="00975422">
        <w:rPr>
          <w:rFonts w:asciiTheme="majorBidi" w:eastAsia="Times New Roman" w:hAnsiTheme="majorBidi" w:cstheme="majorBidi"/>
          <w:i/>
          <w:iCs/>
        </w:rPr>
        <w:t>Journal of Ethnopharmacology, 127</w:t>
      </w:r>
      <w:r w:rsidRPr="00975422">
        <w:rPr>
          <w:rFonts w:asciiTheme="majorBidi" w:eastAsia="Times New Roman" w:hAnsiTheme="majorBidi" w:cstheme="majorBidi"/>
        </w:rPr>
        <w:t>(2), 515–520. https://doi.org/10.1016/j.jep.2009.10.004</w:t>
      </w:r>
    </w:p>
    <w:p w14:paraId="24C8CC68" w14:textId="77777777" w:rsidR="00975422" w:rsidRPr="00D86BC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S., Mehta, J., Chandel, A., Sekar, M., Rani, N. N. I. M., Begum, M. Y., Subramaniyan, V., Chidambaram, K., Thangavelu, L., Nordin, R., Wu, Y. S., Sathasivam, K. V., Lum, P. T., Meenakshi, D. U., Kumarasamy, V., Azad, A. K., &amp; </w:t>
      </w: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N. K. (2022). A Comprehensive Review on the Therapeutic Potential of </w:t>
      </w:r>
      <w:r w:rsidRPr="00D86BC2">
        <w:rPr>
          <w:rFonts w:asciiTheme="majorBidi" w:eastAsia="Times New Roman" w:hAnsiTheme="majorBidi" w:cstheme="majorBidi"/>
          <w:i/>
          <w:iCs/>
        </w:rPr>
        <w:t>Curcuma longa</w:t>
      </w:r>
      <w:r w:rsidRPr="00D86BC2">
        <w:rPr>
          <w:rFonts w:asciiTheme="majorBidi" w:eastAsia="Times New Roman" w:hAnsiTheme="majorBidi" w:cstheme="majorBidi"/>
        </w:rPr>
        <w:t xml:space="preserve"> Linn. in Relation to its Major Active Constituent Curcumin. </w:t>
      </w:r>
      <w:r w:rsidRPr="00D86BC2">
        <w:rPr>
          <w:rFonts w:asciiTheme="majorBidi" w:eastAsia="Times New Roman" w:hAnsiTheme="majorBidi" w:cstheme="majorBidi"/>
          <w:i/>
          <w:iCs/>
        </w:rPr>
        <w:t>Frontiers in pharmacology</w:t>
      </w:r>
      <w:r w:rsidRPr="00D86BC2">
        <w:rPr>
          <w:rFonts w:asciiTheme="majorBidi" w:eastAsia="Times New Roman" w:hAnsiTheme="majorBidi" w:cstheme="majorBidi"/>
        </w:rPr>
        <w:t xml:space="preserve">, </w:t>
      </w:r>
      <w:r w:rsidRPr="00D86BC2">
        <w:rPr>
          <w:rFonts w:asciiTheme="majorBidi" w:eastAsia="Times New Roman" w:hAnsiTheme="majorBidi" w:cstheme="majorBidi"/>
          <w:i/>
          <w:iCs/>
        </w:rPr>
        <w:t>13</w:t>
      </w:r>
      <w:r w:rsidRPr="00D86BC2">
        <w:rPr>
          <w:rFonts w:asciiTheme="majorBidi" w:eastAsia="Times New Roman" w:hAnsiTheme="majorBidi" w:cstheme="majorBidi"/>
        </w:rPr>
        <w:t>, 820806. https://doi.org/10.3389/fphar.2022.820806</w:t>
      </w:r>
    </w:p>
    <w:p w14:paraId="465672BE"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Halliwell, B., Gutteridge, J. M. C., &amp; </w:t>
      </w:r>
      <w:proofErr w:type="spellStart"/>
      <w:r w:rsidRPr="00903406">
        <w:rPr>
          <w:rFonts w:asciiTheme="majorBidi" w:hAnsiTheme="majorBidi" w:cstheme="majorBidi"/>
        </w:rPr>
        <w:t>Aruoma</w:t>
      </w:r>
      <w:proofErr w:type="spellEnd"/>
      <w:r w:rsidRPr="00903406">
        <w:rPr>
          <w:rFonts w:asciiTheme="majorBidi" w:hAnsiTheme="majorBidi" w:cstheme="majorBidi"/>
        </w:rPr>
        <w:t xml:space="preserve">, O. I. (1987). The deoxyribose method: A simple “test tube” assay for determination of rate constants for reactions of hydroxyl radicals. </w:t>
      </w:r>
      <w:r w:rsidRPr="00903406">
        <w:rPr>
          <w:rFonts w:asciiTheme="majorBidi" w:hAnsiTheme="majorBidi" w:cstheme="majorBidi"/>
          <w:i/>
          <w:iCs/>
        </w:rPr>
        <w:t>Analytical Biochemistry, 165</w:t>
      </w:r>
      <w:r w:rsidRPr="00903406">
        <w:rPr>
          <w:rFonts w:asciiTheme="majorBidi" w:hAnsiTheme="majorBidi" w:cstheme="majorBidi"/>
        </w:rPr>
        <w:t xml:space="preserve">(1), 215–219. </w:t>
      </w:r>
      <w:hyperlink r:id="rId21" w:history="1">
        <w:r w:rsidRPr="00903406">
          <w:rPr>
            <w:rStyle w:val="Hyperlink"/>
            <w:rFonts w:asciiTheme="majorBidi" w:hAnsiTheme="majorBidi" w:cstheme="majorBidi"/>
          </w:rPr>
          <w:t>https://doi.org/10.1016/0003-2697(87)90222-3</w:t>
        </w:r>
      </w:hyperlink>
    </w:p>
    <w:p w14:paraId="7D7CCF5E" w14:textId="77777777" w:rsidR="00975422" w:rsidRPr="00903406" w:rsidRDefault="00975422" w:rsidP="00564D6F">
      <w:pPr>
        <w:rPr>
          <w:rFonts w:asciiTheme="majorBidi" w:hAnsiTheme="majorBidi" w:cstheme="majorBidi"/>
        </w:rPr>
      </w:pPr>
      <w:r w:rsidRPr="00903406">
        <w:rPr>
          <w:rFonts w:asciiTheme="majorBidi" w:hAnsiTheme="majorBidi" w:cstheme="majorBidi"/>
          <w:lang w:val="fr-FR"/>
        </w:rPr>
        <w:t xml:space="preserve">Hsu, B., </w:t>
      </w:r>
      <w:proofErr w:type="spellStart"/>
      <w:r w:rsidRPr="00903406">
        <w:rPr>
          <w:rFonts w:asciiTheme="majorBidi" w:hAnsiTheme="majorBidi" w:cstheme="majorBidi"/>
          <w:lang w:val="fr-FR"/>
        </w:rPr>
        <w:t>Coupar</w:t>
      </w:r>
      <w:proofErr w:type="spellEnd"/>
      <w:r w:rsidRPr="00903406">
        <w:rPr>
          <w:rFonts w:asciiTheme="majorBidi" w:hAnsiTheme="majorBidi" w:cstheme="majorBidi"/>
          <w:lang w:val="fr-FR"/>
        </w:rPr>
        <w:t xml:space="preserve">, I. M., &amp; </w:t>
      </w:r>
      <w:proofErr w:type="spellStart"/>
      <w:r w:rsidRPr="00903406">
        <w:rPr>
          <w:rFonts w:asciiTheme="majorBidi" w:hAnsiTheme="majorBidi" w:cstheme="majorBidi"/>
          <w:lang w:val="fr-FR"/>
        </w:rPr>
        <w:t>Ng</w:t>
      </w:r>
      <w:proofErr w:type="spellEnd"/>
      <w:r w:rsidRPr="00903406">
        <w:rPr>
          <w:rFonts w:asciiTheme="majorBidi" w:hAnsiTheme="majorBidi" w:cstheme="majorBidi"/>
          <w:lang w:val="fr-FR"/>
        </w:rPr>
        <w:t xml:space="preserve">, K. (2006). </w:t>
      </w:r>
      <w:r w:rsidRPr="00903406">
        <w:rPr>
          <w:rFonts w:asciiTheme="majorBidi" w:hAnsiTheme="majorBidi" w:cstheme="majorBidi"/>
        </w:rPr>
        <w:t xml:space="preserve">Antioxidant activity of hot water extract from the fruit of the </w:t>
      </w:r>
      <w:proofErr w:type="spellStart"/>
      <w:r w:rsidRPr="00903406">
        <w:rPr>
          <w:rFonts w:asciiTheme="majorBidi" w:hAnsiTheme="majorBidi" w:cstheme="majorBidi"/>
        </w:rPr>
        <w:t>doum</w:t>
      </w:r>
      <w:proofErr w:type="spellEnd"/>
      <w:r w:rsidRPr="00903406">
        <w:rPr>
          <w:rFonts w:asciiTheme="majorBidi" w:hAnsiTheme="majorBidi" w:cstheme="majorBidi"/>
        </w:rPr>
        <w:t xml:space="preserve"> palm, </w:t>
      </w:r>
      <w:r w:rsidRPr="00903406">
        <w:rPr>
          <w:rFonts w:asciiTheme="majorBidi" w:hAnsiTheme="majorBidi" w:cstheme="majorBidi"/>
          <w:i/>
          <w:iCs/>
        </w:rPr>
        <w:t xml:space="preserve">Hyphaene </w:t>
      </w:r>
      <w:proofErr w:type="spellStart"/>
      <w:r w:rsidRPr="00903406">
        <w:rPr>
          <w:rFonts w:asciiTheme="majorBidi" w:hAnsiTheme="majorBidi" w:cstheme="majorBidi"/>
          <w:i/>
          <w:iCs/>
        </w:rPr>
        <w:t>thebaica</w:t>
      </w:r>
      <w:proofErr w:type="spellEnd"/>
      <w:r w:rsidRPr="00903406">
        <w:rPr>
          <w:rFonts w:asciiTheme="majorBidi" w:hAnsiTheme="majorBidi" w:cstheme="majorBidi"/>
        </w:rPr>
        <w:t xml:space="preserve">. </w:t>
      </w:r>
      <w:r w:rsidRPr="00903406">
        <w:rPr>
          <w:rFonts w:asciiTheme="majorBidi" w:hAnsiTheme="majorBidi" w:cstheme="majorBidi"/>
          <w:i/>
          <w:iCs/>
        </w:rPr>
        <w:t>Food Chemistry, 98</w:t>
      </w:r>
      <w:r w:rsidRPr="00903406">
        <w:rPr>
          <w:rFonts w:asciiTheme="majorBidi" w:hAnsiTheme="majorBidi" w:cstheme="majorBidi"/>
        </w:rPr>
        <w:t xml:space="preserve">(2), 317–328. </w:t>
      </w:r>
      <w:hyperlink r:id="rId22" w:history="1">
        <w:r w:rsidRPr="00903406">
          <w:rPr>
            <w:rStyle w:val="Hyperlink"/>
            <w:rFonts w:asciiTheme="majorBidi" w:hAnsiTheme="majorBidi" w:cstheme="majorBidi"/>
          </w:rPr>
          <w:t>https://doi.org/10.1016/j.foodchem.2005.05.077</w:t>
        </w:r>
      </w:hyperlink>
    </w:p>
    <w:p w14:paraId="382C3C0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975422">
        <w:rPr>
          <w:rFonts w:asciiTheme="majorBidi" w:eastAsia="Times New Roman" w:hAnsiTheme="majorBidi" w:cstheme="majorBidi"/>
        </w:rPr>
        <w:t xml:space="preserve">Jakubczyk, K., </w:t>
      </w:r>
      <w:proofErr w:type="spellStart"/>
      <w:r w:rsidRPr="00975422">
        <w:rPr>
          <w:rFonts w:asciiTheme="majorBidi" w:eastAsia="Times New Roman" w:hAnsiTheme="majorBidi" w:cstheme="majorBidi"/>
        </w:rPr>
        <w:t>Drużga</w:t>
      </w:r>
      <w:proofErr w:type="spellEnd"/>
      <w:r w:rsidRPr="00975422">
        <w:rPr>
          <w:rFonts w:asciiTheme="majorBidi" w:eastAsia="Times New Roman" w:hAnsiTheme="majorBidi" w:cstheme="majorBidi"/>
        </w:rPr>
        <w:t xml:space="preserve">, A., Katarzyna, J., &amp; </w:t>
      </w:r>
      <w:proofErr w:type="spellStart"/>
      <w:r w:rsidRPr="00975422">
        <w:rPr>
          <w:rFonts w:asciiTheme="majorBidi" w:eastAsia="Times New Roman" w:hAnsiTheme="majorBidi" w:cstheme="majorBidi"/>
        </w:rPr>
        <w:t>Skonieczna-Żydecka</w:t>
      </w:r>
      <w:proofErr w:type="spellEnd"/>
      <w:r w:rsidRPr="00975422">
        <w:rPr>
          <w:rFonts w:asciiTheme="majorBidi" w:eastAsia="Times New Roman" w:hAnsiTheme="majorBidi" w:cstheme="majorBidi"/>
        </w:rPr>
        <w:t xml:space="preserve">, K. (2020). Antioxidant Potential of Curcumin-A Meta-Analysis of Randomized Clinical Trials. </w:t>
      </w:r>
      <w:r w:rsidRPr="00975422">
        <w:rPr>
          <w:rFonts w:asciiTheme="majorBidi" w:eastAsia="Times New Roman" w:hAnsiTheme="majorBidi" w:cstheme="majorBidi"/>
          <w:i/>
          <w:iCs/>
        </w:rPr>
        <w:t>Antioxidants (Basel, Switzerland)</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9</w:t>
      </w:r>
      <w:r w:rsidRPr="00975422">
        <w:rPr>
          <w:rFonts w:asciiTheme="majorBidi" w:eastAsia="Times New Roman" w:hAnsiTheme="majorBidi" w:cstheme="majorBidi"/>
        </w:rPr>
        <w:t>(11), 1092. https://doi.org/10.3390/antiox9111092</w:t>
      </w:r>
    </w:p>
    <w:p w14:paraId="14072A77"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Jomova</w:t>
      </w:r>
      <w:proofErr w:type="spellEnd"/>
      <w:r w:rsidRPr="00975422">
        <w:rPr>
          <w:rFonts w:asciiTheme="majorBidi" w:eastAsia="Times New Roman" w:hAnsiTheme="majorBidi" w:cstheme="majorBidi"/>
        </w:rPr>
        <w:t xml:space="preserve">, K., Alomar, S. Y., </w:t>
      </w:r>
      <w:proofErr w:type="spellStart"/>
      <w:r w:rsidRPr="00975422">
        <w:rPr>
          <w:rFonts w:asciiTheme="majorBidi" w:eastAsia="Times New Roman" w:hAnsiTheme="majorBidi" w:cstheme="majorBidi"/>
        </w:rPr>
        <w:t>Nepovimova</w:t>
      </w:r>
      <w:proofErr w:type="spellEnd"/>
      <w:r w:rsidRPr="00975422">
        <w:rPr>
          <w:rFonts w:asciiTheme="majorBidi" w:eastAsia="Times New Roman" w:hAnsiTheme="majorBidi" w:cstheme="majorBidi"/>
        </w:rPr>
        <w:t xml:space="preserve">, E., Kuca, K., &amp; Valko, M. (2025). Heavy metals: Toxicity and human health effects. </w:t>
      </w:r>
      <w:r w:rsidRPr="00975422">
        <w:rPr>
          <w:rFonts w:asciiTheme="majorBidi" w:eastAsia="Times New Roman" w:hAnsiTheme="majorBidi" w:cstheme="majorBidi"/>
          <w:i/>
          <w:iCs/>
        </w:rPr>
        <w:t>Archives of Toxicology, 99,</w:t>
      </w:r>
      <w:r w:rsidRPr="00975422">
        <w:rPr>
          <w:rFonts w:asciiTheme="majorBidi" w:eastAsia="Times New Roman" w:hAnsiTheme="majorBidi" w:cstheme="majorBidi"/>
        </w:rPr>
        <w:t xml:space="preserve"> 153–209. https://doi.org/10.1007/s00204-024-03747-y</w:t>
      </w:r>
    </w:p>
    <w:p w14:paraId="71F4D5DE" w14:textId="77777777" w:rsidR="00975422" w:rsidRPr="00975422" w:rsidRDefault="00975422" w:rsidP="00975422">
      <w:pPr>
        <w:rPr>
          <w:rFonts w:asciiTheme="majorBidi" w:hAnsiTheme="majorBidi" w:cstheme="majorBidi"/>
          <w:lang w:val="fr-FR"/>
        </w:rPr>
      </w:pPr>
      <w:r w:rsidRPr="00975422">
        <w:rPr>
          <w:rFonts w:asciiTheme="majorBidi" w:hAnsiTheme="majorBidi" w:cstheme="majorBidi"/>
        </w:rPr>
        <w:t xml:space="preserve">Khan, M. I., Ahmad, M. F., Ahmad, I., Ashfaq, F., Wahab, S., </w:t>
      </w:r>
      <w:proofErr w:type="spellStart"/>
      <w:r w:rsidRPr="00975422">
        <w:rPr>
          <w:rFonts w:asciiTheme="majorBidi" w:hAnsiTheme="majorBidi" w:cstheme="majorBidi"/>
        </w:rPr>
        <w:t>Alsayegh</w:t>
      </w:r>
      <w:proofErr w:type="spellEnd"/>
      <w:r w:rsidRPr="00975422">
        <w:rPr>
          <w:rFonts w:asciiTheme="majorBidi" w:hAnsiTheme="majorBidi" w:cstheme="majorBidi"/>
        </w:rPr>
        <w:t xml:space="preserve">, A. A., Kumar, S., &amp; Hakeem, K. R. (2022). Arsenic Exposure through Dietary Intake and Associated Health Hazards in the Middle East. </w:t>
      </w:r>
      <w:proofErr w:type="spellStart"/>
      <w:r w:rsidRPr="00975422">
        <w:rPr>
          <w:rFonts w:asciiTheme="majorBidi" w:hAnsiTheme="majorBidi" w:cstheme="majorBidi"/>
          <w:i/>
          <w:iCs/>
          <w:lang w:val="fr-FR"/>
        </w:rPr>
        <w:t>Nutrients</w:t>
      </w:r>
      <w:proofErr w:type="spellEnd"/>
      <w:r w:rsidRPr="00975422">
        <w:rPr>
          <w:rFonts w:asciiTheme="majorBidi" w:hAnsiTheme="majorBidi" w:cstheme="majorBidi"/>
          <w:lang w:val="fr-FR"/>
        </w:rPr>
        <w:t xml:space="preserve">, </w:t>
      </w:r>
      <w:r w:rsidRPr="00975422">
        <w:rPr>
          <w:rFonts w:asciiTheme="majorBidi" w:hAnsiTheme="majorBidi" w:cstheme="majorBidi"/>
          <w:i/>
          <w:iCs/>
          <w:lang w:val="fr-FR"/>
        </w:rPr>
        <w:t>14</w:t>
      </w:r>
      <w:r w:rsidRPr="00975422">
        <w:rPr>
          <w:rFonts w:asciiTheme="majorBidi" w:hAnsiTheme="majorBidi" w:cstheme="majorBidi"/>
          <w:lang w:val="fr-FR"/>
        </w:rPr>
        <w:t xml:space="preserve">(10), 2136. </w:t>
      </w:r>
      <w:hyperlink r:id="rId23" w:history="1">
        <w:r w:rsidRPr="00975422">
          <w:rPr>
            <w:rStyle w:val="Hyperlink"/>
            <w:rFonts w:asciiTheme="majorBidi" w:hAnsiTheme="majorBidi" w:cstheme="majorBidi"/>
            <w:lang w:val="fr-FR"/>
          </w:rPr>
          <w:t>https://doi.org/10.3390/nu14102136</w:t>
        </w:r>
      </w:hyperlink>
    </w:p>
    <w:p w14:paraId="58BDA02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Kim, J.-J., Kim, Y.-S., &amp; Kumar, V. (2019). Heavy metal toxicity: An update of chelating therapeutic strategies. </w:t>
      </w:r>
      <w:r w:rsidRPr="00975422">
        <w:rPr>
          <w:rFonts w:asciiTheme="majorBidi" w:eastAsia="Times New Roman" w:hAnsiTheme="majorBidi" w:cstheme="majorBidi"/>
          <w:i/>
          <w:iCs/>
        </w:rPr>
        <w:t>Journal of Trace Elements in Medicine and Biology, 54,</w:t>
      </w:r>
      <w:r w:rsidRPr="00975422">
        <w:rPr>
          <w:rFonts w:asciiTheme="majorBidi" w:eastAsia="Times New Roman" w:hAnsiTheme="majorBidi" w:cstheme="majorBidi"/>
        </w:rPr>
        <w:t xml:space="preserve"> 226–231. https://doi.org/10.1016/j.jtemb.2019.05.003</w:t>
      </w:r>
    </w:p>
    <w:p w14:paraId="7DB5F7C4" w14:textId="77777777" w:rsidR="00975422" w:rsidRPr="009D2D2E" w:rsidRDefault="00975422" w:rsidP="00564D6F">
      <w:pPr>
        <w:spacing w:before="100" w:beforeAutospacing="1" w:after="100" w:afterAutospacing="1" w:line="240" w:lineRule="auto"/>
        <w:rPr>
          <w:rFonts w:asciiTheme="majorBidi" w:eastAsia="Times New Roman" w:hAnsiTheme="majorBidi" w:cstheme="majorBidi"/>
          <w:lang w:val="fr-FR"/>
        </w:rPr>
      </w:pPr>
      <w:r w:rsidRPr="009D2D2E">
        <w:rPr>
          <w:rFonts w:asciiTheme="majorBidi" w:eastAsia="Times New Roman" w:hAnsiTheme="majorBidi" w:cstheme="majorBidi"/>
        </w:rPr>
        <w:t xml:space="preserve">Kim, S., Kim, M., Kang, M. C., Lee, H. H. L., Cho, C. H., Choi, I., Park, Y., &amp; Lee, S. H. (2021). Antioxidant Effects of Turmeric Leaf Extract against Hydrogen Peroxide-Induced Oxidative Stress In Vitro in Vero Cells and In Vivo in Zebrafish. </w:t>
      </w:r>
      <w:proofErr w:type="spellStart"/>
      <w:r w:rsidRPr="009D2D2E">
        <w:rPr>
          <w:rFonts w:asciiTheme="majorBidi" w:eastAsia="Times New Roman" w:hAnsiTheme="majorBidi" w:cstheme="majorBidi"/>
          <w:i/>
          <w:iCs/>
          <w:lang w:val="fr-FR"/>
        </w:rPr>
        <w:t>Antioxidants</w:t>
      </w:r>
      <w:proofErr w:type="spellEnd"/>
      <w:r w:rsidRPr="009D2D2E">
        <w:rPr>
          <w:rFonts w:asciiTheme="majorBidi" w:eastAsia="Times New Roman" w:hAnsiTheme="majorBidi" w:cstheme="majorBidi"/>
          <w:i/>
          <w:iCs/>
          <w:lang w:val="fr-FR"/>
        </w:rPr>
        <w:t xml:space="preserve"> (Basel, </w:t>
      </w:r>
      <w:proofErr w:type="spellStart"/>
      <w:r w:rsidRPr="009D2D2E">
        <w:rPr>
          <w:rFonts w:asciiTheme="majorBidi" w:eastAsia="Times New Roman" w:hAnsiTheme="majorBidi" w:cstheme="majorBidi"/>
          <w:i/>
          <w:iCs/>
          <w:lang w:val="fr-FR"/>
        </w:rPr>
        <w:t>Switzerland</w:t>
      </w:r>
      <w:proofErr w:type="spellEnd"/>
      <w:r w:rsidRPr="009D2D2E">
        <w:rPr>
          <w:rFonts w:asciiTheme="majorBidi" w:eastAsia="Times New Roman" w:hAnsiTheme="majorBidi" w:cstheme="majorBidi"/>
          <w:i/>
          <w:iCs/>
          <w:lang w:val="fr-FR"/>
        </w:rPr>
        <w:t>)</w:t>
      </w:r>
      <w:r w:rsidRPr="009D2D2E">
        <w:rPr>
          <w:rFonts w:asciiTheme="majorBidi" w:eastAsia="Times New Roman" w:hAnsiTheme="majorBidi" w:cstheme="majorBidi"/>
          <w:lang w:val="fr-FR"/>
        </w:rPr>
        <w:t xml:space="preserve">, </w:t>
      </w:r>
      <w:r w:rsidRPr="009D2D2E">
        <w:rPr>
          <w:rFonts w:asciiTheme="majorBidi" w:eastAsia="Times New Roman" w:hAnsiTheme="majorBidi" w:cstheme="majorBidi"/>
          <w:i/>
          <w:iCs/>
          <w:lang w:val="fr-FR"/>
        </w:rPr>
        <w:t>10</w:t>
      </w:r>
      <w:r w:rsidRPr="009D2D2E">
        <w:rPr>
          <w:rFonts w:asciiTheme="majorBidi" w:eastAsia="Times New Roman" w:hAnsiTheme="majorBidi" w:cstheme="majorBidi"/>
          <w:lang w:val="fr-FR"/>
        </w:rPr>
        <w:t>(1), 112. https://doi.org/10.3390/antiox10010112</w:t>
      </w:r>
    </w:p>
    <w:p w14:paraId="48EF273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proofErr w:type="spellStart"/>
      <w:r w:rsidRPr="00975422">
        <w:rPr>
          <w:rFonts w:asciiTheme="majorBidi" w:eastAsia="Times New Roman" w:hAnsiTheme="majorBidi" w:cstheme="majorBidi"/>
          <w:lang w:val="fr-FR"/>
        </w:rPr>
        <w:t>Kolawole</w:t>
      </w:r>
      <w:proofErr w:type="spellEnd"/>
      <w:r w:rsidRPr="00975422">
        <w:rPr>
          <w:rFonts w:asciiTheme="majorBidi" w:eastAsia="Times New Roman" w:hAnsiTheme="majorBidi" w:cstheme="majorBidi"/>
          <w:lang w:val="fr-FR"/>
        </w:rPr>
        <w:t xml:space="preserve">, T. A., </w:t>
      </w:r>
      <w:proofErr w:type="spellStart"/>
      <w:r w:rsidRPr="00975422">
        <w:rPr>
          <w:rFonts w:asciiTheme="majorBidi" w:eastAsia="Times New Roman" w:hAnsiTheme="majorBidi" w:cstheme="majorBidi"/>
          <w:lang w:val="fr-FR"/>
        </w:rPr>
        <w:t>Palacios</w:t>
      </w:r>
      <w:proofErr w:type="spellEnd"/>
      <w:r w:rsidRPr="00975422">
        <w:rPr>
          <w:rFonts w:asciiTheme="majorBidi" w:eastAsia="Times New Roman" w:hAnsiTheme="majorBidi" w:cstheme="majorBidi"/>
          <w:lang w:val="fr-FR"/>
        </w:rPr>
        <w:t xml:space="preserve">, J., </w:t>
      </w:r>
      <w:proofErr w:type="spellStart"/>
      <w:r w:rsidRPr="00975422">
        <w:rPr>
          <w:rFonts w:asciiTheme="majorBidi" w:eastAsia="Times New Roman" w:hAnsiTheme="majorBidi" w:cstheme="majorBidi"/>
          <w:lang w:val="fr-FR"/>
        </w:rPr>
        <w:t>Husaini</w:t>
      </w:r>
      <w:proofErr w:type="spellEnd"/>
      <w:r w:rsidRPr="00975422">
        <w:rPr>
          <w:rFonts w:asciiTheme="majorBidi" w:eastAsia="Times New Roman" w:hAnsiTheme="majorBidi" w:cstheme="majorBidi"/>
          <w:lang w:val="fr-FR"/>
        </w:rPr>
        <w:t xml:space="preserve">, D. C., &amp; </w:t>
      </w:r>
      <w:proofErr w:type="spellStart"/>
      <w:r w:rsidRPr="00975422">
        <w:rPr>
          <w:rFonts w:asciiTheme="majorBidi" w:eastAsia="Times New Roman" w:hAnsiTheme="majorBidi" w:cstheme="majorBidi"/>
          <w:lang w:val="fr-FR"/>
        </w:rPr>
        <w:t>Nwokocha</w:t>
      </w:r>
      <w:proofErr w:type="spellEnd"/>
      <w:r w:rsidRPr="00975422">
        <w:rPr>
          <w:rFonts w:asciiTheme="majorBidi" w:eastAsia="Times New Roman" w:hAnsiTheme="majorBidi" w:cstheme="majorBidi"/>
          <w:lang w:val="fr-FR"/>
        </w:rPr>
        <w:t xml:space="preserve">, C. R. (2025). </w:t>
      </w:r>
      <w:r w:rsidRPr="00975422">
        <w:rPr>
          <w:rFonts w:asciiTheme="majorBidi" w:eastAsia="Times New Roman" w:hAnsiTheme="majorBidi" w:cstheme="majorBidi"/>
        </w:rPr>
        <w:t xml:space="preserve">Inflammation and oxidative stress biomarkers in heavy metal toxicity: Bridging the gap to personalized clinical </w:t>
      </w:r>
      <w:r w:rsidRPr="00975422">
        <w:rPr>
          <w:rFonts w:asciiTheme="majorBidi" w:eastAsia="Times New Roman" w:hAnsiTheme="majorBidi" w:cstheme="majorBidi"/>
        </w:rPr>
        <w:lastRenderedPageBreak/>
        <w:t xml:space="preserve">interventions. </w:t>
      </w:r>
      <w:r w:rsidRPr="00975422">
        <w:rPr>
          <w:rFonts w:asciiTheme="majorBidi" w:eastAsia="Times New Roman" w:hAnsiTheme="majorBidi" w:cstheme="majorBidi"/>
          <w:i/>
          <w:iCs/>
        </w:rPr>
        <w:t>Journal of Applied Toxicology</w:t>
      </w:r>
      <w:r w:rsidRPr="00975422">
        <w:rPr>
          <w:rFonts w:asciiTheme="majorBidi" w:eastAsia="Times New Roman" w:hAnsiTheme="majorBidi" w:cstheme="majorBidi"/>
        </w:rPr>
        <w:t xml:space="preserve">. Advance online publication. </w:t>
      </w:r>
      <w:hyperlink r:id="rId24" w:tgtFrame="_new" w:history="1">
        <w:r w:rsidRPr="00975422">
          <w:rPr>
            <w:rStyle w:val="Hyperlink"/>
            <w:rFonts w:asciiTheme="majorBidi" w:eastAsia="Times New Roman" w:hAnsiTheme="majorBidi" w:cstheme="majorBidi"/>
          </w:rPr>
          <w:t>https://doi.org/10.1002/jat.4874</w:t>
        </w:r>
      </w:hyperlink>
    </w:p>
    <w:p w14:paraId="19C0637E" w14:textId="77777777" w:rsidR="00975422" w:rsidRPr="000738A0" w:rsidRDefault="00975422" w:rsidP="00975422">
      <w:pPr>
        <w:rPr>
          <w:rFonts w:asciiTheme="majorBidi" w:hAnsiTheme="majorBidi" w:cstheme="majorBidi"/>
        </w:rPr>
      </w:pPr>
      <w:proofErr w:type="spellStart"/>
      <w:r w:rsidRPr="000738A0">
        <w:rPr>
          <w:rFonts w:asciiTheme="majorBidi" w:hAnsiTheme="majorBidi" w:cstheme="majorBidi"/>
        </w:rPr>
        <w:t>Laoye</w:t>
      </w:r>
      <w:proofErr w:type="spellEnd"/>
      <w:r w:rsidRPr="000738A0">
        <w:rPr>
          <w:rFonts w:asciiTheme="majorBidi" w:hAnsiTheme="majorBidi" w:cstheme="majorBidi"/>
        </w:rPr>
        <w:t xml:space="preserve">, B., </w:t>
      </w:r>
      <w:proofErr w:type="spellStart"/>
      <w:r w:rsidRPr="000738A0">
        <w:rPr>
          <w:rFonts w:asciiTheme="majorBidi" w:hAnsiTheme="majorBidi" w:cstheme="majorBidi"/>
        </w:rPr>
        <w:t>Olagbemide</w:t>
      </w:r>
      <w:proofErr w:type="spellEnd"/>
      <w:r w:rsidRPr="000738A0">
        <w:rPr>
          <w:rFonts w:asciiTheme="majorBidi" w:hAnsiTheme="majorBidi" w:cstheme="majorBidi"/>
        </w:rPr>
        <w:t xml:space="preserve">, P., </w:t>
      </w:r>
      <w:proofErr w:type="spellStart"/>
      <w:r w:rsidRPr="000738A0">
        <w:rPr>
          <w:rFonts w:asciiTheme="majorBidi" w:hAnsiTheme="majorBidi" w:cstheme="majorBidi"/>
        </w:rPr>
        <w:t>Ogunnusi</w:t>
      </w:r>
      <w:proofErr w:type="spellEnd"/>
      <w:r w:rsidRPr="000738A0">
        <w:rPr>
          <w:rFonts w:asciiTheme="majorBidi" w:hAnsiTheme="majorBidi" w:cstheme="majorBidi"/>
        </w:rPr>
        <w:t xml:space="preserve">, T., &amp; Akpor, O. (2025). Heavy Metal Contamination: Sources, Health Impacts, and Sustainable Mitigation Strategies with Insights from Nigerian Case Studies. </w:t>
      </w:r>
      <w:r w:rsidRPr="000738A0">
        <w:rPr>
          <w:rFonts w:asciiTheme="majorBidi" w:hAnsiTheme="majorBidi" w:cstheme="majorBidi"/>
          <w:i/>
          <w:iCs/>
        </w:rPr>
        <w:t>F1000Research</w:t>
      </w:r>
      <w:r w:rsidRPr="000738A0">
        <w:rPr>
          <w:rFonts w:asciiTheme="majorBidi" w:hAnsiTheme="majorBidi" w:cstheme="majorBidi"/>
        </w:rPr>
        <w:t xml:space="preserve">, </w:t>
      </w:r>
      <w:r w:rsidRPr="000738A0">
        <w:rPr>
          <w:rFonts w:asciiTheme="majorBidi" w:hAnsiTheme="majorBidi" w:cstheme="majorBidi"/>
          <w:i/>
          <w:iCs/>
        </w:rPr>
        <w:t>14</w:t>
      </w:r>
      <w:r w:rsidRPr="000738A0">
        <w:rPr>
          <w:rFonts w:asciiTheme="majorBidi" w:hAnsiTheme="majorBidi" w:cstheme="majorBidi"/>
        </w:rPr>
        <w:t>, 134. https://doi.org/10.12688/f1000research.160148.4</w:t>
      </w:r>
    </w:p>
    <w:p w14:paraId="04B58B94" w14:textId="77777777" w:rsidR="00975422" w:rsidRPr="00975422" w:rsidRDefault="00975422" w:rsidP="00975422">
      <w:pPr>
        <w:rPr>
          <w:rFonts w:asciiTheme="majorBidi" w:hAnsiTheme="majorBidi" w:cstheme="majorBidi"/>
          <w:lang w:val="fr-FR"/>
        </w:rPr>
      </w:pPr>
      <w:r w:rsidRPr="00975422">
        <w:rPr>
          <w:rFonts w:asciiTheme="majorBidi" w:hAnsiTheme="majorBidi" w:cstheme="majorBidi"/>
        </w:rPr>
        <w:t xml:space="preserve">Latif, M., Nasim, I., Ahmad, M., Nawaz, R., Tahir, A., Irshad, M. A., Al-Mutairi, A. A., Irfan, A., Al-Hussain, S. A., &amp; Zaki, M. E. A. (2025). Human health risk assessment of drinking water using heavy metal pollution index: A GIS-based investigation in mega city. </w:t>
      </w:r>
      <w:proofErr w:type="spellStart"/>
      <w:r w:rsidRPr="00975422">
        <w:rPr>
          <w:rFonts w:asciiTheme="majorBidi" w:hAnsiTheme="majorBidi" w:cstheme="majorBidi"/>
          <w:i/>
          <w:iCs/>
          <w:lang w:val="fr-FR"/>
        </w:rPr>
        <w:t>Applied</w:t>
      </w:r>
      <w:proofErr w:type="spellEnd"/>
      <w:r w:rsidRPr="00975422">
        <w:rPr>
          <w:rFonts w:asciiTheme="majorBidi" w:hAnsiTheme="majorBidi" w:cstheme="majorBidi"/>
          <w:i/>
          <w:iCs/>
          <w:lang w:val="fr-FR"/>
        </w:rPr>
        <w:t xml:space="preserve"> Water Science, 15,</w:t>
      </w:r>
      <w:r w:rsidRPr="00975422">
        <w:rPr>
          <w:rFonts w:asciiTheme="majorBidi" w:hAnsiTheme="majorBidi" w:cstheme="majorBidi"/>
          <w:lang w:val="fr-FR"/>
        </w:rPr>
        <w:t xml:space="preserve"> Article 12. https://doi.org/10.1007/s13201-024-02256-x</w:t>
      </w:r>
    </w:p>
    <w:p w14:paraId="43B86616" w14:textId="77777777" w:rsidR="00975422" w:rsidRPr="00B52499" w:rsidRDefault="00975422" w:rsidP="00564D6F">
      <w:pPr>
        <w:spacing w:before="100" w:beforeAutospacing="1" w:after="100" w:afterAutospacing="1" w:line="240" w:lineRule="auto"/>
        <w:rPr>
          <w:rFonts w:asciiTheme="majorBidi" w:eastAsia="Times New Roman" w:hAnsiTheme="majorBidi" w:cstheme="majorBidi"/>
        </w:rPr>
      </w:pPr>
      <w:r w:rsidRPr="00B52499">
        <w:rPr>
          <w:rFonts w:asciiTheme="majorBidi" w:eastAsia="Times New Roman" w:hAnsiTheme="majorBidi" w:cstheme="majorBidi"/>
        </w:rPr>
        <w:t xml:space="preserve">Lelieveld, S., </w:t>
      </w:r>
      <w:proofErr w:type="spellStart"/>
      <w:r w:rsidRPr="00B52499">
        <w:rPr>
          <w:rFonts w:asciiTheme="majorBidi" w:eastAsia="Times New Roman" w:hAnsiTheme="majorBidi" w:cstheme="majorBidi"/>
        </w:rPr>
        <w:t>Lelieveld</w:t>
      </w:r>
      <w:proofErr w:type="spellEnd"/>
      <w:r w:rsidRPr="00B52499">
        <w:rPr>
          <w:rFonts w:asciiTheme="majorBidi" w:eastAsia="Times New Roman" w:hAnsiTheme="majorBidi" w:cstheme="majorBidi"/>
        </w:rPr>
        <w:t xml:space="preserve">, J., Mishra, A., Daiber, A., </w:t>
      </w:r>
      <w:proofErr w:type="spellStart"/>
      <w:r w:rsidRPr="00B52499">
        <w:rPr>
          <w:rFonts w:asciiTheme="majorBidi" w:eastAsia="Times New Roman" w:hAnsiTheme="majorBidi" w:cstheme="majorBidi"/>
        </w:rPr>
        <w:t>Pozzer</w:t>
      </w:r>
      <w:proofErr w:type="spellEnd"/>
      <w:r w:rsidRPr="00B52499">
        <w:rPr>
          <w:rFonts w:asciiTheme="majorBidi" w:eastAsia="Times New Roman" w:hAnsiTheme="majorBidi" w:cstheme="majorBidi"/>
        </w:rPr>
        <w:t xml:space="preserve">, A., </w:t>
      </w:r>
      <w:proofErr w:type="spellStart"/>
      <w:r w:rsidRPr="00B52499">
        <w:rPr>
          <w:rFonts w:asciiTheme="majorBidi" w:eastAsia="Times New Roman" w:hAnsiTheme="majorBidi" w:cstheme="majorBidi"/>
        </w:rPr>
        <w:t>Pöschl</w:t>
      </w:r>
      <w:proofErr w:type="spellEnd"/>
      <w:r w:rsidRPr="00B52499">
        <w:rPr>
          <w:rFonts w:asciiTheme="majorBidi" w:eastAsia="Times New Roman" w:hAnsiTheme="majorBidi" w:cstheme="majorBidi"/>
        </w:rPr>
        <w:t xml:space="preserve">, U., &amp; Berkemeier, T. (2024). Endogenous nitric oxide can enhance oxidative stress caused by air pollutants and explain higher susceptibility of individuals with inflammatory disorders. </w:t>
      </w:r>
      <w:r w:rsidRPr="00B52499">
        <w:rPr>
          <w:rFonts w:asciiTheme="majorBidi" w:eastAsia="Times New Roman" w:hAnsiTheme="majorBidi" w:cstheme="majorBidi"/>
          <w:i/>
          <w:iCs/>
        </w:rPr>
        <w:t>Environmental Science &amp; Technology, 58</w:t>
      </w:r>
      <w:r w:rsidRPr="00B52499">
        <w:rPr>
          <w:rFonts w:asciiTheme="majorBidi" w:eastAsia="Times New Roman" w:hAnsiTheme="majorBidi" w:cstheme="majorBidi"/>
        </w:rPr>
        <w:t xml:space="preserve">(4), 1823–1831. </w:t>
      </w:r>
      <w:hyperlink r:id="rId25" w:history="1">
        <w:r w:rsidRPr="00B52499">
          <w:rPr>
            <w:rStyle w:val="Hyperlink"/>
            <w:rFonts w:asciiTheme="majorBidi" w:eastAsia="Times New Roman" w:hAnsiTheme="majorBidi" w:cstheme="majorBidi"/>
          </w:rPr>
          <w:t>https://doi.org/10.1021/acs.est.3c07010</w:t>
        </w:r>
      </w:hyperlink>
    </w:p>
    <w:p w14:paraId="1431321C"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Liu, R., </w:t>
      </w:r>
      <w:proofErr w:type="spellStart"/>
      <w:r w:rsidRPr="00903406">
        <w:rPr>
          <w:rFonts w:asciiTheme="majorBidi" w:hAnsiTheme="majorBidi" w:cstheme="majorBidi"/>
        </w:rPr>
        <w:t>Edamatsu</w:t>
      </w:r>
      <w:proofErr w:type="spellEnd"/>
      <w:r w:rsidRPr="00903406">
        <w:rPr>
          <w:rFonts w:asciiTheme="majorBidi" w:hAnsiTheme="majorBidi" w:cstheme="majorBidi"/>
        </w:rPr>
        <w:t xml:space="preserve">, R., Kabuto, H., &amp; Mori, A. (1990). Antioxidant action of </w:t>
      </w:r>
      <w:proofErr w:type="spellStart"/>
      <w:r w:rsidRPr="00903406">
        <w:rPr>
          <w:rFonts w:asciiTheme="majorBidi" w:hAnsiTheme="majorBidi" w:cstheme="majorBidi"/>
        </w:rPr>
        <w:t>Guilingji</w:t>
      </w:r>
      <w:proofErr w:type="spellEnd"/>
      <w:r w:rsidRPr="00903406">
        <w:rPr>
          <w:rFonts w:asciiTheme="majorBidi" w:hAnsiTheme="majorBidi" w:cstheme="majorBidi"/>
        </w:rPr>
        <w:t xml:space="preserve"> in the brain of rats with FeCl3-induced epilepsy. </w:t>
      </w:r>
      <w:r w:rsidRPr="00903406">
        <w:rPr>
          <w:rFonts w:asciiTheme="majorBidi" w:hAnsiTheme="majorBidi" w:cstheme="majorBidi"/>
          <w:i/>
          <w:iCs/>
        </w:rPr>
        <w:t>Free Radical Biology and Medicine, 9</w:t>
      </w:r>
      <w:r w:rsidRPr="00903406">
        <w:rPr>
          <w:rFonts w:asciiTheme="majorBidi" w:hAnsiTheme="majorBidi" w:cstheme="majorBidi"/>
        </w:rPr>
        <w:t xml:space="preserve">(6), 451–454. </w:t>
      </w:r>
      <w:hyperlink r:id="rId26" w:history="1">
        <w:r w:rsidRPr="00903406">
          <w:rPr>
            <w:rStyle w:val="Hyperlink"/>
            <w:rFonts w:asciiTheme="majorBidi" w:hAnsiTheme="majorBidi" w:cstheme="majorBidi"/>
          </w:rPr>
          <w:t>https://doi.org/10.1016/0891-5849(90)90033-O</w:t>
        </w:r>
      </w:hyperlink>
    </w:p>
    <w:p w14:paraId="3E5C270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Lobo, V., Patil, A., Phatak, A., &amp; Chandra, N. (2010). Free radicals, antioxidants, and functional foods: Impact on human health. </w:t>
      </w:r>
      <w:r w:rsidRPr="00975422">
        <w:rPr>
          <w:rFonts w:asciiTheme="majorBidi" w:eastAsia="Times New Roman" w:hAnsiTheme="majorBidi" w:cstheme="majorBidi"/>
          <w:i/>
          <w:iCs/>
        </w:rPr>
        <w:t>Pharmacognosy Reviews</w:t>
      </w:r>
      <w:r w:rsidRPr="00975422">
        <w:rPr>
          <w:rFonts w:asciiTheme="majorBidi" w:eastAsia="Times New Roman" w:hAnsiTheme="majorBidi" w:cstheme="majorBidi"/>
        </w:rPr>
        <w:t>, 4(8), 118-126.</w:t>
      </w:r>
    </w:p>
    <w:p w14:paraId="7051FCA0" w14:textId="77777777" w:rsidR="00975422" w:rsidRPr="00BB3DD2" w:rsidRDefault="00975422" w:rsidP="00564D6F">
      <w:pPr>
        <w:spacing w:before="100" w:beforeAutospacing="1" w:after="100" w:afterAutospacing="1" w:line="240" w:lineRule="auto"/>
        <w:rPr>
          <w:rFonts w:asciiTheme="majorBidi" w:eastAsia="Times New Roman" w:hAnsiTheme="majorBidi" w:cstheme="majorBidi"/>
        </w:rPr>
      </w:pPr>
      <w:r w:rsidRPr="00BB3DD2">
        <w:rPr>
          <w:rFonts w:asciiTheme="majorBidi" w:eastAsia="Times New Roman" w:hAnsiTheme="majorBidi" w:cstheme="majorBidi"/>
        </w:rPr>
        <w:t>Mao, Q. Q., Xu, X. Y., Cao, S. Y., Gan, R. Y., Corke, H., Beta, T., &amp; Li, H. B. (2019). Bioactive Compounds and Bioactivities of Ginger (</w:t>
      </w:r>
      <w:r w:rsidRPr="00BB3DD2">
        <w:rPr>
          <w:rFonts w:asciiTheme="majorBidi" w:eastAsia="Times New Roman" w:hAnsiTheme="majorBidi" w:cstheme="majorBidi"/>
          <w:i/>
          <w:iCs/>
        </w:rPr>
        <w:t>Zingiber officinale</w:t>
      </w:r>
      <w:r w:rsidRPr="00BB3DD2">
        <w:rPr>
          <w:rFonts w:asciiTheme="majorBidi" w:eastAsia="Times New Roman" w:hAnsiTheme="majorBidi" w:cstheme="majorBidi"/>
        </w:rPr>
        <w:t xml:space="preserve"> Roscoe). </w:t>
      </w:r>
      <w:r w:rsidRPr="00BB3DD2">
        <w:rPr>
          <w:rFonts w:asciiTheme="majorBidi" w:eastAsia="Times New Roman" w:hAnsiTheme="majorBidi" w:cstheme="majorBidi"/>
          <w:i/>
          <w:iCs/>
        </w:rPr>
        <w:t>Foods (Basel, Switzerland)</w:t>
      </w:r>
      <w:r w:rsidRPr="00BB3DD2">
        <w:rPr>
          <w:rFonts w:asciiTheme="majorBidi" w:eastAsia="Times New Roman" w:hAnsiTheme="majorBidi" w:cstheme="majorBidi"/>
        </w:rPr>
        <w:t xml:space="preserve">, </w:t>
      </w:r>
      <w:r w:rsidRPr="00BB3DD2">
        <w:rPr>
          <w:rFonts w:asciiTheme="majorBidi" w:eastAsia="Times New Roman" w:hAnsiTheme="majorBidi" w:cstheme="majorBidi"/>
          <w:i/>
          <w:iCs/>
        </w:rPr>
        <w:t>8</w:t>
      </w:r>
      <w:r w:rsidRPr="00BB3DD2">
        <w:rPr>
          <w:rFonts w:asciiTheme="majorBidi" w:eastAsia="Times New Roman" w:hAnsiTheme="majorBidi" w:cstheme="majorBidi"/>
        </w:rPr>
        <w:t>(6), 185. https://doi.org/10.3390/foods8060185</w:t>
      </w:r>
    </w:p>
    <w:p w14:paraId="1455721A" w14:textId="77777777" w:rsidR="00975422" w:rsidRPr="00903406" w:rsidRDefault="00975422" w:rsidP="00564D6F">
      <w:pPr>
        <w:rPr>
          <w:rFonts w:asciiTheme="majorBidi" w:hAnsiTheme="majorBidi" w:cstheme="majorBidi"/>
        </w:rPr>
      </w:pPr>
      <w:r w:rsidRPr="00903406">
        <w:rPr>
          <w:rFonts w:asciiTheme="majorBidi" w:hAnsiTheme="majorBidi" w:cstheme="majorBidi"/>
        </w:rPr>
        <w:t>Marcocci, L., Maguire, J. J., Droy-</w:t>
      </w:r>
      <w:proofErr w:type="spellStart"/>
      <w:r w:rsidRPr="00903406">
        <w:rPr>
          <w:rFonts w:asciiTheme="majorBidi" w:hAnsiTheme="majorBidi" w:cstheme="majorBidi"/>
        </w:rPr>
        <w:t>Lefaix</w:t>
      </w:r>
      <w:proofErr w:type="spellEnd"/>
      <w:r w:rsidRPr="00903406">
        <w:rPr>
          <w:rFonts w:asciiTheme="majorBidi" w:hAnsiTheme="majorBidi" w:cstheme="majorBidi"/>
        </w:rPr>
        <w:t xml:space="preserve">, M. T., &amp; Packer, L. (1994). The nitric oxide–scavenging properties of Ginkgo biloba extract. </w:t>
      </w:r>
      <w:r w:rsidRPr="00903406">
        <w:rPr>
          <w:rFonts w:asciiTheme="majorBidi" w:hAnsiTheme="majorBidi" w:cstheme="majorBidi"/>
          <w:i/>
          <w:iCs/>
        </w:rPr>
        <w:t>Biochemical and Biophysical Research Communications, 201</w:t>
      </w:r>
      <w:r w:rsidRPr="00903406">
        <w:rPr>
          <w:rFonts w:asciiTheme="majorBidi" w:hAnsiTheme="majorBidi" w:cstheme="majorBidi"/>
        </w:rPr>
        <w:t xml:space="preserve">(2), 748–755. </w:t>
      </w:r>
      <w:hyperlink r:id="rId27" w:history="1">
        <w:r w:rsidRPr="00903406">
          <w:rPr>
            <w:rStyle w:val="Hyperlink"/>
            <w:rFonts w:asciiTheme="majorBidi" w:hAnsiTheme="majorBidi" w:cstheme="majorBidi"/>
          </w:rPr>
          <w:t>https://doi.org/10.1006/bbrc.1994.1754</w:t>
        </w:r>
      </w:hyperlink>
    </w:p>
    <w:p w14:paraId="2D06F92F" w14:textId="77777777" w:rsidR="00975422" w:rsidRPr="00975422" w:rsidRDefault="00975422" w:rsidP="00975422">
      <w:pPr>
        <w:rPr>
          <w:rFonts w:asciiTheme="majorBidi" w:hAnsiTheme="majorBidi" w:cstheme="majorBidi"/>
        </w:rPr>
      </w:pPr>
      <w:proofErr w:type="spellStart"/>
      <w:r w:rsidRPr="00975422">
        <w:rPr>
          <w:rFonts w:asciiTheme="majorBidi" w:hAnsiTheme="majorBidi" w:cstheme="majorBidi"/>
          <w:lang w:val="fr-FR"/>
        </w:rPr>
        <w:t>Medda</w:t>
      </w:r>
      <w:proofErr w:type="spellEnd"/>
      <w:r w:rsidRPr="00975422">
        <w:rPr>
          <w:rFonts w:asciiTheme="majorBidi" w:hAnsiTheme="majorBidi" w:cstheme="majorBidi"/>
          <w:lang w:val="fr-FR"/>
        </w:rPr>
        <w:t xml:space="preserve">, N., De, S. K., &amp; </w:t>
      </w:r>
      <w:proofErr w:type="spellStart"/>
      <w:r w:rsidRPr="00975422">
        <w:rPr>
          <w:rFonts w:asciiTheme="majorBidi" w:hAnsiTheme="majorBidi" w:cstheme="majorBidi"/>
          <w:lang w:val="fr-FR"/>
        </w:rPr>
        <w:t>Maiti</w:t>
      </w:r>
      <w:proofErr w:type="spellEnd"/>
      <w:r w:rsidRPr="00975422">
        <w:rPr>
          <w:rFonts w:asciiTheme="majorBidi" w:hAnsiTheme="majorBidi" w:cstheme="majorBidi"/>
          <w:lang w:val="fr-FR"/>
        </w:rPr>
        <w:t xml:space="preserve">, S. (2021). </w:t>
      </w:r>
      <w:r w:rsidRPr="00975422">
        <w:rPr>
          <w:rFonts w:asciiTheme="majorBidi" w:hAnsiTheme="majorBidi" w:cstheme="majorBidi"/>
        </w:rPr>
        <w:t xml:space="preserve">Different mechanisms of arsenic related signaling in cellular proliferation, apoptosis and neo-plastic transformation. </w:t>
      </w:r>
      <w:r w:rsidRPr="00975422">
        <w:rPr>
          <w:rFonts w:asciiTheme="majorBidi" w:hAnsiTheme="majorBidi" w:cstheme="majorBidi"/>
          <w:i/>
          <w:iCs/>
        </w:rPr>
        <w:t>Ecotoxicology and Environmental Safety, 208,</w:t>
      </w:r>
      <w:r w:rsidRPr="00975422">
        <w:rPr>
          <w:rFonts w:asciiTheme="majorBidi" w:hAnsiTheme="majorBidi" w:cstheme="majorBidi"/>
        </w:rPr>
        <w:t xml:space="preserve"> 111752. </w:t>
      </w:r>
      <w:hyperlink r:id="rId28" w:history="1">
        <w:r w:rsidRPr="00975422">
          <w:rPr>
            <w:rStyle w:val="Hyperlink"/>
            <w:rFonts w:asciiTheme="majorBidi" w:hAnsiTheme="majorBidi" w:cstheme="majorBidi"/>
          </w:rPr>
          <w:t>https://doi.org/10.1016/j.ecoenv.2020.111752</w:t>
        </w:r>
      </w:hyperlink>
    </w:p>
    <w:p w14:paraId="7F923A37" w14:textId="77777777" w:rsidR="00975422" w:rsidRPr="00C90E64" w:rsidRDefault="00975422" w:rsidP="00975422">
      <w:pPr>
        <w:rPr>
          <w:rFonts w:asciiTheme="majorBidi" w:hAnsiTheme="majorBidi" w:cstheme="majorBidi"/>
        </w:rPr>
      </w:pPr>
      <w:r w:rsidRPr="00C90E64">
        <w:rPr>
          <w:rFonts w:asciiTheme="majorBidi" w:hAnsiTheme="majorBidi" w:cstheme="majorBidi"/>
        </w:rPr>
        <w:t xml:space="preserve">Moldoveanu, C.-A., </w:t>
      </w:r>
      <w:proofErr w:type="spellStart"/>
      <w:r w:rsidRPr="00C90E64">
        <w:rPr>
          <w:rFonts w:asciiTheme="majorBidi" w:hAnsiTheme="majorBidi" w:cstheme="majorBidi"/>
        </w:rPr>
        <w:t>Tomoaia-Cotisel</w:t>
      </w:r>
      <w:proofErr w:type="spellEnd"/>
      <w:r w:rsidRPr="00C90E64">
        <w:rPr>
          <w:rFonts w:asciiTheme="majorBidi" w:hAnsiTheme="majorBidi" w:cstheme="majorBidi"/>
        </w:rPr>
        <w:t xml:space="preserve">, M., </w:t>
      </w:r>
      <w:proofErr w:type="spellStart"/>
      <w:r w:rsidRPr="00C90E64">
        <w:rPr>
          <w:rFonts w:asciiTheme="majorBidi" w:hAnsiTheme="majorBidi" w:cstheme="majorBidi"/>
        </w:rPr>
        <w:t>Sevastre-Berghian</w:t>
      </w:r>
      <w:proofErr w:type="spellEnd"/>
      <w:r w:rsidRPr="00C90E64">
        <w:rPr>
          <w:rFonts w:asciiTheme="majorBidi" w:hAnsiTheme="majorBidi" w:cstheme="majorBidi"/>
        </w:rPr>
        <w:t xml:space="preserve">, A., </w:t>
      </w:r>
      <w:proofErr w:type="spellStart"/>
      <w:r w:rsidRPr="00C90E64">
        <w:rPr>
          <w:rFonts w:asciiTheme="majorBidi" w:hAnsiTheme="majorBidi" w:cstheme="majorBidi"/>
        </w:rPr>
        <w:t>Tomoaia</w:t>
      </w:r>
      <w:proofErr w:type="spellEnd"/>
      <w:r w:rsidRPr="00C90E64">
        <w:rPr>
          <w:rFonts w:asciiTheme="majorBidi" w:hAnsiTheme="majorBidi" w:cstheme="majorBidi"/>
        </w:rPr>
        <w:t xml:space="preserve">, G., Mocanu, A., Pal-Racz, C., Toma, V.-A., Roman, I., </w:t>
      </w:r>
      <w:proofErr w:type="spellStart"/>
      <w:r w:rsidRPr="00C90E64">
        <w:rPr>
          <w:rFonts w:asciiTheme="majorBidi" w:hAnsiTheme="majorBidi" w:cstheme="majorBidi"/>
        </w:rPr>
        <w:t>Ujica</w:t>
      </w:r>
      <w:proofErr w:type="spellEnd"/>
      <w:r w:rsidRPr="00C90E64">
        <w:rPr>
          <w:rFonts w:asciiTheme="majorBidi" w:hAnsiTheme="majorBidi" w:cstheme="majorBidi"/>
        </w:rPr>
        <w:t xml:space="preserve">, M.-A., &amp; Pop, L.-C. (2025). A Review on Current Aspects of Curcumin-Based Effects in Relation to Neurodegenerative, Neuroinflammatory and Cerebrovascular Diseases. </w:t>
      </w:r>
      <w:r w:rsidRPr="00C90E64">
        <w:rPr>
          <w:rFonts w:asciiTheme="majorBidi" w:hAnsiTheme="majorBidi" w:cstheme="majorBidi"/>
          <w:i/>
          <w:iCs/>
        </w:rPr>
        <w:t>Molecules</w:t>
      </w:r>
      <w:r w:rsidRPr="00C90E64">
        <w:rPr>
          <w:rFonts w:asciiTheme="majorBidi" w:hAnsiTheme="majorBidi" w:cstheme="majorBidi"/>
        </w:rPr>
        <w:t xml:space="preserve">, </w:t>
      </w:r>
      <w:r w:rsidRPr="00C90E64">
        <w:rPr>
          <w:rFonts w:asciiTheme="majorBidi" w:hAnsiTheme="majorBidi" w:cstheme="majorBidi"/>
          <w:i/>
          <w:iCs/>
        </w:rPr>
        <w:t>30</w:t>
      </w:r>
      <w:r w:rsidRPr="00C90E64">
        <w:rPr>
          <w:rFonts w:asciiTheme="majorBidi" w:hAnsiTheme="majorBidi" w:cstheme="majorBidi"/>
        </w:rPr>
        <w:t xml:space="preserve">(1), 43. https://doi.org/10.3390/molecules30010043 </w:t>
      </w:r>
    </w:p>
    <w:p w14:paraId="27D04E63"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Nash, D., Kaur, R., Ward, V., Hester, F., Willis, S., &amp; Verghese, M. (2022). Selected health benefits of spices (garlic, ginger, turmeric). </w:t>
      </w:r>
      <w:r w:rsidRPr="00975422">
        <w:rPr>
          <w:rFonts w:asciiTheme="majorBidi" w:eastAsia="Times New Roman" w:hAnsiTheme="majorBidi" w:cstheme="majorBidi"/>
          <w:i/>
          <w:iCs/>
        </w:rPr>
        <w:t>Food Science and Nutrition Technology, 7</w:t>
      </w:r>
      <w:r w:rsidRPr="00975422">
        <w:rPr>
          <w:rFonts w:asciiTheme="majorBidi" w:eastAsia="Times New Roman" w:hAnsiTheme="majorBidi" w:cstheme="majorBidi"/>
        </w:rPr>
        <w:t>(1), Article 135. https://doi.org/10.24966/FSN-1076/100135</w:t>
      </w:r>
    </w:p>
    <w:p w14:paraId="7D5BEFEC"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31" w:name="_Hlk209260054"/>
      <w:r w:rsidRPr="00975422">
        <w:rPr>
          <w:rFonts w:asciiTheme="majorBidi" w:hAnsiTheme="majorBidi" w:cstheme="majorBidi"/>
        </w:rPr>
        <w:t>Njoku</w:t>
      </w:r>
      <w:bookmarkEnd w:id="31"/>
      <w:r w:rsidRPr="00975422">
        <w:rPr>
          <w:rFonts w:asciiTheme="majorBidi" w:hAnsiTheme="majorBidi" w:cstheme="majorBidi"/>
        </w:rPr>
        <w:t xml:space="preserve"> V.A.,  Nwaogu L.A., Ujowundu C.O, Ujowundu F.N, Onuoha C., Onwuliri V.A. (2023). Hepatoprotective potentials of Garlic and Vitamin A Supplements on Cadmium-Induced liver </w:t>
      </w:r>
      <w:r w:rsidRPr="00975422">
        <w:rPr>
          <w:rFonts w:asciiTheme="majorBidi" w:hAnsiTheme="majorBidi" w:cstheme="majorBidi"/>
        </w:rPr>
        <w:lastRenderedPageBreak/>
        <w:t>damage in Albino Wistar Rats. International Journal of Chemical and Biochemical Sciences. 23(3) (2023): 163-173</w:t>
      </w:r>
    </w:p>
    <w:p w14:paraId="4B102745" w14:textId="77777777" w:rsidR="00975422" w:rsidRPr="00975422" w:rsidRDefault="00975422" w:rsidP="00975422">
      <w:pPr>
        <w:rPr>
          <w:rFonts w:asciiTheme="majorBidi" w:hAnsiTheme="majorBidi" w:cstheme="majorBidi"/>
        </w:rPr>
      </w:pPr>
      <w:r w:rsidRPr="006653FA">
        <w:rPr>
          <w:rFonts w:asciiTheme="majorBidi" w:hAnsiTheme="majorBidi" w:cstheme="majorBidi"/>
        </w:rPr>
        <w:t xml:space="preserve">Nwokocha, C. R., </w:t>
      </w:r>
      <w:proofErr w:type="spellStart"/>
      <w:r w:rsidRPr="006653FA">
        <w:rPr>
          <w:rFonts w:asciiTheme="majorBidi" w:hAnsiTheme="majorBidi" w:cstheme="majorBidi"/>
        </w:rPr>
        <w:t>Owu</w:t>
      </w:r>
      <w:proofErr w:type="spellEnd"/>
      <w:r w:rsidRPr="006653FA">
        <w:rPr>
          <w:rFonts w:asciiTheme="majorBidi" w:hAnsiTheme="majorBidi" w:cstheme="majorBidi"/>
        </w:rPr>
        <w:t xml:space="preserve">, D. U., Nwokocha, M. I., </w:t>
      </w:r>
      <w:proofErr w:type="spellStart"/>
      <w:r w:rsidRPr="006653FA">
        <w:rPr>
          <w:rFonts w:asciiTheme="majorBidi" w:hAnsiTheme="majorBidi" w:cstheme="majorBidi"/>
        </w:rPr>
        <w:t>Ufearo</w:t>
      </w:r>
      <w:proofErr w:type="spellEnd"/>
      <w:r w:rsidRPr="006653FA">
        <w:rPr>
          <w:rFonts w:asciiTheme="majorBidi" w:hAnsiTheme="majorBidi" w:cstheme="majorBidi"/>
        </w:rPr>
        <w:t xml:space="preserve">, C. S., &amp; </w:t>
      </w:r>
      <w:proofErr w:type="spellStart"/>
      <w:r w:rsidRPr="006653FA">
        <w:rPr>
          <w:rFonts w:asciiTheme="majorBidi" w:hAnsiTheme="majorBidi" w:cstheme="majorBidi"/>
        </w:rPr>
        <w:t>Iwuala</w:t>
      </w:r>
      <w:proofErr w:type="spellEnd"/>
      <w:r w:rsidRPr="006653FA">
        <w:rPr>
          <w:rFonts w:asciiTheme="majorBidi" w:hAnsiTheme="majorBidi" w:cstheme="majorBidi"/>
        </w:rPr>
        <w:t xml:space="preserve">, M. O. (2012). Comparative study on the efficacy of Allium sativum (garlic) in reducing some heavy metal accumulation in liver of </w:t>
      </w:r>
      <w:proofErr w:type="spellStart"/>
      <w:r w:rsidRPr="006653FA">
        <w:rPr>
          <w:rFonts w:asciiTheme="majorBidi" w:hAnsiTheme="majorBidi" w:cstheme="majorBidi"/>
        </w:rPr>
        <w:t>wistar</w:t>
      </w:r>
      <w:proofErr w:type="spellEnd"/>
      <w:r w:rsidRPr="006653FA">
        <w:rPr>
          <w:rFonts w:asciiTheme="majorBidi" w:hAnsiTheme="majorBidi" w:cstheme="majorBidi"/>
        </w:rPr>
        <w:t xml:space="preserve"> rats. </w:t>
      </w:r>
      <w:r w:rsidRPr="006653FA">
        <w:rPr>
          <w:rFonts w:asciiTheme="majorBidi" w:hAnsiTheme="majorBidi" w:cstheme="majorBidi"/>
          <w:i/>
          <w:iCs/>
        </w:rPr>
        <w:t>Food and chemical toxicology : an international journal published for the British Industrial Biological Research Association</w:t>
      </w:r>
      <w:r w:rsidRPr="006653FA">
        <w:rPr>
          <w:rFonts w:asciiTheme="majorBidi" w:hAnsiTheme="majorBidi" w:cstheme="majorBidi"/>
        </w:rPr>
        <w:t xml:space="preserve">, </w:t>
      </w:r>
      <w:r w:rsidRPr="006653FA">
        <w:rPr>
          <w:rFonts w:asciiTheme="majorBidi" w:hAnsiTheme="majorBidi" w:cstheme="majorBidi"/>
          <w:i/>
          <w:iCs/>
        </w:rPr>
        <w:t>50</w:t>
      </w:r>
      <w:r w:rsidRPr="006653FA">
        <w:rPr>
          <w:rFonts w:asciiTheme="majorBidi" w:hAnsiTheme="majorBidi" w:cstheme="majorBidi"/>
        </w:rPr>
        <w:t xml:space="preserve">(2), 222–226. </w:t>
      </w:r>
      <w:hyperlink r:id="rId29" w:history="1">
        <w:r w:rsidRPr="006653FA">
          <w:rPr>
            <w:rStyle w:val="Hyperlink"/>
            <w:rFonts w:asciiTheme="majorBidi" w:hAnsiTheme="majorBidi" w:cstheme="majorBidi"/>
          </w:rPr>
          <w:t>https://doi.org/10.1016/j.fct.2011.11.003</w:t>
        </w:r>
      </w:hyperlink>
    </w:p>
    <w:p w14:paraId="45BF69B1"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rPr>
        <w:t>Ohkawa</w:t>
      </w:r>
      <w:proofErr w:type="spellEnd"/>
      <w:r w:rsidRPr="00903406">
        <w:rPr>
          <w:rFonts w:asciiTheme="majorBidi" w:hAnsiTheme="majorBidi" w:cstheme="majorBidi"/>
        </w:rPr>
        <w:t xml:space="preserve">, H., </w:t>
      </w:r>
      <w:proofErr w:type="spellStart"/>
      <w:r w:rsidRPr="00903406">
        <w:rPr>
          <w:rFonts w:asciiTheme="majorBidi" w:hAnsiTheme="majorBidi" w:cstheme="majorBidi"/>
        </w:rPr>
        <w:t>Ohishi</w:t>
      </w:r>
      <w:proofErr w:type="spellEnd"/>
      <w:r w:rsidRPr="00903406">
        <w:rPr>
          <w:rFonts w:asciiTheme="majorBidi" w:hAnsiTheme="majorBidi" w:cstheme="majorBidi"/>
        </w:rPr>
        <w:t xml:space="preserve">, N., &amp; Yagi, K. (1979). Assay of lipid peroxides in animal tissues by </w:t>
      </w:r>
      <w:proofErr w:type="spellStart"/>
      <w:r w:rsidRPr="00903406">
        <w:rPr>
          <w:rFonts w:asciiTheme="majorBidi" w:hAnsiTheme="majorBidi" w:cstheme="majorBidi"/>
        </w:rPr>
        <w:t>thiobarbituric</w:t>
      </w:r>
      <w:proofErr w:type="spellEnd"/>
      <w:r w:rsidRPr="00903406">
        <w:rPr>
          <w:rFonts w:asciiTheme="majorBidi" w:hAnsiTheme="majorBidi" w:cstheme="majorBidi"/>
        </w:rPr>
        <w:t xml:space="preserve"> acid reaction. </w:t>
      </w:r>
      <w:r w:rsidRPr="00903406">
        <w:rPr>
          <w:rFonts w:asciiTheme="majorBidi" w:hAnsiTheme="majorBidi" w:cstheme="majorBidi"/>
          <w:i/>
          <w:iCs/>
        </w:rPr>
        <w:t>Analytical Biochemistry, 95</w:t>
      </w:r>
      <w:r w:rsidRPr="00903406">
        <w:rPr>
          <w:rFonts w:asciiTheme="majorBidi" w:hAnsiTheme="majorBidi" w:cstheme="majorBidi"/>
        </w:rPr>
        <w:t xml:space="preserve">(2), 351–358. </w:t>
      </w:r>
      <w:hyperlink r:id="rId30" w:history="1">
        <w:r w:rsidRPr="00903406">
          <w:rPr>
            <w:rStyle w:val="Hyperlink"/>
            <w:rFonts w:asciiTheme="majorBidi" w:hAnsiTheme="majorBidi" w:cstheme="majorBidi"/>
          </w:rPr>
          <w:t>https://doi.org/10.1016/0003-2697(79)90738-3</w:t>
        </w:r>
      </w:hyperlink>
    </w:p>
    <w:p w14:paraId="5B468D28"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Oyaizu, M. (1986). Studies on products of browning reaction prepared from glucosamine. </w:t>
      </w:r>
      <w:r w:rsidRPr="00903406">
        <w:rPr>
          <w:rFonts w:asciiTheme="majorBidi" w:hAnsiTheme="majorBidi" w:cstheme="majorBidi"/>
          <w:i/>
          <w:iCs/>
        </w:rPr>
        <w:t>Japanese Journal of Nutrition and Dietetics, 44</w:t>
      </w:r>
      <w:r w:rsidRPr="00903406">
        <w:rPr>
          <w:rFonts w:asciiTheme="majorBidi" w:hAnsiTheme="majorBidi" w:cstheme="majorBidi"/>
        </w:rPr>
        <w:t xml:space="preserve">(6), 307–315. </w:t>
      </w:r>
      <w:hyperlink r:id="rId31" w:history="1">
        <w:r w:rsidRPr="00903406">
          <w:rPr>
            <w:rStyle w:val="Hyperlink"/>
            <w:rFonts w:asciiTheme="majorBidi" w:hAnsiTheme="majorBidi" w:cstheme="majorBidi"/>
          </w:rPr>
          <w:t>https://doi.org/10.5264/eiyogakuzashi.44.307</w:t>
        </w:r>
      </w:hyperlink>
    </w:p>
    <w:p w14:paraId="3CA219EA"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Palma-Lara, I., Martínez-Castillo, M., Quintana-Pérez, J. C., Arellano-Mendoza, M. G., Tamay-Cach, F., Valenzuela-Limón, O. L., García-Montalvo, E. A., &amp; Hernández-Zavala, A. (2020). Arsenic exposure: A public health problem leading to several cancers. </w:t>
      </w:r>
      <w:r w:rsidRPr="00975422">
        <w:rPr>
          <w:rFonts w:asciiTheme="majorBidi" w:hAnsiTheme="majorBidi" w:cstheme="majorBidi"/>
          <w:i/>
          <w:iCs/>
        </w:rPr>
        <w:t>Regulatory Toxicology and Pharmacology, 110,</w:t>
      </w:r>
      <w:r w:rsidRPr="00975422">
        <w:rPr>
          <w:rFonts w:asciiTheme="majorBidi" w:hAnsiTheme="majorBidi" w:cstheme="majorBidi"/>
        </w:rPr>
        <w:t xml:space="preserve"> 104539. </w:t>
      </w:r>
      <w:hyperlink r:id="rId32" w:history="1">
        <w:r w:rsidRPr="00975422">
          <w:rPr>
            <w:rStyle w:val="Hyperlink"/>
            <w:rFonts w:asciiTheme="majorBidi" w:hAnsiTheme="majorBidi" w:cstheme="majorBidi"/>
          </w:rPr>
          <w:t>https://doi.org/10.1016/j.yrtph.2019.104539</w:t>
        </w:r>
      </w:hyperlink>
    </w:p>
    <w:p w14:paraId="31C8EC7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Pham-Huy, L. A., He, H., &amp; Pham-Huy, C. (2008). Free radicals, antioxidants in disease and health. </w:t>
      </w:r>
      <w:r w:rsidRPr="00975422">
        <w:rPr>
          <w:rFonts w:asciiTheme="majorBidi" w:hAnsiTheme="majorBidi" w:cstheme="majorBidi"/>
          <w:i/>
          <w:iCs/>
        </w:rPr>
        <w:t>International journal of biomedical science : IJBS</w:t>
      </w:r>
      <w:r w:rsidRPr="00975422">
        <w:rPr>
          <w:rFonts w:asciiTheme="majorBidi" w:hAnsiTheme="majorBidi" w:cstheme="majorBidi"/>
        </w:rPr>
        <w:t xml:space="preserve">, </w:t>
      </w:r>
      <w:r w:rsidRPr="00975422">
        <w:rPr>
          <w:rFonts w:asciiTheme="majorBidi" w:hAnsiTheme="majorBidi" w:cstheme="majorBidi"/>
          <w:i/>
          <w:iCs/>
        </w:rPr>
        <w:t>4</w:t>
      </w:r>
      <w:r w:rsidRPr="00975422">
        <w:rPr>
          <w:rFonts w:asciiTheme="majorBidi" w:hAnsiTheme="majorBidi" w:cstheme="majorBidi"/>
        </w:rPr>
        <w:t>(2), 89–96.</w:t>
      </w:r>
    </w:p>
    <w:p w14:paraId="04237B01"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Prieto, P., Pineda, M., &amp; Aguilar, M. (1999). Spectrophotometric quantitation of antioxidant capacity through the formation of a </w:t>
      </w:r>
      <w:proofErr w:type="spellStart"/>
      <w:r w:rsidRPr="00903406">
        <w:rPr>
          <w:rFonts w:asciiTheme="majorBidi" w:hAnsiTheme="majorBidi" w:cstheme="majorBidi"/>
        </w:rPr>
        <w:t>phosphomolybdenum</w:t>
      </w:r>
      <w:proofErr w:type="spellEnd"/>
      <w:r w:rsidRPr="00903406">
        <w:rPr>
          <w:rFonts w:asciiTheme="majorBidi" w:hAnsiTheme="majorBidi" w:cstheme="majorBidi"/>
        </w:rPr>
        <w:t xml:space="preserve"> complex: Specific application to the determination of vitamin E. </w:t>
      </w:r>
      <w:r w:rsidRPr="00903406">
        <w:rPr>
          <w:rFonts w:asciiTheme="majorBidi" w:hAnsiTheme="majorBidi" w:cstheme="majorBidi"/>
          <w:i/>
          <w:iCs/>
        </w:rPr>
        <w:t>Analytical Biochemistry, 269</w:t>
      </w:r>
      <w:r w:rsidRPr="00903406">
        <w:rPr>
          <w:rFonts w:asciiTheme="majorBidi" w:hAnsiTheme="majorBidi" w:cstheme="majorBidi"/>
        </w:rPr>
        <w:t xml:space="preserve">(2), 337–341. </w:t>
      </w:r>
      <w:hyperlink r:id="rId33" w:history="1">
        <w:r w:rsidRPr="00903406">
          <w:rPr>
            <w:rStyle w:val="Hyperlink"/>
            <w:rFonts w:asciiTheme="majorBidi" w:hAnsiTheme="majorBidi" w:cstheme="majorBidi"/>
          </w:rPr>
          <w:t>https://doi.org/10.1006/abio.1999.4019</w:t>
        </w:r>
      </w:hyperlink>
    </w:p>
    <w:p w14:paraId="60328192" w14:textId="77777777" w:rsidR="00975422" w:rsidRPr="000738A0" w:rsidRDefault="00975422" w:rsidP="00975422">
      <w:pPr>
        <w:rPr>
          <w:rFonts w:asciiTheme="majorBidi" w:hAnsiTheme="majorBidi" w:cstheme="majorBidi"/>
        </w:rPr>
      </w:pPr>
      <w:proofErr w:type="spellStart"/>
      <w:r w:rsidRPr="000738A0">
        <w:rPr>
          <w:rFonts w:asciiTheme="majorBidi" w:hAnsiTheme="majorBidi" w:cstheme="majorBidi"/>
          <w:lang w:val="fr-FR"/>
        </w:rPr>
        <w:t>Ramírez</w:t>
      </w:r>
      <w:proofErr w:type="spellEnd"/>
      <w:r w:rsidRPr="000738A0">
        <w:rPr>
          <w:rFonts w:asciiTheme="majorBidi" w:hAnsiTheme="majorBidi" w:cstheme="majorBidi"/>
          <w:lang w:val="fr-FR"/>
        </w:rPr>
        <w:t xml:space="preserve"> Ortega, D., González </w:t>
      </w:r>
      <w:proofErr w:type="spellStart"/>
      <w:r w:rsidRPr="000738A0">
        <w:rPr>
          <w:rFonts w:asciiTheme="majorBidi" w:hAnsiTheme="majorBidi" w:cstheme="majorBidi"/>
          <w:lang w:val="fr-FR"/>
        </w:rPr>
        <w:t>Esquivel</w:t>
      </w:r>
      <w:proofErr w:type="spellEnd"/>
      <w:r w:rsidRPr="000738A0">
        <w:rPr>
          <w:rFonts w:asciiTheme="majorBidi" w:hAnsiTheme="majorBidi" w:cstheme="majorBidi"/>
          <w:lang w:val="fr-FR"/>
        </w:rPr>
        <w:t xml:space="preserve">, D. F., Blanco Ayala, T., </w:t>
      </w:r>
      <w:proofErr w:type="spellStart"/>
      <w:r w:rsidRPr="000738A0">
        <w:rPr>
          <w:rFonts w:asciiTheme="majorBidi" w:hAnsiTheme="majorBidi" w:cstheme="majorBidi"/>
          <w:lang w:val="fr-FR"/>
        </w:rPr>
        <w:t>Pineda</w:t>
      </w:r>
      <w:proofErr w:type="spellEnd"/>
      <w:r w:rsidRPr="000738A0">
        <w:rPr>
          <w:rFonts w:asciiTheme="majorBidi" w:hAnsiTheme="majorBidi" w:cstheme="majorBidi"/>
          <w:lang w:val="fr-FR"/>
        </w:rPr>
        <w:t xml:space="preserve">, B., Gómez </w:t>
      </w:r>
      <w:proofErr w:type="spellStart"/>
      <w:r w:rsidRPr="000738A0">
        <w:rPr>
          <w:rFonts w:asciiTheme="majorBidi" w:hAnsiTheme="majorBidi" w:cstheme="majorBidi"/>
          <w:lang w:val="fr-FR"/>
        </w:rPr>
        <w:t>Manzo</w:t>
      </w:r>
      <w:proofErr w:type="spellEnd"/>
      <w:r w:rsidRPr="000738A0">
        <w:rPr>
          <w:rFonts w:asciiTheme="majorBidi" w:hAnsiTheme="majorBidi" w:cstheme="majorBidi"/>
          <w:lang w:val="fr-FR"/>
        </w:rPr>
        <w:t xml:space="preserve">, S., </w:t>
      </w:r>
      <w:proofErr w:type="spellStart"/>
      <w:r w:rsidRPr="000738A0">
        <w:rPr>
          <w:rFonts w:asciiTheme="majorBidi" w:hAnsiTheme="majorBidi" w:cstheme="majorBidi"/>
          <w:lang w:val="fr-FR"/>
        </w:rPr>
        <w:t>Marcial</w:t>
      </w:r>
      <w:proofErr w:type="spellEnd"/>
      <w:r w:rsidRPr="000738A0">
        <w:rPr>
          <w:rFonts w:asciiTheme="majorBidi" w:hAnsiTheme="majorBidi" w:cstheme="majorBidi"/>
          <w:lang w:val="fr-FR"/>
        </w:rPr>
        <w:t xml:space="preserve"> </w:t>
      </w:r>
      <w:proofErr w:type="spellStart"/>
      <w:r w:rsidRPr="000738A0">
        <w:rPr>
          <w:rFonts w:asciiTheme="majorBidi" w:hAnsiTheme="majorBidi" w:cstheme="majorBidi"/>
          <w:lang w:val="fr-FR"/>
        </w:rPr>
        <w:t>Quino</w:t>
      </w:r>
      <w:proofErr w:type="spellEnd"/>
      <w:r w:rsidRPr="000738A0">
        <w:rPr>
          <w:rFonts w:asciiTheme="majorBidi" w:hAnsiTheme="majorBidi" w:cstheme="majorBidi"/>
          <w:lang w:val="fr-FR"/>
        </w:rPr>
        <w:t xml:space="preserve">, J., Carrillo Mora, P., &amp; Pérez de la Cruz, V. (2021). </w:t>
      </w:r>
      <w:r w:rsidRPr="000738A0">
        <w:rPr>
          <w:rFonts w:asciiTheme="majorBidi" w:hAnsiTheme="majorBidi" w:cstheme="majorBidi"/>
        </w:rPr>
        <w:t xml:space="preserve">Cognitive Impairment Induced by Lead Exposure during Lifespan: Mechanisms of Lead Neurotoxicity. </w:t>
      </w:r>
      <w:r w:rsidRPr="000738A0">
        <w:rPr>
          <w:rFonts w:asciiTheme="majorBidi" w:hAnsiTheme="majorBidi" w:cstheme="majorBidi"/>
          <w:i/>
          <w:iCs/>
        </w:rPr>
        <w:t>Toxics</w:t>
      </w:r>
      <w:r w:rsidRPr="000738A0">
        <w:rPr>
          <w:rFonts w:asciiTheme="majorBidi" w:hAnsiTheme="majorBidi" w:cstheme="majorBidi"/>
        </w:rPr>
        <w:t xml:space="preserve">, </w:t>
      </w:r>
      <w:r w:rsidRPr="000738A0">
        <w:rPr>
          <w:rFonts w:asciiTheme="majorBidi" w:hAnsiTheme="majorBidi" w:cstheme="majorBidi"/>
          <w:i/>
          <w:iCs/>
        </w:rPr>
        <w:t>9</w:t>
      </w:r>
      <w:r w:rsidRPr="000738A0">
        <w:rPr>
          <w:rFonts w:asciiTheme="majorBidi" w:hAnsiTheme="majorBidi" w:cstheme="majorBidi"/>
        </w:rPr>
        <w:t>(2), 23. https://doi.org/10.3390/toxics9020023</w:t>
      </w:r>
    </w:p>
    <w:p w14:paraId="0CA19E53" w14:textId="77777777" w:rsidR="00975422" w:rsidRPr="00975422" w:rsidRDefault="00975422" w:rsidP="00975422">
      <w:pPr>
        <w:rPr>
          <w:rFonts w:asciiTheme="majorBidi" w:hAnsiTheme="majorBidi" w:cstheme="majorBidi"/>
        </w:rPr>
      </w:pPr>
      <w:proofErr w:type="spellStart"/>
      <w:r w:rsidRPr="00975422">
        <w:rPr>
          <w:rFonts w:asciiTheme="majorBidi" w:hAnsiTheme="majorBidi" w:cstheme="majorBidi"/>
          <w:lang w:val="fr-FR"/>
        </w:rPr>
        <w:t>Rasin</w:t>
      </w:r>
      <w:proofErr w:type="spellEnd"/>
      <w:r w:rsidRPr="00975422">
        <w:rPr>
          <w:rFonts w:asciiTheme="majorBidi" w:hAnsiTheme="majorBidi" w:cstheme="majorBidi"/>
          <w:lang w:val="fr-FR"/>
        </w:rPr>
        <w:t xml:space="preserve">, P., </w:t>
      </w:r>
      <w:proofErr w:type="spellStart"/>
      <w:r w:rsidRPr="00975422">
        <w:rPr>
          <w:rFonts w:asciiTheme="majorBidi" w:hAnsiTheme="majorBidi" w:cstheme="majorBidi"/>
          <w:lang w:val="fr-FR"/>
        </w:rPr>
        <w:t>Ashwathi</w:t>
      </w:r>
      <w:proofErr w:type="spellEnd"/>
      <w:r w:rsidRPr="00975422">
        <w:rPr>
          <w:rFonts w:asciiTheme="majorBidi" w:hAnsiTheme="majorBidi" w:cstheme="majorBidi"/>
          <w:lang w:val="fr-FR"/>
        </w:rPr>
        <w:t xml:space="preserve">, A. V., Basheer, S. M., </w:t>
      </w:r>
      <w:proofErr w:type="spellStart"/>
      <w:r w:rsidRPr="00975422">
        <w:rPr>
          <w:rFonts w:asciiTheme="majorBidi" w:hAnsiTheme="majorBidi" w:cstheme="majorBidi"/>
          <w:lang w:val="fr-FR"/>
        </w:rPr>
        <w:t>Santibanez</w:t>
      </w:r>
      <w:proofErr w:type="spellEnd"/>
      <w:r w:rsidRPr="00975422">
        <w:rPr>
          <w:rFonts w:asciiTheme="majorBidi" w:hAnsiTheme="majorBidi" w:cstheme="majorBidi"/>
          <w:lang w:val="fr-FR"/>
        </w:rPr>
        <w:t xml:space="preserve">, J. F., Garrote, C. A., </w:t>
      </w:r>
      <w:proofErr w:type="spellStart"/>
      <w:r w:rsidRPr="00975422">
        <w:rPr>
          <w:rFonts w:asciiTheme="majorBidi" w:hAnsiTheme="majorBidi" w:cstheme="majorBidi"/>
          <w:lang w:val="fr-FR"/>
        </w:rPr>
        <w:t>Arulraj</w:t>
      </w:r>
      <w:proofErr w:type="spellEnd"/>
      <w:r w:rsidRPr="00975422">
        <w:rPr>
          <w:rFonts w:asciiTheme="majorBidi" w:hAnsiTheme="majorBidi" w:cstheme="majorBidi"/>
          <w:lang w:val="fr-FR"/>
        </w:rPr>
        <w:t xml:space="preserve">, A., &amp; </w:t>
      </w:r>
      <w:proofErr w:type="spellStart"/>
      <w:r w:rsidRPr="00975422">
        <w:rPr>
          <w:rFonts w:asciiTheme="majorBidi" w:hAnsiTheme="majorBidi" w:cstheme="majorBidi"/>
          <w:lang w:val="fr-FR"/>
        </w:rPr>
        <w:t>Mangalaraja</w:t>
      </w:r>
      <w:proofErr w:type="spellEnd"/>
      <w:r w:rsidRPr="00975422">
        <w:rPr>
          <w:rFonts w:asciiTheme="majorBidi" w:hAnsiTheme="majorBidi" w:cstheme="majorBidi"/>
          <w:lang w:val="fr-FR"/>
        </w:rPr>
        <w:t xml:space="preserve">, R. V. (2025). </w:t>
      </w:r>
      <w:r w:rsidRPr="00975422">
        <w:rPr>
          <w:rFonts w:asciiTheme="majorBidi" w:hAnsiTheme="majorBidi" w:cstheme="majorBidi"/>
        </w:rPr>
        <w:t xml:space="preserve">Exposure to cadmium and its impacts on human health: A short review. </w:t>
      </w:r>
      <w:r w:rsidRPr="00975422">
        <w:rPr>
          <w:rFonts w:asciiTheme="majorBidi" w:hAnsiTheme="majorBidi" w:cstheme="majorBidi"/>
          <w:i/>
          <w:iCs/>
        </w:rPr>
        <w:t>Journal of Hazardous Materials Advances, 17,</w:t>
      </w:r>
      <w:r w:rsidRPr="00975422">
        <w:rPr>
          <w:rFonts w:asciiTheme="majorBidi" w:hAnsiTheme="majorBidi" w:cstheme="majorBidi"/>
        </w:rPr>
        <w:t xml:space="preserve"> 100608. </w:t>
      </w:r>
      <w:hyperlink r:id="rId34" w:history="1">
        <w:r w:rsidRPr="00975422">
          <w:rPr>
            <w:rStyle w:val="Hyperlink"/>
            <w:rFonts w:asciiTheme="majorBidi" w:hAnsiTheme="majorBidi" w:cstheme="majorBidi"/>
          </w:rPr>
          <w:t>https://doi.org/10.1016/j.hazadv.2025.100608</w:t>
        </w:r>
      </w:hyperlink>
    </w:p>
    <w:p w14:paraId="2F43994A" w14:textId="77777777" w:rsidR="00975422" w:rsidRPr="006653FA" w:rsidRDefault="00975422" w:rsidP="00975422">
      <w:pPr>
        <w:rPr>
          <w:rFonts w:asciiTheme="majorBidi" w:hAnsiTheme="majorBidi" w:cstheme="majorBidi"/>
        </w:rPr>
      </w:pPr>
      <w:r w:rsidRPr="00975422">
        <w:rPr>
          <w:rFonts w:asciiTheme="majorBidi" w:hAnsiTheme="majorBidi" w:cstheme="majorBidi"/>
        </w:rPr>
        <w:t xml:space="preserve">Rostamkhani, H., </w:t>
      </w:r>
      <w:proofErr w:type="spellStart"/>
      <w:r w:rsidRPr="00975422">
        <w:rPr>
          <w:rFonts w:asciiTheme="majorBidi" w:hAnsiTheme="majorBidi" w:cstheme="majorBidi"/>
        </w:rPr>
        <w:t>Faghfouri</w:t>
      </w:r>
      <w:proofErr w:type="spellEnd"/>
      <w:r w:rsidRPr="00975422">
        <w:rPr>
          <w:rFonts w:asciiTheme="majorBidi" w:hAnsiTheme="majorBidi" w:cstheme="majorBidi"/>
        </w:rPr>
        <w:t xml:space="preserve">, A. H., Veisi, P., Rahmani, A., </w:t>
      </w:r>
      <w:proofErr w:type="spellStart"/>
      <w:r w:rsidRPr="00975422">
        <w:rPr>
          <w:rFonts w:asciiTheme="majorBidi" w:hAnsiTheme="majorBidi" w:cstheme="majorBidi"/>
        </w:rPr>
        <w:t>Noshadi</w:t>
      </w:r>
      <w:proofErr w:type="spellEnd"/>
      <w:r w:rsidRPr="00975422">
        <w:rPr>
          <w:rFonts w:asciiTheme="majorBidi" w:hAnsiTheme="majorBidi" w:cstheme="majorBidi"/>
        </w:rPr>
        <w:t>, N., &amp; Ghoreishi, Z. (2022). The protective antioxidant activity of ginger extracts (</w:t>
      </w:r>
      <w:r w:rsidRPr="00975422">
        <w:rPr>
          <w:rFonts w:asciiTheme="majorBidi" w:hAnsiTheme="majorBidi" w:cstheme="majorBidi"/>
          <w:i/>
          <w:iCs/>
        </w:rPr>
        <w:t>Zingiber officinale</w:t>
      </w:r>
      <w:r w:rsidRPr="00975422">
        <w:rPr>
          <w:rFonts w:asciiTheme="majorBidi" w:hAnsiTheme="majorBidi" w:cstheme="majorBidi"/>
        </w:rPr>
        <w:t xml:space="preserve">) in acute kidney injury: A systematic review and meta-analysis of animal studies. </w:t>
      </w:r>
      <w:r w:rsidRPr="00975422">
        <w:rPr>
          <w:rFonts w:asciiTheme="majorBidi" w:hAnsiTheme="majorBidi" w:cstheme="majorBidi"/>
          <w:i/>
          <w:iCs/>
        </w:rPr>
        <w:t>Journal of Functional Foods, 94</w:t>
      </w:r>
      <w:r w:rsidRPr="00975422">
        <w:rPr>
          <w:rFonts w:asciiTheme="majorBidi" w:hAnsiTheme="majorBidi" w:cstheme="majorBidi"/>
        </w:rPr>
        <w:t>, 105111. https://doi.org/10.1016/j.jff.2022.105111</w:t>
      </w:r>
    </w:p>
    <w:p w14:paraId="4F5C7C21"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Shang, A., Cao, S. Y., Xu, X. Y., Gan, R. Y., Tang, G. Y., Corke, H., </w:t>
      </w:r>
      <w:proofErr w:type="spellStart"/>
      <w:r w:rsidRPr="003A298A">
        <w:rPr>
          <w:rFonts w:asciiTheme="majorBidi" w:eastAsia="Times New Roman" w:hAnsiTheme="majorBidi" w:cstheme="majorBidi"/>
        </w:rPr>
        <w:t>Mavumengwana</w:t>
      </w:r>
      <w:proofErr w:type="spellEnd"/>
      <w:r w:rsidRPr="003A298A">
        <w:rPr>
          <w:rFonts w:asciiTheme="majorBidi" w:eastAsia="Times New Roman" w:hAnsiTheme="majorBidi" w:cstheme="majorBidi"/>
        </w:rPr>
        <w:t>, V., &amp; Li, H. B. (2019). Bioactive Compounds and Biological Functions of Garlic (</w:t>
      </w:r>
      <w:r w:rsidRPr="003A298A">
        <w:rPr>
          <w:rFonts w:asciiTheme="majorBidi" w:eastAsia="Times New Roman" w:hAnsiTheme="majorBidi" w:cstheme="majorBidi"/>
          <w:i/>
          <w:iCs/>
        </w:rPr>
        <w:t>Allium sativum</w:t>
      </w:r>
      <w:r w:rsidRPr="003A298A">
        <w:rPr>
          <w:rFonts w:asciiTheme="majorBidi" w:eastAsia="Times New Roman" w:hAnsiTheme="majorBidi" w:cstheme="majorBidi"/>
        </w:rPr>
        <w:t xml:space="preserve"> L.). </w:t>
      </w:r>
      <w:r w:rsidRPr="003A298A">
        <w:rPr>
          <w:rFonts w:asciiTheme="majorBidi" w:eastAsia="Times New Roman" w:hAnsiTheme="majorBidi" w:cstheme="majorBidi"/>
          <w:i/>
          <w:iCs/>
        </w:rPr>
        <w:t>Foods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8</w:t>
      </w:r>
      <w:r w:rsidRPr="003A298A">
        <w:rPr>
          <w:rFonts w:asciiTheme="majorBidi" w:eastAsia="Times New Roman" w:hAnsiTheme="majorBidi" w:cstheme="majorBidi"/>
        </w:rPr>
        <w:t>(7), 246. https://doi.org/10.3390/foods8070246</w:t>
      </w:r>
    </w:p>
    <w:p w14:paraId="2A12EC6F" w14:textId="77777777" w:rsidR="00975422" w:rsidRPr="006C7B2D" w:rsidRDefault="00975422" w:rsidP="00564D6F">
      <w:pPr>
        <w:spacing w:before="100" w:beforeAutospacing="1" w:after="100" w:afterAutospacing="1" w:line="240" w:lineRule="auto"/>
        <w:rPr>
          <w:rFonts w:asciiTheme="majorBidi" w:eastAsia="Times New Roman" w:hAnsiTheme="majorBidi" w:cstheme="majorBidi"/>
        </w:rPr>
      </w:pPr>
      <w:r w:rsidRPr="006C7B2D">
        <w:rPr>
          <w:rFonts w:asciiTheme="majorBidi" w:eastAsia="Times New Roman" w:hAnsiTheme="majorBidi" w:cstheme="majorBidi"/>
        </w:rPr>
        <w:lastRenderedPageBreak/>
        <w:t xml:space="preserve">Shaukat, M. N., Nazir, A., &amp; Fallico, B. (2023). Ginger </w:t>
      </w:r>
      <w:proofErr w:type="spellStart"/>
      <w:r w:rsidRPr="006C7B2D">
        <w:rPr>
          <w:rFonts w:asciiTheme="majorBidi" w:eastAsia="Times New Roman" w:hAnsiTheme="majorBidi" w:cstheme="majorBidi"/>
        </w:rPr>
        <w:t>Bioactives</w:t>
      </w:r>
      <w:proofErr w:type="spellEnd"/>
      <w:r w:rsidRPr="006C7B2D">
        <w:rPr>
          <w:rFonts w:asciiTheme="majorBidi" w:eastAsia="Times New Roman" w:hAnsiTheme="majorBidi" w:cstheme="majorBidi"/>
        </w:rPr>
        <w:t xml:space="preserve">: A Comprehensive Review of Health Benefits and Potential Food Applications. </w:t>
      </w:r>
      <w:r w:rsidRPr="006C7B2D">
        <w:rPr>
          <w:rFonts w:asciiTheme="majorBidi" w:eastAsia="Times New Roman" w:hAnsiTheme="majorBidi" w:cstheme="majorBidi"/>
          <w:i/>
          <w:iCs/>
        </w:rPr>
        <w:t>Antioxidants (Basel, Switzerland)</w:t>
      </w:r>
      <w:r w:rsidRPr="006C7B2D">
        <w:rPr>
          <w:rFonts w:asciiTheme="majorBidi" w:eastAsia="Times New Roman" w:hAnsiTheme="majorBidi" w:cstheme="majorBidi"/>
        </w:rPr>
        <w:t xml:space="preserve">, </w:t>
      </w:r>
      <w:r w:rsidRPr="006C7B2D">
        <w:rPr>
          <w:rFonts w:asciiTheme="majorBidi" w:eastAsia="Times New Roman" w:hAnsiTheme="majorBidi" w:cstheme="majorBidi"/>
          <w:i/>
          <w:iCs/>
        </w:rPr>
        <w:t>12</w:t>
      </w:r>
      <w:r w:rsidRPr="006C7B2D">
        <w:rPr>
          <w:rFonts w:asciiTheme="majorBidi" w:eastAsia="Times New Roman" w:hAnsiTheme="majorBidi" w:cstheme="majorBidi"/>
        </w:rPr>
        <w:t>(11), 2015. https://doi.org/10.3390/antiox12112015</w:t>
      </w:r>
    </w:p>
    <w:p w14:paraId="33052E20"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Singh, A., Sharma, A., K. Verma, R., L. </w:t>
      </w:r>
      <w:proofErr w:type="spellStart"/>
      <w:r w:rsidRPr="00975422">
        <w:rPr>
          <w:rFonts w:asciiTheme="majorBidi" w:eastAsia="Times New Roman" w:hAnsiTheme="majorBidi" w:cstheme="majorBidi"/>
        </w:rPr>
        <w:t>Chopade</w:t>
      </w:r>
      <w:proofErr w:type="spellEnd"/>
      <w:r w:rsidRPr="00975422">
        <w:rPr>
          <w:rFonts w:asciiTheme="majorBidi" w:eastAsia="Times New Roman" w:hAnsiTheme="majorBidi" w:cstheme="majorBidi"/>
        </w:rPr>
        <w:t xml:space="preserve">, R., P. Pandit, P., Nagar, V., … S. Sankhla, M. (2022). Heavy Metal Contamination of Water and Their Toxic Effect on Living Organisms.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10.5772/intechopen.105075</w:t>
      </w:r>
    </w:p>
    <w:p w14:paraId="68C74642" w14:textId="77777777" w:rsidR="00975422" w:rsidRPr="00B45347" w:rsidRDefault="00975422" w:rsidP="00975422">
      <w:pPr>
        <w:rPr>
          <w:rFonts w:asciiTheme="majorBidi" w:hAnsiTheme="majorBidi" w:cstheme="majorBidi"/>
        </w:rPr>
      </w:pPr>
      <w:r w:rsidRPr="00975422">
        <w:rPr>
          <w:rFonts w:asciiTheme="majorBidi" w:hAnsiTheme="majorBidi" w:cstheme="majorBidi"/>
        </w:rPr>
        <w:t xml:space="preserve">Tang, F., Liu, D., Zhang, L., Xu, L.-Y., Zhang, J.-N., Zhao, X.-L., Ao, H., &amp; Peng, C. (2023). Targeting endothelial cells with golden spice curcumin: A promising therapy for cardiometabolic multimorbidity. </w:t>
      </w:r>
      <w:r w:rsidRPr="00975422">
        <w:rPr>
          <w:rFonts w:asciiTheme="majorBidi" w:hAnsiTheme="majorBidi" w:cstheme="majorBidi"/>
          <w:i/>
          <w:iCs/>
        </w:rPr>
        <w:t>Pharmacological Research, 197,</w:t>
      </w:r>
      <w:r w:rsidRPr="00975422">
        <w:rPr>
          <w:rFonts w:asciiTheme="majorBidi" w:hAnsiTheme="majorBidi" w:cstheme="majorBidi"/>
        </w:rPr>
        <w:t xml:space="preserve"> 106953. https://doi.org/10.1016/j.phrs.2023.106953</w:t>
      </w:r>
    </w:p>
    <w:p w14:paraId="3FDF3A80" w14:textId="77777777" w:rsidR="00975422" w:rsidRPr="00975422" w:rsidRDefault="00975422" w:rsidP="00975422">
      <w:pPr>
        <w:rPr>
          <w:rFonts w:asciiTheme="majorBidi" w:hAnsiTheme="majorBidi" w:cstheme="majorBidi"/>
        </w:rPr>
      </w:pPr>
      <w:proofErr w:type="spellStart"/>
      <w:r w:rsidRPr="00B45347">
        <w:rPr>
          <w:rFonts w:asciiTheme="majorBidi" w:hAnsiTheme="majorBidi" w:cstheme="majorBidi"/>
        </w:rPr>
        <w:t>Tubsakul</w:t>
      </w:r>
      <w:proofErr w:type="spellEnd"/>
      <w:r w:rsidRPr="00B45347">
        <w:rPr>
          <w:rFonts w:asciiTheme="majorBidi" w:hAnsiTheme="majorBidi" w:cstheme="majorBidi"/>
        </w:rPr>
        <w:t xml:space="preserve">, A., </w:t>
      </w:r>
      <w:proofErr w:type="spellStart"/>
      <w:r w:rsidRPr="00B45347">
        <w:rPr>
          <w:rFonts w:asciiTheme="majorBidi" w:hAnsiTheme="majorBidi" w:cstheme="majorBidi"/>
        </w:rPr>
        <w:t>Sangartit</w:t>
      </w:r>
      <w:proofErr w:type="spellEnd"/>
      <w:r w:rsidRPr="00B45347">
        <w:rPr>
          <w:rFonts w:asciiTheme="majorBidi" w:hAnsiTheme="majorBidi" w:cstheme="majorBidi"/>
        </w:rPr>
        <w:t xml:space="preserve">, W., </w:t>
      </w:r>
      <w:proofErr w:type="spellStart"/>
      <w:r w:rsidRPr="00B45347">
        <w:rPr>
          <w:rFonts w:asciiTheme="majorBidi" w:hAnsiTheme="majorBidi" w:cstheme="majorBidi"/>
        </w:rPr>
        <w:t>Pakdeechote</w:t>
      </w:r>
      <w:proofErr w:type="spellEnd"/>
      <w:r w:rsidRPr="00B45347">
        <w:rPr>
          <w:rFonts w:asciiTheme="majorBidi" w:hAnsiTheme="majorBidi" w:cstheme="majorBidi"/>
        </w:rPr>
        <w:t xml:space="preserve">, 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V., Apaijit, K., &amp;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U. (2021). Curcumin Mitigates Hypertension, Endothelial Dysfunction and Oxidative Stress in Rats with Chronic Exposure to Lead and Cadmium. </w:t>
      </w:r>
      <w:r w:rsidRPr="00B45347">
        <w:rPr>
          <w:rFonts w:asciiTheme="majorBidi" w:hAnsiTheme="majorBidi" w:cstheme="majorBidi"/>
          <w:i/>
          <w:iCs/>
        </w:rPr>
        <w:t>The Tohoku journal of experimental medicine</w:t>
      </w:r>
      <w:r w:rsidRPr="00B45347">
        <w:rPr>
          <w:rFonts w:asciiTheme="majorBidi" w:hAnsiTheme="majorBidi" w:cstheme="majorBidi"/>
        </w:rPr>
        <w:t xml:space="preserve">, </w:t>
      </w:r>
      <w:r w:rsidRPr="00B45347">
        <w:rPr>
          <w:rFonts w:asciiTheme="majorBidi" w:hAnsiTheme="majorBidi" w:cstheme="majorBidi"/>
          <w:i/>
          <w:iCs/>
        </w:rPr>
        <w:t>253</w:t>
      </w:r>
      <w:r w:rsidRPr="00B45347">
        <w:rPr>
          <w:rFonts w:asciiTheme="majorBidi" w:hAnsiTheme="majorBidi" w:cstheme="majorBidi"/>
        </w:rPr>
        <w:t xml:space="preserve">(1), 69–76. </w:t>
      </w:r>
      <w:hyperlink r:id="rId35" w:history="1">
        <w:r w:rsidRPr="00B45347">
          <w:rPr>
            <w:rStyle w:val="Hyperlink"/>
            <w:rFonts w:asciiTheme="majorBidi" w:hAnsiTheme="majorBidi" w:cstheme="majorBidi"/>
          </w:rPr>
          <w:t>https://doi.org/10.1620/tjem.253.69</w:t>
        </w:r>
      </w:hyperlink>
    </w:p>
    <w:p w14:paraId="71D4293F" w14:textId="77777777" w:rsidR="00975422" w:rsidRPr="009D2D2E" w:rsidRDefault="00975422" w:rsidP="00564D6F">
      <w:pPr>
        <w:spacing w:before="100" w:beforeAutospacing="1" w:after="100" w:afterAutospacing="1" w:line="240" w:lineRule="auto"/>
        <w:rPr>
          <w:rFonts w:asciiTheme="majorBidi" w:eastAsia="Times New Roman" w:hAnsiTheme="majorBidi" w:cstheme="majorBidi"/>
        </w:rPr>
      </w:pPr>
      <w:r w:rsidRPr="009D2D2E">
        <w:rPr>
          <w:rFonts w:asciiTheme="majorBidi" w:eastAsia="Times New Roman" w:hAnsiTheme="majorBidi" w:cstheme="majorBidi"/>
        </w:rPr>
        <w:t xml:space="preserve">Tuong, D. T. C., </w:t>
      </w:r>
      <w:proofErr w:type="spellStart"/>
      <w:r w:rsidRPr="009D2D2E">
        <w:rPr>
          <w:rFonts w:asciiTheme="majorBidi" w:eastAsia="Times New Roman" w:hAnsiTheme="majorBidi" w:cstheme="majorBidi"/>
        </w:rPr>
        <w:t>Moniruzzaman</w:t>
      </w:r>
      <w:proofErr w:type="spellEnd"/>
      <w:r w:rsidRPr="009D2D2E">
        <w:rPr>
          <w:rFonts w:asciiTheme="majorBidi" w:eastAsia="Times New Roman" w:hAnsiTheme="majorBidi" w:cstheme="majorBidi"/>
        </w:rPr>
        <w:t xml:space="preserve">, M., Smirnova, E., Chin, S., Sureshbabu, A., Karthikeyan, A., &amp; Min, T. (2023). Curcumin as a Potential Antioxidant in Stress Regulation of Terrestrial, Avian, and Aquatic Animals: A Review. </w:t>
      </w:r>
      <w:r w:rsidRPr="009D2D2E">
        <w:rPr>
          <w:rFonts w:asciiTheme="majorBidi" w:eastAsia="Times New Roman" w:hAnsiTheme="majorBidi" w:cstheme="majorBidi"/>
          <w:i/>
          <w:iCs/>
        </w:rPr>
        <w:t>Antioxidants (Basel, Switzerland)</w:t>
      </w:r>
      <w:r w:rsidRPr="009D2D2E">
        <w:rPr>
          <w:rFonts w:asciiTheme="majorBidi" w:eastAsia="Times New Roman" w:hAnsiTheme="majorBidi" w:cstheme="majorBidi"/>
        </w:rPr>
        <w:t xml:space="preserve">, </w:t>
      </w:r>
      <w:r w:rsidRPr="009D2D2E">
        <w:rPr>
          <w:rFonts w:asciiTheme="majorBidi" w:eastAsia="Times New Roman" w:hAnsiTheme="majorBidi" w:cstheme="majorBidi"/>
          <w:i/>
          <w:iCs/>
        </w:rPr>
        <w:t>12</w:t>
      </w:r>
      <w:r w:rsidRPr="009D2D2E">
        <w:rPr>
          <w:rFonts w:asciiTheme="majorBidi" w:eastAsia="Times New Roman" w:hAnsiTheme="majorBidi" w:cstheme="majorBidi"/>
        </w:rPr>
        <w:t>(9), 1700. https://doi.org/10.3390/antiox12091700</w:t>
      </w:r>
    </w:p>
    <w:p w14:paraId="733F538A"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32" w:name="_Hlk208633016"/>
      <w:commentRangeStart w:id="33"/>
      <w:proofErr w:type="spellStart"/>
      <w:r w:rsidRPr="00975422">
        <w:rPr>
          <w:rFonts w:asciiTheme="majorBidi" w:hAnsiTheme="majorBidi" w:cstheme="majorBidi"/>
          <w:b/>
          <w:bCs/>
          <w:iCs/>
        </w:rPr>
        <w:t>Ujowundu</w:t>
      </w:r>
      <w:proofErr w:type="spellEnd"/>
      <w:r w:rsidRPr="00975422">
        <w:rPr>
          <w:rFonts w:asciiTheme="majorBidi" w:hAnsiTheme="majorBidi" w:cstheme="majorBidi"/>
          <w:b/>
          <w:bCs/>
          <w:iCs/>
        </w:rPr>
        <w:t xml:space="preserve"> </w:t>
      </w:r>
      <w:proofErr w:type="gramStart"/>
      <w:r w:rsidRPr="00975422">
        <w:rPr>
          <w:rFonts w:asciiTheme="majorBidi" w:hAnsiTheme="majorBidi" w:cstheme="majorBidi"/>
          <w:b/>
          <w:bCs/>
          <w:iCs/>
        </w:rPr>
        <w:t>C.O</w:t>
      </w:r>
      <w:commentRangeEnd w:id="33"/>
      <w:proofErr w:type="gramEnd"/>
      <w:r w:rsidR="0077243F">
        <w:rPr>
          <w:rStyle w:val="CommentReference"/>
        </w:rPr>
        <w:commentReference w:id="33"/>
      </w:r>
      <w:r w:rsidRPr="00975422">
        <w:rPr>
          <w:rFonts w:asciiTheme="majorBidi" w:hAnsiTheme="majorBidi" w:cstheme="majorBidi"/>
          <w:bCs/>
          <w:iCs/>
        </w:rPr>
        <w:t xml:space="preserve">., </w:t>
      </w:r>
      <w:proofErr w:type="spellStart"/>
      <w:r w:rsidRPr="00975422">
        <w:rPr>
          <w:rFonts w:asciiTheme="majorBidi" w:hAnsiTheme="majorBidi" w:cstheme="majorBidi"/>
          <w:bCs/>
          <w:iCs/>
        </w:rPr>
        <w:t>Ujowundu</w:t>
      </w:r>
      <w:proofErr w:type="spellEnd"/>
      <w:r w:rsidRPr="00975422">
        <w:rPr>
          <w:rFonts w:asciiTheme="majorBidi" w:hAnsiTheme="majorBidi" w:cstheme="majorBidi"/>
          <w:bCs/>
          <w:iCs/>
        </w:rPr>
        <w:t xml:space="preserve"> F.N., </w:t>
      </w:r>
      <w:proofErr w:type="spellStart"/>
      <w:r w:rsidRPr="00975422">
        <w:rPr>
          <w:rFonts w:asciiTheme="majorBidi" w:hAnsiTheme="majorBidi" w:cstheme="majorBidi"/>
          <w:bCs/>
          <w:iCs/>
        </w:rPr>
        <w:t>Onwuliri</w:t>
      </w:r>
      <w:proofErr w:type="spellEnd"/>
      <w:r w:rsidRPr="00975422">
        <w:rPr>
          <w:rFonts w:asciiTheme="majorBidi" w:hAnsiTheme="majorBidi" w:cstheme="majorBidi"/>
          <w:bCs/>
          <w:iCs/>
        </w:rPr>
        <w:t xml:space="preserve"> V.A., </w:t>
      </w:r>
      <w:proofErr w:type="spellStart"/>
      <w:r w:rsidRPr="00975422">
        <w:rPr>
          <w:rFonts w:asciiTheme="majorBidi" w:hAnsiTheme="majorBidi" w:cstheme="majorBidi"/>
          <w:bCs/>
          <w:iCs/>
        </w:rPr>
        <w:t>Ezim</w:t>
      </w:r>
      <w:proofErr w:type="spellEnd"/>
      <w:r w:rsidRPr="00975422">
        <w:rPr>
          <w:rFonts w:asciiTheme="majorBidi" w:hAnsiTheme="majorBidi" w:cstheme="majorBidi"/>
          <w:bCs/>
          <w:iCs/>
        </w:rPr>
        <w:t xml:space="preserve"> O.E., Ibeh R.C., </w:t>
      </w:r>
      <w:proofErr w:type="spellStart"/>
      <w:r w:rsidRPr="00975422">
        <w:rPr>
          <w:rFonts w:asciiTheme="majorBidi" w:hAnsiTheme="majorBidi" w:cstheme="majorBidi"/>
          <w:bCs/>
          <w:iCs/>
        </w:rPr>
        <w:t>Asiwe</w:t>
      </w:r>
      <w:proofErr w:type="spellEnd"/>
      <w:r w:rsidRPr="00975422">
        <w:rPr>
          <w:rFonts w:asciiTheme="majorBidi" w:hAnsiTheme="majorBidi" w:cstheme="majorBidi"/>
          <w:bCs/>
          <w:iCs/>
        </w:rPr>
        <w:t xml:space="preserve"> E.S., </w:t>
      </w:r>
      <w:proofErr w:type="spellStart"/>
      <w:r w:rsidRPr="00975422">
        <w:rPr>
          <w:rFonts w:asciiTheme="majorBidi" w:hAnsiTheme="majorBidi" w:cstheme="majorBidi"/>
          <w:bCs/>
          <w:iCs/>
        </w:rPr>
        <w:t>Onyeocha</w:t>
      </w:r>
      <w:proofErr w:type="spellEnd"/>
      <w:r w:rsidRPr="00975422">
        <w:rPr>
          <w:rFonts w:asciiTheme="majorBidi" w:hAnsiTheme="majorBidi" w:cstheme="majorBidi"/>
          <w:bCs/>
          <w:iCs/>
        </w:rPr>
        <w:t xml:space="preserve"> I.O., </w:t>
      </w:r>
      <w:proofErr w:type="spellStart"/>
      <w:r w:rsidRPr="00975422">
        <w:rPr>
          <w:rFonts w:asciiTheme="majorBidi" w:hAnsiTheme="majorBidi" w:cstheme="majorBidi"/>
          <w:bCs/>
          <w:iCs/>
        </w:rPr>
        <w:t>Achilike</w:t>
      </w:r>
      <w:proofErr w:type="spellEnd"/>
      <w:r w:rsidRPr="00975422">
        <w:rPr>
          <w:rFonts w:asciiTheme="majorBidi" w:hAnsiTheme="majorBidi" w:cstheme="majorBidi"/>
          <w:bCs/>
          <w:iCs/>
        </w:rPr>
        <w:t xml:space="preserve"> J.J., </w:t>
      </w:r>
      <w:proofErr w:type="spellStart"/>
      <w:r w:rsidRPr="00975422">
        <w:rPr>
          <w:rFonts w:asciiTheme="majorBidi" w:hAnsiTheme="majorBidi" w:cstheme="majorBidi"/>
          <w:bCs/>
          <w:iCs/>
        </w:rPr>
        <w:t>Amaralam</w:t>
      </w:r>
      <w:proofErr w:type="spellEnd"/>
      <w:r w:rsidRPr="00975422">
        <w:rPr>
          <w:rFonts w:asciiTheme="majorBidi" w:hAnsiTheme="majorBidi" w:cstheme="majorBidi"/>
          <w:bCs/>
          <w:iCs/>
        </w:rPr>
        <w:t xml:space="preserve"> E.E., Ugwu C.M., Ogu S.O., Nwachukwu C.N., </w:t>
      </w:r>
      <w:proofErr w:type="spellStart"/>
      <w:r w:rsidRPr="00975422">
        <w:rPr>
          <w:rFonts w:asciiTheme="majorBidi" w:hAnsiTheme="majorBidi" w:cstheme="majorBidi"/>
          <w:bCs/>
          <w:iCs/>
        </w:rPr>
        <w:t>Okike</w:t>
      </w:r>
      <w:proofErr w:type="spellEnd"/>
      <w:r w:rsidRPr="00975422">
        <w:rPr>
          <w:rFonts w:asciiTheme="majorBidi" w:hAnsiTheme="majorBidi" w:cstheme="majorBidi"/>
          <w:bCs/>
          <w:iCs/>
        </w:rPr>
        <w:t xml:space="preserve"> E.A., Erebi M.C., </w:t>
      </w:r>
      <w:proofErr w:type="spellStart"/>
      <w:r w:rsidRPr="00975422">
        <w:rPr>
          <w:rFonts w:asciiTheme="majorBidi" w:hAnsiTheme="majorBidi" w:cstheme="majorBidi"/>
          <w:bCs/>
          <w:iCs/>
        </w:rPr>
        <w:t>Okeohia</w:t>
      </w:r>
      <w:proofErr w:type="spellEnd"/>
      <w:r w:rsidRPr="00975422">
        <w:rPr>
          <w:rFonts w:asciiTheme="majorBidi" w:hAnsiTheme="majorBidi" w:cstheme="majorBidi"/>
          <w:bCs/>
          <w:iCs/>
        </w:rPr>
        <w:t xml:space="preserve"> G.C. (2023). In vitro </w:t>
      </w:r>
      <w:r w:rsidRPr="00975422">
        <w:rPr>
          <w:rFonts w:asciiTheme="majorBidi" w:hAnsiTheme="majorBidi" w:cstheme="majorBidi"/>
          <w:bCs/>
        </w:rPr>
        <w:t xml:space="preserve">Assessment of Free Radical Scavenging and Antioxidant Capacity of Ethanol Extract of </w:t>
      </w:r>
      <w:r w:rsidRPr="00975422">
        <w:rPr>
          <w:rFonts w:asciiTheme="majorBidi" w:hAnsiTheme="majorBidi" w:cstheme="majorBidi"/>
          <w:bCs/>
          <w:i/>
        </w:rPr>
        <w:t>Ageratum conyzoides</w:t>
      </w:r>
      <w:r w:rsidRPr="00975422">
        <w:rPr>
          <w:rFonts w:asciiTheme="majorBidi" w:hAnsiTheme="majorBidi" w:cstheme="majorBidi"/>
          <w:bCs/>
          <w:iCs/>
        </w:rPr>
        <w:t xml:space="preserve"> </w:t>
      </w:r>
      <w:r w:rsidRPr="00975422">
        <w:rPr>
          <w:rFonts w:asciiTheme="majorBidi" w:hAnsiTheme="majorBidi" w:cstheme="majorBidi"/>
          <w:bCs/>
        </w:rPr>
        <w:t xml:space="preserve">Leaves. </w:t>
      </w:r>
      <w:r w:rsidRPr="00975422">
        <w:rPr>
          <w:rFonts w:asciiTheme="majorBidi" w:hAnsiTheme="majorBidi" w:cstheme="majorBidi"/>
          <w:bCs/>
          <w:iCs/>
        </w:rPr>
        <w:t>International Journal of Chemical and Biochemical Sciences</w:t>
      </w:r>
      <w:r w:rsidRPr="00975422">
        <w:rPr>
          <w:rFonts w:asciiTheme="majorBidi" w:hAnsiTheme="majorBidi" w:cstheme="majorBidi"/>
          <w:color w:val="000000"/>
        </w:rPr>
        <w:t xml:space="preserve">. </w:t>
      </w:r>
      <w:r w:rsidRPr="00975422">
        <w:rPr>
          <w:rFonts w:asciiTheme="majorBidi" w:hAnsiTheme="majorBidi" w:cstheme="majorBidi"/>
          <w:bCs/>
          <w:iCs/>
        </w:rPr>
        <w:t xml:space="preserve">23(3): 174-188 </w:t>
      </w:r>
    </w:p>
    <w:bookmarkEnd w:id="32"/>
    <w:p w14:paraId="5F74C67F"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en-GB"/>
        </w:rPr>
        <w:t xml:space="preserve">Urbańska, D. M., </w:t>
      </w:r>
      <w:proofErr w:type="spellStart"/>
      <w:r w:rsidRPr="00975422">
        <w:rPr>
          <w:rFonts w:asciiTheme="majorBidi" w:eastAsia="Times New Roman" w:hAnsiTheme="majorBidi" w:cstheme="majorBidi"/>
          <w:lang w:val="en-GB"/>
        </w:rPr>
        <w:t>Kurhaluk</w:t>
      </w:r>
      <w:proofErr w:type="spellEnd"/>
      <w:r w:rsidRPr="00975422">
        <w:rPr>
          <w:rFonts w:asciiTheme="majorBidi" w:eastAsia="Times New Roman" w:hAnsiTheme="majorBidi" w:cstheme="majorBidi"/>
          <w:lang w:val="en-GB"/>
        </w:rPr>
        <w:t>, N., Tkaczenko, H., Rutkowska, K., Kawecka-</w:t>
      </w:r>
      <w:proofErr w:type="spellStart"/>
      <w:r w:rsidRPr="00975422">
        <w:rPr>
          <w:rFonts w:asciiTheme="majorBidi" w:eastAsia="Times New Roman" w:hAnsiTheme="majorBidi" w:cstheme="majorBidi"/>
          <w:lang w:val="en-GB"/>
        </w:rPr>
        <w:t>Grochocka</w:t>
      </w:r>
      <w:proofErr w:type="spellEnd"/>
      <w:r w:rsidRPr="00975422">
        <w:rPr>
          <w:rFonts w:asciiTheme="majorBidi" w:eastAsia="Times New Roman" w:hAnsiTheme="majorBidi" w:cstheme="majorBidi"/>
          <w:lang w:val="en-GB"/>
        </w:rPr>
        <w:t xml:space="preserve">, E., Brzozowska, P., </w:t>
      </w:r>
      <w:proofErr w:type="spellStart"/>
      <w:r w:rsidRPr="00975422">
        <w:rPr>
          <w:rFonts w:asciiTheme="majorBidi" w:eastAsia="Times New Roman" w:hAnsiTheme="majorBidi" w:cstheme="majorBidi"/>
          <w:lang w:val="en-GB"/>
        </w:rPr>
        <w:t>Czopowicz</w:t>
      </w:r>
      <w:proofErr w:type="spellEnd"/>
      <w:r w:rsidRPr="00975422">
        <w:rPr>
          <w:rFonts w:asciiTheme="majorBidi" w:eastAsia="Times New Roman" w:hAnsiTheme="majorBidi" w:cstheme="majorBidi"/>
          <w:lang w:val="en-GB"/>
        </w:rPr>
        <w:t xml:space="preserve">, M., Mickiewicz, M., Kaba, J., &amp; </w:t>
      </w:r>
      <w:proofErr w:type="spellStart"/>
      <w:r w:rsidRPr="00975422">
        <w:rPr>
          <w:rFonts w:asciiTheme="majorBidi" w:eastAsia="Times New Roman" w:hAnsiTheme="majorBidi" w:cstheme="majorBidi"/>
          <w:lang w:val="en-GB"/>
        </w:rPr>
        <w:t>Bagnicka</w:t>
      </w:r>
      <w:proofErr w:type="spellEnd"/>
      <w:r w:rsidRPr="00975422">
        <w:rPr>
          <w:rFonts w:asciiTheme="majorBidi" w:eastAsia="Times New Roman" w:hAnsiTheme="majorBidi" w:cstheme="majorBidi"/>
          <w:lang w:val="en-GB"/>
        </w:rPr>
        <w:t xml:space="preserve">, E. (2025). </w:t>
      </w:r>
      <w:r w:rsidRPr="00975422">
        <w:rPr>
          <w:rFonts w:asciiTheme="majorBidi" w:eastAsia="Times New Roman" w:hAnsiTheme="majorBidi" w:cstheme="majorBidi"/>
        </w:rPr>
        <w:t xml:space="preserve">Effects of Turmeric and Rosemary Extract on Oxidative Stress Markers in Goats. </w:t>
      </w:r>
      <w:r w:rsidRPr="00975422">
        <w:rPr>
          <w:rFonts w:asciiTheme="majorBidi" w:eastAsia="Times New Roman" w:hAnsiTheme="majorBidi" w:cstheme="majorBidi"/>
          <w:i/>
          <w:iCs/>
          <w:lang w:val="fr-FR"/>
        </w:rPr>
        <w:t>Animals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15</w:t>
      </w:r>
      <w:r w:rsidRPr="00975422">
        <w:rPr>
          <w:rFonts w:asciiTheme="majorBidi" w:eastAsia="Times New Roman" w:hAnsiTheme="majorBidi" w:cstheme="majorBidi"/>
          <w:lang w:val="fr-FR"/>
        </w:rPr>
        <w:t>(3), 369. https://doi.org/10.3390/ani15030369</w:t>
      </w:r>
    </w:p>
    <w:p w14:paraId="1DEFEF99"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lang w:val="fr-FR"/>
        </w:rPr>
        <w:t>Velazquez</w:t>
      </w:r>
      <w:proofErr w:type="spellEnd"/>
      <w:r w:rsidRPr="00903406">
        <w:rPr>
          <w:rFonts w:asciiTheme="majorBidi" w:hAnsiTheme="majorBidi" w:cstheme="majorBidi"/>
          <w:lang w:val="fr-FR"/>
        </w:rPr>
        <w:t xml:space="preserve">, E., Tournier, H. A., de </w:t>
      </w:r>
      <w:proofErr w:type="spellStart"/>
      <w:r w:rsidRPr="00903406">
        <w:rPr>
          <w:rFonts w:asciiTheme="majorBidi" w:hAnsiTheme="majorBidi" w:cstheme="majorBidi"/>
          <w:lang w:val="fr-FR"/>
        </w:rPr>
        <w:t>Buschiazzo</w:t>
      </w:r>
      <w:proofErr w:type="spellEnd"/>
      <w:r w:rsidRPr="00903406">
        <w:rPr>
          <w:rFonts w:asciiTheme="majorBidi" w:hAnsiTheme="majorBidi" w:cstheme="majorBidi"/>
          <w:lang w:val="fr-FR"/>
        </w:rPr>
        <w:t xml:space="preserve">, P. M., Saavedra, G., &amp; </w:t>
      </w:r>
      <w:proofErr w:type="spellStart"/>
      <w:r w:rsidRPr="00903406">
        <w:rPr>
          <w:rFonts w:asciiTheme="majorBidi" w:hAnsiTheme="majorBidi" w:cstheme="majorBidi"/>
          <w:lang w:val="fr-FR"/>
        </w:rPr>
        <w:t>Schinella</w:t>
      </w:r>
      <w:proofErr w:type="spellEnd"/>
      <w:r w:rsidRPr="00903406">
        <w:rPr>
          <w:rFonts w:asciiTheme="majorBidi" w:hAnsiTheme="majorBidi" w:cstheme="majorBidi"/>
          <w:lang w:val="fr-FR"/>
        </w:rPr>
        <w:t xml:space="preserve">, G. R. (2003). </w:t>
      </w:r>
      <w:r w:rsidRPr="00903406">
        <w:rPr>
          <w:rFonts w:asciiTheme="majorBidi" w:hAnsiTheme="majorBidi" w:cstheme="majorBidi"/>
        </w:rPr>
        <w:t xml:space="preserve">Antioxidant activity of Paraguayan plant extracts. </w:t>
      </w:r>
      <w:proofErr w:type="spellStart"/>
      <w:r w:rsidRPr="00903406">
        <w:rPr>
          <w:rFonts w:asciiTheme="majorBidi" w:hAnsiTheme="majorBidi" w:cstheme="majorBidi"/>
          <w:i/>
          <w:iCs/>
        </w:rPr>
        <w:t>Fitoterapia</w:t>
      </w:r>
      <w:proofErr w:type="spellEnd"/>
      <w:r w:rsidRPr="00903406">
        <w:rPr>
          <w:rFonts w:asciiTheme="majorBidi" w:hAnsiTheme="majorBidi" w:cstheme="majorBidi"/>
          <w:i/>
          <w:iCs/>
        </w:rPr>
        <w:t>, 74</w:t>
      </w:r>
      <w:r w:rsidRPr="00903406">
        <w:rPr>
          <w:rFonts w:asciiTheme="majorBidi" w:hAnsiTheme="majorBidi" w:cstheme="majorBidi"/>
        </w:rPr>
        <w:t xml:space="preserve">(1–2), 91–97. </w:t>
      </w:r>
      <w:hyperlink r:id="rId36" w:history="1">
        <w:r w:rsidRPr="00903406">
          <w:rPr>
            <w:rStyle w:val="Hyperlink"/>
            <w:rFonts w:asciiTheme="majorBidi" w:hAnsiTheme="majorBidi" w:cstheme="majorBidi"/>
          </w:rPr>
          <w:t>https://doi.org/10.1016/S0367-326X(02)00308-3</w:t>
        </w:r>
      </w:hyperlink>
    </w:p>
    <w:p w14:paraId="18C784EB" w14:textId="77777777" w:rsidR="00975422" w:rsidRPr="00BB2C14" w:rsidRDefault="00975422" w:rsidP="00975422">
      <w:pPr>
        <w:spacing w:before="100" w:beforeAutospacing="1" w:after="100" w:afterAutospacing="1" w:line="240" w:lineRule="auto"/>
        <w:rPr>
          <w:rFonts w:asciiTheme="majorBidi" w:eastAsia="Times New Roman" w:hAnsiTheme="majorBidi" w:cstheme="majorBidi"/>
        </w:rPr>
      </w:pPr>
      <w:r w:rsidRPr="00BB2C14">
        <w:rPr>
          <w:rFonts w:asciiTheme="majorBidi" w:eastAsia="Times New Roman" w:hAnsiTheme="majorBidi" w:cstheme="majorBidi"/>
        </w:rPr>
        <w:t xml:space="preserve">Wan, Y., Liu, J., Zhuang, Z., Wang, Q., &amp; Li, H. (2024). Heavy Metals in Agricultural Soils: Sources, Influencing Factors, and Remediation Strategies. </w:t>
      </w:r>
      <w:r w:rsidRPr="00BB2C14">
        <w:rPr>
          <w:rFonts w:asciiTheme="majorBidi" w:eastAsia="Times New Roman" w:hAnsiTheme="majorBidi" w:cstheme="majorBidi"/>
          <w:i/>
          <w:iCs/>
        </w:rPr>
        <w:t>Toxics</w:t>
      </w:r>
      <w:r w:rsidRPr="00BB2C14">
        <w:rPr>
          <w:rFonts w:asciiTheme="majorBidi" w:eastAsia="Times New Roman" w:hAnsiTheme="majorBidi" w:cstheme="majorBidi"/>
        </w:rPr>
        <w:t xml:space="preserve">, </w:t>
      </w:r>
      <w:r w:rsidRPr="00BB2C14">
        <w:rPr>
          <w:rFonts w:asciiTheme="majorBidi" w:eastAsia="Times New Roman" w:hAnsiTheme="majorBidi" w:cstheme="majorBidi"/>
          <w:i/>
          <w:iCs/>
        </w:rPr>
        <w:t>12</w:t>
      </w:r>
      <w:r w:rsidRPr="00BB2C14">
        <w:rPr>
          <w:rFonts w:asciiTheme="majorBidi" w:eastAsia="Times New Roman" w:hAnsiTheme="majorBidi" w:cstheme="majorBidi"/>
        </w:rPr>
        <w:t>(1), 63. https://doi.org/10.3390/toxics12010063</w:t>
      </w:r>
    </w:p>
    <w:p w14:paraId="3942F80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 Wang, Y., Jiang, Y., Han, C., Zhou, L., Hu, H., Song, H., &amp; Li, W. (2025). Ginger (</w:t>
      </w:r>
      <w:r w:rsidRPr="00975422">
        <w:rPr>
          <w:rFonts w:asciiTheme="majorBidi" w:hAnsiTheme="majorBidi" w:cstheme="majorBidi"/>
          <w:i/>
          <w:iCs/>
        </w:rPr>
        <w:t>Zingiber officinale</w:t>
      </w:r>
      <w:r w:rsidRPr="00975422">
        <w:rPr>
          <w:rFonts w:asciiTheme="majorBidi" w:hAnsiTheme="majorBidi" w:cstheme="majorBidi"/>
        </w:rPr>
        <w:t xml:space="preserve"> Roscoe) bioactive components: Potential resources for kidney health. </w:t>
      </w:r>
      <w:r w:rsidRPr="00975422">
        <w:rPr>
          <w:rFonts w:asciiTheme="majorBidi" w:hAnsiTheme="majorBidi" w:cstheme="majorBidi"/>
          <w:i/>
          <w:iCs/>
        </w:rPr>
        <w:t>Journal of Food Biochemistry.</w:t>
      </w:r>
      <w:r w:rsidRPr="00975422">
        <w:rPr>
          <w:rFonts w:asciiTheme="majorBidi" w:hAnsiTheme="majorBidi" w:cstheme="majorBidi"/>
        </w:rPr>
        <w:t xml:space="preserve"> Advance online publication. </w:t>
      </w:r>
      <w:hyperlink r:id="rId37" w:tgtFrame="_new" w:history="1">
        <w:r w:rsidRPr="00975422">
          <w:rPr>
            <w:rStyle w:val="Hyperlink"/>
            <w:rFonts w:asciiTheme="majorBidi" w:hAnsiTheme="majorBidi" w:cstheme="majorBidi"/>
          </w:rPr>
          <w:t>https://doi.org/10.1155/jfbc/2625586</w:t>
        </w:r>
      </w:hyperlink>
    </w:p>
    <w:p w14:paraId="5931D10D"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lang w:val="fr-FR"/>
        </w:rPr>
        <w:lastRenderedPageBreak/>
        <w:t xml:space="preserve">Xu, Q., </w:t>
      </w:r>
      <w:proofErr w:type="spellStart"/>
      <w:r w:rsidRPr="00975422">
        <w:rPr>
          <w:rFonts w:asciiTheme="majorBidi" w:eastAsia="Times New Roman" w:hAnsiTheme="majorBidi" w:cstheme="majorBidi"/>
          <w:lang w:val="fr-FR"/>
        </w:rPr>
        <w:t>Lian</w:t>
      </w:r>
      <w:proofErr w:type="spellEnd"/>
      <w:r w:rsidRPr="00975422">
        <w:rPr>
          <w:rFonts w:asciiTheme="majorBidi" w:eastAsia="Times New Roman" w:hAnsiTheme="majorBidi" w:cstheme="majorBidi"/>
          <w:lang w:val="fr-FR"/>
        </w:rPr>
        <w:t xml:space="preserve">, H., Zhou, R., </w:t>
      </w:r>
      <w:proofErr w:type="spellStart"/>
      <w:r w:rsidRPr="00975422">
        <w:rPr>
          <w:rFonts w:asciiTheme="majorBidi" w:eastAsia="Times New Roman" w:hAnsiTheme="majorBidi" w:cstheme="majorBidi"/>
          <w:lang w:val="fr-FR"/>
        </w:rPr>
        <w:t>Gu</w:t>
      </w:r>
      <w:proofErr w:type="spellEnd"/>
      <w:r w:rsidRPr="00975422">
        <w:rPr>
          <w:rFonts w:asciiTheme="majorBidi" w:eastAsia="Times New Roman" w:hAnsiTheme="majorBidi" w:cstheme="majorBidi"/>
          <w:lang w:val="fr-FR"/>
        </w:rPr>
        <w:t xml:space="preserve">, Z., Wu, J., Wu, Y., &amp; Li, Z. (2025). </w:t>
      </w:r>
      <w:r w:rsidRPr="00975422">
        <w:rPr>
          <w:rFonts w:asciiTheme="majorBidi" w:eastAsia="Times New Roman" w:hAnsiTheme="majorBidi" w:cstheme="majorBidi"/>
        </w:rPr>
        <w:t>Curcumin and multiple health outcomes: Critical umbrella review of intervention meta-analyses. Frontiers in Pharmacology, 16, Article 1601204. https://doi.org/10.3389/fphar.2025.1601204</w:t>
      </w:r>
    </w:p>
    <w:p w14:paraId="2D926C3F" w14:textId="77777777" w:rsidR="00564D6F" w:rsidRPr="00564D6F" w:rsidRDefault="00564D6F" w:rsidP="00344BC0">
      <w:pPr>
        <w:rPr>
          <w:rFonts w:asciiTheme="majorBidi" w:hAnsiTheme="majorBidi" w:cstheme="majorBidi"/>
          <w:lang w:val="en-GB"/>
        </w:rPr>
      </w:pPr>
    </w:p>
    <w:sectPr w:rsidR="00564D6F" w:rsidRPr="00564D6F" w:rsidSect="00F71930">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pcas chiplima" w:date="2025-09-25T15:47:00Z" w:initials="ac">
    <w:p w14:paraId="0225D4C2" w14:textId="36A37962" w:rsidR="00696485" w:rsidRDefault="00D46275">
      <w:pPr>
        <w:pStyle w:val="CommentText"/>
      </w:pPr>
      <w:r>
        <w:rPr>
          <w:rStyle w:val="CommentReference"/>
        </w:rPr>
        <w:annotationRef/>
      </w:r>
      <w:r>
        <w:t>Change the font</w:t>
      </w:r>
      <w:r w:rsidR="00BD0794">
        <w:t xml:space="preserve"> types into Time New Roman</w:t>
      </w:r>
      <w:r w:rsidR="00696485">
        <w:t>.</w:t>
      </w:r>
    </w:p>
  </w:comment>
  <w:comment w:id="2" w:author="apcas chiplima" w:date="2025-09-25T16:01:00Z" w:initials="ac">
    <w:p w14:paraId="32F48CE1" w14:textId="56E31D1F" w:rsidR="00C83428" w:rsidRDefault="00C83428">
      <w:pPr>
        <w:pStyle w:val="CommentText"/>
      </w:pPr>
      <w:r>
        <w:rPr>
          <w:rStyle w:val="CommentReference"/>
        </w:rPr>
        <w:annotationRef/>
      </w:r>
      <w:r w:rsidR="009D62CC">
        <w:t>Clarify whether plant</w:t>
      </w:r>
      <w:r w:rsidR="0040470F">
        <w:t>s</w:t>
      </w:r>
      <w:r w:rsidR="009D62CC">
        <w:t xml:space="preserve"> of </w:t>
      </w:r>
      <w:r w:rsidR="00415D8B">
        <w:t>garlic, ginger and turmeric</w:t>
      </w:r>
      <w:r w:rsidR="00F8739D">
        <w:t xml:space="preserve"> </w:t>
      </w:r>
      <w:r w:rsidR="0040470F">
        <w:t>were</w:t>
      </w:r>
      <w:r w:rsidR="00F8739D">
        <w:t xml:space="preserve"> used </w:t>
      </w:r>
      <w:r w:rsidR="00142951">
        <w:t>or else</w:t>
      </w:r>
      <w:r w:rsidR="005871EC">
        <w:t xml:space="preserve"> only the garlic, ginger and turmeric</w:t>
      </w:r>
      <w:r w:rsidR="0040470F">
        <w:t xml:space="preserve"> were used for the experiment</w:t>
      </w:r>
      <w:r w:rsidR="00142951">
        <w:t>.</w:t>
      </w:r>
    </w:p>
  </w:comment>
  <w:comment w:id="3" w:author="apcas chiplima" w:date="2025-09-25T16:05:00Z" w:initials="ac">
    <w:p w14:paraId="11AEBCA3" w14:textId="634FAD24" w:rsidR="00762CDF" w:rsidRDefault="00762CDF">
      <w:pPr>
        <w:pStyle w:val="CommentText"/>
      </w:pPr>
      <w:r>
        <w:rPr>
          <w:rStyle w:val="CommentReference"/>
        </w:rPr>
        <w:annotationRef/>
      </w:r>
      <w:r>
        <w:t xml:space="preserve">You </w:t>
      </w:r>
      <w:r w:rsidR="00945211">
        <w:t>have followed any standard method of extraction</w:t>
      </w:r>
      <w:r w:rsidR="007B5ED3">
        <w:t xml:space="preserve">, if yes, then put the reference. If not, mention </w:t>
      </w:r>
      <w:r w:rsidR="000266B9">
        <w:t>that it’s a new method of extraction developed by you.</w:t>
      </w:r>
    </w:p>
  </w:comment>
  <w:comment w:id="5" w:author="apcas chiplima" w:date="2025-09-25T16:10:00Z" w:initials="ac">
    <w:p w14:paraId="3651CD7B" w14:textId="2A9A1D0D" w:rsidR="00846855" w:rsidRDefault="00846855">
      <w:pPr>
        <w:pStyle w:val="CommentText"/>
      </w:pPr>
      <w:r>
        <w:rPr>
          <w:rStyle w:val="CommentReference"/>
        </w:rPr>
        <w:annotationRef/>
      </w:r>
      <w:r>
        <w:t>No need to describe. Delete it.</w:t>
      </w:r>
    </w:p>
  </w:comment>
  <w:comment w:id="6" w:author="apcas chiplima" w:date="2025-09-25T16:11:00Z" w:initials="ac">
    <w:p w14:paraId="4C36CD8F" w14:textId="22B235DE" w:rsidR="00727C49" w:rsidRDefault="00727C49">
      <w:pPr>
        <w:pStyle w:val="CommentText"/>
      </w:pPr>
      <w:r>
        <w:rPr>
          <w:rStyle w:val="CommentReference"/>
        </w:rPr>
        <w:annotationRef/>
      </w:r>
      <w:r>
        <w:t>Needs to be deleted</w:t>
      </w:r>
      <w:r w:rsidR="000247E7">
        <w:t xml:space="preserve"> because It’s an established met</w:t>
      </w:r>
      <w:r w:rsidR="007F6122">
        <w:t>hod and you are following it without any modification.</w:t>
      </w:r>
    </w:p>
  </w:comment>
  <w:comment w:id="7" w:author="apcas chiplima" w:date="2025-09-25T16:23:00Z" w:initials="ac">
    <w:p w14:paraId="6AF82F5B" w14:textId="3153351F" w:rsidR="007224B8" w:rsidRDefault="007224B8">
      <w:pPr>
        <w:pStyle w:val="CommentText"/>
      </w:pPr>
      <w:r>
        <w:rPr>
          <w:rStyle w:val="CommentReference"/>
        </w:rPr>
        <w:annotationRef/>
      </w:r>
      <w:r>
        <w:t xml:space="preserve">With reference to the </w:t>
      </w:r>
      <w:r w:rsidR="00D60685">
        <w:t>“</w:t>
      </w:r>
      <w:r>
        <w:t>preparation of plant extract</w:t>
      </w:r>
      <w:r w:rsidR="00D60685">
        <w:t>” kindly</w:t>
      </w:r>
      <w:r w:rsidR="007E190F">
        <w:t xml:space="preserve"> explain what do you mean by 1000 </w:t>
      </w:r>
      <w:r w:rsidR="00506A7A">
        <w:t xml:space="preserve">µg/ mL? and how it </w:t>
      </w:r>
      <w:r w:rsidR="008E3820">
        <w:t>was</w:t>
      </w:r>
      <w:r w:rsidR="00506A7A">
        <w:t xml:space="preserve"> calculated or </w:t>
      </w:r>
      <w:r w:rsidR="008E3820">
        <w:t>standardized</w:t>
      </w:r>
      <w:r w:rsidR="00506A7A">
        <w:t>?</w:t>
      </w:r>
    </w:p>
  </w:comment>
  <w:comment w:id="8" w:author="apcas chiplima" w:date="2025-09-25T16:26:00Z" w:initials="ac">
    <w:p w14:paraId="33D53C4B" w14:textId="2BC9410A" w:rsidR="00EF33D8" w:rsidRDefault="00EF33D8" w:rsidP="00EF33D8">
      <w:pPr>
        <w:pStyle w:val="CommentText"/>
      </w:pPr>
      <w:r>
        <w:rPr>
          <w:rStyle w:val="CommentReference"/>
        </w:rPr>
        <w:annotationRef/>
      </w:r>
      <w:r>
        <w:t xml:space="preserve">With reference to the “preparation of plant extract” kindly explain what do you mean by </w:t>
      </w:r>
      <w:r>
        <w:t>2</w:t>
      </w:r>
      <w:r>
        <w:t>000 µg/ mL? and how it was calculated or standardized?</w:t>
      </w:r>
    </w:p>
    <w:p w14:paraId="12F62A13" w14:textId="1676CDA9" w:rsidR="00EF33D8" w:rsidRDefault="00EF33D8">
      <w:pPr>
        <w:pStyle w:val="CommentText"/>
      </w:pPr>
    </w:p>
  </w:comment>
  <w:comment w:id="9" w:author="apcas chiplima" w:date="2025-09-25T16:26:00Z" w:initials="ac">
    <w:p w14:paraId="77306937" w14:textId="77777777" w:rsidR="00EF33D8" w:rsidRDefault="00EF33D8" w:rsidP="00EF33D8">
      <w:pPr>
        <w:pStyle w:val="CommentText"/>
      </w:pPr>
      <w:r>
        <w:rPr>
          <w:rStyle w:val="CommentReference"/>
        </w:rPr>
        <w:annotationRef/>
      </w:r>
      <w:r>
        <w:t>With reference to the “preparation of plant extract” kindly explain what do you mean by 1000 µg/ mL? and how it was calculated or standardized?</w:t>
      </w:r>
    </w:p>
    <w:p w14:paraId="62D0F220" w14:textId="17416835" w:rsidR="00EF33D8" w:rsidRDefault="00EF33D8">
      <w:pPr>
        <w:pStyle w:val="CommentText"/>
      </w:pPr>
    </w:p>
  </w:comment>
  <w:comment w:id="10" w:author="apcas chiplima" w:date="2025-09-25T16:27:00Z" w:initials="ac">
    <w:p w14:paraId="318EDECF" w14:textId="3AD24609" w:rsidR="00AB3589" w:rsidRDefault="00AB3589" w:rsidP="00AB3589">
      <w:pPr>
        <w:pStyle w:val="CommentText"/>
      </w:pPr>
      <w:r>
        <w:rPr>
          <w:rStyle w:val="CommentReference"/>
        </w:rPr>
        <w:annotationRef/>
      </w:r>
      <w:r>
        <w:t xml:space="preserve">With reference to the “preparation of plant extract” kindly explain what do you mean by </w:t>
      </w:r>
      <w:r>
        <w:t>2</w:t>
      </w:r>
      <w:r>
        <w:t>000 µg/ mL? and how it was calculated or standardized?</w:t>
      </w:r>
    </w:p>
    <w:p w14:paraId="1733ACD0" w14:textId="51068B68" w:rsidR="00AB3589" w:rsidRDefault="00AB3589">
      <w:pPr>
        <w:pStyle w:val="CommentText"/>
      </w:pPr>
    </w:p>
  </w:comment>
  <w:comment w:id="11" w:author="apcas chiplima" w:date="2025-09-25T16:27:00Z" w:initials="ac">
    <w:p w14:paraId="1414EFCA" w14:textId="0A776DE3" w:rsidR="00AB3589" w:rsidRDefault="00AB3589" w:rsidP="00AB3589">
      <w:pPr>
        <w:pStyle w:val="CommentText"/>
      </w:pPr>
      <w:r>
        <w:rPr>
          <w:rStyle w:val="CommentReference"/>
        </w:rPr>
        <w:annotationRef/>
      </w:r>
      <w:r>
        <w:t xml:space="preserve">With reference to the “preparation of plant extract” kindly explain what do you mean by </w:t>
      </w:r>
      <w:r>
        <w:t>5</w:t>
      </w:r>
      <w:r>
        <w:t>000 µg/ mL? and how it was calculated or standardized?</w:t>
      </w:r>
    </w:p>
    <w:p w14:paraId="2FD58B3B" w14:textId="023FC5F1" w:rsidR="00AB3589" w:rsidRDefault="00AB3589">
      <w:pPr>
        <w:pStyle w:val="CommentText"/>
      </w:pPr>
    </w:p>
  </w:comment>
  <w:comment w:id="12" w:author="apcas chiplima" w:date="2025-09-25T16:27:00Z" w:initials="ac">
    <w:p w14:paraId="48F94123" w14:textId="3FB2FED3" w:rsidR="00613C73" w:rsidRDefault="00613C73">
      <w:pPr>
        <w:pStyle w:val="CommentText"/>
      </w:pPr>
      <w:r>
        <w:rPr>
          <w:rStyle w:val="CommentReference"/>
        </w:rPr>
        <w:annotationRef/>
      </w:r>
      <w:r>
        <w:t>Same as above.</w:t>
      </w:r>
    </w:p>
  </w:comment>
  <w:comment w:id="13" w:author="apcas chiplima" w:date="2025-09-25T16:28:00Z" w:initials="ac">
    <w:p w14:paraId="50E6BA98" w14:textId="06DF2CDB" w:rsidR="00613C73" w:rsidRDefault="00613C73">
      <w:pPr>
        <w:pStyle w:val="CommentText"/>
      </w:pPr>
      <w:r>
        <w:rPr>
          <w:rStyle w:val="CommentReference"/>
        </w:rPr>
        <w:annotationRef/>
      </w:r>
      <w:r>
        <w:t>Same as above</w:t>
      </w:r>
    </w:p>
  </w:comment>
  <w:comment w:id="14" w:author="apcas chiplima" w:date="2025-09-25T16:30:00Z" w:initials="ac">
    <w:p w14:paraId="29BAF6A1" w14:textId="01098D65" w:rsidR="000E0F6E" w:rsidRDefault="000E0F6E">
      <w:pPr>
        <w:pStyle w:val="CommentText"/>
      </w:pPr>
      <w:r>
        <w:rPr>
          <w:rStyle w:val="CommentReference"/>
        </w:rPr>
        <w:annotationRef/>
      </w:r>
      <w:r w:rsidR="00295CED">
        <w:t>Kindly mention the reducing power with its appropriate</w:t>
      </w:r>
      <w:r w:rsidR="00C24213">
        <w:t xml:space="preserve"> unit instead of OD.</w:t>
      </w:r>
    </w:p>
  </w:comment>
  <w:comment w:id="15" w:author="apcas chiplima" w:date="2025-09-25T16:31:00Z" w:initials="ac">
    <w:p w14:paraId="25DA7E50" w14:textId="274AA167" w:rsidR="00C24213" w:rsidRDefault="00C24213">
      <w:pPr>
        <w:pStyle w:val="CommentText"/>
      </w:pPr>
      <w:r>
        <w:rPr>
          <w:rStyle w:val="CommentReference"/>
        </w:rPr>
        <w:annotationRef/>
      </w:r>
      <w:r>
        <w:t>Kindly mention the reducing power with its appropriate unit instead of OD.</w:t>
      </w:r>
    </w:p>
  </w:comment>
  <w:comment w:id="16" w:author="apcas chiplima" w:date="2025-09-25T16:32:00Z" w:initials="ac">
    <w:p w14:paraId="751EAC54" w14:textId="0D178A7B" w:rsidR="00C24213" w:rsidRDefault="00C24213">
      <w:pPr>
        <w:pStyle w:val="CommentText"/>
      </w:pPr>
      <w:r>
        <w:rPr>
          <w:rStyle w:val="CommentReference"/>
        </w:rPr>
        <w:annotationRef/>
      </w:r>
      <w:r>
        <w:t>Kindly mention the reducing power with its appropriate unit instead of OD.</w:t>
      </w:r>
    </w:p>
  </w:comment>
  <w:comment w:id="17" w:author="apcas chiplima" w:date="2025-09-25T16:32:00Z" w:initials="ac">
    <w:p w14:paraId="66A3AEC3" w14:textId="7CF4CAFA" w:rsidR="000C47B9" w:rsidRDefault="000C47B9">
      <w:pPr>
        <w:pStyle w:val="CommentText"/>
      </w:pPr>
      <w:r>
        <w:rPr>
          <w:rStyle w:val="CommentReference"/>
        </w:rPr>
        <w:annotationRef/>
      </w:r>
      <w:r>
        <w:t>With reference to the “preparation of plant extract” kindly explain what do you mean by 50 µg/ mL? and how it was calculated or standardized?</w:t>
      </w:r>
    </w:p>
  </w:comment>
  <w:comment w:id="18" w:author="apcas chiplima" w:date="2025-09-25T16:32:00Z" w:initials="ac">
    <w:p w14:paraId="561BE516" w14:textId="18E85B80" w:rsidR="000C47B9" w:rsidRDefault="000C47B9">
      <w:pPr>
        <w:pStyle w:val="CommentText"/>
      </w:pPr>
      <w:r>
        <w:rPr>
          <w:rStyle w:val="CommentReference"/>
        </w:rPr>
        <w:annotationRef/>
      </w:r>
      <w:r>
        <w:t xml:space="preserve">With reference to the “preparation of plant extract” kindly explain what do you mean by </w:t>
      </w:r>
      <w:r>
        <w:t>2</w:t>
      </w:r>
      <w:r>
        <w:t>00 µg/ mL? and how it was calculated or standardized?</w:t>
      </w:r>
    </w:p>
  </w:comment>
  <w:comment w:id="19" w:author="apcas chiplima" w:date="2025-09-25T16:33:00Z" w:initials="ac">
    <w:p w14:paraId="250AFE33" w14:textId="2DD1FEFC" w:rsidR="000C47B9" w:rsidRDefault="000C47B9">
      <w:pPr>
        <w:pStyle w:val="CommentText"/>
      </w:pPr>
      <w:r>
        <w:rPr>
          <w:rStyle w:val="CommentReference"/>
        </w:rPr>
        <w:annotationRef/>
      </w:r>
      <w:r>
        <w:t xml:space="preserve">With reference to the “preparation of plant extract” kindly explain what do you mean by </w:t>
      </w:r>
      <w:r>
        <w:t>1</w:t>
      </w:r>
      <w:r>
        <w:t>000 µg/ mL? and how it was calculated or standardized?</w:t>
      </w:r>
    </w:p>
  </w:comment>
  <w:comment w:id="20" w:author="apcas chiplima" w:date="2025-09-25T16:33:00Z" w:initials="ac">
    <w:p w14:paraId="10EF950E" w14:textId="2C1DBF28" w:rsidR="0043345D" w:rsidRDefault="0043345D">
      <w:pPr>
        <w:pStyle w:val="CommentText"/>
      </w:pPr>
      <w:r>
        <w:rPr>
          <w:rStyle w:val="CommentReference"/>
        </w:rPr>
        <w:annotationRef/>
      </w:r>
      <w:r>
        <w:t xml:space="preserve">With reference to the “preparation of plant extract” kindly explain what do you mean by </w:t>
      </w:r>
      <w:r>
        <w:t>4</w:t>
      </w:r>
      <w:r>
        <w:t>000 µg/ mL? and how it was calculated or standardized?</w:t>
      </w:r>
    </w:p>
  </w:comment>
  <w:comment w:id="21" w:author="apcas chiplima" w:date="2025-09-25T16:35:00Z" w:initials="ac">
    <w:p w14:paraId="42C20FB2" w14:textId="6556193F" w:rsidR="00687D2C" w:rsidRDefault="00687D2C">
      <w:pPr>
        <w:pStyle w:val="CommentText"/>
      </w:pPr>
      <w:r>
        <w:rPr>
          <w:rStyle w:val="CommentReference"/>
        </w:rPr>
        <w:annotationRef/>
      </w:r>
      <w:r>
        <w:t xml:space="preserve">With reference to the “preparation of plant extract” kindly explain what do you mean by </w:t>
      </w:r>
      <w:r w:rsidR="00F71E1A">
        <w:t>208.12 mg GAE</w:t>
      </w:r>
      <w:r>
        <w:t>/g extract</w:t>
      </w:r>
      <w:r>
        <w:t>? and how it was calculated or standardized?</w:t>
      </w:r>
    </w:p>
  </w:comment>
  <w:comment w:id="22" w:author="apcas chiplima" w:date="2025-09-25T16:36:00Z" w:initials="ac">
    <w:p w14:paraId="64ECFA92" w14:textId="40AA76BA" w:rsidR="00BF7C59" w:rsidRDefault="00BF7C59" w:rsidP="00BF7C59">
      <w:pPr>
        <w:pStyle w:val="CommentText"/>
      </w:pPr>
      <w:r>
        <w:rPr>
          <w:rStyle w:val="CommentReference"/>
        </w:rPr>
        <w:annotationRef/>
      </w:r>
      <w:r>
        <w:t xml:space="preserve">With reference to the “preparation of plant extract” kindly explain what do you mean by </w:t>
      </w:r>
      <w:r>
        <w:t xml:space="preserve">100 mg </w:t>
      </w:r>
      <w:r>
        <w:t>GAE/g extract? and how it was calculated or standardized?</w:t>
      </w:r>
    </w:p>
    <w:p w14:paraId="0DCD3778" w14:textId="7255992A" w:rsidR="00BF7C59" w:rsidRDefault="00BF7C59">
      <w:pPr>
        <w:pStyle w:val="CommentText"/>
      </w:pPr>
    </w:p>
  </w:comment>
  <w:comment w:id="23" w:author="apcas chiplima" w:date="2025-09-25T16:37:00Z" w:initials="ac">
    <w:p w14:paraId="3EEF52DD" w14:textId="74C2F901" w:rsidR="0028147B" w:rsidRDefault="0028147B" w:rsidP="0028147B">
      <w:pPr>
        <w:pStyle w:val="CommentText"/>
      </w:pPr>
      <w:r>
        <w:rPr>
          <w:rStyle w:val="CommentReference"/>
        </w:rPr>
        <w:annotationRef/>
      </w:r>
      <w:r>
        <w:t xml:space="preserve">With reference to the “preparation of plant extract” kindly explain what do you mean by </w:t>
      </w:r>
      <w:r w:rsidR="000B3F62" w:rsidRPr="006C78D6">
        <w:rPr>
          <w:rFonts w:ascii="Times New Roman" w:eastAsia="Times New Roman" w:hAnsi="Times New Roman" w:cs="Times New Roman"/>
          <w:kern w:val="0"/>
          <w14:ligatures w14:val="none"/>
        </w:rPr>
        <w:t>0 mg/mL to 80 mg/mL</w:t>
      </w:r>
      <w:r w:rsidR="000B3F62">
        <w:rPr>
          <w:rStyle w:val="CommentReference"/>
        </w:rPr>
        <w:annotationRef/>
      </w:r>
      <w:r w:rsidR="00EC197F">
        <w:rPr>
          <w:rFonts w:ascii="Times New Roman" w:eastAsia="Times New Roman" w:hAnsi="Times New Roman" w:cs="Times New Roman"/>
          <w:kern w:val="0"/>
          <w14:ligatures w14:val="none"/>
        </w:rPr>
        <w:t xml:space="preserve"> of</w:t>
      </w:r>
      <w:r>
        <w:t xml:space="preserve"> extract? and how it was calculated or standardized?</w:t>
      </w:r>
    </w:p>
    <w:p w14:paraId="58DF22B3" w14:textId="7E4AAE6B" w:rsidR="0028147B" w:rsidRDefault="0028147B">
      <w:pPr>
        <w:pStyle w:val="CommentText"/>
      </w:pPr>
    </w:p>
  </w:comment>
  <w:comment w:id="24" w:author="apcas chiplima" w:date="2025-09-25T16:39:00Z" w:initials="ac">
    <w:p w14:paraId="5E4C3EA8" w14:textId="270B11D2" w:rsidR="00C54024" w:rsidRDefault="00C54024">
      <w:pPr>
        <w:pStyle w:val="CommentText"/>
      </w:pPr>
      <w:r>
        <w:rPr>
          <w:rStyle w:val="CommentReference"/>
        </w:rPr>
        <w:annotationRef/>
      </w:r>
      <w:r w:rsidR="008C76D3">
        <w:t xml:space="preserve">With reference to the “preparation of plant extract” kindly explain how </w:t>
      </w:r>
      <w:r w:rsidR="008C76D3">
        <w:t xml:space="preserve">can you able to </w:t>
      </w:r>
      <w:r w:rsidR="00C7553E">
        <w:t xml:space="preserve">calculate the </w:t>
      </w:r>
      <w:r w:rsidR="0028749C">
        <w:t>concentration</w:t>
      </w:r>
      <w:r w:rsidR="00C7553E">
        <w:t xml:space="preserve"> of extract in </w:t>
      </w:r>
      <w:proofErr w:type="spellStart"/>
      <w:r w:rsidR="0028749C" w:rsidRPr="002C143B">
        <w:rPr>
          <w:rFonts w:ascii="Times New Roman" w:eastAsia="Times New Roman" w:hAnsi="Times New Roman" w:cs="Times New Roman"/>
          <w:color w:val="000000"/>
          <w:kern w:val="0"/>
          <w14:ligatures w14:val="none"/>
        </w:rPr>
        <w:t>μg</w:t>
      </w:r>
      <w:proofErr w:type="spellEnd"/>
      <w:r w:rsidR="0028749C" w:rsidRPr="002C143B">
        <w:rPr>
          <w:rFonts w:ascii="Times New Roman" w:eastAsia="Times New Roman" w:hAnsi="Times New Roman" w:cs="Times New Roman"/>
          <w:color w:val="000000"/>
          <w:kern w:val="0"/>
          <w14:ligatures w14:val="none"/>
        </w:rPr>
        <w:t>/ml</w:t>
      </w:r>
      <w:r w:rsidR="0028749C">
        <w:rPr>
          <w:rFonts w:ascii="Times New Roman" w:eastAsia="Times New Roman" w:hAnsi="Times New Roman" w:cs="Times New Roman"/>
          <w:color w:val="000000"/>
          <w:kern w:val="0"/>
          <w14:ligatures w14:val="none"/>
        </w:rPr>
        <w:t>?</w:t>
      </w:r>
    </w:p>
  </w:comment>
  <w:comment w:id="25" w:author="apcas chiplima" w:date="2025-09-25T16:42:00Z" w:initials="ac">
    <w:p w14:paraId="7770FEDD" w14:textId="77777777" w:rsidR="001C507E" w:rsidRDefault="001C507E" w:rsidP="001C507E">
      <w:pPr>
        <w:pStyle w:val="CommentText"/>
      </w:pPr>
      <w:r>
        <w:rPr>
          <w:rStyle w:val="CommentReference"/>
        </w:rPr>
        <w:annotationRef/>
      </w:r>
      <w:r>
        <w:t xml:space="preserve">With reference to the “preparation of plant extract” kindly explain how can you able to calculate the concentration of extract in </w:t>
      </w:r>
      <w:proofErr w:type="spellStart"/>
      <w:r w:rsidRPr="002C143B">
        <w:rPr>
          <w:rFonts w:ascii="Times New Roman" w:eastAsia="Times New Roman" w:hAnsi="Times New Roman" w:cs="Times New Roman"/>
          <w:color w:val="000000"/>
          <w:kern w:val="0"/>
          <w14:ligatures w14:val="none"/>
        </w:rPr>
        <w:t>μg</w:t>
      </w:r>
      <w:proofErr w:type="spellEnd"/>
      <w:r w:rsidRPr="002C143B">
        <w:rPr>
          <w:rFonts w:ascii="Times New Roman" w:eastAsia="Times New Roman" w:hAnsi="Times New Roman" w:cs="Times New Roman"/>
          <w:color w:val="000000"/>
          <w:kern w:val="0"/>
          <w14:ligatures w14:val="none"/>
        </w:rPr>
        <w:t>/ml</w:t>
      </w:r>
      <w:r>
        <w:rPr>
          <w:rFonts w:ascii="Times New Roman" w:eastAsia="Times New Roman" w:hAnsi="Times New Roman" w:cs="Times New Roman"/>
          <w:color w:val="000000"/>
          <w:kern w:val="0"/>
          <w14:ligatures w14:val="none"/>
        </w:rPr>
        <w:t>?</w:t>
      </w:r>
    </w:p>
    <w:p w14:paraId="5FB73D8D" w14:textId="44EE61B7" w:rsidR="001C507E" w:rsidRDefault="001C507E">
      <w:pPr>
        <w:pStyle w:val="CommentText"/>
      </w:pPr>
    </w:p>
  </w:comment>
  <w:comment w:id="26" w:author="apcas chiplima" w:date="2025-09-25T16:42:00Z" w:initials="ac">
    <w:p w14:paraId="5912A776" w14:textId="77777777" w:rsidR="002A5C6F" w:rsidRDefault="002A5C6F" w:rsidP="002A5C6F">
      <w:pPr>
        <w:pStyle w:val="CommentText"/>
      </w:pPr>
      <w:r>
        <w:rPr>
          <w:rStyle w:val="CommentReference"/>
        </w:rPr>
        <w:annotationRef/>
      </w:r>
      <w:r>
        <w:t xml:space="preserve">With reference to the “preparation of plant extract” kindly explain how can you able to calculate the concentration of extract in </w:t>
      </w:r>
      <w:proofErr w:type="spellStart"/>
      <w:r w:rsidRPr="002C143B">
        <w:rPr>
          <w:rFonts w:ascii="Times New Roman" w:eastAsia="Times New Roman" w:hAnsi="Times New Roman" w:cs="Times New Roman"/>
          <w:color w:val="000000"/>
          <w:kern w:val="0"/>
          <w14:ligatures w14:val="none"/>
        </w:rPr>
        <w:t>μg</w:t>
      </w:r>
      <w:proofErr w:type="spellEnd"/>
      <w:r w:rsidRPr="002C143B">
        <w:rPr>
          <w:rFonts w:ascii="Times New Roman" w:eastAsia="Times New Roman" w:hAnsi="Times New Roman" w:cs="Times New Roman"/>
          <w:color w:val="000000"/>
          <w:kern w:val="0"/>
          <w14:ligatures w14:val="none"/>
        </w:rPr>
        <w:t>/ml</w:t>
      </w:r>
      <w:r>
        <w:rPr>
          <w:rFonts w:ascii="Times New Roman" w:eastAsia="Times New Roman" w:hAnsi="Times New Roman" w:cs="Times New Roman"/>
          <w:color w:val="000000"/>
          <w:kern w:val="0"/>
          <w14:ligatures w14:val="none"/>
        </w:rPr>
        <w:t>?</w:t>
      </w:r>
    </w:p>
    <w:p w14:paraId="5C5EBFE0" w14:textId="3BAF4697" w:rsidR="002A5C6F" w:rsidRDefault="002A5C6F">
      <w:pPr>
        <w:pStyle w:val="CommentText"/>
      </w:pPr>
    </w:p>
  </w:comment>
  <w:comment w:id="27" w:author="apcas chiplima" w:date="2025-09-25T16:42:00Z" w:initials="ac">
    <w:p w14:paraId="0B90E0A7" w14:textId="77777777" w:rsidR="00F910F2" w:rsidRDefault="00F910F2" w:rsidP="00F910F2">
      <w:pPr>
        <w:pStyle w:val="CommentText"/>
      </w:pPr>
      <w:r>
        <w:rPr>
          <w:rStyle w:val="CommentReference"/>
        </w:rPr>
        <w:annotationRef/>
      </w:r>
      <w:r>
        <w:t xml:space="preserve">With reference to the “preparation of plant extract” kindly explain how can you able to calculate the concentration of extract in </w:t>
      </w:r>
      <w:proofErr w:type="spellStart"/>
      <w:r w:rsidRPr="002C143B">
        <w:rPr>
          <w:rFonts w:ascii="Times New Roman" w:eastAsia="Times New Roman" w:hAnsi="Times New Roman" w:cs="Times New Roman"/>
          <w:color w:val="000000"/>
          <w:kern w:val="0"/>
          <w14:ligatures w14:val="none"/>
        </w:rPr>
        <w:t>μg</w:t>
      </w:r>
      <w:proofErr w:type="spellEnd"/>
      <w:r w:rsidRPr="002C143B">
        <w:rPr>
          <w:rFonts w:ascii="Times New Roman" w:eastAsia="Times New Roman" w:hAnsi="Times New Roman" w:cs="Times New Roman"/>
          <w:color w:val="000000"/>
          <w:kern w:val="0"/>
          <w14:ligatures w14:val="none"/>
        </w:rPr>
        <w:t>/ml</w:t>
      </w:r>
      <w:r>
        <w:rPr>
          <w:rFonts w:ascii="Times New Roman" w:eastAsia="Times New Roman" w:hAnsi="Times New Roman" w:cs="Times New Roman"/>
          <w:color w:val="000000"/>
          <w:kern w:val="0"/>
          <w14:ligatures w14:val="none"/>
        </w:rPr>
        <w:t>?</w:t>
      </w:r>
    </w:p>
    <w:p w14:paraId="3FFC8872" w14:textId="50072263" w:rsidR="00F910F2" w:rsidRDefault="00F910F2">
      <w:pPr>
        <w:pStyle w:val="CommentText"/>
      </w:pPr>
    </w:p>
  </w:comment>
  <w:comment w:id="28" w:author="apcas chiplima" w:date="2025-09-25T16:43:00Z" w:initials="ac">
    <w:p w14:paraId="134FC101" w14:textId="1C345606" w:rsidR="00B25380" w:rsidRDefault="00CB0748" w:rsidP="00B25380">
      <w:pPr>
        <w:pStyle w:val="CommentText"/>
      </w:pPr>
      <w:r>
        <w:rPr>
          <w:rStyle w:val="CommentReference"/>
        </w:rPr>
        <w:annotationRef/>
      </w:r>
      <w:r w:rsidR="00B25380">
        <w:t xml:space="preserve">With reference to the “preparation of plant extract” kindly explain how can you able to calculate the concentration of extract in </w:t>
      </w:r>
      <w:r w:rsidR="00B25380">
        <w:rPr>
          <w:rFonts w:ascii="Times New Roman" w:eastAsia="Times New Roman" w:hAnsi="Times New Roman" w:cs="Times New Roman"/>
          <w:color w:val="000000"/>
          <w:kern w:val="0"/>
          <w14:ligatures w14:val="none"/>
        </w:rPr>
        <w:t>mg</w:t>
      </w:r>
      <w:r w:rsidR="00B25380" w:rsidRPr="002C143B">
        <w:rPr>
          <w:rFonts w:ascii="Times New Roman" w:eastAsia="Times New Roman" w:hAnsi="Times New Roman" w:cs="Times New Roman"/>
          <w:color w:val="000000"/>
          <w:kern w:val="0"/>
          <w14:ligatures w14:val="none"/>
        </w:rPr>
        <w:t>/</w:t>
      </w:r>
      <w:r w:rsidR="00B25380">
        <w:rPr>
          <w:rFonts w:ascii="Times New Roman" w:eastAsia="Times New Roman" w:hAnsi="Times New Roman" w:cs="Times New Roman"/>
          <w:color w:val="000000"/>
          <w:kern w:val="0"/>
          <w14:ligatures w14:val="none"/>
        </w:rPr>
        <w:t xml:space="preserve"> </w:t>
      </w:r>
      <w:r w:rsidR="00B25380" w:rsidRPr="002C143B">
        <w:rPr>
          <w:rFonts w:ascii="Times New Roman" w:eastAsia="Times New Roman" w:hAnsi="Times New Roman" w:cs="Times New Roman"/>
          <w:color w:val="000000"/>
          <w:kern w:val="0"/>
          <w14:ligatures w14:val="none"/>
        </w:rPr>
        <w:t>ml</w:t>
      </w:r>
      <w:r w:rsidR="00B25380">
        <w:rPr>
          <w:rFonts w:ascii="Times New Roman" w:eastAsia="Times New Roman" w:hAnsi="Times New Roman" w:cs="Times New Roman"/>
          <w:color w:val="000000"/>
          <w:kern w:val="0"/>
          <w14:ligatures w14:val="none"/>
        </w:rPr>
        <w:t>?</w:t>
      </w:r>
    </w:p>
    <w:p w14:paraId="0643828A" w14:textId="75AC07C5" w:rsidR="00CB0748" w:rsidRDefault="00CB0748">
      <w:pPr>
        <w:pStyle w:val="CommentText"/>
      </w:pPr>
    </w:p>
  </w:comment>
  <w:comment w:id="33" w:author="apcas chiplima" w:date="2025-09-25T16:47:00Z" w:initials="ac">
    <w:p w14:paraId="43934FA1" w14:textId="45A0E7E5" w:rsidR="0077243F" w:rsidRDefault="0077243F">
      <w:pPr>
        <w:pStyle w:val="CommentText"/>
      </w:pPr>
      <w:r>
        <w:rPr>
          <w:rStyle w:val="CommentReference"/>
        </w:rPr>
        <w:annotationRef/>
      </w:r>
      <w:r>
        <w:t>Write as per journal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5D4C2" w15:done="0"/>
  <w15:commentEx w15:paraId="32F48CE1" w15:done="0"/>
  <w15:commentEx w15:paraId="11AEBCA3" w15:done="0"/>
  <w15:commentEx w15:paraId="3651CD7B" w15:done="0"/>
  <w15:commentEx w15:paraId="4C36CD8F" w15:done="0"/>
  <w15:commentEx w15:paraId="6AF82F5B" w15:done="0"/>
  <w15:commentEx w15:paraId="12F62A13" w15:done="0"/>
  <w15:commentEx w15:paraId="62D0F220" w15:done="0"/>
  <w15:commentEx w15:paraId="1733ACD0" w15:done="0"/>
  <w15:commentEx w15:paraId="2FD58B3B" w15:done="0"/>
  <w15:commentEx w15:paraId="48F94123" w15:done="0"/>
  <w15:commentEx w15:paraId="50E6BA98" w15:done="0"/>
  <w15:commentEx w15:paraId="29BAF6A1" w15:done="0"/>
  <w15:commentEx w15:paraId="25DA7E50" w15:done="0"/>
  <w15:commentEx w15:paraId="751EAC54" w15:done="0"/>
  <w15:commentEx w15:paraId="66A3AEC3" w15:done="0"/>
  <w15:commentEx w15:paraId="561BE516" w15:done="0"/>
  <w15:commentEx w15:paraId="250AFE33" w15:done="0"/>
  <w15:commentEx w15:paraId="10EF950E" w15:done="0"/>
  <w15:commentEx w15:paraId="42C20FB2" w15:done="0"/>
  <w15:commentEx w15:paraId="0DCD3778" w15:done="0"/>
  <w15:commentEx w15:paraId="58DF22B3" w15:done="0"/>
  <w15:commentEx w15:paraId="5E4C3EA8" w15:done="0"/>
  <w15:commentEx w15:paraId="5FB73D8D" w15:done="0"/>
  <w15:commentEx w15:paraId="5C5EBFE0" w15:done="0"/>
  <w15:commentEx w15:paraId="3FFC8872" w15:done="0"/>
  <w15:commentEx w15:paraId="0643828A" w15:done="0"/>
  <w15:commentEx w15:paraId="43934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1AFC77" w16cex:dateUtc="2025-09-25T10:17:00Z"/>
  <w16cex:commentExtensible w16cex:durableId="38FCE814" w16cex:dateUtc="2025-09-25T10:31:00Z"/>
  <w16cex:commentExtensible w16cex:durableId="21B87A74" w16cex:dateUtc="2025-09-25T10:35:00Z"/>
  <w16cex:commentExtensible w16cex:durableId="11AE7393" w16cex:dateUtc="2025-09-25T10:40:00Z"/>
  <w16cex:commentExtensible w16cex:durableId="72AE7720" w16cex:dateUtc="2025-09-25T10:41:00Z"/>
  <w16cex:commentExtensible w16cex:durableId="49084B13" w16cex:dateUtc="2025-09-25T10:53:00Z"/>
  <w16cex:commentExtensible w16cex:durableId="4B100765" w16cex:dateUtc="2025-09-25T10:56:00Z"/>
  <w16cex:commentExtensible w16cex:durableId="646F8377" w16cex:dateUtc="2025-09-25T10:56:00Z"/>
  <w16cex:commentExtensible w16cex:durableId="5B7EFDEB" w16cex:dateUtc="2025-09-25T10:57:00Z"/>
  <w16cex:commentExtensible w16cex:durableId="6E2FA9E7" w16cex:dateUtc="2025-09-25T10:57:00Z"/>
  <w16cex:commentExtensible w16cex:durableId="4F1CACF4" w16cex:dateUtc="2025-09-25T10:57:00Z"/>
  <w16cex:commentExtensible w16cex:durableId="3ABF9CE9" w16cex:dateUtc="2025-09-25T10:58:00Z"/>
  <w16cex:commentExtensible w16cex:durableId="6D3A9F3F" w16cex:dateUtc="2025-09-25T11:00:00Z"/>
  <w16cex:commentExtensible w16cex:durableId="15C91AC6" w16cex:dateUtc="2025-09-25T11:01:00Z"/>
  <w16cex:commentExtensible w16cex:durableId="003ADFA0" w16cex:dateUtc="2025-09-25T11:02:00Z"/>
  <w16cex:commentExtensible w16cex:durableId="6704F22E" w16cex:dateUtc="2025-09-25T11:02:00Z"/>
  <w16cex:commentExtensible w16cex:durableId="0BF169C0" w16cex:dateUtc="2025-09-25T11:02:00Z"/>
  <w16cex:commentExtensible w16cex:durableId="04E176B2" w16cex:dateUtc="2025-09-25T11:03:00Z"/>
  <w16cex:commentExtensible w16cex:durableId="2C0329B6" w16cex:dateUtc="2025-09-25T11:03:00Z"/>
  <w16cex:commentExtensible w16cex:durableId="4804CAE0" w16cex:dateUtc="2025-09-25T11:05:00Z"/>
  <w16cex:commentExtensible w16cex:durableId="3AC1352C" w16cex:dateUtc="2025-09-25T11:06:00Z"/>
  <w16cex:commentExtensible w16cex:durableId="4BA7AB84" w16cex:dateUtc="2025-09-25T11:07:00Z"/>
  <w16cex:commentExtensible w16cex:durableId="33ECC9F2" w16cex:dateUtc="2025-09-25T11:09:00Z"/>
  <w16cex:commentExtensible w16cex:durableId="112E8B90" w16cex:dateUtc="2025-09-25T11:12:00Z"/>
  <w16cex:commentExtensible w16cex:durableId="54C593DD" w16cex:dateUtc="2025-09-25T11:12:00Z"/>
  <w16cex:commentExtensible w16cex:durableId="336EDF1E" w16cex:dateUtc="2025-09-25T11:12:00Z"/>
  <w16cex:commentExtensible w16cex:durableId="65AE8BF2" w16cex:dateUtc="2025-09-25T11:13:00Z"/>
  <w16cex:commentExtensible w16cex:durableId="3404D167" w16cex:dateUtc="2025-09-25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5D4C2" w16cid:durableId="461AFC77"/>
  <w16cid:commentId w16cid:paraId="32F48CE1" w16cid:durableId="38FCE814"/>
  <w16cid:commentId w16cid:paraId="11AEBCA3" w16cid:durableId="21B87A74"/>
  <w16cid:commentId w16cid:paraId="3651CD7B" w16cid:durableId="11AE7393"/>
  <w16cid:commentId w16cid:paraId="4C36CD8F" w16cid:durableId="72AE7720"/>
  <w16cid:commentId w16cid:paraId="6AF82F5B" w16cid:durableId="49084B13"/>
  <w16cid:commentId w16cid:paraId="12F62A13" w16cid:durableId="4B100765"/>
  <w16cid:commentId w16cid:paraId="62D0F220" w16cid:durableId="646F8377"/>
  <w16cid:commentId w16cid:paraId="1733ACD0" w16cid:durableId="5B7EFDEB"/>
  <w16cid:commentId w16cid:paraId="2FD58B3B" w16cid:durableId="6E2FA9E7"/>
  <w16cid:commentId w16cid:paraId="48F94123" w16cid:durableId="4F1CACF4"/>
  <w16cid:commentId w16cid:paraId="50E6BA98" w16cid:durableId="3ABF9CE9"/>
  <w16cid:commentId w16cid:paraId="29BAF6A1" w16cid:durableId="6D3A9F3F"/>
  <w16cid:commentId w16cid:paraId="25DA7E50" w16cid:durableId="15C91AC6"/>
  <w16cid:commentId w16cid:paraId="751EAC54" w16cid:durableId="003ADFA0"/>
  <w16cid:commentId w16cid:paraId="66A3AEC3" w16cid:durableId="6704F22E"/>
  <w16cid:commentId w16cid:paraId="561BE516" w16cid:durableId="0BF169C0"/>
  <w16cid:commentId w16cid:paraId="250AFE33" w16cid:durableId="04E176B2"/>
  <w16cid:commentId w16cid:paraId="10EF950E" w16cid:durableId="2C0329B6"/>
  <w16cid:commentId w16cid:paraId="42C20FB2" w16cid:durableId="4804CAE0"/>
  <w16cid:commentId w16cid:paraId="0DCD3778" w16cid:durableId="3AC1352C"/>
  <w16cid:commentId w16cid:paraId="58DF22B3" w16cid:durableId="4BA7AB84"/>
  <w16cid:commentId w16cid:paraId="5E4C3EA8" w16cid:durableId="33ECC9F2"/>
  <w16cid:commentId w16cid:paraId="5FB73D8D" w16cid:durableId="112E8B90"/>
  <w16cid:commentId w16cid:paraId="5C5EBFE0" w16cid:durableId="54C593DD"/>
  <w16cid:commentId w16cid:paraId="3FFC8872" w16cid:durableId="336EDF1E"/>
  <w16cid:commentId w16cid:paraId="0643828A" w16cid:durableId="65AE8BF2"/>
  <w16cid:commentId w16cid:paraId="43934FA1" w16cid:durableId="3404D1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EB4A" w14:textId="77777777" w:rsidR="00923312" w:rsidRDefault="00923312" w:rsidP="00F63B9F">
      <w:pPr>
        <w:spacing w:after="0" w:line="240" w:lineRule="auto"/>
      </w:pPr>
      <w:r>
        <w:separator/>
      </w:r>
    </w:p>
  </w:endnote>
  <w:endnote w:type="continuationSeparator" w:id="0">
    <w:p w14:paraId="2CF8C375" w14:textId="77777777" w:rsidR="00923312" w:rsidRDefault="00923312" w:rsidP="00F6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F57C" w14:textId="77777777" w:rsidR="00C6255E" w:rsidRDefault="00C6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58335"/>
      <w:docPartObj>
        <w:docPartGallery w:val="Page Numbers (Bottom of Page)"/>
        <w:docPartUnique/>
      </w:docPartObj>
    </w:sdtPr>
    <w:sdtEndPr/>
    <w:sdtContent>
      <w:p w14:paraId="27C8B5E1" w14:textId="1C4659B6" w:rsidR="00F63B9F" w:rsidRDefault="00F63B9F">
        <w:pPr>
          <w:pStyle w:val="Footer"/>
          <w:jc w:val="center"/>
        </w:pPr>
        <w:r>
          <w:fldChar w:fldCharType="begin"/>
        </w:r>
        <w:r>
          <w:instrText>PAGE   \* MERGEFORMAT</w:instrText>
        </w:r>
        <w:r>
          <w:fldChar w:fldCharType="separate"/>
        </w:r>
        <w:r>
          <w:rPr>
            <w:lang w:val="en-GB"/>
          </w:rPr>
          <w:t>2</w:t>
        </w:r>
        <w:r>
          <w:fldChar w:fldCharType="end"/>
        </w:r>
      </w:p>
    </w:sdtContent>
  </w:sdt>
  <w:p w14:paraId="2E29EC39" w14:textId="77777777" w:rsidR="00F63B9F" w:rsidRDefault="00F63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EA84" w14:textId="77777777" w:rsidR="00C6255E" w:rsidRDefault="00C6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D68F7" w14:textId="77777777" w:rsidR="00923312" w:rsidRDefault="00923312" w:rsidP="00F63B9F">
      <w:pPr>
        <w:spacing w:after="0" w:line="240" w:lineRule="auto"/>
      </w:pPr>
      <w:r>
        <w:separator/>
      </w:r>
    </w:p>
  </w:footnote>
  <w:footnote w:type="continuationSeparator" w:id="0">
    <w:p w14:paraId="0556B436" w14:textId="77777777" w:rsidR="00923312" w:rsidRDefault="00923312" w:rsidP="00F6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7D64" w14:textId="4FD7CDFC" w:rsidR="00C6255E" w:rsidRDefault="0077243F">
    <w:pPr>
      <w:pStyle w:val="Header"/>
    </w:pPr>
    <w:r>
      <w:rPr>
        <w:noProof/>
      </w:rPr>
      <w:pict w14:anchorId="5266E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36D9" w14:textId="1B52F064" w:rsidR="00C6255E" w:rsidRDefault="0077243F">
    <w:pPr>
      <w:pStyle w:val="Header"/>
    </w:pPr>
    <w:r>
      <w:rPr>
        <w:noProof/>
      </w:rPr>
      <w:pict w14:anchorId="6CA89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8FCA" w14:textId="50C8D295" w:rsidR="00C6255E" w:rsidRDefault="0077243F">
    <w:pPr>
      <w:pStyle w:val="Header"/>
    </w:pPr>
    <w:r>
      <w:rPr>
        <w:noProof/>
      </w:rPr>
      <w:pict w14:anchorId="5631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F13"/>
    <w:multiLevelType w:val="multilevel"/>
    <w:tmpl w:val="9C0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E7B75"/>
    <w:multiLevelType w:val="multilevel"/>
    <w:tmpl w:val="0C6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A362C"/>
    <w:multiLevelType w:val="multilevel"/>
    <w:tmpl w:val="FFF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387"/>
    <w:multiLevelType w:val="multilevel"/>
    <w:tmpl w:val="14D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003EC"/>
    <w:multiLevelType w:val="multilevel"/>
    <w:tmpl w:val="261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67571"/>
    <w:multiLevelType w:val="hybridMultilevel"/>
    <w:tmpl w:val="9A3EB25E"/>
    <w:lvl w:ilvl="0" w:tplc="55AC261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92D"/>
    <w:multiLevelType w:val="multilevel"/>
    <w:tmpl w:val="1888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779276">
    <w:abstractNumId w:val="6"/>
  </w:num>
  <w:num w:numId="2" w16cid:durableId="2146897260">
    <w:abstractNumId w:val="5"/>
  </w:num>
  <w:num w:numId="3" w16cid:durableId="149253763">
    <w:abstractNumId w:val="4"/>
  </w:num>
  <w:num w:numId="4" w16cid:durableId="1822382197">
    <w:abstractNumId w:val="3"/>
  </w:num>
  <w:num w:numId="5" w16cid:durableId="1387681796">
    <w:abstractNumId w:val="2"/>
  </w:num>
  <w:num w:numId="6" w16cid:durableId="1800369692">
    <w:abstractNumId w:val="0"/>
  </w:num>
  <w:num w:numId="7" w16cid:durableId="2708213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cas chiplima">
    <w15:presenceInfo w15:providerId="Windows Live" w15:userId="1de093d506839e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C5"/>
    <w:rsid w:val="000247E7"/>
    <w:rsid w:val="000266B9"/>
    <w:rsid w:val="00096D97"/>
    <w:rsid w:val="000B3F62"/>
    <w:rsid w:val="000B48A4"/>
    <w:rsid w:val="000C47B9"/>
    <w:rsid w:val="000D0BC2"/>
    <w:rsid w:val="000E0F6E"/>
    <w:rsid w:val="000E68E8"/>
    <w:rsid w:val="00142951"/>
    <w:rsid w:val="001555C1"/>
    <w:rsid w:val="00186150"/>
    <w:rsid w:val="00190889"/>
    <w:rsid w:val="001922C7"/>
    <w:rsid w:val="001A4127"/>
    <w:rsid w:val="001C507E"/>
    <w:rsid w:val="001F124A"/>
    <w:rsid w:val="00235871"/>
    <w:rsid w:val="00275588"/>
    <w:rsid w:val="0028147B"/>
    <w:rsid w:val="0028749C"/>
    <w:rsid w:val="00295CED"/>
    <w:rsid w:val="002A2983"/>
    <w:rsid w:val="002A5C6F"/>
    <w:rsid w:val="002C143B"/>
    <w:rsid w:val="002C1AFF"/>
    <w:rsid w:val="002D5954"/>
    <w:rsid w:val="00320347"/>
    <w:rsid w:val="00327254"/>
    <w:rsid w:val="00344BC0"/>
    <w:rsid w:val="0039186D"/>
    <w:rsid w:val="003A5F0B"/>
    <w:rsid w:val="003F0914"/>
    <w:rsid w:val="0040470F"/>
    <w:rsid w:val="00415D8B"/>
    <w:rsid w:val="004214C5"/>
    <w:rsid w:val="004218B8"/>
    <w:rsid w:val="00424E45"/>
    <w:rsid w:val="0043345D"/>
    <w:rsid w:val="004C183F"/>
    <w:rsid w:val="00506A7A"/>
    <w:rsid w:val="005207B3"/>
    <w:rsid w:val="0055263C"/>
    <w:rsid w:val="005577DB"/>
    <w:rsid w:val="00564D6F"/>
    <w:rsid w:val="005871EC"/>
    <w:rsid w:val="005B213F"/>
    <w:rsid w:val="005E3769"/>
    <w:rsid w:val="005F6903"/>
    <w:rsid w:val="005F6D0F"/>
    <w:rsid w:val="00604078"/>
    <w:rsid w:val="00613C73"/>
    <w:rsid w:val="0061541B"/>
    <w:rsid w:val="00631B44"/>
    <w:rsid w:val="00663A13"/>
    <w:rsid w:val="00682FEB"/>
    <w:rsid w:val="00687D2C"/>
    <w:rsid w:val="00696485"/>
    <w:rsid w:val="006A6B08"/>
    <w:rsid w:val="006C78D6"/>
    <w:rsid w:val="006D0C25"/>
    <w:rsid w:val="006E1B09"/>
    <w:rsid w:val="00704D7D"/>
    <w:rsid w:val="007224B8"/>
    <w:rsid w:val="00725EDA"/>
    <w:rsid w:val="00727C49"/>
    <w:rsid w:val="00757292"/>
    <w:rsid w:val="00762CDF"/>
    <w:rsid w:val="00765957"/>
    <w:rsid w:val="0077243F"/>
    <w:rsid w:val="007817C6"/>
    <w:rsid w:val="007B5ED3"/>
    <w:rsid w:val="007E190F"/>
    <w:rsid w:val="007F6122"/>
    <w:rsid w:val="00806926"/>
    <w:rsid w:val="008309D8"/>
    <w:rsid w:val="00846855"/>
    <w:rsid w:val="008B1CEE"/>
    <w:rsid w:val="008C76D3"/>
    <w:rsid w:val="008D23E9"/>
    <w:rsid w:val="008D7C8A"/>
    <w:rsid w:val="008E3820"/>
    <w:rsid w:val="00923312"/>
    <w:rsid w:val="00945211"/>
    <w:rsid w:val="0094591A"/>
    <w:rsid w:val="00947144"/>
    <w:rsid w:val="009714B3"/>
    <w:rsid w:val="00975422"/>
    <w:rsid w:val="00980E0B"/>
    <w:rsid w:val="00983919"/>
    <w:rsid w:val="009D62CC"/>
    <w:rsid w:val="009E1DE5"/>
    <w:rsid w:val="00A26EA4"/>
    <w:rsid w:val="00A458C4"/>
    <w:rsid w:val="00AA0E85"/>
    <w:rsid w:val="00AB3589"/>
    <w:rsid w:val="00AC33D5"/>
    <w:rsid w:val="00AF62AE"/>
    <w:rsid w:val="00B25380"/>
    <w:rsid w:val="00B405EC"/>
    <w:rsid w:val="00BA0847"/>
    <w:rsid w:val="00BB0260"/>
    <w:rsid w:val="00BC6F00"/>
    <w:rsid w:val="00BD0794"/>
    <w:rsid w:val="00BD07DA"/>
    <w:rsid w:val="00BF7C59"/>
    <w:rsid w:val="00C24213"/>
    <w:rsid w:val="00C35F83"/>
    <w:rsid w:val="00C54024"/>
    <w:rsid w:val="00C6255E"/>
    <w:rsid w:val="00C70552"/>
    <w:rsid w:val="00C7553E"/>
    <w:rsid w:val="00C83428"/>
    <w:rsid w:val="00C86DAB"/>
    <w:rsid w:val="00CB0748"/>
    <w:rsid w:val="00CC31FE"/>
    <w:rsid w:val="00CC570B"/>
    <w:rsid w:val="00CE5C06"/>
    <w:rsid w:val="00D46275"/>
    <w:rsid w:val="00D60685"/>
    <w:rsid w:val="00DE14F9"/>
    <w:rsid w:val="00E0541D"/>
    <w:rsid w:val="00E32B25"/>
    <w:rsid w:val="00E55996"/>
    <w:rsid w:val="00EC197F"/>
    <w:rsid w:val="00EE687A"/>
    <w:rsid w:val="00EF33D8"/>
    <w:rsid w:val="00F231B2"/>
    <w:rsid w:val="00F511BF"/>
    <w:rsid w:val="00F63B9F"/>
    <w:rsid w:val="00F71930"/>
    <w:rsid w:val="00F71E1A"/>
    <w:rsid w:val="00F8739D"/>
    <w:rsid w:val="00F901BB"/>
    <w:rsid w:val="00F910F2"/>
    <w:rsid w:val="00F935E8"/>
    <w:rsid w:val="00FB0132"/>
    <w:rsid w:val="00FF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7828C"/>
  <w15:chartTrackingRefBased/>
  <w15:docId w15:val="{4F39E8FD-F858-43F1-A7FE-60704AF2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4C5"/>
    <w:rPr>
      <w:rFonts w:eastAsiaTheme="majorEastAsia" w:cstheme="majorBidi"/>
      <w:color w:val="272727" w:themeColor="text1" w:themeTint="D8"/>
    </w:rPr>
  </w:style>
  <w:style w:type="paragraph" w:styleId="Title">
    <w:name w:val="Title"/>
    <w:basedOn w:val="Normal"/>
    <w:next w:val="Normal"/>
    <w:link w:val="TitleChar"/>
    <w:uiPriority w:val="10"/>
    <w:qFormat/>
    <w:rsid w:val="0042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4C5"/>
    <w:pPr>
      <w:spacing w:before="160"/>
      <w:jc w:val="center"/>
    </w:pPr>
    <w:rPr>
      <w:i/>
      <w:iCs/>
      <w:color w:val="404040" w:themeColor="text1" w:themeTint="BF"/>
    </w:rPr>
  </w:style>
  <w:style w:type="character" w:customStyle="1" w:styleId="QuoteChar">
    <w:name w:val="Quote Char"/>
    <w:basedOn w:val="DefaultParagraphFont"/>
    <w:link w:val="Quote"/>
    <w:uiPriority w:val="29"/>
    <w:rsid w:val="004214C5"/>
    <w:rPr>
      <w:i/>
      <w:iCs/>
      <w:color w:val="404040" w:themeColor="text1" w:themeTint="BF"/>
    </w:rPr>
  </w:style>
  <w:style w:type="paragraph" w:styleId="ListParagraph">
    <w:name w:val="List Paragraph"/>
    <w:basedOn w:val="Normal"/>
    <w:uiPriority w:val="34"/>
    <w:qFormat/>
    <w:rsid w:val="004214C5"/>
    <w:pPr>
      <w:ind w:left="720"/>
      <w:contextualSpacing/>
    </w:pPr>
  </w:style>
  <w:style w:type="character" w:styleId="IntenseEmphasis">
    <w:name w:val="Intense Emphasis"/>
    <w:basedOn w:val="DefaultParagraphFont"/>
    <w:uiPriority w:val="21"/>
    <w:qFormat/>
    <w:rsid w:val="004214C5"/>
    <w:rPr>
      <w:i/>
      <w:iCs/>
      <w:color w:val="0F4761" w:themeColor="accent1" w:themeShade="BF"/>
    </w:rPr>
  </w:style>
  <w:style w:type="paragraph" w:styleId="IntenseQuote">
    <w:name w:val="Intense Quote"/>
    <w:basedOn w:val="Normal"/>
    <w:next w:val="Normal"/>
    <w:link w:val="IntenseQuoteChar"/>
    <w:uiPriority w:val="30"/>
    <w:qFormat/>
    <w:rsid w:val="0042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4C5"/>
    <w:rPr>
      <w:i/>
      <w:iCs/>
      <w:color w:val="0F4761" w:themeColor="accent1" w:themeShade="BF"/>
    </w:rPr>
  </w:style>
  <w:style w:type="character" w:styleId="IntenseReference">
    <w:name w:val="Intense Reference"/>
    <w:basedOn w:val="DefaultParagraphFont"/>
    <w:uiPriority w:val="32"/>
    <w:qFormat/>
    <w:rsid w:val="004214C5"/>
    <w:rPr>
      <w:b/>
      <w:bCs/>
      <w:smallCaps/>
      <w:color w:val="0F4761" w:themeColor="accent1" w:themeShade="BF"/>
      <w:spacing w:val="5"/>
    </w:rPr>
  </w:style>
  <w:style w:type="paragraph" w:styleId="NormalWeb">
    <w:name w:val="Normal (Web)"/>
    <w:basedOn w:val="Normal"/>
    <w:uiPriority w:val="99"/>
    <w:unhideWhenUsed/>
    <w:rsid w:val="005577D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9F"/>
  </w:style>
  <w:style w:type="paragraph" w:styleId="Footer">
    <w:name w:val="footer"/>
    <w:basedOn w:val="Normal"/>
    <w:link w:val="FooterChar"/>
    <w:uiPriority w:val="99"/>
    <w:unhideWhenUsed/>
    <w:rsid w:val="00F6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9F"/>
  </w:style>
  <w:style w:type="character" w:styleId="Hyperlink">
    <w:name w:val="Hyperlink"/>
    <w:basedOn w:val="DefaultParagraphFont"/>
    <w:uiPriority w:val="99"/>
    <w:unhideWhenUsed/>
    <w:rsid w:val="00F511BF"/>
    <w:rPr>
      <w:color w:val="467886" w:themeColor="hyperlink"/>
      <w:u w:val="single"/>
    </w:rPr>
  </w:style>
  <w:style w:type="character" w:styleId="Emphasis">
    <w:name w:val="Emphasis"/>
    <w:basedOn w:val="DefaultParagraphFont"/>
    <w:uiPriority w:val="20"/>
    <w:qFormat/>
    <w:rsid w:val="00975422"/>
    <w:rPr>
      <w:i/>
      <w:iCs/>
    </w:rPr>
  </w:style>
  <w:style w:type="character" w:styleId="CommentReference">
    <w:name w:val="annotation reference"/>
    <w:basedOn w:val="DefaultParagraphFont"/>
    <w:uiPriority w:val="99"/>
    <w:semiHidden/>
    <w:unhideWhenUsed/>
    <w:rsid w:val="00D46275"/>
    <w:rPr>
      <w:sz w:val="16"/>
      <w:szCs w:val="16"/>
    </w:rPr>
  </w:style>
  <w:style w:type="paragraph" w:styleId="CommentText">
    <w:name w:val="annotation text"/>
    <w:basedOn w:val="Normal"/>
    <w:link w:val="CommentTextChar"/>
    <w:uiPriority w:val="99"/>
    <w:semiHidden/>
    <w:unhideWhenUsed/>
    <w:rsid w:val="00D46275"/>
    <w:pPr>
      <w:spacing w:line="240" w:lineRule="auto"/>
    </w:pPr>
    <w:rPr>
      <w:sz w:val="20"/>
      <w:szCs w:val="20"/>
    </w:rPr>
  </w:style>
  <w:style w:type="character" w:customStyle="1" w:styleId="CommentTextChar">
    <w:name w:val="Comment Text Char"/>
    <w:basedOn w:val="DefaultParagraphFont"/>
    <w:link w:val="CommentText"/>
    <w:uiPriority w:val="99"/>
    <w:semiHidden/>
    <w:rsid w:val="00D46275"/>
    <w:rPr>
      <w:sz w:val="20"/>
      <w:szCs w:val="20"/>
    </w:rPr>
  </w:style>
  <w:style w:type="paragraph" w:styleId="CommentSubject">
    <w:name w:val="annotation subject"/>
    <w:basedOn w:val="CommentText"/>
    <w:next w:val="CommentText"/>
    <w:link w:val="CommentSubjectChar"/>
    <w:uiPriority w:val="99"/>
    <w:semiHidden/>
    <w:unhideWhenUsed/>
    <w:rsid w:val="00D46275"/>
    <w:rPr>
      <w:b/>
      <w:bCs/>
    </w:rPr>
  </w:style>
  <w:style w:type="character" w:customStyle="1" w:styleId="CommentSubjectChar">
    <w:name w:val="Comment Subject Char"/>
    <w:basedOn w:val="CommentTextChar"/>
    <w:link w:val="CommentSubject"/>
    <w:uiPriority w:val="99"/>
    <w:semiHidden/>
    <w:rsid w:val="00D46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038/s41420-024-02278-8" TargetMode="External"/><Relationship Id="rId26" Type="http://schemas.openxmlformats.org/officeDocument/2006/relationships/hyperlink" Target="https://doi.org/10.1016/0891-5849(90)90033-O" TargetMode="External"/><Relationship Id="rId39"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1016/0003-2697(87)90222-3" TargetMode="External"/><Relationship Id="rId34" Type="http://schemas.openxmlformats.org/officeDocument/2006/relationships/hyperlink" Target="https://doi.org/10.1016/j.hazadv.2025.100608"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1038/1811199a0" TargetMode="External"/><Relationship Id="rId25" Type="http://schemas.openxmlformats.org/officeDocument/2006/relationships/hyperlink" Target="https://doi.org/10.1021/acs.est.3c07010" TargetMode="External"/><Relationship Id="rId33" Type="http://schemas.openxmlformats.org/officeDocument/2006/relationships/hyperlink" Target="https://doi.org/10.1006/abio.1999.401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89/fnut.2024.1399888" TargetMode="External"/><Relationship Id="rId29" Type="http://schemas.openxmlformats.org/officeDocument/2006/relationships/hyperlink" Target="https://doi.org/10.1016/j.fct.2011.11.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doi.org/10.1002/jat.4874" TargetMode="External"/><Relationship Id="rId32" Type="http://schemas.openxmlformats.org/officeDocument/2006/relationships/hyperlink" Target="https://doi.org/10.1016/j.yrtph.2019.104539" TargetMode="External"/><Relationship Id="rId37" Type="http://schemas.openxmlformats.org/officeDocument/2006/relationships/hyperlink" Target="https://doi.org/10.1155/jfbc/2625586"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3390/nu14102136" TargetMode="External"/><Relationship Id="rId28" Type="http://schemas.openxmlformats.org/officeDocument/2006/relationships/hyperlink" Target="https://doi.org/10.1016/j.ecoenv.2020.111752" TargetMode="External"/><Relationship Id="rId36" Type="http://schemas.openxmlformats.org/officeDocument/2006/relationships/hyperlink" Target="https://doi.org/10.1016/S0367-326X(02)00308-3" TargetMode="External"/><Relationship Id="rId10" Type="http://schemas.microsoft.com/office/2018/08/relationships/commentsExtensible" Target="commentsExtensible.xml"/><Relationship Id="rId19" Type="http://schemas.openxmlformats.org/officeDocument/2006/relationships/hyperlink" Target="https://doi.org/10.3389/fchem.2023.1158198" TargetMode="External"/><Relationship Id="rId31" Type="http://schemas.openxmlformats.org/officeDocument/2006/relationships/hyperlink" Target="https://doi.org/10.5264/eiyogakuzashi.44.30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016/j.foodchem.2005.05.077" TargetMode="External"/><Relationship Id="rId27" Type="http://schemas.openxmlformats.org/officeDocument/2006/relationships/hyperlink" Target="https://doi.org/10.1006/bbrc.1994.1754" TargetMode="External"/><Relationship Id="rId30" Type="http://schemas.openxmlformats.org/officeDocument/2006/relationships/hyperlink" Target="https://doi.org/10.1016/0003-2697(79)90738-3" TargetMode="External"/><Relationship Id="rId35" Type="http://schemas.openxmlformats.org/officeDocument/2006/relationships/hyperlink" Target="https://doi.org/10.1620/tjem.25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23</Pages>
  <Words>7560</Words>
  <Characters>43095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cujowundu@futo.edu.ng</dc:creator>
  <cp:keywords/>
  <dc:description/>
  <cp:lastModifiedBy>apcas chiplima</cp:lastModifiedBy>
  <cp:revision>53</cp:revision>
  <dcterms:created xsi:type="dcterms:W3CDTF">2025-09-20T19:50:00Z</dcterms:created>
  <dcterms:modified xsi:type="dcterms:W3CDTF">2025-09-25T11:18:00Z</dcterms:modified>
</cp:coreProperties>
</file>