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472918D8" w14:textId="77777777" w:rsidTr="002643B3">
        <w:trPr>
          <w:trHeight w:val="290"/>
        </w:trPr>
        <w:tc>
          <w:tcPr>
            <w:tcW w:w="5000" w:type="pct"/>
            <w:gridSpan w:val="2"/>
            <w:tcBorders>
              <w:top w:val="nil"/>
              <w:left w:val="nil"/>
              <w:right w:val="nil"/>
            </w:tcBorders>
          </w:tcPr>
          <w:p w14:paraId="3B7D0B59"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01442B0A" w14:textId="77777777" w:rsidTr="002643B3">
        <w:trPr>
          <w:trHeight w:val="290"/>
        </w:trPr>
        <w:tc>
          <w:tcPr>
            <w:tcW w:w="1234" w:type="pct"/>
          </w:tcPr>
          <w:p w14:paraId="0EAAE33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4CDACF01" w14:textId="77777777" w:rsidR="0000007A" w:rsidRPr="00E65EB7" w:rsidRDefault="007C62AA" w:rsidP="00E65EB7">
            <w:pPr>
              <w:rPr>
                <w:rFonts w:ascii="Arial" w:hAnsi="Arial" w:cs="Arial"/>
                <w:b/>
                <w:bCs/>
                <w:color w:val="0000FF"/>
                <w:sz w:val="20"/>
                <w:szCs w:val="20"/>
              </w:rPr>
            </w:pPr>
            <w:hyperlink r:id="rId8" w:history="1">
              <w:r w:rsidR="00DF0598" w:rsidRPr="00E160D1">
                <w:rPr>
                  <w:rStyle w:val="Hyperlink"/>
                  <w:rFonts w:ascii="Arial" w:hAnsi="Arial" w:cs="Arial"/>
                  <w:b/>
                  <w:bCs/>
                  <w:sz w:val="20"/>
                  <w:szCs w:val="20"/>
                </w:rPr>
                <w:t>Asian Journal of Medicine and Health</w:t>
              </w:r>
            </w:hyperlink>
            <w:r w:rsidR="00DF0598" w:rsidRPr="00DF0598">
              <w:rPr>
                <w:rFonts w:ascii="Arial" w:hAnsi="Arial" w:cs="Arial"/>
                <w:b/>
                <w:bCs/>
                <w:color w:val="0000FF"/>
                <w:sz w:val="20"/>
                <w:szCs w:val="20"/>
              </w:rPr>
              <w:t xml:space="preserve"> </w:t>
            </w:r>
          </w:p>
        </w:tc>
      </w:tr>
      <w:tr w:rsidR="0000007A" w:rsidRPr="00F245A7" w14:paraId="60E0C104" w14:textId="77777777" w:rsidTr="002643B3">
        <w:trPr>
          <w:trHeight w:val="290"/>
        </w:trPr>
        <w:tc>
          <w:tcPr>
            <w:tcW w:w="1234" w:type="pct"/>
          </w:tcPr>
          <w:p w14:paraId="2F33D1A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1FF0E9E" w14:textId="77777777" w:rsidR="0000007A" w:rsidRPr="00F245A7" w:rsidRDefault="00706A51" w:rsidP="00F3669D">
            <w:pPr>
              <w:pStyle w:val="NormalWeb"/>
              <w:spacing w:before="0" w:beforeAutospacing="0" w:after="0" w:afterAutospacing="0"/>
              <w:rPr>
                <w:rFonts w:ascii="Arial" w:hAnsi="Arial" w:cs="Arial"/>
                <w:b/>
                <w:bCs/>
                <w:sz w:val="20"/>
                <w:szCs w:val="28"/>
                <w:lang w:val="en-GB"/>
              </w:rPr>
            </w:pPr>
            <w:r w:rsidRPr="00706A51">
              <w:rPr>
                <w:rFonts w:ascii="Arial" w:hAnsi="Arial" w:cs="Arial"/>
                <w:b/>
                <w:bCs/>
                <w:sz w:val="20"/>
                <w:szCs w:val="28"/>
                <w:lang w:val="en-GB"/>
              </w:rPr>
              <w:t>Ms_AJMAH_147095</w:t>
            </w:r>
          </w:p>
        </w:tc>
      </w:tr>
      <w:tr w:rsidR="0000007A" w:rsidRPr="00F245A7" w14:paraId="5A6359AA" w14:textId="77777777" w:rsidTr="002643B3">
        <w:trPr>
          <w:trHeight w:val="650"/>
        </w:trPr>
        <w:tc>
          <w:tcPr>
            <w:tcW w:w="1234" w:type="pct"/>
          </w:tcPr>
          <w:p w14:paraId="2959910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6C1E1D9F" w14:textId="77777777" w:rsidR="0000007A" w:rsidRPr="00F245A7" w:rsidRDefault="00706A51" w:rsidP="000450FC">
            <w:pPr>
              <w:pStyle w:val="NormalWeb"/>
              <w:spacing w:before="0" w:beforeAutospacing="0" w:after="0" w:afterAutospacing="0"/>
              <w:rPr>
                <w:rFonts w:ascii="Arial" w:hAnsi="Arial" w:cs="Arial"/>
                <w:b/>
                <w:sz w:val="20"/>
                <w:szCs w:val="28"/>
                <w:lang w:val="en-GB"/>
              </w:rPr>
            </w:pPr>
            <w:r w:rsidRPr="00706A51">
              <w:rPr>
                <w:rFonts w:ascii="Arial" w:hAnsi="Arial" w:cs="Arial"/>
                <w:b/>
                <w:sz w:val="20"/>
                <w:szCs w:val="28"/>
                <w:lang w:val="en-GB"/>
              </w:rPr>
              <w:t>A Retrospective Analysis of Lassa Fever Cases, Mortality and Its Associated Factors Among Patients Attending Tertiary Hospital in North Central Nigeria</w:t>
            </w:r>
          </w:p>
        </w:tc>
      </w:tr>
      <w:tr w:rsidR="00CF0BBB" w:rsidRPr="00F245A7" w14:paraId="4B7CA565" w14:textId="77777777" w:rsidTr="002643B3">
        <w:trPr>
          <w:trHeight w:val="332"/>
        </w:trPr>
        <w:tc>
          <w:tcPr>
            <w:tcW w:w="1234" w:type="pct"/>
          </w:tcPr>
          <w:p w14:paraId="3073C72B"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4AC927D" w14:textId="77777777" w:rsidR="00CF0BBB" w:rsidRPr="00F245A7" w:rsidRDefault="00706A51" w:rsidP="000450FC">
            <w:pPr>
              <w:pStyle w:val="NormalWeb"/>
              <w:spacing w:before="0" w:beforeAutospacing="0" w:after="0" w:afterAutospacing="0"/>
              <w:rPr>
                <w:rFonts w:ascii="Arial" w:hAnsi="Arial" w:cs="Arial"/>
                <w:b/>
                <w:sz w:val="20"/>
                <w:szCs w:val="28"/>
                <w:lang w:val="en-GB"/>
              </w:rPr>
            </w:pPr>
            <w:r w:rsidRPr="00706A51">
              <w:rPr>
                <w:rFonts w:ascii="Arial" w:hAnsi="Arial" w:cs="Arial"/>
                <w:b/>
                <w:sz w:val="20"/>
                <w:szCs w:val="28"/>
                <w:lang w:val="en-GB"/>
              </w:rPr>
              <w:t>Original Research Article</w:t>
            </w:r>
          </w:p>
        </w:tc>
      </w:tr>
    </w:tbl>
    <w:p w14:paraId="4C6DA55E" w14:textId="7DE1BFE3" w:rsidR="00DD519D" w:rsidRPr="00900E9B" w:rsidRDefault="00DD519D" w:rsidP="00DD519D">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D519D" w:rsidRPr="00900E9B" w14:paraId="5B05A1BD" w14:textId="77777777">
        <w:tc>
          <w:tcPr>
            <w:tcW w:w="5000" w:type="pct"/>
            <w:gridSpan w:val="3"/>
            <w:tcBorders>
              <w:top w:val="nil"/>
              <w:left w:val="nil"/>
              <w:right w:val="nil"/>
            </w:tcBorders>
            <w:noWrap/>
          </w:tcPr>
          <w:p w14:paraId="256DE5A3" w14:textId="77777777" w:rsidR="00DD519D" w:rsidRPr="00900E9B" w:rsidRDefault="00DD519D">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040F5391" w14:textId="77777777" w:rsidR="00DD519D" w:rsidRPr="00900E9B" w:rsidRDefault="00DD519D">
            <w:pPr>
              <w:rPr>
                <w:sz w:val="20"/>
                <w:szCs w:val="20"/>
                <w:lang w:val="en-GB"/>
              </w:rPr>
            </w:pPr>
          </w:p>
        </w:tc>
      </w:tr>
      <w:tr w:rsidR="00DD519D" w:rsidRPr="00900E9B" w14:paraId="13BA1BF0" w14:textId="77777777">
        <w:tc>
          <w:tcPr>
            <w:tcW w:w="1265" w:type="pct"/>
            <w:noWrap/>
          </w:tcPr>
          <w:p w14:paraId="021AB51E" w14:textId="77777777" w:rsidR="00DD519D" w:rsidRPr="00900E9B" w:rsidRDefault="00DD519D">
            <w:pPr>
              <w:pStyle w:val="Heading2"/>
              <w:jc w:val="left"/>
              <w:rPr>
                <w:rFonts w:ascii="Times New Roman" w:hAnsi="Times New Roman"/>
                <w:lang w:val="en-GB"/>
              </w:rPr>
            </w:pPr>
          </w:p>
        </w:tc>
        <w:tc>
          <w:tcPr>
            <w:tcW w:w="2212" w:type="pct"/>
          </w:tcPr>
          <w:p w14:paraId="55A2F120" w14:textId="77777777" w:rsidR="00DD519D" w:rsidRDefault="00DD519D">
            <w:pPr>
              <w:pStyle w:val="Heading2"/>
              <w:jc w:val="left"/>
              <w:rPr>
                <w:rFonts w:ascii="Times New Roman" w:hAnsi="Times New Roman"/>
                <w:lang w:val="en-GB"/>
              </w:rPr>
            </w:pPr>
            <w:r w:rsidRPr="00900E9B">
              <w:rPr>
                <w:rFonts w:ascii="Times New Roman" w:hAnsi="Times New Roman"/>
                <w:lang w:val="en-GB"/>
              </w:rPr>
              <w:t>Reviewer’s comment</w:t>
            </w:r>
          </w:p>
          <w:p w14:paraId="67093F6D" w14:textId="77777777" w:rsidR="0046207A" w:rsidRDefault="0046207A" w:rsidP="0046207A">
            <w:pPr>
              <w:rPr>
                <w:b/>
                <w:bCs/>
                <w:sz w:val="20"/>
                <w:szCs w:val="20"/>
              </w:rPr>
            </w:pPr>
            <w:r w:rsidRPr="00A604EE">
              <w:rPr>
                <w:b/>
                <w:bCs/>
                <w:sz w:val="20"/>
                <w:szCs w:val="20"/>
                <w:highlight w:val="yellow"/>
              </w:rPr>
              <w:t>Artificial Intelligence (AI) generated or assisted review comments are strictly prohibited during peer review.</w:t>
            </w:r>
          </w:p>
          <w:p w14:paraId="68D33188" w14:textId="77777777" w:rsidR="0046207A" w:rsidRPr="0046207A" w:rsidRDefault="0046207A" w:rsidP="0046207A">
            <w:pPr>
              <w:rPr>
                <w:lang w:val="en-GB"/>
              </w:rPr>
            </w:pPr>
          </w:p>
        </w:tc>
        <w:tc>
          <w:tcPr>
            <w:tcW w:w="1523" w:type="pct"/>
          </w:tcPr>
          <w:p w14:paraId="09200EB1" w14:textId="77777777" w:rsidR="00281F0D" w:rsidRDefault="00281F0D" w:rsidP="00281F0D">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DE05F70" w14:textId="77777777" w:rsidR="00DD519D" w:rsidRPr="00900E9B" w:rsidRDefault="00DD519D">
            <w:pPr>
              <w:pStyle w:val="Heading2"/>
              <w:jc w:val="left"/>
              <w:rPr>
                <w:rFonts w:ascii="Times New Roman" w:hAnsi="Times New Roman"/>
                <w:b w:val="0"/>
                <w:lang w:val="en-GB"/>
              </w:rPr>
            </w:pPr>
          </w:p>
        </w:tc>
      </w:tr>
      <w:tr w:rsidR="00DD519D" w:rsidRPr="00900E9B" w14:paraId="69E062F5" w14:textId="77777777">
        <w:trPr>
          <w:trHeight w:val="1264"/>
        </w:trPr>
        <w:tc>
          <w:tcPr>
            <w:tcW w:w="1265" w:type="pct"/>
            <w:noWrap/>
          </w:tcPr>
          <w:p w14:paraId="65CE8E44" w14:textId="77777777" w:rsidR="00DD519D" w:rsidRPr="00900E9B" w:rsidRDefault="00DD519D">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034BCDE" w14:textId="77777777" w:rsidR="00DD519D" w:rsidRPr="00900E9B" w:rsidRDefault="00DD519D">
            <w:pPr>
              <w:ind w:left="360"/>
              <w:rPr>
                <w:rFonts w:eastAsia="MS Mincho"/>
                <w:b/>
                <w:bCs/>
                <w:sz w:val="20"/>
                <w:szCs w:val="20"/>
                <w:lang w:val="en-GB"/>
              </w:rPr>
            </w:pPr>
          </w:p>
        </w:tc>
        <w:tc>
          <w:tcPr>
            <w:tcW w:w="2212" w:type="pct"/>
          </w:tcPr>
          <w:p w14:paraId="423E5548" w14:textId="16B4EB14" w:rsidR="00DD519D" w:rsidRPr="00900E9B" w:rsidRDefault="004C444F">
            <w:pPr>
              <w:pStyle w:val="ListParagraph"/>
              <w:ind w:left="0"/>
              <w:rPr>
                <w:b/>
                <w:bCs/>
                <w:sz w:val="20"/>
                <w:szCs w:val="20"/>
                <w:lang w:val="en-GB"/>
              </w:rPr>
            </w:pPr>
            <w:r>
              <w:t xml:space="preserve">The manuscript addresses Lassa fever outcomes from a tertiary </w:t>
            </w:r>
            <w:proofErr w:type="spellStart"/>
            <w:r>
              <w:t>centre</w:t>
            </w:r>
            <w:proofErr w:type="spellEnd"/>
            <w:r>
              <w:t xml:space="preserve"> in North-Central Nigeria—which is an epidemiologically important setting with persistent outbreaks and limited hospital-level datasets. Hospital cohorts that describe clinical predictors of death are valuable for triage, resource allocation, and audit of case management (e.g., timeliness of ribavirin). If the analysis is strengthened and reporting could be made consistent, the paper could add useful data from Benue State to complement national surveillance reports.</w:t>
            </w:r>
          </w:p>
        </w:tc>
        <w:tc>
          <w:tcPr>
            <w:tcW w:w="1523" w:type="pct"/>
          </w:tcPr>
          <w:p w14:paraId="6C5A93AE" w14:textId="77777777" w:rsidR="00DD519D" w:rsidRPr="00900E9B" w:rsidRDefault="00DD519D">
            <w:pPr>
              <w:pStyle w:val="Heading2"/>
              <w:jc w:val="left"/>
              <w:rPr>
                <w:rFonts w:ascii="Times New Roman" w:hAnsi="Times New Roman"/>
                <w:b w:val="0"/>
                <w:lang w:val="en-GB"/>
              </w:rPr>
            </w:pPr>
          </w:p>
        </w:tc>
      </w:tr>
      <w:tr w:rsidR="00DD519D" w:rsidRPr="00900E9B" w14:paraId="7AE82C40" w14:textId="77777777">
        <w:trPr>
          <w:trHeight w:val="1262"/>
        </w:trPr>
        <w:tc>
          <w:tcPr>
            <w:tcW w:w="1265" w:type="pct"/>
            <w:noWrap/>
          </w:tcPr>
          <w:p w14:paraId="60414EA8" w14:textId="77777777" w:rsidR="00DD519D" w:rsidRPr="00900E9B" w:rsidRDefault="00DD519D">
            <w:pPr>
              <w:ind w:left="360"/>
              <w:rPr>
                <w:b/>
                <w:bCs/>
                <w:sz w:val="20"/>
                <w:szCs w:val="20"/>
                <w:lang w:val="en-GB"/>
              </w:rPr>
            </w:pPr>
            <w:r w:rsidRPr="00900E9B">
              <w:rPr>
                <w:b/>
                <w:bCs/>
                <w:sz w:val="20"/>
                <w:szCs w:val="20"/>
                <w:lang w:val="en-GB"/>
              </w:rPr>
              <w:t>Is the title of the article suitable?</w:t>
            </w:r>
          </w:p>
          <w:p w14:paraId="44737453" w14:textId="77777777" w:rsidR="00DD519D" w:rsidRPr="00900E9B" w:rsidRDefault="00DD519D">
            <w:pPr>
              <w:ind w:left="360"/>
              <w:rPr>
                <w:b/>
                <w:bCs/>
                <w:sz w:val="20"/>
                <w:szCs w:val="20"/>
                <w:lang w:val="en-GB"/>
              </w:rPr>
            </w:pPr>
            <w:r w:rsidRPr="00900E9B">
              <w:rPr>
                <w:b/>
                <w:bCs/>
                <w:sz w:val="20"/>
                <w:szCs w:val="20"/>
                <w:lang w:val="en-GB"/>
              </w:rPr>
              <w:t>(If not please suggest an alternative title)</w:t>
            </w:r>
          </w:p>
          <w:p w14:paraId="1C426035" w14:textId="77777777" w:rsidR="00DD519D" w:rsidRPr="00900E9B" w:rsidRDefault="00DD519D">
            <w:pPr>
              <w:pStyle w:val="Heading2"/>
              <w:jc w:val="left"/>
              <w:rPr>
                <w:rFonts w:ascii="Times New Roman" w:hAnsi="Times New Roman"/>
                <w:u w:val="single"/>
                <w:lang w:val="en-GB"/>
              </w:rPr>
            </w:pPr>
          </w:p>
        </w:tc>
        <w:tc>
          <w:tcPr>
            <w:tcW w:w="2212" w:type="pct"/>
          </w:tcPr>
          <w:p w14:paraId="397192BE" w14:textId="54B899B8" w:rsidR="00DD519D" w:rsidRPr="00900E9B" w:rsidRDefault="004C444F">
            <w:pPr>
              <w:ind w:left="360"/>
              <w:rPr>
                <w:b/>
                <w:bCs/>
                <w:sz w:val="20"/>
                <w:szCs w:val="20"/>
                <w:lang w:val="en-GB"/>
              </w:rPr>
            </w:pPr>
            <w:r>
              <w:t>The title is long and imprecise about the analytic population.</w:t>
            </w:r>
            <w:r>
              <w:br/>
            </w:r>
            <w:r>
              <w:rPr>
                <w:rStyle w:val="Strong"/>
                <w:rFonts w:eastAsia="Arial Unicode MS"/>
              </w:rPr>
              <w:t xml:space="preserve">one Suggested title could be </w:t>
            </w:r>
            <w:proofErr w:type="gramStart"/>
            <w:r>
              <w:rPr>
                <w:rStyle w:val="Strong"/>
                <w:rFonts w:eastAsia="Arial Unicode MS"/>
              </w:rPr>
              <w:t>-</w:t>
            </w:r>
            <w:r>
              <w:rPr>
                <w:rStyle w:val="Emphasis"/>
              </w:rPr>
              <w:t>“</w:t>
            </w:r>
            <w:proofErr w:type="gramEnd"/>
            <w:r>
              <w:rPr>
                <w:rStyle w:val="Emphasis"/>
              </w:rPr>
              <w:t>Lassa Fever at a Tertiary Hospital in North-Central Nigeria (2018–2023): Retrospective Cohort of RTPCR Confirmed Cases, Case Fatality and Factors Associated with Death.”</w:t>
            </w:r>
          </w:p>
        </w:tc>
        <w:tc>
          <w:tcPr>
            <w:tcW w:w="1523" w:type="pct"/>
          </w:tcPr>
          <w:p w14:paraId="5517536C" w14:textId="77777777" w:rsidR="00DD519D" w:rsidRPr="00900E9B" w:rsidRDefault="00DD519D">
            <w:pPr>
              <w:pStyle w:val="Heading2"/>
              <w:jc w:val="left"/>
              <w:rPr>
                <w:rFonts w:ascii="Times New Roman" w:hAnsi="Times New Roman"/>
                <w:b w:val="0"/>
                <w:lang w:val="en-GB"/>
              </w:rPr>
            </w:pPr>
          </w:p>
        </w:tc>
      </w:tr>
      <w:tr w:rsidR="00DD519D" w:rsidRPr="00900E9B" w14:paraId="407566A5" w14:textId="77777777">
        <w:trPr>
          <w:trHeight w:val="1262"/>
        </w:trPr>
        <w:tc>
          <w:tcPr>
            <w:tcW w:w="1265" w:type="pct"/>
            <w:noWrap/>
          </w:tcPr>
          <w:p w14:paraId="37F6812C" w14:textId="77777777" w:rsidR="00DD519D" w:rsidRPr="00900E9B" w:rsidRDefault="00DD519D">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6C63A72" w14:textId="77777777" w:rsidR="00DD519D" w:rsidRPr="00900E9B" w:rsidRDefault="00DD519D">
            <w:pPr>
              <w:pStyle w:val="Heading2"/>
              <w:jc w:val="left"/>
              <w:rPr>
                <w:rFonts w:ascii="Times New Roman" w:hAnsi="Times New Roman"/>
                <w:u w:val="single"/>
                <w:lang w:val="en-GB"/>
              </w:rPr>
            </w:pPr>
          </w:p>
        </w:tc>
        <w:tc>
          <w:tcPr>
            <w:tcW w:w="2212" w:type="pct"/>
          </w:tcPr>
          <w:p w14:paraId="7B1572E1" w14:textId="77777777" w:rsidR="00DD519D" w:rsidRPr="004C444F" w:rsidRDefault="004C444F" w:rsidP="004C444F">
            <w:pPr>
              <w:pStyle w:val="ListParagraph"/>
              <w:numPr>
                <w:ilvl w:val="0"/>
                <w:numId w:val="13"/>
              </w:numPr>
              <w:rPr>
                <w:b/>
                <w:bCs/>
                <w:sz w:val="20"/>
                <w:szCs w:val="20"/>
                <w:lang w:val="en-GB"/>
              </w:rPr>
            </w:pPr>
            <w:r>
              <w:t>Time window i.e. the study period is not</w:t>
            </w:r>
            <w:r w:rsidRPr="004C444F">
              <w:t xml:space="preserve"> </w:t>
            </w:r>
            <w:r w:rsidRPr="004C444F">
              <w:rPr>
                <w:rStyle w:val="Strong"/>
                <w:rFonts w:eastAsia="Arial Unicode MS"/>
                <w:b w:val="0"/>
              </w:rPr>
              <w:t>consistent</w:t>
            </w:r>
            <w:r w:rsidRPr="004C444F">
              <w:rPr>
                <w:b/>
              </w:rPr>
              <w:t xml:space="preserve"> </w:t>
            </w:r>
            <w:r>
              <w:t>throughout (choose one range and use it everywhere else in the main manuscript as well).</w:t>
            </w:r>
          </w:p>
          <w:p w14:paraId="6F17ACE8" w14:textId="77777777" w:rsidR="004C444F" w:rsidRPr="004C444F" w:rsidRDefault="004C444F" w:rsidP="004C444F">
            <w:pPr>
              <w:pStyle w:val="ListParagraph"/>
              <w:numPr>
                <w:ilvl w:val="0"/>
                <w:numId w:val="13"/>
              </w:numPr>
              <w:rPr>
                <w:b/>
                <w:bCs/>
                <w:sz w:val="20"/>
                <w:szCs w:val="20"/>
                <w:lang w:val="en-GB"/>
              </w:rPr>
            </w:pPr>
            <w:r w:rsidRPr="004C444F">
              <w:rPr>
                <w:rStyle w:val="Strong"/>
                <w:rFonts w:eastAsia="Arial Unicode MS"/>
                <w:b w:val="0"/>
              </w:rPr>
              <w:t>Denominators should be clearly mentioned</w:t>
            </w:r>
            <w:r>
              <w:t>. The author mentioned that tested = 179; confirmed = 62 and analyzed (complete charts) = 55. Explain why 7 confirmed were excluded.</w:t>
            </w:r>
          </w:p>
          <w:p w14:paraId="2D380C82" w14:textId="77777777" w:rsidR="004C444F" w:rsidRPr="004C444F" w:rsidRDefault="004C444F" w:rsidP="004C444F">
            <w:pPr>
              <w:pStyle w:val="ListParagraph"/>
              <w:numPr>
                <w:ilvl w:val="0"/>
                <w:numId w:val="13"/>
              </w:numPr>
              <w:rPr>
                <w:b/>
                <w:bCs/>
                <w:sz w:val="20"/>
                <w:szCs w:val="20"/>
                <w:lang w:val="en-GB"/>
              </w:rPr>
            </w:pPr>
            <w:r>
              <w:t xml:space="preserve">Abstract claims diarrhea, jaundice, decreased urine volume were “statistically significant (p&lt;0.003)” and craniofacial bleeding (p&lt;0.025), but the multivariable model shows </w:t>
            </w:r>
            <w:r w:rsidRPr="005A599D">
              <w:rPr>
                <w:rStyle w:val="Strong"/>
                <w:rFonts w:eastAsia="Arial Unicode MS"/>
                <w:b w:val="0"/>
              </w:rPr>
              <w:t>not significant</w:t>
            </w:r>
            <w:r w:rsidRPr="005A599D">
              <w:rPr>
                <w:b/>
              </w:rPr>
              <w:t>.</w:t>
            </w:r>
            <w:r w:rsidRPr="001856B7">
              <w:t xml:space="preserve"> Author can Keep significance claims</w:t>
            </w:r>
            <w:r w:rsidRPr="005A599D">
              <w:t xml:space="preserve"> </w:t>
            </w:r>
            <w:r w:rsidRPr="005A599D">
              <w:rPr>
                <w:rStyle w:val="Strong"/>
                <w:rFonts w:eastAsia="Arial Unicode MS"/>
                <w:b w:val="0"/>
              </w:rPr>
              <w:t>only</w:t>
            </w:r>
            <w:r w:rsidRPr="001856B7">
              <w:t xml:space="preserve"> from one analysis tier (bivariate or multivariable). Given sample size, author can stick to </w:t>
            </w:r>
            <w:r w:rsidRPr="005A599D">
              <w:rPr>
                <w:rStyle w:val="Strong"/>
                <w:rFonts w:eastAsia="Arial Unicode MS"/>
                <w:b w:val="0"/>
              </w:rPr>
              <w:t>bivariate exact tests</w:t>
            </w:r>
            <w:r w:rsidRPr="001856B7">
              <w:t xml:space="preserve"> an</w:t>
            </w:r>
            <w:r>
              <w:t>d label multivariable as exploratory if author wants to retain it.</w:t>
            </w:r>
          </w:p>
          <w:p w14:paraId="1C552114" w14:textId="6EEA7976" w:rsidR="004C444F" w:rsidRPr="004C444F" w:rsidRDefault="00723EED" w:rsidP="004C444F">
            <w:pPr>
              <w:pStyle w:val="ListParagraph"/>
              <w:numPr>
                <w:ilvl w:val="0"/>
                <w:numId w:val="13"/>
              </w:numPr>
              <w:rPr>
                <w:b/>
                <w:bCs/>
                <w:sz w:val="20"/>
                <w:szCs w:val="20"/>
                <w:lang w:val="en-GB"/>
              </w:rPr>
            </w:pPr>
            <w:r>
              <w:t xml:space="preserve"> Not clear</w:t>
            </w:r>
            <w:r w:rsidR="004C444F">
              <w:t xml:space="preserve"> phrases (e.g., “craniofacial orifice”) should not be </w:t>
            </w:r>
            <w:proofErr w:type="gramStart"/>
            <w:r w:rsidR="004C444F">
              <w:t>used ,</w:t>
            </w:r>
            <w:proofErr w:type="gramEnd"/>
            <w:r w:rsidR="004C444F">
              <w:t xml:space="preserve"> it can be replaced with clinical terms like (“mucosal bleeding from craniofacial sites”).</w:t>
            </w:r>
          </w:p>
          <w:p w14:paraId="7DBCE97F" w14:textId="25A3E0E9" w:rsidR="004C444F" w:rsidRPr="004C444F" w:rsidRDefault="001856B7" w:rsidP="004C444F">
            <w:pPr>
              <w:pStyle w:val="ListParagraph"/>
              <w:numPr>
                <w:ilvl w:val="0"/>
                <w:numId w:val="13"/>
              </w:numPr>
              <w:rPr>
                <w:b/>
                <w:bCs/>
                <w:sz w:val="20"/>
                <w:szCs w:val="20"/>
                <w:lang w:val="en-GB"/>
              </w:rPr>
            </w:pPr>
            <w:r w:rsidRPr="001856B7">
              <w:rPr>
                <w:rStyle w:val="Strong"/>
                <w:rFonts w:eastAsia="Arial Unicode MS"/>
                <w:b w:val="0"/>
              </w:rPr>
              <w:t>O</w:t>
            </w:r>
            <w:r w:rsidR="004C444F" w:rsidRPr="001856B7">
              <w:rPr>
                <w:rStyle w:val="Strong"/>
                <w:rFonts w:eastAsia="Arial Unicode MS"/>
                <w:b w:val="0"/>
              </w:rPr>
              <w:t xml:space="preserve">verall CFR </w:t>
            </w:r>
            <w:r w:rsidRPr="001856B7">
              <w:rPr>
                <w:rStyle w:val="Strong"/>
                <w:rFonts w:eastAsia="Arial Unicode MS"/>
                <w:b w:val="0"/>
              </w:rPr>
              <w:t xml:space="preserve">can be reported </w:t>
            </w:r>
            <w:r w:rsidR="004C444F" w:rsidRPr="001856B7">
              <w:rPr>
                <w:rStyle w:val="Strong"/>
                <w:rFonts w:eastAsia="Arial Unicode MS"/>
                <w:b w:val="0"/>
              </w:rPr>
              <w:t>with 95% CI</w:t>
            </w:r>
            <w:r>
              <w:t>.</w:t>
            </w:r>
          </w:p>
        </w:tc>
        <w:tc>
          <w:tcPr>
            <w:tcW w:w="1523" w:type="pct"/>
          </w:tcPr>
          <w:p w14:paraId="5356B548" w14:textId="77777777" w:rsidR="00DD519D" w:rsidRPr="00900E9B" w:rsidRDefault="00DD519D">
            <w:pPr>
              <w:pStyle w:val="Heading2"/>
              <w:jc w:val="left"/>
              <w:rPr>
                <w:rFonts w:ascii="Times New Roman" w:hAnsi="Times New Roman"/>
                <w:b w:val="0"/>
                <w:lang w:val="en-GB"/>
              </w:rPr>
            </w:pPr>
          </w:p>
        </w:tc>
      </w:tr>
      <w:tr w:rsidR="00DD519D" w:rsidRPr="00900E9B" w14:paraId="1503BDF3" w14:textId="77777777">
        <w:trPr>
          <w:trHeight w:val="704"/>
        </w:trPr>
        <w:tc>
          <w:tcPr>
            <w:tcW w:w="1265" w:type="pct"/>
            <w:noWrap/>
          </w:tcPr>
          <w:p w14:paraId="72EF9976" w14:textId="77777777" w:rsidR="00DD519D" w:rsidRPr="00900E9B" w:rsidRDefault="00DD519D">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1910446" w14:textId="77777777" w:rsidR="001856B7" w:rsidRPr="001856B7" w:rsidRDefault="001856B7" w:rsidP="001856B7">
            <w:pPr>
              <w:spacing w:before="100" w:beforeAutospacing="1" w:after="100" w:afterAutospacing="1"/>
              <w:rPr>
                <w:lang w:val="en-IN" w:eastAsia="en-IN"/>
              </w:rPr>
            </w:pPr>
            <w:r w:rsidRPr="001856B7">
              <w:rPr>
                <w:lang w:val="en-IN" w:eastAsia="en-IN"/>
              </w:rPr>
              <w:t xml:space="preserve">Cohort definition is reasonable, but there are several </w:t>
            </w:r>
            <w:r w:rsidRPr="001856B7">
              <w:rPr>
                <w:bCs/>
                <w:lang w:val="en-IN" w:eastAsia="en-IN"/>
              </w:rPr>
              <w:t>methodologic issues</w:t>
            </w:r>
            <w:r w:rsidRPr="001856B7">
              <w:rPr>
                <w:lang w:val="en-IN" w:eastAsia="en-IN"/>
              </w:rPr>
              <w:t xml:space="preserve"> that must be fixed:</w:t>
            </w:r>
          </w:p>
          <w:p w14:paraId="735DBC81" w14:textId="77777777" w:rsidR="001856B7" w:rsidRPr="001856B7" w:rsidRDefault="001856B7" w:rsidP="001856B7">
            <w:pPr>
              <w:numPr>
                <w:ilvl w:val="0"/>
                <w:numId w:val="14"/>
              </w:numPr>
              <w:spacing w:before="100" w:beforeAutospacing="1" w:after="100" w:afterAutospacing="1"/>
              <w:rPr>
                <w:lang w:val="en-IN" w:eastAsia="en-IN"/>
              </w:rPr>
            </w:pPr>
            <w:r w:rsidRPr="001856B7">
              <w:rPr>
                <w:b/>
                <w:bCs/>
                <w:lang w:val="en-IN" w:eastAsia="en-IN"/>
              </w:rPr>
              <w:t>Inconsistent dates</w:t>
            </w:r>
            <w:r w:rsidRPr="001856B7">
              <w:rPr>
                <w:lang w:val="en-IN" w:eastAsia="en-IN"/>
              </w:rPr>
              <w:t xml:space="preserve"> (Jan vs Feb start; Mar vs Aug end).</w:t>
            </w:r>
          </w:p>
          <w:p w14:paraId="6E15A137" w14:textId="6ADDB7C0" w:rsidR="001856B7" w:rsidRPr="001856B7" w:rsidRDefault="001856B7" w:rsidP="001856B7">
            <w:pPr>
              <w:numPr>
                <w:ilvl w:val="0"/>
                <w:numId w:val="14"/>
              </w:numPr>
              <w:spacing w:before="100" w:beforeAutospacing="1" w:after="100" w:afterAutospacing="1"/>
              <w:rPr>
                <w:lang w:val="en-IN" w:eastAsia="en-IN"/>
              </w:rPr>
            </w:pPr>
            <w:r w:rsidRPr="001856B7">
              <w:rPr>
                <w:b/>
                <w:bCs/>
                <w:lang w:val="en-IN" w:eastAsia="en-IN"/>
              </w:rPr>
              <w:t>Sample flow</w:t>
            </w:r>
            <w:r w:rsidRPr="001856B7">
              <w:rPr>
                <w:lang w:val="en-IN" w:eastAsia="en-IN"/>
              </w:rPr>
              <w:t xml:space="preserve"> unclear (62 c</w:t>
            </w:r>
            <w:r>
              <w:rPr>
                <w:lang w:val="en-IN" w:eastAsia="en-IN"/>
              </w:rPr>
              <w:t xml:space="preserve">onfirmed vs 55 </w:t>
            </w:r>
            <w:proofErr w:type="spellStart"/>
            <w:r>
              <w:rPr>
                <w:lang w:val="en-IN" w:eastAsia="en-IN"/>
              </w:rPr>
              <w:t>analyzed</w:t>
            </w:r>
            <w:proofErr w:type="spellEnd"/>
            <w:r>
              <w:rPr>
                <w:lang w:val="en-IN" w:eastAsia="en-IN"/>
              </w:rPr>
              <w:t>). A flow diagram should be added.</w:t>
            </w:r>
          </w:p>
          <w:p w14:paraId="4ED69AAA" w14:textId="07F14B4B" w:rsidR="001856B7" w:rsidRPr="001856B7" w:rsidRDefault="001856B7" w:rsidP="001856B7">
            <w:pPr>
              <w:numPr>
                <w:ilvl w:val="0"/>
                <w:numId w:val="14"/>
              </w:numPr>
              <w:spacing w:before="100" w:beforeAutospacing="1" w:after="100" w:afterAutospacing="1"/>
              <w:rPr>
                <w:lang w:val="en-IN" w:eastAsia="en-IN"/>
              </w:rPr>
            </w:pPr>
            <w:r w:rsidRPr="001856B7">
              <w:rPr>
                <w:b/>
                <w:bCs/>
                <w:lang w:val="en-IN" w:eastAsia="en-IN"/>
              </w:rPr>
              <w:t>Overfitting</w:t>
            </w:r>
            <w:r w:rsidRPr="001856B7">
              <w:rPr>
                <w:lang w:val="en-IN" w:eastAsia="en-IN"/>
              </w:rPr>
              <w:t>: 5 deaths with 5 predictors causes quasi-separation (evi</w:t>
            </w:r>
            <w:r>
              <w:rPr>
                <w:lang w:val="en-IN" w:eastAsia="en-IN"/>
              </w:rPr>
              <w:t xml:space="preserve">denced by impossible AORs). </w:t>
            </w:r>
            <w:r w:rsidRPr="005A599D">
              <w:rPr>
                <w:bCs/>
                <w:lang w:val="en-IN" w:eastAsia="en-IN"/>
              </w:rPr>
              <w:t>Bivariate exact tests</w:t>
            </w:r>
            <w:r w:rsidRPr="001856B7">
              <w:rPr>
                <w:lang w:val="en-IN" w:eastAsia="en-IN"/>
              </w:rPr>
              <w:t xml:space="preserve"> or </w:t>
            </w:r>
            <w:r w:rsidRPr="005A599D">
              <w:rPr>
                <w:bCs/>
                <w:lang w:val="en-IN" w:eastAsia="en-IN"/>
              </w:rPr>
              <w:t>Firth/exact logistic</w:t>
            </w:r>
            <w:r w:rsidRPr="001856B7">
              <w:rPr>
                <w:lang w:val="en-IN" w:eastAsia="en-IN"/>
              </w:rPr>
              <w:t xml:space="preserve"> with ≤2 a-priori predictors</w:t>
            </w:r>
            <w:r>
              <w:rPr>
                <w:lang w:val="en-IN" w:eastAsia="en-IN"/>
              </w:rPr>
              <w:t xml:space="preserve"> can be used. Otherwise, multivariable analysis should not be used.</w:t>
            </w:r>
          </w:p>
          <w:p w14:paraId="72E90751" w14:textId="13E984A8" w:rsidR="001856B7" w:rsidRDefault="001856B7" w:rsidP="001856B7">
            <w:pPr>
              <w:numPr>
                <w:ilvl w:val="0"/>
                <w:numId w:val="14"/>
              </w:numPr>
              <w:spacing w:before="100" w:beforeAutospacing="1" w:after="100" w:afterAutospacing="1"/>
              <w:rPr>
                <w:lang w:val="en-IN" w:eastAsia="en-IN"/>
              </w:rPr>
            </w:pPr>
            <w:r w:rsidRPr="001856B7">
              <w:rPr>
                <w:bCs/>
                <w:lang w:val="en-IN" w:eastAsia="en-IN"/>
              </w:rPr>
              <w:t>Missing-data handling</w:t>
            </w:r>
            <w:r>
              <w:rPr>
                <w:lang w:val="en-IN" w:eastAsia="en-IN"/>
              </w:rPr>
              <w:t xml:space="preserve"> not stated.</w:t>
            </w:r>
            <w:r w:rsidRPr="001856B7">
              <w:rPr>
                <w:lang w:val="en-IN" w:eastAsia="en-IN"/>
              </w:rPr>
              <w:t xml:space="preserve"> </w:t>
            </w:r>
          </w:p>
          <w:p w14:paraId="64539319" w14:textId="4F044C1E" w:rsidR="001856B7" w:rsidRPr="001856B7" w:rsidRDefault="001856B7" w:rsidP="001856B7">
            <w:pPr>
              <w:numPr>
                <w:ilvl w:val="0"/>
                <w:numId w:val="14"/>
              </w:numPr>
              <w:spacing w:before="100" w:beforeAutospacing="1" w:after="100" w:afterAutospacing="1"/>
              <w:rPr>
                <w:lang w:val="en-IN" w:eastAsia="en-IN"/>
              </w:rPr>
            </w:pPr>
            <w:proofErr w:type="spellStart"/>
            <w:r w:rsidRPr="001856B7">
              <w:rPr>
                <w:lang w:val="en-IN" w:eastAsia="en-IN"/>
              </w:rPr>
              <w:t xml:space="preserve">show </w:t>
            </w:r>
            <w:r w:rsidRPr="001856B7">
              <w:rPr>
                <w:i/>
                <w:iCs/>
                <w:lang w:val="en-IN" w:eastAsia="en-IN"/>
              </w:rPr>
              <w:t>n</w:t>
            </w:r>
            <w:proofErr w:type="spellEnd"/>
            <w:r w:rsidRPr="001856B7">
              <w:rPr>
                <w:lang w:val="en-IN" w:eastAsia="en-IN"/>
              </w:rPr>
              <w:t xml:space="preserve"> for each test.</w:t>
            </w:r>
          </w:p>
          <w:p w14:paraId="753F0D68" w14:textId="2FA0423A" w:rsidR="001856B7" w:rsidRPr="001856B7" w:rsidRDefault="001856B7" w:rsidP="001856B7">
            <w:pPr>
              <w:numPr>
                <w:ilvl w:val="0"/>
                <w:numId w:val="14"/>
              </w:numPr>
              <w:spacing w:before="100" w:beforeAutospacing="1" w:after="100" w:afterAutospacing="1"/>
              <w:rPr>
                <w:lang w:val="en-IN" w:eastAsia="en-IN"/>
              </w:rPr>
            </w:pPr>
            <w:r w:rsidRPr="001856B7">
              <w:rPr>
                <w:b/>
                <w:bCs/>
                <w:lang w:val="en-IN" w:eastAsia="en-IN"/>
              </w:rPr>
              <w:t>Selection bias</w:t>
            </w:r>
            <w:r w:rsidRPr="001856B7">
              <w:rPr>
                <w:lang w:val="en-IN" w:eastAsia="en-IN"/>
              </w:rPr>
              <w:t xml:space="preserve">: urban predominance cannot prove epidemiologic drift. </w:t>
            </w:r>
            <w:r>
              <w:t xml:space="preserve">Soften language like </w:t>
            </w:r>
            <w:proofErr w:type="gramStart"/>
            <w:r>
              <w:t>this  “</w:t>
            </w:r>
            <w:proofErr w:type="gramEnd"/>
            <w:r>
              <w:t>In this hospital-based series, most patients resided in urban areas therefore community-level data are needed before inferring a population shift.”</w:t>
            </w:r>
          </w:p>
          <w:p w14:paraId="0EF23B22" w14:textId="77777777" w:rsidR="001856B7" w:rsidRPr="001856B7" w:rsidRDefault="001856B7" w:rsidP="001856B7">
            <w:pPr>
              <w:numPr>
                <w:ilvl w:val="0"/>
                <w:numId w:val="14"/>
              </w:numPr>
              <w:spacing w:before="100" w:beforeAutospacing="1" w:after="100" w:afterAutospacing="1"/>
              <w:rPr>
                <w:lang w:val="en-IN" w:eastAsia="en-IN"/>
              </w:rPr>
            </w:pPr>
            <w:r w:rsidRPr="001856B7">
              <w:rPr>
                <w:lang w:val="en-IN" w:eastAsia="en-IN"/>
              </w:rPr>
              <w:t>Define all variables and abbreviations; standardize terminology (e.g., altered mental status, mucosal bleeding, HIV screening).</w:t>
            </w:r>
          </w:p>
          <w:p w14:paraId="7DD32DA3" w14:textId="0733D09D" w:rsidR="001856B7" w:rsidRPr="001856B7" w:rsidRDefault="001856B7" w:rsidP="001856B7">
            <w:pPr>
              <w:numPr>
                <w:ilvl w:val="0"/>
                <w:numId w:val="14"/>
              </w:numPr>
              <w:spacing w:before="100" w:beforeAutospacing="1" w:after="100" w:afterAutospacing="1"/>
              <w:rPr>
                <w:lang w:val="en-IN" w:eastAsia="en-IN"/>
              </w:rPr>
            </w:pPr>
            <w:r w:rsidRPr="001856B7">
              <w:rPr>
                <w:lang w:val="en-IN" w:eastAsia="en-IN"/>
              </w:rPr>
              <w:t xml:space="preserve">Consider reporting </w:t>
            </w:r>
            <w:r w:rsidRPr="005A599D">
              <w:rPr>
                <w:bCs/>
                <w:lang w:val="en-IN" w:eastAsia="en-IN"/>
              </w:rPr>
              <w:t>time from symptom onset to admission and to ribavirin</w:t>
            </w:r>
            <w:r w:rsidRPr="001856B7">
              <w:rPr>
                <w:lang w:val="en-IN" w:eastAsia="en-IN"/>
              </w:rPr>
              <w:t xml:space="preserve"> (median, IQR) to </w:t>
            </w:r>
            <w:r>
              <w:rPr>
                <w:lang w:val="en-IN" w:eastAsia="en-IN"/>
              </w:rPr>
              <w:t xml:space="preserve">properly </w:t>
            </w:r>
            <w:r w:rsidRPr="001856B7">
              <w:rPr>
                <w:lang w:val="en-IN" w:eastAsia="en-IN"/>
              </w:rPr>
              <w:t xml:space="preserve">contextualize </w:t>
            </w:r>
            <w:r>
              <w:rPr>
                <w:lang w:val="en-IN" w:eastAsia="en-IN"/>
              </w:rPr>
              <w:t xml:space="preserve">the </w:t>
            </w:r>
            <w:r w:rsidRPr="001856B7">
              <w:rPr>
                <w:lang w:val="en-IN" w:eastAsia="en-IN"/>
              </w:rPr>
              <w:t>associations.</w:t>
            </w:r>
          </w:p>
          <w:p w14:paraId="6CDF35AE" w14:textId="77777777" w:rsidR="00DD519D" w:rsidRPr="00C115E9" w:rsidRDefault="00DD519D">
            <w:pPr>
              <w:pStyle w:val="ListParagraph"/>
              <w:ind w:left="0"/>
              <w:rPr>
                <w:bCs/>
                <w:sz w:val="20"/>
                <w:szCs w:val="20"/>
                <w:lang w:val="en-GB"/>
              </w:rPr>
            </w:pPr>
          </w:p>
        </w:tc>
        <w:tc>
          <w:tcPr>
            <w:tcW w:w="1523" w:type="pct"/>
          </w:tcPr>
          <w:p w14:paraId="4A1B511E" w14:textId="77777777" w:rsidR="00DD519D" w:rsidRPr="00900E9B" w:rsidRDefault="00DD519D">
            <w:pPr>
              <w:pStyle w:val="Heading2"/>
              <w:jc w:val="left"/>
              <w:rPr>
                <w:rFonts w:ascii="Times New Roman" w:hAnsi="Times New Roman"/>
                <w:b w:val="0"/>
                <w:lang w:val="en-GB"/>
              </w:rPr>
            </w:pPr>
          </w:p>
        </w:tc>
      </w:tr>
      <w:tr w:rsidR="00DD519D" w:rsidRPr="00900E9B" w14:paraId="69C04A9F" w14:textId="77777777">
        <w:trPr>
          <w:trHeight w:val="703"/>
        </w:trPr>
        <w:tc>
          <w:tcPr>
            <w:tcW w:w="1265" w:type="pct"/>
            <w:noWrap/>
          </w:tcPr>
          <w:p w14:paraId="4B9AC2C8" w14:textId="77777777" w:rsidR="00DD519D" w:rsidRPr="00E10705" w:rsidRDefault="00DD519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0407A08" w14:textId="77777777" w:rsidR="00393BF3" w:rsidRDefault="00393BF3">
            <w:pPr>
              <w:pStyle w:val="ListParagraph"/>
              <w:ind w:left="0"/>
            </w:pPr>
            <w:r>
              <w:t xml:space="preserve">There are </w:t>
            </w:r>
            <w:r w:rsidR="001856B7">
              <w:rPr>
                <w:rStyle w:val="Strong"/>
                <w:rFonts w:eastAsia="Arial Unicode MS"/>
              </w:rPr>
              <w:t>year mismatches</w:t>
            </w:r>
            <w:r w:rsidR="001856B7">
              <w:t xml:space="preserve"> between in-text citations and reference list (e.g., Richmond &amp; </w:t>
            </w:r>
            <w:proofErr w:type="spellStart"/>
            <w:r w:rsidR="001856B7">
              <w:t>Baglole</w:t>
            </w:r>
            <w:proofErr w:type="spellEnd"/>
            <w:r w:rsidR="001856B7">
              <w:t xml:space="preserve"> 2003 vs 2023). </w:t>
            </w:r>
          </w:p>
          <w:p w14:paraId="345CDCBD" w14:textId="77777777" w:rsidR="00DD519D" w:rsidRDefault="00393BF3">
            <w:pPr>
              <w:pStyle w:val="ListParagraph"/>
              <w:ind w:left="0"/>
            </w:pPr>
            <w:r>
              <w:t xml:space="preserve">Standardization </w:t>
            </w:r>
            <w:r w:rsidR="001856B7">
              <w:t xml:space="preserve">to </w:t>
            </w:r>
            <w:r>
              <w:t xml:space="preserve">a single style (Vancouver/APA) is recommended, </w:t>
            </w:r>
            <w:r w:rsidR="001856B7">
              <w:t>verify years, and add DOIs.</w:t>
            </w:r>
          </w:p>
          <w:p w14:paraId="0B2F52A5" w14:textId="7C164FA2" w:rsidR="00393BF3" w:rsidRPr="006F5EBE" w:rsidRDefault="00393BF3">
            <w:pPr>
              <w:pStyle w:val="ListParagraph"/>
              <w:ind w:left="0"/>
              <w:rPr>
                <w:bCs/>
                <w:sz w:val="20"/>
                <w:szCs w:val="20"/>
                <w:lang w:val="en-GB"/>
              </w:rPr>
            </w:pPr>
            <w:r>
              <w:t>Grey literature can be avoided unless essential.</w:t>
            </w:r>
          </w:p>
        </w:tc>
        <w:tc>
          <w:tcPr>
            <w:tcW w:w="1523" w:type="pct"/>
          </w:tcPr>
          <w:p w14:paraId="31822B34" w14:textId="77777777" w:rsidR="00DD519D" w:rsidRPr="00900E9B" w:rsidRDefault="00DD519D">
            <w:pPr>
              <w:pStyle w:val="Heading2"/>
              <w:jc w:val="left"/>
              <w:rPr>
                <w:rFonts w:ascii="Times New Roman" w:hAnsi="Times New Roman"/>
                <w:b w:val="0"/>
                <w:lang w:val="en-GB"/>
              </w:rPr>
            </w:pPr>
          </w:p>
        </w:tc>
      </w:tr>
      <w:tr w:rsidR="00DD519D" w:rsidRPr="00900E9B" w14:paraId="7EF20884" w14:textId="77777777">
        <w:trPr>
          <w:trHeight w:val="386"/>
        </w:trPr>
        <w:tc>
          <w:tcPr>
            <w:tcW w:w="1265" w:type="pct"/>
            <w:noWrap/>
          </w:tcPr>
          <w:p w14:paraId="10FBA2B6" w14:textId="77777777" w:rsidR="00DD519D" w:rsidRPr="00900E9B" w:rsidRDefault="00DD519D">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209DD7A4" w14:textId="77777777" w:rsidR="00DD519D" w:rsidRPr="00900E9B" w:rsidRDefault="00DD519D">
            <w:pPr>
              <w:rPr>
                <w:sz w:val="20"/>
                <w:szCs w:val="20"/>
                <w:lang w:val="en-GB"/>
              </w:rPr>
            </w:pPr>
          </w:p>
        </w:tc>
        <w:tc>
          <w:tcPr>
            <w:tcW w:w="2212" w:type="pct"/>
          </w:tcPr>
          <w:p w14:paraId="626678E8" w14:textId="4A88D444" w:rsidR="00DD519D" w:rsidRPr="00900E9B" w:rsidRDefault="00393BF3">
            <w:pPr>
              <w:rPr>
                <w:sz w:val="20"/>
                <w:szCs w:val="20"/>
                <w:lang w:val="en-GB"/>
              </w:rPr>
            </w:pPr>
            <w:r>
              <w:t>There are recurrent grammatical issues (tense, subject–verb agreement), inconsistent hyphenation (North-Central), spacing around percentages is not proper and ambiguous phrasing (“craniofacial orifice”) is there.  Ensure consistent use of terms and abbreviations (CRF = Case Report Form; CFR = Case Fatality Rate).</w:t>
            </w:r>
          </w:p>
        </w:tc>
        <w:tc>
          <w:tcPr>
            <w:tcW w:w="1523" w:type="pct"/>
          </w:tcPr>
          <w:p w14:paraId="10393D51" w14:textId="77777777" w:rsidR="00DD519D" w:rsidRPr="00900E9B" w:rsidRDefault="00DD519D">
            <w:pPr>
              <w:rPr>
                <w:sz w:val="20"/>
                <w:szCs w:val="20"/>
                <w:lang w:val="en-GB"/>
              </w:rPr>
            </w:pPr>
          </w:p>
        </w:tc>
      </w:tr>
      <w:tr w:rsidR="00DD519D" w:rsidRPr="00900E9B" w14:paraId="3A91E04E" w14:textId="77777777">
        <w:trPr>
          <w:trHeight w:val="1178"/>
        </w:trPr>
        <w:tc>
          <w:tcPr>
            <w:tcW w:w="1265" w:type="pct"/>
            <w:noWrap/>
          </w:tcPr>
          <w:p w14:paraId="263DA3B8" w14:textId="77777777" w:rsidR="00DD519D" w:rsidRPr="00900E9B" w:rsidRDefault="00DD519D">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25BE95BF" w14:textId="77777777" w:rsidR="00DD519D" w:rsidRPr="00900E9B" w:rsidRDefault="00DD519D">
            <w:pPr>
              <w:pStyle w:val="Heading2"/>
              <w:jc w:val="left"/>
              <w:rPr>
                <w:rFonts w:ascii="Times New Roman" w:hAnsi="Times New Roman"/>
                <w:b w:val="0"/>
                <w:lang w:val="en-GB"/>
              </w:rPr>
            </w:pPr>
          </w:p>
        </w:tc>
        <w:tc>
          <w:tcPr>
            <w:tcW w:w="2212" w:type="pct"/>
          </w:tcPr>
          <w:p w14:paraId="108D3DAB" w14:textId="57081861" w:rsidR="00393BF3" w:rsidRPr="00393BF3" w:rsidRDefault="00393BF3" w:rsidP="00393BF3">
            <w:pPr>
              <w:spacing w:before="100" w:beforeAutospacing="1" w:after="100" w:afterAutospacing="1"/>
              <w:rPr>
                <w:lang w:val="en-IN" w:eastAsia="en-IN"/>
              </w:rPr>
            </w:pPr>
            <w:r>
              <w:rPr>
                <w:rFonts w:hAnsi="Symbol"/>
                <w:lang w:val="en-IN" w:eastAsia="en-IN"/>
              </w:rPr>
              <w:t>A</w:t>
            </w:r>
            <w:r w:rsidRPr="005A599D">
              <w:rPr>
                <w:rFonts w:hAnsi="Symbol"/>
                <w:lang w:val="en-IN" w:eastAsia="en-IN"/>
              </w:rPr>
              <w:t xml:space="preserve"> </w:t>
            </w:r>
            <w:r w:rsidR="005A599D">
              <w:rPr>
                <w:bCs/>
                <w:lang w:val="en-IN" w:eastAsia="en-IN"/>
              </w:rPr>
              <w:t>Limitation</w:t>
            </w:r>
            <w:r>
              <w:rPr>
                <w:lang w:val="en-IN" w:eastAsia="en-IN"/>
              </w:rPr>
              <w:t xml:space="preserve"> paragraph should be added mentioning about </w:t>
            </w:r>
            <w:r w:rsidRPr="00393BF3">
              <w:rPr>
                <w:lang w:val="en-IN" w:eastAsia="en-IN"/>
              </w:rPr>
              <w:t>small sample</w:t>
            </w:r>
            <w:r>
              <w:rPr>
                <w:lang w:val="en-IN" w:eastAsia="en-IN"/>
              </w:rPr>
              <w:t xml:space="preserve"> size</w:t>
            </w:r>
            <w:r w:rsidRPr="00393BF3">
              <w:rPr>
                <w:lang w:val="en-IN" w:eastAsia="en-IN"/>
              </w:rPr>
              <w:t>, few events, hospital-based selection, missing data, lack of viral load/severity markers, and potential survivorship bias in the ribavirin timing analysis.</w:t>
            </w:r>
          </w:p>
          <w:p w14:paraId="158377E1" w14:textId="69CB0946" w:rsidR="00393BF3" w:rsidRPr="00393BF3" w:rsidRDefault="00393BF3" w:rsidP="00393BF3">
            <w:pPr>
              <w:spacing w:before="100" w:beforeAutospacing="1" w:after="100" w:afterAutospacing="1"/>
              <w:rPr>
                <w:lang w:val="en-IN" w:eastAsia="en-IN"/>
              </w:rPr>
            </w:pPr>
            <w:r>
              <w:rPr>
                <w:lang w:val="en-IN" w:eastAsia="en-IN"/>
              </w:rPr>
              <w:t>A</w:t>
            </w:r>
            <w:r w:rsidRPr="00393BF3">
              <w:rPr>
                <w:lang w:val="en-IN" w:eastAsia="en-IN"/>
              </w:rPr>
              <w:t xml:space="preserve">dd that </w:t>
            </w:r>
            <w:r w:rsidRPr="00393BF3">
              <w:rPr>
                <w:bCs/>
                <w:lang w:val="en-IN" w:eastAsia="en-IN"/>
              </w:rPr>
              <w:t>consent was waived</w:t>
            </w:r>
            <w:r w:rsidRPr="00393BF3">
              <w:rPr>
                <w:lang w:val="en-IN" w:eastAsia="en-IN"/>
              </w:rPr>
              <w:t xml:space="preserve"> for retrospective de-identified re</w:t>
            </w:r>
            <w:r>
              <w:rPr>
                <w:lang w:val="en-IN" w:eastAsia="en-IN"/>
              </w:rPr>
              <w:t xml:space="preserve">view per HREC approval (approval date can be </w:t>
            </w:r>
            <w:proofErr w:type="gramStart"/>
            <w:r>
              <w:rPr>
                <w:lang w:val="en-IN" w:eastAsia="en-IN"/>
              </w:rPr>
              <w:t>mentioned )</w:t>
            </w:r>
            <w:proofErr w:type="gramEnd"/>
            <w:r w:rsidRPr="00393BF3">
              <w:rPr>
                <w:lang w:val="en-IN" w:eastAsia="en-IN"/>
              </w:rPr>
              <w:t>.</w:t>
            </w:r>
          </w:p>
          <w:p w14:paraId="1B839A4E" w14:textId="77777777" w:rsidR="00DD519D" w:rsidRPr="000D0955" w:rsidRDefault="00DD519D">
            <w:pPr>
              <w:pStyle w:val="NormalWeb"/>
              <w:spacing w:before="0" w:beforeAutospacing="0" w:after="0" w:afterAutospacing="0"/>
              <w:rPr>
                <w:rFonts w:ascii="Times New Roman" w:hAnsi="Times New Roman" w:cs="Times New Roman"/>
                <w:b/>
                <w:sz w:val="20"/>
                <w:szCs w:val="20"/>
                <w:lang w:val="en-GB"/>
              </w:rPr>
            </w:pPr>
          </w:p>
        </w:tc>
        <w:tc>
          <w:tcPr>
            <w:tcW w:w="1523" w:type="pct"/>
          </w:tcPr>
          <w:p w14:paraId="22C3549D" w14:textId="77777777" w:rsidR="00DD519D" w:rsidRPr="00900E9B" w:rsidRDefault="00DD519D">
            <w:pPr>
              <w:rPr>
                <w:sz w:val="20"/>
                <w:szCs w:val="20"/>
                <w:lang w:val="en-GB"/>
              </w:rPr>
            </w:pPr>
          </w:p>
        </w:tc>
      </w:tr>
    </w:tbl>
    <w:p w14:paraId="29C43B84" w14:textId="77777777" w:rsidR="00DD519D" w:rsidRPr="00900E9B" w:rsidRDefault="00DD519D" w:rsidP="00DD519D">
      <w:pPr>
        <w:pStyle w:val="BodyText"/>
        <w:rPr>
          <w:rFonts w:ascii="Times New Roman" w:hAnsi="Times New Roman"/>
          <w:b/>
          <w:bCs/>
          <w:sz w:val="20"/>
          <w:szCs w:val="20"/>
          <w:u w:val="single"/>
          <w:lang w:val="en-GB"/>
        </w:rPr>
      </w:pPr>
    </w:p>
    <w:p w14:paraId="682BFD15" w14:textId="77777777" w:rsidR="00DD519D" w:rsidRPr="00900E9B" w:rsidRDefault="00DD519D" w:rsidP="00DD519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DD519D" w:rsidRPr="00900E9B" w14:paraId="4412C23D"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A990F6D" w14:textId="77777777" w:rsidR="00DD519D" w:rsidRPr="00900E9B" w:rsidRDefault="00DD519D">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CF1D204" w14:textId="77777777" w:rsidR="00DD519D" w:rsidRPr="00900E9B" w:rsidRDefault="00DD519D">
            <w:pPr>
              <w:pStyle w:val="NormalWeb"/>
              <w:spacing w:before="0" w:beforeAutospacing="0" w:after="0" w:afterAutospacing="0"/>
              <w:rPr>
                <w:rFonts w:ascii="Times New Roman" w:hAnsi="Times New Roman" w:cs="Times New Roman"/>
                <w:b/>
                <w:sz w:val="20"/>
                <w:szCs w:val="20"/>
                <w:u w:val="single"/>
                <w:lang w:val="en-GB"/>
              </w:rPr>
            </w:pPr>
          </w:p>
        </w:tc>
      </w:tr>
      <w:tr w:rsidR="00DD519D" w:rsidRPr="00900E9B" w14:paraId="040F8744" w14:textId="77777777">
        <w:trPr>
          <w:trHeight w:val="935"/>
        </w:trPr>
        <w:tc>
          <w:tcPr>
            <w:tcW w:w="1615" w:type="pct"/>
            <w:noWrap/>
            <w:tcMar>
              <w:top w:w="0" w:type="dxa"/>
              <w:left w:w="108" w:type="dxa"/>
              <w:bottom w:w="0" w:type="dxa"/>
              <w:right w:w="108" w:type="dxa"/>
            </w:tcMar>
            <w:vAlign w:val="center"/>
          </w:tcPr>
          <w:p w14:paraId="1EB26F63" w14:textId="77777777" w:rsidR="00DD519D" w:rsidRPr="00900E9B" w:rsidRDefault="00DD519D">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3E67D88B" w14:textId="77777777" w:rsidR="00DD519D" w:rsidRPr="00900E9B" w:rsidRDefault="00DD519D">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30EB3373" w14:textId="77777777" w:rsidR="00281F0D" w:rsidRDefault="00281F0D" w:rsidP="00281F0D">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A218C48" w14:textId="77777777" w:rsidR="00DD519D" w:rsidRPr="00900E9B" w:rsidRDefault="00DD519D">
            <w:pPr>
              <w:pStyle w:val="Heading2"/>
              <w:jc w:val="left"/>
              <w:rPr>
                <w:rFonts w:ascii="Times New Roman" w:hAnsi="Times New Roman"/>
                <w:b w:val="0"/>
                <w:lang w:val="en-GB"/>
              </w:rPr>
            </w:pPr>
          </w:p>
        </w:tc>
      </w:tr>
      <w:tr w:rsidR="00DD519D" w:rsidRPr="00900E9B" w14:paraId="4EA0FAEA" w14:textId="77777777">
        <w:trPr>
          <w:trHeight w:val="697"/>
        </w:trPr>
        <w:tc>
          <w:tcPr>
            <w:tcW w:w="1615" w:type="pct"/>
            <w:noWrap/>
            <w:tcMar>
              <w:top w:w="0" w:type="dxa"/>
              <w:left w:w="108" w:type="dxa"/>
              <w:bottom w:w="0" w:type="dxa"/>
              <w:right w:w="108" w:type="dxa"/>
            </w:tcMar>
            <w:vAlign w:val="center"/>
          </w:tcPr>
          <w:p w14:paraId="62C4FEC3" w14:textId="77777777" w:rsidR="00DD519D" w:rsidRPr="00900E9B" w:rsidRDefault="00DD519D">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3A6E6E7C" w14:textId="77777777" w:rsidR="00DD519D" w:rsidRPr="00900E9B" w:rsidRDefault="00DD519D">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2EC61201" w14:textId="15A5BA2C" w:rsidR="00DD519D" w:rsidRPr="005A599D" w:rsidRDefault="005A599D">
            <w:pPr>
              <w:pStyle w:val="NormalWeb"/>
              <w:spacing w:before="0" w:beforeAutospacing="0" w:after="0" w:afterAutospacing="0"/>
              <w:rPr>
                <w:rFonts w:ascii="Times New Roman" w:hAnsi="Times New Roman" w:cs="Times New Roman"/>
                <w:i/>
                <w:iCs/>
                <w:sz w:val="20"/>
                <w:szCs w:val="20"/>
                <w:u w:val="single"/>
                <w:lang w:val="en-GB"/>
              </w:rPr>
            </w:pPr>
            <w:r w:rsidRPr="005A599D">
              <w:rPr>
                <w:rFonts w:ascii="Times New Roman" w:hAnsi="Times New Roman" w:cs="Times New Roman"/>
              </w:rPr>
              <w:t>No major ethical concerns identified</w:t>
            </w:r>
          </w:p>
        </w:tc>
        <w:tc>
          <w:tcPr>
            <w:tcW w:w="1342" w:type="pct"/>
            <w:vAlign w:val="center"/>
          </w:tcPr>
          <w:p w14:paraId="7FAD8720" w14:textId="77777777" w:rsidR="00DD519D" w:rsidRPr="00900E9B" w:rsidRDefault="00DD519D">
            <w:pPr>
              <w:rPr>
                <w:rFonts w:eastAsia="Arial Unicode MS"/>
                <w:sz w:val="20"/>
                <w:szCs w:val="20"/>
                <w:lang w:val="en-GB"/>
              </w:rPr>
            </w:pPr>
          </w:p>
          <w:p w14:paraId="3F25E3DD" w14:textId="77777777" w:rsidR="00DD519D" w:rsidRPr="00900E9B" w:rsidRDefault="00DD519D">
            <w:pPr>
              <w:rPr>
                <w:rFonts w:eastAsia="Arial Unicode MS"/>
                <w:sz w:val="20"/>
                <w:szCs w:val="20"/>
                <w:lang w:val="en-GB"/>
              </w:rPr>
            </w:pPr>
          </w:p>
          <w:p w14:paraId="2BA37E43" w14:textId="77777777" w:rsidR="00DD519D" w:rsidRPr="00900E9B" w:rsidRDefault="00DD519D">
            <w:pPr>
              <w:rPr>
                <w:rFonts w:eastAsia="Arial Unicode MS"/>
                <w:sz w:val="20"/>
                <w:szCs w:val="20"/>
                <w:lang w:val="en-GB"/>
              </w:rPr>
            </w:pPr>
          </w:p>
          <w:p w14:paraId="3A2F962C" w14:textId="77777777" w:rsidR="00DD519D" w:rsidRPr="00900E9B" w:rsidRDefault="00DD519D">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758D3747" w14:textId="77777777" w:rsidR="00853C6C" w:rsidRDefault="00853C6C" w:rsidP="00853C6C">
      <w:pPr>
        <w:pStyle w:val="Affiliation"/>
        <w:spacing w:after="0" w:line="240" w:lineRule="auto"/>
        <w:jc w:val="left"/>
        <w:rPr>
          <w:rFonts w:ascii="Arial" w:hAnsi="Arial" w:cs="Arial"/>
          <w:b/>
          <w:sz w:val="16"/>
          <w:szCs w:val="16"/>
        </w:rPr>
      </w:pPr>
    </w:p>
    <w:p w14:paraId="458EA1B1" w14:textId="77777777" w:rsidR="00853C6C" w:rsidRPr="005F4EDD" w:rsidRDefault="00853C6C" w:rsidP="00853C6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BDDE9BB" w14:textId="77777777" w:rsidR="00853C6C" w:rsidRDefault="00853C6C" w:rsidP="00853C6C">
      <w:pPr>
        <w:pStyle w:val="Affiliation"/>
        <w:spacing w:after="0" w:line="240" w:lineRule="auto"/>
        <w:jc w:val="left"/>
        <w:rPr>
          <w:rFonts w:ascii="Arial" w:hAnsi="Arial" w:cs="Arial"/>
          <w:sz w:val="16"/>
          <w:szCs w:val="16"/>
        </w:rPr>
      </w:pPr>
    </w:p>
    <w:p w14:paraId="5B5C6A06" w14:textId="77777777" w:rsidR="00853C6C" w:rsidRDefault="00853C6C" w:rsidP="00853C6C">
      <w:proofErr w:type="spellStart"/>
      <w:r>
        <w:rPr>
          <w:rFonts w:ascii="Calibri" w:hAnsi="Calibri" w:cs="Calibri"/>
        </w:rPr>
        <w:t>Rudri</w:t>
      </w:r>
      <w:proofErr w:type="spellEnd"/>
      <w:r>
        <w:rPr>
          <w:rFonts w:ascii="Calibri" w:hAnsi="Calibri" w:cs="Calibri"/>
        </w:rPr>
        <w:t xml:space="preserve"> Agrawal, NOVA IVF Fertility, India</w:t>
      </w:r>
      <w:r>
        <w:rPr>
          <w:rFonts w:ascii="Calibri" w:hAnsi="Calibri" w:cs="Calibri"/>
        </w:rPr>
        <w:br/>
      </w:r>
    </w:p>
    <w:p w14:paraId="3CEFC419" w14:textId="77777777" w:rsidR="008913D5" w:rsidRDefault="008913D5" w:rsidP="00DD519D">
      <w:pPr>
        <w:pStyle w:val="BodyText"/>
        <w:outlineLvl w:val="0"/>
        <w:rPr>
          <w:rFonts w:ascii="Arial" w:hAnsi="Arial" w:cs="Arial"/>
          <w:sz w:val="20"/>
          <w:szCs w:val="20"/>
          <w:lang w:val="en-GB"/>
        </w:rPr>
      </w:pPr>
      <w:bookmarkStart w:id="2" w:name="_GoBack"/>
      <w:bookmarkEnd w:id="2"/>
    </w:p>
    <w:sectPr w:rsidR="008913D5" w:rsidSect="00CA551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8AFB3" w14:textId="77777777" w:rsidR="007C62AA" w:rsidRPr="0000007A" w:rsidRDefault="007C62AA" w:rsidP="0099583E">
      <w:r>
        <w:separator/>
      </w:r>
    </w:p>
  </w:endnote>
  <w:endnote w:type="continuationSeparator" w:id="0">
    <w:p w14:paraId="2D59D86C" w14:textId="77777777" w:rsidR="007C62AA" w:rsidRPr="0000007A" w:rsidRDefault="007C62A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21CF"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2732B" w:rsidRPr="0092732B">
      <w:rPr>
        <w:sz w:val="16"/>
      </w:rPr>
      <w:t xml:space="preserve">Version: </w:t>
    </w:r>
    <w:r w:rsidR="00A92E60">
      <w:rPr>
        <w:sz w:val="16"/>
      </w:rPr>
      <w:t>3</w:t>
    </w:r>
    <w:r w:rsidR="0092732B" w:rsidRPr="0092732B">
      <w:rPr>
        <w:sz w:val="16"/>
      </w:rPr>
      <w:t xml:space="preserve"> (0</w:t>
    </w:r>
    <w:r w:rsidR="00A92E60">
      <w:rPr>
        <w:sz w:val="16"/>
      </w:rPr>
      <w:t>7</w:t>
    </w:r>
    <w:r w:rsidR="0092732B" w:rsidRPr="0092732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40619" w14:textId="77777777" w:rsidR="007C62AA" w:rsidRPr="0000007A" w:rsidRDefault="007C62AA" w:rsidP="0099583E">
      <w:r>
        <w:separator/>
      </w:r>
    </w:p>
  </w:footnote>
  <w:footnote w:type="continuationSeparator" w:id="0">
    <w:p w14:paraId="169E93A3" w14:textId="77777777" w:rsidR="007C62AA" w:rsidRPr="0000007A" w:rsidRDefault="007C62A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B15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DBD922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92E60">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5D7FA1"/>
    <w:multiLevelType w:val="multilevel"/>
    <w:tmpl w:val="4D56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23018"/>
    <w:multiLevelType w:val="hybridMultilevel"/>
    <w:tmpl w:val="FB0200AC"/>
    <w:lvl w:ilvl="0" w:tplc="D2C08C0A">
      <w:start w:val="1"/>
      <w:numFmt w:val="decimal"/>
      <w:lvlText w:val="%1."/>
      <w:lvlJc w:val="left"/>
      <w:pPr>
        <w:ind w:left="720" w:hanging="360"/>
      </w:pPr>
      <w:rPr>
        <w:rFonts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4E8"/>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56B7"/>
    <w:rsid w:val="0018753A"/>
    <w:rsid w:val="0019527A"/>
    <w:rsid w:val="00197E68"/>
    <w:rsid w:val="001A1605"/>
    <w:rsid w:val="001B0C63"/>
    <w:rsid w:val="001D3A1D"/>
    <w:rsid w:val="001E4B3D"/>
    <w:rsid w:val="001F24FF"/>
    <w:rsid w:val="001F2913"/>
    <w:rsid w:val="001F707F"/>
    <w:rsid w:val="002011F3"/>
    <w:rsid w:val="00201B85"/>
    <w:rsid w:val="00202E80"/>
    <w:rsid w:val="0021005D"/>
    <w:rsid w:val="002105F7"/>
    <w:rsid w:val="00220111"/>
    <w:rsid w:val="00220F7B"/>
    <w:rsid w:val="0022369C"/>
    <w:rsid w:val="002320EB"/>
    <w:rsid w:val="0023696A"/>
    <w:rsid w:val="002422CB"/>
    <w:rsid w:val="00245E23"/>
    <w:rsid w:val="0025366D"/>
    <w:rsid w:val="00254F80"/>
    <w:rsid w:val="00262634"/>
    <w:rsid w:val="002643B3"/>
    <w:rsid w:val="00275984"/>
    <w:rsid w:val="00280EC9"/>
    <w:rsid w:val="00281F0D"/>
    <w:rsid w:val="00291D08"/>
    <w:rsid w:val="00293482"/>
    <w:rsid w:val="002D7EA9"/>
    <w:rsid w:val="002E1211"/>
    <w:rsid w:val="002E2339"/>
    <w:rsid w:val="002E6D86"/>
    <w:rsid w:val="002F6935"/>
    <w:rsid w:val="00312559"/>
    <w:rsid w:val="003204B8"/>
    <w:rsid w:val="0033692F"/>
    <w:rsid w:val="00346223"/>
    <w:rsid w:val="00393BF3"/>
    <w:rsid w:val="003A04E7"/>
    <w:rsid w:val="003A2F2E"/>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07A"/>
    <w:rsid w:val="00462996"/>
    <w:rsid w:val="004674B4"/>
    <w:rsid w:val="004B4CAD"/>
    <w:rsid w:val="004B4FDC"/>
    <w:rsid w:val="004C3DF1"/>
    <w:rsid w:val="004C444F"/>
    <w:rsid w:val="004D2E36"/>
    <w:rsid w:val="00503AB6"/>
    <w:rsid w:val="005047C5"/>
    <w:rsid w:val="00510920"/>
    <w:rsid w:val="00521812"/>
    <w:rsid w:val="00523D2C"/>
    <w:rsid w:val="00531C82"/>
    <w:rsid w:val="005339A8"/>
    <w:rsid w:val="00533FC1"/>
    <w:rsid w:val="005437A8"/>
    <w:rsid w:val="0054564B"/>
    <w:rsid w:val="00545A13"/>
    <w:rsid w:val="00546343"/>
    <w:rsid w:val="00557CD3"/>
    <w:rsid w:val="00560D3C"/>
    <w:rsid w:val="005670BB"/>
    <w:rsid w:val="00567DE0"/>
    <w:rsid w:val="005735A5"/>
    <w:rsid w:val="005A599D"/>
    <w:rsid w:val="005A5BE0"/>
    <w:rsid w:val="005A763C"/>
    <w:rsid w:val="005B12E0"/>
    <w:rsid w:val="005C25A0"/>
    <w:rsid w:val="005D230D"/>
    <w:rsid w:val="00602F7D"/>
    <w:rsid w:val="00605952"/>
    <w:rsid w:val="00620677"/>
    <w:rsid w:val="00624032"/>
    <w:rsid w:val="00631F82"/>
    <w:rsid w:val="0063381C"/>
    <w:rsid w:val="00645A56"/>
    <w:rsid w:val="006532DF"/>
    <w:rsid w:val="0065579D"/>
    <w:rsid w:val="00663792"/>
    <w:rsid w:val="0067046C"/>
    <w:rsid w:val="00676845"/>
    <w:rsid w:val="00680547"/>
    <w:rsid w:val="0068446F"/>
    <w:rsid w:val="0069428E"/>
    <w:rsid w:val="00696CAD"/>
    <w:rsid w:val="006A5E0B"/>
    <w:rsid w:val="006B75EB"/>
    <w:rsid w:val="006C3797"/>
    <w:rsid w:val="006E7D6E"/>
    <w:rsid w:val="006F6F2F"/>
    <w:rsid w:val="00701186"/>
    <w:rsid w:val="00706A51"/>
    <w:rsid w:val="00707BE1"/>
    <w:rsid w:val="007238EB"/>
    <w:rsid w:val="00723EED"/>
    <w:rsid w:val="0072789A"/>
    <w:rsid w:val="007317C3"/>
    <w:rsid w:val="00734756"/>
    <w:rsid w:val="0073538B"/>
    <w:rsid w:val="00741BD0"/>
    <w:rsid w:val="007426E6"/>
    <w:rsid w:val="00746370"/>
    <w:rsid w:val="00766889"/>
    <w:rsid w:val="00766A0D"/>
    <w:rsid w:val="00767F8C"/>
    <w:rsid w:val="00780B67"/>
    <w:rsid w:val="00791F0B"/>
    <w:rsid w:val="007B1099"/>
    <w:rsid w:val="007B6E18"/>
    <w:rsid w:val="007C62AA"/>
    <w:rsid w:val="007D0246"/>
    <w:rsid w:val="007F5873"/>
    <w:rsid w:val="00800879"/>
    <w:rsid w:val="00806382"/>
    <w:rsid w:val="00811B0D"/>
    <w:rsid w:val="00815F94"/>
    <w:rsid w:val="0082130C"/>
    <w:rsid w:val="008224E2"/>
    <w:rsid w:val="00825DC9"/>
    <w:rsid w:val="0082676D"/>
    <w:rsid w:val="00831055"/>
    <w:rsid w:val="008423BB"/>
    <w:rsid w:val="00846F1F"/>
    <w:rsid w:val="00853C6C"/>
    <w:rsid w:val="0087201B"/>
    <w:rsid w:val="00877F10"/>
    <w:rsid w:val="00882091"/>
    <w:rsid w:val="00882F13"/>
    <w:rsid w:val="008913D5"/>
    <w:rsid w:val="00893E75"/>
    <w:rsid w:val="008C2778"/>
    <w:rsid w:val="008C2F62"/>
    <w:rsid w:val="008D020E"/>
    <w:rsid w:val="008D1117"/>
    <w:rsid w:val="008D15A4"/>
    <w:rsid w:val="008F36E4"/>
    <w:rsid w:val="0092732B"/>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6A71"/>
    <w:rsid w:val="009E13C3"/>
    <w:rsid w:val="009E6A30"/>
    <w:rsid w:val="009E79E5"/>
    <w:rsid w:val="009F07D4"/>
    <w:rsid w:val="009F29EB"/>
    <w:rsid w:val="00A001A0"/>
    <w:rsid w:val="00A06CE7"/>
    <w:rsid w:val="00A12C83"/>
    <w:rsid w:val="00A25D72"/>
    <w:rsid w:val="00A31AAC"/>
    <w:rsid w:val="00A32905"/>
    <w:rsid w:val="00A36C95"/>
    <w:rsid w:val="00A37DE3"/>
    <w:rsid w:val="00A519D1"/>
    <w:rsid w:val="00A6343B"/>
    <w:rsid w:val="00A65C50"/>
    <w:rsid w:val="00A66DD2"/>
    <w:rsid w:val="00A746FB"/>
    <w:rsid w:val="00A92E60"/>
    <w:rsid w:val="00AA41B3"/>
    <w:rsid w:val="00AA6670"/>
    <w:rsid w:val="00AB1ED6"/>
    <w:rsid w:val="00AB397D"/>
    <w:rsid w:val="00AB638A"/>
    <w:rsid w:val="00AB6E43"/>
    <w:rsid w:val="00AC1349"/>
    <w:rsid w:val="00AD6C51"/>
    <w:rsid w:val="00AF3016"/>
    <w:rsid w:val="00B03A45"/>
    <w:rsid w:val="00B2236C"/>
    <w:rsid w:val="00B22FE6"/>
    <w:rsid w:val="00B3033D"/>
    <w:rsid w:val="00B322D9"/>
    <w:rsid w:val="00B356AF"/>
    <w:rsid w:val="00B62087"/>
    <w:rsid w:val="00B62F41"/>
    <w:rsid w:val="00B73785"/>
    <w:rsid w:val="00B760E1"/>
    <w:rsid w:val="00B807F8"/>
    <w:rsid w:val="00B84DFE"/>
    <w:rsid w:val="00B858FF"/>
    <w:rsid w:val="00BA1AB3"/>
    <w:rsid w:val="00BA6421"/>
    <w:rsid w:val="00BB34E6"/>
    <w:rsid w:val="00BB4FEC"/>
    <w:rsid w:val="00BC21CF"/>
    <w:rsid w:val="00BC402F"/>
    <w:rsid w:val="00BC5A26"/>
    <w:rsid w:val="00BD27BA"/>
    <w:rsid w:val="00BE13EF"/>
    <w:rsid w:val="00BE40A5"/>
    <w:rsid w:val="00BE6454"/>
    <w:rsid w:val="00BF39A4"/>
    <w:rsid w:val="00C02797"/>
    <w:rsid w:val="00C10283"/>
    <w:rsid w:val="00C110CC"/>
    <w:rsid w:val="00C22886"/>
    <w:rsid w:val="00C25C8F"/>
    <w:rsid w:val="00C263C6"/>
    <w:rsid w:val="00C4325B"/>
    <w:rsid w:val="00C577FD"/>
    <w:rsid w:val="00C635B6"/>
    <w:rsid w:val="00C66C9F"/>
    <w:rsid w:val="00C70DFC"/>
    <w:rsid w:val="00C82466"/>
    <w:rsid w:val="00C84097"/>
    <w:rsid w:val="00CA5510"/>
    <w:rsid w:val="00CB429B"/>
    <w:rsid w:val="00CB75D5"/>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519D"/>
    <w:rsid w:val="00DE0DCE"/>
    <w:rsid w:val="00DF0598"/>
    <w:rsid w:val="00E160D1"/>
    <w:rsid w:val="00E451EA"/>
    <w:rsid w:val="00E53E52"/>
    <w:rsid w:val="00E57F4B"/>
    <w:rsid w:val="00E63889"/>
    <w:rsid w:val="00E65EB7"/>
    <w:rsid w:val="00E71C8D"/>
    <w:rsid w:val="00E72360"/>
    <w:rsid w:val="00E972A7"/>
    <w:rsid w:val="00EA2839"/>
    <w:rsid w:val="00EB3E91"/>
    <w:rsid w:val="00EB5ED8"/>
    <w:rsid w:val="00EC6894"/>
    <w:rsid w:val="00ED6B12"/>
    <w:rsid w:val="00EE0D3E"/>
    <w:rsid w:val="00EF326D"/>
    <w:rsid w:val="00EF53FE"/>
    <w:rsid w:val="00F245A7"/>
    <w:rsid w:val="00F2643C"/>
    <w:rsid w:val="00F3295A"/>
    <w:rsid w:val="00F34D8E"/>
    <w:rsid w:val="00F3669D"/>
    <w:rsid w:val="00F405F8"/>
    <w:rsid w:val="00F41154"/>
    <w:rsid w:val="00F46386"/>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7A148"/>
  <w15:chartTrackingRefBased/>
  <w15:docId w15:val="{798873D8-1846-2948-9175-9B1FEC62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160D1"/>
    <w:rPr>
      <w:color w:val="605E5C"/>
      <w:shd w:val="clear" w:color="auto" w:fill="E1DFDD"/>
    </w:rPr>
  </w:style>
  <w:style w:type="character" w:styleId="Strong">
    <w:name w:val="Strong"/>
    <w:basedOn w:val="DefaultParagraphFont"/>
    <w:uiPriority w:val="22"/>
    <w:qFormat/>
    <w:rsid w:val="004C444F"/>
    <w:rPr>
      <w:b/>
      <w:bCs/>
    </w:rPr>
  </w:style>
  <w:style w:type="character" w:styleId="Emphasis">
    <w:name w:val="Emphasis"/>
    <w:basedOn w:val="DefaultParagraphFont"/>
    <w:uiPriority w:val="20"/>
    <w:qFormat/>
    <w:rsid w:val="004C444F"/>
    <w:rPr>
      <w:i/>
      <w:iCs/>
    </w:rPr>
  </w:style>
  <w:style w:type="character" w:styleId="UnresolvedMention">
    <w:name w:val="Unresolved Mention"/>
    <w:basedOn w:val="DefaultParagraphFont"/>
    <w:uiPriority w:val="99"/>
    <w:semiHidden/>
    <w:unhideWhenUsed/>
    <w:rsid w:val="00723EED"/>
    <w:rPr>
      <w:color w:val="605E5C"/>
      <w:shd w:val="clear" w:color="auto" w:fill="E1DFDD"/>
    </w:rPr>
  </w:style>
  <w:style w:type="paragraph" w:customStyle="1" w:styleId="Affiliation">
    <w:name w:val="Affiliation"/>
    <w:basedOn w:val="Normal"/>
    <w:rsid w:val="00853C6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550497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6913289">
      <w:bodyDiv w:val="1"/>
      <w:marLeft w:val="0"/>
      <w:marRight w:val="0"/>
      <w:marTop w:val="0"/>
      <w:marBottom w:val="0"/>
      <w:divBdr>
        <w:top w:val="none" w:sz="0" w:space="0" w:color="auto"/>
        <w:left w:val="none" w:sz="0" w:space="0" w:color="auto"/>
        <w:bottom w:val="none" w:sz="0" w:space="0" w:color="auto"/>
        <w:right w:val="none" w:sz="0" w:space="0" w:color="auto"/>
      </w:divBdr>
    </w:div>
    <w:div w:id="78315957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4494411">
      <w:bodyDiv w:val="1"/>
      <w:marLeft w:val="0"/>
      <w:marRight w:val="0"/>
      <w:marTop w:val="0"/>
      <w:marBottom w:val="0"/>
      <w:divBdr>
        <w:top w:val="none" w:sz="0" w:space="0" w:color="auto"/>
        <w:left w:val="none" w:sz="0" w:space="0" w:color="auto"/>
        <w:bottom w:val="none" w:sz="0" w:space="0" w:color="auto"/>
        <w:right w:val="none" w:sz="0" w:space="0" w:color="auto"/>
      </w:divBdr>
    </w:div>
    <w:div w:id="1016930503">
      <w:bodyDiv w:val="1"/>
      <w:marLeft w:val="0"/>
      <w:marRight w:val="0"/>
      <w:marTop w:val="0"/>
      <w:marBottom w:val="0"/>
      <w:divBdr>
        <w:top w:val="none" w:sz="0" w:space="0" w:color="auto"/>
        <w:left w:val="none" w:sz="0" w:space="0" w:color="auto"/>
        <w:bottom w:val="none" w:sz="0" w:space="0" w:color="auto"/>
        <w:right w:val="none" w:sz="0" w:space="0" w:color="auto"/>
      </w:divBdr>
    </w:div>
    <w:div w:id="1066149528">
      <w:bodyDiv w:val="1"/>
      <w:marLeft w:val="0"/>
      <w:marRight w:val="0"/>
      <w:marTop w:val="0"/>
      <w:marBottom w:val="0"/>
      <w:divBdr>
        <w:top w:val="none" w:sz="0" w:space="0" w:color="auto"/>
        <w:left w:val="none" w:sz="0" w:space="0" w:color="auto"/>
        <w:bottom w:val="none" w:sz="0" w:space="0" w:color="auto"/>
        <w:right w:val="none" w:sz="0" w:space="0" w:color="auto"/>
      </w:divBdr>
    </w:div>
    <w:div w:id="1151487229">
      <w:bodyDiv w:val="1"/>
      <w:marLeft w:val="0"/>
      <w:marRight w:val="0"/>
      <w:marTop w:val="0"/>
      <w:marBottom w:val="0"/>
      <w:divBdr>
        <w:top w:val="none" w:sz="0" w:space="0" w:color="auto"/>
        <w:left w:val="none" w:sz="0" w:space="0" w:color="auto"/>
        <w:bottom w:val="none" w:sz="0" w:space="0" w:color="auto"/>
        <w:right w:val="none" w:sz="0" w:space="0" w:color="auto"/>
      </w:divBdr>
    </w:div>
    <w:div w:id="115167612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331927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9695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ah.com/index.php/AJM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FEA59-7361-47F9-BE84-57DC2DF0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https://journalajmah.com/index.php/AJMAH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9</cp:revision>
  <dcterms:created xsi:type="dcterms:W3CDTF">2025-10-24T10:28:00Z</dcterms:created>
  <dcterms:modified xsi:type="dcterms:W3CDTF">2025-10-28T07:24:00Z</dcterms:modified>
</cp:coreProperties>
</file>