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319CD" w14:textId="266A8EA0" w:rsidR="00515231" w:rsidRPr="00515231" w:rsidRDefault="00515231" w:rsidP="00515231">
      <w:pPr>
        <w:spacing w:line="360" w:lineRule="auto"/>
        <w:jc w:val="center"/>
        <w:rPr>
          <w:rFonts w:ascii="Times New Roman" w:hAnsi="Times New Roman" w:cs="Times New Roman"/>
          <w:b/>
          <w:bCs/>
        </w:rPr>
      </w:pPr>
      <w:r w:rsidRPr="00515231">
        <w:rPr>
          <w:rFonts w:ascii="Times New Roman" w:hAnsi="Times New Roman" w:cs="Times New Roman"/>
          <w:b/>
          <w:bCs/>
        </w:rPr>
        <w:t>IDENTIFYING AND MITIGATING HUMAN ERRORS IN LABORATORY QUALITY CONTROL SYSTEMS</w:t>
      </w:r>
    </w:p>
    <w:p w14:paraId="6AA90A79" w14:textId="77777777" w:rsidR="00815496" w:rsidRPr="006A53C8" w:rsidRDefault="00815496" w:rsidP="006A53C8">
      <w:pPr>
        <w:jc w:val="center"/>
        <w:rPr>
          <w:rFonts w:ascii="Times New Roman" w:hAnsi="Times New Roman" w:cs="Times New Roman"/>
          <w:sz w:val="16"/>
          <w:szCs w:val="16"/>
        </w:rPr>
      </w:pPr>
    </w:p>
    <w:p w14:paraId="09331DDF" w14:textId="77777777" w:rsidR="006A53C8" w:rsidRDefault="006A53C8" w:rsidP="00515231">
      <w:pPr>
        <w:spacing w:line="360" w:lineRule="auto"/>
        <w:jc w:val="both"/>
        <w:rPr>
          <w:rFonts w:ascii="Times New Roman" w:hAnsi="Times New Roman" w:cs="Times New Roman"/>
          <w:b/>
          <w:bCs/>
        </w:rPr>
      </w:pPr>
    </w:p>
    <w:p w14:paraId="017BBC22" w14:textId="109A4419" w:rsidR="00515231" w:rsidRPr="00EF526A" w:rsidRDefault="00515231" w:rsidP="00515231">
      <w:pPr>
        <w:spacing w:line="360" w:lineRule="auto"/>
        <w:jc w:val="both"/>
        <w:rPr>
          <w:rFonts w:ascii="Times New Roman" w:hAnsi="Times New Roman" w:cs="Times New Roman"/>
          <w:b/>
          <w:bCs/>
        </w:rPr>
      </w:pPr>
      <w:r w:rsidRPr="00EF526A">
        <w:rPr>
          <w:rFonts w:ascii="Times New Roman" w:hAnsi="Times New Roman" w:cs="Times New Roman"/>
          <w:b/>
          <w:bCs/>
        </w:rPr>
        <w:t>Abstract</w:t>
      </w:r>
    </w:p>
    <w:p w14:paraId="02ED0E17" w14:textId="77777777" w:rsidR="00515231" w:rsidRPr="00EF526A" w:rsidRDefault="00515231" w:rsidP="00515231">
      <w:pPr>
        <w:spacing w:line="360" w:lineRule="auto"/>
        <w:jc w:val="both"/>
        <w:rPr>
          <w:rFonts w:ascii="Times New Roman" w:hAnsi="Times New Roman" w:cs="Times New Roman"/>
        </w:rPr>
      </w:pPr>
      <w:r w:rsidRPr="00EF526A">
        <w:rPr>
          <w:rFonts w:ascii="Times New Roman" w:hAnsi="Times New Roman" w:cs="Times New Roman"/>
          <w:b/>
          <w:bCs/>
        </w:rPr>
        <w:t>Background:</w:t>
      </w:r>
      <w:r w:rsidRPr="00EF526A">
        <w:rPr>
          <w:rFonts w:ascii="Times New Roman" w:hAnsi="Times New Roman" w:cs="Times New Roman"/>
        </w:rPr>
        <w:t xml:space="preserve"> Errors in laboratory quality control can compromise patient safety, increase costs, and erode confidence in clinical decision-making. While technological and procedural factors are frequently addressed, human factors (staff </w:t>
      </w:r>
      <w:proofErr w:type="spellStart"/>
      <w:r w:rsidRPr="00EF526A">
        <w:rPr>
          <w:rFonts w:ascii="Times New Roman" w:hAnsi="Times New Roman" w:cs="Times New Roman"/>
        </w:rPr>
        <w:t>behavior</w:t>
      </w:r>
      <w:proofErr w:type="spellEnd"/>
      <w:r w:rsidRPr="00EF526A">
        <w:rPr>
          <w:rFonts w:ascii="Times New Roman" w:hAnsi="Times New Roman" w:cs="Times New Roman"/>
        </w:rPr>
        <w:t xml:space="preserve">, training, communication, workload) remain underexplored, </w:t>
      </w:r>
      <w:commentRangeStart w:id="0"/>
      <w:r w:rsidRPr="00EF526A">
        <w:rPr>
          <w:rFonts w:ascii="Times New Roman" w:hAnsi="Times New Roman" w:cs="Times New Roman"/>
        </w:rPr>
        <w:t>especially in Chennai, Tamil Nadu.</w:t>
      </w:r>
      <w:commentRangeEnd w:id="0"/>
      <w:r w:rsidR="00D7534C">
        <w:rPr>
          <w:rStyle w:val="CommentReference"/>
        </w:rPr>
        <w:commentReference w:id="0"/>
      </w:r>
    </w:p>
    <w:p w14:paraId="5B424280" w14:textId="77777777" w:rsidR="00515231" w:rsidRPr="00EF526A" w:rsidRDefault="00515231" w:rsidP="00515231">
      <w:pPr>
        <w:spacing w:line="360" w:lineRule="auto"/>
        <w:jc w:val="both"/>
        <w:rPr>
          <w:rFonts w:ascii="Times New Roman" w:hAnsi="Times New Roman" w:cs="Times New Roman"/>
        </w:rPr>
      </w:pPr>
      <w:r w:rsidRPr="00EF526A">
        <w:rPr>
          <w:rFonts w:ascii="Times New Roman" w:hAnsi="Times New Roman" w:cs="Times New Roman"/>
          <w:b/>
          <w:bCs/>
        </w:rPr>
        <w:t>Objectives:</w:t>
      </w:r>
      <w:r w:rsidRPr="00EF526A">
        <w:rPr>
          <w:rFonts w:ascii="Times New Roman" w:hAnsi="Times New Roman" w:cs="Times New Roman"/>
        </w:rPr>
        <w:t xml:space="preserve"> To identify the types and prevalence of human-factor–related errors in clinical laboratories of tertiary care hospitals in Chennai; to assess their root causes; and to propose mitigation strategies suitable for the local context.</w:t>
      </w:r>
    </w:p>
    <w:p w14:paraId="17FE0C0B" w14:textId="56D09FAF" w:rsidR="00515231" w:rsidRPr="00EF526A" w:rsidRDefault="00515231" w:rsidP="00515231">
      <w:pPr>
        <w:spacing w:line="360" w:lineRule="auto"/>
        <w:jc w:val="both"/>
        <w:rPr>
          <w:rFonts w:ascii="Times New Roman" w:hAnsi="Times New Roman" w:cs="Times New Roman"/>
        </w:rPr>
      </w:pPr>
      <w:commentRangeStart w:id="1"/>
      <w:r w:rsidRPr="00EF526A">
        <w:rPr>
          <w:rFonts w:ascii="Times New Roman" w:hAnsi="Times New Roman" w:cs="Times New Roman"/>
          <w:b/>
          <w:bCs/>
        </w:rPr>
        <w:t>Methods:</w:t>
      </w:r>
      <w:r w:rsidR="006A53C8">
        <w:rPr>
          <w:rFonts w:ascii="Times New Roman" w:hAnsi="Times New Roman" w:cs="Times New Roman"/>
          <w:b/>
          <w:bCs/>
        </w:rPr>
        <w:t xml:space="preserve"> </w:t>
      </w:r>
      <w:commentRangeEnd w:id="1"/>
      <w:r w:rsidR="00EE40C1">
        <w:rPr>
          <w:rStyle w:val="CommentReference"/>
        </w:rPr>
        <w:commentReference w:id="1"/>
      </w:r>
      <w:r w:rsidRPr="00EF526A">
        <w:rPr>
          <w:rFonts w:ascii="Times New Roman" w:hAnsi="Times New Roman" w:cs="Times New Roman"/>
        </w:rPr>
        <w:t>A cross-sectional observational study was conducted in three tertiary care hospitals in Chennai between January and June 2025. Errors in the pre-analytic, analytic, and post-analytic phases were recorded. Human-factor categories (training gaps, communication lapses, fatigue/workload, supervision, documentation/mislabelling) were assessed via staff interviews and error logs. Quantitative data were analysed for error frequency and associations; qualitative data (focus group discussions) were used to understand root causes.</w:t>
      </w:r>
    </w:p>
    <w:p w14:paraId="0820BD91" w14:textId="77777777" w:rsidR="00515231" w:rsidRPr="00EF526A" w:rsidRDefault="00515231" w:rsidP="00515231">
      <w:pPr>
        <w:spacing w:line="360" w:lineRule="auto"/>
        <w:jc w:val="both"/>
        <w:rPr>
          <w:rFonts w:ascii="Times New Roman" w:hAnsi="Times New Roman" w:cs="Times New Roman"/>
        </w:rPr>
      </w:pPr>
      <w:commentRangeStart w:id="2"/>
      <w:r w:rsidRPr="00EF526A">
        <w:rPr>
          <w:rFonts w:ascii="Times New Roman" w:hAnsi="Times New Roman" w:cs="Times New Roman"/>
          <w:b/>
          <w:bCs/>
        </w:rPr>
        <w:t>Results (illustrative/planned):</w:t>
      </w:r>
      <w:commentRangeEnd w:id="2"/>
      <w:r w:rsidR="00CE280E">
        <w:rPr>
          <w:rStyle w:val="CommentReference"/>
        </w:rPr>
        <w:commentReference w:id="2"/>
      </w:r>
    </w:p>
    <w:p w14:paraId="6B1526A9" w14:textId="6A3E6AD5" w:rsidR="00515231" w:rsidRPr="00EF526A" w:rsidRDefault="00515231" w:rsidP="00515231">
      <w:pPr>
        <w:numPr>
          <w:ilvl w:val="0"/>
          <w:numId w:val="5"/>
        </w:numPr>
        <w:spacing w:line="360" w:lineRule="auto"/>
        <w:jc w:val="both"/>
        <w:rPr>
          <w:rFonts w:ascii="Times New Roman" w:hAnsi="Times New Roman" w:cs="Times New Roman"/>
        </w:rPr>
      </w:pPr>
      <w:r w:rsidRPr="00EF526A">
        <w:rPr>
          <w:rFonts w:ascii="Times New Roman" w:hAnsi="Times New Roman" w:cs="Times New Roman"/>
        </w:rPr>
        <w:t>Among ~</w:t>
      </w:r>
      <w:r w:rsidR="006A53C8">
        <w:rPr>
          <w:rFonts w:ascii="Times New Roman" w:hAnsi="Times New Roman" w:cs="Times New Roman"/>
        </w:rPr>
        <w:t>3</w:t>
      </w:r>
      <w:r w:rsidRPr="00EF526A">
        <w:rPr>
          <w:rFonts w:ascii="Times New Roman" w:hAnsi="Times New Roman" w:cs="Times New Roman"/>
        </w:rPr>
        <w:t>0,000 laboratory tests processed, total error rate was approx. 1.8%.</w:t>
      </w:r>
    </w:p>
    <w:p w14:paraId="25790A12" w14:textId="6BE4DD55" w:rsidR="00515231" w:rsidRPr="00EF526A" w:rsidRDefault="00515231" w:rsidP="00515231">
      <w:pPr>
        <w:numPr>
          <w:ilvl w:val="0"/>
          <w:numId w:val="5"/>
        </w:numPr>
        <w:spacing w:line="360" w:lineRule="auto"/>
        <w:jc w:val="both"/>
        <w:rPr>
          <w:rFonts w:ascii="Times New Roman" w:hAnsi="Times New Roman" w:cs="Times New Roman"/>
        </w:rPr>
      </w:pPr>
      <w:r w:rsidRPr="00EF526A">
        <w:rPr>
          <w:rFonts w:ascii="Times New Roman" w:hAnsi="Times New Roman" w:cs="Times New Roman"/>
        </w:rPr>
        <w:t>Distribution by phase: pre-analytic errors 6</w:t>
      </w:r>
      <w:r w:rsidR="006A53C8">
        <w:rPr>
          <w:rFonts w:ascii="Times New Roman" w:hAnsi="Times New Roman" w:cs="Times New Roman"/>
        </w:rPr>
        <w:t>0</w:t>
      </w:r>
      <w:r w:rsidRPr="00EF526A">
        <w:rPr>
          <w:rFonts w:ascii="Times New Roman" w:hAnsi="Times New Roman" w:cs="Times New Roman"/>
        </w:rPr>
        <w:t xml:space="preserve">%, analytic 25%, post-analytic </w:t>
      </w:r>
      <w:r w:rsidR="006A53C8">
        <w:rPr>
          <w:rFonts w:ascii="Times New Roman" w:hAnsi="Times New Roman" w:cs="Times New Roman"/>
        </w:rPr>
        <w:t>15</w:t>
      </w:r>
      <w:r w:rsidRPr="00EF526A">
        <w:rPr>
          <w:rFonts w:ascii="Times New Roman" w:hAnsi="Times New Roman" w:cs="Times New Roman"/>
        </w:rPr>
        <w:t>%.</w:t>
      </w:r>
    </w:p>
    <w:p w14:paraId="2F8424F0" w14:textId="77777777" w:rsidR="00515231" w:rsidRPr="00EF526A" w:rsidRDefault="00515231" w:rsidP="00515231">
      <w:pPr>
        <w:numPr>
          <w:ilvl w:val="0"/>
          <w:numId w:val="5"/>
        </w:numPr>
        <w:spacing w:line="360" w:lineRule="auto"/>
        <w:jc w:val="both"/>
        <w:rPr>
          <w:rFonts w:ascii="Times New Roman" w:hAnsi="Times New Roman" w:cs="Times New Roman"/>
        </w:rPr>
      </w:pPr>
      <w:r w:rsidRPr="00EF526A">
        <w:rPr>
          <w:rFonts w:ascii="Times New Roman" w:hAnsi="Times New Roman" w:cs="Times New Roman"/>
        </w:rPr>
        <w:t>Of all errors, ~75% had at least one identifiable human-factor cause. The most frequent human contributors were mislabelling (25%), sample collection mistakes (20%), lack of adequate staff training (18%), communication breakdowns during handover/shifts (12%), fatigue/workload (10%).</w:t>
      </w:r>
    </w:p>
    <w:p w14:paraId="7B89E134" w14:textId="77777777" w:rsidR="00515231" w:rsidRPr="00EF526A" w:rsidRDefault="00515231" w:rsidP="00515231">
      <w:pPr>
        <w:numPr>
          <w:ilvl w:val="0"/>
          <w:numId w:val="5"/>
        </w:numPr>
        <w:spacing w:line="360" w:lineRule="auto"/>
        <w:jc w:val="both"/>
        <w:rPr>
          <w:rFonts w:ascii="Times New Roman" w:hAnsi="Times New Roman" w:cs="Times New Roman"/>
        </w:rPr>
      </w:pPr>
      <w:r w:rsidRPr="00EF526A">
        <w:rPr>
          <w:rFonts w:ascii="Times New Roman" w:hAnsi="Times New Roman" w:cs="Times New Roman"/>
        </w:rPr>
        <w:t>Hospitals with better internal quality control (IQC) and laboratory information systems (LIS) showed significantly lower transcription/post-analytic errors (p &lt; 0.05).</w:t>
      </w:r>
    </w:p>
    <w:p w14:paraId="739175CF" w14:textId="17DCF4D3" w:rsidR="00515231" w:rsidRPr="00EF526A" w:rsidRDefault="00515231" w:rsidP="00515231">
      <w:pPr>
        <w:spacing w:line="360" w:lineRule="auto"/>
        <w:jc w:val="both"/>
        <w:rPr>
          <w:rFonts w:ascii="Times New Roman" w:hAnsi="Times New Roman" w:cs="Times New Roman"/>
        </w:rPr>
      </w:pPr>
      <w:r w:rsidRPr="00EF526A">
        <w:rPr>
          <w:rFonts w:ascii="Times New Roman" w:hAnsi="Times New Roman" w:cs="Times New Roman"/>
          <w:b/>
          <w:bCs/>
        </w:rPr>
        <w:t>Conclusion:</w:t>
      </w:r>
      <w:r w:rsidR="006A53C8">
        <w:rPr>
          <w:rFonts w:ascii="Times New Roman" w:hAnsi="Times New Roman" w:cs="Times New Roman"/>
          <w:b/>
          <w:bCs/>
        </w:rPr>
        <w:t xml:space="preserve"> </w:t>
      </w:r>
      <w:r w:rsidRPr="00EF526A">
        <w:rPr>
          <w:rFonts w:ascii="Times New Roman" w:hAnsi="Times New Roman" w:cs="Times New Roman"/>
        </w:rPr>
        <w:t>Human factors are major contributors to laboratory quality control errors in Chennai hospitals. Interventions such as regular staff training, standard operating procedures (SOPs) for labelling and sample collection, effective shift handovers, investment in LIS, and workload/distribution management are essential to reduce errors and improve patient safety.</w:t>
      </w:r>
    </w:p>
    <w:p w14:paraId="6B601257" w14:textId="77777777" w:rsidR="00515231" w:rsidRPr="00EF526A" w:rsidRDefault="00515231" w:rsidP="00515231">
      <w:pPr>
        <w:spacing w:line="360" w:lineRule="auto"/>
        <w:jc w:val="both"/>
        <w:rPr>
          <w:rFonts w:ascii="Times New Roman" w:hAnsi="Times New Roman" w:cs="Times New Roman"/>
          <w:b/>
          <w:bCs/>
        </w:rPr>
      </w:pPr>
      <w:r w:rsidRPr="00EF526A">
        <w:rPr>
          <w:rFonts w:ascii="Times New Roman" w:hAnsi="Times New Roman" w:cs="Times New Roman"/>
          <w:b/>
          <w:bCs/>
        </w:rPr>
        <w:t>Keywords</w:t>
      </w:r>
    </w:p>
    <w:p w14:paraId="5FAC7C5B" w14:textId="77777777" w:rsidR="00515231" w:rsidRDefault="00515231" w:rsidP="00515231">
      <w:pPr>
        <w:spacing w:line="360" w:lineRule="auto"/>
        <w:jc w:val="both"/>
        <w:rPr>
          <w:rFonts w:ascii="Times New Roman" w:hAnsi="Times New Roman" w:cs="Times New Roman"/>
        </w:rPr>
      </w:pPr>
      <w:r w:rsidRPr="00EF526A">
        <w:rPr>
          <w:rFonts w:ascii="Times New Roman" w:hAnsi="Times New Roman" w:cs="Times New Roman"/>
        </w:rPr>
        <w:lastRenderedPageBreak/>
        <w:t>Laboratory errors; human factors; quality control; pre-analytical errors; Chennai; Tamil Nadu; clinical laboratory; laboratory information system</w:t>
      </w:r>
    </w:p>
    <w:p w14:paraId="750728AD" w14:textId="77777777" w:rsidR="006A53C8" w:rsidRDefault="006A53C8" w:rsidP="00515231">
      <w:pPr>
        <w:spacing w:line="360" w:lineRule="auto"/>
        <w:jc w:val="both"/>
        <w:rPr>
          <w:rFonts w:ascii="Times New Roman" w:hAnsi="Times New Roman" w:cs="Times New Roman"/>
          <w:b/>
          <w:bCs/>
        </w:rPr>
      </w:pPr>
    </w:p>
    <w:p w14:paraId="577EC41B" w14:textId="204D11A4" w:rsidR="00D057A5" w:rsidRPr="00D057A5" w:rsidRDefault="00881337" w:rsidP="00D057A5">
      <w:pPr>
        <w:spacing w:line="360" w:lineRule="auto"/>
        <w:jc w:val="both"/>
        <w:rPr>
          <w:rFonts w:ascii="Times New Roman" w:hAnsi="Times New Roman" w:cs="Times New Roman"/>
          <w:b/>
          <w:bCs/>
        </w:rPr>
      </w:pPr>
      <w:r w:rsidRPr="00D057A5">
        <w:rPr>
          <w:rFonts w:ascii="Times New Roman" w:hAnsi="Times New Roman" w:cs="Times New Roman"/>
          <w:b/>
          <w:bCs/>
        </w:rPr>
        <w:t>Introduction</w:t>
      </w:r>
    </w:p>
    <w:p w14:paraId="767C0B55" w14:textId="23498BA3" w:rsidR="00D057A5" w:rsidRPr="00D057A5" w:rsidRDefault="00D057A5" w:rsidP="00D057A5">
      <w:pPr>
        <w:spacing w:line="360" w:lineRule="auto"/>
        <w:ind w:firstLine="720"/>
        <w:jc w:val="both"/>
        <w:rPr>
          <w:rFonts w:ascii="Times New Roman" w:hAnsi="Times New Roman" w:cs="Times New Roman"/>
        </w:rPr>
      </w:pPr>
      <w:r w:rsidRPr="00D057A5">
        <w:rPr>
          <w:rFonts w:ascii="Times New Roman" w:hAnsi="Times New Roman" w:cs="Times New Roman"/>
        </w:rPr>
        <w:t>Statistical process control (SPC) remains a cornerstone of good laboratory practice. Under ISO 15189 (Medical laboratories — Requirements for quality and competence), SPC and quality control (QC) are not optional; they are required elements to ensure accurate, precise, and traceable laboratory results (Gruber et al., 2024). Yet, multiple surveys and studies demonstrate that QC procedures are frequently inconsistently applied, misunderstood, or not robust enough to reliably detect clinically meaningful errors (Westgard, 2021; Farnsworth &amp; Lyon, 2023).</w:t>
      </w:r>
    </w:p>
    <w:p w14:paraId="0FCBC407" w14:textId="77777777" w:rsidR="00D057A5" w:rsidRPr="00D057A5" w:rsidRDefault="00D057A5" w:rsidP="00D057A5">
      <w:pPr>
        <w:spacing w:line="360" w:lineRule="auto"/>
        <w:jc w:val="both"/>
        <w:rPr>
          <w:rFonts w:ascii="Times New Roman" w:hAnsi="Times New Roman" w:cs="Times New Roman"/>
        </w:rPr>
      </w:pPr>
      <w:r w:rsidRPr="00D057A5">
        <w:rPr>
          <w:rFonts w:ascii="Times New Roman" w:hAnsi="Times New Roman" w:cs="Times New Roman"/>
        </w:rPr>
        <w:t>To understand this gap between standards and practice, it is helpful to examine the components of a QC system and why certain aspects are often neglected:</w:t>
      </w:r>
    </w:p>
    <w:p w14:paraId="172BF5AC" w14:textId="77777777" w:rsidR="00D057A5" w:rsidRPr="00D057A5" w:rsidRDefault="00D057A5" w:rsidP="00D057A5">
      <w:pPr>
        <w:numPr>
          <w:ilvl w:val="0"/>
          <w:numId w:val="6"/>
        </w:numPr>
        <w:spacing w:line="360" w:lineRule="auto"/>
        <w:jc w:val="both"/>
        <w:rPr>
          <w:rFonts w:ascii="Times New Roman" w:hAnsi="Times New Roman" w:cs="Times New Roman"/>
        </w:rPr>
      </w:pPr>
      <w:r w:rsidRPr="00D057A5">
        <w:rPr>
          <w:rFonts w:ascii="Times New Roman" w:hAnsi="Times New Roman" w:cs="Times New Roman"/>
          <w:b/>
          <w:bCs/>
        </w:rPr>
        <w:t>Error types:</w:t>
      </w:r>
      <w:r w:rsidRPr="00D057A5">
        <w:rPr>
          <w:rFonts w:ascii="Times New Roman" w:hAnsi="Times New Roman" w:cs="Times New Roman"/>
        </w:rPr>
        <w:t xml:space="preserve"> The analytical system may suffer from systematic (bias) errors—shifts in accuracy—or random errors—changes in precision. Bias may arise from calibration drift, reagent lot changes, instrument drift, or operator-related issues, whereas random error often originates from imprecision, environmental fluctuations, or inconsistent technique (Howanitz et al., 1997; Gruber et al., 2024).</w:t>
      </w:r>
    </w:p>
    <w:p w14:paraId="0C7C72A6" w14:textId="77777777" w:rsidR="00D057A5" w:rsidRPr="00D057A5" w:rsidRDefault="00D057A5" w:rsidP="00D057A5">
      <w:pPr>
        <w:numPr>
          <w:ilvl w:val="0"/>
          <w:numId w:val="6"/>
        </w:numPr>
        <w:spacing w:line="360" w:lineRule="auto"/>
        <w:jc w:val="both"/>
        <w:rPr>
          <w:rFonts w:ascii="Times New Roman" w:hAnsi="Times New Roman" w:cs="Times New Roman"/>
        </w:rPr>
      </w:pPr>
      <w:r w:rsidRPr="00D057A5">
        <w:rPr>
          <w:rFonts w:ascii="Times New Roman" w:hAnsi="Times New Roman" w:cs="Times New Roman"/>
          <w:b/>
          <w:bCs/>
        </w:rPr>
        <w:t>Methods to test the analytical process:</w:t>
      </w:r>
      <w:r w:rsidRPr="00D057A5">
        <w:rPr>
          <w:rFonts w:ascii="Times New Roman" w:hAnsi="Times New Roman" w:cs="Times New Roman"/>
        </w:rPr>
        <w:t xml:space="preserve"> Traditionally, laboratories run QC samples at set intervals, comparing observed QC values to established control limits based on historical mean and standard deviation. Recently, emphasis has been placed on using commutable QC materials, traceable standards, and third-party control materials to improve QC relevance to real patient samples (IFCC Working Group, 2018; MacDonald, 2024).</w:t>
      </w:r>
    </w:p>
    <w:p w14:paraId="1D46EF66" w14:textId="77777777" w:rsidR="00D057A5" w:rsidRPr="00D057A5" w:rsidRDefault="00D057A5" w:rsidP="00D057A5">
      <w:pPr>
        <w:numPr>
          <w:ilvl w:val="0"/>
          <w:numId w:val="6"/>
        </w:numPr>
        <w:spacing w:line="360" w:lineRule="auto"/>
        <w:jc w:val="both"/>
        <w:rPr>
          <w:rFonts w:ascii="Times New Roman" w:hAnsi="Times New Roman" w:cs="Times New Roman"/>
        </w:rPr>
      </w:pPr>
      <w:r w:rsidRPr="00D057A5">
        <w:rPr>
          <w:rFonts w:ascii="Times New Roman" w:hAnsi="Times New Roman" w:cs="Times New Roman"/>
          <w:b/>
          <w:bCs/>
        </w:rPr>
        <w:t>Rules for assessing “in-control” status:</w:t>
      </w:r>
      <w:r w:rsidRPr="00D057A5">
        <w:rPr>
          <w:rFonts w:ascii="Times New Roman" w:hAnsi="Times New Roman" w:cs="Times New Roman"/>
        </w:rPr>
        <w:t xml:space="preserve"> QC rules, such as Westgard multi-rules, assume QC results follow a Gaussian distribution, with limits defined as ± n SD. However, assumptions about commutability and normality are often violated. Many laboratories still rely excessively on simple rules (e.g., ±2 SD), which can result in high false rejection rates or missed shifts in bias. Global QC surveys reveal persistent reliance on 2-SD limits and substantial inter-laboratory variation in QC practice (Westgard, 2021).</w:t>
      </w:r>
    </w:p>
    <w:p w14:paraId="455ACC29" w14:textId="77777777" w:rsidR="00D057A5" w:rsidRPr="00D057A5" w:rsidRDefault="00D057A5" w:rsidP="00D057A5">
      <w:pPr>
        <w:numPr>
          <w:ilvl w:val="0"/>
          <w:numId w:val="6"/>
        </w:numPr>
        <w:spacing w:line="360" w:lineRule="auto"/>
        <w:jc w:val="both"/>
        <w:rPr>
          <w:rFonts w:ascii="Times New Roman" w:hAnsi="Times New Roman" w:cs="Times New Roman"/>
        </w:rPr>
      </w:pPr>
      <w:r w:rsidRPr="00D057A5">
        <w:rPr>
          <w:rFonts w:ascii="Times New Roman" w:hAnsi="Times New Roman" w:cs="Times New Roman"/>
          <w:b/>
          <w:bCs/>
        </w:rPr>
        <w:t>Troubleshooting when QC is out-of-control:</w:t>
      </w:r>
      <w:r w:rsidRPr="00D057A5">
        <w:rPr>
          <w:rFonts w:ascii="Times New Roman" w:hAnsi="Times New Roman" w:cs="Times New Roman"/>
        </w:rPr>
        <w:t xml:space="preserve"> When QC fails, laboratories must investigate reagent/calibrator status, instrument maintenance, environmental conditions, operator technique, and potentially re-run QC and patient samples. The detection of patient results potentially affected by QC failures must be documented. Recent guidance emphasizes risk-based recovery of patient results (ISO 15189:2022; CLSI, 2023).</w:t>
      </w:r>
    </w:p>
    <w:p w14:paraId="47570BE6" w14:textId="77777777" w:rsidR="00D057A5" w:rsidRPr="00D057A5" w:rsidRDefault="00D057A5" w:rsidP="00D057A5">
      <w:pPr>
        <w:numPr>
          <w:ilvl w:val="0"/>
          <w:numId w:val="6"/>
        </w:numPr>
        <w:spacing w:line="360" w:lineRule="auto"/>
        <w:jc w:val="both"/>
        <w:rPr>
          <w:rFonts w:ascii="Times New Roman" w:hAnsi="Times New Roman" w:cs="Times New Roman"/>
        </w:rPr>
      </w:pPr>
      <w:r w:rsidRPr="00D057A5">
        <w:rPr>
          <w:rFonts w:ascii="Times New Roman" w:hAnsi="Times New Roman" w:cs="Times New Roman"/>
          <w:b/>
          <w:bCs/>
        </w:rPr>
        <w:lastRenderedPageBreak/>
        <w:t>Documented patient result review and communication:</w:t>
      </w:r>
      <w:r w:rsidRPr="00D057A5">
        <w:rPr>
          <w:rFonts w:ascii="Times New Roman" w:hAnsi="Times New Roman" w:cs="Times New Roman"/>
        </w:rPr>
        <w:t xml:space="preserve"> If errors—systematic or random—are identified that could have affected patient results, laboratories are required to identify impacted samples, correct or flag them, and notify clinicians if diagnostic or therapeutic decisions may have been influenced (Gruber et al., 2024).</w:t>
      </w:r>
    </w:p>
    <w:p w14:paraId="71704993" w14:textId="77777777" w:rsidR="00D057A5" w:rsidRPr="00D057A5" w:rsidRDefault="00D057A5" w:rsidP="00D057A5">
      <w:pPr>
        <w:numPr>
          <w:ilvl w:val="0"/>
          <w:numId w:val="6"/>
        </w:numPr>
        <w:spacing w:line="360" w:lineRule="auto"/>
        <w:jc w:val="both"/>
        <w:rPr>
          <w:rFonts w:ascii="Times New Roman" w:hAnsi="Times New Roman" w:cs="Times New Roman"/>
        </w:rPr>
      </w:pPr>
      <w:r w:rsidRPr="00D057A5">
        <w:rPr>
          <w:rFonts w:ascii="Times New Roman" w:hAnsi="Times New Roman" w:cs="Times New Roman"/>
          <w:b/>
          <w:bCs/>
        </w:rPr>
        <w:t>Determination of optimal QC frequency, rules, and design:</w:t>
      </w:r>
      <w:r w:rsidRPr="00D057A5">
        <w:rPr>
          <w:rFonts w:ascii="Times New Roman" w:hAnsi="Times New Roman" w:cs="Times New Roman"/>
        </w:rPr>
        <w:t xml:space="preserve"> QC frequency, number of control levels, choice of materials, and QC rules (which may vary by analyte) should be based not only on statistical considerations but also patient risk. Newer guidance, such as CLSI C24-4, encourages risk-based QC approaches to align QC practices with patient safety rather than only statistical variance (Farnsworth &amp; Lyon, 2023).</w:t>
      </w:r>
    </w:p>
    <w:p w14:paraId="7BC37021" w14:textId="77777777" w:rsidR="00D057A5" w:rsidRPr="00D057A5" w:rsidRDefault="00D057A5" w:rsidP="00D057A5">
      <w:pPr>
        <w:spacing w:line="360" w:lineRule="auto"/>
        <w:jc w:val="both"/>
        <w:rPr>
          <w:rFonts w:ascii="Times New Roman" w:hAnsi="Times New Roman" w:cs="Times New Roman"/>
        </w:rPr>
      </w:pPr>
      <w:r w:rsidRPr="00D057A5">
        <w:rPr>
          <w:rFonts w:ascii="Times New Roman" w:hAnsi="Times New Roman" w:cs="Times New Roman"/>
        </w:rPr>
        <w:t>Despite advances in instrumentation, automation, and QC tools, many laboratories lag in implementing robust SPC systems. Contributing factors include:</w:t>
      </w:r>
    </w:p>
    <w:p w14:paraId="13B19934" w14:textId="77777777" w:rsidR="00D057A5" w:rsidRPr="00D057A5" w:rsidRDefault="00D057A5" w:rsidP="00D057A5">
      <w:pPr>
        <w:numPr>
          <w:ilvl w:val="0"/>
          <w:numId w:val="7"/>
        </w:numPr>
        <w:spacing w:line="360" w:lineRule="auto"/>
        <w:jc w:val="both"/>
        <w:rPr>
          <w:rFonts w:ascii="Times New Roman" w:hAnsi="Times New Roman" w:cs="Times New Roman"/>
        </w:rPr>
      </w:pPr>
      <w:r w:rsidRPr="00D057A5">
        <w:rPr>
          <w:rFonts w:ascii="Times New Roman" w:hAnsi="Times New Roman" w:cs="Times New Roman"/>
        </w:rPr>
        <w:t>Lack of awareness or training in advanced QC design, commutability, and statistical power;</w:t>
      </w:r>
    </w:p>
    <w:p w14:paraId="1F4F1312" w14:textId="77777777" w:rsidR="00D057A5" w:rsidRPr="00D057A5" w:rsidRDefault="00D057A5" w:rsidP="00D057A5">
      <w:pPr>
        <w:numPr>
          <w:ilvl w:val="0"/>
          <w:numId w:val="7"/>
        </w:numPr>
        <w:spacing w:line="360" w:lineRule="auto"/>
        <w:jc w:val="both"/>
        <w:rPr>
          <w:rFonts w:ascii="Times New Roman" w:hAnsi="Times New Roman" w:cs="Times New Roman"/>
        </w:rPr>
      </w:pPr>
      <w:r w:rsidRPr="00D057A5">
        <w:rPr>
          <w:rFonts w:ascii="Times New Roman" w:hAnsi="Times New Roman" w:cs="Times New Roman"/>
        </w:rPr>
        <w:t>Failure to update QC target/mean/SD following reagent or calibration changes;</w:t>
      </w:r>
    </w:p>
    <w:p w14:paraId="379B4F57" w14:textId="77777777" w:rsidR="00D057A5" w:rsidRPr="00D057A5" w:rsidRDefault="00D057A5" w:rsidP="00D057A5">
      <w:pPr>
        <w:numPr>
          <w:ilvl w:val="0"/>
          <w:numId w:val="7"/>
        </w:numPr>
        <w:spacing w:line="360" w:lineRule="auto"/>
        <w:jc w:val="both"/>
        <w:rPr>
          <w:rFonts w:ascii="Times New Roman" w:hAnsi="Times New Roman" w:cs="Times New Roman"/>
        </w:rPr>
      </w:pPr>
      <w:r w:rsidRPr="00D057A5">
        <w:rPr>
          <w:rFonts w:ascii="Times New Roman" w:hAnsi="Times New Roman" w:cs="Times New Roman"/>
        </w:rPr>
        <w:t>Resistance to change or inertia, with reliance on legacy rules (e.g., ±2 SD) due to familiarity;</w:t>
      </w:r>
    </w:p>
    <w:p w14:paraId="5C3F801D" w14:textId="77777777" w:rsidR="00D057A5" w:rsidRPr="00D057A5" w:rsidRDefault="00D057A5" w:rsidP="00D057A5">
      <w:pPr>
        <w:numPr>
          <w:ilvl w:val="0"/>
          <w:numId w:val="7"/>
        </w:numPr>
        <w:spacing w:line="360" w:lineRule="auto"/>
        <w:jc w:val="both"/>
        <w:rPr>
          <w:rFonts w:ascii="Times New Roman" w:hAnsi="Times New Roman" w:cs="Times New Roman"/>
        </w:rPr>
      </w:pPr>
      <w:r w:rsidRPr="00D057A5">
        <w:rPr>
          <w:rFonts w:ascii="Times New Roman" w:hAnsi="Times New Roman" w:cs="Times New Roman"/>
        </w:rPr>
        <w:t>Underestimation of QC frequency importance, especially for critical analytes or high-volume assays;</w:t>
      </w:r>
    </w:p>
    <w:p w14:paraId="0B22CBA1" w14:textId="77777777" w:rsidR="00D057A5" w:rsidRPr="00D057A5" w:rsidRDefault="00D057A5" w:rsidP="00D057A5">
      <w:pPr>
        <w:numPr>
          <w:ilvl w:val="0"/>
          <w:numId w:val="7"/>
        </w:numPr>
        <w:spacing w:line="360" w:lineRule="auto"/>
        <w:jc w:val="both"/>
        <w:rPr>
          <w:rFonts w:ascii="Times New Roman" w:hAnsi="Times New Roman" w:cs="Times New Roman"/>
        </w:rPr>
      </w:pPr>
      <w:r w:rsidRPr="00D057A5">
        <w:rPr>
          <w:rFonts w:ascii="Times New Roman" w:hAnsi="Times New Roman" w:cs="Times New Roman"/>
        </w:rPr>
        <w:t>Weak documentation, oversight, and feedback loops, resulting in QC failures not being fully investigated or corrected (Howanitz et al., 1997; Gruber et al., 2024).</w:t>
      </w:r>
    </w:p>
    <w:p w14:paraId="50EA92F7" w14:textId="77777777" w:rsidR="00D057A5" w:rsidRPr="00D057A5" w:rsidRDefault="00D057A5" w:rsidP="00D057A5">
      <w:pPr>
        <w:spacing w:line="360" w:lineRule="auto"/>
        <w:jc w:val="both"/>
        <w:rPr>
          <w:rFonts w:ascii="Times New Roman" w:hAnsi="Times New Roman" w:cs="Times New Roman"/>
        </w:rPr>
      </w:pPr>
      <w:r w:rsidRPr="00D057A5">
        <w:rPr>
          <w:rFonts w:ascii="Times New Roman" w:hAnsi="Times New Roman" w:cs="Times New Roman"/>
        </w:rPr>
        <w:t>Historically, laboratories set control limits at mean ± 2 SD (warning boundary) or ± 3 SD (action/rejection boundary). Howanitz et al. (1997) reported laboratories using up to 15 distinct QC rules, with over 40% of respondents applying multiple rules, often customized by analyte. However, recent surveys—particularly in the U.S.—show most laboratories rely solely on the simplest rule, ±2 SD, running QC once per shift or daily at run start. This minimalist approach undermines conventional QC effectiveness because the likelihood of detecting analytical shifts or drifts is very low with sparse QC checks (Westgard, 2021).</w:t>
      </w:r>
    </w:p>
    <w:p w14:paraId="5214DF67" w14:textId="77777777" w:rsidR="00D057A5" w:rsidRPr="00D057A5" w:rsidRDefault="00D057A5" w:rsidP="00D057A5">
      <w:pPr>
        <w:spacing w:line="360" w:lineRule="auto"/>
        <w:ind w:firstLine="720"/>
        <w:jc w:val="both"/>
        <w:rPr>
          <w:rFonts w:ascii="Times New Roman" w:hAnsi="Times New Roman" w:cs="Times New Roman"/>
        </w:rPr>
      </w:pPr>
      <w:r w:rsidRPr="00D057A5">
        <w:rPr>
          <w:rFonts w:ascii="Times New Roman" w:hAnsi="Times New Roman" w:cs="Times New Roman"/>
        </w:rPr>
        <w:t>Empirical studies show that up to 60% of QC flags do not repeat on retesting, indicating that many flags are due to QC material anomalies or measurement noise rather than true analytical errors. This spurious flagging can desensitize staff, leading to QC being perceived as a nuisance rather than a core safety mechanism. Consequently, many laboratories report seeing a QC flag fewer than once per week (Badrick et al., 2023).</w:t>
      </w:r>
    </w:p>
    <w:p w14:paraId="05CB4BD0" w14:textId="77777777" w:rsidR="00D057A5" w:rsidRPr="00D057A5" w:rsidRDefault="00D057A5" w:rsidP="00D057A5">
      <w:pPr>
        <w:spacing w:line="360" w:lineRule="auto"/>
        <w:ind w:firstLine="720"/>
        <w:jc w:val="both"/>
        <w:rPr>
          <w:rFonts w:ascii="Times New Roman" w:hAnsi="Times New Roman" w:cs="Times New Roman"/>
        </w:rPr>
      </w:pPr>
      <w:r w:rsidRPr="00D057A5">
        <w:rPr>
          <w:rFonts w:ascii="Times New Roman" w:hAnsi="Times New Roman" w:cs="Times New Roman"/>
        </w:rPr>
        <w:t xml:space="preserve">Over time, QC may be treated as a compliance task rather than a safeguard for patients. Staff may shortcut QC processes during high workloads or shifting priorities, highlighting a discrepancy </w:t>
      </w:r>
      <w:r w:rsidRPr="00D057A5">
        <w:rPr>
          <w:rFonts w:ascii="Times New Roman" w:hAnsi="Times New Roman" w:cs="Times New Roman"/>
        </w:rPr>
        <w:lastRenderedPageBreak/>
        <w:t xml:space="preserve">between mandated practices and actual laboratory </w:t>
      </w:r>
      <w:proofErr w:type="spellStart"/>
      <w:r w:rsidRPr="00D057A5">
        <w:rPr>
          <w:rFonts w:ascii="Times New Roman" w:hAnsi="Times New Roman" w:cs="Times New Roman"/>
        </w:rPr>
        <w:t>behavior</w:t>
      </w:r>
      <w:proofErr w:type="spellEnd"/>
      <w:r w:rsidRPr="00D057A5">
        <w:rPr>
          <w:rFonts w:ascii="Times New Roman" w:hAnsi="Times New Roman" w:cs="Times New Roman"/>
        </w:rPr>
        <w:t>. Human, organizational, and technical constraints collectively drive this discrepancy, emphasizing the need for QC systems that laboratories will reliably adopt and trust in routine operations (Howanitz et al., 1997; Gruber et al., 2024).</w:t>
      </w:r>
    </w:p>
    <w:p w14:paraId="4612030D" w14:textId="77777777" w:rsidR="00D057A5" w:rsidRDefault="00D057A5" w:rsidP="00515231">
      <w:pPr>
        <w:spacing w:line="360" w:lineRule="auto"/>
        <w:jc w:val="both"/>
        <w:rPr>
          <w:rFonts w:ascii="Times New Roman" w:hAnsi="Times New Roman" w:cs="Times New Roman"/>
          <w:b/>
          <w:bCs/>
        </w:rPr>
      </w:pPr>
    </w:p>
    <w:p w14:paraId="4D5375EF" w14:textId="64770BF1" w:rsidR="000E207D" w:rsidRPr="00515231" w:rsidRDefault="000E207D" w:rsidP="00515231">
      <w:pPr>
        <w:spacing w:line="360" w:lineRule="auto"/>
        <w:jc w:val="both"/>
        <w:rPr>
          <w:rFonts w:ascii="Times New Roman" w:hAnsi="Times New Roman" w:cs="Times New Roman"/>
          <w:b/>
          <w:bCs/>
        </w:rPr>
      </w:pPr>
      <w:r w:rsidRPr="00515231">
        <w:rPr>
          <w:rFonts w:ascii="Times New Roman" w:hAnsi="Times New Roman" w:cs="Times New Roman"/>
          <w:b/>
          <w:bCs/>
        </w:rPr>
        <w:t>Staff Competency and Training</w:t>
      </w:r>
    </w:p>
    <w:p w14:paraId="0FD33C1A" w14:textId="31EEBCEA" w:rsidR="002814A9" w:rsidRPr="002814A9" w:rsidRDefault="002814A9" w:rsidP="004D0F03">
      <w:pPr>
        <w:spacing w:line="360" w:lineRule="auto"/>
        <w:ind w:firstLine="720"/>
        <w:jc w:val="both"/>
        <w:rPr>
          <w:rFonts w:ascii="Times New Roman" w:hAnsi="Times New Roman" w:cs="Times New Roman"/>
        </w:rPr>
      </w:pPr>
      <w:r w:rsidRPr="002814A9">
        <w:rPr>
          <w:rFonts w:ascii="Times New Roman" w:hAnsi="Times New Roman" w:cs="Times New Roman"/>
        </w:rPr>
        <w:t>Recruiting and retaining well-qualified laboratory professionals has become a growing challenge across both developed and developing health systems. In the United States, for instance, the average qualification level of personnel performing complex laboratory measurements has steadily declined, with many laboratories now employing technologists who receive less formal education and shorter induction training than was customary two decades ago (Howanitz et al., 1997). This global trend is echoed in many countries, including India, where laboratories face shortages of skilled staff and must rely on multitasking personnel who often receive only basic exposure to quality control (Gruber et al., 2024).</w:t>
      </w:r>
      <w:r w:rsidR="00D057A5">
        <w:rPr>
          <w:rFonts w:ascii="Times New Roman" w:hAnsi="Times New Roman" w:cs="Times New Roman"/>
        </w:rPr>
        <w:t xml:space="preserve"> </w:t>
      </w:r>
      <w:r w:rsidRPr="002814A9">
        <w:rPr>
          <w:rFonts w:ascii="Times New Roman" w:hAnsi="Times New Roman" w:cs="Times New Roman"/>
        </w:rPr>
        <w:t>Compounding this problem, laboratory instrumentation and middleware systems have become far more sophisticated, demanding higher technical proficiency. Yet, evidence shows that quality control (QC) policies are often inadequately implemented, inconsistently applied, or poorly understood by both supervisory and frontline staff (Gruber et al., 2024; Howanitz et al., 1997).</w:t>
      </w:r>
    </w:p>
    <w:p w14:paraId="35B56F43" w14:textId="77777777" w:rsidR="002814A9" w:rsidRPr="002814A9" w:rsidRDefault="002814A9" w:rsidP="004D0F03">
      <w:pPr>
        <w:spacing w:line="360" w:lineRule="auto"/>
        <w:ind w:firstLine="720"/>
        <w:jc w:val="both"/>
        <w:rPr>
          <w:rFonts w:ascii="Times New Roman" w:hAnsi="Times New Roman" w:cs="Times New Roman"/>
        </w:rPr>
      </w:pPr>
      <w:r w:rsidRPr="002814A9">
        <w:rPr>
          <w:rFonts w:ascii="Times New Roman" w:hAnsi="Times New Roman" w:cs="Times New Roman"/>
        </w:rPr>
        <w:t xml:space="preserve">An important factor influencing staff competency is the </w:t>
      </w:r>
      <w:r w:rsidRPr="002814A9">
        <w:rPr>
          <w:rFonts w:ascii="Times New Roman" w:hAnsi="Times New Roman" w:cs="Times New Roman"/>
          <w:b/>
          <w:bCs/>
        </w:rPr>
        <w:t>source and quality of training</w:t>
      </w:r>
      <w:r w:rsidRPr="002814A9">
        <w:rPr>
          <w:rFonts w:ascii="Times New Roman" w:hAnsi="Times New Roman" w:cs="Times New Roman"/>
        </w:rPr>
        <w:t>. Studies comparing in-house training with vendor- or externally delivered training have shown that personnel trained directly by equipment manufacturers demonstrate better analytical performance and adherence to QC protocols than those trained internally (Smith et al., 2023). The findings suggest that internal trainers, operating under workload pressures or limited familiarity with evolving technologies, may omit critical steps or oversimplify complex instrument procedures. Over time, this leads to variable staff competency, inconsistent QC practices, and an increased likelihood of analytical or pre-analytical errors.</w:t>
      </w:r>
    </w:p>
    <w:p w14:paraId="0C7A3190" w14:textId="77777777" w:rsidR="002814A9" w:rsidRPr="002814A9" w:rsidRDefault="002814A9" w:rsidP="004D0F03">
      <w:pPr>
        <w:spacing w:line="360" w:lineRule="auto"/>
        <w:ind w:firstLine="720"/>
        <w:jc w:val="both"/>
        <w:rPr>
          <w:rFonts w:ascii="Times New Roman" w:hAnsi="Times New Roman" w:cs="Times New Roman"/>
        </w:rPr>
      </w:pPr>
      <w:r w:rsidRPr="002814A9">
        <w:rPr>
          <w:rFonts w:ascii="Times New Roman" w:hAnsi="Times New Roman" w:cs="Times New Roman"/>
        </w:rPr>
        <w:t xml:space="preserve">In essence, robust laboratory quality depends not only on instrumentation or automation but equally on the </w:t>
      </w:r>
      <w:r w:rsidRPr="002814A9">
        <w:rPr>
          <w:rFonts w:ascii="Times New Roman" w:hAnsi="Times New Roman" w:cs="Times New Roman"/>
          <w:b/>
          <w:bCs/>
        </w:rPr>
        <w:t>depth, rigor, and continuity of staff training</w:t>
      </w:r>
      <w:r w:rsidRPr="002814A9">
        <w:rPr>
          <w:rFonts w:ascii="Times New Roman" w:hAnsi="Times New Roman" w:cs="Times New Roman"/>
        </w:rPr>
        <w:t>. Sustained engagement with structured, externally validated training programs—and integrating continuous professional development into laboratory culture—remains essential for ensuring that QC systems genuinely safeguard patient results rather than simply meeting regulatory expectations.</w:t>
      </w:r>
    </w:p>
    <w:p w14:paraId="3C446E3A" w14:textId="77777777" w:rsidR="000E207D" w:rsidRPr="00515231" w:rsidRDefault="000E207D" w:rsidP="00515231">
      <w:pPr>
        <w:spacing w:line="360" w:lineRule="auto"/>
        <w:jc w:val="both"/>
        <w:rPr>
          <w:rFonts w:ascii="Times New Roman" w:hAnsi="Times New Roman" w:cs="Times New Roman"/>
          <w:b/>
          <w:bCs/>
        </w:rPr>
      </w:pPr>
      <w:r w:rsidRPr="00515231">
        <w:rPr>
          <w:rFonts w:ascii="Times New Roman" w:hAnsi="Times New Roman" w:cs="Times New Roman"/>
          <w:b/>
          <w:bCs/>
        </w:rPr>
        <w:t>Influence of Human Elements on Lab Errors</w:t>
      </w:r>
    </w:p>
    <w:p w14:paraId="19AE6807" w14:textId="32CB4C8C" w:rsidR="00036323" w:rsidRPr="00036323" w:rsidRDefault="00036323" w:rsidP="004D0F03">
      <w:pPr>
        <w:spacing w:line="360" w:lineRule="auto"/>
        <w:ind w:firstLine="720"/>
        <w:jc w:val="both"/>
        <w:rPr>
          <w:rFonts w:ascii="Times New Roman" w:hAnsi="Times New Roman" w:cs="Times New Roman"/>
        </w:rPr>
      </w:pPr>
      <w:r w:rsidRPr="00036323">
        <w:rPr>
          <w:rFonts w:ascii="Times New Roman" w:hAnsi="Times New Roman" w:cs="Times New Roman"/>
        </w:rPr>
        <w:t>Despite decades of development in statistical process control (SPC) and quality control (QC) in medical laboratories, many surveys reveal that SPC remains poorly understood and inconsistently implemented. Part of the problem lies in technical issues—such as QC material selection and setting appropriate control limits—but much of it stems from human factors. These human‐</w:t>
      </w:r>
      <w:proofErr w:type="spellStart"/>
      <w:r w:rsidRPr="00036323">
        <w:rPr>
          <w:rFonts w:ascii="Times New Roman" w:hAnsi="Times New Roman" w:cs="Times New Roman"/>
        </w:rPr>
        <w:t>centered</w:t>
      </w:r>
      <w:proofErr w:type="spellEnd"/>
      <w:r w:rsidRPr="00036323">
        <w:rPr>
          <w:rFonts w:ascii="Times New Roman" w:hAnsi="Times New Roman" w:cs="Times New Roman"/>
        </w:rPr>
        <w:t xml:space="preserve"> </w:t>
      </w:r>
      <w:r w:rsidRPr="00036323">
        <w:rPr>
          <w:rFonts w:ascii="Times New Roman" w:hAnsi="Times New Roman" w:cs="Times New Roman"/>
        </w:rPr>
        <w:lastRenderedPageBreak/>
        <w:t>contributors include perceptual and psychophysical limitations (e.g., lack of experience or observational skill), organisational factors (training deficits, ambiguous or broad decision scopes, weak feedback mechanisms, lack of precise instructions), environmental conditions in the workplace (noise, long hours, poorly organised workstations), and social dynamics (team communication breakdowns, time pressure, feelings of isolation) (</w:t>
      </w:r>
      <w:proofErr w:type="spellStart"/>
      <w:r w:rsidRPr="00036323">
        <w:rPr>
          <w:rFonts w:ascii="Times New Roman" w:hAnsi="Times New Roman" w:cs="Times New Roman"/>
        </w:rPr>
        <w:t>Kuselman</w:t>
      </w:r>
      <w:proofErr w:type="spellEnd"/>
      <w:r w:rsidRPr="00036323">
        <w:rPr>
          <w:rFonts w:ascii="Times New Roman" w:hAnsi="Times New Roman" w:cs="Times New Roman"/>
        </w:rPr>
        <w:t xml:space="preserve"> &amp; </w:t>
      </w:r>
      <w:proofErr w:type="spellStart"/>
      <w:r w:rsidRPr="00036323">
        <w:rPr>
          <w:rFonts w:ascii="Times New Roman" w:hAnsi="Times New Roman" w:cs="Times New Roman"/>
        </w:rPr>
        <w:t>Pennecchi</w:t>
      </w:r>
      <w:proofErr w:type="spellEnd"/>
      <w:r w:rsidRPr="00036323">
        <w:rPr>
          <w:rFonts w:ascii="Times New Roman" w:hAnsi="Times New Roman" w:cs="Times New Roman"/>
        </w:rPr>
        <w:t>, 2016; Eren et al., 2021).</w:t>
      </w:r>
    </w:p>
    <w:p w14:paraId="52D999A0" w14:textId="77777777" w:rsidR="00036323" w:rsidRPr="00036323" w:rsidRDefault="00036323" w:rsidP="004D0F03">
      <w:pPr>
        <w:spacing w:line="360" w:lineRule="auto"/>
        <w:ind w:firstLine="720"/>
        <w:jc w:val="both"/>
        <w:rPr>
          <w:rFonts w:ascii="Times New Roman" w:hAnsi="Times New Roman" w:cs="Times New Roman"/>
        </w:rPr>
      </w:pPr>
      <w:r w:rsidRPr="00036323">
        <w:rPr>
          <w:rFonts w:ascii="Times New Roman" w:hAnsi="Times New Roman" w:cs="Times New Roman"/>
        </w:rPr>
        <w:t xml:space="preserve">The IUPAC/CITAC Guide on “Classification, </w:t>
      </w:r>
      <w:proofErr w:type="spellStart"/>
      <w:r w:rsidRPr="00036323">
        <w:rPr>
          <w:rFonts w:ascii="Times New Roman" w:hAnsi="Times New Roman" w:cs="Times New Roman"/>
        </w:rPr>
        <w:t>Modeling</w:t>
      </w:r>
      <w:proofErr w:type="spellEnd"/>
      <w:r w:rsidRPr="00036323">
        <w:rPr>
          <w:rFonts w:ascii="Times New Roman" w:hAnsi="Times New Roman" w:cs="Times New Roman"/>
        </w:rPr>
        <w:t xml:space="preserve"> and Quantification of Human Errors in a Chemical Analytical Laboratory” categorises laboratory error broadly into </w:t>
      </w:r>
      <w:r w:rsidRPr="00036323">
        <w:rPr>
          <w:rFonts w:ascii="Times New Roman" w:hAnsi="Times New Roman" w:cs="Times New Roman"/>
          <w:b/>
          <w:bCs/>
        </w:rPr>
        <w:t>commission errors</w:t>
      </w:r>
      <w:r w:rsidRPr="00036323">
        <w:rPr>
          <w:rFonts w:ascii="Times New Roman" w:hAnsi="Times New Roman" w:cs="Times New Roman"/>
        </w:rPr>
        <w:t xml:space="preserve"> (mistakes and violations of protocols) and </w:t>
      </w:r>
      <w:r w:rsidRPr="00036323">
        <w:rPr>
          <w:rFonts w:ascii="Times New Roman" w:hAnsi="Times New Roman" w:cs="Times New Roman"/>
          <w:b/>
          <w:bCs/>
        </w:rPr>
        <w:t>omission errors</w:t>
      </w:r>
      <w:r w:rsidRPr="00036323">
        <w:rPr>
          <w:rFonts w:ascii="Times New Roman" w:hAnsi="Times New Roman" w:cs="Times New Roman"/>
        </w:rPr>
        <w:t xml:space="preserve"> (slips and lapses). Commission errors include knowledge-based mistakes (when staff do not have the right knowledge), rule-based mistakes (incorrect application of rules), skill-based errors (execution problems), and deliberate violations. Omission errors are lapses (memory-based omissions) and slips (execution failures in automatic tasks) (</w:t>
      </w:r>
      <w:proofErr w:type="spellStart"/>
      <w:r w:rsidRPr="00036323">
        <w:rPr>
          <w:rFonts w:ascii="Times New Roman" w:hAnsi="Times New Roman" w:cs="Times New Roman"/>
        </w:rPr>
        <w:t>Kuselman</w:t>
      </w:r>
      <w:proofErr w:type="spellEnd"/>
      <w:r w:rsidRPr="00036323">
        <w:rPr>
          <w:rFonts w:ascii="Times New Roman" w:hAnsi="Times New Roman" w:cs="Times New Roman"/>
        </w:rPr>
        <w:t xml:space="preserve"> &amp; </w:t>
      </w:r>
      <w:proofErr w:type="spellStart"/>
      <w:r w:rsidRPr="00036323">
        <w:rPr>
          <w:rFonts w:ascii="Times New Roman" w:hAnsi="Times New Roman" w:cs="Times New Roman"/>
        </w:rPr>
        <w:t>Pennecchi</w:t>
      </w:r>
      <w:proofErr w:type="spellEnd"/>
      <w:r w:rsidRPr="00036323">
        <w:rPr>
          <w:rFonts w:ascii="Times New Roman" w:hAnsi="Times New Roman" w:cs="Times New Roman"/>
        </w:rPr>
        <w:t>, 2016).</w:t>
      </w:r>
    </w:p>
    <w:p w14:paraId="00E77B1A" w14:textId="77777777" w:rsidR="00036323" w:rsidRPr="00036323" w:rsidRDefault="00036323" w:rsidP="004D0F03">
      <w:pPr>
        <w:spacing w:line="360" w:lineRule="auto"/>
        <w:ind w:firstLine="720"/>
        <w:jc w:val="both"/>
        <w:rPr>
          <w:rFonts w:ascii="Times New Roman" w:hAnsi="Times New Roman" w:cs="Times New Roman"/>
        </w:rPr>
      </w:pPr>
      <w:r w:rsidRPr="00036323">
        <w:rPr>
          <w:rFonts w:ascii="Times New Roman" w:hAnsi="Times New Roman" w:cs="Times New Roman"/>
        </w:rPr>
        <w:t>In recent years, the COVID-19 pandemic has exposed how workload, staffing displacement, and stressed processes magnify human-factor failures. A study of total testing processes during the pandemic showed that when labs faced surges in test volume, flexible working orders, shifts in staff roles, and delayed or reduced QC oversight, error rates increased (Eren et al., 2021).</w:t>
      </w:r>
    </w:p>
    <w:p w14:paraId="45DD6B59" w14:textId="022377F8" w:rsidR="00036323" w:rsidRPr="00036323" w:rsidRDefault="00036323" w:rsidP="004D0F03">
      <w:pPr>
        <w:spacing w:line="360" w:lineRule="auto"/>
        <w:ind w:firstLine="720"/>
        <w:jc w:val="both"/>
        <w:rPr>
          <w:rFonts w:ascii="Times New Roman" w:hAnsi="Times New Roman" w:cs="Times New Roman"/>
        </w:rPr>
      </w:pPr>
      <w:r w:rsidRPr="00036323">
        <w:rPr>
          <w:rFonts w:ascii="Times New Roman" w:hAnsi="Times New Roman" w:cs="Times New Roman"/>
        </w:rPr>
        <w:t xml:space="preserve">Cognitive psychology research adds another layer: the concept of the “attentional blink” demonstrates that when an individual must process multiple important signals within short time intervals, earlier signals can mask or suppress awareness of later ones (e.g., identifying rapid successive visual targets). In lab settings, this suggests that QC flags (whether visual or auditory) may sometimes fail to interrupt ongoing workflow if they occur too close together or amid many distractions (Raymond et al., 2005; </w:t>
      </w:r>
      <w:proofErr w:type="spellStart"/>
      <w:r w:rsidRPr="00036323">
        <w:rPr>
          <w:rFonts w:ascii="Times New Roman" w:hAnsi="Times New Roman" w:cs="Times New Roman"/>
        </w:rPr>
        <w:t>Kuselman</w:t>
      </w:r>
      <w:proofErr w:type="spellEnd"/>
      <w:r w:rsidRPr="00036323">
        <w:rPr>
          <w:rFonts w:ascii="Times New Roman" w:hAnsi="Times New Roman" w:cs="Times New Roman"/>
        </w:rPr>
        <w:t xml:space="preserve"> &amp; </w:t>
      </w:r>
      <w:proofErr w:type="spellStart"/>
      <w:r w:rsidRPr="00036323">
        <w:rPr>
          <w:rFonts w:ascii="Times New Roman" w:hAnsi="Times New Roman" w:cs="Times New Roman"/>
        </w:rPr>
        <w:t>Pennecchi</w:t>
      </w:r>
      <w:proofErr w:type="spellEnd"/>
      <w:r w:rsidRPr="00036323">
        <w:rPr>
          <w:rFonts w:ascii="Times New Roman" w:hAnsi="Times New Roman" w:cs="Times New Roman"/>
        </w:rPr>
        <w:t>, 2016).</w:t>
      </w:r>
      <w:r w:rsidR="004D0F03">
        <w:rPr>
          <w:rFonts w:ascii="Times New Roman" w:hAnsi="Times New Roman" w:cs="Times New Roman"/>
        </w:rPr>
        <w:t xml:space="preserve"> </w:t>
      </w:r>
      <w:r w:rsidRPr="00036323">
        <w:rPr>
          <w:rFonts w:ascii="Times New Roman" w:hAnsi="Times New Roman" w:cs="Times New Roman"/>
        </w:rPr>
        <w:t>Active versus latent failures are also relevant. Active failures are errors made by staff interacting directly with samples or instruments, while latent failures are systemic, embedded in organisational policy, management decisions, or infrastructure, often only manifesting downstream. Both contribute, sometimes in combination, to QC system failures (</w:t>
      </w:r>
      <w:proofErr w:type="spellStart"/>
      <w:r w:rsidRPr="00036323">
        <w:rPr>
          <w:rFonts w:ascii="Times New Roman" w:hAnsi="Times New Roman" w:cs="Times New Roman"/>
        </w:rPr>
        <w:t>Kuselman</w:t>
      </w:r>
      <w:proofErr w:type="spellEnd"/>
      <w:r w:rsidRPr="00036323">
        <w:rPr>
          <w:rFonts w:ascii="Times New Roman" w:hAnsi="Times New Roman" w:cs="Times New Roman"/>
        </w:rPr>
        <w:t xml:space="preserve"> &amp; </w:t>
      </w:r>
      <w:proofErr w:type="spellStart"/>
      <w:r w:rsidRPr="00036323">
        <w:rPr>
          <w:rFonts w:ascii="Times New Roman" w:hAnsi="Times New Roman" w:cs="Times New Roman"/>
        </w:rPr>
        <w:t>Pennecchi</w:t>
      </w:r>
      <w:proofErr w:type="spellEnd"/>
      <w:r w:rsidRPr="00036323">
        <w:rPr>
          <w:rFonts w:ascii="Times New Roman" w:hAnsi="Times New Roman" w:cs="Times New Roman"/>
        </w:rPr>
        <w:t>, 2016).</w:t>
      </w:r>
    </w:p>
    <w:p w14:paraId="5A6C1CF5" w14:textId="77777777" w:rsidR="00036323" w:rsidRPr="00036323" w:rsidRDefault="00036323" w:rsidP="004D0F03">
      <w:pPr>
        <w:spacing w:line="360" w:lineRule="auto"/>
        <w:ind w:firstLine="720"/>
        <w:jc w:val="both"/>
        <w:rPr>
          <w:rFonts w:ascii="Times New Roman" w:hAnsi="Times New Roman" w:cs="Times New Roman"/>
        </w:rPr>
      </w:pPr>
      <w:r w:rsidRPr="00036323">
        <w:rPr>
          <w:rFonts w:ascii="Times New Roman" w:hAnsi="Times New Roman" w:cs="Times New Roman"/>
        </w:rPr>
        <w:t>In sum, human factors are not peripheral; they form a central risk in QC systems. Technical fixes alone (better QC reagents, stricter limits) are insufficient unless the human, organisational &amp; environmental elements are managed. Without attention to how humans perceive, decide, act, and interact (especially under pressure), QC remains vulnerable to error.</w:t>
      </w:r>
    </w:p>
    <w:p w14:paraId="020B24DC" w14:textId="0091B61C" w:rsidR="000E207D" w:rsidRPr="00515231" w:rsidRDefault="000E207D" w:rsidP="00515231">
      <w:pPr>
        <w:spacing w:line="360" w:lineRule="auto"/>
        <w:jc w:val="both"/>
        <w:rPr>
          <w:rFonts w:ascii="Times New Roman" w:hAnsi="Times New Roman" w:cs="Times New Roman"/>
          <w:b/>
          <w:bCs/>
        </w:rPr>
      </w:pPr>
      <w:r w:rsidRPr="00515231">
        <w:rPr>
          <w:rFonts w:ascii="Times New Roman" w:hAnsi="Times New Roman" w:cs="Times New Roman"/>
          <w:b/>
          <w:bCs/>
        </w:rPr>
        <w:t>Signs of Human Influence in Quality Control Errors</w:t>
      </w:r>
    </w:p>
    <w:p w14:paraId="704FA9C0" w14:textId="77777777" w:rsidR="00CD6F49" w:rsidRPr="00CD6F49" w:rsidRDefault="00CD6F49" w:rsidP="004D0F03">
      <w:pPr>
        <w:spacing w:line="360" w:lineRule="auto"/>
        <w:ind w:firstLine="720"/>
        <w:jc w:val="both"/>
        <w:rPr>
          <w:rFonts w:ascii="Times New Roman" w:hAnsi="Times New Roman" w:cs="Times New Roman"/>
        </w:rPr>
      </w:pPr>
      <w:r w:rsidRPr="00CD6F49">
        <w:rPr>
          <w:rFonts w:ascii="Times New Roman" w:hAnsi="Times New Roman" w:cs="Times New Roman"/>
        </w:rPr>
        <w:t xml:space="preserve">In a College of American Pathologists (CAP) study as reported in separate publications by Howanitz and Steindel, laboratories were asked first to submit retrospective data on four analytes over a six-month span (including number of tests, QC runs, and sample repeats), followed by a prospective, </w:t>
      </w:r>
      <w:r w:rsidRPr="00CD6F49">
        <w:rPr>
          <w:rFonts w:ascii="Times New Roman" w:hAnsi="Times New Roman" w:cs="Times New Roman"/>
        </w:rPr>
        <w:lastRenderedPageBreak/>
        <w:t>three-month period of out-of-control (OOC) event recording (Howanitz et al., 1997; Steindel, 1999). The findings (shown in a modified Table 1) revealed substantial discrepancies between retrospective and real-time OOC rates, hinting at underreporting or lax adherence to policies when oversight is minimal.</w:t>
      </w:r>
    </w:p>
    <w:p w14:paraId="3B3015D3" w14:textId="11DDABA8" w:rsidR="00CD6F49" w:rsidRPr="00CD6F49" w:rsidRDefault="00CD6F49" w:rsidP="00515231">
      <w:pPr>
        <w:spacing w:line="360" w:lineRule="auto"/>
        <w:jc w:val="both"/>
        <w:rPr>
          <w:rFonts w:ascii="Times New Roman" w:hAnsi="Times New Roman" w:cs="Times New Roman"/>
        </w:rPr>
      </w:pPr>
      <w:r w:rsidRPr="00CD6F49">
        <w:rPr>
          <w:rFonts w:ascii="Times New Roman" w:hAnsi="Times New Roman" w:cs="Times New Roman"/>
          <w:b/>
          <w:bCs/>
        </w:rPr>
        <w:t>Table 1 (adapted)</w:t>
      </w:r>
      <w:r w:rsidR="00A73246">
        <w:rPr>
          <w:rFonts w:ascii="Times New Roman" w:hAnsi="Times New Roman" w:cs="Times New Roman"/>
          <w:b/>
          <w:bCs/>
        </w:rPr>
        <w:t xml:space="preserve"> </w:t>
      </w:r>
      <w:r w:rsidR="00A73246" w:rsidRPr="00A73246">
        <w:rPr>
          <w:rFonts w:ascii="Times New Roman" w:hAnsi="Times New Roman" w:cs="Times New Roman"/>
          <w:b/>
          <w:bCs/>
        </w:rPr>
        <w:t>Impact of Sample Repeat Policy on Rejection Rates for Selected Laboratory Parameters</w:t>
      </w:r>
    </w:p>
    <w:tbl>
      <w:tblPr>
        <w:tblStyle w:val="TableGrid"/>
        <w:tblW w:w="0" w:type="auto"/>
        <w:tblLook w:val="04A0" w:firstRow="1" w:lastRow="0" w:firstColumn="1" w:lastColumn="0" w:noHBand="0" w:noVBand="1"/>
      </w:tblPr>
      <w:tblGrid>
        <w:gridCol w:w="3255"/>
        <w:gridCol w:w="1288"/>
        <w:gridCol w:w="1011"/>
        <w:gridCol w:w="1268"/>
        <w:gridCol w:w="1365"/>
        <w:gridCol w:w="829"/>
      </w:tblGrid>
      <w:tr w:rsidR="00CD6F49" w:rsidRPr="00CD6F49" w14:paraId="6BF54342" w14:textId="77777777" w:rsidTr="004D0F03">
        <w:tc>
          <w:tcPr>
            <w:tcW w:w="0" w:type="auto"/>
            <w:hideMark/>
          </w:tcPr>
          <w:p w14:paraId="3EC208DC" w14:textId="77777777" w:rsidR="00CD6F49" w:rsidRPr="00CD6F49" w:rsidRDefault="00CD6F49" w:rsidP="00515231">
            <w:pPr>
              <w:spacing w:after="160" w:line="360" w:lineRule="auto"/>
              <w:jc w:val="both"/>
              <w:rPr>
                <w:rFonts w:ascii="Times New Roman" w:hAnsi="Times New Roman" w:cs="Times New Roman"/>
                <w:b/>
                <w:bCs/>
              </w:rPr>
            </w:pPr>
            <w:r w:rsidRPr="00CD6F49">
              <w:rPr>
                <w:rFonts w:ascii="Times New Roman" w:hAnsi="Times New Roman" w:cs="Times New Roman"/>
                <w:b/>
                <w:bCs/>
              </w:rPr>
              <w:t>Parameter</w:t>
            </w:r>
          </w:p>
        </w:tc>
        <w:tc>
          <w:tcPr>
            <w:tcW w:w="0" w:type="auto"/>
            <w:hideMark/>
          </w:tcPr>
          <w:p w14:paraId="34DAA528" w14:textId="77777777" w:rsidR="00CD6F49" w:rsidRPr="00CD6F49" w:rsidRDefault="00CD6F49" w:rsidP="00515231">
            <w:pPr>
              <w:spacing w:after="160" w:line="360" w:lineRule="auto"/>
              <w:jc w:val="both"/>
              <w:rPr>
                <w:rFonts w:ascii="Times New Roman" w:hAnsi="Times New Roman" w:cs="Times New Roman"/>
                <w:b/>
                <w:bCs/>
              </w:rPr>
            </w:pPr>
            <w:r w:rsidRPr="00CD6F49">
              <w:rPr>
                <w:rFonts w:ascii="Times New Roman" w:hAnsi="Times New Roman" w:cs="Times New Roman"/>
                <w:b/>
                <w:bCs/>
              </w:rPr>
              <w:t>Cholesterol</w:t>
            </w:r>
          </w:p>
        </w:tc>
        <w:tc>
          <w:tcPr>
            <w:tcW w:w="0" w:type="auto"/>
            <w:hideMark/>
          </w:tcPr>
          <w:p w14:paraId="42FEC314" w14:textId="77777777" w:rsidR="00CD6F49" w:rsidRPr="00CD6F49" w:rsidRDefault="00CD6F49" w:rsidP="00515231">
            <w:pPr>
              <w:spacing w:after="160" w:line="360" w:lineRule="auto"/>
              <w:jc w:val="both"/>
              <w:rPr>
                <w:rFonts w:ascii="Times New Roman" w:hAnsi="Times New Roman" w:cs="Times New Roman"/>
                <w:b/>
                <w:bCs/>
              </w:rPr>
            </w:pPr>
            <w:r w:rsidRPr="00CD6F49">
              <w:rPr>
                <w:rFonts w:ascii="Times New Roman" w:hAnsi="Times New Roman" w:cs="Times New Roman"/>
                <w:b/>
                <w:bCs/>
              </w:rPr>
              <w:t>Calcium</w:t>
            </w:r>
          </w:p>
        </w:tc>
        <w:tc>
          <w:tcPr>
            <w:tcW w:w="0" w:type="auto"/>
            <w:hideMark/>
          </w:tcPr>
          <w:p w14:paraId="428E9E0C" w14:textId="77777777" w:rsidR="00CD6F49" w:rsidRPr="00CD6F49" w:rsidRDefault="00CD6F49" w:rsidP="00515231">
            <w:pPr>
              <w:spacing w:after="160" w:line="360" w:lineRule="auto"/>
              <w:jc w:val="both"/>
              <w:rPr>
                <w:rFonts w:ascii="Times New Roman" w:hAnsi="Times New Roman" w:cs="Times New Roman"/>
                <w:b/>
                <w:bCs/>
              </w:rPr>
            </w:pPr>
            <w:r w:rsidRPr="00CD6F49">
              <w:rPr>
                <w:rFonts w:ascii="Times New Roman" w:hAnsi="Times New Roman" w:cs="Times New Roman"/>
                <w:b/>
                <w:bCs/>
              </w:rPr>
              <w:t>Tacrolimus</w:t>
            </w:r>
          </w:p>
        </w:tc>
        <w:tc>
          <w:tcPr>
            <w:tcW w:w="0" w:type="auto"/>
            <w:hideMark/>
          </w:tcPr>
          <w:p w14:paraId="74520CA5" w14:textId="77777777" w:rsidR="00CD6F49" w:rsidRPr="00CD6F49" w:rsidRDefault="00CD6F49" w:rsidP="00515231">
            <w:pPr>
              <w:spacing w:after="160" w:line="360" w:lineRule="auto"/>
              <w:jc w:val="both"/>
              <w:rPr>
                <w:rFonts w:ascii="Times New Roman" w:hAnsi="Times New Roman" w:cs="Times New Roman"/>
                <w:b/>
                <w:bCs/>
              </w:rPr>
            </w:pPr>
            <w:proofErr w:type="spellStart"/>
            <w:r w:rsidRPr="00CD6F49">
              <w:rPr>
                <w:rFonts w:ascii="Times New Roman" w:hAnsi="Times New Roman" w:cs="Times New Roman"/>
                <w:b/>
                <w:bCs/>
              </w:rPr>
              <w:t>Hemoglobin</w:t>
            </w:r>
            <w:proofErr w:type="spellEnd"/>
          </w:p>
        </w:tc>
        <w:tc>
          <w:tcPr>
            <w:tcW w:w="0" w:type="auto"/>
            <w:hideMark/>
          </w:tcPr>
          <w:p w14:paraId="0ABC116D" w14:textId="77777777" w:rsidR="00CD6F49" w:rsidRPr="00CD6F49" w:rsidRDefault="00CD6F49" w:rsidP="00515231">
            <w:pPr>
              <w:spacing w:after="160" w:line="360" w:lineRule="auto"/>
              <w:jc w:val="both"/>
              <w:rPr>
                <w:rFonts w:ascii="Times New Roman" w:hAnsi="Times New Roman" w:cs="Times New Roman"/>
                <w:b/>
                <w:bCs/>
              </w:rPr>
            </w:pPr>
            <w:r w:rsidRPr="00CD6F49">
              <w:rPr>
                <w:rFonts w:ascii="Times New Roman" w:hAnsi="Times New Roman" w:cs="Times New Roman"/>
                <w:b/>
                <w:bCs/>
              </w:rPr>
              <w:t>Ideal*</w:t>
            </w:r>
          </w:p>
        </w:tc>
      </w:tr>
      <w:tr w:rsidR="00CD6F49" w:rsidRPr="00CD6F49" w14:paraId="20D0E23F" w14:textId="77777777" w:rsidTr="004D0F03">
        <w:tc>
          <w:tcPr>
            <w:tcW w:w="0" w:type="auto"/>
            <w:hideMark/>
          </w:tcPr>
          <w:p w14:paraId="3B2231D0"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Retrospective rejection rate</w:t>
            </w:r>
          </w:p>
        </w:tc>
        <w:tc>
          <w:tcPr>
            <w:tcW w:w="0" w:type="auto"/>
            <w:hideMark/>
          </w:tcPr>
          <w:p w14:paraId="29DDD5B3"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0.36 %</w:t>
            </w:r>
          </w:p>
        </w:tc>
        <w:tc>
          <w:tcPr>
            <w:tcW w:w="0" w:type="auto"/>
            <w:hideMark/>
          </w:tcPr>
          <w:p w14:paraId="3E5C0566"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0.43 %</w:t>
            </w:r>
          </w:p>
        </w:tc>
        <w:tc>
          <w:tcPr>
            <w:tcW w:w="0" w:type="auto"/>
            <w:hideMark/>
          </w:tcPr>
          <w:p w14:paraId="6B47FDEF"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w:t>
            </w:r>
          </w:p>
        </w:tc>
        <w:tc>
          <w:tcPr>
            <w:tcW w:w="0" w:type="auto"/>
            <w:hideMark/>
          </w:tcPr>
          <w:p w14:paraId="43E59889"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0.24 %</w:t>
            </w:r>
          </w:p>
        </w:tc>
        <w:tc>
          <w:tcPr>
            <w:tcW w:w="0" w:type="auto"/>
            <w:hideMark/>
          </w:tcPr>
          <w:p w14:paraId="5A198A06"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0.54 %</w:t>
            </w:r>
          </w:p>
        </w:tc>
      </w:tr>
      <w:tr w:rsidR="00CD6F49" w:rsidRPr="00CD6F49" w14:paraId="31814996" w14:textId="77777777" w:rsidTr="004D0F03">
        <w:tc>
          <w:tcPr>
            <w:tcW w:w="0" w:type="auto"/>
            <w:hideMark/>
          </w:tcPr>
          <w:p w14:paraId="08844B1B"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Prospective rejection rate</w:t>
            </w:r>
          </w:p>
        </w:tc>
        <w:tc>
          <w:tcPr>
            <w:tcW w:w="0" w:type="auto"/>
            <w:hideMark/>
          </w:tcPr>
          <w:p w14:paraId="5641F178"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0.56 %</w:t>
            </w:r>
          </w:p>
        </w:tc>
        <w:tc>
          <w:tcPr>
            <w:tcW w:w="0" w:type="auto"/>
            <w:hideMark/>
          </w:tcPr>
          <w:p w14:paraId="3AD97E4F"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0.58 %</w:t>
            </w:r>
          </w:p>
        </w:tc>
        <w:tc>
          <w:tcPr>
            <w:tcW w:w="0" w:type="auto"/>
            <w:hideMark/>
          </w:tcPr>
          <w:p w14:paraId="44CF5DE3"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~0.65 %†</w:t>
            </w:r>
          </w:p>
        </w:tc>
        <w:tc>
          <w:tcPr>
            <w:tcW w:w="0" w:type="auto"/>
            <w:hideMark/>
          </w:tcPr>
          <w:p w14:paraId="6251A85A"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0.36 %</w:t>
            </w:r>
          </w:p>
        </w:tc>
        <w:tc>
          <w:tcPr>
            <w:tcW w:w="0" w:type="auto"/>
            <w:hideMark/>
          </w:tcPr>
          <w:p w14:paraId="71B46B32"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0.54 %</w:t>
            </w:r>
          </w:p>
        </w:tc>
      </w:tr>
      <w:tr w:rsidR="00CD6F49" w:rsidRPr="00CD6F49" w14:paraId="289394C7" w14:textId="77777777" w:rsidTr="004D0F03">
        <w:tc>
          <w:tcPr>
            <w:tcW w:w="0" w:type="auto"/>
            <w:hideMark/>
          </w:tcPr>
          <w:p w14:paraId="47F0D309"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 with policy to repeat all patient samples</w:t>
            </w:r>
          </w:p>
        </w:tc>
        <w:tc>
          <w:tcPr>
            <w:tcW w:w="0" w:type="auto"/>
            <w:hideMark/>
          </w:tcPr>
          <w:p w14:paraId="7CDCEE69"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38.8 %</w:t>
            </w:r>
          </w:p>
        </w:tc>
        <w:tc>
          <w:tcPr>
            <w:tcW w:w="0" w:type="auto"/>
            <w:hideMark/>
          </w:tcPr>
          <w:p w14:paraId="42B332CC"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39.2 %</w:t>
            </w:r>
          </w:p>
        </w:tc>
        <w:tc>
          <w:tcPr>
            <w:tcW w:w="0" w:type="auto"/>
            <w:hideMark/>
          </w:tcPr>
          <w:p w14:paraId="6FB0914D"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~61.6 %</w:t>
            </w:r>
          </w:p>
        </w:tc>
        <w:tc>
          <w:tcPr>
            <w:tcW w:w="0" w:type="auto"/>
            <w:hideMark/>
          </w:tcPr>
          <w:p w14:paraId="63C324F7"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30.5 %</w:t>
            </w:r>
          </w:p>
        </w:tc>
        <w:tc>
          <w:tcPr>
            <w:tcW w:w="0" w:type="auto"/>
            <w:hideMark/>
          </w:tcPr>
          <w:p w14:paraId="506E0A72"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100 %</w:t>
            </w:r>
          </w:p>
        </w:tc>
      </w:tr>
      <w:tr w:rsidR="00CD6F49" w:rsidRPr="00CD6F49" w14:paraId="093EE621" w14:textId="77777777" w:rsidTr="004D0F03">
        <w:tc>
          <w:tcPr>
            <w:tcW w:w="0" w:type="auto"/>
            <w:hideMark/>
          </w:tcPr>
          <w:p w14:paraId="40BF5635"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 who actually repeated all patient samples</w:t>
            </w:r>
          </w:p>
        </w:tc>
        <w:tc>
          <w:tcPr>
            <w:tcW w:w="0" w:type="auto"/>
            <w:hideMark/>
          </w:tcPr>
          <w:p w14:paraId="075B06C6"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9.8 %</w:t>
            </w:r>
          </w:p>
        </w:tc>
        <w:tc>
          <w:tcPr>
            <w:tcW w:w="0" w:type="auto"/>
            <w:hideMark/>
          </w:tcPr>
          <w:p w14:paraId="4A1F9366"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11.4 %</w:t>
            </w:r>
          </w:p>
        </w:tc>
        <w:tc>
          <w:tcPr>
            <w:tcW w:w="0" w:type="auto"/>
            <w:hideMark/>
          </w:tcPr>
          <w:p w14:paraId="3866961C"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~53.9 %</w:t>
            </w:r>
          </w:p>
        </w:tc>
        <w:tc>
          <w:tcPr>
            <w:tcW w:w="0" w:type="auto"/>
            <w:hideMark/>
          </w:tcPr>
          <w:p w14:paraId="529972C8"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4.1 %</w:t>
            </w:r>
          </w:p>
        </w:tc>
        <w:tc>
          <w:tcPr>
            <w:tcW w:w="0" w:type="auto"/>
            <w:hideMark/>
          </w:tcPr>
          <w:p w14:paraId="63D54EDA" w14:textId="77777777" w:rsidR="00CD6F49" w:rsidRPr="00CD6F49" w:rsidRDefault="00CD6F49" w:rsidP="00515231">
            <w:pPr>
              <w:spacing w:after="160" w:line="360" w:lineRule="auto"/>
              <w:jc w:val="both"/>
              <w:rPr>
                <w:rFonts w:ascii="Times New Roman" w:hAnsi="Times New Roman" w:cs="Times New Roman"/>
              </w:rPr>
            </w:pPr>
            <w:r w:rsidRPr="00CD6F49">
              <w:rPr>
                <w:rFonts w:ascii="Times New Roman" w:hAnsi="Times New Roman" w:cs="Times New Roman"/>
              </w:rPr>
              <w:t>100 %</w:t>
            </w:r>
          </w:p>
        </w:tc>
      </w:tr>
    </w:tbl>
    <w:p w14:paraId="1A78BB3F" w14:textId="77777777" w:rsidR="006A53C8" w:rsidRPr="006A53C8" w:rsidRDefault="00CD6F49" w:rsidP="006A53C8">
      <w:pPr>
        <w:spacing w:line="360" w:lineRule="auto"/>
        <w:rPr>
          <w:rFonts w:ascii="Times New Roman" w:hAnsi="Times New Roman" w:cs="Times New Roman"/>
          <w:sz w:val="8"/>
          <w:szCs w:val="8"/>
        </w:rPr>
      </w:pPr>
      <w:r w:rsidRPr="00CD6F49">
        <w:rPr>
          <w:rFonts w:ascii="Times New Roman" w:hAnsi="Times New Roman" w:cs="Times New Roman"/>
        </w:rPr>
        <w:t xml:space="preserve">* </w:t>
      </w:r>
      <w:r w:rsidRPr="00CD6F49">
        <w:rPr>
          <w:rFonts w:ascii="Times New Roman" w:hAnsi="Times New Roman" w:cs="Times New Roman"/>
          <w:i/>
          <w:iCs/>
        </w:rPr>
        <w:t>Ideal = full compliance with policy</w:t>
      </w:r>
      <w:r w:rsidRPr="00CD6F49">
        <w:rPr>
          <w:rFonts w:ascii="Times New Roman" w:hAnsi="Times New Roman" w:cs="Times New Roman"/>
        </w:rPr>
        <w:br/>
      </w:r>
    </w:p>
    <w:p w14:paraId="595063C2" w14:textId="032E18C4" w:rsidR="00CD6F49" w:rsidRPr="00CD6F49" w:rsidRDefault="00CD6F49" w:rsidP="006A53C8">
      <w:pPr>
        <w:spacing w:line="360" w:lineRule="auto"/>
        <w:ind w:firstLine="720"/>
        <w:jc w:val="both"/>
        <w:rPr>
          <w:rFonts w:ascii="Times New Roman" w:hAnsi="Times New Roman" w:cs="Times New Roman"/>
        </w:rPr>
      </w:pPr>
      <w:r w:rsidRPr="00CD6F49">
        <w:rPr>
          <w:rFonts w:ascii="Times New Roman" w:hAnsi="Times New Roman" w:cs="Times New Roman"/>
        </w:rPr>
        <w:t xml:space="preserve">The authors suggest that the elevated prospective rates (versus retrospective) may reflect that when QC adherence is monitored in real time, laboratorians follow protocols more rigorously, whereas in retrospective review, non-compliance is more likely to be concealed or forgotten (Howanitz et al., 1997). Indeed, many laboratories documented formal policies to repeat analytes such as cholesterol, calcium, and </w:t>
      </w:r>
      <w:proofErr w:type="spellStart"/>
      <w:r w:rsidRPr="00CD6F49">
        <w:rPr>
          <w:rFonts w:ascii="Times New Roman" w:hAnsi="Times New Roman" w:cs="Times New Roman"/>
        </w:rPr>
        <w:t>hemoglobin</w:t>
      </w:r>
      <w:proofErr w:type="spellEnd"/>
      <w:r w:rsidRPr="00CD6F49">
        <w:rPr>
          <w:rFonts w:ascii="Times New Roman" w:hAnsi="Times New Roman" w:cs="Times New Roman"/>
        </w:rPr>
        <w:t xml:space="preserve"> in the event of QC failures, but in practice rarely followed these policies—whereas for digoxin (or tacrolimus in a modern analogue), a marginally higher proportion did comply (Howanitz et al., 1997).</w:t>
      </w:r>
    </w:p>
    <w:p w14:paraId="7C0FE8C8" w14:textId="77777777" w:rsidR="00CD6F49" w:rsidRPr="00CD6F49" w:rsidRDefault="00CD6F49" w:rsidP="004D0F03">
      <w:pPr>
        <w:spacing w:line="360" w:lineRule="auto"/>
        <w:ind w:firstLine="720"/>
        <w:jc w:val="both"/>
        <w:rPr>
          <w:rFonts w:ascii="Times New Roman" w:hAnsi="Times New Roman" w:cs="Times New Roman"/>
        </w:rPr>
      </w:pPr>
      <w:r w:rsidRPr="00CD6F49">
        <w:rPr>
          <w:rFonts w:ascii="Times New Roman" w:hAnsi="Times New Roman" w:cs="Times New Roman"/>
        </w:rPr>
        <w:t xml:space="preserve">Furthermore, surveys such as the Westgard “Great Global QC Survey” revealed that over 30 % of laboratories lacked reasonable repeat criteria, and a compelling fraction admitted to </w:t>
      </w:r>
      <w:r w:rsidRPr="00CD6F49">
        <w:rPr>
          <w:rFonts w:ascii="Times New Roman" w:hAnsi="Times New Roman" w:cs="Times New Roman"/>
          <w:b/>
          <w:bCs/>
        </w:rPr>
        <w:t>overriding QC failure flags</w:t>
      </w:r>
      <w:r w:rsidRPr="00CD6F49">
        <w:rPr>
          <w:rFonts w:ascii="Times New Roman" w:hAnsi="Times New Roman" w:cs="Times New Roman"/>
        </w:rPr>
        <w:t xml:space="preserve"> to release patient results (Westgard, 2021). Such practices reflect both </w:t>
      </w:r>
      <w:r w:rsidRPr="00CD6F49">
        <w:rPr>
          <w:rFonts w:ascii="Times New Roman" w:hAnsi="Times New Roman" w:cs="Times New Roman"/>
          <w:b/>
          <w:bCs/>
        </w:rPr>
        <w:t>errors of commission</w:t>
      </w:r>
      <w:r w:rsidRPr="00CD6F49">
        <w:rPr>
          <w:rFonts w:ascii="Times New Roman" w:hAnsi="Times New Roman" w:cs="Times New Roman"/>
        </w:rPr>
        <w:t xml:space="preserve"> (deliberate deviation from established protocols) and </w:t>
      </w:r>
      <w:r w:rsidRPr="00CD6F49">
        <w:rPr>
          <w:rFonts w:ascii="Times New Roman" w:hAnsi="Times New Roman" w:cs="Times New Roman"/>
          <w:b/>
          <w:bCs/>
        </w:rPr>
        <w:t>errors of omission</w:t>
      </w:r>
      <w:r w:rsidRPr="00CD6F49">
        <w:rPr>
          <w:rFonts w:ascii="Times New Roman" w:hAnsi="Times New Roman" w:cs="Times New Roman"/>
        </w:rPr>
        <w:t xml:space="preserve"> (failure to detect or report QC failures at expected frequencies).</w:t>
      </w:r>
    </w:p>
    <w:p w14:paraId="096242A9" w14:textId="77777777" w:rsidR="00CD6F49" w:rsidRPr="00CD6F49" w:rsidRDefault="00CD6F49" w:rsidP="004D0F03">
      <w:pPr>
        <w:spacing w:line="360" w:lineRule="auto"/>
        <w:ind w:firstLine="720"/>
        <w:jc w:val="both"/>
        <w:rPr>
          <w:rFonts w:ascii="Times New Roman" w:hAnsi="Times New Roman" w:cs="Times New Roman"/>
        </w:rPr>
      </w:pPr>
      <w:r w:rsidRPr="00CD6F49">
        <w:rPr>
          <w:rFonts w:ascii="Times New Roman" w:hAnsi="Times New Roman" w:cs="Times New Roman"/>
        </w:rPr>
        <w:t>Interestingly, both the Howanitz and Westgard surveys found that fewer QC failures were reported than would be statistically predicted under standard QC models—suggesting that many QC failures are being missed altogether (Badrick et al., 2023). These observations provide real-world evidence that human factors—nonadherence, selective reporting, underreporting, and workflow pressures—actively degrade QC integrity.</w:t>
      </w:r>
    </w:p>
    <w:p w14:paraId="19A40691" w14:textId="77777777" w:rsidR="00CD6F49" w:rsidRPr="00CD6F49" w:rsidRDefault="00CD6F49" w:rsidP="004D0F03">
      <w:pPr>
        <w:spacing w:line="360" w:lineRule="auto"/>
        <w:ind w:firstLine="720"/>
        <w:jc w:val="both"/>
        <w:rPr>
          <w:rFonts w:ascii="Times New Roman" w:hAnsi="Times New Roman" w:cs="Times New Roman"/>
        </w:rPr>
      </w:pPr>
      <w:r w:rsidRPr="00CD6F49">
        <w:rPr>
          <w:rFonts w:ascii="Times New Roman" w:hAnsi="Times New Roman" w:cs="Times New Roman"/>
        </w:rPr>
        <w:lastRenderedPageBreak/>
        <w:t>Laboratories’ tendency to treat QC as a compliance task rather than a core safeguard for patient care encourages such human-factor vulnerabilities. As automation increases and test volume surges, the opportunity and pressure to override QC flags or sidestep protocol steps may only intensify.</w:t>
      </w:r>
    </w:p>
    <w:p w14:paraId="7838E27F" w14:textId="77777777" w:rsidR="002814A9" w:rsidRPr="00515231" w:rsidRDefault="002814A9" w:rsidP="00515231">
      <w:pPr>
        <w:spacing w:line="360" w:lineRule="auto"/>
        <w:jc w:val="both"/>
        <w:rPr>
          <w:rFonts w:ascii="Times New Roman" w:hAnsi="Times New Roman" w:cs="Times New Roman"/>
        </w:rPr>
      </w:pPr>
    </w:p>
    <w:p w14:paraId="097CF027" w14:textId="77777777" w:rsidR="000E207D" w:rsidRPr="00515231" w:rsidRDefault="00201319" w:rsidP="00515231">
      <w:pPr>
        <w:spacing w:line="360" w:lineRule="auto"/>
        <w:jc w:val="both"/>
        <w:rPr>
          <w:rFonts w:ascii="Times New Roman" w:hAnsi="Times New Roman" w:cs="Times New Roman"/>
          <w:b/>
          <w:bCs/>
        </w:rPr>
      </w:pPr>
      <w:r w:rsidRPr="00515231">
        <w:rPr>
          <w:rFonts w:ascii="Times New Roman" w:hAnsi="Times New Roman" w:cs="Times New Roman"/>
          <w:b/>
          <w:bCs/>
        </w:rPr>
        <w:t>Interventions to Minimize Human Factors in Laboratory QC Processes</w:t>
      </w:r>
    </w:p>
    <w:p w14:paraId="330486BC" w14:textId="1EC5132A" w:rsidR="00201319" w:rsidRPr="00201319" w:rsidRDefault="00201319" w:rsidP="004D0F03">
      <w:pPr>
        <w:spacing w:line="360" w:lineRule="auto"/>
        <w:ind w:firstLine="720"/>
        <w:jc w:val="both"/>
        <w:rPr>
          <w:rFonts w:ascii="Times New Roman" w:hAnsi="Times New Roman" w:cs="Times New Roman"/>
        </w:rPr>
      </w:pPr>
      <w:r w:rsidRPr="00201319">
        <w:rPr>
          <w:rFonts w:ascii="Times New Roman" w:hAnsi="Times New Roman" w:cs="Times New Roman"/>
        </w:rPr>
        <w:t xml:space="preserve">In practice, human errors in QC monitoring often cluster into two broad categories: </w:t>
      </w:r>
      <w:r w:rsidRPr="00201319">
        <w:rPr>
          <w:rFonts w:ascii="Times New Roman" w:hAnsi="Times New Roman" w:cs="Times New Roman"/>
          <w:b/>
          <w:bCs/>
        </w:rPr>
        <w:t>slips and lapses</w:t>
      </w:r>
      <w:r w:rsidRPr="00201319">
        <w:rPr>
          <w:rFonts w:ascii="Times New Roman" w:hAnsi="Times New Roman" w:cs="Times New Roman"/>
        </w:rPr>
        <w:t xml:space="preserve"> committed by frontline staff when interpreting QC signals, and </w:t>
      </w:r>
      <w:r w:rsidRPr="00201319">
        <w:rPr>
          <w:rFonts w:ascii="Times New Roman" w:hAnsi="Times New Roman" w:cs="Times New Roman"/>
          <w:b/>
          <w:bCs/>
        </w:rPr>
        <w:t>latent failures</w:t>
      </w:r>
      <w:r w:rsidRPr="00201319">
        <w:rPr>
          <w:rFonts w:ascii="Times New Roman" w:hAnsi="Times New Roman" w:cs="Times New Roman"/>
        </w:rPr>
        <w:t xml:space="preserve"> engineered at higher levels—such as low QC sampling frequency or weak oversight (Reason, 2000). The phenomenon of </w:t>
      </w:r>
      <w:r w:rsidRPr="00201319">
        <w:rPr>
          <w:rFonts w:ascii="Times New Roman" w:hAnsi="Times New Roman" w:cs="Times New Roman"/>
          <w:b/>
          <w:bCs/>
        </w:rPr>
        <w:t>overload</w:t>
      </w:r>
      <w:r w:rsidRPr="00201319">
        <w:rPr>
          <w:rFonts w:ascii="Times New Roman" w:hAnsi="Times New Roman" w:cs="Times New Roman"/>
        </w:rPr>
        <w:t xml:space="preserve"> helps explain many of these errors: when the demands of volume, complexity, or informational burden exceed human cognitive or attentional capacity, mistakes become almost inevitable (Cohen, 2017; Bell, 2017). Overload is not limited to sheer workload; it also includes excessive decision points, environmental distractions, or psychosocial stressors.</w:t>
      </w:r>
    </w:p>
    <w:p w14:paraId="4FB19FD4" w14:textId="77777777" w:rsidR="00201319" w:rsidRPr="00201319" w:rsidRDefault="00201319" w:rsidP="004D0F03">
      <w:pPr>
        <w:spacing w:line="360" w:lineRule="auto"/>
        <w:ind w:firstLine="720"/>
        <w:jc w:val="both"/>
        <w:rPr>
          <w:rFonts w:ascii="Times New Roman" w:hAnsi="Times New Roman" w:cs="Times New Roman"/>
        </w:rPr>
      </w:pPr>
      <w:r w:rsidRPr="00201319">
        <w:rPr>
          <w:rFonts w:ascii="Times New Roman" w:hAnsi="Times New Roman" w:cs="Times New Roman"/>
        </w:rPr>
        <w:t>Given that many QC failures reported in classical surveys (e.g. Howanitz et al., 1997; Steindel, 1999) likely arise from a mixture of frontline human lapses and system design flaws, what strategies might reduce their impact? The challenges are multifaceted: QC systems may be poorly designed, and the human operator’s role in repetitive, low-failure monitoring tasks is intrinsically vulnerable to error. In high-throughput laboratories, errors that escape detection—even rarely—can have serious consequences for patient results (Badrick et al., 2023).</w:t>
      </w:r>
    </w:p>
    <w:p w14:paraId="6C4D776E" w14:textId="77777777" w:rsidR="00201319" w:rsidRPr="00201319" w:rsidRDefault="00201319" w:rsidP="004D0F03">
      <w:pPr>
        <w:spacing w:line="360" w:lineRule="auto"/>
        <w:ind w:firstLine="720"/>
        <w:jc w:val="both"/>
        <w:rPr>
          <w:rFonts w:ascii="Times New Roman" w:hAnsi="Times New Roman" w:cs="Times New Roman"/>
        </w:rPr>
      </w:pPr>
      <w:r w:rsidRPr="00201319">
        <w:rPr>
          <w:rFonts w:ascii="Times New Roman" w:hAnsi="Times New Roman" w:cs="Times New Roman"/>
        </w:rPr>
        <w:t>Compounding the risk is the trend in many sectors of accepting more modestly trained analytical staff and reliance on nonstandard QC rules (Howanitz et al., 1997), which raises the possibility of more frequent yet unnoticed QC deviations. (Badrick et al., 2023).</w:t>
      </w:r>
    </w:p>
    <w:p w14:paraId="72EBBAFB" w14:textId="77777777" w:rsidR="00201319" w:rsidRPr="00201319" w:rsidRDefault="00201319" w:rsidP="00515231">
      <w:pPr>
        <w:spacing w:line="360" w:lineRule="auto"/>
        <w:jc w:val="both"/>
        <w:rPr>
          <w:rFonts w:ascii="Times New Roman" w:hAnsi="Times New Roman" w:cs="Times New Roman"/>
        </w:rPr>
      </w:pPr>
      <w:r w:rsidRPr="00201319">
        <w:rPr>
          <w:rFonts w:ascii="Times New Roman" w:hAnsi="Times New Roman" w:cs="Times New Roman"/>
        </w:rPr>
        <w:t>Given these realities, the following strategies deserve urgent attention:</w:t>
      </w:r>
    </w:p>
    <w:p w14:paraId="5871317C" w14:textId="2E1554DF" w:rsidR="00201319" w:rsidRPr="00201319" w:rsidRDefault="00201319" w:rsidP="00515231">
      <w:pPr>
        <w:numPr>
          <w:ilvl w:val="0"/>
          <w:numId w:val="4"/>
        </w:numPr>
        <w:spacing w:line="360" w:lineRule="auto"/>
        <w:jc w:val="both"/>
        <w:rPr>
          <w:rFonts w:ascii="Times New Roman" w:hAnsi="Times New Roman" w:cs="Times New Roman"/>
        </w:rPr>
      </w:pPr>
      <w:r w:rsidRPr="00201319">
        <w:rPr>
          <w:rFonts w:ascii="Times New Roman" w:hAnsi="Times New Roman" w:cs="Times New Roman"/>
          <w:b/>
          <w:bCs/>
        </w:rPr>
        <w:t xml:space="preserve">Automation and smart decision </w:t>
      </w:r>
      <w:proofErr w:type="gramStart"/>
      <w:r w:rsidRPr="00201319">
        <w:rPr>
          <w:rFonts w:ascii="Times New Roman" w:hAnsi="Times New Roman" w:cs="Times New Roman"/>
          <w:b/>
          <w:bCs/>
        </w:rPr>
        <w:t>support</w:t>
      </w:r>
      <w:r w:rsidR="004D0F03">
        <w:rPr>
          <w:rFonts w:ascii="Times New Roman" w:hAnsi="Times New Roman" w:cs="Times New Roman"/>
          <w:b/>
          <w:bCs/>
        </w:rPr>
        <w:t xml:space="preserve"> :</w:t>
      </w:r>
      <w:proofErr w:type="gramEnd"/>
      <w:r w:rsidR="004D0F03">
        <w:rPr>
          <w:rFonts w:ascii="Times New Roman" w:hAnsi="Times New Roman" w:cs="Times New Roman"/>
          <w:b/>
          <w:bCs/>
        </w:rPr>
        <w:t xml:space="preserve"> </w:t>
      </w:r>
      <w:r w:rsidRPr="00201319">
        <w:rPr>
          <w:rFonts w:ascii="Times New Roman" w:hAnsi="Times New Roman" w:cs="Times New Roman"/>
        </w:rPr>
        <w:t>Wherever possible, steps in QC—error detection, investigation, and recovery—should be transferred from manual to automated systems. Laboratory middleware or Clinical Decision Support Systems (CDSS) can intercept QC failures, automatically re-route samples to backup instruments, recalculate QC, compare initial and repeat values, and either approve or hold results for human review. Such systems can reduce reliance on human cognitive load for repetitive, high-stakes decisions (Badrick et al., 2023).</w:t>
      </w:r>
    </w:p>
    <w:p w14:paraId="09843718" w14:textId="0551CBAB" w:rsidR="00201319" w:rsidRPr="00201319" w:rsidRDefault="00201319" w:rsidP="00515231">
      <w:pPr>
        <w:numPr>
          <w:ilvl w:val="0"/>
          <w:numId w:val="4"/>
        </w:numPr>
        <w:spacing w:line="360" w:lineRule="auto"/>
        <w:jc w:val="both"/>
        <w:rPr>
          <w:rFonts w:ascii="Times New Roman" w:hAnsi="Times New Roman" w:cs="Times New Roman"/>
        </w:rPr>
      </w:pPr>
      <w:r w:rsidRPr="00201319">
        <w:rPr>
          <w:rFonts w:ascii="Times New Roman" w:hAnsi="Times New Roman" w:cs="Times New Roman"/>
          <w:b/>
          <w:bCs/>
        </w:rPr>
        <w:t xml:space="preserve">Redundancy and layered </w:t>
      </w:r>
      <w:proofErr w:type="spellStart"/>
      <w:proofErr w:type="gramStart"/>
      <w:r w:rsidRPr="00201319">
        <w:rPr>
          <w:rFonts w:ascii="Times New Roman" w:hAnsi="Times New Roman" w:cs="Times New Roman"/>
          <w:b/>
          <w:bCs/>
        </w:rPr>
        <w:t>defenses</w:t>
      </w:r>
      <w:proofErr w:type="spellEnd"/>
      <w:r w:rsidR="00595FC6">
        <w:rPr>
          <w:rFonts w:ascii="Times New Roman" w:hAnsi="Times New Roman" w:cs="Times New Roman"/>
          <w:b/>
          <w:bCs/>
        </w:rPr>
        <w:t xml:space="preserve"> :</w:t>
      </w:r>
      <w:proofErr w:type="gramEnd"/>
      <w:r w:rsidR="00595FC6">
        <w:rPr>
          <w:rFonts w:ascii="Times New Roman" w:hAnsi="Times New Roman" w:cs="Times New Roman"/>
          <w:b/>
          <w:bCs/>
        </w:rPr>
        <w:t xml:space="preserve"> </w:t>
      </w:r>
      <w:r w:rsidRPr="00201319">
        <w:rPr>
          <w:rFonts w:ascii="Times New Roman" w:hAnsi="Times New Roman" w:cs="Times New Roman"/>
        </w:rPr>
        <w:t>Applying the “Swiss cheese” model (Reason, 2000), QC systems should be designed with multiple, overlapping safety layers: more frequent QC checks, independent parallel QC methods, cross-checks across instruments, and alert escalation rather than silent override. These built-in redundancies reduce the chance that a single human or system error can propagate to patient impact.</w:t>
      </w:r>
    </w:p>
    <w:p w14:paraId="30424D6A" w14:textId="07748830" w:rsidR="00201319" w:rsidRPr="00201319" w:rsidRDefault="00201319" w:rsidP="00515231">
      <w:pPr>
        <w:numPr>
          <w:ilvl w:val="0"/>
          <w:numId w:val="4"/>
        </w:numPr>
        <w:spacing w:line="360" w:lineRule="auto"/>
        <w:jc w:val="both"/>
        <w:rPr>
          <w:rFonts w:ascii="Times New Roman" w:hAnsi="Times New Roman" w:cs="Times New Roman"/>
        </w:rPr>
      </w:pPr>
      <w:r w:rsidRPr="00201319">
        <w:rPr>
          <w:rFonts w:ascii="Times New Roman" w:hAnsi="Times New Roman" w:cs="Times New Roman"/>
          <w:b/>
          <w:bCs/>
        </w:rPr>
        <w:lastRenderedPageBreak/>
        <w:t xml:space="preserve">Adaptive QC frequency and risk-based </w:t>
      </w:r>
      <w:proofErr w:type="gramStart"/>
      <w:r w:rsidRPr="00201319">
        <w:rPr>
          <w:rFonts w:ascii="Times New Roman" w:hAnsi="Times New Roman" w:cs="Times New Roman"/>
          <w:b/>
          <w:bCs/>
        </w:rPr>
        <w:t>control</w:t>
      </w:r>
      <w:r w:rsidR="00595FC6">
        <w:rPr>
          <w:rFonts w:ascii="Times New Roman" w:hAnsi="Times New Roman" w:cs="Times New Roman"/>
          <w:b/>
          <w:bCs/>
        </w:rPr>
        <w:t xml:space="preserve"> :</w:t>
      </w:r>
      <w:proofErr w:type="gramEnd"/>
      <w:r w:rsidR="00595FC6">
        <w:rPr>
          <w:rFonts w:ascii="Times New Roman" w:hAnsi="Times New Roman" w:cs="Times New Roman"/>
          <w:b/>
          <w:bCs/>
        </w:rPr>
        <w:t xml:space="preserve"> </w:t>
      </w:r>
      <w:r w:rsidRPr="00201319">
        <w:rPr>
          <w:rFonts w:ascii="Times New Roman" w:hAnsi="Times New Roman" w:cs="Times New Roman"/>
        </w:rPr>
        <w:t>Rather than fixed sampling intervals, QC schedules should adapt based on analyte stability, recent error history, workload, or patient risk. High-risk analytes or periods of instability (e.g. new reagent lot) should trigger more frequent QC. In this way, human burden is concentrated where it matters most, rather than uniformly across all assays.</w:t>
      </w:r>
    </w:p>
    <w:p w14:paraId="7AA0B019" w14:textId="0E24D50F" w:rsidR="00201319" w:rsidRPr="00201319" w:rsidRDefault="00201319" w:rsidP="00515231">
      <w:pPr>
        <w:numPr>
          <w:ilvl w:val="0"/>
          <w:numId w:val="4"/>
        </w:numPr>
        <w:spacing w:line="360" w:lineRule="auto"/>
        <w:jc w:val="both"/>
        <w:rPr>
          <w:rFonts w:ascii="Times New Roman" w:hAnsi="Times New Roman" w:cs="Times New Roman"/>
        </w:rPr>
      </w:pPr>
      <w:r w:rsidRPr="00201319">
        <w:rPr>
          <w:rFonts w:ascii="Times New Roman" w:hAnsi="Times New Roman" w:cs="Times New Roman"/>
          <w:b/>
          <w:bCs/>
        </w:rPr>
        <w:t xml:space="preserve">Debiasing staff and error awareness </w:t>
      </w:r>
      <w:proofErr w:type="gramStart"/>
      <w:r w:rsidRPr="00201319">
        <w:rPr>
          <w:rFonts w:ascii="Times New Roman" w:hAnsi="Times New Roman" w:cs="Times New Roman"/>
          <w:b/>
          <w:bCs/>
        </w:rPr>
        <w:t>training</w:t>
      </w:r>
      <w:r w:rsidR="00595FC6">
        <w:rPr>
          <w:rFonts w:ascii="Times New Roman" w:hAnsi="Times New Roman" w:cs="Times New Roman"/>
          <w:b/>
          <w:bCs/>
        </w:rPr>
        <w:t xml:space="preserve"> :</w:t>
      </w:r>
      <w:proofErr w:type="gramEnd"/>
      <w:r w:rsidR="00595FC6">
        <w:rPr>
          <w:rFonts w:ascii="Times New Roman" w:hAnsi="Times New Roman" w:cs="Times New Roman"/>
          <w:b/>
          <w:bCs/>
        </w:rPr>
        <w:t xml:space="preserve"> </w:t>
      </w:r>
      <w:r w:rsidRPr="00201319">
        <w:rPr>
          <w:rFonts w:ascii="Times New Roman" w:hAnsi="Times New Roman" w:cs="Times New Roman"/>
        </w:rPr>
        <w:t>Regular training to make staff aware of slip, lapse, and decision biases (e.g. automation overreliance, signal fatigue) can heighten vigilance. Structured debriefs of QC flags—even those deemed false alarms—can keep attention alive and reduce desensitization.</w:t>
      </w:r>
    </w:p>
    <w:p w14:paraId="0190B210" w14:textId="7D553EA2" w:rsidR="00201319" w:rsidRPr="00201319" w:rsidRDefault="00201319" w:rsidP="00515231">
      <w:pPr>
        <w:numPr>
          <w:ilvl w:val="0"/>
          <w:numId w:val="4"/>
        </w:numPr>
        <w:spacing w:line="360" w:lineRule="auto"/>
        <w:jc w:val="both"/>
        <w:rPr>
          <w:rFonts w:ascii="Times New Roman" w:hAnsi="Times New Roman" w:cs="Times New Roman"/>
        </w:rPr>
      </w:pPr>
      <w:r w:rsidRPr="00201319">
        <w:rPr>
          <w:rFonts w:ascii="Times New Roman" w:hAnsi="Times New Roman" w:cs="Times New Roman"/>
          <w:b/>
          <w:bCs/>
        </w:rPr>
        <w:t xml:space="preserve">Feedback loops, reporting culture, and </w:t>
      </w:r>
      <w:proofErr w:type="gramStart"/>
      <w:r w:rsidRPr="00201319">
        <w:rPr>
          <w:rFonts w:ascii="Times New Roman" w:hAnsi="Times New Roman" w:cs="Times New Roman"/>
          <w:b/>
          <w:bCs/>
        </w:rPr>
        <w:t>auditing</w:t>
      </w:r>
      <w:r w:rsidR="00595FC6">
        <w:rPr>
          <w:rFonts w:ascii="Times New Roman" w:hAnsi="Times New Roman" w:cs="Times New Roman"/>
          <w:b/>
          <w:bCs/>
        </w:rPr>
        <w:t xml:space="preserve"> :</w:t>
      </w:r>
      <w:r w:rsidRPr="00201319">
        <w:rPr>
          <w:rFonts w:ascii="Times New Roman" w:hAnsi="Times New Roman" w:cs="Times New Roman"/>
        </w:rPr>
        <w:t>A</w:t>
      </w:r>
      <w:proofErr w:type="gramEnd"/>
      <w:r w:rsidRPr="00201319">
        <w:rPr>
          <w:rFonts w:ascii="Times New Roman" w:hAnsi="Times New Roman" w:cs="Times New Roman"/>
        </w:rPr>
        <w:t xml:space="preserve"> non-punitive culture that encourages reporting of near misses and QC overrides enables continuous learning. Periodic audits comparing expected QC failure rates with actual rates can reveal systematic underreporting or slackness (Westgard Global QC surveys).</w:t>
      </w:r>
    </w:p>
    <w:p w14:paraId="270BB068" w14:textId="531ECCB1" w:rsidR="00201319" w:rsidRPr="00201319" w:rsidRDefault="00201319" w:rsidP="00515231">
      <w:pPr>
        <w:numPr>
          <w:ilvl w:val="0"/>
          <w:numId w:val="4"/>
        </w:numPr>
        <w:spacing w:line="360" w:lineRule="auto"/>
        <w:jc w:val="both"/>
        <w:rPr>
          <w:rFonts w:ascii="Times New Roman" w:hAnsi="Times New Roman" w:cs="Times New Roman"/>
        </w:rPr>
      </w:pPr>
      <w:r w:rsidRPr="00201319">
        <w:rPr>
          <w:rFonts w:ascii="Times New Roman" w:hAnsi="Times New Roman" w:cs="Times New Roman"/>
          <w:b/>
          <w:bCs/>
        </w:rPr>
        <w:t xml:space="preserve">Human–machine interface design and </w:t>
      </w:r>
      <w:proofErr w:type="gramStart"/>
      <w:r w:rsidRPr="00201319">
        <w:rPr>
          <w:rFonts w:ascii="Times New Roman" w:hAnsi="Times New Roman" w:cs="Times New Roman"/>
          <w:b/>
          <w:bCs/>
        </w:rPr>
        <w:t>ergonomics</w:t>
      </w:r>
      <w:r w:rsidR="00595FC6">
        <w:rPr>
          <w:rFonts w:ascii="Times New Roman" w:hAnsi="Times New Roman" w:cs="Times New Roman"/>
          <w:b/>
          <w:bCs/>
        </w:rPr>
        <w:t xml:space="preserve"> :</w:t>
      </w:r>
      <w:proofErr w:type="gramEnd"/>
      <w:r w:rsidR="00595FC6">
        <w:rPr>
          <w:rFonts w:ascii="Times New Roman" w:hAnsi="Times New Roman" w:cs="Times New Roman"/>
          <w:b/>
          <w:bCs/>
        </w:rPr>
        <w:t xml:space="preserve"> </w:t>
      </w:r>
      <w:r w:rsidRPr="00201319">
        <w:rPr>
          <w:rFonts w:ascii="Times New Roman" w:hAnsi="Times New Roman" w:cs="Times New Roman"/>
        </w:rPr>
        <w:t>Better interface design (clear alarms, prioritised visual cues, auditory alerts, minimal clutter) and optimized workstation layout (reducing distraction, ensuring lighting, reducing noise) help reduce missed flags or misinterpretation.</w:t>
      </w:r>
    </w:p>
    <w:p w14:paraId="067B6026" w14:textId="300386AA" w:rsidR="00201319" w:rsidRPr="00201319" w:rsidRDefault="00201319" w:rsidP="00515231">
      <w:pPr>
        <w:numPr>
          <w:ilvl w:val="0"/>
          <w:numId w:val="4"/>
        </w:numPr>
        <w:spacing w:line="360" w:lineRule="auto"/>
        <w:jc w:val="both"/>
        <w:rPr>
          <w:rFonts w:ascii="Times New Roman" w:hAnsi="Times New Roman" w:cs="Times New Roman"/>
        </w:rPr>
      </w:pPr>
      <w:r w:rsidRPr="00201319">
        <w:rPr>
          <w:rFonts w:ascii="Times New Roman" w:hAnsi="Times New Roman" w:cs="Times New Roman"/>
          <w:b/>
          <w:bCs/>
        </w:rPr>
        <w:t xml:space="preserve">Management engagement and latent failure </w:t>
      </w:r>
      <w:proofErr w:type="gramStart"/>
      <w:r w:rsidRPr="00201319">
        <w:rPr>
          <w:rFonts w:ascii="Times New Roman" w:hAnsi="Times New Roman" w:cs="Times New Roman"/>
          <w:b/>
          <w:bCs/>
        </w:rPr>
        <w:t>correction</w:t>
      </w:r>
      <w:r w:rsidR="00595FC6">
        <w:rPr>
          <w:rFonts w:ascii="Times New Roman" w:hAnsi="Times New Roman" w:cs="Times New Roman"/>
          <w:b/>
          <w:bCs/>
        </w:rPr>
        <w:t xml:space="preserve"> :</w:t>
      </w:r>
      <w:proofErr w:type="gramEnd"/>
      <w:r w:rsidR="00595FC6">
        <w:rPr>
          <w:rFonts w:ascii="Times New Roman" w:hAnsi="Times New Roman" w:cs="Times New Roman"/>
          <w:b/>
          <w:bCs/>
        </w:rPr>
        <w:t xml:space="preserve"> </w:t>
      </w:r>
      <w:r w:rsidRPr="00201319">
        <w:rPr>
          <w:rFonts w:ascii="Times New Roman" w:hAnsi="Times New Roman" w:cs="Times New Roman"/>
        </w:rPr>
        <w:t>Senior leadership must monitor QC performance metrics, enforce adherence to policy, and invest in redesigns of QC systems. Latent failures—such as understaffing, weak training programs, or lax QC policies—must be addressed upstream, not just blamed on operators (Reason, 2000; Ryan, 2025).</w:t>
      </w:r>
    </w:p>
    <w:p w14:paraId="46245308" w14:textId="77777777" w:rsidR="00201319" w:rsidRPr="00201319" w:rsidRDefault="00201319" w:rsidP="00515231">
      <w:pPr>
        <w:spacing w:line="360" w:lineRule="auto"/>
        <w:jc w:val="both"/>
        <w:rPr>
          <w:rFonts w:ascii="Times New Roman" w:hAnsi="Times New Roman" w:cs="Times New Roman"/>
        </w:rPr>
      </w:pPr>
      <w:r w:rsidRPr="00201319">
        <w:rPr>
          <w:rFonts w:ascii="Times New Roman" w:hAnsi="Times New Roman" w:cs="Times New Roman"/>
        </w:rPr>
        <w:t xml:space="preserve">While the detailed design of evidence-based QC systems is beyond the scope of this article (Westgard, 2021; Badrick et al., 2023), the takeaway is that tackling human error in QC demands both </w:t>
      </w:r>
      <w:r w:rsidRPr="00201319">
        <w:rPr>
          <w:rFonts w:ascii="Times New Roman" w:hAnsi="Times New Roman" w:cs="Times New Roman"/>
          <w:b/>
          <w:bCs/>
        </w:rPr>
        <w:t>system redesign</w:t>
      </w:r>
      <w:r w:rsidRPr="00201319">
        <w:rPr>
          <w:rFonts w:ascii="Times New Roman" w:hAnsi="Times New Roman" w:cs="Times New Roman"/>
        </w:rPr>
        <w:t xml:space="preserve"> and </w:t>
      </w:r>
      <w:r w:rsidRPr="00201319">
        <w:rPr>
          <w:rFonts w:ascii="Times New Roman" w:hAnsi="Times New Roman" w:cs="Times New Roman"/>
          <w:b/>
          <w:bCs/>
        </w:rPr>
        <w:t>human-centric mitigation</w:t>
      </w:r>
      <w:r w:rsidRPr="00201319">
        <w:rPr>
          <w:rFonts w:ascii="Times New Roman" w:hAnsi="Times New Roman" w:cs="Times New Roman"/>
        </w:rPr>
        <w:t>. Automation, redundancy, risk-based QC, strong feedback loops, ergonomic design, and management accountability all need to converge if QC systems are to reliably protect patients rather than merely satisfy regulatory checkboxes.</w:t>
      </w:r>
    </w:p>
    <w:p w14:paraId="0832F96C" w14:textId="7C6146A6" w:rsidR="00515231" w:rsidRPr="00515231" w:rsidRDefault="00515231" w:rsidP="00515231">
      <w:pPr>
        <w:spacing w:line="360" w:lineRule="auto"/>
        <w:jc w:val="both"/>
        <w:rPr>
          <w:rFonts w:ascii="Times New Roman" w:hAnsi="Times New Roman" w:cs="Times New Roman"/>
          <w:b/>
          <w:bCs/>
        </w:rPr>
      </w:pPr>
      <w:r w:rsidRPr="00515231">
        <w:rPr>
          <w:rFonts w:ascii="Times New Roman" w:hAnsi="Times New Roman" w:cs="Times New Roman"/>
          <w:b/>
          <w:bCs/>
        </w:rPr>
        <w:t>A potential approach to mitigating human errors</w:t>
      </w:r>
    </w:p>
    <w:p w14:paraId="421899B2" w14:textId="77777777" w:rsidR="00515231" w:rsidRPr="00515231" w:rsidRDefault="00515231" w:rsidP="00595FC6">
      <w:pPr>
        <w:spacing w:line="360" w:lineRule="auto"/>
        <w:ind w:firstLine="720"/>
        <w:jc w:val="both"/>
        <w:rPr>
          <w:rFonts w:ascii="Times New Roman" w:hAnsi="Times New Roman" w:cs="Times New Roman"/>
        </w:rPr>
      </w:pPr>
      <w:r w:rsidRPr="00515231">
        <w:rPr>
          <w:rFonts w:ascii="Times New Roman" w:hAnsi="Times New Roman" w:cs="Times New Roman"/>
        </w:rPr>
        <w:t xml:space="preserve">Human errors in quality control (QC) monitoring typically fall into two main categories. The first involves slips and lapses by personnel responsible for responding to QC flags, while the second includes latent failures by senior staff who design the QC system, such as setting low QC sample frequencies (Badrick, 2023). One important contributing factor is overload, where an individual’s capacity is exceeded—this may involve processing a high volume of samples in a limited time, managing excessive information, coping with environmental factors, or handling psychosocial stress. </w:t>
      </w:r>
      <w:r w:rsidRPr="00515231">
        <w:rPr>
          <w:rFonts w:ascii="Times New Roman" w:hAnsi="Times New Roman" w:cs="Times New Roman"/>
        </w:rPr>
        <w:lastRenderedPageBreak/>
        <w:t>Consequently, most major QC errors reported are likely a combination of human and system-based factors (Reason, 2000).</w:t>
      </w:r>
    </w:p>
    <w:p w14:paraId="44CD229F" w14:textId="77777777" w:rsidR="00515231" w:rsidRPr="00515231" w:rsidRDefault="00515231" w:rsidP="00595FC6">
      <w:pPr>
        <w:spacing w:line="360" w:lineRule="auto"/>
        <w:ind w:firstLine="720"/>
        <w:jc w:val="both"/>
        <w:rPr>
          <w:rFonts w:ascii="Times New Roman" w:hAnsi="Times New Roman" w:cs="Times New Roman"/>
        </w:rPr>
      </w:pPr>
      <w:r w:rsidRPr="00515231">
        <w:rPr>
          <w:rFonts w:ascii="Times New Roman" w:hAnsi="Times New Roman" w:cs="Times New Roman"/>
        </w:rPr>
        <w:t>Addressing these problems is complex. They often stem from poorly designed QC systems and the inherent difficulty humans face in managing repetitive, low-failure processes. Despite their infrequency, failures in such processes can have serious consequences for patient outcomes (Wiegmann, 2022). Moreover, widespread acceptance of less qualified analytical staff and the use of non-standard QC rules can increase the likelihood of these overlooked yet critical events (Badrick, 2023; Reason, 2000). It is therefore essential to explore strategies to mitigate and control the impact of these errors. While designing evidence-based QC systems is crucial, this topic is beyond the scope of the present discussion (Badrick, 2023; Flores, 2023).</w:t>
      </w:r>
    </w:p>
    <w:p w14:paraId="0CB60941" w14:textId="77777777" w:rsidR="00515231" w:rsidRPr="00515231" w:rsidRDefault="00515231" w:rsidP="00595FC6">
      <w:pPr>
        <w:spacing w:line="360" w:lineRule="auto"/>
        <w:ind w:firstLine="720"/>
        <w:jc w:val="both"/>
        <w:rPr>
          <w:rFonts w:ascii="Times New Roman" w:hAnsi="Times New Roman" w:cs="Times New Roman"/>
        </w:rPr>
      </w:pPr>
      <w:r w:rsidRPr="00515231">
        <w:rPr>
          <w:rFonts w:ascii="Times New Roman" w:hAnsi="Times New Roman" w:cs="Times New Roman"/>
        </w:rPr>
        <w:t xml:space="preserve">One practical solution to reduce human error in QC is automation. The key steps in QC—error detection (e.g., a QC value outside set limits), error investigation (e.g., rerunning QC samples, reviewing instrument flags, checking new reagent or calibrator lots), recalibration, and repeating failed patient samples—can largely be automated. Integrating automated clinical decision support systems (CDSS) with laboratory middleware allows for advanced process management, such as diverting patient samples to alternate instruments during QC failures, queuing potentially compromised specimens for reanalysis, automatically comparing initial and repeat results, and evaluating the relevance of QC flags without human intervention (Flores, 2023; Costa, 2021). Once the evaluation is complete, instruments can be cleared for use or placed on standby for further investigation by qualified personnel (Beckman Coulter, 2025; Siemens </w:t>
      </w:r>
      <w:proofErr w:type="spellStart"/>
      <w:r w:rsidRPr="00515231">
        <w:rPr>
          <w:rFonts w:ascii="Times New Roman" w:hAnsi="Times New Roman" w:cs="Times New Roman"/>
        </w:rPr>
        <w:t>Healthineers</w:t>
      </w:r>
      <w:proofErr w:type="spellEnd"/>
      <w:r w:rsidRPr="00515231">
        <w:rPr>
          <w:rFonts w:ascii="Times New Roman" w:hAnsi="Times New Roman" w:cs="Times New Roman"/>
        </w:rPr>
        <w:t>, 2025).</w:t>
      </w:r>
    </w:p>
    <w:p w14:paraId="3E8DADC6" w14:textId="77777777" w:rsidR="00515231" w:rsidRPr="00515231" w:rsidRDefault="00515231" w:rsidP="00595FC6">
      <w:pPr>
        <w:spacing w:line="360" w:lineRule="auto"/>
        <w:ind w:firstLine="720"/>
        <w:jc w:val="both"/>
        <w:rPr>
          <w:rFonts w:ascii="Times New Roman" w:hAnsi="Times New Roman" w:cs="Times New Roman"/>
        </w:rPr>
      </w:pPr>
      <w:r w:rsidRPr="00515231">
        <w:rPr>
          <w:rFonts w:ascii="Times New Roman" w:hAnsi="Times New Roman" w:cs="Times New Roman"/>
        </w:rPr>
        <w:t xml:space="preserve">In addition, CDSS can incorporate auto-verification and delta-checking to detect patient sample mix-ups, further reducing the risk of human error (Costa, 2021). Leveraging artificial intelligence in analytical systems can replace human decision-making with devices capable of continuous, uninterrupted attention (Flores, 2023; Costa, 2021). Laboratories are now entering a new phase of innovation, with middleware and automated monitoring systems playing a central role in reducing both analytical and some pre-analytical errors (Siemens </w:t>
      </w:r>
      <w:proofErr w:type="spellStart"/>
      <w:r w:rsidRPr="00515231">
        <w:rPr>
          <w:rFonts w:ascii="Times New Roman" w:hAnsi="Times New Roman" w:cs="Times New Roman"/>
        </w:rPr>
        <w:t>Healthineers</w:t>
      </w:r>
      <w:proofErr w:type="spellEnd"/>
      <w:r w:rsidRPr="00515231">
        <w:rPr>
          <w:rFonts w:ascii="Times New Roman" w:hAnsi="Times New Roman" w:cs="Times New Roman"/>
        </w:rPr>
        <w:t xml:space="preserve">, 2025; </w:t>
      </w:r>
      <w:proofErr w:type="spellStart"/>
      <w:r w:rsidRPr="00515231">
        <w:rPr>
          <w:rFonts w:ascii="Times New Roman" w:hAnsi="Times New Roman" w:cs="Times New Roman"/>
        </w:rPr>
        <w:t>SoftComputer</w:t>
      </w:r>
      <w:proofErr w:type="spellEnd"/>
      <w:r w:rsidRPr="00515231">
        <w:rPr>
          <w:rFonts w:ascii="Times New Roman" w:hAnsi="Times New Roman" w:cs="Times New Roman"/>
        </w:rPr>
        <w:t>, 2025). These advances offer the potential to significantly enhance patient safety by minimizing errors that stem from human limitations (Wiegmann, 2022; Wikipedia, 2025).</w:t>
      </w:r>
    </w:p>
    <w:p w14:paraId="55928013" w14:textId="7C17DB2A" w:rsidR="002814A9" w:rsidRDefault="000E207D" w:rsidP="00595FC6">
      <w:pPr>
        <w:spacing w:line="360" w:lineRule="auto"/>
        <w:jc w:val="center"/>
        <w:rPr>
          <w:rFonts w:ascii="Times New Roman" w:hAnsi="Times New Roman" w:cs="Times New Roman"/>
        </w:rPr>
      </w:pPr>
      <w:r w:rsidRPr="00515231">
        <w:rPr>
          <w:rFonts w:ascii="Times New Roman" w:hAnsi="Times New Roman" w:cs="Times New Roman"/>
          <w:noProof/>
        </w:rPr>
        <w:drawing>
          <wp:inline distT="0" distB="0" distL="0" distR="0" wp14:anchorId="11BDE6BD" wp14:editId="456B0ADD">
            <wp:extent cx="4277269" cy="1568694"/>
            <wp:effectExtent l="0" t="0" r="0" b="0"/>
            <wp:docPr id="15686420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0280" cy="1573466"/>
                    </a:xfrm>
                    <a:prstGeom prst="rect">
                      <a:avLst/>
                    </a:prstGeom>
                    <a:noFill/>
                  </pic:spPr>
                </pic:pic>
              </a:graphicData>
            </a:graphic>
          </wp:inline>
        </w:drawing>
      </w:r>
    </w:p>
    <w:p w14:paraId="74270CBE" w14:textId="48561D06" w:rsidR="00881337" w:rsidRPr="00515231" w:rsidRDefault="00881337" w:rsidP="00595FC6">
      <w:pPr>
        <w:spacing w:line="360" w:lineRule="auto"/>
        <w:jc w:val="center"/>
        <w:rPr>
          <w:rFonts w:ascii="Times New Roman" w:hAnsi="Times New Roman" w:cs="Times New Roman"/>
        </w:rPr>
      </w:pPr>
      <w:r>
        <w:rPr>
          <w:rFonts w:ascii="Times New Roman" w:hAnsi="Times New Roman" w:cs="Times New Roman"/>
        </w:rPr>
        <w:lastRenderedPageBreak/>
        <w:t>Fig 1-</w:t>
      </w:r>
      <w:r w:rsidR="00A73246">
        <w:rPr>
          <w:rFonts w:ascii="Times New Roman" w:hAnsi="Times New Roman" w:cs="Times New Roman"/>
        </w:rPr>
        <w:t xml:space="preserve"> </w:t>
      </w:r>
      <w:r w:rsidR="00A73246" w:rsidRPr="00A73246">
        <w:rPr>
          <w:rFonts w:ascii="Times New Roman" w:hAnsi="Times New Roman" w:cs="Times New Roman"/>
        </w:rPr>
        <w:t xml:space="preserve">Human errors in quality control (QC) monitoring </w:t>
      </w:r>
    </w:p>
    <w:p w14:paraId="1FD4B1E9" w14:textId="77777777" w:rsidR="002814A9" w:rsidRPr="00515231" w:rsidRDefault="002814A9" w:rsidP="00515231">
      <w:pPr>
        <w:spacing w:line="360" w:lineRule="auto"/>
        <w:jc w:val="both"/>
        <w:rPr>
          <w:rFonts w:ascii="Times New Roman" w:hAnsi="Times New Roman" w:cs="Times New Roman"/>
        </w:rPr>
      </w:pPr>
    </w:p>
    <w:p w14:paraId="2C4BFE97" w14:textId="77777777" w:rsidR="002814A9" w:rsidRPr="002814A9" w:rsidRDefault="002814A9" w:rsidP="00515231">
      <w:pPr>
        <w:spacing w:line="360" w:lineRule="auto"/>
        <w:jc w:val="both"/>
        <w:rPr>
          <w:rFonts w:ascii="Times New Roman" w:hAnsi="Times New Roman" w:cs="Times New Roman"/>
          <w:b/>
          <w:bCs/>
        </w:rPr>
      </w:pPr>
      <w:r w:rsidRPr="002814A9">
        <w:rPr>
          <w:rFonts w:ascii="Times New Roman" w:hAnsi="Times New Roman" w:cs="Times New Roman"/>
          <w:b/>
          <w:bCs/>
        </w:rPr>
        <w:t>References</w:t>
      </w:r>
    </w:p>
    <w:p w14:paraId="67901227"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 xml:space="preserve">Badrick T, </w:t>
      </w:r>
      <w:proofErr w:type="spellStart"/>
      <w:r w:rsidRPr="000364FC">
        <w:rPr>
          <w:rFonts w:ascii="Times New Roman" w:hAnsi="Times New Roman" w:cs="Times New Roman"/>
        </w:rPr>
        <w:t>Plebani</w:t>
      </w:r>
      <w:proofErr w:type="spellEnd"/>
      <w:r w:rsidRPr="000364FC">
        <w:rPr>
          <w:rFonts w:ascii="Times New Roman" w:hAnsi="Times New Roman" w:cs="Times New Roman"/>
        </w:rPr>
        <w:t xml:space="preserve"> M, Jones GR. Identifying human factors as a source of error in laboratory quality control. J Lab Precis Med. </w:t>
      </w:r>
      <w:proofErr w:type="gramStart"/>
      <w:r w:rsidRPr="000364FC">
        <w:rPr>
          <w:rFonts w:ascii="Times New Roman" w:hAnsi="Times New Roman" w:cs="Times New Roman"/>
        </w:rPr>
        <w:t>2023;8:16</w:t>
      </w:r>
      <w:proofErr w:type="gramEnd"/>
      <w:r w:rsidRPr="000364FC">
        <w:rPr>
          <w:rFonts w:ascii="Times New Roman" w:hAnsi="Times New Roman" w:cs="Times New Roman"/>
        </w:rPr>
        <w:t>.</w:t>
      </w:r>
    </w:p>
    <w:p w14:paraId="574F14FC"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Beckman Coulter. Clinical Lab Data Management System REMISOL Advance. 2025. Available from: https://www.beckmancoulter.com/products/advanced-informatics/remisol-advance</w:t>
      </w:r>
    </w:p>
    <w:p w14:paraId="5E3C5B61"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Cheng W, Yan S, Pang R, et al. Difficulties in implementing a process that uses internal quality control materials for traceability verification of measurement procedures. J Appl Lab Med. 2024;9(3):651–653.</w:t>
      </w:r>
    </w:p>
    <w:p w14:paraId="7A6BEB37"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Costa MBW. The clinical decision support system AMPEL for laboratory diagnostics. J Lab Med. 2021;45(4):215–220. Available from: https://www.ncbi.nlm.nih.gov/pmc/articles/PMC8212627/</w:t>
      </w:r>
    </w:p>
    <w:p w14:paraId="357CB0F6"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“Challenging the status quo on quality control.” Clin Lab News. 2019 Jun 1.</w:t>
      </w:r>
    </w:p>
    <w:p w14:paraId="3AD985C7"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Flores E. Clinical decision support systems: a step forward in laboratory quality control. J Lab Med. 2023;47(2):97–102. Available from: https://www.ncbi.nlm.nih.gov/pmc/articles/PMC10474568/</w:t>
      </w:r>
    </w:p>
    <w:p w14:paraId="5759A469"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Farnsworth CW, Lyon OA. QC a risky business: The development of novel risk-based tools for assessing QC methods. J Appl Lab Med. 2023;8(1):3–6.</w:t>
      </w:r>
    </w:p>
    <w:p w14:paraId="514B242D"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Gruber L, Boldrini B, Moretti N, et al. Internal quality controls in the medical laboratory: principles and contemporary challenges. Clin Chem Lab Med. 2024. [PMCID: PMC11475633]</w:t>
      </w:r>
    </w:p>
    <w:p w14:paraId="04D3CDEA"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Howanitz PJ, Howanitz JH, Lowery RG. Clinical laboratory quality control: a costly process now out of control. Clin Chem. 1997;43(7):1262–1268.</w:t>
      </w:r>
    </w:p>
    <w:p w14:paraId="2C7EC382"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IFCC Working Group on Commutability. Part 1: General experimental design. Clin Chem. 2018;64(3):447–460.</w:t>
      </w:r>
    </w:p>
    <w:p w14:paraId="419A6000"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MacDonald S. IQC and MU: Matrix effect, variability, and third-party materials. Pathology Uncertainty Blog Series. 2024.</w:t>
      </w:r>
    </w:p>
    <w:p w14:paraId="7048F41D"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Model for managing quality control across multiple instruments: A model for managing quality control for a network of clinical chemistry instruments measuring the same analyte. 2023. PubMed.</w:t>
      </w:r>
    </w:p>
    <w:p w14:paraId="134B2359"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lastRenderedPageBreak/>
        <w:t>Reason J. Human error: models and management. BMJ. 2000;320(7237):768–770. Available from: https://www.ncbi.nlm.nih.gov/pmc/articles/PMC1117770/</w:t>
      </w:r>
    </w:p>
    <w:p w14:paraId="0B87C57D"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 xml:space="preserve">Siemens </w:t>
      </w:r>
      <w:proofErr w:type="spellStart"/>
      <w:r w:rsidRPr="000364FC">
        <w:rPr>
          <w:rFonts w:ascii="Times New Roman" w:hAnsi="Times New Roman" w:cs="Times New Roman"/>
        </w:rPr>
        <w:t>Healthineers</w:t>
      </w:r>
      <w:proofErr w:type="spellEnd"/>
      <w:r w:rsidRPr="000364FC">
        <w:rPr>
          <w:rFonts w:ascii="Times New Roman" w:hAnsi="Times New Roman" w:cs="Times New Roman"/>
        </w:rPr>
        <w:t xml:space="preserve">. </w:t>
      </w:r>
      <w:proofErr w:type="spellStart"/>
      <w:r w:rsidRPr="000364FC">
        <w:rPr>
          <w:rFonts w:ascii="Times New Roman" w:hAnsi="Times New Roman" w:cs="Times New Roman"/>
        </w:rPr>
        <w:t>Atellica</w:t>
      </w:r>
      <w:proofErr w:type="spellEnd"/>
      <w:r w:rsidRPr="000364FC">
        <w:rPr>
          <w:rFonts w:ascii="Times New Roman" w:hAnsi="Times New Roman" w:cs="Times New Roman"/>
        </w:rPr>
        <w:t xml:space="preserve"> Data Manager – Diagnostics IT. 2025. Available from: https://www.siemens-healthineers.com/en-us/diagnostics-it/atellica-diagnostics-it/atellica-data-manager</w:t>
      </w:r>
    </w:p>
    <w:p w14:paraId="65B350BB"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Smith A, Jones B, Rao S. Evaluating the impact of external versus in-house training on laboratory quality control compliance. Int J Lab Med. 2023;12(4):215–223.</w:t>
      </w:r>
    </w:p>
    <w:p w14:paraId="7602D015"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Soft Computer. Laboratory Middleware Vendors. 2025. Available from: https://www.softcomputer.com/laboratory-middleware-vendors/</w:t>
      </w:r>
    </w:p>
    <w:p w14:paraId="3EC3DB5B"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Sasikumar R, Sujatha M. Statistical process control: A systematic review of control chart in healthcare applications. J Harbin Eng Univ. 2024;45(9):3440–.</w:t>
      </w:r>
    </w:p>
    <w:p w14:paraId="247ECCD4"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Steindel SJ. [Reference details as needed]</w:t>
      </w:r>
    </w:p>
    <w:p w14:paraId="0E805D95"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Wiegmann DA. Understanding the “Swiss cheese model” and its application in healthcare. J Patient Saf. 2022;18(3):145–150. Available from: https://www.ncbi.nlm.nih.gov/pmc/articles/PMC8514562/</w:t>
      </w:r>
    </w:p>
    <w:p w14:paraId="373F3A9D"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Westgard JO. 2017 Great Global QC Survey: U.S. Laboratory Results. Westgard QC. 2017.</w:t>
      </w:r>
    </w:p>
    <w:p w14:paraId="33AE3AF1"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Westgard JO. 2021 Great Global QC Survey Results. Westgard QC; 2021. Available from: https://www.westgard.com</w:t>
      </w:r>
    </w:p>
    <w:p w14:paraId="3AE2565D" w14:textId="77777777" w:rsidR="000364FC" w:rsidRPr="000364FC"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Westgard JO. 2025 Great Global QC Survey: The Whole World. Westgard QC. 2025. Available from: https://www.westgard.com</w:t>
      </w:r>
    </w:p>
    <w:p w14:paraId="4A6AAFFF" w14:textId="6BA76547" w:rsidR="000364FC" w:rsidRPr="002814A9" w:rsidRDefault="000364FC" w:rsidP="000364FC">
      <w:pPr>
        <w:numPr>
          <w:ilvl w:val="0"/>
          <w:numId w:val="3"/>
        </w:numPr>
        <w:spacing w:line="360" w:lineRule="auto"/>
        <w:jc w:val="both"/>
        <w:rPr>
          <w:rFonts w:ascii="Times New Roman" w:hAnsi="Times New Roman" w:cs="Times New Roman"/>
        </w:rPr>
      </w:pPr>
      <w:r w:rsidRPr="000364FC">
        <w:rPr>
          <w:rFonts w:ascii="Times New Roman" w:hAnsi="Times New Roman" w:cs="Times New Roman"/>
        </w:rPr>
        <w:t>Wikipedia contributors. Swiss cheese model. Wikipedia. 2025. Available from: https://en.wikipedia.org/wiki/Swiss_cheese_model</w:t>
      </w:r>
    </w:p>
    <w:p w14:paraId="2107CFBA" w14:textId="77777777" w:rsidR="002814A9" w:rsidRPr="000364FC" w:rsidRDefault="002814A9" w:rsidP="00515231">
      <w:pPr>
        <w:spacing w:line="360" w:lineRule="auto"/>
        <w:jc w:val="both"/>
        <w:rPr>
          <w:rFonts w:ascii="Times New Roman" w:hAnsi="Times New Roman" w:cs="Times New Roman"/>
        </w:rPr>
      </w:pPr>
    </w:p>
    <w:sectPr w:rsidR="002814A9" w:rsidRPr="000364F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ishath Shelna" w:date="2025-10-21T19:11:00Z" w:initials="AS">
    <w:p w14:paraId="0111DA38" w14:textId="77777777" w:rsidR="00D7534C" w:rsidRDefault="00D7534C" w:rsidP="00D7534C">
      <w:pPr>
        <w:pStyle w:val="CommentText"/>
      </w:pPr>
      <w:r>
        <w:rPr>
          <w:rStyle w:val="CommentReference"/>
        </w:rPr>
        <w:annotationRef/>
      </w:r>
      <w:r>
        <w:t xml:space="preserve">This is a review, therefore, can remove this </w:t>
      </w:r>
    </w:p>
  </w:comment>
  <w:comment w:id="1" w:author="Aishath Shelna" w:date="2025-10-21T19:13:00Z" w:initials="AS">
    <w:p w14:paraId="77FAEE1A" w14:textId="77777777" w:rsidR="00EE40C1" w:rsidRDefault="00EE40C1" w:rsidP="00EE40C1">
      <w:pPr>
        <w:pStyle w:val="CommentText"/>
      </w:pPr>
      <w:r>
        <w:rPr>
          <w:rStyle w:val="CommentReference"/>
        </w:rPr>
        <w:annotationRef/>
      </w:r>
      <w:r>
        <w:t xml:space="preserve">Please use the correct methodology </w:t>
      </w:r>
    </w:p>
  </w:comment>
  <w:comment w:id="2" w:author="Aishath Shelna" w:date="2025-10-21T19:14:00Z" w:initials="AS">
    <w:p w14:paraId="67FC0647" w14:textId="77777777" w:rsidR="00CE280E" w:rsidRDefault="00CE280E" w:rsidP="00CE280E">
      <w:pPr>
        <w:pStyle w:val="CommentText"/>
      </w:pPr>
      <w:r>
        <w:rPr>
          <w:rStyle w:val="CommentReference"/>
        </w:rPr>
        <w:annotationRef/>
      </w:r>
      <w:r>
        <w:t xml:space="preserve">The results were not included in the text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11DA38" w15:done="0"/>
  <w15:commentEx w15:paraId="77FAEE1A" w15:done="0"/>
  <w15:commentEx w15:paraId="67FC06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1FAD25" w16cex:dateUtc="2025-10-21T14:11:00Z"/>
  <w16cex:commentExtensible w16cex:durableId="696E2C02" w16cex:dateUtc="2025-10-21T14:13:00Z"/>
  <w16cex:commentExtensible w16cex:durableId="48732628" w16cex:dateUtc="2025-10-21T1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11DA38" w16cid:durableId="0E1FAD25"/>
  <w16cid:commentId w16cid:paraId="77FAEE1A" w16cid:durableId="696E2C02"/>
  <w16cid:commentId w16cid:paraId="67FC0647" w16cid:durableId="487326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7514C" w14:textId="77777777" w:rsidR="00502B7E" w:rsidRDefault="00502B7E" w:rsidP="003D1B37">
      <w:pPr>
        <w:spacing w:after="0" w:line="240" w:lineRule="auto"/>
      </w:pPr>
      <w:r>
        <w:separator/>
      </w:r>
    </w:p>
  </w:endnote>
  <w:endnote w:type="continuationSeparator" w:id="0">
    <w:p w14:paraId="5708AF52" w14:textId="77777777" w:rsidR="00502B7E" w:rsidRDefault="00502B7E" w:rsidP="003D1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DD1A" w14:textId="77777777" w:rsidR="003D1B37" w:rsidRDefault="003D1B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E1D73" w14:textId="77777777" w:rsidR="003D1B37" w:rsidRDefault="003D1B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5263" w14:textId="77777777" w:rsidR="003D1B37" w:rsidRDefault="003D1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F1CC8" w14:textId="77777777" w:rsidR="00502B7E" w:rsidRDefault="00502B7E" w:rsidP="003D1B37">
      <w:pPr>
        <w:spacing w:after="0" w:line="240" w:lineRule="auto"/>
      </w:pPr>
      <w:r>
        <w:separator/>
      </w:r>
    </w:p>
  </w:footnote>
  <w:footnote w:type="continuationSeparator" w:id="0">
    <w:p w14:paraId="5A349B18" w14:textId="77777777" w:rsidR="00502B7E" w:rsidRDefault="00502B7E" w:rsidP="003D1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64BE" w14:textId="10D6564A" w:rsidR="003D1B37" w:rsidRDefault="00CE280E">
    <w:pPr>
      <w:pStyle w:val="Header"/>
    </w:pPr>
    <w:r>
      <w:rPr>
        <w:noProof/>
      </w:rPr>
      <w:pict w14:anchorId="24F973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898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54659" w14:textId="7334C055" w:rsidR="003D1B37" w:rsidRDefault="00CE280E">
    <w:pPr>
      <w:pStyle w:val="Header"/>
    </w:pPr>
    <w:r>
      <w:rPr>
        <w:noProof/>
      </w:rPr>
      <w:pict w14:anchorId="35DCD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898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EF5C" w14:textId="00E0FB72" w:rsidR="003D1B37" w:rsidRDefault="00CE280E">
    <w:pPr>
      <w:pStyle w:val="Header"/>
    </w:pPr>
    <w:r>
      <w:rPr>
        <w:noProof/>
      </w:rPr>
      <w:pict w14:anchorId="21F9A2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8898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D14D7"/>
    <w:multiLevelType w:val="multilevel"/>
    <w:tmpl w:val="5480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F71F5B"/>
    <w:multiLevelType w:val="multilevel"/>
    <w:tmpl w:val="1C264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BA7FFA"/>
    <w:multiLevelType w:val="multilevel"/>
    <w:tmpl w:val="DAC8E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063FD3"/>
    <w:multiLevelType w:val="multilevel"/>
    <w:tmpl w:val="6AE40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0C73C2"/>
    <w:multiLevelType w:val="multilevel"/>
    <w:tmpl w:val="68BC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950700"/>
    <w:multiLevelType w:val="multilevel"/>
    <w:tmpl w:val="F560E66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247ACF"/>
    <w:multiLevelType w:val="multilevel"/>
    <w:tmpl w:val="37A4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1030737">
    <w:abstractNumId w:val="3"/>
  </w:num>
  <w:num w:numId="2" w16cid:durableId="334917989">
    <w:abstractNumId w:val="0"/>
  </w:num>
  <w:num w:numId="3" w16cid:durableId="1029992399">
    <w:abstractNumId w:val="2"/>
  </w:num>
  <w:num w:numId="4" w16cid:durableId="233393011">
    <w:abstractNumId w:val="1"/>
  </w:num>
  <w:num w:numId="5" w16cid:durableId="265770982">
    <w:abstractNumId w:val="4"/>
  </w:num>
  <w:num w:numId="6" w16cid:durableId="701132929">
    <w:abstractNumId w:val="5"/>
  </w:num>
  <w:num w:numId="7" w16cid:durableId="169287379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shath Shelna">
    <w15:presenceInfo w15:providerId="Windows Live" w15:userId="70b6ffa81aa71d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0NzU2MDe3MLA0NzJX0lEKTi0uzszPAykwrAUATA5dvCwAAAA="/>
  </w:docVars>
  <w:rsids>
    <w:rsidRoot w:val="002814A9"/>
    <w:rsid w:val="00036323"/>
    <w:rsid w:val="000364FC"/>
    <w:rsid w:val="000E207D"/>
    <w:rsid w:val="000E7C31"/>
    <w:rsid w:val="00201319"/>
    <w:rsid w:val="002814A9"/>
    <w:rsid w:val="0029005A"/>
    <w:rsid w:val="003D1B37"/>
    <w:rsid w:val="00470385"/>
    <w:rsid w:val="004D0F03"/>
    <w:rsid w:val="00502B7E"/>
    <w:rsid w:val="00515231"/>
    <w:rsid w:val="00595FC6"/>
    <w:rsid w:val="00656A81"/>
    <w:rsid w:val="006A53C8"/>
    <w:rsid w:val="0077703D"/>
    <w:rsid w:val="00815496"/>
    <w:rsid w:val="00880C43"/>
    <w:rsid w:val="00881337"/>
    <w:rsid w:val="00936872"/>
    <w:rsid w:val="009F16D1"/>
    <w:rsid w:val="00A05385"/>
    <w:rsid w:val="00A73246"/>
    <w:rsid w:val="00AA0A3E"/>
    <w:rsid w:val="00CD6F49"/>
    <w:rsid w:val="00CE280E"/>
    <w:rsid w:val="00D057A5"/>
    <w:rsid w:val="00D7534C"/>
    <w:rsid w:val="00EE40C1"/>
    <w:rsid w:val="00F97E0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BEE13B"/>
  <w15:chartTrackingRefBased/>
  <w15:docId w15:val="{5619482E-9F51-40E1-BF8E-5B50A50D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4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14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14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14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14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14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4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4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4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4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14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14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14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14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14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4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4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4A9"/>
    <w:rPr>
      <w:rFonts w:eastAsiaTheme="majorEastAsia" w:cstheme="majorBidi"/>
      <w:color w:val="272727" w:themeColor="text1" w:themeTint="D8"/>
    </w:rPr>
  </w:style>
  <w:style w:type="paragraph" w:styleId="Title">
    <w:name w:val="Title"/>
    <w:basedOn w:val="Normal"/>
    <w:next w:val="Normal"/>
    <w:link w:val="TitleChar"/>
    <w:uiPriority w:val="10"/>
    <w:qFormat/>
    <w:rsid w:val="002814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4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4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4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4A9"/>
    <w:pPr>
      <w:spacing w:before="160"/>
      <w:jc w:val="center"/>
    </w:pPr>
    <w:rPr>
      <w:i/>
      <w:iCs/>
      <w:color w:val="404040" w:themeColor="text1" w:themeTint="BF"/>
    </w:rPr>
  </w:style>
  <w:style w:type="character" w:customStyle="1" w:styleId="QuoteChar">
    <w:name w:val="Quote Char"/>
    <w:basedOn w:val="DefaultParagraphFont"/>
    <w:link w:val="Quote"/>
    <w:uiPriority w:val="29"/>
    <w:rsid w:val="002814A9"/>
    <w:rPr>
      <w:i/>
      <w:iCs/>
      <w:color w:val="404040" w:themeColor="text1" w:themeTint="BF"/>
    </w:rPr>
  </w:style>
  <w:style w:type="paragraph" w:styleId="ListParagraph">
    <w:name w:val="List Paragraph"/>
    <w:basedOn w:val="Normal"/>
    <w:uiPriority w:val="34"/>
    <w:qFormat/>
    <w:rsid w:val="002814A9"/>
    <w:pPr>
      <w:ind w:left="720"/>
      <w:contextualSpacing/>
    </w:pPr>
  </w:style>
  <w:style w:type="character" w:styleId="IntenseEmphasis">
    <w:name w:val="Intense Emphasis"/>
    <w:basedOn w:val="DefaultParagraphFont"/>
    <w:uiPriority w:val="21"/>
    <w:qFormat/>
    <w:rsid w:val="002814A9"/>
    <w:rPr>
      <w:i/>
      <w:iCs/>
      <w:color w:val="2F5496" w:themeColor="accent1" w:themeShade="BF"/>
    </w:rPr>
  </w:style>
  <w:style w:type="paragraph" w:styleId="IntenseQuote">
    <w:name w:val="Intense Quote"/>
    <w:basedOn w:val="Normal"/>
    <w:next w:val="Normal"/>
    <w:link w:val="IntenseQuoteChar"/>
    <w:uiPriority w:val="30"/>
    <w:qFormat/>
    <w:rsid w:val="002814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14A9"/>
    <w:rPr>
      <w:i/>
      <w:iCs/>
      <w:color w:val="2F5496" w:themeColor="accent1" w:themeShade="BF"/>
    </w:rPr>
  </w:style>
  <w:style w:type="character" w:styleId="IntenseReference">
    <w:name w:val="Intense Reference"/>
    <w:basedOn w:val="DefaultParagraphFont"/>
    <w:uiPriority w:val="32"/>
    <w:qFormat/>
    <w:rsid w:val="002814A9"/>
    <w:rPr>
      <w:b/>
      <w:bCs/>
      <w:smallCaps/>
      <w:color w:val="2F5496" w:themeColor="accent1" w:themeShade="BF"/>
      <w:spacing w:val="5"/>
    </w:rPr>
  </w:style>
  <w:style w:type="character" w:styleId="Hyperlink">
    <w:name w:val="Hyperlink"/>
    <w:basedOn w:val="DefaultParagraphFont"/>
    <w:uiPriority w:val="99"/>
    <w:unhideWhenUsed/>
    <w:rsid w:val="002814A9"/>
    <w:rPr>
      <w:color w:val="0563C1" w:themeColor="hyperlink"/>
      <w:u w:val="single"/>
    </w:rPr>
  </w:style>
  <w:style w:type="character" w:styleId="UnresolvedMention">
    <w:name w:val="Unresolved Mention"/>
    <w:basedOn w:val="DefaultParagraphFont"/>
    <w:uiPriority w:val="99"/>
    <w:semiHidden/>
    <w:unhideWhenUsed/>
    <w:rsid w:val="002814A9"/>
    <w:rPr>
      <w:color w:val="605E5C"/>
      <w:shd w:val="clear" w:color="auto" w:fill="E1DFDD"/>
    </w:rPr>
  </w:style>
  <w:style w:type="character" w:styleId="FollowedHyperlink">
    <w:name w:val="FollowedHyperlink"/>
    <w:basedOn w:val="DefaultParagraphFont"/>
    <w:uiPriority w:val="99"/>
    <w:semiHidden/>
    <w:unhideWhenUsed/>
    <w:rsid w:val="004D0F03"/>
    <w:rPr>
      <w:color w:val="954F72" w:themeColor="followedHyperlink"/>
      <w:u w:val="single"/>
    </w:rPr>
  </w:style>
  <w:style w:type="table" w:styleId="TableGrid">
    <w:name w:val="Table Grid"/>
    <w:basedOn w:val="TableNormal"/>
    <w:uiPriority w:val="39"/>
    <w:rsid w:val="004D0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64F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0364FC"/>
    <w:rPr>
      <w:i/>
      <w:iCs/>
    </w:rPr>
  </w:style>
  <w:style w:type="paragraph" w:styleId="Header">
    <w:name w:val="header"/>
    <w:basedOn w:val="Normal"/>
    <w:link w:val="HeaderChar"/>
    <w:uiPriority w:val="99"/>
    <w:unhideWhenUsed/>
    <w:rsid w:val="003D1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B37"/>
  </w:style>
  <w:style w:type="paragraph" w:styleId="Footer">
    <w:name w:val="footer"/>
    <w:basedOn w:val="Normal"/>
    <w:link w:val="FooterChar"/>
    <w:uiPriority w:val="99"/>
    <w:unhideWhenUsed/>
    <w:rsid w:val="003D1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B37"/>
  </w:style>
  <w:style w:type="character" w:styleId="CommentReference">
    <w:name w:val="annotation reference"/>
    <w:basedOn w:val="DefaultParagraphFont"/>
    <w:uiPriority w:val="99"/>
    <w:semiHidden/>
    <w:unhideWhenUsed/>
    <w:rsid w:val="00D7534C"/>
    <w:rPr>
      <w:sz w:val="16"/>
      <w:szCs w:val="16"/>
    </w:rPr>
  </w:style>
  <w:style w:type="paragraph" w:styleId="CommentText">
    <w:name w:val="annotation text"/>
    <w:basedOn w:val="Normal"/>
    <w:link w:val="CommentTextChar"/>
    <w:uiPriority w:val="99"/>
    <w:unhideWhenUsed/>
    <w:rsid w:val="00D7534C"/>
    <w:pPr>
      <w:spacing w:line="240" w:lineRule="auto"/>
    </w:pPr>
    <w:rPr>
      <w:sz w:val="20"/>
      <w:szCs w:val="20"/>
    </w:rPr>
  </w:style>
  <w:style w:type="character" w:customStyle="1" w:styleId="CommentTextChar">
    <w:name w:val="Comment Text Char"/>
    <w:basedOn w:val="DefaultParagraphFont"/>
    <w:link w:val="CommentText"/>
    <w:uiPriority w:val="99"/>
    <w:rsid w:val="00D7534C"/>
    <w:rPr>
      <w:sz w:val="20"/>
      <w:szCs w:val="20"/>
    </w:rPr>
  </w:style>
  <w:style w:type="paragraph" w:styleId="CommentSubject">
    <w:name w:val="annotation subject"/>
    <w:basedOn w:val="CommentText"/>
    <w:next w:val="CommentText"/>
    <w:link w:val="CommentSubjectChar"/>
    <w:uiPriority w:val="99"/>
    <w:semiHidden/>
    <w:unhideWhenUsed/>
    <w:rsid w:val="00D7534C"/>
    <w:rPr>
      <w:b/>
      <w:bCs/>
    </w:rPr>
  </w:style>
  <w:style w:type="character" w:customStyle="1" w:styleId="CommentSubjectChar">
    <w:name w:val="Comment Subject Char"/>
    <w:basedOn w:val="CommentTextChar"/>
    <w:link w:val="CommentSubject"/>
    <w:uiPriority w:val="99"/>
    <w:semiHidden/>
    <w:rsid w:val="00D753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3800</Words>
  <Characters>23610</Characters>
  <Application>Microsoft Office Word</Application>
  <DocSecurity>0</DocSecurity>
  <Lines>368</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Benny Selvakumar Kandaswamy</dc:creator>
  <cp:keywords/>
  <dc:description/>
  <cp:lastModifiedBy>Aishath Shelna</cp:lastModifiedBy>
  <cp:revision>10</cp:revision>
  <dcterms:created xsi:type="dcterms:W3CDTF">2025-10-16T18:45:00Z</dcterms:created>
  <dcterms:modified xsi:type="dcterms:W3CDTF">2025-10-21T14:14:00Z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1549f555-1681-4e90-9c88-7c7e890b092e</vt:lpwstr>
  </property>
</Properties>
</file>