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15D2EF" w14:textId="11CA4DBE" w:rsidR="009947CE" w:rsidRDefault="009947CE" w:rsidP="006A25C9">
      <w:pPr>
        <w:jc w:val="center"/>
        <w:rPr>
          <w:rFonts w:ascii="Times New Roman" w:hAnsi="Times New Roman" w:cs="Times New Roman"/>
          <w:b/>
          <w:sz w:val="28"/>
          <w:szCs w:val="24"/>
        </w:rPr>
      </w:pPr>
      <w:r w:rsidRPr="009947CE">
        <w:rPr>
          <w:rFonts w:ascii="Times New Roman" w:hAnsi="Times New Roman" w:cs="Times New Roman"/>
          <w:b/>
          <w:bCs/>
          <w:i/>
          <w:iCs/>
          <w:sz w:val="28"/>
          <w:szCs w:val="24"/>
          <w:u w:val="single"/>
          <w:lang w:val="en-US"/>
        </w:rPr>
        <w:t>Original Research Article</w:t>
      </w:r>
    </w:p>
    <w:p w14:paraId="77A4482F" w14:textId="2A17CCBA" w:rsidR="00F860DE" w:rsidRPr="0049220A" w:rsidRDefault="00EE39D9" w:rsidP="006A25C9">
      <w:pPr>
        <w:jc w:val="center"/>
        <w:rPr>
          <w:rFonts w:ascii="Times New Roman" w:hAnsi="Times New Roman" w:cs="Times New Roman"/>
          <w:b/>
          <w:i/>
          <w:sz w:val="28"/>
          <w:szCs w:val="24"/>
        </w:rPr>
      </w:pPr>
      <w:r w:rsidRPr="0049220A">
        <w:rPr>
          <w:rFonts w:ascii="Times New Roman" w:hAnsi="Times New Roman" w:cs="Times New Roman"/>
          <w:b/>
          <w:sz w:val="28"/>
          <w:szCs w:val="24"/>
        </w:rPr>
        <w:t>Scree</w:t>
      </w:r>
      <w:r w:rsidR="00345798" w:rsidRPr="0049220A">
        <w:rPr>
          <w:rFonts w:ascii="Times New Roman" w:hAnsi="Times New Roman" w:cs="Times New Roman"/>
          <w:b/>
          <w:sz w:val="28"/>
          <w:szCs w:val="24"/>
        </w:rPr>
        <w:t>n</w:t>
      </w:r>
      <w:r w:rsidRPr="0049220A">
        <w:rPr>
          <w:rFonts w:ascii="Times New Roman" w:hAnsi="Times New Roman" w:cs="Times New Roman"/>
          <w:b/>
          <w:sz w:val="28"/>
          <w:szCs w:val="24"/>
        </w:rPr>
        <w:t xml:space="preserve">ing potential </w:t>
      </w:r>
      <w:r w:rsidR="006A25C9" w:rsidRPr="0049220A">
        <w:rPr>
          <w:rFonts w:ascii="Times New Roman" w:hAnsi="Times New Roman" w:cs="Times New Roman"/>
          <w:b/>
          <w:sz w:val="28"/>
          <w:szCs w:val="24"/>
        </w:rPr>
        <w:t xml:space="preserve">Bioactive Compounds in the Ethanolic Extract of Marine Seaweed </w:t>
      </w:r>
      <w:r w:rsidR="00D54B3B" w:rsidRPr="0049220A">
        <w:rPr>
          <w:rFonts w:ascii="Times New Roman" w:hAnsi="Times New Roman" w:cs="Times New Roman"/>
          <w:b/>
          <w:i/>
          <w:sz w:val="28"/>
          <w:szCs w:val="24"/>
        </w:rPr>
        <w:t>Acanthophora nayadiformis</w:t>
      </w:r>
    </w:p>
    <w:p w14:paraId="073D361B" w14:textId="77777777" w:rsidR="00F860DE" w:rsidRPr="0049220A" w:rsidRDefault="00F860DE" w:rsidP="006A25C9">
      <w:pPr>
        <w:rPr>
          <w:rFonts w:ascii="Times New Roman" w:hAnsi="Times New Roman" w:cs="Times New Roman"/>
          <w:sz w:val="24"/>
          <w:szCs w:val="24"/>
        </w:rPr>
      </w:pPr>
    </w:p>
    <w:p w14:paraId="52516DFE" w14:textId="77777777" w:rsidR="00BA04A3" w:rsidRPr="0049220A" w:rsidRDefault="00BA04A3" w:rsidP="006A25C9">
      <w:pPr>
        <w:rPr>
          <w:rFonts w:ascii="Times New Roman" w:hAnsi="Times New Roman" w:cs="Times New Roman"/>
          <w:sz w:val="24"/>
          <w:szCs w:val="24"/>
        </w:rPr>
      </w:pPr>
    </w:p>
    <w:p w14:paraId="18F58E5B" w14:textId="77777777" w:rsidR="003421EC" w:rsidRPr="0049220A" w:rsidRDefault="003421EC" w:rsidP="006A25C9">
      <w:pPr>
        <w:rPr>
          <w:rFonts w:ascii="Times New Roman" w:hAnsi="Times New Roman" w:cs="Times New Roman"/>
          <w:b/>
          <w:sz w:val="24"/>
          <w:szCs w:val="24"/>
        </w:rPr>
      </w:pPr>
      <w:commentRangeStart w:id="0"/>
      <w:r w:rsidRPr="0049220A">
        <w:rPr>
          <w:rFonts w:ascii="Times New Roman" w:hAnsi="Times New Roman" w:cs="Times New Roman"/>
          <w:b/>
          <w:sz w:val="24"/>
          <w:szCs w:val="24"/>
        </w:rPr>
        <w:t>Abstract</w:t>
      </w:r>
      <w:commentRangeEnd w:id="0"/>
      <w:r w:rsidR="00D91551">
        <w:rPr>
          <w:rStyle w:val="CommentReference"/>
        </w:rPr>
        <w:commentReference w:id="0"/>
      </w:r>
    </w:p>
    <w:p w14:paraId="1F62EDCF" w14:textId="77777777" w:rsidR="00960F65" w:rsidRPr="0049220A" w:rsidRDefault="00596613" w:rsidP="00596613">
      <w:pPr>
        <w:jc w:val="both"/>
        <w:rPr>
          <w:rFonts w:ascii="Times New Roman" w:hAnsi="Times New Roman" w:cs="Times New Roman"/>
          <w:sz w:val="24"/>
          <w:szCs w:val="24"/>
        </w:rPr>
      </w:pPr>
      <w:r w:rsidRPr="0049220A">
        <w:rPr>
          <w:rFonts w:ascii="Times New Roman" w:hAnsi="Times New Roman" w:cs="Times New Roman"/>
          <w:sz w:val="24"/>
          <w:szCs w:val="24"/>
        </w:rPr>
        <w:t>This study explored the biochemical profi</w:t>
      </w:r>
      <w:r w:rsidR="006A146C" w:rsidRPr="0049220A">
        <w:rPr>
          <w:rFonts w:ascii="Times New Roman" w:hAnsi="Times New Roman" w:cs="Times New Roman"/>
          <w:sz w:val="24"/>
          <w:szCs w:val="24"/>
        </w:rPr>
        <w:t>le and pharmacological properties</w:t>
      </w:r>
      <w:r w:rsidRPr="0049220A">
        <w:rPr>
          <w:rFonts w:ascii="Times New Roman" w:hAnsi="Times New Roman" w:cs="Times New Roman"/>
          <w:sz w:val="24"/>
          <w:szCs w:val="24"/>
        </w:rPr>
        <w:t xml:space="preserve"> of the ethanolic extract of the red marine macroalga </w:t>
      </w:r>
      <w:r w:rsidRPr="0049220A">
        <w:rPr>
          <w:rFonts w:ascii="Times New Roman" w:hAnsi="Times New Roman" w:cs="Times New Roman"/>
          <w:i/>
          <w:sz w:val="24"/>
          <w:szCs w:val="24"/>
        </w:rPr>
        <w:t>Acanthophora nayadiformis</w:t>
      </w:r>
      <w:r w:rsidRPr="0049220A">
        <w:rPr>
          <w:rFonts w:ascii="Times New Roman" w:hAnsi="Times New Roman" w:cs="Times New Roman"/>
          <w:sz w:val="24"/>
          <w:szCs w:val="24"/>
        </w:rPr>
        <w:t xml:space="preserve"> using gas chromatography-mass spectrometry (GC-MS). A div</w:t>
      </w:r>
      <w:r w:rsidR="006A146C" w:rsidRPr="0049220A">
        <w:rPr>
          <w:rFonts w:ascii="Times New Roman" w:hAnsi="Times New Roman" w:cs="Times New Roman"/>
          <w:sz w:val="24"/>
          <w:szCs w:val="24"/>
        </w:rPr>
        <w:t>erse array of bioactive chemicals were found</w:t>
      </w:r>
      <w:r w:rsidRPr="0049220A">
        <w:rPr>
          <w:rFonts w:ascii="Times New Roman" w:hAnsi="Times New Roman" w:cs="Times New Roman"/>
          <w:sz w:val="24"/>
          <w:szCs w:val="24"/>
        </w:rPr>
        <w:t xml:space="preserve">, including fatty acids, esters, alcohols, alkanes, terpenoids, and steroidal derivatives. </w:t>
      </w:r>
      <w:r w:rsidR="006A146C" w:rsidRPr="0049220A">
        <w:rPr>
          <w:rFonts w:ascii="Times New Roman" w:hAnsi="Times New Roman" w:cs="Times New Roman"/>
          <w:sz w:val="24"/>
          <w:szCs w:val="24"/>
        </w:rPr>
        <w:t xml:space="preserve">The primary ingredients </w:t>
      </w:r>
      <w:r w:rsidR="00273B94" w:rsidRPr="0049220A">
        <w:rPr>
          <w:rFonts w:ascii="Times New Roman" w:hAnsi="Times New Roman" w:cs="Times New Roman"/>
          <w:sz w:val="24"/>
          <w:szCs w:val="24"/>
        </w:rPr>
        <w:t>were 12-Methyl-E,E-2,13-octadecadien-1-ol (16.74%), Octadecanal, 2-bromo- (8.56%), 17-Octadecynoic acid (5.83%), and 1-Heptatriacotanol (5.48%). The identified</w:t>
      </w:r>
      <w:r w:rsidRPr="0049220A">
        <w:rPr>
          <w:rFonts w:ascii="Times New Roman" w:hAnsi="Times New Roman" w:cs="Times New Roman"/>
          <w:sz w:val="24"/>
          <w:szCs w:val="24"/>
        </w:rPr>
        <w:t xml:space="preserve"> compo</w:t>
      </w:r>
      <w:r w:rsidR="006A146C" w:rsidRPr="0049220A">
        <w:rPr>
          <w:rFonts w:ascii="Times New Roman" w:hAnsi="Times New Roman" w:cs="Times New Roman"/>
          <w:sz w:val="24"/>
          <w:szCs w:val="24"/>
        </w:rPr>
        <w:t>unds are reported to exhibit significant</w:t>
      </w:r>
      <w:r w:rsidRPr="0049220A">
        <w:rPr>
          <w:rFonts w:ascii="Times New Roman" w:hAnsi="Times New Roman" w:cs="Times New Roman"/>
          <w:sz w:val="24"/>
          <w:szCs w:val="24"/>
        </w:rPr>
        <w:t xml:space="preserve"> biological activities </w:t>
      </w:r>
      <w:r w:rsidR="006A146C" w:rsidRPr="0049220A">
        <w:rPr>
          <w:rFonts w:ascii="Times New Roman" w:hAnsi="Times New Roman" w:cs="Times New Roman"/>
          <w:sz w:val="24"/>
          <w:szCs w:val="24"/>
        </w:rPr>
        <w:t xml:space="preserve">including antioxidant, antimicrobial, anti-inflammatory, </w:t>
      </w:r>
      <w:r w:rsidRPr="0049220A">
        <w:rPr>
          <w:rFonts w:ascii="Times New Roman" w:hAnsi="Times New Roman" w:cs="Times New Roman"/>
          <w:sz w:val="24"/>
          <w:szCs w:val="24"/>
        </w:rPr>
        <w:t xml:space="preserve">cytotoxic </w:t>
      </w:r>
      <w:r w:rsidR="00273B94" w:rsidRPr="0049220A">
        <w:rPr>
          <w:rFonts w:ascii="Times New Roman" w:hAnsi="Times New Roman" w:cs="Times New Roman"/>
          <w:sz w:val="24"/>
          <w:szCs w:val="24"/>
        </w:rPr>
        <w:t xml:space="preserve">and anticancer </w:t>
      </w:r>
      <w:r w:rsidRPr="0049220A">
        <w:rPr>
          <w:rFonts w:ascii="Times New Roman" w:hAnsi="Times New Roman" w:cs="Times New Roman"/>
          <w:sz w:val="24"/>
          <w:szCs w:val="24"/>
        </w:rPr>
        <w:t xml:space="preserve">effects. The predominance of PUFA derivatives and the detection of antimicrobial and cytoprotective agents in </w:t>
      </w:r>
      <w:r w:rsidRPr="0049220A">
        <w:rPr>
          <w:rFonts w:ascii="Times New Roman" w:hAnsi="Times New Roman" w:cs="Times New Roman"/>
          <w:i/>
          <w:sz w:val="24"/>
          <w:szCs w:val="24"/>
        </w:rPr>
        <w:t>A. nayadiformis</w:t>
      </w:r>
      <w:r w:rsidRPr="0049220A">
        <w:rPr>
          <w:rFonts w:ascii="Times New Roman" w:hAnsi="Times New Roman" w:cs="Times New Roman"/>
          <w:sz w:val="24"/>
          <w:szCs w:val="24"/>
        </w:rPr>
        <w:t xml:space="preserve"> support its value as a natural source for pharmaceutical development. This research highlights the multifunctional bioactivity of marine seaweed extracts and their promise for future drug discovery and biotechnology applications.</w:t>
      </w:r>
    </w:p>
    <w:p w14:paraId="3149F33E" w14:textId="77777777" w:rsidR="009707E3" w:rsidRPr="0049220A" w:rsidRDefault="009707E3" w:rsidP="006A25C9">
      <w:pPr>
        <w:rPr>
          <w:rFonts w:ascii="Times New Roman" w:hAnsi="Times New Roman" w:cs="Times New Roman"/>
          <w:sz w:val="24"/>
          <w:szCs w:val="24"/>
        </w:rPr>
      </w:pPr>
    </w:p>
    <w:p w14:paraId="7D057194" w14:textId="77777777" w:rsidR="003421EC" w:rsidRPr="0049220A" w:rsidRDefault="003421EC" w:rsidP="006A25C9">
      <w:pPr>
        <w:rPr>
          <w:rFonts w:ascii="Times New Roman" w:hAnsi="Times New Roman" w:cs="Times New Roman"/>
          <w:sz w:val="24"/>
          <w:szCs w:val="24"/>
        </w:rPr>
      </w:pPr>
      <w:commentRangeStart w:id="1"/>
      <w:r w:rsidRPr="0049220A">
        <w:rPr>
          <w:rFonts w:ascii="Times New Roman" w:hAnsi="Times New Roman" w:cs="Times New Roman"/>
          <w:b/>
          <w:sz w:val="24"/>
          <w:szCs w:val="24"/>
        </w:rPr>
        <w:t>Key words</w:t>
      </w:r>
      <w:commentRangeEnd w:id="1"/>
      <w:r w:rsidR="00D91551">
        <w:rPr>
          <w:rStyle w:val="CommentReference"/>
        </w:rPr>
        <w:commentReference w:id="1"/>
      </w:r>
      <w:r w:rsidRPr="0049220A">
        <w:rPr>
          <w:rFonts w:ascii="Times New Roman" w:hAnsi="Times New Roman" w:cs="Times New Roman"/>
          <w:b/>
          <w:sz w:val="24"/>
          <w:szCs w:val="24"/>
        </w:rPr>
        <w:t>:</w:t>
      </w:r>
      <w:r w:rsidR="009707E3" w:rsidRPr="0049220A">
        <w:rPr>
          <w:rFonts w:ascii="Times New Roman" w:hAnsi="Times New Roman" w:cs="Times New Roman"/>
          <w:sz w:val="24"/>
          <w:szCs w:val="24"/>
        </w:rPr>
        <w:t xml:space="preserve"> </w:t>
      </w:r>
      <w:r w:rsidR="00273B94" w:rsidRPr="0049220A">
        <w:rPr>
          <w:rFonts w:ascii="Times New Roman" w:hAnsi="Times New Roman" w:cs="Times New Roman"/>
          <w:sz w:val="24"/>
          <w:szCs w:val="24"/>
        </w:rPr>
        <w:t xml:space="preserve">Sea weed, </w:t>
      </w:r>
      <w:r w:rsidR="00FC19D7" w:rsidRPr="0049220A">
        <w:rPr>
          <w:rFonts w:ascii="Times New Roman" w:hAnsi="Times New Roman" w:cs="Times New Roman"/>
          <w:i/>
          <w:sz w:val="24"/>
          <w:szCs w:val="24"/>
        </w:rPr>
        <w:t>Acanthophora nayadiformis</w:t>
      </w:r>
      <w:r w:rsidR="009707E3" w:rsidRPr="0049220A">
        <w:rPr>
          <w:rFonts w:ascii="Times New Roman" w:hAnsi="Times New Roman" w:cs="Times New Roman"/>
          <w:sz w:val="24"/>
          <w:szCs w:val="24"/>
        </w:rPr>
        <w:t xml:space="preserve">, GC-MS analysis, </w:t>
      </w:r>
      <w:r w:rsidR="00273B94" w:rsidRPr="0049220A">
        <w:rPr>
          <w:rFonts w:ascii="Times New Roman" w:hAnsi="Times New Roman" w:cs="Times New Roman"/>
          <w:sz w:val="24"/>
          <w:szCs w:val="24"/>
        </w:rPr>
        <w:t xml:space="preserve">phytochemicals. </w:t>
      </w:r>
    </w:p>
    <w:p w14:paraId="54E335B9" w14:textId="77777777" w:rsidR="003421EC" w:rsidRPr="0049220A" w:rsidRDefault="003421EC" w:rsidP="006A25C9">
      <w:pPr>
        <w:rPr>
          <w:rFonts w:ascii="Times New Roman" w:hAnsi="Times New Roman" w:cs="Times New Roman"/>
          <w:sz w:val="24"/>
          <w:szCs w:val="24"/>
        </w:rPr>
      </w:pPr>
    </w:p>
    <w:p w14:paraId="2B90D6E5" w14:textId="77777777" w:rsidR="003421EC" w:rsidRPr="0049220A" w:rsidRDefault="003421EC" w:rsidP="00856A4D">
      <w:pPr>
        <w:pStyle w:val="ListParagraph"/>
        <w:numPr>
          <w:ilvl w:val="0"/>
          <w:numId w:val="1"/>
        </w:numPr>
        <w:rPr>
          <w:rFonts w:ascii="Times New Roman" w:hAnsi="Times New Roman" w:cs="Times New Roman"/>
          <w:b/>
          <w:sz w:val="24"/>
          <w:szCs w:val="24"/>
        </w:rPr>
      </w:pPr>
      <w:r w:rsidRPr="0049220A">
        <w:rPr>
          <w:rFonts w:ascii="Times New Roman" w:hAnsi="Times New Roman" w:cs="Times New Roman"/>
          <w:b/>
          <w:sz w:val="24"/>
          <w:szCs w:val="24"/>
        </w:rPr>
        <w:t>Introduction</w:t>
      </w:r>
    </w:p>
    <w:p w14:paraId="6E90DD1D" w14:textId="77777777" w:rsidR="00EE4FA6" w:rsidRPr="0049220A" w:rsidRDefault="00132707" w:rsidP="00F10DF8">
      <w:pPr>
        <w:ind w:firstLine="720"/>
        <w:jc w:val="both"/>
        <w:rPr>
          <w:rFonts w:ascii="Times New Roman" w:hAnsi="Times New Roman" w:cs="Times New Roman"/>
          <w:sz w:val="24"/>
          <w:szCs w:val="24"/>
        </w:rPr>
      </w:pPr>
      <w:r w:rsidRPr="0049220A">
        <w:rPr>
          <w:rFonts w:ascii="Times New Roman" w:hAnsi="Times New Roman" w:cs="Times New Roman"/>
          <w:sz w:val="24"/>
          <w:szCs w:val="24"/>
        </w:rPr>
        <w:t>S</w:t>
      </w:r>
      <w:r w:rsidR="00DD06D2" w:rsidRPr="0049220A">
        <w:rPr>
          <w:rFonts w:ascii="Times New Roman" w:hAnsi="Times New Roman" w:cs="Times New Roman"/>
          <w:sz w:val="24"/>
          <w:szCs w:val="24"/>
        </w:rPr>
        <w:t xml:space="preserve">eaweeds </w:t>
      </w:r>
      <w:r w:rsidR="00625BF3" w:rsidRPr="0049220A">
        <w:rPr>
          <w:rFonts w:ascii="Times New Roman" w:hAnsi="Times New Roman" w:cs="Times New Roman"/>
          <w:sz w:val="24"/>
          <w:szCs w:val="24"/>
        </w:rPr>
        <w:t xml:space="preserve">are at great interest to the researcher in the field of biotechnology, as </w:t>
      </w:r>
      <w:r w:rsidRPr="0049220A">
        <w:rPr>
          <w:rFonts w:ascii="Times New Roman" w:hAnsi="Times New Roman" w:cs="Times New Roman"/>
          <w:sz w:val="24"/>
          <w:szCs w:val="24"/>
        </w:rPr>
        <w:t>a significant number</w:t>
      </w:r>
      <w:r w:rsidR="00625BF3" w:rsidRPr="0049220A">
        <w:rPr>
          <w:rFonts w:ascii="Times New Roman" w:hAnsi="Times New Roman" w:cs="Times New Roman"/>
          <w:sz w:val="24"/>
          <w:szCs w:val="24"/>
        </w:rPr>
        <w:t xml:space="preserve"> of the drug industries depend </w:t>
      </w:r>
      <w:r w:rsidR="00DD06D2" w:rsidRPr="0049220A">
        <w:rPr>
          <w:rFonts w:ascii="Times New Roman" w:hAnsi="Times New Roman" w:cs="Times New Roman"/>
          <w:sz w:val="24"/>
          <w:szCs w:val="24"/>
        </w:rPr>
        <w:t xml:space="preserve">on it </w:t>
      </w:r>
      <w:r w:rsidR="00625BF3" w:rsidRPr="0049220A">
        <w:rPr>
          <w:rFonts w:ascii="Times New Roman" w:hAnsi="Times New Roman" w:cs="Times New Roman"/>
          <w:sz w:val="24"/>
          <w:szCs w:val="24"/>
        </w:rPr>
        <w:t>for the production of pharmaceutical compounds</w:t>
      </w:r>
      <w:r w:rsidR="006308D7" w:rsidRPr="0049220A">
        <w:rPr>
          <w:rFonts w:ascii="Times New Roman" w:hAnsi="Times New Roman" w:cs="Times New Roman"/>
          <w:sz w:val="24"/>
          <w:szCs w:val="24"/>
        </w:rPr>
        <w:t xml:space="preserve"> </w:t>
      </w:r>
      <w:r w:rsidR="006308D7" w:rsidRPr="0049220A">
        <w:rPr>
          <w:rFonts w:ascii="Times New Roman" w:hAnsi="Times New Roman" w:cs="Times New Roman"/>
          <w:sz w:val="24"/>
          <w:szCs w:val="24"/>
        </w:rPr>
        <w:fldChar w:fldCharType="begin" w:fldLock="1"/>
      </w:r>
      <w:r w:rsidR="00EA3896" w:rsidRPr="0049220A">
        <w:rPr>
          <w:rFonts w:ascii="Times New Roman" w:hAnsi="Times New Roman" w:cs="Times New Roman"/>
          <w:sz w:val="24"/>
          <w:szCs w:val="24"/>
        </w:rPr>
        <w:instrText>ADDIN CSL_CITATION {"citationItems":[{"id":"ITEM-1","itemData":{"DOI":"10.37349/EDS.2024.00036","ISSN":"2836-7677","abstract":"admin@explorationpub.com","author":[{"dropping-particle":"","family":"Pereira","given":"Leonel","non-dropping-particle":"","parse-names":false,"suffix":""},{"dropping-particle":"","family":"Cotas","given":"João","non-dropping-particle":"","parse-names":false,"suffix":""}],"container-title":"Open Exploration","id":"ITEM-1","issue":"1","issued":{"date-parts":[["2024","2","27"]]},"page":"50-84","publisher":"Open Exploration","title":"Seaweed: a sustainable solution for greening drug manufacturing in the pursuit of sustainable healthcare","type":"article-journal","volume":"2"},"uris":["http://www.mendeley.com/documents/?uuid=3cc31d88-e8c0-3056-856c-19f05ffb3c56"]},{"id":"ITEM-2","itemData":{"DOI":"10.1007/S13197-013-1105-9","ISSN":"09758402","PMID":"25694742","abstract":"Medicinal plants are at great interest to the researcher in the field of biotechnology, as most of the drug industries depend in medicinal plants for the production of pharmaceutical compounds. Plants are the traditional sources for many chemicals used as pharmaceutical biochemicals, fragrances, food colours and flavours in different countries especially in India. Most herbal medicines and their derivative products were often prepared from crude plant extracts, which comprise a complex mixture of different phytochemical constituents (plant secondary metabolites). The chemical features of these constituents differ considerably among different species. GC-MS method used for the analysis of the obtained extracts can be an interesting tool for testing the amount of some active principles in herbs used in cosmetic, drugs, pharmaceutical or food industry. The aim of this study was to carry out for identification of bioactive compounds from the whole plant ethanolic extract of Evolvulus alsinoides by Gas chromatography and Mass spectroscopy (GC-MS). GCMS analysis of ethanolic extract was done by standard protocol using the equipment Thermo GC-Trace Ultra Version: 5.0, Thermo MS DSQ II. The GC-MS analysis revealed the presence of various compounds like piperine, octodeconoic acids, hexadecanoic acid and squalene in the ethanolic extract of Evolvulus alsinoides. Hence, the Evolvulus alsinoides may have chemopreventive, anticancer, anti-microbial activity, antioxidant and antidiabetic activity due to the presence of secondary metabolites in the ethanolic extract. Due to the presence of esters which can be used as a flavoring agent in food industries. These findings support the traditional use of Evolvulus alsinoides in various disorders. Further studies are needed to isolate active principle of the extract as well as to elucidate their exact mechanism of action in various disorders.","author":[{"dropping-particle":"","family":"Gomathi","given":"Duraisamy","non-dropping-particle":"","parse-names":false,"suffix":""},{"dropping-particle":"","family":"Kalaiselvi","given":"Manokaran","non-dropping-particle":"","parse-names":false,"suffix":""},{"dropping-particle":"","family":"Ravikumar","given":"Ganesan","non-dropping-particle":"","parse-names":false,"suffix":""},{"dropping-particle":"","family":"Devaki","given":"Kanakasabapathi","non-dropping-particle":"","parse-names":false,"suffix":""},{"dropping-particle":"","family":"Uma","given":"Chandrasekar","non-dropping-particle":"","parse-names":false,"suffix":""}],"container-title":"Journal of Food Science and Technology","id":"ITEM-2","issue":"2","issued":{"date-parts":[["2013","2","1"]]},"page":"1212","publisher":"Springer","title":"GC-MS analysis of bioactive compounds from the whole plant ethanolic extract of Evolvulus alsinoides (L.) L","type":"article-journal","volume":"52"},"uris":["http://www.mendeley.com/documents/?uuid=0e7752a7-29b7-3dae-b6ba-fd6160f51739"]}],"mendeley":{"formattedCitation":"(Gomathi et al., 2013; Pereira &amp; Cotas, 2024)","plainTextFormattedCitation":"(Gomathi et al., 2013; Pereira &amp; Cotas, 2024)","previouslyFormattedCitation":"(Gomathi et al., 2013; Pereira &amp; Cotas, 2024)"},"properties":{"noteIndex":0},"schema":"https://github.com/citation-style-language/schema/raw/master/csl-citation.json"}</w:instrText>
      </w:r>
      <w:r w:rsidR="006308D7" w:rsidRPr="0049220A">
        <w:rPr>
          <w:rFonts w:ascii="Times New Roman" w:hAnsi="Times New Roman" w:cs="Times New Roman"/>
          <w:sz w:val="24"/>
          <w:szCs w:val="24"/>
        </w:rPr>
        <w:fldChar w:fldCharType="separate"/>
      </w:r>
      <w:r w:rsidR="00EA3896" w:rsidRPr="0049220A">
        <w:rPr>
          <w:rFonts w:ascii="Times New Roman" w:hAnsi="Times New Roman" w:cs="Times New Roman"/>
          <w:noProof/>
          <w:sz w:val="24"/>
          <w:szCs w:val="24"/>
        </w:rPr>
        <w:t>(Gomathi et al., 2013; Pereira &amp; Cotas, 2024)</w:t>
      </w:r>
      <w:r w:rsidR="006308D7" w:rsidRPr="0049220A">
        <w:rPr>
          <w:rFonts w:ascii="Times New Roman" w:hAnsi="Times New Roman" w:cs="Times New Roman"/>
          <w:sz w:val="24"/>
          <w:szCs w:val="24"/>
        </w:rPr>
        <w:fldChar w:fldCharType="end"/>
      </w:r>
      <w:r w:rsidR="00625BF3" w:rsidRPr="0049220A">
        <w:rPr>
          <w:rFonts w:ascii="Times New Roman" w:hAnsi="Times New Roman" w:cs="Times New Roman"/>
          <w:sz w:val="24"/>
          <w:szCs w:val="24"/>
        </w:rPr>
        <w:t xml:space="preserve">. </w:t>
      </w:r>
      <w:r w:rsidR="0065004C" w:rsidRPr="0049220A">
        <w:rPr>
          <w:rFonts w:ascii="Times New Roman" w:hAnsi="Times New Roman" w:cs="Times New Roman"/>
          <w:sz w:val="24"/>
          <w:szCs w:val="24"/>
        </w:rPr>
        <w:t>They have long been utilized as natural sources of various substances used in pharmaceuticals, fragrances, food colorants, and flavoring agents in different regions of the world</w:t>
      </w:r>
      <w:r w:rsidR="00625BF3" w:rsidRPr="0049220A">
        <w:rPr>
          <w:rFonts w:ascii="Times New Roman" w:hAnsi="Times New Roman" w:cs="Times New Roman"/>
          <w:sz w:val="24"/>
          <w:szCs w:val="24"/>
        </w:rPr>
        <w:t xml:space="preserve">. </w:t>
      </w:r>
      <w:r w:rsidR="0065004C" w:rsidRPr="0049220A">
        <w:rPr>
          <w:rFonts w:ascii="Times New Roman" w:hAnsi="Times New Roman" w:cs="Times New Roman"/>
          <w:sz w:val="24"/>
          <w:szCs w:val="24"/>
        </w:rPr>
        <w:t xml:space="preserve">These marine algae are rich in phytochemicals, or secondary metabolites, which exhibit therapeutic potential through their individual, combined, or synergistic effects in promoting health </w:t>
      </w:r>
      <w:r w:rsidR="004F6EF1" w:rsidRPr="0049220A">
        <w:rPr>
          <w:rFonts w:ascii="Times New Roman" w:hAnsi="Times New Roman" w:cs="Times New Roman"/>
          <w:sz w:val="24"/>
          <w:szCs w:val="24"/>
        </w:rPr>
        <w:fldChar w:fldCharType="begin" w:fldLock="1"/>
      </w:r>
      <w:r w:rsidR="004F6EF1" w:rsidRPr="0049220A">
        <w:rPr>
          <w:rFonts w:ascii="Times New Roman" w:hAnsi="Times New Roman" w:cs="Times New Roman"/>
          <w:sz w:val="24"/>
          <w:szCs w:val="24"/>
        </w:rPr>
        <w:instrText>ADDIN CSL_CITATION {"citationItems":[{"id":"ITEM-1","itemData":{"DOI":"10.1186/S43094-021-00208-4","ISSN":"2314-7253","abstract":"Medicinal plants are of great importance to researchers in the field of pharmacology as most pharmaceutical industries depend on medicinal plant for their raw materials. Hibiscus asper belongs to the family Malvaceae and is well known for its medicinal properties. The present study was carried out to evaluate the antioxidant effect and possible bioactive components present in the aqueous methanol fraction of Hibiscus asper leaves. The phytochemical of aqueous methanol fraction of Hibiscus asper leaves (AMFHAL) revealed the presence of flavonoids, tannin, phenols, saponins, alkaloids, glycosides, terpenoids, and steroids. The GC-MS analysis revealed the presence of twenty-three bioactive compounds which include 9,12,15-octadecatrien-1-ol, n-Hexadecanoic acid, octadecatrienol acid, methyl palmitate, and phytol. The phytochemical and GC-MS profiling of aqueous methanol fraction of Hibiscus asper leaves revealed the presence of bioactive compounds with important medicinal properties. Hence, the presence of these phytochemicals could be responsible for the therapeutic effects of the plant.","author":[{"dropping-particle":"","family":"Olivia","given":"Njoku Ugochi","non-dropping-particle":"","parse-names":false,"suffix":""},{"dropping-particle":"","family":"Goodness","given":"Umeh Chinenyenwa","non-dropping-particle":"","parse-names":false,"suffix":""},{"dropping-particle":"","family":"Obinna","given":"Ogugofor Martins","non-dropping-particle":"","parse-names":false,"suffix":""}],"container-title":"Future Journal of Pharmaceutical Sciences","id":"ITEM-1","issue":"1","issued":{"date-parts":[["2021","3","4"]]},"page":"1-5","publisher":"SpringerOpen","title":"Phytochemical profiling and GC-MS analysis of aqueous methanol fraction of Hibiscus asper leaves","type":"article-journal","volume":"7"},"uris":["http://www.mendeley.com/documents/?uuid=8646de97-53b9-3847-9ce3-0e4cd4c7ce9f"]}],"mendeley":{"formattedCitation":"(Olivia et al., 2021)","plainTextFormattedCitation":"(Olivia et al., 2021)","previouslyFormattedCitation":"(Olivia et al., 2021)"},"properties":{"noteIndex":0},"schema":"https://github.com/citation-style-language/schema/raw/master/csl-citation.json"}</w:instrText>
      </w:r>
      <w:r w:rsidR="004F6EF1" w:rsidRPr="0049220A">
        <w:rPr>
          <w:rFonts w:ascii="Times New Roman" w:hAnsi="Times New Roman" w:cs="Times New Roman"/>
          <w:sz w:val="24"/>
          <w:szCs w:val="24"/>
        </w:rPr>
        <w:fldChar w:fldCharType="separate"/>
      </w:r>
      <w:r w:rsidR="004F6EF1" w:rsidRPr="0049220A">
        <w:rPr>
          <w:rFonts w:ascii="Times New Roman" w:hAnsi="Times New Roman" w:cs="Times New Roman"/>
          <w:noProof/>
          <w:sz w:val="24"/>
          <w:szCs w:val="24"/>
        </w:rPr>
        <w:t>(Olivia et al., 2021)</w:t>
      </w:r>
      <w:r w:rsidR="004F6EF1" w:rsidRPr="0049220A">
        <w:rPr>
          <w:rFonts w:ascii="Times New Roman" w:hAnsi="Times New Roman" w:cs="Times New Roman"/>
          <w:sz w:val="24"/>
          <w:szCs w:val="24"/>
        </w:rPr>
        <w:fldChar w:fldCharType="end"/>
      </w:r>
      <w:r w:rsidR="00625BF3" w:rsidRPr="0049220A">
        <w:rPr>
          <w:rFonts w:ascii="Times New Roman" w:hAnsi="Times New Roman" w:cs="Times New Roman"/>
          <w:sz w:val="24"/>
          <w:szCs w:val="24"/>
        </w:rPr>
        <w:t xml:space="preserve">. </w:t>
      </w:r>
      <w:r w:rsidR="0065004C" w:rsidRPr="0049220A">
        <w:rPr>
          <w:rFonts w:ascii="Times New Roman" w:hAnsi="Times New Roman" w:cs="Times New Roman"/>
          <w:sz w:val="24"/>
          <w:szCs w:val="24"/>
        </w:rPr>
        <w:t xml:space="preserve">The discovery of new drugs often begins with identifying biologically active components from natural sources. Therefore, to scientifically validate traditional medicinal uses and to identify potential lead molecules for pharmaceutical development, it is essential to characterize the active constituents present in medicinal plants and seaweeds </w:t>
      </w:r>
      <w:r w:rsidR="004F6EF1" w:rsidRPr="0049220A">
        <w:rPr>
          <w:rFonts w:ascii="Times New Roman" w:hAnsi="Times New Roman" w:cs="Times New Roman"/>
          <w:sz w:val="24"/>
          <w:szCs w:val="24"/>
        </w:rPr>
        <w:fldChar w:fldCharType="begin" w:fldLock="1"/>
      </w:r>
      <w:r w:rsidR="00F43804" w:rsidRPr="0049220A">
        <w:rPr>
          <w:rFonts w:ascii="Times New Roman" w:hAnsi="Times New Roman" w:cs="Times New Roman"/>
          <w:sz w:val="24"/>
          <w:szCs w:val="24"/>
        </w:rPr>
        <w:instrText>ADDIN CSL_CITATION {"citationItems":[{"id":"ITEM-1","itemData":{"DOI":"10.15806/J.ISSN.2311-8571.2015.0018","ISSN":"25892894","abstract":"Evidence based validation of the ethno-pharmacological claims on traditional medicine (TM) is the need of the day for its globalization and reinforcement. Combining the unique features of identifying biomarkers that are highly conserved across species, this can offer an innovative approach to biomarker-driven drug discovery and development. TMs are an integral component of alternative health care systems. India has a rich wealth of TMs and the potential to accept the challenge to meet the global demand for them. Ayurveda, Yoga, Unani, Siddha and Homeopathy (AYUSH) medicine are the major healthcare systems in Indian Traditional Medicine. The plant species mentioned in the ancient texts of these systems may be explored with the modern scientific approaches for better leads in the healthcare. TM is the best sources of chemical diversity for finding new drugs and leads. Authentication and scientific validation of medicinal plant is a fundamental requirement of industry and other organizations dealing with herbal drugs. Quality control (QC) of botanicals, validated processes of manufacturing, customer awareness and post marketing surveillance are the key points, which could ensure the quality, safety and efficacy of TM. For globalization of TM, there is a need for harmonization with respect to its chemical and metabolite profiling, standardization, QC, scientific validation, documentation and regulatory aspects of TM. Therefore, the utmost attention is necessary for the promotion and development of TM through global collaboration and co-ordination by national and international programme.","author":[{"dropping-particle":"","family":"Mukherjee","given":"Pulok","non-dropping-particle":"","parse-names":false,"suffix":""},{"dropping-particle":"","family":"Harwansh","given":"Ranjit","non-dropping-particle":"","parse-names":false,"suffix":""},{"dropping-particle":"","family":"Bahadur","given":"Shiv","non-dropping-particle":"","parse-names":false,"suffix":""},{"dropping-particle":"","family":"Banerjee","given":"Subhadip","non-dropping-particle":"","parse-names":false,"suffix":""},{"dropping-particle":"","family":"Kar","given":"Amit","non-dropping-particle":"","parse-names":false,"suffix":""}],"container-title":"World Journal of Traditional Chinese Medicine","id":"ITEM-1","issue":"1","issued":{"date-parts":[["2016","1","1"]]},"page":"48-61","publisher":"Wolters Kluwer Medknow Publications","title":"Evidence based validation of Indian traditional medicine - Way forward","type":"article-journal","volume":"2"},"uris":["http://www.mendeley.com/documents/?uuid=953cbacb-9988-310e-b27c-1b6b86df1139"]},{"id":"ITEM-2","itemData":{"DOI":"10.3390/DDC3010011","ISSN":"2813-2998","abstract":"For thousands of years, nature has been a source of medical substances, and an astounding numeral of contemporary remedies have been identified from natural origins. Plants have long been used as folk herbal medicines to treat various disorders, and their different natural products have inspired the design, discovery, and development of new drugs. With the invention of recent molecular targets based on proteins, there is a growing need for fresh chemical diversification in screening. Natural products will play a vital part in supplying this need via the continuous exploration of global biodiversity, the majority of which remains unexplored. Even though drug discovery from medicinal plants remains an important source of novel therapeutic leads, various hurdles exist, including identifying and executing suitable high-throughput screening bioassays, scaling up the supply of bioactive molecules, and acquiring plant materials. Investigating these natural resources takes multi-disciplinary, nationwide, and global partnerships in design, synthesis, discovery, and drug development techniques. This review article discusses current advancements and future approaches for discovering natural items such as health- and wellness-promoting remedies. It also summarizes strategies to unify the therapeutic use of plant-derived natural products worldwide to support future drug discoveries derived from plant sources.","author":[{"dropping-particle":"","family":"Sezer","given":"Fatma","non-dropping-particle":"","parse-names":false,"suffix":""},{"dropping-particle":"","family":"Deniz","given":"Senol","non-dropping-particle":"","parse-names":false,"suffix":""},{"dropping-particle":"","family":"Sevim","given":"Duygu","non-dropping-particle":"","parse-names":false,"suffix":""},{"dropping-particle":"","family":"Chaachouay","given":"Noureddine","non-dropping-particle":"","parse-names":false,"suffix":""},{"dropping-particle":"","family":"Zidane","given":"Lahcen","non-dropping-particle":"","parse-names":false,"suffix":""}],"container-title":"Drugs and Drug Candidates","id":"ITEM-2","issue":"1","issued":{"date-parts":[["2024","2","19"]]},"page":"184-207","publisher":"Multidisciplinary Digital Publishing Institute","title":"Plant-Derived Natural Products: A Source for Drug Discovery and Development","type":"article-journal","volume":"3"},"uris":["http://www.mendeley.com/documents/?uuid=5b1832b2-8dad-3128-a816-5d0ca92a9251"]}],"mendeley":{"formattedCitation":"(Mukherjee et al., 2016; Sezer et al., 2024)","plainTextFormattedCitation":"(Mukherjee et al., 2016; Sezer et al., 2024)","previouslyFormattedCitation":"(Mukherjee et al., 2016; Sezer et al., 2024)"},"properties":{"noteIndex":0},"schema":"https://github.com/citation-style-language/schema/raw/master/csl-citation.json"}</w:instrText>
      </w:r>
      <w:r w:rsidR="004F6EF1" w:rsidRPr="0049220A">
        <w:rPr>
          <w:rFonts w:ascii="Times New Roman" w:hAnsi="Times New Roman" w:cs="Times New Roman"/>
          <w:sz w:val="24"/>
          <w:szCs w:val="24"/>
        </w:rPr>
        <w:fldChar w:fldCharType="separate"/>
      </w:r>
      <w:r w:rsidR="004F6EF1" w:rsidRPr="0049220A">
        <w:rPr>
          <w:rFonts w:ascii="Times New Roman" w:hAnsi="Times New Roman" w:cs="Times New Roman"/>
          <w:noProof/>
          <w:sz w:val="24"/>
          <w:szCs w:val="24"/>
        </w:rPr>
        <w:t>(Mukherjee et al., 2016; Sezer et al., 2024)</w:t>
      </w:r>
      <w:r w:rsidR="004F6EF1" w:rsidRPr="0049220A">
        <w:rPr>
          <w:rFonts w:ascii="Times New Roman" w:hAnsi="Times New Roman" w:cs="Times New Roman"/>
          <w:sz w:val="24"/>
          <w:szCs w:val="24"/>
        </w:rPr>
        <w:fldChar w:fldCharType="end"/>
      </w:r>
      <w:r w:rsidR="00EE4FA6" w:rsidRPr="0049220A">
        <w:rPr>
          <w:rFonts w:ascii="Times New Roman" w:hAnsi="Times New Roman" w:cs="Times New Roman"/>
          <w:sz w:val="24"/>
          <w:szCs w:val="24"/>
        </w:rPr>
        <w:t xml:space="preserve">. </w:t>
      </w:r>
      <w:r w:rsidR="0065004C" w:rsidRPr="0049220A">
        <w:rPr>
          <w:rFonts w:ascii="Times New Roman" w:hAnsi="Times New Roman" w:cs="Times New Roman"/>
          <w:sz w:val="24"/>
          <w:szCs w:val="24"/>
        </w:rPr>
        <w:t xml:space="preserve"> </w:t>
      </w:r>
    </w:p>
    <w:p w14:paraId="467F9E24" w14:textId="77777777" w:rsidR="00FC19D7" w:rsidRPr="0049220A" w:rsidRDefault="00B34B56" w:rsidP="00F10DF8">
      <w:pPr>
        <w:ind w:firstLine="720"/>
        <w:jc w:val="both"/>
        <w:rPr>
          <w:rFonts w:ascii="Times New Roman" w:hAnsi="Times New Roman" w:cs="Times New Roman"/>
          <w:iCs/>
          <w:sz w:val="24"/>
          <w:szCs w:val="24"/>
        </w:rPr>
      </w:pPr>
      <w:r w:rsidRPr="0049220A">
        <w:rPr>
          <w:rFonts w:ascii="Times New Roman" w:hAnsi="Times New Roman" w:cs="Times New Roman"/>
          <w:i/>
          <w:iCs/>
          <w:sz w:val="24"/>
          <w:szCs w:val="24"/>
        </w:rPr>
        <w:t xml:space="preserve">A. </w:t>
      </w:r>
      <w:r w:rsidR="00FC19D7" w:rsidRPr="0049220A">
        <w:rPr>
          <w:rFonts w:ascii="Times New Roman" w:hAnsi="Times New Roman" w:cs="Times New Roman"/>
          <w:i/>
          <w:iCs/>
          <w:sz w:val="24"/>
          <w:szCs w:val="24"/>
        </w:rPr>
        <w:t>nayadiformis</w:t>
      </w:r>
      <w:r w:rsidR="00852972" w:rsidRPr="0049220A">
        <w:rPr>
          <w:rFonts w:ascii="Times New Roman" w:hAnsi="Times New Roman" w:cs="Times New Roman"/>
          <w:iCs/>
          <w:sz w:val="24"/>
          <w:szCs w:val="24"/>
        </w:rPr>
        <w:t xml:space="preserve"> is a</w:t>
      </w:r>
      <w:r w:rsidR="00FC19D7" w:rsidRPr="0049220A">
        <w:rPr>
          <w:rFonts w:ascii="Times New Roman" w:hAnsi="Times New Roman" w:cs="Times New Roman"/>
          <w:iCs/>
          <w:sz w:val="24"/>
          <w:szCs w:val="24"/>
        </w:rPr>
        <w:t xml:space="preserve"> </w:t>
      </w:r>
      <w:r w:rsidR="00FC19D7" w:rsidRPr="0049220A">
        <w:rPr>
          <w:rFonts w:ascii="Times New Roman" w:hAnsi="Times New Roman" w:cs="Times New Roman"/>
          <w:bCs/>
          <w:iCs/>
          <w:sz w:val="24"/>
          <w:szCs w:val="24"/>
        </w:rPr>
        <w:t>red marine macroalgae</w:t>
      </w:r>
      <w:r w:rsidR="00FC19D7" w:rsidRPr="0049220A">
        <w:rPr>
          <w:rFonts w:ascii="Times New Roman" w:hAnsi="Times New Roman" w:cs="Times New Roman"/>
          <w:iCs/>
          <w:sz w:val="24"/>
          <w:szCs w:val="24"/>
        </w:rPr>
        <w:t xml:space="preserve"> belonging to the family Rhodomelaceae under the division Rhodophyta</w:t>
      </w:r>
      <w:r w:rsidR="00D8758A" w:rsidRPr="0049220A">
        <w:rPr>
          <w:rFonts w:ascii="Times New Roman" w:hAnsi="Times New Roman" w:cs="Times New Roman"/>
          <w:iCs/>
          <w:sz w:val="24"/>
          <w:szCs w:val="24"/>
        </w:rPr>
        <w:t xml:space="preserve"> </w:t>
      </w:r>
      <w:r w:rsidR="00D8758A" w:rsidRPr="0049220A">
        <w:rPr>
          <w:rFonts w:ascii="Times New Roman" w:hAnsi="Times New Roman" w:cs="Times New Roman"/>
          <w:iCs/>
          <w:sz w:val="24"/>
          <w:szCs w:val="24"/>
        </w:rPr>
        <w:fldChar w:fldCharType="begin" w:fldLock="1"/>
      </w:r>
      <w:r w:rsidR="00EA3896" w:rsidRPr="0049220A">
        <w:rPr>
          <w:rFonts w:ascii="Times New Roman" w:hAnsi="Times New Roman" w:cs="Times New Roman"/>
          <w:iCs/>
          <w:sz w:val="24"/>
          <w:szCs w:val="24"/>
        </w:rPr>
        <w:instrText>ADDIN CSL_CITATION {"citationItems":[{"id":"ITEM-1","itemData":{"DOI":"10.2216/I0031-8884-41-5-523.1","ISSN":"00318884","abstract":"Acanthophora nayadiformis is a perennial species of red alga that overwinters by means of a rhizomatous prostrate system; both reproductive and vegetative plants are also able to spread by means of specialized vegetative propagules that have never been reported in other Acanthophora species. A detailed study of thallus morphology has highlighted four kinds of primordia in this species, distinct in shape, size and origin, that develop into as many different types of branches. Thallus growth is at first monopodial, shifting to ramisympodial in most plants. Even the morphological variation observed among tetrasporiferous branches is caused by the type and development of their parent primordia, which confirms the extreme inadequacy of this feature for taxonomic or diagnostic use at species level.","author":[{"dropping-particle":"","family":"Cecere","given":"Ester","non-dropping-particle":"","parse-names":false,"suffix":""},{"dropping-particle":"","family":"Perrone","given":"Cesira","non-dropping-particle":"","parse-names":false,"suffix":""}],"container-title":"Phycologia","id":"ITEM-1","issue":"5","issued":{"date-parts":[["2002"]]},"page":"523-532","publisher":"International Phycological Society","title":"Morphology of Acanthophora nayadiformis (Ceramiales, Rhodophyta)","type":"article-journal","volume":"41"},"uris":["http://www.mendeley.com/documents/?uuid=eaeffb7e-bfdf-3502-b244-a7cb2d5fd932"]}],"mendeley":{"formattedCitation":"(Cecere &amp; Perrone, 2002)","plainTextFormattedCitation":"(Cecere &amp; Perrone, 2002)","previouslyFormattedCitation":"(Cecere &amp; Perrone, 2002)"},"properties":{"noteIndex":0},"schema":"https://github.com/citation-style-language/schema/raw/master/csl-citation.json"}</w:instrText>
      </w:r>
      <w:r w:rsidR="00D8758A" w:rsidRPr="0049220A">
        <w:rPr>
          <w:rFonts w:ascii="Times New Roman" w:hAnsi="Times New Roman" w:cs="Times New Roman"/>
          <w:iCs/>
          <w:sz w:val="24"/>
          <w:szCs w:val="24"/>
        </w:rPr>
        <w:fldChar w:fldCharType="separate"/>
      </w:r>
      <w:r w:rsidR="00EA3896" w:rsidRPr="0049220A">
        <w:rPr>
          <w:rFonts w:ascii="Times New Roman" w:hAnsi="Times New Roman" w:cs="Times New Roman"/>
          <w:iCs/>
          <w:noProof/>
          <w:sz w:val="24"/>
          <w:szCs w:val="24"/>
        </w:rPr>
        <w:t>(Cecere &amp; Perrone, 2002)</w:t>
      </w:r>
      <w:r w:rsidR="00D8758A" w:rsidRPr="0049220A">
        <w:rPr>
          <w:rFonts w:ascii="Times New Roman" w:hAnsi="Times New Roman" w:cs="Times New Roman"/>
          <w:iCs/>
          <w:sz w:val="24"/>
          <w:szCs w:val="24"/>
        </w:rPr>
        <w:fldChar w:fldCharType="end"/>
      </w:r>
      <w:r w:rsidR="00852972" w:rsidRPr="0049220A">
        <w:rPr>
          <w:rFonts w:ascii="Times New Roman" w:hAnsi="Times New Roman" w:cs="Times New Roman"/>
          <w:iCs/>
          <w:sz w:val="24"/>
          <w:szCs w:val="24"/>
        </w:rPr>
        <w:t>. It is usually</w:t>
      </w:r>
      <w:r w:rsidR="00FC19D7" w:rsidRPr="0049220A">
        <w:rPr>
          <w:rFonts w:ascii="Times New Roman" w:hAnsi="Times New Roman" w:cs="Times New Roman"/>
          <w:iCs/>
          <w:sz w:val="24"/>
          <w:szCs w:val="24"/>
        </w:rPr>
        <w:t xml:space="preserve"> found in </w:t>
      </w:r>
      <w:r w:rsidR="00FC19D7" w:rsidRPr="0049220A">
        <w:rPr>
          <w:rFonts w:ascii="Times New Roman" w:hAnsi="Times New Roman" w:cs="Times New Roman"/>
          <w:bCs/>
          <w:iCs/>
          <w:sz w:val="24"/>
          <w:szCs w:val="24"/>
        </w:rPr>
        <w:t>tropical and subtropical waters</w:t>
      </w:r>
      <w:r w:rsidR="00FC19D7" w:rsidRPr="0049220A">
        <w:rPr>
          <w:rFonts w:ascii="Times New Roman" w:hAnsi="Times New Roman" w:cs="Times New Roman"/>
          <w:iCs/>
          <w:sz w:val="24"/>
          <w:szCs w:val="24"/>
        </w:rPr>
        <w:t xml:space="preserve">, particularly in the </w:t>
      </w:r>
      <w:r w:rsidR="00FC19D7" w:rsidRPr="0049220A">
        <w:rPr>
          <w:rFonts w:ascii="Times New Roman" w:hAnsi="Times New Roman" w:cs="Times New Roman"/>
          <w:bCs/>
          <w:iCs/>
          <w:sz w:val="24"/>
          <w:szCs w:val="24"/>
        </w:rPr>
        <w:t>Red Sea, Indian Ocean, and parts of the Indo-Pacific region</w:t>
      </w:r>
      <w:r w:rsidR="00B4653B" w:rsidRPr="0049220A">
        <w:rPr>
          <w:rFonts w:ascii="Times New Roman" w:hAnsi="Times New Roman" w:cs="Times New Roman"/>
          <w:bCs/>
          <w:iCs/>
          <w:sz w:val="24"/>
          <w:szCs w:val="24"/>
        </w:rPr>
        <w:t xml:space="preserve"> </w:t>
      </w:r>
      <w:r w:rsidR="00B4653B" w:rsidRPr="0049220A">
        <w:rPr>
          <w:rFonts w:ascii="Times New Roman" w:hAnsi="Times New Roman" w:cs="Times New Roman"/>
          <w:bCs/>
          <w:iCs/>
          <w:sz w:val="24"/>
          <w:szCs w:val="24"/>
        </w:rPr>
        <w:fldChar w:fldCharType="begin" w:fldLock="1"/>
      </w:r>
      <w:r w:rsidR="00B4653B" w:rsidRPr="0049220A">
        <w:rPr>
          <w:rFonts w:ascii="Times New Roman" w:hAnsi="Times New Roman" w:cs="Times New Roman"/>
          <w:bCs/>
          <w:iCs/>
          <w:sz w:val="24"/>
          <w:szCs w:val="24"/>
        </w:rPr>
        <w:instrText>ADDIN CSL_CITATION {"citationItems":[{"id":"ITEM-1","itemData":{"DOI":"10.3389/FMARS.2022.957290/XML","ISSN":"22967745","abstract":"The role that seaweeds play as primary producers and ecosystems engineers in marine coastal ecosystems is widely acknowledged. Seaweeds, however, are also important drivers in the development of the blue bioeconomy due to their vast diversity of unique chemicals with a broad range of industrial and biotechnological applications. In tropical regions, seaweed production has been focused on a few species only, because of their hydrocolloids used in the food industry. There is a strong need to identify new applications of red seaweed species in other sectors such as aquaculture. Therefore, to diversify the culture of red seaweeds, more tropical species need to be investigated for their chemical composition and potential application in aquaculture, and then, to develop a method for a sustainable cultivation of new seaweed candidates and enhance their economic potential. Based on this context, we analyze the potential value of the red edible seaweed Acanthophora spp., an under-valued seaweed species which is naturally abundant in tropical countries, and Kappaphycus spp., a commercially valuable seaweed commonly used for polysaccharide extraction. The vast chemical diversity of seaweeds (polysaccharides, phytohormones, amino acids, and pigments) has led to research on a wide range of applications in aquaculture, including pathogen control, immunostimulant, antioxidant, bioremediation, feed, UV protectants, increase in seafood shelf life, animal colorant, and growth regulator for microalga culture. This review hopes to stimulate the interest among seaweed researchers to investigate other local seaweed species and seek greater added value of their biomass and chemical compounds and their applications in the aquaculture sector. Additionally, this information will help stakeholders to benefit from these two red seaweeds by contributing to the diversification of the blue bioeconomy in tropical countries.","author":[{"dropping-particle":"","family":"Guillén","given":"Paúl O.","non-dropping-particle":"","parse-names":false,"suffix":""},{"dropping-particle":"","family":"Motti","given":"Pierfrancesco","non-dropping-particle":"","parse-names":false,"suffix":""},{"dropping-particle":"","family":"Mangelinckx","given":"Sven","non-dropping-particle":"","parse-names":false,"suffix":""},{"dropping-particle":"","family":"Clerck","given":"Olivier","non-dropping-particle":"De","parse-names":false,"suffix":""},{"dropping-particle":"","family":"Bossier","given":"Peter","non-dropping-particle":"","parse-names":false,"suffix":""},{"dropping-particle":"","family":"Hende","given":"Sofie","non-dropping-particle":"Van Den","parse-names":false,"suffix":""}],"container-title":"Frontiers in Marine Science","id":"ITEM-1","issued":{"date-parts":[["2022","10","27"]]},"page":"957290","publisher":"Frontiers Media S.A.","title":"Valorization of the chemical diversity of the tropical red seaweeds Acanthophora and Kappaphycus and their applications in aquaculture: A review","type":"article-journal","volume":"9"},"uris":["http://www.mendeley.com/documents/?uuid=e07e6c60-8c47-38ce-b04f-79f3ff36797f"]}],"mendeley":{"formattedCitation":"(Guillén et al., 2022)","plainTextFormattedCitation":"(Guillén et al., 2022)","previouslyFormattedCitation":"(Guillén et al., 2022)"},"properties":{"noteIndex":0},"schema":"https://github.com/citation-style-language/schema/raw/master/csl-citation.json"}</w:instrText>
      </w:r>
      <w:r w:rsidR="00B4653B" w:rsidRPr="0049220A">
        <w:rPr>
          <w:rFonts w:ascii="Times New Roman" w:hAnsi="Times New Roman" w:cs="Times New Roman"/>
          <w:bCs/>
          <w:iCs/>
          <w:sz w:val="24"/>
          <w:szCs w:val="24"/>
        </w:rPr>
        <w:fldChar w:fldCharType="separate"/>
      </w:r>
      <w:r w:rsidR="00B4653B" w:rsidRPr="0049220A">
        <w:rPr>
          <w:rFonts w:ascii="Times New Roman" w:hAnsi="Times New Roman" w:cs="Times New Roman"/>
          <w:bCs/>
          <w:iCs/>
          <w:noProof/>
          <w:sz w:val="24"/>
          <w:szCs w:val="24"/>
        </w:rPr>
        <w:t>(Guillén et al., 2022)</w:t>
      </w:r>
      <w:r w:rsidR="00B4653B" w:rsidRPr="0049220A">
        <w:rPr>
          <w:rFonts w:ascii="Times New Roman" w:hAnsi="Times New Roman" w:cs="Times New Roman"/>
          <w:bCs/>
          <w:iCs/>
          <w:sz w:val="24"/>
          <w:szCs w:val="24"/>
        </w:rPr>
        <w:fldChar w:fldCharType="end"/>
      </w:r>
      <w:r w:rsidR="00FC19D7" w:rsidRPr="0049220A">
        <w:rPr>
          <w:rFonts w:ascii="Times New Roman" w:hAnsi="Times New Roman" w:cs="Times New Roman"/>
          <w:iCs/>
          <w:sz w:val="24"/>
          <w:szCs w:val="24"/>
        </w:rPr>
        <w:t>.</w:t>
      </w:r>
      <w:r w:rsidR="00B4653B" w:rsidRPr="0049220A">
        <w:rPr>
          <w:rFonts w:ascii="Times New Roman" w:hAnsi="Times New Roman" w:cs="Times New Roman"/>
          <w:iCs/>
          <w:sz w:val="24"/>
          <w:szCs w:val="24"/>
        </w:rPr>
        <w:t xml:space="preserve"> It </w:t>
      </w:r>
      <w:r w:rsidR="00FC19D7" w:rsidRPr="0049220A">
        <w:rPr>
          <w:rFonts w:ascii="Times New Roman" w:hAnsi="Times New Roman" w:cs="Times New Roman"/>
          <w:iCs/>
          <w:sz w:val="24"/>
          <w:szCs w:val="24"/>
        </w:rPr>
        <w:t xml:space="preserve">exhibits </w:t>
      </w:r>
      <w:r w:rsidR="00FC19D7" w:rsidRPr="0049220A">
        <w:rPr>
          <w:rFonts w:ascii="Times New Roman" w:hAnsi="Times New Roman" w:cs="Times New Roman"/>
          <w:bCs/>
          <w:iCs/>
          <w:sz w:val="24"/>
          <w:szCs w:val="24"/>
        </w:rPr>
        <w:t>erect, cylindrical, and cartilaginous thalli</w:t>
      </w:r>
      <w:r w:rsidR="00FC19D7" w:rsidRPr="0049220A">
        <w:rPr>
          <w:rFonts w:ascii="Times New Roman" w:hAnsi="Times New Roman" w:cs="Times New Roman"/>
          <w:iCs/>
          <w:sz w:val="24"/>
          <w:szCs w:val="24"/>
        </w:rPr>
        <w:t xml:space="preserve"> that are usually dark red to purplish in color. The branches are irregularly arranged, often with spiny or thorn-like lateral proliferations, which give the genus Acanthophora (meaning “spiny bearer”) its name</w:t>
      </w:r>
      <w:r w:rsidR="00B4653B" w:rsidRPr="0049220A">
        <w:rPr>
          <w:rFonts w:ascii="Times New Roman" w:hAnsi="Times New Roman" w:cs="Times New Roman"/>
          <w:iCs/>
          <w:sz w:val="24"/>
          <w:szCs w:val="24"/>
        </w:rPr>
        <w:t xml:space="preserve"> </w:t>
      </w:r>
      <w:r w:rsidR="00B4653B" w:rsidRPr="0049220A">
        <w:rPr>
          <w:rFonts w:ascii="Times New Roman" w:hAnsi="Times New Roman" w:cs="Times New Roman"/>
          <w:iCs/>
          <w:sz w:val="24"/>
          <w:szCs w:val="24"/>
        </w:rPr>
        <w:fldChar w:fldCharType="begin" w:fldLock="1"/>
      </w:r>
      <w:r w:rsidR="006E13DA" w:rsidRPr="0049220A">
        <w:rPr>
          <w:rFonts w:ascii="Times New Roman" w:hAnsi="Times New Roman" w:cs="Times New Roman"/>
          <w:iCs/>
          <w:sz w:val="24"/>
          <w:szCs w:val="24"/>
        </w:rPr>
        <w:instrText>ADDIN CSL_CITATION {"citationItems":[{"id":"ITEM-1","itemData":{"DOI":"10.2216/04-45.1","author":[{"dropping-particle":"","family":"Perrone","given":"Cesira","non-dropping-particle":"","parse-names":false,"suffix":""},{"dropping-particle":"","family":"Cecere","given":"Ester","non-dropping-particle":"","parse-names":false,"suffix":""},{"dropping-particle":"","family":"Furnari","given":"Giovanni","non-dropping-particle":"","parse-names":false,"suffix":""}],"container-title":"Phycologia","id":"ITEM-1","issue":"1","issued":{"date-parts":[["2006"]]},"page":"37-43","title":"Growth pattern assessment in the genus Acanthophora (Rhodophyta, Ceramiales)","type":"article-journal","volume":"45"},"uris":["http://www.mendeley.com/documents/?uuid=671398bb-459c-3771-a881-852a51c4e5fb"]}],"mendeley":{"formattedCitation":"(Perrone et al., 2006)","plainTextFormattedCitation":"(Perrone et al., 2006)","previouslyFormattedCitation":"(Perrone et al., 2006)"},"properties":{"noteIndex":0},"schema":"https://github.com/citation-style-language/schema/raw/master/csl-citation.json"}</w:instrText>
      </w:r>
      <w:r w:rsidR="00B4653B" w:rsidRPr="0049220A">
        <w:rPr>
          <w:rFonts w:ascii="Times New Roman" w:hAnsi="Times New Roman" w:cs="Times New Roman"/>
          <w:iCs/>
          <w:sz w:val="24"/>
          <w:szCs w:val="24"/>
        </w:rPr>
        <w:fldChar w:fldCharType="separate"/>
      </w:r>
      <w:r w:rsidR="00B4653B" w:rsidRPr="0049220A">
        <w:rPr>
          <w:rFonts w:ascii="Times New Roman" w:hAnsi="Times New Roman" w:cs="Times New Roman"/>
          <w:iCs/>
          <w:noProof/>
          <w:sz w:val="24"/>
          <w:szCs w:val="24"/>
        </w:rPr>
        <w:t>(Perrone et al., 2006)</w:t>
      </w:r>
      <w:r w:rsidR="00B4653B" w:rsidRPr="0049220A">
        <w:rPr>
          <w:rFonts w:ascii="Times New Roman" w:hAnsi="Times New Roman" w:cs="Times New Roman"/>
          <w:iCs/>
          <w:sz w:val="24"/>
          <w:szCs w:val="24"/>
        </w:rPr>
        <w:fldChar w:fldCharType="end"/>
      </w:r>
      <w:r w:rsidR="00FC19D7" w:rsidRPr="0049220A">
        <w:rPr>
          <w:rFonts w:ascii="Times New Roman" w:hAnsi="Times New Roman" w:cs="Times New Roman"/>
          <w:iCs/>
          <w:sz w:val="24"/>
          <w:szCs w:val="24"/>
        </w:rPr>
        <w:t xml:space="preserve">. The thallus may reach up to </w:t>
      </w:r>
      <w:r w:rsidR="00FC19D7" w:rsidRPr="0049220A">
        <w:rPr>
          <w:rFonts w:ascii="Times New Roman" w:hAnsi="Times New Roman" w:cs="Times New Roman"/>
          <w:bCs/>
          <w:iCs/>
          <w:sz w:val="24"/>
          <w:szCs w:val="24"/>
        </w:rPr>
        <w:t>10–20 cm in height</w:t>
      </w:r>
      <w:r w:rsidR="00FC19D7" w:rsidRPr="0049220A">
        <w:rPr>
          <w:rFonts w:ascii="Times New Roman" w:hAnsi="Times New Roman" w:cs="Times New Roman"/>
          <w:iCs/>
          <w:sz w:val="24"/>
          <w:szCs w:val="24"/>
        </w:rPr>
        <w:t>, and its tough texture allows it to withstand wave action in shallow reef habitats.</w:t>
      </w:r>
      <w:r w:rsidR="00B4653B" w:rsidRPr="0049220A">
        <w:rPr>
          <w:rFonts w:ascii="Times New Roman" w:hAnsi="Times New Roman" w:cs="Times New Roman"/>
          <w:iCs/>
          <w:sz w:val="24"/>
          <w:szCs w:val="24"/>
        </w:rPr>
        <w:t xml:space="preserve"> </w:t>
      </w:r>
      <w:r w:rsidR="00FC19D7" w:rsidRPr="0049220A">
        <w:rPr>
          <w:rFonts w:ascii="Times New Roman" w:hAnsi="Times New Roman" w:cs="Times New Roman"/>
          <w:iCs/>
          <w:sz w:val="24"/>
          <w:szCs w:val="24"/>
        </w:rPr>
        <w:t xml:space="preserve">Biochemically, this species </w:t>
      </w:r>
      <w:r w:rsidR="00FC19D7" w:rsidRPr="0049220A">
        <w:rPr>
          <w:rFonts w:ascii="Times New Roman" w:hAnsi="Times New Roman" w:cs="Times New Roman"/>
          <w:iCs/>
          <w:sz w:val="24"/>
          <w:szCs w:val="24"/>
        </w:rPr>
        <w:lastRenderedPageBreak/>
        <w:t xml:space="preserve">is a known source of </w:t>
      </w:r>
      <w:r w:rsidR="00FC19D7" w:rsidRPr="0049220A">
        <w:rPr>
          <w:rFonts w:ascii="Times New Roman" w:hAnsi="Times New Roman" w:cs="Times New Roman"/>
          <w:bCs/>
          <w:iCs/>
          <w:sz w:val="24"/>
          <w:szCs w:val="24"/>
        </w:rPr>
        <w:t>secondary metabolites</w:t>
      </w:r>
      <w:r w:rsidR="00FC19D7" w:rsidRPr="0049220A">
        <w:rPr>
          <w:rFonts w:ascii="Times New Roman" w:hAnsi="Times New Roman" w:cs="Times New Roman"/>
          <w:iCs/>
          <w:sz w:val="24"/>
          <w:szCs w:val="24"/>
        </w:rPr>
        <w:t xml:space="preserve">, including halogenated compounds, terpenoids, fatty acids, and sterols, many of which possess </w:t>
      </w:r>
      <w:r w:rsidR="00FC19D7" w:rsidRPr="0049220A">
        <w:rPr>
          <w:rFonts w:ascii="Times New Roman" w:hAnsi="Times New Roman" w:cs="Times New Roman"/>
          <w:bCs/>
          <w:iCs/>
          <w:sz w:val="24"/>
          <w:szCs w:val="24"/>
        </w:rPr>
        <w:t>antibacterial, antifungal, antiviral, and antioxidant activities</w:t>
      </w:r>
      <w:r w:rsidR="00FC19D7" w:rsidRPr="0049220A">
        <w:rPr>
          <w:rFonts w:ascii="Times New Roman" w:hAnsi="Times New Roman" w:cs="Times New Roman"/>
          <w:iCs/>
          <w:sz w:val="24"/>
          <w:szCs w:val="24"/>
        </w:rPr>
        <w:t xml:space="preserve">. These properties make it a valuable candidate for </w:t>
      </w:r>
      <w:r w:rsidR="00FC19D7" w:rsidRPr="0049220A">
        <w:rPr>
          <w:rFonts w:ascii="Times New Roman" w:hAnsi="Times New Roman" w:cs="Times New Roman"/>
          <w:bCs/>
          <w:iCs/>
          <w:sz w:val="24"/>
          <w:szCs w:val="24"/>
        </w:rPr>
        <w:t>pharmaceutical, nutraceutical, and biotechnological applications</w:t>
      </w:r>
      <w:r w:rsidR="00FC19D7" w:rsidRPr="0049220A">
        <w:rPr>
          <w:rFonts w:ascii="Times New Roman" w:hAnsi="Times New Roman" w:cs="Times New Roman"/>
          <w:iCs/>
          <w:sz w:val="24"/>
          <w:szCs w:val="24"/>
        </w:rPr>
        <w:t>.</w:t>
      </w:r>
    </w:p>
    <w:p w14:paraId="28E2A79E" w14:textId="77777777" w:rsidR="001F05F7" w:rsidRPr="0049220A" w:rsidRDefault="0065004C" w:rsidP="00F10DF8">
      <w:pPr>
        <w:ind w:firstLine="720"/>
        <w:jc w:val="both"/>
        <w:rPr>
          <w:rFonts w:ascii="Times New Roman" w:hAnsi="Times New Roman" w:cs="Times New Roman"/>
          <w:sz w:val="24"/>
          <w:szCs w:val="24"/>
        </w:rPr>
      </w:pPr>
      <w:r w:rsidRPr="0049220A">
        <w:rPr>
          <w:rFonts w:ascii="Times New Roman" w:hAnsi="Times New Roman" w:cs="Times New Roman"/>
          <w:sz w:val="24"/>
          <w:szCs w:val="24"/>
        </w:rPr>
        <w:t>Screening plant extracts has become an effective strategy for discovering therapeutically active comp</w:t>
      </w:r>
      <w:r w:rsidR="008B0BD7" w:rsidRPr="0049220A">
        <w:rPr>
          <w:rFonts w:ascii="Times New Roman" w:hAnsi="Times New Roman" w:cs="Times New Roman"/>
          <w:sz w:val="24"/>
          <w:szCs w:val="24"/>
        </w:rPr>
        <w:t>ounds across different species. GC–MS</w:t>
      </w:r>
      <w:r w:rsidRPr="0049220A">
        <w:rPr>
          <w:rFonts w:ascii="Times New Roman" w:hAnsi="Times New Roman" w:cs="Times New Roman"/>
          <w:sz w:val="24"/>
          <w:szCs w:val="24"/>
        </w:rPr>
        <w:t xml:space="preserve"> is a highly valuable analytical technique used to identify and characterize various phytochemicals present in plant extracts </w:t>
      </w:r>
      <w:r w:rsidR="00724B53" w:rsidRPr="0049220A">
        <w:rPr>
          <w:rFonts w:ascii="Times New Roman" w:hAnsi="Times New Roman" w:cs="Times New Roman"/>
          <w:sz w:val="24"/>
          <w:szCs w:val="24"/>
        </w:rPr>
        <w:fldChar w:fldCharType="begin" w:fldLock="1"/>
      </w:r>
      <w:r w:rsidR="00EA3896" w:rsidRPr="0049220A">
        <w:rPr>
          <w:rFonts w:ascii="Times New Roman" w:hAnsi="Times New Roman" w:cs="Times New Roman"/>
          <w:sz w:val="24"/>
          <w:szCs w:val="24"/>
        </w:rPr>
        <w:instrText>ADDIN CSL_CITATION {"citationItems":[{"id":"ITEM-1","itemData":{"DOI":"10.1016/J.HELIYON.2023.E16861","ISSN":"2405-8440","abstract":"Citrullus colocynthis (L.) (C. colocynthis), commonly known as Handal in Yemen and other Arabic countries, is a plant with a wide range of pharmacological properties. These properties are attributed to secondary metabolites, known as phytochemicals, present in the plant. In this study, the seed of C. colocynthis were extracted using dichloromethane, and the resulting oil extract was screened to identify active phytoconstituents using gas chromatography – Mass spectrometry (GC-MS). The gas chromatography – Mass spectrometry is used to identification of the phytoconstituents and the spectrum of unknown compounds were compared with the compounds stored in the National Institute of Standards and Technology Mass Spectral database (NIST) and WILEY library of GC-MS. A total of fifty five compounds appeared in GC-MS chromatogram, twenty-four major bioactive compounds were identified in the present study. The major components of the oil extract were found to be carotenes, phenols, esters, and steroids. From the GC-MS chromatogram of dichloromethane seeds oil extract, some of the identified components possess pharmacological actions as per information available in the literature. One of the major component identified in the C. colocynthis seed oil extract was isooctylphthalate (58%), which exhibit strong antimicrobials effect. Therefore, C. colocynthis is considered to be a natural source of isooctylphthalate. From the results, this study is the first to report the presence of various bioactive components of phytopharmaceutical importance in C. colocynthis.","author":[{"dropping-particle":"","family":"Thamer","given":"Faten Hameed","non-dropping-particle":"","parse-names":false,"suffix":""},{"dropping-particle":"","family":"Thamer","given":"Noah","non-dropping-particle":"","parse-names":false,"suffix":""}],"container-title":"Heliyon","id":"ITEM-1","issue":"6","issued":{"date-parts":[["2023","6","1"]]},"page":"e16861","publisher":"Elsevier","title":"Gas chromatography – Mass spectrometry (GC-MS) profiling reveals newly described bioactive compounds in Citrullus colocynthis (L.) seeds oil extracts","type":"article-journal","volume":"9"},"uris":["http://www.mendeley.com/documents/?uuid=f4648e0a-c96b-3a9a-bf38-d14ee158e9b1"]}],"mendeley":{"formattedCitation":"(Thamer &amp; Thamer, 2023)","plainTextFormattedCitation":"(Thamer &amp; Thamer, 2023)","previouslyFormattedCitation":"(Thamer &amp; Thamer, 2023)"},"properties":{"noteIndex":0},"schema":"https://github.com/citation-style-language/schema/raw/master/csl-citation.json"}</w:instrText>
      </w:r>
      <w:r w:rsidR="00724B53" w:rsidRPr="0049220A">
        <w:rPr>
          <w:rFonts w:ascii="Times New Roman" w:hAnsi="Times New Roman" w:cs="Times New Roman"/>
          <w:sz w:val="24"/>
          <w:szCs w:val="24"/>
        </w:rPr>
        <w:fldChar w:fldCharType="separate"/>
      </w:r>
      <w:r w:rsidR="00EA3896" w:rsidRPr="0049220A">
        <w:rPr>
          <w:rFonts w:ascii="Times New Roman" w:hAnsi="Times New Roman" w:cs="Times New Roman"/>
          <w:noProof/>
          <w:sz w:val="24"/>
          <w:szCs w:val="24"/>
        </w:rPr>
        <w:t>(Thamer &amp; Thamer, 2023)</w:t>
      </w:r>
      <w:r w:rsidR="00724B53" w:rsidRPr="0049220A">
        <w:rPr>
          <w:rFonts w:ascii="Times New Roman" w:hAnsi="Times New Roman" w:cs="Times New Roman"/>
          <w:sz w:val="24"/>
          <w:szCs w:val="24"/>
        </w:rPr>
        <w:fldChar w:fldCharType="end"/>
      </w:r>
      <w:r w:rsidR="00DD06D2" w:rsidRPr="0049220A">
        <w:rPr>
          <w:rFonts w:ascii="Times New Roman" w:hAnsi="Times New Roman" w:cs="Times New Roman"/>
          <w:sz w:val="24"/>
          <w:szCs w:val="24"/>
        </w:rPr>
        <w:t xml:space="preserve">. </w:t>
      </w:r>
      <w:r w:rsidRPr="0049220A">
        <w:rPr>
          <w:rFonts w:ascii="Times New Roman" w:hAnsi="Times New Roman" w:cs="Times New Roman"/>
          <w:sz w:val="24"/>
          <w:szCs w:val="24"/>
        </w:rPr>
        <w:t>This method offers excellent separation efficiency, providing precise and reliable chemical profiles. Additionally, GC–MS generates both qualitative and quantitative data, supported by comprehensive spectral databases, which enable the correlation between identified bioactive compounds and their pharmacological applications</w:t>
      </w:r>
      <w:r w:rsidR="00B34B56" w:rsidRPr="0049220A">
        <w:rPr>
          <w:rFonts w:ascii="Times New Roman" w:hAnsi="Times New Roman" w:cs="Times New Roman"/>
          <w:sz w:val="24"/>
          <w:szCs w:val="24"/>
        </w:rPr>
        <w:t xml:space="preserve"> </w:t>
      </w:r>
      <w:r w:rsidR="00B34B56" w:rsidRPr="0049220A">
        <w:rPr>
          <w:rFonts w:ascii="Times New Roman" w:hAnsi="Times New Roman" w:cs="Times New Roman"/>
          <w:sz w:val="24"/>
          <w:szCs w:val="24"/>
        </w:rPr>
        <w:fldChar w:fldCharType="begin" w:fldLock="1"/>
      </w:r>
      <w:r w:rsidR="00B34B56" w:rsidRPr="0049220A">
        <w:rPr>
          <w:rFonts w:ascii="Times New Roman" w:hAnsi="Times New Roman" w:cs="Times New Roman"/>
          <w:sz w:val="24"/>
          <w:szCs w:val="24"/>
        </w:rPr>
        <w:instrText>ADDIN CSL_CITATION {"citationItems":[{"id":"ITEM-1","itemData":{"DOI":"10.3390/MOLECULES26051447","ISSN":"1420-3049","PMID":"33800018","abstract":"Protium heptaphyllum (Aubl.) Marchand (PH) trees are endemic to the tropical region of South America, mostly Brazil. Antibacterial, antinociceptive, anti-inflammatory, anxiolytic, antidepressant and anti-hyperlipidemic/anti-hypercholesterolemic effects were reported for its resinous exudate Protiumheptaphyllum resin (PHR). This work aims to provide a qualitative and quantitative consistent chemical profiling of the major constituents of this resin and two extracts enriched in acid (acidic triterpene concentrated extract, ATCE) and neutral triterpenes (α and β-amyrin concentrated extract, AMCE). GC–MS/GC–FID was used for volatile terpene fraction, a validated GC–MS method was developed for quantification of neutral α and β-amyrin and HPLC–APCI HRMS2 was used for acidic triterpenes analysis. The chemical investigation reported 29 molecules, including 14 volatile terpenes, 6 neutral triterpenes and 11 acid triterpenes. The most abundant compounds were α-amyrin (251.28 g kg−1, 123.98 g kg−1 and 556.82 g kg−1 in PHR, ATCE and AMCE, respectively), β-amyrin (172.66 g kg−1, 95.39 g kg−1 and 385.58 g kg−1 in PHR, ATCE and AMCE, respectively), 3-oxo-tirucalla-7,24-dien-21-oic acid (80.64 g kg−1, 157.10 g kg−1 and 15.31 g kg−1 in PHR, ATCE and AMCE, respectively) and 3α-hydroxy-tirucalla-8,24-dien-21-oic acid (77.71 g kg−1, 130.40 g kg−1 and 11.64 g kg−1 in PHR, ATCE and AMCE, respectively). Results showed specific enrichment of acidic and neutral triterpenoids in the two respective extracts.","author":[{"dropping-particle":"","family":"Asteggiano","given":"Alberto","non-dropping-particle":"","parse-names":false,"suffix":""},{"dropping-particle":"","family":"Occhipinti","given":"Andrea","non-dropping-particle":"","parse-names":false,"suffix":""},{"dropping-particle":"","family":"Capuzzo","given":"Andrea","non-dropping-particle":"","parse-names":false,"suffix":""},{"dropping-particle":"","family":"Mecarelli","given":"Enrica","non-dropping-particle":"","parse-names":false,"suffix":""},{"dropping-particle":"","family":"Aigotti","given":"Riccardo","non-dropping-particle":"","parse-names":false,"suffix":""},{"dropping-particle":"","family":"Medana","given":"Claudio","non-dropping-particle":"","parse-names":false,"suffix":""}],"container-title":"Molecules","id":"ITEM-1","issue":"5","issued":{"date-parts":[["2021","3","7"]]},"page":"1447","publisher":"Multidisciplinary Digital Publishing Institute","title":"Quali–Quantitative Characterization of Volatile and Non-Volatile Compounds in Protium heptaphyllum (Aubl.) Marchand Resin by GC–MS Validated Method, GC–FID and HPLC–HRMS2","type":"article-journal","volume":"26"},"uris":["http://www.mendeley.com/documents/?uuid=93ff96d7-3063-3b7d-8f1a-a804eace8493"]}],"mendeley":{"formattedCitation":"(Asteggiano et al., 2021)","plainTextFormattedCitation":"(Asteggiano et al., 2021)","previouslyFormattedCitation":"(Asteggiano et al., 2021)"},"properties":{"noteIndex":0},"schema":"https://github.com/citation-style-language/schema/raw/master/csl-citation.json"}</w:instrText>
      </w:r>
      <w:r w:rsidR="00B34B56" w:rsidRPr="0049220A">
        <w:rPr>
          <w:rFonts w:ascii="Times New Roman" w:hAnsi="Times New Roman" w:cs="Times New Roman"/>
          <w:sz w:val="24"/>
          <w:szCs w:val="24"/>
        </w:rPr>
        <w:fldChar w:fldCharType="separate"/>
      </w:r>
      <w:r w:rsidR="00B34B56" w:rsidRPr="0049220A">
        <w:rPr>
          <w:rFonts w:ascii="Times New Roman" w:hAnsi="Times New Roman" w:cs="Times New Roman"/>
          <w:noProof/>
          <w:sz w:val="24"/>
          <w:szCs w:val="24"/>
        </w:rPr>
        <w:t>(Asteggiano et al., 2021)</w:t>
      </w:r>
      <w:r w:rsidR="00B34B56" w:rsidRPr="0049220A">
        <w:rPr>
          <w:rFonts w:ascii="Times New Roman" w:hAnsi="Times New Roman" w:cs="Times New Roman"/>
          <w:sz w:val="24"/>
          <w:szCs w:val="24"/>
        </w:rPr>
        <w:fldChar w:fldCharType="end"/>
      </w:r>
      <w:r w:rsidR="00DD06D2" w:rsidRPr="0049220A">
        <w:rPr>
          <w:rFonts w:ascii="Times New Roman" w:hAnsi="Times New Roman" w:cs="Times New Roman"/>
          <w:sz w:val="24"/>
          <w:szCs w:val="24"/>
        </w:rPr>
        <w:t>.</w:t>
      </w:r>
      <w:r w:rsidR="00EE4FA6" w:rsidRPr="0049220A">
        <w:rPr>
          <w:rFonts w:ascii="Times New Roman" w:hAnsi="Times New Roman" w:cs="Times New Roman"/>
          <w:sz w:val="24"/>
          <w:szCs w:val="24"/>
        </w:rPr>
        <w:t xml:space="preserve"> </w:t>
      </w:r>
      <w:commentRangeStart w:id="2"/>
      <w:r w:rsidR="00CF0F1F" w:rsidRPr="0049220A">
        <w:rPr>
          <w:rFonts w:ascii="Times New Roman" w:hAnsi="Times New Roman" w:cs="Times New Roman"/>
          <w:sz w:val="24"/>
          <w:szCs w:val="24"/>
        </w:rPr>
        <w:t>Therefore</w:t>
      </w:r>
      <w:r w:rsidR="00852972" w:rsidRPr="0049220A">
        <w:rPr>
          <w:rFonts w:ascii="Times New Roman" w:hAnsi="Times New Roman" w:cs="Times New Roman"/>
          <w:sz w:val="24"/>
          <w:szCs w:val="24"/>
        </w:rPr>
        <w:t>, this study</w:t>
      </w:r>
      <w:r w:rsidR="00EE4FA6" w:rsidRPr="0049220A">
        <w:rPr>
          <w:rFonts w:ascii="Times New Roman" w:hAnsi="Times New Roman" w:cs="Times New Roman"/>
          <w:sz w:val="24"/>
          <w:szCs w:val="24"/>
        </w:rPr>
        <w:t xml:space="preserve"> aimed to </w:t>
      </w:r>
      <w:r w:rsidR="00852972" w:rsidRPr="0049220A">
        <w:rPr>
          <w:rFonts w:ascii="Times New Roman" w:hAnsi="Times New Roman" w:cs="Times New Roman"/>
          <w:sz w:val="24"/>
          <w:szCs w:val="24"/>
        </w:rPr>
        <w:t xml:space="preserve">analyse </w:t>
      </w:r>
      <w:r w:rsidR="00EE4FA6" w:rsidRPr="0049220A">
        <w:rPr>
          <w:rFonts w:ascii="Times New Roman" w:hAnsi="Times New Roman" w:cs="Times New Roman"/>
          <w:sz w:val="24"/>
          <w:szCs w:val="24"/>
        </w:rPr>
        <w:t>the</w:t>
      </w:r>
      <w:r w:rsidR="006308D7" w:rsidRPr="0049220A">
        <w:rPr>
          <w:rFonts w:ascii="Times New Roman" w:hAnsi="Times New Roman" w:cs="Times New Roman"/>
          <w:sz w:val="24"/>
          <w:szCs w:val="24"/>
        </w:rPr>
        <w:t xml:space="preserve"> chemical compositions of</w:t>
      </w:r>
      <w:r w:rsidR="00CF0F1F" w:rsidRPr="0049220A">
        <w:rPr>
          <w:rFonts w:ascii="Times New Roman" w:hAnsi="Times New Roman" w:cs="Times New Roman"/>
          <w:sz w:val="24"/>
          <w:szCs w:val="24"/>
        </w:rPr>
        <w:t xml:space="preserve"> </w:t>
      </w:r>
      <w:r w:rsidR="00B34B56" w:rsidRPr="0049220A">
        <w:rPr>
          <w:rFonts w:ascii="Times New Roman" w:hAnsi="Times New Roman" w:cs="Times New Roman"/>
          <w:i/>
          <w:iCs/>
          <w:sz w:val="24"/>
          <w:szCs w:val="24"/>
        </w:rPr>
        <w:t xml:space="preserve">A. nayadiformis </w:t>
      </w:r>
      <w:r w:rsidR="006308D7" w:rsidRPr="0049220A">
        <w:rPr>
          <w:rFonts w:ascii="Times New Roman" w:hAnsi="Times New Roman" w:cs="Times New Roman"/>
          <w:sz w:val="24"/>
          <w:szCs w:val="24"/>
        </w:rPr>
        <w:t xml:space="preserve">and finds potentials medicinal uses. </w:t>
      </w:r>
      <w:commentRangeEnd w:id="2"/>
      <w:r w:rsidR="005514A9">
        <w:rPr>
          <w:rStyle w:val="CommentReference"/>
        </w:rPr>
        <w:commentReference w:id="2"/>
      </w:r>
    </w:p>
    <w:p w14:paraId="1A451864" w14:textId="77777777" w:rsidR="006809CC" w:rsidRPr="0049220A" w:rsidRDefault="006809CC" w:rsidP="006809CC">
      <w:pPr>
        <w:jc w:val="both"/>
        <w:rPr>
          <w:rFonts w:ascii="Times New Roman" w:hAnsi="Times New Roman" w:cs="Times New Roman"/>
          <w:b/>
          <w:sz w:val="24"/>
          <w:szCs w:val="24"/>
        </w:rPr>
      </w:pPr>
      <w:r w:rsidRPr="0049220A">
        <w:rPr>
          <w:rFonts w:ascii="Times New Roman" w:hAnsi="Times New Roman" w:cs="Times New Roman"/>
          <w:b/>
          <w:sz w:val="24"/>
          <w:szCs w:val="24"/>
        </w:rPr>
        <w:t>2. Methods and Materials</w:t>
      </w:r>
    </w:p>
    <w:p w14:paraId="67C56C73" w14:textId="77777777" w:rsidR="006809CC" w:rsidRPr="0049220A" w:rsidRDefault="006809CC" w:rsidP="006809CC">
      <w:pPr>
        <w:jc w:val="both"/>
        <w:rPr>
          <w:rFonts w:ascii="Times New Roman" w:hAnsi="Times New Roman" w:cs="Times New Roman"/>
          <w:b/>
          <w:sz w:val="24"/>
          <w:szCs w:val="24"/>
        </w:rPr>
      </w:pPr>
      <w:r w:rsidRPr="0049220A">
        <w:rPr>
          <w:rFonts w:ascii="Times New Roman" w:hAnsi="Times New Roman" w:cs="Times New Roman"/>
          <w:b/>
          <w:sz w:val="24"/>
          <w:szCs w:val="24"/>
        </w:rPr>
        <w:t xml:space="preserve">2.1. Algae collection and sample preparation </w:t>
      </w:r>
    </w:p>
    <w:p w14:paraId="1BDE537E" w14:textId="77777777" w:rsidR="006809CC" w:rsidRPr="0049220A" w:rsidRDefault="00724B53" w:rsidP="00F10DF8">
      <w:pPr>
        <w:ind w:firstLine="720"/>
        <w:jc w:val="both"/>
        <w:rPr>
          <w:rFonts w:ascii="Times New Roman" w:hAnsi="Times New Roman" w:cs="Times New Roman"/>
          <w:sz w:val="24"/>
          <w:szCs w:val="24"/>
        </w:rPr>
      </w:pPr>
      <w:commentRangeStart w:id="3"/>
      <w:r w:rsidRPr="0049220A">
        <w:rPr>
          <w:rFonts w:ascii="Times New Roman" w:hAnsi="Times New Roman" w:cs="Times New Roman"/>
          <w:sz w:val="24"/>
          <w:szCs w:val="24"/>
          <w:lang w:val="en-US"/>
        </w:rPr>
        <w:t xml:space="preserve">The algae </w:t>
      </w:r>
      <w:r w:rsidR="00B34B56" w:rsidRPr="0049220A">
        <w:rPr>
          <w:rFonts w:ascii="Times New Roman" w:hAnsi="Times New Roman" w:cs="Times New Roman"/>
          <w:i/>
          <w:sz w:val="24"/>
          <w:szCs w:val="24"/>
          <w:lang w:val="en-US"/>
        </w:rPr>
        <w:t xml:space="preserve">A. nayadiformis </w:t>
      </w:r>
      <w:r w:rsidR="00113986" w:rsidRPr="0049220A">
        <w:rPr>
          <w:rFonts w:ascii="Times New Roman" w:hAnsi="Times New Roman" w:cs="Times New Roman"/>
          <w:sz w:val="24"/>
          <w:szCs w:val="24"/>
        </w:rPr>
        <w:t>samples were</w:t>
      </w:r>
      <w:r w:rsidR="006809CC" w:rsidRPr="0049220A">
        <w:rPr>
          <w:rFonts w:ascii="Times New Roman" w:hAnsi="Times New Roman" w:cs="Times New Roman"/>
          <w:sz w:val="24"/>
          <w:szCs w:val="24"/>
        </w:rPr>
        <w:t xml:space="preserve"> collected from the coastal waters around Red sea, KSA and were taken directly to the Marine science lab at King Abdulaziz University.</w:t>
      </w:r>
      <w:r w:rsidR="00113986" w:rsidRPr="0049220A">
        <w:rPr>
          <w:rFonts w:ascii="Times New Roman" w:hAnsi="Times New Roman" w:cs="Times New Roman"/>
          <w:sz w:val="24"/>
          <w:szCs w:val="24"/>
        </w:rPr>
        <w:t xml:space="preserve"> </w:t>
      </w:r>
      <w:r w:rsidR="00B34B56" w:rsidRPr="0049220A">
        <w:rPr>
          <w:rFonts w:ascii="Times New Roman" w:hAnsi="Times New Roman" w:cs="Times New Roman"/>
          <w:i/>
          <w:sz w:val="24"/>
          <w:szCs w:val="24"/>
        </w:rPr>
        <w:t>A. nayadiformis</w:t>
      </w:r>
      <w:r w:rsidR="00B25667" w:rsidRPr="0049220A">
        <w:rPr>
          <w:rFonts w:ascii="Times New Roman" w:hAnsi="Times New Roman" w:cs="Times New Roman"/>
          <w:sz w:val="24"/>
          <w:szCs w:val="24"/>
        </w:rPr>
        <w:t xml:space="preserve"> algae samples were identified by Dr. Abu Affan, plantologist and assistant professor, department of Marine Biology. Then, </w:t>
      </w:r>
      <w:r w:rsidR="005F5E1A" w:rsidRPr="0049220A">
        <w:rPr>
          <w:rFonts w:ascii="Times New Roman" w:hAnsi="Times New Roman" w:cs="Times New Roman"/>
          <w:sz w:val="24"/>
          <w:szCs w:val="24"/>
        </w:rPr>
        <w:t>the</w:t>
      </w:r>
      <w:r w:rsidR="00113986" w:rsidRPr="0049220A">
        <w:rPr>
          <w:rFonts w:ascii="Times New Roman" w:hAnsi="Times New Roman" w:cs="Times New Roman"/>
          <w:sz w:val="24"/>
          <w:szCs w:val="24"/>
        </w:rPr>
        <w:t xml:space="preserve"> samples were</w:t>
      </w:r>
      <w:r w:rsidR="006809CC" w:rsidRPr="0049220A">
        <w:rPr>
          <w:rFonts w:ascii="Times New Roman" w:hAnsi="Times New Roman" w:cs="Times New Roman"/>
          <w:sz w:val="24"/>
          <w:szCs w:val="24"/>
        </w:rPr>
        <w:t xml:space="preserve"> cleaned with normal water, and air dried</w:t>
      </w:r>
      <w:commentRangeEnd w:id="3"/>
      <w:r w:rsidR="000C79D0">
        <w:rPr>
          <w:rStyle w:val="CommentReference"/>
        </w:rPr>
        <w:commentReference w:id="3"/>
      </w:r>
      <w:r w:rsidR="006809CC" w:rsidRPr="0049220A">
        <w:rPr>
          <w:rFonts w:ascii="Times New Roman" w:hAnsi="Times New Roman" w:cs="Times New Roman"/>
          <w:sz w:val="24"/>
          <w:szCs w:val="24"/>
        </w:rPr>
        <w:t xml:space="preserve">. </w:t>
      </w:r>
    </w:p>
    <w:p w14:paraId="3B35C8D6" w14:textId="77777777" w:rsidR="00113986" w:rsidRPr="0049220A" w:rsidRDefault="003F7CE8" w:rsidP="006809CC">
      <w:pPr>
        <w:jc w:val="both"/>
        <w:rPr>
          <w:rFonts w:ascii="Times New Roman" w:hAnsi="Times New Roman" w:cs="Times New Roman"/>
          <w:sz w:val="24"/>
          <w:szCs w:val="24"/>
        </w:rPr>
      </w:pPr>
      <w:r>
        <w:rPr>
          <w:rFonts w:ascii="Times New Roman" w:hAnsi="Times New Roman" w:cs="Times New Roman"/>
          <w:sz w:val="24"/>
          <w:szCs w:val="24"/>
        </w:rPr>
        <w:pict w14:anchorId="5889DF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25pt;height:211.5pt" o:bordertopcolor="this" o:borderleftcolor="this" o:borderbottomcolor="this" o:borderrightcolor="this">
            <v:imagedata r:id="rId12" o:title="Obhur for Probiotic"/>
            <w10:bordertop type="single" width="8"/>
            <w10:borderleft type="single" width="8"/>
            <w10:borderbottom type="single" width="8"/>
            <w10:borderright type="single" width="8"/>
          </v:shape>
        </w:pict>
      </w:r>
    </w:p>
    <w:p w14:paraId="19669F33" w14:textId="77777777" w:rsidR="00113986" w:rsidRPr="0049220A" w:rsidRDefault="00113986" w:rsidP="00113986">
      <w:pPr>
        <w:jc w:val="center"/>
        <w:rPr>
          <w:rFonts w:ascii="Times New Roman" w:hAnsi="Times New Roman" w:cs="Times New Roman"/>
          <w:sz w:val="24"/>
          <w:szCs w:val="24"/>
        </w:rPr>
      </w:pPr>
      <w:r w:rsidRPr="0049220A">
        <w:rPr>
          <w:rFonts w:ascii="Times New Roman" w:hAnsi="Times New Roman" w:cs="Times New Roman"/>
          <w:b/>
          <w:sz w:val="24"/>
          <w:szCs w:val="24"/>
        </w:rPr>
        <w:t>Fig 1:</w:t>
      </w:r>
      <w:r w:rsidRPr="0049220A">
        <w:rPr>
          <w:rFonts w:ascii="Times New Roman" w:hAnsi="Times New Roman" w:cs="Times New Roman"/>
          <w:sz w:val="24"/>
          <w:szCs w:val="24"/>
        </w:rPr>
        <w:t xml:space="preserve"> Samples collection from different areas in Red Sea.</w:t>
      </w:r>
    </w:p>
    <w:p w14:paraId="10F618C2" w14:textId="77777777" w:rsidR="00113986" w:rsidRPr="0049220A" w:rsidRDefault="00B25667" w:rsidP="006809CC">
      <w:pPr>
        <w:jc w:val="both"/>
        <w:rPr>
          <w:rFonts w:ascii="Times New Roman" w:hAnsi="Times New Roman" w:cs="Times New Roman"/>
          <w:b/>
          <w:sz w:val="24"/>
          <w:szCs w:val="24"/>
        </w:rPr>
      </w:pPr>
      <w:r w:rsidRPr="0049220A">
        <w:rPr>
          <w:rFonts w:ascii="Times New Roman" w:hAnsi="Times New Roman" w:cs="Times New Roman"/>
          <w:b/>
          <w:sz w:val="24"/>
          <w:szCs w:val="24"/>
        </w:rPr>
        <w:t>2.2</w:t>
      </w:r>
      <w:r w:rsidR="00113986" w:rsidRPr="0049220A">
        <w:rPr>
          <w:rFonts w:ascii="Times New Roman" w:hAnsi="Times New Roman" w:cs="Times New Roman"/>
          <w:b/>
          <w:sz w:val="24"/>
          <w:szCs w:val="24"/>
        </w:rPr>
        <w:t xml:space="preserve">. </w:t>
      </w:r>
      <w:commentRangeStart w:id="4"/>
      <w:r w:rsidR="00113986" w:rsidRPr="0049220A">
        <w:rPr>
          <w:rFonts w:ascii="Times New Roman" w:hAnsi="Times New Roman" w:cs="Times New Roman"/>
          <w:b/>
          <w:sz w:val="24"/>
          <w:szCs w:val="24"/>
        </w:rPr>
        <w:t>Sample preparation</w:t>
      </w:r>
      <w:commentRangeEnd w:id="4"/>
      <w:r w:rsidR="000C79D0">
        <w:rPr>
          <w:rStyle w:val="CommentReference"/>
        </w:rPr>
        <w:commentReference w:id="4"/>
      </w:r>
    </w:p>
    <w:p w14:paraId="4C208AEA" w14:textId="77777777" w:rsidR="00113986" w:rsidRPr="0049220A" w:rsidRDefault="00B25667" w:rsidP="00F10DF8">
      <w:pPr>
        <w:ind w:firstLine="720"/>
        <w:jc w:val="both"/>
        <w:rPr>
          <w:rFonts w:ascii="Times New Roman" w:hAnsi="Times New Roman" w:cs="Times New Roman"/>
          <w:sz w:val="24"/>
          <w:szCs w:val="24"/>
        </w:rPr>
      </w:pPr>
      <w:r w:rsidRPr="0049220A">
        <w:rPr>
          <w:rFonts w:ascii="Times New Roman" w:hAnsi="Times New Roman" w:cs="Times New Roman"/>
          <w:sz w:val="24"/>
          <w:szCs w:val="24"/>
        </w:rPr>
        <w:t>The samples were crushed into fine powder form by using electronic blender. 20g of algal powder sample was added to 100 mL of absolute alcohol (80% ethanol) and kept in rotary shaker for 72 hours at room temperature. The filtrate was filtered th</w:t>
      </w:r>
      <w:r w:rsidR="0077714B" w:rsidRPr="0049220A">
        <w:rPr>
          <w:rFonts w:ascii="Times New Roman" w:hAnsi="Times New Roman" w:cs="Times New Roman"/>
          <w:sz w:val="24"/>
          <w:szCs w:val="24"/>
        </w:rPr>
        <w:t>rough filter paper Whatman No. 1 filter paper a</w:t>
      </w:r>
      <w:r w:rsidRPr="0049220A">
        <w:rPr>
          <w:rFonts w:ascii="Times New Roman" w:hAnsi="Times New Roman" w:cs="Times New Roman"/>
          <w:sz w:val="24"/>
          <w:szCs w:val="24"/>
        </w:rPr>
        <w:t>nd placed in a glass container. Th</w:t>
      </w:r>
      <w:r w:rsidR="00297DEF" w:rsidRPr="0049220A">
        <w:rPr>
          <w:rFonts w:ascii="Times New Roman" w:hAnsi="Times New Roman" w:cs="Times New Roman"/>
          <w:sz w:val="24"/>
          <w:szCs w:val="24"/>
        </w:rPr>
        <w:t>en, the filtrate was evaporated</w:t>
      </w:r>
      <w:r w:rsidR="007359E2" w:rsidRPr="0049220A">
        <w:rPr>
          <w:rFonts w:ascii="Times New Roman" w:hAnsi="Times New Roman" w:cs="Times New Roman"/>
          <w:sz w:val="24"/>
          <w:szCs w:val="24"/>
        </w:rPr>
        <w:t xml:space="preserve"> to get a semi-solid extract</w:t>
      </w:r>
      <w:r w:rsidR="00297DEF" w:rsidRPr="0049220A">
        <w:rPr>
          <w:rFonts w:ascii="Times New Roman" w:hAnsi="Times New Roman" w:cs="Times New Roman"/>
          <w:sz w:val="24"/>
          <w:szCs w:val="24"/>
        </w:rPr>
        <w:t xml:space="preserve"> and stored at 4 °C in an airtight container for further use.</w:t>
      </w:r>
    </w:p>
    <w:p w14:paraId="177E14F1" w14:textId="77777777" w:rsidR="006809CC" w:rsidRPr="0049220A" w:rsidRDefault="009707E3" w:rsidP="006809CC">
      <w:pPr>
        <w:jc w:val="both"/>
        <w:rPr>
          <w:rFonts w:ascii="Times New Roman" w:hAnsi="Times New Roman" w:cs="Times New Roman"/>
          <w:b/>
          <w:sz w:val="24"/>
          <w:szCs w:val="24"/>
        </w:rPr>
      </w:pPr>
      <w:r w:rsidRPr="0049220A">
        <w:rPr>
          <w:rFonts w:ascii="Times New Roman" w:hAnsi="Times New Roman" w:cs="Times New Roman"/>
          <w:b/>
          <w:sz w:val="24"/>
          <w:szCs w:val="24"/>
        </w:rPr>
        <w:t>2.3</w:t>
      </w:r>
      <w:commentRangeStart w:id="5"/>
      <w:r w:rsidR="006809CC" w:rsidRPr="0049220A">
        <w:rPr>
          <w:rFonts w:ascii="Times New Roman" w:hAnsi="Times New Roman" w:cs="Times New Roman"/>
          <w:b/>
          <w:sz w:val="24"/>
          <w:szCs w:val="24"/>
        </w:rPr>
        <w:t xml:space="preserve">. </w:t>
      </w:r>
      <w:r w:rsidR="000809C4" w:rsidRPr="0049220A">
        <w:rPr>
          <w:rFonts w:ascii="Times New Roman" w:hAnsi="Times New Roman" w:cs="Times New Roman"/>
          <w:b/>
          <w:sz w:val="24"/>
          <w:szCs w:val="24"/>
        </w:rPr>
        <w:t xml:space="preserve">GCMS analysis of </w:t>
      </w:r>
      <w:r w:rsidR="00D54B3B" w:rsidRPr="0049220A">
        <w:rPr>
          <w:rFonts w:ascii="Times New Roman" w:hAnsi="Times New Roman" w:cs="Times New Roman"/>
          <w:b/>
          <w:i/>
          <w:sz w:val="24"/>
          <w:szCs w:val="24"/>
          <w:lang w:val="en-US"/>
        </w:rPr>
        <w:t xml:space="preserve">A. nayadiformis </w:t>
      </w:r>
      <w:commentRangeEnd w:id="5"/>
      <w:r w:rsidR="009C3048">
        <w:rPr>
          <w:rStyle w:val="CommentReference"/>
        </w:rPr>
        <w:commentReference w:id="5"/>
      </w:r>
    </w:p>
    <w:p w14:paraId="5AF62489" w14:textId="77777777" w:rsidR="001F05F7" w:rsidRPr="0049220A" w:rsidRDefault="00764614" w:rsidP="00C47C68">
      <w:pPr>
        <w:ind w:firstLine="720"/>
        <w:jc w:val="both"/>
        <w:rPr>
          <w:rFonts w:ascii="Times New Roman" w:hAnsi="Times New Roman" w:cs="Times New Roman"/>
          <w:sz w:val="24"/>
          <w:szCs w:val="24"/>
        </w:rPr>
      </w:pPr>
      <w:r w:rsidRPr="0049220A">
        <w:rPr>
          <w:rFonts w:ascii="Times New Roman" w:hAnsi="Times New Roman" w:cs="Times New Roman"/>
          <w:sz w:val="24"/>
          <w:szCs w:val="24"/>
        </w:rPr>
        <w:lastRenderedPageBreak/>
        <w:t xml:space="preserve">The prepared extract was subjected to analysis using GC–MS equipped with a capillary column. The analysis was carried out on a Thermo Scientific Trace GC Ultra/ISQ Single Quadrupole MS system fitted with a TG-5MS fused silica capillary column (30 m × 0.25 mm × 0.1 µm film thickness). Helium served as the carrier gas at a steady flow rate of 1 mL/min. The injector and MS transfer line temperatures were maintained at 280 °C. The oven temperature program began at 40 °C (held for 3 min) and increased to 280 °C at a rate of 5 °C per minute, with a final hold of 5 min. The relative percentage of each identified component was determined based on its peak area. Tentative identification of compounds was achieved by comparing their retention times and mass spectra with those available in the NIST and Wiley reference libraries of the GC–MS system </w:t>
      </w:r>
      <w:r w:rsidR="000809C4" w:rsidRPr="0049220A">
        <w:rPr>
          <w:rFonts w:ascii="Times New Roman" w:hAnsi="Times New Roman" w:cs="Times New Roman"/>
          <w:sz w:val="24"/>
          <w:szCs w:val="24"/>
        </w:rPr>
        <w:fldChar w:fldCharType="begin" w:fldLock="1"/>
      </w:r>
      <w:r w:rsidR="00EA3896" w:rsidRPr="0049220A">
        <w:rPr>
          <w:rFonts w:ascii="Times New Roman" w:hAnsi="Times New Roman" w:cs="Times New Roman"/>
          <w:sz w:val="24"/>
          <w:szCs w:val="24"/>
        </w:rPr>
        <w:instrText>ADDIN CSL_CITATION {"citationItems":[{"id":"ITEM-1","itemData":{"ISSN":"0975-5071","abstract":"Objective: Investigation and identification of antioxidative compounds of methanolic flower extract of S. venulosa and ethyl acetate stem bark extract of S. wallichiana (Araliaceae) from Western Ghats. Methods: Powdered stem bark and flower materials were subjected to Soxhlet extraction using various solvents according to their polarity. The methanolic flower extract of S. venulosa and the ethyl acetate stem bark extract of S. wallichiana were reconstituted in the respective solvents. One μl of the extracts was injected for GC-MS analysis. The fragmentation patterns of mass spectra were compared with those stored in the spectrometer database using the National Institute of Standards and Technology Mass Spectral (NIST-MS) database. Results: The methanolic flower extract of S. venulosa revealed the presence of 120 compounds whereas ethyl acetate stem bark extract of S. wallichiana showed the presence of 115 compounds. Among those, 23 compounds from methanol flower extract of S. venulosa and 25 compounds from the ethyl acetate stem bark extract of S. wallichiana have been identified as the probable antioxidant compounds based on the functional groups they possess. Conclusion: Many bioactive compounds were identified from two Schefflera species. Thus, the identification of different biologically active compounds in these extracts warrants further biological and pharmacological studies. M. S. Nalini, et al. Der Pharmacia Lettre, 2020, 12 (7): 51-60 ______________________________________________________________________________ 52","author":[{"dropping-particle":"","family":"Raghavendra Hebbar","given":"Deepa","non-dropping-particle":"","parse-names":false,"suffix":""},{"dropping-particle":"","family":"Somaiah Nalini","given":"Monnanda","non-dropping-particle":"","parse-names":false,"suffix":""}],"container-title":"Der Pharmacia Lettre","id":"ITEM-1","issue":"7","issued":{"date-parts":[["2020"]]},"page":"51-60","title":"GC-MS Characterization of Antioxidative Compounds from the Stem Bark and Flower Extracts of Schefflera Species, from Western Ghats","type":"article-journal","volume":"12"},"uris":["http://www.mendeley.com/documents/?uuid=ebb8cacc-b2b6-393b-a9c6-1e69c8621e6f"]}],"mendeley":{"formattedCitation":"(Raghavendra Hebbar &amp; Somaiah Nalini, 2020)","plainTextFormattedCitation":"(Raghavendra Hebbar &amp; Somaiah Nalini, 2020)","previouslyFormattedCitation":"(Raghavendra Hebbar &amp; Somaiah Nalini, 2020)"},"properties":{"noteIndex":0},"schema":"https://github.com/citation-style-language/schema/raw/master/csl-citation.json"}</w:instrText>
      </w:r>
      <w:r w:rsidR="000809C4" w:rsidRPr="0049220A">
        <w:rPr>
          <w:rFonts w:ascii="Times New Roman" w:hAnsi="Times New Roman" w:cs="Times New Roman"/>
          <w:sz w:val="24"/>
          <w:szCs w:val="24"/>
        </w:rPr>
        <w:fldChar w:fldCharType="separate"/>
      </w:r>
      <w:r w:rsidR="00EA3896" w:rsidRPr="0049220A">
        <w:rPr>
          <w:rFonts w:ascii="Times New Roman" w:hAnsi="Times New Roman" w:cs="Times New Roman"/>
          <w:noProof/>
          <w:sz w:val="24"/>
          <w:szCs w:val="24"/>
        </w:rPr>
        <w:t>(Raghavendra Hebbar &amp; Somaiah Nalini, 2020)</w:t>
      </w:r>
      <w:r w:rsidR="000809C4" w:rsidRPr="0049220A">
        <w:rPr>
          <w:rFonts w:ascii="Times New Roman" w:hAnsi="Times New Roman" w:cs="Times New Roman"/>
          <w:sz w:val="24"/>
          <w:szCs w:val="24"/>
        </w:rPr>
        <w:fldChar w:fldCharType="end"/>
      </w:r>
      <w:r w:rsidR="000809C4" w:rsidRPr="0049220A">
        <w:rPr>
          <w:rFonts w:ascii="Times New Roman" w:hAnsi="Times New Roman" w:cs="Times New Roman"/>
          <w:sz w:val="24"/>
          <w:szCs w:val="24"/>
        </w:rPr>
        <w:t>.</w:t>
      </w:r>
    </w:p>
    <w:p w14:paraId="2FE48472" w14:textId="77777777" w:rsidR="001F05F7" w:rsidRPr="0049220A" w:rsidRDefault="00F10DF8" w:rsidP="003421EC">
      <w:pPr>
        <w:jc w:val="both"/>
        <w:rPr>
          <w:rFonts w:ascii="Times New Roman" w:hAnsi="Times New Roman" w:cs="Times New Roman"/>
          <w:b/>
          <w:sz w:val="24"/>
          <w:szCs w:val="24"/>
        </w:rPr>
      </w:pPr>
      <w:r w:rsidRPr="0049220A">
        <w:rPr>
          <w:rFonts w:ascii="Times New Roman" w:hAnsi="Times New Roman" w:cs="Times New Roman"/>
          <w:b/>
          <w:sz w:val="24"/>
          <w:szCs w:val="24"/>
        </w:rPr>
        <w:t xml:space="preserve">3. </w:t>
      </w:r>
      <w:r w:rsidR="005F5E1A" w:rsidRPr="0049220A">
        <w:rPr>
          <w:rFonts w:ascii="Times New Roman" w:hAnsi="Times New Roman" w:cs="Times New Roman"/>
          <w:b/>
          <w:sz w:val="24"/>
          <w:szCs w:val="24"/>
        </w:rPr>
        <w:t>Results</w:t>
      </w:r>
      <w:r w:rsidRPr="0049220A">
        <w:rPr>
          <w:rFonts w:ascii="Times New Roman" w:hAnsi="Times New Roman" w:cs="Times New Roman"/>
          <w:b/>
          <w:sz w:val="24"/>
          <w:szCs w:val="24"/>
        </w:rPr>
        <w:t xml:space="preserve"> </w:t>
      </w:r>
    </w:p>
    <w:p w14:paraId="6CB9D9BC" w14:textId="77777777" w:rsidR="00764614" w:rsidRPr="0049220A" w:rsidRDefault="00764614" w:rsidP="003421EC">
      <w:pPr>
        <w:jc w:val="both"/>
        <w:rPr>
          <w:rFonts w:ascii="Times New Roman" w:hAnsi="Times New Roman" w:cs="Times New Roman"/>
          <w:sz w:val="24"/>
          <w:szCs w:val="24"/>
        </w:rPr>
      </w:pPr>
      <w:r w:rsidRPr="0049220A">
        <w:rPr>
          <w:rFonts w:ascii="Times New Roman" w:hAnsi="Times New Roman" w:cs="Times New Roman"/>
          <w:sz w:val="24"/>
          <w:szCs w:val="24"/>
        </w:rPr>
        <w:t xml:space="preserve">Modern pharmaceutical industries rely heavily on seaweeds due to their rich content of bioactive and medicinal compounds. These natural compounds are known for their ability to combat various diseases and health disorders. The extraction and analysis of such compounds are essential for the development, improvement, and quality assurance of herbal formulations. Research on seaweeds also aids in understanding their potential toxicity and contributes to protecting humans and animals from natural toxins. Therefore, the present study aimed to identify the bioactive constituents in the ethanolic extract of </w:t>
      </w:r>
      <w:r w:rsidR="00B91AE1" w:rsidRPr="0049220A">
        <w:rPr>
          <w:rFonts w:ascii="Times New Roman" w:hAnsi="Times New Roman" w:cs="Times New Roman"/>
          <w:i/>
          <w:iCs/>
          <w:sz w:val="24"/>
          <w:szCs w:val="24"/>
        </w:rPr>
        <w:t>A.</w:t>
      </w:r>
      <w:r w:rsidRPr="0049220A">
        <w:rPr>
          <w:rFonts w:ascii="Times New Roman" w:hAnsi="Times New Roman" w:cs="Times New Roman"/>
          <w:i/>
          <w:iCs/>
          <w:sz w:val="24"/>
          <w:szCs w:val="24"/>
        </w:rPr>
        <w:t xml:space="preserve"> nayadiformis</w:t>
      </w:r>
      <w:r w:rsidRPr="0049220A">
        <w:rPr>
          <w:rFonts w:ascii="Times New Roman" w:hAnsi="Times New Roman" w:cs="Times New Roman"/>
          <w:sz w:val="24"/>
          <w:szCs w:val="24"/>
        </w:rPr>
        <w:t xml:space="preserve"> using GC–MS analysis. The detected compounds, along with their retention times (RT), molecular formulas (MF), molecular weights (MW), relative concentrations (peak area %), and sources of identification, are summarized in </w:t>
      </w:r>
      <w:r w:rsidRPr="0049220A">
        <w:rPr>
          <w:rFonts w:ascii="Times New Roman" w:hAnsi="Times New Roman" w:cs="Times New Roman"/>
          <w:b/>
          <w:sz w:val="24"/>
          <w:szCs w:val="24"/>
        </w:rPr>
        <w:t>Table 1</w:t>
      </w:r>
      <w:r w:rsidRPr="0049220A">
        <w:rPr>
          <w:rFonts w:ascii="Times New Roman" w:hAnsi="Times New Roman" w:cs="Times New Roman"/>
          <w:sz w:val="24"/>
          <w:szCs w:val="24"/>
        </w:rPr>
        <w:t xml:space="preserve"> and illustrated in </w:t>
      </w:r>
      <w:r w:rsidRPr="0049220A">
        <w:rPr>
          <w:rFonts w:ascii="Times New Roman" w:hAnsi="Times New Roman" w:cs="Times New Roman"/>
          <w:b/>
          <w:sz w:val="24"/>
          <w:szCs w:val="24"/>
        </w:rPr>
        <w:t>Figure 2.</w:t>
      </w:r>
    </w:p>
    <w:p w14:paraId="30E2F6B6" w14:textId="77777777" w:rsidR="001F05F7" w:rsidRPr="0049220A" w:rsidRDefault="009B36B8" w:rsidP="003421EC">
      <w:pPr>
        <w:jc w:val="both"/>
        <w:rPr>
          <w:rFonts w:ascii="Times New Roman" w:hAnsi="Times New Roman" w:cs="Times New Roman"/>
          <w:sz w:val="24"/>
          <w:szCs w:val="24"/>
        </w:rPr>
      </w:pPr>
      <w:r w:rsidRPr="0049220A">
        <w:rPr>
          <w:rFonts w:ascii="Times New Roman" w:hAnsi="Times New Roman" w:cs="Times New Roman"/>
          <w:b/>
          <w:sz w:val="24"/>
          <w:szCs w:val="24"/>
        </w:rPr>
        <w:t>Table 1.</w:t>
      </w:r>
      <w:r w:rsidRPr="0049220A">
        <w:rPr>
          <w:rFonts w:ascii="Times New Roman" w:hAnsi="Times New Roman" w:cs="Times New Roman"/>
          <w:sz w:val="24"/>
          <w:szCs w:val="24"/>
        </w:rPr>
        <w:t xml:space="preserve"> Major bioactive compounds were identified in </w:t>
      </w:r>
      <w:r w:rsidRPr="0049220A">
        <w:rPr>
          <w:rFonts w:ascii="Times New Roman" w:hAnsi="Times New Roman" w:cs="Times New Roman"/>
          <w:i/>
          <w:sz w:val="24"/>
          <w:szCs w:val="24"/>
        </w:rPr>
        <w:t>A. nayadiformis</w:t>
      </w:r>
      <w:r w:rsidRPr="0049220A">
        <w:rPr>
          <w:rFonts w:ascii="Times New Roman" w:hAnsi="Times New Roman" w:cs="Times New Roman"/>
          <w:sz w:val="24"/>
          <w:szCs w:val="24"/>
        </w:rPr>
        <w:t xml:space="preserve"> extracts.</w:t>
      </w:r>
    </w:p>
    <w:tbl>
      <w:tblPr>
        <w:tblStyle w:val="TableGrid"/>
        <w:tblW w:w="9153" w:type="dxa"/>
        <w:tblBorders>
          <w:left w:val="none" w:sz="0" w:space="0" w:color="auto"/>
          <w:right w:val="none" w:sz="0" w:space="0" w:color="auto"/>
          <w:insideH w:val="none" w:sz="0" w:space="0" w:color="auto"/>
        </w:tblBorders>
        <w:tblLook w:val="04A0" w:firstRow="1" w:lastRow="0" w:firstColumn="1" w:lastColumn="0" w:noHBand="0" w:noVBand="1"/>
      </w:tblPr>
      <w:tblGrid>
        <w:gridCol w:w="756"/>
        <w:gridCol w:w="4083"/>
        <w:gridCol w:w="1523"/>
        <w:gridCol w:w="743"/>
        <w:gridCol w:w="990"/>
        <w:gridCol w:w="1058"/>
      </w:tblGrid>
      <w:tr w:rsidR="0049220A" w:rsidRPr="0049220A" w14:paraId="6C494822" w14:textId="77777777" w:rsidTr="006D4DD7">
        <w:trPr>
          <w:trHeight w:val="516"/>
        </w:trPr>
        <w:tc>
          <w:tcPr>
            <w:tcW w:w="756" w:type="dxa"/>
            <w:tcBorders>
              <w:top w:val="single" w:sz="4" w:space="0" w:color="auto"/>
              <w:right w:val="nil"/>
            </w:tcBorders>
          </w:tcPr>
          <w:p w14:paraId="0E1F6FE0" w14:textId="77777777" w:rsidR="009B36B8" w:rsidRPr="0049220A" w:rsidRDefault="009B36B8" w:rsidP="003421EC">
            <w:pPr>
              <w:jc w:val="both"/>
              <w:rPr>
                <w:rFonts w:ascii="Times New Roman" w:hAnsi="Times New Roman" w:cs="Times New Roman"/>
                <w:b/>
                <w:sz w:val="24"/>
                <w:szCs w:val="24"/>
              </w:rPr>
            </w:pPr>
            <w:r w:rsidRPr="0049220A">
              <w:rPr>
                <w:rFonts w:ascii="Times New Roman" w:hAnsi="Times New Roman" w:cs="Times New Roman"/>
                <w:b/>
                <w:sz w:val="24"/>
                <w:szCs w:val="24"/>
              </w:rPr>
              <w:t>RT</w:t>
            </w:r>
          </w:p>
        </w:tc>
        <w:tc>
          <w:tcPr>
            <w:tcW w:w="4083" w:type="dxa"/>
            <w:tcBorders>
              <w:top w:val="single" w:sz="4" w:space="0" w:color="auto"/>
              <w:left w:val="nil"/>
              <w:right w:val="nil"/>
            </w:tcBorders>
          </w:tcPr>
          <w:p w14:paraId="671389FD" w14:textId="77777777" w:rsidR="009B36B8" w:rsidRPr="0049220A" w:rsidRDefault="009B36B8" w:rsidP="003421EC">
            <w:pPr>
              <w:jc w:val="both"/>
              <w:rPr>
                <w:rFonts w:ascii="Times New Roman" w:hAnsi="Times New Roman" w:cs="Times New Roman"/>
                <w:b/>
                <w:sz w:val="24"/>
                <w:szCs w:val="24"/>
              </w:rPr>
            </w:pPr>
            <w:r w:rsidRPr="0049220A">
              <w:rPr>
                <w:rFonts w:ascii="Times New Roman" w:hAnsi="Times New Roman" w:cs="Times New Roman"/>
                <w:b/>
                <w:sz w:val="24"/>
                <w:szCs w:val="24"/>
              </w:rPr>
              <w:t>Compound Name</w:t>
            </w:r>
          </w:p>
        </w:tc>
        <w:tc>
          <w:tcPr>
            <w:tcW w:w="1523" w:type="dxa"/>
            <w:tcBorders>
              <w:top w:val="single" w:sz="4" w:space="0" w:color="auto"/>
              <w:left w:val="nil"/>
              <w:right w:val="nil"/>
            </w:tcBorders>
          </w:tcPr>
          <w:p w14:paraId="73A18FCA" w14:textId="77777777" w:rsidR="009B36B8" w:rsidRPr="0049220A" w:rsidRDefault="005813B9" w:rsidP="006D4DD7">
            <w:pPr>
              <w:rPr>
                <w:rFonts w:ascii="Times New Roman" w:hAnsi="Times New Roman" w:cs="Times New Roman"/>
                <w:b/>
                <w:sz w:val="24"/>
                <w:szCs w:val="24"/>
              </w:rPr>
            </w:pPr>
            <w:r w:rsidRPr="0049220A">
              <w:rPr>
                <w:rFonts w:ascii="Times New Roman" w:hAnsi="Times New Roman" w:cs="Times New Roman"/>
                <w:b/>
                <w:sz w:val="24"/>
                <w:szCs w:val="24"/>
              </w:rPr>
              <w:t>M</w:t>
            </w:r>
            <w:r w:rsidR="009B36B8" w:rsidRPr="0049220A">
              <w:rPr>
                <w:rFonts w:ascii="Times New Roman" w:hAnsi="Times New Roman" w:cs="Times New Roman"/>
                <w:b/>
                <w:sz w:val="24"/>
                <w:szCs w:val="24"/>
              </w:rPr>
              <w:t>F</w:t>
            </w:r>
          </w:p>
        </w:tc>
        <w:tc>
          <w:tcPr>
            <w:tcW w:w="743" w:type="dxa"/>
            <w:tcBorders>
              <w:top w:val="single" w:sz="4" w:space="0" w:color="auto"/>
              <w:left w:val="nil"/>
              <w:right w:val="nil"/>
            </w:tcBorders>
          </w:tcPr>
          <w:p w14:paraId="18163345" w14:textId="77777777" w:rsidR="009B36B8" w:rsidRPr="0049220A" w:rsidRDefault="005813B9" w:rsidP="006D4DD7">
            <w:pPr>
              <w:rPr>
                <w:rFonts w:ascii="Times New Roman" w:hAnsi="Times New Roman" w:cs="Times New Roman"/>
                <w:b/>
                <w:sz w:val="24"/>
                <w:szCs w:val="24"/>
              </w:rPr>
            </w:pPr>
            <w:r w:rsidRPr="0049220A">
              <w:rPr>
                <w:rFonts w:ascii="Times New Roman" w:hAnsi="Times New Roman" w:cs="Times New Roman"/>
                <w:b/>
                <w:sz w:val="24"/>
                <w:szCs w:val="24"/>
              </w:rPr>
              <w:t>M</w:t>
            </w:r>
            <w:r w:rsidR="009B36B8" w:rsidRPr="0049220A">
              <w:rPr>
                <w:rFonts w:ascii="Times New Roman" w:hAnsi="Times New Roman" w:cs="Times New Roman"/>
                <w:b/>
                <w:sz w:val="24"/>
                <w:szCs w:val="24"/>
              </w:rPr>
              <w:t>W</w:t>
            </w:r>
          </w:p>
        </w:tc>
        <w:tc>
          <w:tcPr>
            <w:tcW w:w="990" w:type="dxa"/>
            <w:tcBorders>
              <w:top w:val="single" w:sz="4" w:space="0" w:color="auto"/>
              <w:left w:val="nil"/>
              <w:right w:val="nil"/>
            </w:tcBorders>
          </w:tcPr>
          <w:p w14:paraId="26B98D59" w14:textId="77777777" w:rsidR="009B36B8" w:rsidRPr="0049220A" w:rsidRDefault="009B36B8" w:rsidP="006D4DD7">
            <w:pPr>
              <w:rPr>
                <w:rFonts w:ascii="Times New Roman" w:hAnsi="Times New Roman" w:cs="Times New Roman"/>
                <w:b/>
                <w:sz w:val="24"/>
                <w:szCs w:val="24"/>
              </w:rPr>
            </w:pPr>
            <w:r w:rsidRPr="0049220A">
              <w:rPr>
                <w:rFonts w:ascii="Times New Roman" w:hAnsi="Times New Roman" w:cs="Times New Roman"/>
                <w:b/>
                <w:sz w:val="24"/>
                <w:szCs w:val="24"/>
              </w:rPr>
              <w:t>Peak Area%</w:t>
            </w:r>
          </w:p>
        </w:tc>
        <w:tc>
          <w:tcPr>
            <w:tcW w:w="1058" w:type="dxa"/>
            <w:tcBorders>
              <w:top w:val="single" w:sz="4" w:space="0" w:color="auto"/>
              <w:left w:val="nil"/>
            </w:tcBorders>
          </w:tcPr>
          <w:p w14:paraId="37705A69" w14:textId="77777777" w:rsidR="009B36B8" w:rsidRPr="0049220A" w:rsidRDefault="009B36B8" w:rsidP="000B6857">
            <w:pPr>
              <w:rPr>
                <w:rFonts w:ascii="Times New Roman" w:hAnsi="Times New Roman" w:cs="Times New Roman"/>
                <w:b/>
                <w:sz w:val="24"/>
                <w:szCs w:val="24"/>
              </w:rPr>
            </w:pPr>
            <w:r w:rsidRPr="0049220A">
              <w:rPr>
                <w:rFonts w:ascii="Times New Roman" w:hAnsi="Times New Roman" w:cs="Times New Roman"/>
                <w:b/>
                <w:sz w:val="24"/>
                <w:szCs w:val="24"/>
              </w:rPr>
              <w:t>Library</w:t>
            </w:r>
          </w:p>
        </w:tc>
      </w:tr>
      <w:tr w:rsidR="0049220A" w:rsidRPr="0049220A" w14:paraId="4FE1D354" w14:textId="77777777" w:rsidTr="006D4DD7">
        <w:trPr>
          <w:trHeight w:val="557"/>
        </w:trPr>
        <w:tc>
          <w:tcPr>
            <w:tcW w:w="756" w:type="dxa"/>
            <w:tcBorders>
              <w:top w:val="single" w:sz="4" w:space="0" w:color="auto"/>
              <w:right w:val="nil"/>
            </w:tcBorders>
          </w:tcPr>
          <w:p w14:paraId="52611FF6" w14:textId="77777777" w:rsidR="009B36B8" w:rsidRPr="0049220A" w:rsidRDefault="009B36B8" w:rsidP="003421EC">
            <w:pPr>
              <w:jc w:val="both"/>
              <w:rPr>
                <w:rFonts w:ascii="Times New Roman" w:hAnsi="Times New Roman" w:cs="Times New Roman"/>
                <w:sz w:val="24"/>
                <w:szCs w:val="24"/>
              </w:rPr>
            </w:pPr>
            <w:r w:rsidRPr="0049220A">
              <w:rPr>
                <w:rFonts w:ascii="Times New Roman" w:hAnsi="Times New Roman" w:cs="Times New Roman"/>
                <w:sz w:val="24"/>
                <w:szCs w:val="24"/>
              </w:rPr>
              <w:t>5.70</w:t>
            </w:r>
          </w:p>
        </w:tc>
        <w:tc>
          <w:tcPr>
            <w:tcW w:w="4083" w:type="dxa"/>
            <w:tcBorders>
              <w:top w:val="single" w:sz="4" w:space="0" w:color="auto"/>
              <w:left w:val="nil"/>
              <w:right w:val="nil"/>
            </w:tcBorders>
          </w:tcPr>
          <w:p w14:paraId="7313F183" w14:textId="77777777" w:rsidR="009B36B8" w:rsidRPr="0049220A" w:rsidRDefault="009B36B8" w:rsidP="005C2030">
            <w:pPr>
              <w:jc w:val="both"/>
              <w:rPr>
                <w:rFonts w:ascii="Times New Roman" w:hAnsi="Times New Roman" w:cs="Times New Roman"/>
                <w:sz w:val="24"/>
                <w:szCs w:val="24"/>
              </w:rPr>
            </w:pPr>
            <w:r w:rsidRPr="0049220A">
              <w:rPr>
                <w:rFonts w:ascii="Times New Roman" w:hAnsi="Times New Roman" w:cs="Times New Roman"/>
                <w:sz w:val="24"/>
                <w:szCs w:val="24"/>
              </w:rPr>
              <w:t>5,8,11,14-Eicosatetraenoic acid, phenylmethyl ester, (all-Z)</w:t>
            </w:r>
          </w:p>
        </w:tc>
        <w:tc>
          <w:tcPr>
            <w:tcW w:w="1523" w:type="dxa"/>
            <w:tcBorders>
              <w:top w:val="single" w:sz="4" w:space="0" w:color="auto"/>
              <w:left w:val="nil"/>
              <w:right w:val="nil"/>
            </w:tcBorders>
          </w:tcPr>
          <w:p w14:paraId="5F2523ED"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C27H38O2</w:t>
            </w:r>
          </w:p>
        </w:tc>
        <w:tc>
          <w:tcPr>
            <w:tcW w:w="743" w:type="dxa"/>
            <w:tcBorders>
              <w:top w:val="single" w:sz="4" w:space="0" w:color="auto"/>
              <w:left w:val="nil"/>
              <w:right w:val="nil"/>
            </w:tcBorders>
          </w:tcPr>
          <w:p w14:paraId="2EE02652"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394</w:t>
            </w:r>
          </w:p>
        </w:tc>
        <w:tc>
          <w:tcPr>
            <w:tcW w:w="990" w:type="dxa"/>
            <w:tcBorders>
              <w:top w:val="single" w:sz="4" w:space="0" w:color="auto"/>
              <w:left w:val="nil"/>
              <w:right w:val="nil"/>
            </w:tcBorders>
          </w:tcPr>
          <w:p w14:paraId="682AEEDB"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0.27</w:t>
            </w:r>
          </w:p>
        </w:tc>
        <w:tc>
          <w:tcPr>
            <w:tcW w:w="1058" w:type="dxa"/>
            <w:tcBorders>
              <w:top w:val="single" w:sz="4" w:space="0" w:color="auto"/>
              <w:left w:val="nil"/>
            </w:tcBorders>
          </w:tcPr>
          <w:p w14:paraId="521A23F2" w14:textId="77777777" w:rsidR="009B36B8" w:rsidRPr="0049220A" w:rsidRDefault="009B36B8" w:rsidP="000B6857">
            <w:pPr>
              <w:rPr>
                <w:rFonts w:ascii="Times New Roman" w:hAnsi="Times New Roman" w:cs="Times New Roman"/>
                <w:sz w:val="24"/>
                <w:szCs w:val="24"/>
              </w:rPr>
            </w:pPr>
            <w:r w:rsidRPr="0049220A">
              <w:rPr>
                <w:rFonts w:ascii="Times New Roman" w:hAnsi="Times New Roman" w:cs="Times New Roman"/>
                <w:sz w:val="24"/>
                <w:szCs w:val="24"/>
              </w:rPr>
              <w:t>mainlib</w:t>
            </w:r>
          </w:p>
        </w:tc>
      </w:tr>
      <w:tr w:rsidR="0049220A" w:rsidRPr="0049220A" w14:paraId="4F745AB3" w14:textId="77777777" w:rsidTr="006D4DD7">
        <w:trPr>
          <w:trHeight w:val="530"/>
        </w:trPr>
        <w:tc>
          <w:tcPr>
            <w:tcW w:w="756" w:type="dxa"/>
            <w:tcBorders>
              <w:right w:val="nil"/>
            </w:tcBorders>
          </w:tcPr>
          <w:p w14:paraId="2575243F" w14:textId="77777777" w:rsidR="009B36B8" w:rsidRPr="0049220A" w:rsidRDefault="009B36B8" w:rsidP="003421EC">
            <w:pPr>
              <w:jc w:val="both"/>
              <w:rPr>
                <w:rFonts w:ascii="Times New Roman" w:hAnsi="Times New Roman" w:cs="Times New Roman"/>
                <w:sz w:val="24"/>
                <w:szCs w:val="24"/>
              </w:rPr>
            </w:pPr>
            <w:r w:rsidRPr="0049220A">
              <w:rPr>
                <w:rFonts w:ascii="Times New Roman" w:hAnsi="Times New Roman" w:cs="Times New Roman"/>
                <w:sz w:val="24"/>
                <w:szCs w:val="24"/>
              </w:rPr>
              <w:t xml:space="preserve"> 5.75</w:t>
            </w:r>
          </w:p>
        </w:tc>
        <w:tc>
          <w:tcPr>
            <w:tcW w:w="4083" w:type="dxa"/>
            <w:tcBorders>
              <w:left w:val="nil"/>
              <w:right w:val="nil"/>
            </w:tcBorders>
          </w:tcPr>
          <w:p w14:paraId="19FC397D" w14:textId="77777777" w:rsidR="009B36B8" w:rsidRPr="0049220A" w:rsidRDefault="009B36B8" w:rsidP="005C2030">
            <w:pPr>
              <w:jc w:val="both"/>
              <w:rPr>
                <w:rFonts w:ascii="Times New Roman" w:hAnsi="Times New Roman" w:cs="Times New Roman"/>
                <w:sz w:val="24"/>
                <w:szCs w:val="24"/>
              </w:rPr>
            </w:pPr>
            <w:r w:rsidRPr="0049220A">
              <w:rPr>
                <w:rFonts w:ascii="Times New Roman" w:hAnsi="Times New Roman" w:cs="Times New Roman"/>
                <w:sz w:val="24"/>
                <w:szCs w:val="24"/>
              </w:rPr>
              <w:t>9,12,15-</w:t>
            </w:r>
            <w:r w:rsidR="006C0A91" w:rsidRPr="0049220A">
              <w:rPr>
                <w:rFonts w:ascii="Times New Roman" w:hAnsi="Times New Roman" w:cs="Times New Roman"/>
                <w:sz w:val="24"/>
                <w:szCs w:val="24"/>
              </w:rPr>
              <w:t>Octadecatrienoic acid, methyl ester</w:t>
            </w:r>
          </w:p>
        </w:tc>
        <w:tc>
          <w:tcPr>
            <w:tcW w:w="1523" w:type="dxa"/>
            <w:tcBorders>
              <w:left w:val="nil"/>
              <w:right w:val="nil"/>
            </w:tcBorders>
          </w:tcPr>
          <w:p w14:paraId="7C363784"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C19H32O2</w:t>
            </w:r>
          </w:p>
        </w:tc>
        <w:tc>
          <w:tcPr>
            <w:tcW w:w="743" w:type="dxa"/>
            <w:tcBorders>
              <w:left w:val="nil"/>
              <w:right w:val="nil"/>
            </w:tcBorders>
          </w:tcPr>
          <w:p w14:paraId="46FCAB41"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292</w:t>
            </w:r>
          </w:p>
        </w:tc>
        <w:tc>
          <w:tcPr>
            <w:tcW w:w="990" w:type="dxa"/>
            <w:tcBorders>
              <w:left w:val="nil"/>
              <w:right w:val="nil"/>
            </w:tcBorders>
          </w:tcPr>
          <w:p w14:paraId="6642B075"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0.34</w:t>
            </w:r>
          </w:p>
        </w:tc>
        <w:tc>
          <w:tcPr>
            <w:tcW w:w="1058" w:type="dxa"/>
            <w:tcBorders>
              <w:left w:val="nil"/>
            </w:tcBorders>
          </w:tcPr>
          <w:p w14:paraId="27785C29" w14:textId="77777777" w:rsidR="009B36B8" w:rsidRPr="0049220A" w:rsidRDefault="00172DA7" w:rsidP="000B6857">
            <w:pPr>
              <w:rPr>
                <w:rFonts w:ascii="Times New Roman" w:hAnsi="Times New Roman" w:cs="Times New Roman"/>
                <w:sz w:val="24"/>
                <w:szCs w:val="24"/>
              </w:rPr>
            </w:pPr>
            <w:r w:rsidRPr="0049220A">
              <w:rPr>
                <w:rFonts w:ascii="Times New Roman" w:hAnsi="Times New Roman" w:cs="Times New Roman"/>
                <w:sz w:val="24"/>
                <w:szCs w:val="24"/>
              </w:rPr>
              <w:t>Wiley</w:t>
            </w:r>
          </w:p>
        </w:tc>
      </w:tr>
      <w:tr w:rsidR="0049220A" w:rsidRPr="0049220A" w14:paraId="0652654A" w14:textId="77777777" w:rsidTr="006D4DD7">
        <w:trPr>
          <w:trHeight w:val="332"/>
        </w:trPr>
        <w:tc>
          <w:tcPr>
            <w:tcW w:w="756" w:type="dxa"/>
            <w:tcBorders>
              <w:right w:val="nil"/>
            </w:tcBorders>
          </w:tcPr>
          <w:p w14:paraId="3DC85BA5" w14:textId="77777777" w:rsidR="009B36B8" w:rsidRPr="0049220A" w:rsidRDefault="009B36B8" w:rsidP="003421EC">
            <w:pPr>
              <w:jc w:val="both"/>
              <w:rPr>
                <w:rFonts w:ascii="Times New Roman" w:hAnsi="Times New Roman" w:cs="Times New Roman"/>
                <w:sz w:val="24"/>
                <w:szCs w:val="24"/>
              </w:rPr>
            </w:pPr>
            <w:r w:rsidRPr="0049220A">
              <w:rPr>
                <w:rFonts w:ascii="Times New Roman" w:hAnsi="Times New Roman" w:cs="Times New Roman"/>
                <w:sz w:val="24"/>
                <w:szCs w:val="24"/>
              </w:rPr>
              <w:t>22.10</w:t>
            </w:r>
          </w:p>
        </w:tc>
        <w:tc>
          <w:tcPr>
            <w:tcW w:w="4083" w:type="dxa"/>
            <w:tcBorders>
              <w:left w:val="nil"/>
              <w:right w:val="nil"/>
            </w:tcBorders>
          </w:tcPr>
          <w:p w14:paraId="4A70A1E2" w14:textId="77777777" w:rsidR="009B36B8" w:rsidRPr="0049220A" w:rsidRDefault="009B36B8" w:rsidP="003421EC">
            <w:pPr>
              <w:jc w:val="both"/>
              <w:rPr>
                <w:rFonts w:ascii="Times New Roman" w:hAnsi="Times New Roman" w:cs="Times New Roman"/>
                <w:sz w:val="24"/>
                <w:szCs w:val="24"/>
              </w:rPr>
            </w:pPr>
            <w:r w:rsidRPr="0049220A">
              <w:rPr>
                <w:rFonts w:ascii="Times New Roman" w:hAnsi="Times New Roman" w:cs="Times New Roman"/>
                <w:sz w:val="24"/>
                <w:szCs w:val="24"/>
              </w:rPr>
              <w:t xml:space="preserve"> 1-</w:t>
            </w:r>
            <w:r w:rsidR="006C0A91" w:rsidRPr="0049220A">
              <w:rPr>
                <w:rFonts w:ascii="Times New Roman" w:hAnsi="Times New Roman" w:cs="Times New Roman"/>
                <w:sz w:val="24"/>
                <w:szCs w:val="24"/>
              </w:rPr>
              <w:t xml:space="preserve">Chlorooctadecane </w:t>
            </w:r>
          </w:p>
        </w:tc>
        <w:tc>
          <w:tcPr>
            <w:tcW w:w="1523" w:type="dxa"/>
            <w:tcBorders>
              <w:left w:val="nil"/>
              <w:right w:val="nil"/>
            </w:tcBorders>
          </w:tcPr>
          <w:p w14:paraId="5DFF25E1"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C18H37Cl</w:t>
            </w:r>
          </w:p>
        </w:tc>
        <w:tc>
          <w:tcPr>
            <w:tcW w:w="743" w:type="dxa"/>
            <w:tcBorders>
              <w:left w:val="nil"/>
              <w:right w:val="nil"/>
            </w:tcBorders>
          </w:tcPr>
          <w:p w14:paraId="205D0D38"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288</w:t>
            </w:r>
          </w:p>
        </w:tc>
        <w:tc>
          <w:tcPr>
            <w:tcW w:w="990" w:type="dxa"/>
            <w:tcBorders>
              <w:left w:val="nil"/>
              <w:right w:val="nil"/>
            </w:tcBorders>
          </w:tcPr>
          <w:p w14:paraId="2CD0E713"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0.36</w:t>
            </w:r>
          </w:p>
        </w:tc>
        <w:tc>
          <w:tcPr>
            <w:tcW w:w="1058" w:type="dxa"/>
            <w:tcBorders>
              <w:left w:val="nil"/>
            </w:tcBorders>
          </w:tcPr>
          <w:p w14:paraId="653D938D" w14:textId="77777777" w:rsidR="009B36B8" w:rsidRPr="0049220A" w:rsidRDefault="009B36B8" w:rsidP="000B6857">
            <w:pPr>
              <w:rPr>
                <w:rFonts w:ascii="Times New Roman" w:hAnsi="Times New Roman" w:cs="Times New Roman"/>
                <w:sz w:val="24"/>
                <w:szCs w:val="24"/>
              </w:rPr>
            </w:pPr>
            <w:r w:rsidRPr="0049220A">
              <w:rPr>
                <w:rFonts w:ascii="Times New Roman" w:hAnsi="Times New Roman" w:cs="Times New Roman"/>
                <w:sz w:val="24"/>
                <w:szCs w:val="24"/>
              </w:rPr>
              <w:t>Wiley</w:t>
            </w:r>
          </w:p>
        </w:tc>
      </w:tr>
      <w:tr w:rsidR="0049220A" w:rsidRPr="0049220A" w14:paraId="5B240831" w14:textId="77777777" w:rsidTr="006D4DD7">
        <w:trPr>
          <w:trHeight w:val="557"/>
        </w:trPr>
        <w:tc>
          <w:tcPr>
            <w:tcW w:w="756" w:type="dxa"/>
            <w:tcBorders>
              <w:right w:val="nil"/>
            </w:tcBorders>
          </w:tcPr>
          <w:p w14:paraId="22046BED" w14:textId="77777777" w:rsidR="009B36B8" w:rsidRPr="0049220A" w:rsidRDefault="009B36B8" w:rsidP="003421EC">
            <w:pPr>
              <w:jc w:val="both"/>
              <w:rPr>
                <w:rFonts w:ascii="Times New Roman" w:hAnsi="Times New Roman" w:cs="Times New Roman"/>
                <w:sz w:val="24"/>
                <w:szCs w:val="24"/>
              </w:rPr>
            </w:pPr>
            <w:r w:rsidRPr="0049220A">
              <w:rPr>
                <w:rFonts w:ascii="Times New Roman" w:hAnsi="Times New Roman" w:cs="Times New Roman"/>
                <w:sz w:val="24"/>
                <w:szCs w:val="24"/>
              </w:rPr>
              <w:t>24.80</w:t>
            </w:r>
          </w:p>
        </w:tc>
        <w:tc>
          <w:tcPr>
            <w:tcW w:w="4083" w:type="dxa"/>
            <w:tcBorders>
              <w:left w:val="nil"/>
              <w:right w:val="nil"/>
            </w:tcBorders>
          </w:tcPr>
          <w:p w14:paraId="1EAD24BD" w14:textId="77777777" w:rsidR="009B36B8" w:rsidRPr="00D91551" w:rsidRDefault="009B36B8" w:rsidP="00603275">
            <w:pPr>
              <w:jc w:val="both"/>
              <w:rPr>
                <w:rFonts w:ascii="Times New Roman" w:hAnsi="Times New Roman" w:cs="Times New Roman"/>
                <w:sz w:val="24"/>
                <w:szCs w:val="24"/>
                <w:lang w:val="de-DE"/>
              </w:rPr>
            </w:pPr>
            <w:r w:rsidRPr="00D91551">
              <w:rPr>
                <w:rFonts w:ascii="Times New Roman" w:hAnsi="Times New Roman" w:cs="Times New Roman"/>
                <w:sz w:val="24"/>
                <w:szCs w:val="24"/>
                <w:lang w:val="de-DE"/>
              </w:rPr>
              <w:t>1,3,5-</w:t>
            </w:r>
            <w:r w:rsidR="006C0A91" w:rsidRPr="00D91551">
              <w:rPr>
                <w:rFonts w:ascii="Times New Roman" w:hAnsi="Times New Roman" w:cs="Times New Roman"/>
                <w:sz w:val="24"/>
                <w:szCs w:val="24"/>
                <w:lang w:val="de-DE"/>
              </w:rPr>
              <w:t>Triazine-2,4-diamine,6-chloro-n-ethyl</w:t>
            </w:r>
          </w:p>
        </w:tc>
        <w:tc>
          <w:tcPr>
            <w:tcW w:w="1523" w:type="dxa"/>
            <w:tcBorders>
              <w:left w:val="nil"/>
              <w:right w:val="nil"/>
            </w:tcBorders>
          </w:tcPr>
          <w:p w14:paraId="73671EA1"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C5H8ClN5</w:t>
            </w:r>
          </w:p>
        </w:tc>
        <w:tc>
          <w:tcPr>
            <w:tcW w:w="743" w:type="dxa"/>
            <w:tcBorders>
              <w:left w:val="nil"/>
              <w:right w:val="nil"/>
            </w:tcBorders>
          </w:tcPr>
          <w:p w14:paraId="560EFAA0"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173</w:t>
            </w:r>
          </w:p>
        </w:tc>
        <w:tc>
          <w:tcPr>
            <w:tcW w:w="990" w:type="dxa"/>
            <w:tcBorders>
              <w:left w:val="nil"/>
              <w:right w:val="nil"/>
            </w:tcBorders>
          </w:tcPr>
          <w:p w14:paraId="17B1BAF2"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0.37</w:t>
            </w:r>
          </w:p>
        </w:tc>
        <w:tc>
          <w:tcPr>
            <w:tcW w:w="1058" w:type="dxa"/>
            <w:tcBorders>
              <w:left w:val="nil"/>
            </w:tcBorders>
          </w:tcPr>
          <w:p w14:paraId="185DA232" w14:textId="77777777" w:rsidR="009B36B8" w:rsidRPr="0049220A" w:rsidRDefault="00172DA7" w:rsidP="000B6857">
            <w:pPr>
              <w:rPr>
                <w:rFonts w:ascii="Times New Roman" w:hAnsi="Times New Roman" w:cs="Times New Roman"/>
                <w:sz w:val="24"/>
                <w:szCs w:val="24"/>
              </w:rPr>
            </w:pPr>
            <w:r w:rsidRPr="0049220A">
              <w:rPr>
                <w:rFonts w:ascii="Times New Roman" w:hAnsi="Times New Roman" w:cs="Times New Roman"/>
                <w:sz w:val="24"/>
                <w:szCs w:val="24"/>
              </w:rPr>
              <w:t>Wiley</w:t>
            </w:r>
          </w:p>
        </w:tc>
      </w:tr>
      <w:tr w:rsidR="0049220A" w:rsidRPr="0049220A" w14:paraId="7AF4F527" w14:textId="77777777" w:rsidTr="006D4DD7">
        <w:trPr>
          <w:trHeight w:val="258"/>
        </w:trPr>
        <w:tc>
          <w:tcPr>
            <w:tcW w:w="756" w:type="dxa"/>
            <w:tcBorders>
              <w:right w:val="nil"/>
            </w:tcBorders>
          </w:tcPr>
          <w:p w14:paraId="105B2A34" w14:textId="77777777" w:rsidR="009B36B8" w:rsidRPr="0049220A" w:rsidRDefault="009B36B8" w:rsidP="003421EC">
            <w:pPr>
              <w:jc w:val="both"/>
              <w:rPr>
                <w:rFonts w:ascii="Times New Roman" w:hAnsi="Times New Roman" w:cs="Times New Roman"/>
                <w:sz w:val="24"/>
                <w:szCs w:val="24"/>
              </w:rPr>
            </w:pPr>
            <w:r w:rsidRPr="0049220A">
              <w:rPr>
                <w:rFonts w:ascii="Times New Roman" w:hAnsi="Times New Roman" w:cs="Times New Roman"/>
                <w:sz w:val="24"/>
                <w:szCs w:val="24"/>
              </w:rPr>
              <w:t>24.92</w:t>
            </w:r>
          </w:p>
        </w:tc>
        <w:tc>
          <w:tcPr>
            <w:tcW w:w="4083" w:type="dxa"/>
            <w:tcBorders>
              <w:left w:val="nil"/>
              <w:right w:val="nil"/>
            </w:tcBorders>
          </w:tcPr>
          <w:p w14:paraId="146EBDAC" w14:textId="77777777" w:rsidR="009B36B8" w:rsidRPr="0049220A" w:rsidRDefault="009B36B8" w:rsidP="003421EC">
            <w:pPr>
              <w:jc w:val="both"/>
              <w:rPr>
                <w:rFonts w:ascii="Times New Roman" w:hAnsi="Times New Roman" w:cs="Times New Roman"/>
                <w:sz w:val="24"/>
                <w:szCs w:val="24"/>
              </w:rPr>
            </w:pPr>
            <w:r w:rsidRPr="0049220A">
              <w:rPr>
                <w:rFonts w:ascii="Times New Roman" w:hAnsi="Times New Roman" w:cs="Times New Roman"/>
                <w:sz w:val="24"/>
                <w:szCs w:val="24"/>
              </w:rPr>
              <w:t>E-7-Tetradecenol</w:t>
            </w:r>
          </w:p>
        </w:tc>
        <w:tc>
          <w:tcPr>
            <w:tcW w:w="1523" w:type="dxa"/>
            <w:tcBorders>
              <w:left w:val="nil"/>
              <w:right w:val="nil"/>
            </w:tcBorders>
          </w:tcPr>
          <w:p w14:paraId="776F2C79"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C14H28O</w:t>
            </w:r>
          </w:p>
        </w:tc>
        <w:tc>
          <w:tcPr>
            <w:tcW w:w="743" w:type="dxa"/>
            <w:tcBorders>
              <w:left w:val="nil"/>
              <w:right w:val="nil"/>
            </w:tcBorders>
          </w:tcPr>
          <w:p w14:paraId="7F0A189C"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212</w:t>
            </w:r>
          </w:p>
        </w:tc>
        <w:tc>
          <w:tcPr>
            <w:tcW w:w="990" w:type="dxa"/>
            <w:tcBorders>
              <w:left w:val="nil"/>
              <w:right w:val="nil"/>
            </w:tcBorders>
          </w:tcPr>
          <w:p w14:paraId="415F2636"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1.24</w:t>
            </w:r>
          </w:p>
        </w:tc>
        <w:tc>
          <w:tcPr>
            <w:tcW w:w="1058" w:type="dxa"/>
            <w:tcBorders>
              <w:left w:val="nil"/>
            </w:tcBorders>
          </w:tcPr>
          <w:p w14:paraId="7A49C419" w14:textId="77777777" w:rsidR="009B36B8" w:rsidRPr="0049220A" w:rsidRDefault="009B36B8" w:rsidP="000B6857">
            <w:pPr>
              <w:rPr>
                <w:rFonts w:ascii="Times New Roman" w:hAnsi="Times New Roman" w:cs="Times New Roman"/>
                <w:sz w:val="24"/>
                <w:szCs w:val="24"/>
              </w:rPr>
            </w:pPr>
            <w:r w:rsidRPr="0049220A">
              <w:rPr>
                <w:rFonts w:ascii="Times New Roman" w:hAnsi="Times New Roman" w:cs="Times New Roman"/>
                <w:sz w:val="24"/>
                <w:szCs w:val="24"/>
              </w:rPr>
              <w:t>mainlib</w:t>
            </w:r>
          </w:p>
        </w:tc>
      </w:tr>
      <w:tr w:rsidR="0049220A" w:rsidRPr="0049220A" w14:paraId="00226FCA" w14:textId="77777777" w:rsidTr="006D4DD7">
        <w:trPr>
          <w:trHeight w:val="215"/>
        </w:trPr>
        <w:tc>
          <w:tcPr>
            <w:tcW w:w="756" w:type="dxa"/>
            <w:tcBorders>
              <w:right w:val="nil"/>
            </w:tcBorders>
          </w:tcPr>
          <w:p w14:paraId="226DE5F6" w14:textId="77777777" w:rsidR="009B36B8" w:rsidRPr="0049220A" w:rsidRDefault="009B36B8" w:rsidP="003421EC">
            <w:pPr>
              <w:jc w:val="both"/>
              <w:rPr>
                <w:rFonts w:ascii="Times New Roman" w:hAnsi="Times New Roman" w:cs="Times New Roman"/>
                <w:sz w:val="24"/>
                <w:szCs w:val="24"/>
              </w:rPr>
            </w:pPr>
            <w:r w:rsidRPr="0049220A">
              <w:rPr>
                <w:rFonts w:ascii="Times New Roman" w:hAnsi="Times New Roman" w:cs="Times New Roman"/>
                <w:sz w:val="24"/>
                <w:szCs w:val="24"/>
              </w:rPr>
              <w:t>25.12</w:t>
            </w:r>
          </w:p>
        </w:tc>
        <w:tc>
          <w:tcPr>
            <w:tcW w:w="4083" w:type="dxa"/>
            <w:tcBorders>
              <w:left w:val="nil"/>
              <w:right w:val="nil"/>
            </w:tcBorders>
          </w:tcPr>
          <w:p w14:paraId="6D1BCD88" w14:textId="77777777" w:rsidR="009B36B8" w:rsidRPr="0049220A" w:rsidRDefault="009B36B8" w:rsidP="003421EC">
            <w:pPr>
              <w:jc w:val="both"/>
              <w:rPr>
                <w:rFonts w:ascii="Times New Roman" w:hAnsi="Times New Roman" w:cs="Times New Roman"/>
                <w:sz w:val="24"/>
                <w:szCs w:val="24"/>
              </w:rPr>
            </w:pPr>
            <w:r w:rsidRPr="0049220A">
              <w:rPr>
                <w:rFonts w:ascii="Times New Roman" w:hAnsi="Times New Roman" w:cs="Times New Roman"/>
                <w:sz w:val="24"/>
                <w:szCs w:val="24"/>
              </w:rPr>
              <w:t>1-Dodecanol, 3,7,11-trimethyl-</w:t>
            </w:r>
          </w:p>
        </w:tc>
        <w:tc>
          <w:tcPr>
            <w:tcW w:w="1523" w:type="dxa"/>
            <w:tcBorders>
              <w:left w:val="nil"/>
              <w:right w:val="nil"/>
            </w:tcBorders>
          </w:tcPr>
          <w:p w14:paraId="5EA8B8F7"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C15H32O</w:t>
            </w:r>
          </w:p>
        </w:tc>
        <w:tc>
          <w:tcPr>
            <w:tcW w:w="743" w:type="dxa"/>
            <w:tcBorders>
              <w:left w:val="nil"/>
              <w:right w:val="nil"/>
            </w:tcBorders>
          </w:tcPr>
          <w:p w14:paraId="09CCBE91"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228</w:t>
            </w:r>
          </w:p>
        </w:tc>
        <w:tc>
          <w:tcPr>
            <w:tcW w:w="990" w:type="dxa"/>
            <w:tcBorders>
              <w:left w:val="nil"/>
              <w:right w:val="nil"/>
            </w:tcBorders>
          </w:tcPr>
          <w:p w14:paraId="0EB76432"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0.80</w:t>
            </w:r>
          </w:p>
        </w:tc>
        <w:tc>
          <w:tcPr>
            <w:tcW w:w="1058" w:type="dxa"/>
            <w:tcBorders>
              <w:left w:val="nil"/>
            </w:tcBorders>
          </w:tcPr>
          <w:p w14:paraId="2C8B8963" w14:textId="77777777" w:rsidR="009B36B8" w:rsidRPr="0049220A" w:rsidRDefault="009B36B8" w:rsidP="000B6857">
            <w:pPr>
              <w:rPr>
                <w:rFonts w:ascii="Times New Roman" w:hAnsi="Times New Roman" w:cs="Times New Roman"/>
                <w:sz w:val="24"/>
                <w:szCs w:val="24"/>
              </w:rPr>
            </w:pPr>
            <w:r w:rsidRPr="0049220A">
              <w:rPr>
                <w:rFonts w:ascii="Times New Roman" w:hAnsi="Times New Roman" w:cs="Times New Roman"/>
                <w:sz w:val="24"/>
                <w:szCs w:val="24"/>
              </w:rPr>
              <w:t>mainlib</w:t>
            </w:r>
          </w:p>
        </w:tc>
      </w:tr>
      <w:tr w:rsidR="0049220A" w:rsidRPr="0049220A" w14:paraId="3756994E" w14:textId="77777777" w:rsidTr="006D4DD7">
        <w:trPr>
          <w:trHeight w:val="258"/>
        </w:trPr>
        <w:tc>
          <w:tcPr>
            <w:tcW w:w="756" w:type="dxa"/>
            <w:tcBorders>
              <w:right w:val="nil"/>
            </w:tcBorders>
          </w:tcPr>
          <w:p w14:paraId="44273D2C" w14:textId="77777777" w:rsidR="009B36B8" w:rsidRPr="0049220A" w:rsidRDefault="009B36B8" w:rsidP="003421EC">
            <w:pPr>
              <w:jc w:val="both"/>
              <w:rPr>
                <w:rFonts w:ascii="Times New Roman" w:hAnsi="Times New Roman" w:cs="Times New Roman"/>
                <w:sz w:val="24"/>
                <w:szCs w:val="24"/>
              </w:rPr>
            </w:pPr>
            <w:r w:rsidRPr="0049220A">
              <w:rPr>
                <w:rFonts w:ascii="Times New Roman" w:hAnsi="Times New Roman" w:cs="Times New Roman"/>
                <w:sz w:val="24"/>
                <w:szCs w:val="24"/>
              </w:rPr>
              <w:t>25.54</w:t>
            </w:r>
          </w:p>
        </w:tc>
        <w:tc>
          <w:tcPr>
            <w:tcW w:w="4083" w:type="dxa"/>
            <w:tcBorders>
              <w:left w:val="nil"/>
              <w:right w:val="nil"/>
            </w:tcBorders>
          </w:tcPr>
          <w:p w14:paraId="3062A1F2" w14:textId="77777777" w:rsidR="009B36B8" w:rsidRPr="0049220A" w:rsidRDefault="009B36B8" w:rsidP="003421EC">
            <w:pPr>
              <w:jc w:val="both"/>
              <w:rPr>
                <w:rFonts w:ascii="Times New Roman" w:hAnsi="Times New Roman" w:cs="Times New Roman"/>
                <w:sz w:val="24"/>
                <w:szCs w:val="24"/>
              </w:rPr>
            </w:pPr>
            <w:r w:rsidRPr="0049220A">
              <w:rPr>
                <w:rFonts w:ascii="Times New Roman" w:hAnsi="Times New Roman" w:cs="Times New Roman"/>
                <w:sz w:val="24"/>
                <w:szCs w:val="24"/>
              </w:rPr>
              <w:t>Lidocaine</w:t>
            </w:r>
          </w:p>
        </w:tc>
        <w:tc>
          <w:tcPr>
            <w:tcW w:w="1523" w:type="dxa"/>
            <w:tcBorders>
              <w:left w:val="nil"/>
              <w:right w:val="nil"/>
            </w:tcBorders>
          </w:tcPr>
          <w:p w14:paraId="52EB846C"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C14H22N2O</w:t>
            </w:r>
          </w:p>
        </w:tc>
        <w:tc>
          <w:tcPr>
            <w:tcW w:w="743" w:type="dxa"/>
            <w:tcBorders>
              <w:left w:val="nil"/>
              <w:right w:val="nil"/>
            </w:tcBorders>
          </w:tcPr>
          <w:p w14:paraId="30441653"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234</w:t>
            </w:r>
          </w:p>
        </w:tc>
        <w:tc>
          <w:tcPr>
            <w:tcW w:w="990" w:type="dxa"/>
            <w:tcBorders>
              <w:left w:val="nil"/>
              <w:right w:val="nil"/>
            </w:tcBorders>
          </w:tcPr>
          <w:p w14:paraId="3F1947FE"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1.56</w:t>
            </w:r>
          </w:p>
        </w:tc>
        <w:tc>
          <w:tcPr>
            <w:tcW w:w="1058" w:type="dxa"/>
            <w:tcBorders>
              <w:left w:val="nil"/>
            </w:tcBorders>
          </w:tcPr>
          <w:p w14:paraId="47EBACF2" w14:textId="77777777" w:rsidR="009B36B8" w:rsidRPr="0049220A" w:rsidRDefault="009B36B8" w:rsidP="000B6857">
            <w:pPr>
              <w:rPr>
                <w:rFonts w:ascii="Times New Roman" w:hAnsi="Times New Roman" w:cs="Times New Roman"/>
                <w:sz w:val="24"/>
                <w:szCs w:val="24"/>
              </w:rPr>
            </w:pPr>
            <w:r w:rsidRPr="0049220A">
              <w:rPr>
                <w:rFonts w:ascii="Times New Roman" w:hAnsi="Times New Roman" w:cs="Times New Roman"/>
                <w:sz w:val="24"/>
                <w:szCs w:val="24"/>
              </w:rPr>
              <w:t>replib</w:t>
            </w:r>
          </w:p>
        </w:tc>
      </w:tr>
      <w:tr w:rsidR="0049220A" w:rsidRPr="0049220A" w14:paraId="249F4BB4" w14:textId="77777777" w:rsidTr="006D4DD7">
        <w:trPr>
          <w:trHeight w:val="530"/>
        </w:trPr>
        <w:tc>
          <w:tcPr>
            <w:tcW w:w="756" w:type="dxa"/>
            <w:tcBorders>
              <w:right w:val="nil"/>
            </w:tcBorders>
          </w:tcPr>
          <w:p w14:paraId="10441390" w14:textId="77777777" w:rsidR="009B36B8" w:rsidRPr="0049220A" w:rsidRDefault="009B36B8" w:rsidP="003421EC">
            <w:pPr>
              <w:jc w:val="both"/>
              <w:rPr>
                <w:rFonts w:ascii="Times New Roman" w:hAnsi="Times New Roman" w:cs="Times New Roman"/>
                <w:sz w:val="24"/>
                <w:szCs w:val="24"/>
              </w:rPr>
            </w:pPr>
            <w:r w:rsidRPr="0049220A">
              <w:rPr>
                <w:rFonts w:ascii="Times New Roman" w:hAnsi="Times New Roman" w:cs="Times New Roman"/>
                <w:sz w:val="24"/>
                <w:szCs w:val="24"/>
              </w:rPr>
              <w:t>26.42</w:t>
            </w:r>
          </w:p>
        </w:tc>
        <w:tc>
          <w:tcPr>
            <w:tcW w:w="4083" w:type="dxa"/>
            <w:tcBorders>
              <w:left w:val="nil"/>
              <w:right w:val="nil"/>
            </w:tcBorders>
          </w:tcPr>
          <w:p w14:paraId="1EAF4711" w14:textId="77777777" w:rsidR="009B36B8" w:rsidRPr="0049220A" w:rsidRDefault="00682148" w:rsidP="00603275">
            <w:pPr>
              <w:jc w:val="both"/>
              <w:rPr>
                <w:rFonts w:ascii="Times New Roman" w:hAnsi="Times New Roman" w:cs="Times New Roman"/>
                <w:sz w:val="24"/>
                <w:szCs w:val="24"/>
              </w:rPr>
            </w:pPr>
            <w:r w:rsidRPr="0049220A">
              <w:rPr>
                <w:rFonts w:ascii="Times New Roman" w:hAnsi="Times New Roman" w:cs="Times New Roman"/>
                <w:sz w:val="24"/>
                <w:szCs w:val="24"/>
              </w:rPr>
              <w:t>Pentadecanoic acid,14-methyl-, methyl ester</w:t>
            </w:r>
          </w:p>
        </w:tc>
        <w:tc>
          <w:tcPr>
            <w:tcW w:w="1523" w:type="dxa"/>
            <w:tcBorders>
              <w:left w:val="nil"/>
              <w:right w:val="nil"/>
            </w:tcBorders>
          </w:tcPr>
          <w:p w14:paraId="45462327"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C17H34O2</w:t>
            </w:r>
          </w:p>
        </w:tc>
        <w:tc>
          <w:tcPr>
            <w:tcW w:w="743" w:type="dxa"/>
            <w:tcBorders>
              <w:left w:val="nil"/>
              <w:right w:val="nil"/>
            </w:tcBorders>
          </w:tcPr>
          <w:p w14:paraId="2EBF700D"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270</w:t>
            </w:r>
          </w:p>
        </w:tc>
        <w:tc>
          <w:tcPr>
            <w:tcW w:w="990" w:type="dxa"/>
            <w:tcBorders>
              <w:left w:val="nil"/>
              <w:right w:val="nil"/>
            </w:tcBorders>
          </w:tcPr>
          <w:p w14:paraId="013A773F"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3.68</w:t>
            </w:r>
          </w:p>
        </w:tc>
        <w:tc>
          <w:tcPr>
            <w:tcW w:w="1058" w:type="dxa"/>
            <w:tcBorders>
              <w:left w:val="nil"/>
            </w:tcBorders>
          </w:tcPr>
          <w:p w14:paraId="3AFD5B2B" w14:textId="77777777" w:rsidR="009B36B8" w:rsidRPr="0049220A" w:rsidRDefault="00172DA7" w:rsidP="000B6857">
            <w:pPr>
              <w:rPr>
                <w:rFonts w:ascii="Times New Roman" w:hAnsi="Times New Roman" w:cs="Times New Roman"/>
                <w:sz w:val="24"/>
                <w:szCs w:val="24"/>
              </w:rPr>
            </w:pPr>
            <w:r w:rsidRPr="0049220A">
              <w:rPr>
                <w:rFonts w:ascii="Times New Roman" w:hAnsi="Times New Roman" w:cs="Times New Roman"/>
                <w:sz w:val="24"/>
                <w:szCs w:val="24"/>
              </w:rPr>
              <w:t>Wiley</w:t>
            </w:r>
          </w:p>
        </w:tc>
      </w:tr>
      <w:tr w:rsidR="0049220A" w:rsidRPr="0049220A" w14:paraId="76FD0520" w14:textId="77777777" w:rsidTr="006D4DD7">
        <w:trPr>
          <w:trHeight w:val="332"/>
        </w:trPr>
        <w:tc>
          <w:tcPr>
            <w:tcW w:w="756" w:type="dxa"/>
            <w:tcBorders>
              <w:right w:val="nil"/>
            </w:tcBorders>
          </w:tcPr>
          <w:p w14:paraId="0E27F77C" w14:textId="77777777" w:rsidR="009B36B8" w:rsidRPr="0049220A" w:rsidRDefault="009B36B8" w:rsidP="003421EC">
            <w:pPr>
              <w:jc w:val="both"/>
              <w:rPr>
                <w:rFonts w:ascii="Times New Roman" w:hAnsi="Times New Roman" w:cs="Times New Roman"/>
                <w:sz w:val="24"/>
                <w:szCs w:val="24"/>
              </w:rPr>
            </w:pPr>
            <w:r w:rsidRPr="0049220A">
              <w:rPr>
                <w:rFonts w:ascii="Times New Roman" w:hAnsi="Times New Roman" w:cs="Times New Roman"/>
                <w:sz w:val="24"/>
                <w:szCs w:val="24"/>
              </w:rPr>
              <w:t>27.28</w:t>
            </w:r>
          </w:p>
        </w:tc>
        <w:tc>
          <w:tcPr>
            <w:tcW w:w="4083" w:type="dxa"/>
            <w:tcBorders>
              <w:left w:val="nil"/>
              <w:right w:val="nil"/>
            </w:tcBorders>
          </w:tcPr>
          <w:p w14:paraId="2E4E0147" w14:textId="77777777" w:rsidR="009B36B8" w:rsidRPr="0049220A" w:rsidRDefault="00682148" w:rsidP="003421EC">
            <w:pPr>
              <w:jc w:val="both"/>
              <w:rPr>
                <w:rFonts w:ascii="Times New Roman" w:hAnsi="Times New Roman" w:cs="Times New Roman"/>
                <w:sz w:val="24"/>
                <w:szCs w:val="24"/>
              </w:rPr>
            </w:pPr>
            <w:r w:rsidRPr="0049220A">
              <w:rPr>
                <w:rFonts w:ascii="Times New Roman" w:hAnsi="Times New Roman" w:cs="Times New Roman"/>
                <w:sz w:val="24"/>
                <w:szCs w:val="24"/>
              </w:rPr>
              <w:t>Oleic Acid</w:t>
            </w:r>
          </w:p>
        </w:tc>
        <w:tc>
          <w:tcPr>
            <w:tcW w:w="1523" w:type="dxa"/>
            <w:tcBorders>
              <w:left w:val="nil"/>
              <w:right w:val="nil"/>
            </w:tcBorders>
          </w:tcPr>
          <w:p w14:paraId="0193C13C"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C18H34O2</w:t>
            </w:r>
          </w:p>
        </w:tc>
        <w:tc>
          <w:tcPr>
            <w:tcW w:w="743" w:type="dxa"/>
            <w:tcBorders>
              <w:left w:val="nil"/>
              <w:right w:val="nil"/>
            </w:tcBorders>
          </w:tcPr>
          <w:p w14:paraId="1C68D65E"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282</w:t>
            </w:r>
          </w:p>
        </w:tc>
        <w:tc>
          <w:tcPr>
            <w:tcW w:w="990" w:type="dxa"/>
            <w:tcBorders>
              <w:left w:val="nil"/>
              <w:right w:val="nil"/>
            </w:tcBorders>
          </w:tcPr>
          <w:p w14:paraId="7CF49722"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2.76</w:t>
            </w:r>
          </w:p>
        </w:tc>
        <w:tc>
          <w:tcPr>
            <w:tcW w:w="1058" w:type="dxa"/>
            <w:tcBorders>
              <w:left w:val="nil"/>
            </w:tcBorders>
          </w:tcPr>
          <w:p w14:paraId="4E56E787" w14:textId="77777777" w:rsidR="009B36B8" w:rsidRPr="0049220A" w:rsidRDefault="00172DA7" w:rsidP="000B6857">
            <w:pPr>
              <w:rPr>
                <w:rFonts w:ascii="Times New Roman" w:hAnsi="Times New Roman" w:cs="Times New Roman"/>
                <w:sz w:val="24"/>
                <w:szCs w:val="24"/>
              </w:rPr>
            </w:pPr>
            <w:r w:rsidRPr="0049220A">
              <w:rPr>
                <w:rFonts w:ascii="Times New Roman" w:hAnsi="Times New Roman" w:cs="Times New Roman"/>
                <w:sz w:val="24"/>
                <w:szCs w:val="24"/>
              </w:rPr>
              <w:t>Wiley</w:t>
            </w:r>
          </w:p>
        </w:tc>
      </w:tr>
      <w:tr w:rsidR="0049220A" w:rsidRPr="0049220A" w14:paraId="58F131A3" w14:textId="77777777" w:rsidTr="006D4DD7">
        <w:trPr>
          <w:trHeight w:val="350"/>
        </w:trPr>
        <w:tc>
          <w:tcPr>
            <w:tcW w:w="756" w:type="dxa"/>
            <w:tcBorders>
              <w:right w:val="nil"/>
            </w:tcBorders>
          </w:tcPr>
          <w:p w14:paraId="63BA89B8" w14:textId="77777777" w:rsidR="009B36B8" w:rsidRPr="0049220A" w:rsidRDefault="009B36B8" w:rsidP="003421EC">
            <w:pPr>
              <w:jc w:val="both"/>
              <w:rPr>
                <w:rFonts w:ascii="Times New Roman" w:hAnsi="Times New Roman" w:cs="Times New Roman"/>
                <w:sz w:val="24"/>
                <w:szCs w:val="24"/>
              </w:rPr>
            </w:pPr>
            <w:r w:rsidRPr="0049220A">
              <w:rPr>
                <w:rFonts w:ascii="Times New Roman" w:hAnsi="Times New Roman" w:cs="Times New Roman"/>
                <w:sz w:val="24"/>
                <w:szCs w:val="24"/>
              </w:rPr>
              <w:t>27.75</w:t>
            </w:r>
          </w:p>
        </w:tc>
        <w:tc>
          <w:tcPr>
            <w:tcW w:w="4083" w:type="dxa"/>
            <w:tcBorders>
              <w:left w:val="nil"/>
              <w:right w:val="nil"/>
            </w:tcBorders>
          </w:tcPr>
          <w:p w14:paraId="064243AB" w14:textId="77777777" w:rsidR="009B36B8" w:rsidRPr="0049220A" w:rsidRDefault="00682148" w:rsidP="003421EC">
            <w:pPr>
              <w:jc w:val="both"/>
              <w:rPr>
                <w:rFonts w:ascii="Times New Roman" w:hAnsi="Times New Roman" w:cs="Times New Roman"/>
                <w:sz w:val="24"/>
                <w:szCs w:val="24"/>
              </w:rPr>
            </w:pPr>
            <w:r w:rsidRPr="0049220A">
              <w:rPr>
                <w:rFonts w:ascii="Times New Roman" w:hAnsi="Times New Roman" w:cs="Times New Roman"/>
                <w:sz w:val="24"/>
                <w:szCs w:val="24"/>
              </w:rPr>
              <w:t xml:space="preserve">Ethyl pentadecanoate </w:t>
            </w:r>
            <w:r w:rsidR="009B36B8" w:rsidRPr="0049220A">
              <w:rPr>
                <w:rFonts w:ascii="Times New Roman" w:hAnsi="Times New Roman" w:cs="Times New Roman"/>
                <w:sz w:val="24"/>
                <w:szCs w:val="24"/>
              </w:rPr>
              <w:t xml:space="preserve"> </w:t>
            </w:r>
          </w:p>
        </w:tc>
        <w:tc>
          <w:tcPr>
            <w:tcW w:w="1523" w:type="dxa"/>
            <w:tcBorders>
              <w:left w:val="nil"/>
              <w:right w:val="nil"/>
            </w:tcBorders>
          </w:tcPr>
          <w:p w14:paraId="372AB935"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C17H34O2</w:t>
            </w:r>
          </w:p>
        </w:tc>
        <w:tc>
          <w:tcPr>
            <w:tcW w:w="743" w:type="dxa"/>
            <w:tcBorders>
              <w:left w:val="nil"/>
              <w:right w:val="nil"/>
            </w:tcBorders>
          </w:tcPr>
          <w:p w14:paraId="7D100808"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270</w:t>
            </w:r>
          </w:p>
        </w:tc>
        <w:tc>
          <w:tcPr>
            <w:tcW w:w="990" w:type="dxa"/>
            <w:tcBorders>
              <w:left w:val="nil"/>
              <w:right w:val="nil"/>
            </w:tcBorders>
          </w:tcPr>
          <w:p w14:paraId="6B111CAE"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2.12</w:t>
            </w:r>
          </w:p>
        </w:tc>
        <w:tc>
          <w:tcPr>
            <w:tcW w:w="1058" w:type="dxa"/>
            <w:tcBorders>
              <w:left w:val="nil"/>
            </w:tcBorders>
          </w:tcPr>
          <w:p w14:paraId="0A863022" w14:textId="77777777" w:rsidR="009B36B8" w:rsidRPr="0049220A" w:rsidRDefault="009B36B8" w:rsidP="000B6857">
            <w:pPr>
              <w:rPr>
                <w:rFonts w:ascii="Times New Roman" w:hAnsi="Times New Roman" w:cs="Times New Roman"/>
                <w:sz w:val="24"/>
                <w:szCs w:val="24"/>
              </w:rPr>
            </w:pPr>
            <w:r w:rsidRPr="0049220A">
              <w:rPr>
                <w:rFonts w:ascii="Times New Roman" w:hAnsi="Times New Roman" w:cs="Times New Roman"/>
                <w:sz w:val="24"/>
                <w:szCs w:val="24"/>
              </w:rPr>
              <w:t>W</w:t>
            </w:r>
            <w:r w:rsidR="00172DA7" w:rsidRPr="0049220A">
              <w:rPr>
                <w:rFonts w:ascii="Times New Roman" w:hAnsi="Times New Roman" w:cs="Times New Roman"/>
                <w:sz w:val="24"/>
                <w:szCs w:val="24"/>
              </w:rPr>
              <w:t>iley</w:t>
            </w:r>
          </w:p>
        </w:tc>
      </w:tr>
      <w:tr w:rsidR="0049220A" w:rsidRPr="0049220A" w14:paraId="14DCA442" w14:textId="77777777" w:rsidTr="006D4DD7">
        <w:trPr>
          <w:trHeight w:val="359"/>
        </w:trPr>
        <w:tc>
          <w:tcPr>
            <w:tcW w:w="756" w:type="dxa"/>
            <w:tcBorders>
              <w:right w:val="nil"/>
            </w:tcBorders>
          </w:tcPr>
          <w:p w14:paraId="380A1747" w14:textId="77777777" w:rsidR="009B36B8" w:rsidRPr="0049220A" w:rsidRDefault="009B36B8" w:rsidP="003421EC">
            <w:pPr>
              <w:jc w:val="both"/>
              <w:rPr>
                <w:rFonts w:ascii="Times New Roman" w:hAnsi="Times New Roman" w:cs="Times New Roman"/>
                <w:sz w:val="24"/>
                <w:szCs w:val="24"/>
              </w:rPr>
            </w:pPr>
            <w:r w:rsidRPr="0049220A">
              <w:rPr>
                <w:rFonts w:ascii="Times New Roman" w:hAnsi="Times New Roman" w:cs="Times New Roman"/>
                <w:sz w:val="24"/>
                <w:szCs w:val="24"/>
              </w:rPr>
              <w:t>29.45</w:t>
            </w:r>
          </w:p>
        </w:tc>
        <w:tc>
          <w:tcPr>
            <w:tcW w:w="4083" w:type="dxa"/>
            <w:tcBorders>
              <w:left w:val="nil"/>
              <w:right w:val="nil"/>
            </w:tcBorders>
          </w:tcPr>
          <w:p w14:paraId="762BC932" w14:textId="77777777" w:rsidR="009B36B8" w:rsidRPr="0049220A" w:rsidRDefault="00682148" w:rsidP="00682148">
            <w:pPr>
              <w:jc w:val="both"/>
              <w:rPr>
                <w:rFonts w:ascii="Times New Roman" w:hAnsi="Times New Roman" w:cs="Times New Roman"/>
                <w:sz w:val="24"/>
                <w:szCs w:val="24"/>
              </w:rPr>
            </w:pPr>
            <w:r w:rsidRPr="0049220A">
              <w:rPr>
                <w:rFonts w:ascii="Times New Roman" w:hAnsi="Times New Roman" w:cs="Times New Roman"/>
                <w:sz w:val="24"/>
                <w:szCs w:val="24"/>
              </w:rPr>
              <w:t>Hexadecadienoic acid, methyl ester</w:t>
            </w:r>
          </w:p>
        </w:tc>
        <w:tc>
          <w:tcPr>
            <w:tcW w:w="1523" w:type="dxa"/>
            <w:tcBorders>
              <w:left w:val="nil"/>
              <w:right w:val="nil"/>
            </w:tcBorders>
          </w:tcPr>
          <w:p w14:paraId="08D26B2B"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C19H34O2</w:t>
            </w:r>
          </w:p>
        </w:tc>
        <w:tc>
          <w:tcPr>
            <w:tcW w:w="743" w:type="dxa"/>
            <w:tcBorders>
              <w:left w:val="nil"/>
              <w:right w:val="nil"/>
            </w:tcBorders>
          </w:tcPr>
          <w:p w14:paraId="0B660899"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294</w:t>
            </w:r>
          </w:p>
        </w:tc>
        <w:tc>
          <w:tcPr>
            <w:tcW w:w="990" w:type="dxa"/>
            <w:tcBorders>
              <w:left w:val="nil"/>
              <w:right w:val="nil"/>
            </w:tcBorders>
          </w:tcPr>
          <w:p w14:paraId="64647CFE"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0.95</w:t>
            </w:r>
          </w:p>
        </w:tc>
        <w:tc>
          <w:tcPr>
            <w:tcW w:w="1058" w:type="dxa"/>
            <w:tcBorders>
              <w:left w:val="nil"/>
            </w:tcBorders>
          </w:tcPr>
          <w:p w14:paraId="7E1C0AF0" w14:textId="77777777" w:rsidR="009B36B8" w:rsidRPr="0049220A" w:rsidRDefault="00172DA7" w:rsidP="000B6857">
            <w:pPr>
              <w:rPr>
                <w:rFonts w:ascii="Times New Roman" w:hAnsi="Times New Roman" w:cs="Times New Roman"/>
                <w:sz w:val="24"/>
                <w:szCs w:val="24"/>
              </w:rPr>
            </w:pPr>
            <w:r w:rsidRPr="0049220A">
              <w:rPr>
                <w:rFonts w:ascii="Times New Roman" w:hAnsi="Times New Roman" w:cs="Times New Roman"/>
                <w:sz w:val="24"/>
                <w:szCs w:val="24"/>
              </w:rPr>
              <w:t>Wiley</w:t>
            </w:r>
          </w:p>
        </w:tc>
      </w:tr>
      <w:tr w:rsidR="0049220A" w:rsidRPr="0049220A" w14:paraId="6DCD8F66" w14:textId="77777777" w:rsidTr="006D4DD7">
        <w:trPr>
          <w:trHeight w:val="341"/>
        </w:trPr>
        <w:tc>
          <w:tcPr>
            <w:tcW w:w="756" w:type="dxa"/>
            <w:tcBorders>
              <w:right w:val="nil"/>
            </w:tcBorders>
          </w:tcPr>
          <w:p w14:paraId="6F96303F" w14:textId="77777777" w:rsidR="009B36B8" w:rsidRPr="0049220A" w:rsidRDefault="009B36B8" w:rsidP="003421EC">
            <w:pPr>
              <w:jc w:val="both"/>
              <w:rPr>
                <w:rFonts w:ascii="Times New Roman" w:hAnsi="Times New Roman" w:cs="Times New Roman"/>
                <w:sz w:val="24"/>
                <w:szCs w:val="24"/>
              </w:rPr>
            </w:pPr>
            <w:r w:rsidRPr="0049220A">
              <w:rPr>
                <w:rFonts w:ascii="Times New Roman" w:hAnsi="Times New Roman" w:cs="Times New Roman"/>
                <w:sz w:val="24"/>
                <w:szCs w:val="24"/>
              </w:rPr>
              <w:t>29.62</w:t>
            </w:r>
          </w:p>
        </w:tc>
        <w:tc>
          <w:tcPr>
            <w:tcW w:w="4083" w:type="dxa"/>
            <w:tcBorders>
              <w:left w:val="nil"/>
              <w:right w:val="nil"/>
            </w:tcBorders>
          </w:tcPr>
          <w:p w14:paraId="6FC5CA88" w14:textId="77777777" w:rsidR="009B36B8" w:rsidRPr="0049220A" w:rsidRDefault="009B36B8" w:rsidP="006E1B9A">
            <w:pPr>
              <w:jc w:val="both"/>
              <w:rPr>
                <w:rFonts w:ascii="Times New Roman" w:hAnsi="Times New Roman" w:cs="Times New Roman"/>
                <w:sz w:val="24"/>
                <w:szCs w:val="24"/>
              </w:rPr>
            </w:pPr>
            <w:r w:rsidRPr="0049220A">
              <w:rPr>
                <w:rFonts w:ascii="Times New Roman" w:hAnsi="Times New Roman" w:cs="Times New Roman"/>
                <w:sz w:val="24"/>
                <w:szCs w:val="24"/>
              </w:rPr>
              <w:t>9-Octadecenoic acid (Z)-, methyl ester</w:t>
            </w:r>
          </w:p>
        </w:tc>
        <w:tc>
          <w:tcPr>
            <w:tcW w:w="1523" w:type="dxa"/>
            <w:tcBorders>
              <w:left w:val="nil"/>
              <w:right w:val="nil"/>
            </w:tcBorders>
          </w:tcPr>
          <w:p w14:paraId="11F7C81B"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C19H36O2</w:t>
            </w:r>
          </w:p>
        </w:tc>
        <w:tc>
          <w:tcPr>
            <w:tcW w:w="743" w:type="dxa"/>
            <w:tcBorders>
              <w:left w:val="nil"/>
              <w:right w:val="nil"/>
            </w:tcBorders>
          </w:tcPr>
          <w:p w14:paraId="69C481A8"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296</w:t>
            </w:r>
          </w:p>
        </w:tc>
        <w:tc>
          <w:tcPr>
            <w:tcW w:w="990" w:type="dxa"/>
            <w:tcBorders>
              <w:left w:val="nil"/>
              <w:right w:val="nil"/>
            </w:tcBorders>
          </w:tcPr>
          <w:p w14:paraId="32AEFFAB"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3.35</w:t>
            </w:r>
          </w:p>
        </w:tc>
        <w:tc>
          <w:tcPr>
            <w:tcW w:w="1058" w:type="dxa"/>
            <w:tcBorders>
              <w:left w:val="nil"/>
            </w:tcBorders>
          </w:tcPr>
          <w:p w14:paraId="7E9323B3" w14:textId="77777777" w:rsidR="009B36B8" w:rsidRPr="0049220A" w:rsidRDefault="00172DA7" w:rsidP="000B6857">
            <w:pPr>
              <w:rPr>
                <w:rFonts w:ascii="Times New Roman" w:hAnsi="Times New Roman" w:cs="Times New Roman"/>
                <w:sz w:val="24"/>
                <w:szCs w:val="24"/>
              </w:rPr>
            </w:pPr>
            <w:r w:rsidRPr="0049220A">
              <w:rPr>
                <w:rFonts w:ascii="Times New Roman" w:hAnsi="Times New Roman" w:cs="Times New Roman"/>
                <w:sz w:val="24"/>
                <w:szCs w:val="24"/>
              </w:rPr>
              <w:t>Wiley</w:t>
            </w:r>
          </w:p>
        </w:tc>
      </w:tr>
      <w:tr w:rsidR="0049220A" w:rsidRPr="0049220A" w14:paraId="5218C63F" w14:textId="77777777" w:rsidTr="006D4DD7">
        <w:trPr>
          <w:trHeight w:val="260"/>
        </w:trPr>
        <w:tc>
          <w:tcPr>
            <w:tcW w:w="756" w:type="dxa"/>
            <w:tcBorders>
              <w:right w:val="nil"/>
            </w:tcBorders>
          </w:tcPr>
          <w:p w14:paraId="02032230" w14:textId="77777777" w:rsidR="009B36B8" w:rsidRPr="0049220A" w:rsidRDefault="009B36B8" w:rsidP="003421EC">
            <w:pPr>
              <w:jc w:val="both"/>
              <w:rPr>
                <w:rFonts w:ascii="Times New Roman" w:hAnsi="Times New Roman" w:cs="Times New Roman"/>
                <w:sz w:val="24"/>
                <w:szCs w:val="24"/>
              </w:rPr>
            </w:pPr>
            <w:r w:rsidRPr="0049220A">
              <w:rPr>
                <w:rFonts w:ascii="Times New Roman" w:hAnsi="Times New Roman" w:cs="Times New Roman"/>
                <w:sz w:val="24"/>
                <w:szCs w:val="24"/>
              </w:rPr>
              <w:t>29.74</w:t>
            </w:r>
          </w:p>
        </w:tc>
        <w:tc>
          <w:tcPr>
            <w:tcW w:w="4083" w:type="dxa"/>
            <w:tcBorders>
              <w:left w:val="nil"/>
              <w:right w:val="nil"/>
            </w:tcBorders>
          </w:tcPr>
          <w:p w14:paraId="4D432EBA" w14:textId="77777777" w:rsidR="009B36B8" w:rsidRPr="0049220A" w:rsidRDefault="009B36B8" w:rsidP="006E1B9A">
            <w:pPr>
              <w:jc w:val="both"/>
              <w:rPr>
                <w:rFonts w:ascii="Times New Roman" w:hAnsi="Times New Roman" w:cs="Times New Roman"/>
                <w:sz w:val="24"/>
                <w:szCs w:val="24"/>
              </w:rPr>
            </w:pPr>
            <w:r w:rsidRPr="0049220A">
              <w:rPr>
                <w:rFonts w:ascii="Times New Roman" w:hAnsi="Times New Roman" w:cs="Times New Roman"/>
                <w:sz w:val="24"/>
                <w:szCs w:val="24"/>
              </w:rPr>
              <w:t xml:space="preserve"> 9,12-Octadecadienoyl chloride, (Z,Z)</w:t>
            </w:r>
          </w:p>
        </w:tc>
        <w:tc>
          <w:tcPr>
            <w:tcW w:w="1523" w:type="dxa"/>
            <w:tcBorders>
              <w:left w:val="nil"/>
              <w:right w:val="nil"/>
            </w:tcBorders>
          </w:tcPr>
          <w:p w14:paraId="2564849E"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C18H31ClO</w:t>
            </w:r>
          </w:p>
        </w:tc>
        <w:tc>
          <w:tcPr>
            <w:tcW w:w="743" w:type="dxa"/>
            <w:tcBorders>
              <w:left w:val="nil"/>
              <w:right w:val="nil"/>
            </w:tcBorders>
          </w:tcPr>
          <w:p w14:paraId="1C407339"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298</w:t>
            </w:r>
          </w:p>
        </w:tc>
        <w:tc>
          <w:tcPr>
            <w:tcW w:w="990" w:type="dxa"/>
            <w:tcBorders>
              <w:left w:val="nil"/>
              <w:right w:val="nil"/>
            </w:tcBorders>
          </w:tcPr>
          <w:p w14:paraId="6F9112AB"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1.06</w:t>
            </w:r>
          </w:p>
        </w:tc>
        <w:tc>
          <w:tcPr>
            <w:tcW w:w="1058" w:type="dxa"/>
            <w:tcBorders>
              <w:left w:val="nil"/>
            </w:tcBorders>
          </w:tcPr>
          <w:p w14:paraId="2B861678" w14:textId="77777777" w:rsidR="009B36B8" w:rsidRPr="0049220A" w:rsidRDefault="009B36B8" w:rsidP="000B6857">
            <w:pPr>
              <w:rPr>
                <w:rFonts w:ascii="Times New Roman" w:hAnsi="Times New Roman" w:cs="Times New Roman"/>
                <w:sz w:val="24"/>
                <w:szCs w:val="24"/>
              </w:rPr>
            </w:pPr>
            <w:r w:rsidRPr="0049220A">
              <w:rPr>
                <w:rFonts w:ascii="Times New Roman" w:hAnsi="Times New Roman" w:cs="Times New Roman"/>
                <w:sz w:val="24"/>
                <w:szCs w:val="24"/>
              </w:rPr>
              <w:t>replib</w:t>
            </w:r>
          </w:p>
        </w:tc>
      </w:tr>
      <w:tr w:rsidR="0049220A" w:rsidRPr="0049220A" w14:paraId="22F1E40C" w14:textId="77777777" w:rsidTr="006D4DD7">
        <w:trPr>
          <w:trHeight w:val="332"/>
        </w:trPr>
        <w:tc>
          <w:tcPr>
            <w:tcW w:w="756" w:type="dxa"/>
            <w:tcBorders>
              <w:right w:val="nil"/>
            </w:tcBorders>
          </w:tcPr>
          <w:p w14:paraId="1B7A31C3" w14:textId="77777777" w:rsidR="009B36B8" w:rsidRPr="0049220A" w:rsidRDefault="009B36B8" w:rsidP="003421EC">
            <w:pPr>
              <w:jc w:val="both"/>
              <w:rPr>
                <w:rFonts w:ascii="Times New Roman" w:hAnsi="Times New Roman" w:cs="Times New Roman"/>
                <w:sz w:val="24"/>
                <w:szCs w:val="24"/>
              </w:rPr>
            </w:pPr>
            <w:r w:rsidRPr="0049220A">
              <w:rPr>
                <w:rFonts w:ascii="Times New Roman" w:hAnsi="Times New Roman" w:cs="Times New Roman"/>
                <w:sz w:val="24"/>
                <w:szCs w:val="24"/>
              </w:rPr>
              <w:t>29.96</w:t>
            </w:r>
          </w:p>
        </w:tc>
        <w:tc>
          <w:tcPr>
            <w:tcW w:w="4083" w:type="dxa"/>
            <w:tcBorders>
              <w:left w:val="nil"/>
              <w:right w:val="nil"/>
            </w:tcBorders>
          </w:tcPr>
          <w:p w14:paraId="39D3B545" w14:textId="77777777" w:rsidR="009B36B8" w:rsidRPr="0049220A" w:rsidRDefault="009B36B8" w:rsidP="003421EC">
            <w:pPr>
              <w:jc w:val="both"/>
              <w:rPr>
                <w:rFonts w:ascii="Times New Roman" w:hAnsi="Times New Roman" w:cs="Times New Roman"/>
                <w:sz w:val="24"/>
                <w:szCs w:val="24"/>
              </w:rPr>
            </w:pPr>
            <w:r w:rsidRPr="0049220A">
              <w:rPr>
                <w:rFonts w:ascii="Times New Roman" w:hAnsi="Times New Roman" w:cs="Times New Roman"/>
                <w:sz w:val="24"/>
                <w:szCs w:val="24"/>
              </w:rPr>
              <w:t>Undec-10-ynoic acid, dodecyl ester</w:t>
            </w:r>
          </w:p>
        </w:tc>
        <w:tc>
          <w:tcPr>
            <w:tcW w:w="1523" w:type="dxa"/>
            <w:tcBorders>
              <w:left w:val="nil"/>
              <w:right w:val="nil"/>
            </w:tcBorders>
          </w:tcPr>
          <w:p w14:paraId="09DDF116"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C23H42O2</w:t>
            </w:r>
          </w:p>
        </w:tc>
        <w:tc>
          <w:tcPr>
            <w:tcW w:w="743" w:type="dxa"/>
            <w:tcBorders>
              <w:left w:val="nil"/>
              <w:right w:val="nil"/>
            </w:tcBorders>
          </w:tcPr>
          <w:p w14:paraId="22768461"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350</w:t>
            </w:r>
          </w:p>
        </w:tc>
        <w:tc>
          <w:tcPr>
            <w:tcW w:w="990" w:type="dxa"/>
            <w:tcBorders>
              <w:left w:val="nil"/>
              <w:right w:val="nil"/>
            </w:tcBorders>
          </w:tcPr>
          <w:p w14:paraId="37C1373C"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1.95</w:t>
            </w:r>
          </w:p>
        </w:tc>
        <w:tc>
          <w:tcPr>
            <w:tcW w:w="1058" w:type="dxa"/>
            <w:tcBorders>
              <w:left w:val="nil"/>
            </w:tcBorders>
          </w:tcPr>
          <w:p w14:paraId="0A70C2E8" w14:textId="77777777" w:rsidR="009B36B8" w:rsidRPr="0049220A" w:rsidRDefault="009B36B8" w:rsidP="000B6857">
            <w:pPr>
              <w:rPr>
                <w:rFonts w:ascii="Times New Roman" w:hAnsi="Times New Roman" w:cs="Times New Roman"/>
                <w:sz w:val="24"/>
                <w:szCs w:val="24"/>
              </w:rPr>
            </w:pPr>
            <w:r w:rsidRPr="0049220A">
              <w:rPr>
                <w:rFonts w:ascii="Times New Roman" w:hAnsi="Times New Roman" w:cs="Times New Roman"/>
                <w:sz w:val="24"/>
                <w:szCs w:val="24"/>
              </w:rPr>
              <w:t>mainlib</w:t>
            </w:r>
          </w:p>
        </w:tc>
      </w:tr>
      <w:tr w:rsidR="0049220A" w:rsidRPr="0049220A" w14:paraId="2C2F4365" w14:textId="77777777" w:rsidTr="006D4DD7">
        <w:trPr>
          <w:trHeight w:val="516"/>
        </w:trPr>
        <w:tc>
          <w:tcPr>
            <w:tcW w:w="756" w:type="dxa"/>
            <w:tcBorders>
              <w:right w:val="nil"/>
            </w:tcBorders>
          </w:tcPr>
          <w:p w14:paraId="34C668D1" w14:textId="77777777" w:rsidR="009B36B8" w:rsidRPr="0049220A" w:rsidRDefault="009B36B8" w:rsidP="003421EC">
            <w:pPr>
              <w:jc w:val="both"/>
              <w:rPr>
                <w:rFonts w:ascii="Times New Roman" w:hAnsi="Times New Roman" w:cs="Times New Roman"/>
                <w:sz w:val="24"/>
                <w:szCs w:val="24"/>
              </w:rPr>
            </w:pPr>
            <w:r w:rsidRPr="0049220A">
              <w:rPr>
                <w:rFonts w:ascii="Times New Roman" w:hAnsi="Times New Roman" w:cs="Times New Roman"/>
                <w:sz w:val="24"/>
                <w:szCs w:val="24"/>
              </w:rPr>
              <w:t>30.18</w:t>
            </w:r>
          </w:p>
        </w:tc>
        <w:tc>
          <w:tcPr>
            <w:tcW w:w="4083" w:type="dxa"/>
            <w:tcBorders>
              <w:left w:val="nil"/>
              <w:right w:val="nil"/>
            </w:tcBorders>
          </w:tcPr>
          <w:p w14:paraId="3AAFE634" w14:textId="77777777" w:rsidR="009B36B8" w:rsidRPr="0049220A" w:rsidRDefault="009B36B8" w:rsidP="006E1B9A">
            <w:pPr>
              <w:jc w:val="both"/>
              <w:rPr>
                <w:rFonts w:ascii="Times New Roman" w:hAnsi="Times New Roman" w:cs="Times New Roman"/>
                <w:sz w:val="24"/>
                <w:szCs w:val="24"/>
              </w:rPr>
            </w:pPr>
            <w:r w:rsidRPr="0049220A">
              <w:rPr>
                <w:rFonts w:ascii="Times New Roman" w:hAnsi="Times New Roman" w:cs="Times New Roman"/>
                <w:sz w:val="24"/>
                <w:szCs w:val="24"/>
              </w:rPr>
              <w:t>Tetradecanoic acid, 12-methyl-, methyl ester</w:t>
            </w:r>
          </w:p>
        </w:tc>
        <w:tc>
          <w:tcPr>
            <w:tcW w:w="1523" w:type="dxa"/>
            <w:tcBorders>
              <w:left w:val="nil"/>
              <w:right w:val="nil"/>
            </w:tcBorders>
          </w:tcPr>
          <w:p w14:paraId="091F2F49"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C16H32O2</w:t>
            </w:r>
          </w:p>
        </w:tc>
        <w:tc>
          <w:tcPr>
            <w:tcW w:w="743" w:type="dxa"/>
            <w:tcBorders>
              <w:left w:val="nil"/>
              <w:right w:val="nil"/>
            </w:tcBorders>
          </w:tcPr>
          <w:p w14:paraId="0C65C78F"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256</w:t>
            </w:r>
          </w:p>
        </w:tc>
        <w:tc>
          <w:tcPr>
            <w:tcW w:w="990" w:type="dxa"/>
            <w:tcBorders>
              <w:left w:val="nil"/>
              <w:right w:val="nil"/>
            </w:tcBorders>
          </w:tcPr>
          <w:p w14:paraId="37A569BA"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1.11</w:t>
            </w:r>
          </w:p>
        </w:tc>
        <w:tc>
          <w:tcPr>
            <w:tcW w:w="1058" w:type="dxa"/>
            <w:tcBorders>
              <w:left w:val="nil"/>
            </w:tcBorders>
          </w:tcPr>
          <w:p w14:paraId="5FD5E7EC" w14:textId="77777777" w:rsidR="009B36B8" w:rsidRPr="0049220A" w:rsidRDefault="00172DA7" w:rsidP="000B6857">
            <w:pPr>
              <w:rPr>
                <w:rFonts w:ascii="Times New Roman" w:hAnsi="Times New Roman" w:cs="Times New Roman"/>
                <w:sz w:val="24"/>
                <w:szCs w:val="24"/>
              </w:rPr>
            </w:pPr>
            <w:r w:rsidRPr="0049220A">
              <w:rPr>
                <w:rFonts w:ascii="Times New Roman" w:hAnsi="Times New Roman" w:cs="Times New Roman"/>
                <w:sz w:val="24"/>
                <w:szCs w:val="24"/>
              </w:rPr>
              <w:t>Wiley</w:t>
            </w:r>
          </w:p>
        </w:tc>
      </w:tr>
      <w:tr w:rsidR="0049220A" w:rsidRPr="0049220A" w14:paraId="46CB3CC9" w14:textId="77777777" w:rsidTr="006D4DD7">
        <w:trPr>
          <w:trHeight w:val="258"/>
        </w:trPr>
        <w:tc>
          <w:tcPr>
            <w:tcW w:w="756" w:type="dxa"/>
            <w:tcBorders>
              <w:right w:val="nil"/>
            </w:tcBorders>
          </w:tcPr>
          <w:p w14:paraId="2C393A6E" w14:textId="77777777" w:rsidR="009B36B8" w:rsidRPr="0049220A" w:rsidRDefault="009B36B8" w:rsidP="003421EC">
            <w:pPr>
              <w:jc w:val="both"/>
              <w:rPr>
                <w:rFonts w:ascii="Times New Roman" w:hAnsi="Times New Roman" w:cs="Times New Roman"/>
                <w:sz w:val="24"/>
                <w:szCs w:val="24"/>
              </w:rPr>
            </w:pPr>
            <w:r w:rsidRPr="0049220A">
              <w:rPr>
                <w:rFonts w:ascii="Times New Roman" w:hAnsi="Times New Roman" w:cs="Times New Roman"/>
                <w:sz w:val="24"/>
                <w:szCs w:val="24"/>
              </w:rPr>
              <w:t>30.95</w:t>
            </w:r>
          </w:p>
        </w:tc>
        <w:tc>
          <w:tcPr>
            <w:tcW w:w="4083" w:type="dxa"/>
            <w:tcBorders>
              <w:left w:val="nil"/>
              <w:right w:val="nil"/>
            </w:tcBorders>
          </w:tcPr>
          <w:p w14:paraId="2A836567" w14:textId="77777777" w:rsidR="009B36B8" w:rsidRPr="0049220A" w:rsidRDefault="009B36B8" w:rsidP="003421EC">
            <w:pPr>
              <w:jc w:val="both"/>
              <w:rPr>
                <w:rFonts w:ascii="Times New Roman" w:hAnsi="Times New Roman" w:cs="Times New Roman"/>
                <w:sz w:val="24"/>
                <w:szCs w:val="24"/>
              </w:rPr>
            </w:pPr>
            <w:r w:rsidRPr="0049220A">
              <w:rPr>
                <w:rFonts w:ascii="Times New Roman" w:hAnsi="Times New Roman" w:cs="Times New Roman"/>
                <w:sz w:val="24"/>
                <w:szCs w:val="24"/>
              </w:rPr>
              <w:t>9-Hexadecenoic acid</w:t>
            </w:r>
          </w:p>
        </w:tc>
        <w:tc>
          <w:tcPr>
            <w:tcW w:w="1523" w:type="dxa"/>
            <w:tcBorders>
              <w:left w:val="nil"/>
              <w:right w:val="nil"/>
            </w:tcBorders>
          </w:tcPr>
          <w:p w14:paraId="0DD5F949"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C16H30O2</w:t>
            </w:r>
          </w:p>
        </w:tc>
        <w:tc>
          <w:tcPr>
            <w:tcW w:w="743" w:type="dxa"/>
            <w:tcBorders>
              <w:left w:val="nil"/>
              <w:right w:val="nil"/>
            </w:tcBorders>
          </w:tcPr>
          <w:p w14:paraId="64C92954"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254</w:t>
            </w:r>
          </w:p>
        </w:tc>
        <w:tc>
          <w:tcPr>
            <w:tcW w:w="990" w:type="dxa"/>
            <w:tcBorders>
              <w:left w:val="nil"/>
              <w:right w:val="nil"/>
            </w:tcBorders>
          </w:tcPr>
          <w:p w14:paraId="1443641E"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0.56</w:t>
            </w:r>
          </w:p>
        </w:tc>
        <w:tc>
          <w:tcPr>
            <w:tcW w:w="1058" w:type="dxa"/>
            <w:tcBorders>
              <w:left w:val="nil"/>
            </w:tcBorders>
          </w:tcPr>
          <w:p w14:paraId="78649C40" w14:textId="77777777" w:rsidR="009B36B8" w:rsidRPr="0049220A" w:rsidRDefault="009B36B8" w:rsidP="000B6857">
            <w:pPr>
              <w:rPr>
                <w:rFonts w:ascii="Times New Roman" w:hAnsi="Times New Roman" w:cs="Times New Roman"/>
                <w:sz w:val="24"/>
                <w:szCs w:val="24"/>
              </w:rPr>
            </w:pPr>
            <w:r w:rsidRPr="0049220A">
              <w:rPr>
                <w:rFonts w:ascii="Times New Roman" w:hAnsi="Times New Roman" w:cs="Times New Roman"/>
                <w:sz w:val="24"/>
                <w:szCs w:val="24"/>
              </w:rPr>
              <w:t>mainlib</w:t>
            </w:r>
          </w:p>
        </w:tc>
      </w:tr>
      <w:tr w:rsidR="0049220A" w:rsidRPr="0049220A" w14:paraId="1B6872AF" w14:textId="77777777" w:rsidTr="006D4DD7">
        <w:trPr>
          <w:trHeight w:val="529"/>
        </w:trPr>
        <w:tc>
          <w:tcPr>
            <w:tcW w:w="756" w:type="dxa"/>
            <w:tcBorders>
              <w:right w:val="nil"/>
            </w:tcBorders>
          </w:tcPr>
          <w:p w14:paraId="7DE7B678" w14:textId="77777777" w:rsidR="009B36B8" w:rsidRPr="0049220A" w:rsidRDefault="009B36B8" w:rsidP="003421EC">
            <w:pPr>
              <w:jc w:val="both"/>
              <w:rPr>
                <w:rFonts w:ascii="Times New Roman" w:hAnsi="Times New Roman" w:cs="Times New Roman"/>
                <w:sz w:val="24"/>
                <w:szCs w:val="24"/>
              </w:rPr>
            </w:pPr>
            <w:r w:rsidRPr="0049220A">
              <w:rPr>
                <w:rFonts w:ascii="Times New Roman" w:hAnsi="Times New Roman" w:cs="Times New Roman"/>
                <w:sz w:val="24"/>
                <w:szCs w:val="24"/>
              </w:rPr>
              <w:lastRenderedPageBreak/>
              <w:t>33.37</w:t>
            </w:r>
          </w:p>
        </w:tc>
        <w:tc>
          <w:tcPr>
            <w:tcW w:w="4083" w:type="dxa"/>
            <w:tcBorders>
              <w:left w:val="nil"/>
              <w:right w:val="nil"/>
            </w:tcBorders>
          </w:tcPr>
          <w:p w14:paraId="3D50166D" w14:textId="77777777" w:rsidR="009B36B8" w:rsidRPr="0049220A" w:rsidRDefault="009B36B8" w:rsidP="006E1B9A">
            <w:pPr>
              <w:jc w:val="both"/>
              <w:rPr>
                <w:rFonts w:ascii="Times New Roman" w:hAnsi="Times New Roman" w:cs="Times New Roman"/>
                <w:sz w:val="24"/>
                <w:szCs w:val="24"/>
              </w:rPr>
            </w:pPr>
            <w:r w:rsidRPr="0049220A">
              <w:rPr>
                <w:rFonts w:ascii="Times New Roman" w:hAnsi="Times New Roman" w:cs="Times New Roman"/>
                <w:sz w:val="24"/>
                <w:szCs w:val="24"/>
              </w:rPr>
              <w:t>10-Heptadecen-8-ynoic acid, methyl ester</w:t>
            </w:r>
          </w:p>
        </w:tc>
        <w:tc>
          <w:tcPr>
            <w:tcW w:w="1523" w:type="dxa"/>
            <w:tcBorders>
              <w:left w:val="nil"/>
              <w:right w:val="nil"/>
            </w:tcBorders>
          </w:tcPr>
          <w:p w14:paraId="44791EC0"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C18H30O2</w:t>
            </w:r>
          </w:p>
        </w:tc>
        <w:tc>
          <w:tcPr>
            <w:tcW w:w="743" w:type="dxa"/>
            <w:tcBorders>
              <w:left w:val="nil"/>
              <w:right w:val="nil"/>
            </w:tcBorders>
          </w:tcPr>
          <w:p w14:paraId="759D8CB4"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278</w:t>
            </w:r>
          </w:p>
        </w:tc>
        <w:tc>
          <w:tcPr>
            <w:tcW w:w="990" w:type="dxa"/>
            <w:tcBorders>
              <w:left w:val="nil"/>
              <w:right w:val="nil"/>
            </w:tcBorders>
          </w:tcPr>
          <w:p w14:paraId="382BD73E"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0.64</w:t>
            </w:r>
          </w:p>
        </w:tc>
        <w:tc>
          <w:tcPr>
            <w:tcW w:w="1058" w:type="dxa"/>
            <w:tcBorders>
              <w:left w:val="nil"/>
            </w:tcBorders>
          </w:tcPr>
          <w:p w14:paraId="04ED3720" w14:textId="77777777" w:rsidR="009B36B8" w:rsidRPr="0049220A" w:rsidRDefault="00172DA7" w:rsidP="000B6857">
            <w:pPr>
              <w:rPr>
                <w:rFonts w:ascii="Times New Roman" w:hAnsi="Times New Roman" w:cs="Times New Roman"/>
                <w:sz w:val="24"/>
                <w:szCs w:val="24"/>
              </w:rPr>
            </w:pPr>
            <w:r w:rsidRPr="0049220A">
              <w:rPr>
                <w:rFonts w:ascii="Times New Roman" w:hAnsi="Times New Roman" w:cs="Times New Roman"/>
                <w:sz w:val="24"/>
                <w:szCs w:val="24"/>
              </w:rPr>
              <w:t>Wiley</w:t>
            </w:r>
          </w:p>
        </w:tc>
      </w:tr>
      <w:tr w:rsidR="0049220A" w:rsidRPr="0049220A" w14:paraId="0A6CA85C" w14:textId="77777777" w:rsidTr="006D4DD7">
        <w:trPr>
          <w:trHeight w:val="258"/>
        </w:trPr>
        <w:tc>
          <w:tcPr>
            <w:tcW w:w="756" w:type="dxa"/>
            <w:tcBorders>
              <w:right w:val="nil"/>
            </w:tcBorders>
          </w:tcPr>
          <w:p w14:paraId="110475EC" w14:textId="77777777" w:rsidR="009B36B8" w:rsidRPr="0049220A" w:rsidRDefault="009B36B8" w:rsidP="003421EC">
            <w:pPr>
              <w:jc w:val="both"/>
              <w:rPr>
                <w:rFonts w:ascii="Times New Roman" w:hAnsi="Times New Roman" w:cs="Times New Roman"/>
                <w:sz w:val="24"/>
                <w:szCs w:val="24"/>
              </w:rPr>
            </w:pPr>
            <w:r w:rsidRPr="0049220A">
              <w:rPr>
                <w:rFonts w:ascii="Times New Roman" w:hAnsi="Times New Roman" w:cs="Times New Roman"/>
                <w:sz w:val="24"/>
                <w:szCs w:val="24"/>
              </w:rPr>
              <w:t>35.99</w:t>
            </w:r>
          </w:p>
        </w:tc>
        <w:tc>
          <w:tcPr>
            <w:tcW w:w="4083" w:type="dxa"/>
            <w:tcBorders>
              <w:left w:val="nil"/>
              <w:right w:val="nil"/>
            </w:tcBorders>
          </w:tcPr>
          <w:p w14:paraId="732CAA1C" w14:textId="77777777" w:rsidR="009B36B8" w:rsidRPr="0049220A" w:rsidRDefault="009B36B8" w:rsidP="003421EC">
            <w:pPr>
              <w:jc w:val="both"/>
              <w:rPr>
                <w:rFonts w:ascii="Times New Roman" w:hAnsi="Times New Roman" w:cs="Times New Roman"/>
                <w:sz w:val="24"/>
                <w:szCs w:val="24"/>
              </w:rPr>
            </w:pPr>
            <w:r w:rsidRPr="0049220A">
              <w:rPr>
                <w:rFonts w:ascii="Times New Roman" w:hAnsi="Times New Roman" w:cs="Times New Roman"/>
                <w:sz w:val="24"/>
                <w:szCs w:val="24"/>
              </w:rPr>
              <w:t xml:space="preserve"> Panaxjapyne A</w:t>
            </w:r>
          </w:p>
        </w:tc>
        <w:tc>
          <w:tcPr>
            <w:tcW w:w="1523" w:type="dxa"/>
            <w:tcBorders>
              <w:left w:val="nil"/>
              <w:right w:val="nil"/>
            </w:tcBorders>
          </w:tcPr>
          <w:p w14:paraId="1386EA0A"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C17H26O</w:t>
            </w:r>
          </w:p>
        </w:tc>
        <w:tc>
          <w:tcPr>
            <w:tcW w:w="743" w:type="dxa"/>
            <w:tcBorders>
              <w:left w:val="nil"/>
              <w:right w:val="nil"/>
            </w:tcBorders>
          </w:tcPr>
          <w:p w14:paraId="39CD2A78"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246</w:t>
            </w:r>
          </w:p>
        </w:tc>
        <w:tc>
          <w:tcPr>
            <w:tcW w:w="990" w:type="dxa"/>
            <w:tcBorders>
              <w:left w:val="nil"/>
              <w:right w:val="nil"/>
            </w:tcBorders>
          </w:tcPr>
          <w:p w14:paraId="0EE31736"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0.52</w:t>
            </w:r>
          </w:p>
        </w:tc>
        <w:tc>
          <w:tcPr>
            <w:tcW w:w="1058" w:type="dxa"/>
            <w:tcBorders>
              <w:left w:val="nil"/>
            </w:tcBorders>
          </w:tcPr>
          <w:p w14:paraId="38FE2F63" w14:textId="77777777" w:rsidR="009B36B8" w:rsidRPr="0049220A" w:rsidRDefault="009B36B8" w:rsidP="000B6857">
            <w:pPr>
              <w:rPr>
                <w:rFonts w:ascii="Times New Roman" w:hAnsi="Times New Roman" w:cs="Times New Roman"/>
                <w:sz w:val="24"/>
                <w:szCs w:val="24"/>
              </w:rPr>
            </w:pPr>
            <w:r w:rsidRPr="0049220A">
              <w:rPr>
                <w:rFonts w:ascii="Times New Roman" w:hAnsi="Times New Roman" w:cs="Times New Roman"/>
                <w:sz w:val="24"/>
                <w:szCs w:val="24"/>
              </w:rPr>
              <w:t>mainlib</w:t>
            </w:r>
          </w:p>
        </w:tc>
      </w:tr>
      <w:tr w:rsidR="0049220A" w:rsidRPr="0049220A" w14:paraId="54543958" w14:textId="77777777" w:rsidTr="006D4DD7">
        <w:trPr>
          <w:trHeight w:val="548"/>
        </w:trPr>
        <w:tc>
          <w:tcPr>
            <w:tcW w:w="756" w:type="dxa"/>
            <w:tcBorders>
              <w:right w:val="nil"/>
            </w:tcBorders>
          </w:tcPr>
          <w:p w14:paraId="0583782A" w14:textId="77777777" w:rsidR="009B36B8" w:rsidRPr="0049220A" w:rsidRDefault="009B36B8" w:rsidP="003421EC">
            <w:pPr>
              <w:jc w:val="both"/>
              <w:rPr>
                <w:rFonts w:ascii="Times New Roman" w:hAnsi="Times New Roman" w:cs="Times New Roman"/>
                <w:sz w:val="24"/>
                <w:szCs w:val="24"/>
              </w:rPr>
            </w:pPr>
            <w:r w:rsidRPr="0049220A">
              <w:rPr>
                <w:rFonts w:ascii="Times New Roman" w:hAnsi="Times New Roman" w:cs="Times New Roman"/>
                <w:sz w:val="24"/>
                <w:szCs w:val="24"/>
              </w:rPr>
              <w:t>36.66</w:t>
            </w:r>
          </w:p>
        </w:tc>
        <w:tc>
          <w:tcPr>
            <w:tcW w:w="4083" w:type="dxa"/>
            <w:tcBorders>
              <w:left w:val="nil"/>
              <w:right w:val="nil"/>
            </w:tcBorders>
          </w:tcPr>
          <w:p w14:paraId="1FA59337" w14:textId="77777777" w:rsidR="009B36B8" w:rsidRPr="0049220A" w:rsidRDefault="009B36B8" w:rsidP="00E72D95">
            <w:pPr>
              <w:jc w:val="both"/>
              <w:rPr>
                <w:rFonts w:ascii="Times New Roman" w:hAnsi="Times New Roman" w:cs="Times New Roman"/>
                <w:sz w:val="24"/>
                <w:szCs w:val="24"/>
              </w:rPr>
            </w:pPr>
            <w:r w:rsidRPr="0049220A">
              <w:rPr>
                <w:rFonts w:ascii="Times New Roman" w:hAnsi="Times New Roman" w:cs="Times New Roman"/>
                <w:sz w:val="24"/>
                <w:szCs w:val="24"/>
              </w:rPr>
              <w:t xml:space="preserve"> 2,5-Octadecadiynoic acid, methyl</w:t>
            </w:r>
          </w:p>
          <w:p w14:paraId="2E0D620C" w14:textId="77777777" w:rsidR="009B36B8" w:rsidRPr="0049220A" w:rsidRDefault="009B36B8" w:rsidP="00E72D95">
            <w:pPr>
              <w:jc w:val="both"/>
              <w:rPr>
                <w:rFonts w:ascii="Times New Roman" w:hAnsi="Times New Roman" w:cs="Times New Roman"/>
                <w:sz w:val="24"/>
                <w:szCs w:val="24"/>
              </w:rPr>
            </w:pPr>
            <w:r w:rsidRPr="0049220A">
              <w:rPr>
                <w:rFonts w:ascii="Times New Roman" w:hAnsi="Times New Roman" w:cs="Times New Roman"/>
                <w:sz w:val="24"/>
                <w:szCs w:val="24"/>
              </w:rPr>
              <w:t xml:space="preserve"> ester</w:t>
            </w:r>
          </w:p>
        </w:tc>
        <w:tc>
          <w:tcPr>
            <w:tcW w:w="1523" w:type="dxa"/>
            <w:tcBorders>
              <w:left w:val="nil"/>
              <w:right w:val="nil"/>
            </w:tcBorders>
          </w:tcPr>
          <w:p w14:paraId="5277419F"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C19H30O2</w:t>
            </w:r>
          </w:p>
        </w:tc>
        <w:tc>
          <w:tcPr>
            <w:tcW w:w="743" w:type="dxa"/>
            <w:tcBorders>
              <w:left w:val="nil"/>
              <w:right w:val="nil"/>
            </w:tcBorders>
          </w:tcPr>
          <w:p w14:paraId="441D53BE"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290</w:t>
            </w:r>
          </w:p>
        </w:tc>
        <w:tc>
          <w:tcPr>
            <w:tcW w:w="990" w:type="dxa"/>
            <w:tcBorders>
              <w:left w:val="nil"/>
              <w:right w:val="nil"/>
            </w:tcBorders>
          </w:tcPr>
          <w:p w14:paraId="342277D7"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0.45</w:t>
            </w:r>
          </w:p>
        </w:tc>
        <w:tc>
          <w:tcPr>
            <w:tcW w:w="1058" w:type="dxa"/>
            <w:tcBorders>
              <w:left w:val="nil"/>
            </w:tcBorders>
          </w:tcPr>
          <w:p w14:paraId="295C4873" w14:textId="77777777" w:rsidR="009B36B8" w:rsidRPr="0049220A" w:rsidRDefault="00172DA7" w:rsidP="000B6857">
            <w:pPr>
              <w:rPr>
                <w:rFonts w:ascii="Times New Roman" w:hAnsi="Times New Roman" w:cs="Times New Roman"/>
                <w:sz w:val="24"/>
                <w:szCs w:val="24"/>
              </w:rPr>
            </w:pPr>
            <w:r w:rsidRPr="0049220A">
              <w:rPr>
                <w:rFonts w:ascii="Times New Roman" w:hAnsi="Times New Roman" w:cs="Times New Roman"/>
                <w:sz w:val="24"/>
                <w:szCs w:val="24"/>
              </w:rPr>
              <w:t>Wiley</w:t>
            </w:r>
          </w:p>
        </w:tc>
      </w:tr>
      <w:tr w:rsidR="0049220A" w:rsidRPr="0049220A" w14:paraId="2A5F7CC0" w14:textId="77777777" w:rsidTr="006D4DD7">
        <w:trPr>
          <w:trHeight w:val="258"/>
        </w:trPr>
        <w:tc>
          <w:tcPr>
            <w:tcW w:w="756" w:type="dxa"/>
            <w:tcBorders>
              <w:right w:val="nil"/>
            </w:tcBorders>
          </w:tcPr>
          <w:p w14:paraId="3E28CF71" w14:textId="77777777" w:rsidR="009B36B8" w:rsidRPr="0049220A" w:rsidRDefault="009B36B8" w:rsidP="003421EC">
            <w:pPr>
              <w:jc w:val="both"/>
              <w:rPr>
                <w:rFonts w:ascii="Times New Roman" w:hAnsi="Times New Roman" w:cs="Times New Roman"/>
                <w:sz w:val="24"/>
                <w:szCs w:val="24"/>
              </w:rPr>
            </w:pPr>
            <w:r w:rsidRPr="0049220A">
              <w:rPr>
                <w:rFonts w:ascii="Times New Roman" w:hAnsi="Times New Roman" w:cs="Times New Roman"/>
                <w:sz w:val="24"/>
                <w:szCs w:val="24"/>
              </w:rPr>
              <w:t>39.21</w:t>
            </w:r>
          </w:p>
        </w:tc>
        <w:tc>
          <w:tcPr>
            <w:tcW w:w="4083" w:type="dxa"/>
            <w:tcBorders>
              <w:left w:val="nil"/>
              <w:right w:val="nil"/>
            </w:tcBorders>
          </w:tcPr>
          <w:p w14:paraId="3EAB0029" w14:textId="77777777" w:rsidR="009B36B8" w:rsidRPr="0049220A" w:rsidRDefault="00A73E0D" w:rsidP="00682148">
            <w:pPr>
              <w:jc w:val="both"/>
              <w:rPr>
                <w:rFonts w:ascii="Times New Roman" w:hAnsi="Times New Roman" w:cs="Times New Roman"/>
                <w:sz w:val="24"/>
                <w:szCs w:val="24"/>
              </w:rPr>
            </w:pPr>
            <w:r w:rsidRPr="0049220A">
              <w:rPr>
                <w:rFonts w:ascii="Times New Roman" w:hAnsi="Times New Roman" w:cs="Times New Roman"/>
                <w:sz w:val="24"/>
                <w:szCs w:val="24"/>
              </w:rPr>
              <w:t>Corymbolone</w:t>
            </w:r>
          </w:p>
        </w:tc>
        <w:tc>
          <w:tcPr>
            <w:tcW w:w="1523" w:type="dxa"/>
            <w:tcBorders>
              <w:left w:val="nil"/>
              <w:right w:val="nil"/>
            </w:tcBorders>
          </w:tcPr>
          <w:p w14:paraId="41320421" w14:textId="77777777" w:rsidR="009B36B8" w:rsidRPr="0049220A" w:rsidRDefault="00A73E0D" w:rsidP="006D4DD7">
            <w:pPr>
              <w:rPr>
                <w:rFonts w:ascii="Times New Roman" w:hAnsi="Times New Roman" w:cs="Times New Roman"/>
                <w:sz w:val="24"/>
                <w:szCs w:val="24"/>
              </w:rPr>
            </w:pPr>
            <w:r w:rsidRPr="0049220A">
              <w:rPr>
                <w:rFonts w:ascii="Times New Roman" w:hAnsi="Times New Roman" w:cs="Times New Roman"/>
                <w:sz w:val="24"/>
                <w:szCs w:val="24"/>
              </w:rPr>
              <w:t>C15H24O2</w:t>
            </w:r>
          </w:p>
        </w:tc>
        <w:tc>
          <w:tcPr>
            <w:tcW w:w="743" w:type="dxa"/>
            <w:tcBorders>
              <w:left w:val="nil"/>
              <w:right w:val="nil"/>
            </w:tcBorders>
          </w:tcPr>
          <w:p w14:paraId="36D53AA8" w14:textId="77777777" w:rsidR="009B36B8" w:rsidRPr="0049220A" w:rsidRDefault="00A73E0D" w:rsidP="006D4DD7">
            <w:pPr>
              <w:rPr>
                <w:rFonts w:ascii="Times New Roman" w:hAnsi="Times New Roman" w:cs="Times New Roman"/>
                <w:sz w:val="24"/>
                <w:szCs w:val="24"/>
              </w:rPr>
            </w:pPr>
            <w:r w:rsidRPr="0049220A">
              <w:rPr>
                <w:rFonts w:ascii="Times New Roman" w:hAnsi="Times New Roman" w:cs="Times New Roman"/>
                <w:sz w:val="24"/>
                <w:szCs w:val="24"/>
              </w:rPr>
              <w:t>236</w:t>
            </w:r>
          </w:p>
        </w:tc>
        <w:tc>
          <w:tcPr>
            <w:tcW w:w="990" w:type="dxa"/>
            <w:tcBorders>
              <w:left w:val="nil"/>
              <w:right w:val="nil"/>
            </w:tcBorders>
          </w:tcPr>
          <w:p w14:paraId="2D38229D"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1.17</w:t>
            </w:r>
          </w:p>
        </w:tc>
        <w:tc>
          <w:tcPr>
            <w:tcW w:w="1058" w:type="dxa"/>
            <w:tcBorders>
              <w:left w:val="nil"/>
            </w:tcBorders>
          </w:tcPr>
          <w:p w14:paraId="5D94A3DF" w14:textId="77777777" w:rsidR="009B36B8" w:rsidRPr="0049220A" w:rsidRDefault="00682148" w:rsidP="000B6857">
            <w:pPr>
              <w:rPr>
                <w:rFonts w:ascii="Times New Roman" w:hAnsi="Times New Roman" w:cs="Times New Roman"/>
                <w:sz w:val="24"/>
                <w:szCs w:val="24"/>
              </w:rPr>
            </w:pPr>
            <w:r w:rsidRPr="0049220A">
              <w:rPr>
                <w:rFonts w:ascii="Times New Roman" w:hAnsi="Times New Roman" w:cs="Times New Roman"/>
                <w:sz w:val="24"/>
                <w:szCs w:val="24"/>
              </w:rPr>
              <w:t>Wiley</w:t>
            </w:r>
          </w:p>
        </w:tc>
      </w:tr>
      <w:tr w:rsidR="0049220A" w:rsidRPr="0049220A" w14:paraId="26B9B75E" w14:textId="77777777" w:rsidTr="006D4DD7">
        <w:trPr>
          <w:trHeight w:val="271"/>
        </w:trPr>
        <w:tc>
          <w:tcPr>
            <w:tcW w:w="756" w:type="dxa"/>
            <w:tcBorders>
              <w:right w:val="nil"/>
            </w:tcBorders>
          </w:tcPr>
          <w:p w14:paraId="2C41AA51" w14:textId="77777777" w:rsidR="009B36B8" w:rsidRPr="0049220A" w:rsidRDefault="009B36B8" w:rsidP="003421EC">
            <w:pPr>
              <w:jc w:val="both"/>
              <w:rPr>
                <w:rFonts w:ascii="Times New Roman" w:hAnsi="Times New Roman" w:cs="Times New Roman"/>
                <w:sz w:val="24"/>
                <w:szCs w:val="24"/>
              </w:rPr>
            </w:pPr>
            <w:r w:rsidRPr="0049220A">
              <w:rPr>
                <w:rFonts w:ascii="Times New Roman" w:hAnsi="Times New Roman" w:cs="Times New Roman"/>
                <w:sz w:val="24"/>
                <w:szCs w:val="24"/>
              </w:rPr>
              <w:t>40.14</w:t>
            </w:r>
          </w:p>
        </w:tc>
        <w:tc>
          <w:tcPr>
            <w:tcW w:w="4083" w:type="dxa"/>
            <w:tcBorders>
              <w:left w:val="nil"/>
              <w:right w:val="nil"/>
            </w:tcBorders>
          </w:tcPr>
          <w:p w14:paraId="6E2FB3B9" w14:textId="77777777" w:rsidR="009B36B8" w:rsidRPr="0049220A" w:rsidRDefault="009B36B8" w:rsidP="003421EC">
            <w:pPr>
              <w:jc w:val="both"/>
              <w:rPr>
                <w:rFonts w:ascii="Times New Roman" w:hAnsi="Times New Roman" w:cs="Times New Roman"/>
                <w:sz w:val="24"/>
                <w:szCs w:val="24"/>
              </w:rPr>
            </w:pPr>
            <w:r w:rsidRPr="0049220A">
              <w:rPr>
                <w:rFonts w:ascii="Times New Roman" w:hAnsi="Times New Roman" w:cs="Times New Roman"/>
                <w:sz w:val="24"/>
                <w:szCs w:val="24"/>
              </w:rPr>
              <w:t>1-Heptatriacotanol</w:t>
            </w:r>
          </w:p>
        </w:tc>
        <w:tc>
          <w:tcPr>
            <w:tcW w:w="1523" w:type="dxa"/>
            <w:tcBorders>
              <w:left w:val="nil"/>
              <w:right w:val="nil"/>
            </w:tcBorders>
          </w:tcPr>
          <w:p w14:paraId="370EB94B"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C37H76O</w:t>
            </w:r>
          </w:p>
        </w:tc>
        <w:tc>
          <w:tcPr>
            <w:tcW w:w="743" w:type="dxa"/>
            <w:tcBorders>
              <w:left w:val="nil"/>
              <w:right w:val="nil"/>
            </w:tcBorders>
          </w:tcPr>
          <w:p w14:paraId="4AE73A1A"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536</w:t>
            </w:r>
          </w:p>
        </w:tc>
        <w:tc>
          <w:tcPr>
            <w:tcW w:w="990" w:type="dxa"/>
            <w:tcBorders>
              <w:left w:val="nil"/>
              <w:right w:val="nil"/>
            </w:tcBorders>
          </w:tcPr>
          <w:p w14:paraId="23ACD8B4"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0.67</w:t>
            </w:r>
          </w:p>
        </w:tc>
        <w:tc>
          <w:tcPr>
            <w:tcW w:w="1058" w:type="dxa"/>
            <w:tcBorders>
              <w:left w:val="nil"/>
            </w:tcBorders>
          </w:tcPr>
          <w:p w14:paraId="39024264" w14:textId="77777777" w:rsidR="009B36B8" w:rsidRPr="0049220A" w:rsidRDefault="009B36B8" w:rsidP="000B6857">
            <w:pPr>
              <w:rPr>
                <w:rFonts w:ascii="Times New Roman" w:hAnsi="Times New Roman" w:cs="Times New Roman"/>
                <w:sz w:val="24"/>
                <w:szCs w:val="24"/>
              </w:rPr>
            </w:pPr>
            <w:r w:rsidRPr="0049220A">
              <w:rPr>
                <w:rFonts w:ascii="Times New Roman" w:hAnsi="Times New Roman" w:cs="Times New Roman"/>
                <w:sz w:val="24"/>
                <w:szCs w:val="24"/>
              </w:rPr>
              <w:t>mainlib</w:t>
            </w:r>
          </w:p>
        </w:tc>
      </w:tr>
      <w:tr w:rsidR="0049220A" w:rsidRPr="0049220A" w14:paraId="2B048FA1" w14:textId="77777777" w:rsidTr="006D4DD7">
        <w:trPr>
          <w:trHeight w:val="516"/>
        </w:trPr>
        <w:tc>
          <w:tcPr>
            <w:tcW w:w="756" w:type="dxa"/>
            <w:tcBorders>
              <w:right w:val="nil"/>
            </w:tcBorders>
          </w:tcPr>
          <w:p w14:paraId="3DBC5E1A" w14:textId="77777777" w:rsidR="009B36B8" w:rsidRPr="0049220A" w:rsidRDefault="009B36B8" w:rsidP="003421EC">
            <w:pPr>
              <w:jc w:val="both"/>
              <w:rPr>
                <w:rFonts w:ascii="Times New Roman" w:hAnsi="Times New Roman" w:cs="Times New Roman"/>
                <w:sz w:val="24"/>
                <w:szCs w:val="24"/>
              </w:rPr>
            </w:pPr>
            <w:r w:rsidRPr="0049220A">
              <w:rPr>
                <w:rFonts w:ascii="Times New Roman" w:hAnsi="Times New Roman" w:cs="Times New Roman"/>
                <w:sz w:val="24"/>
                <w:szCs w:val="24"/>
              </w:rPr>
              <w:t>40.48</w:t>
            </w:r>
          </w:p>
        </w:tc>
        <w:tc>
          <w:tcPr>
            <w:tcW w:w="4083" w:type="dxa"/>
            <w:tcBorders>
              <w:left w:val="nil"/>
              <w:right w:val="nil"/>
            </w:tcBorders>
          </w:tcPr>
          <w:p w14:paraId="7E72D3D3" w14:textId="77777777" w:rsidR="009B36B8" w:rsidRPr="0049220A" w:rsidRDefault="009B36B8" w:rsidP="00E72D95">
            <w:pPr>
              <w:jc w:val="both"/>
              <w:rPr>
                <w:rFonts w:ascii="Times New Roman" w:hAnsi="Times New Roman" w:cs="Times New Roman"/>
                <w:sz w:val="24"/>
                <w:szCs w:val="24"/>
              </w:rPr>
            </w:pPr>
            <w:r w:rsidRPr="0049220A">
              <w:rPr>
                <w:rFonts w:ascii="Times New Roman" w:hAnsi="Times New Roman" w:cs="Times New Roman"/>
                <w:sz w:val="24"/>
                <w:szCs w:val="24"/>
              </w:rPr>
              <w:t>1,25-Dihydroxyvitamin D3, TMS derivative</w:t>
            </w:r>
          </w:p>
        </w:tc>
        <w:tc>
          <w:tcPr>
            <w:tcW w:w="1523" w:type="dxa"/>
            <w:tcBorders>
              <w:left w:val="nil"/>
              <w:right w:val="nil"/>
            </w:tcBorders>
          </w:tcPr>
          <w:p w14:paraId="16353154"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C30H52O3Si</w:t>
            </w:r>
          </w:p>
        </w:tc>
        <w:tc>
          <w:tcPr>
            <w:tcW w:w="743" w:type="dxa"/>
            <w:tcBorders>
              <w:left w:val="nil"/>
              <w:right w:val="nil"/>
            </w:tcBorders>
          </w:tcPr>
          <w:p w14:paraId="11B217BE"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488</w:t>
            </w:r>
          </w:p>
          <w:p w14:paraId="78459EA6" w14:textId="77777777" w:rsidR="009B36B8" w:rsidRPr="0049220A" w:rsidRDefault="009B36B8" w:rsidP="006D4DD7">
            <w:pPr>
              <w:rPr>
                <w:rFonts w:ascii="Times New Roman" w:hAnsi="Times New Roman" w:cs="Times New Roman"/>
                <w:sz w:val="24"/>
                <w:szCs w:val="24"/>
              </w:rPr>
            </w:pPr>
          </w:p>
        </w:tc>
        <w:tc>
          <w:tcPr>
            <w:tcW w:w="990" w:type="dxa"/>
            <w:tcBorders>
              <w:left w:val="nil"/>
              <w:right w:val="nil"/>
            </w:tcBorders>
          </w:tcPr>
          <w:p w14:paraId="21E44336"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1.65</w:t>
            </w:r>
          </w:p>
        </w:tc>
        <w:tc>
          <w:tcPr>
            <w:tcW w:w="1058" w:type="dxa"/>
            <w:tcBorders>
              <w:left w:val="nil"/>
            </w:tcBorders>
          </w:tcPr>
          <w:p w14:paraId="4CF340AA" w14:textId="77777777" w:rsidR="009B36B8" w:rsidRPr="0049220A" w:rsidRDefault="00172DA7" w:rsidP="000B6857">
            <w:pPr>
              <w:rPr>
                <w:rFonts w:ascii="Times New Roman" w:hAnsi="Times New Roman" w:cs="Times New Roman"/>
                <w:sz w:val="24"/>
                <w:szCs w:val="24"/>
              </w:rPr>
            </w:pPr>
            <w:r w:rsidRPr="0049220A">
              <w:rPr>
                <w:rFonts w:ascii="Times New Roman" w:hAnsi="Times New Roman" w:cs="Times New Roman"/>
                <w:sz w:val="24"/>
                <w:szCs w:val="24"/>
              </w:rPr>
              <w:t>Wiley</w:t>
            </w:r>
          </w:p>
        </w:tc>
      </w:tr>
      <w:tr w:rsidR="0049220A" w:rsidRPr="0049220A" w14:paraId="0E1DB309" w14:textId="77777777" w:rsidTr="006D4DD7">
        <w:trPr>
          <w:trHeight w:val="260"/>
        </w:trPr>
        <w:tc>
          <w:tcPr>
            <w:tcW w:w="756" w:type="dxa"/>
            <w:tcBorders>
              <w:right w:val="nil"/>
            </w:tcBorders>
          </w:tcPr>
          <w:p w14:paraId="6906CD1B" w14:textId="77777777" w:rsidR="009B36B8" w:rsidRPr="0049220A" w:rsidRDefault="009B36B8" w:rsidP="003421EC">
            <w:pPr>
              <w:jc w:val="both"/>
              <w:rPr>
                <w:rFonts w:ascii="Times New Roman" w:hAnsi="Times New Roman" w:cs="Times New Roman"/>
                <w:sz w:val="24"/>
                <w:szCs w:val="24"/>
              </w:rPr>
            </w:pPr>
            <w:r w:rsidRPr="0049220A">
              <w:rPr>
                <w:rFonts w:ascii="Times New Roman" w:hAnsi="Times New Roman" w:cs="Times New Roman"/>
                <w:sz w:val="24"/>
                <w:szCs w:val="24"/>
              </w:rPr>
              <w:t>40.90</w:t>
            </w:r>
          </w:p>
        </w:tc>
        <w:tc>
          <w:tcPr>
            <w:tcW w:w="4083" w:type="dxa"/>
            <w:tcBorders>
              <w:left w:val="nil"/>
              <w:right w:val="nil"/>
            </w:tcBorders>
          </w:tcPr>
          <w:p w14:paraId="44F778CC" w14:textId="77777777" w:rsidR="009B36B8" w:rsidRPr="0049220A" w:rsidRDefault="009B36B8" w:rsidP="003421EC">
            <w:pPr>
              <w:jc w:val="both"/>
              <w:rPr>
                <w:rFonts w:ascii="Times New Roman" w:hAnsi="Times New Roman" w:cs="Times New Roman"/>
                <w:sz w:val="24"/>
                <w:szCs w:val="24"/>
              </w:rPr>
            </w:pPr>
            <w:r w:rsidRPr="0049220A">
              <w:rPr>
                <w:rFonts w:ascii="Times New Roman" w:hAnsi="Times New Roman" w:cs="Times New Roman"/>
                <w:sz w:val="24"/>
                <w:szCs w:val="24"/>
              </w:rPr>
              <w:t>E-8-Methyl-9-tetradecen-1-ol acetate</w:t>
            </w:r>
          </w:p>
        </w:tc>
        <w:tc>
          <w:tcPr>
            <w:tcW w:w="1523" w:type="dxa"/>
            <w:tcBorders>
              <w:left w:val="nil"/>
              <w:right w:val="nil"/>
            </w:tcBorders>
          </w:tcPr>
          <w:p w14:paraId="64E20AD7"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C17H32O2</w:t>
            </w:r>
          </w:p>
        </w:tc>
        <w:tc>
          <w:tcPr>
            <w:tcW w:w="743" w:type="dxa"/>
            <w:tcBorders>
              <w:left w:val="nil"/>
              <w:right w:val="nil"/>
            </w:tcBorders>
          </w:tcPr>
          <w:p w14:paraId="4EC6C70D"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268</w:t>
            </w:r>
          </w:p>
        </w:tc>
        <w:tc>
          <w:tcPr>
            <w:tcW w:w="990" w:type="dxa"/>
            <w:tcBorders>
              <w:left w:val="nil"/>
              <w:right w:val="nil"/>
            </w:tcBorders>
          </w:tcPr>
          <w:p w14:paraId="3ACF1B9C"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0.44</w:t>
            </w:r>
          </w:p>
        </w:tc>
        <w:tc>
          <w:tcPr>
            <w:tcW w:w="1058" w:type="dxa"/>
            <w:tcBorders>
              <w:left w:val="nil"/>
            </w:tcBorders>
          </w:tcPr>
          <w:p w14:paraId="3662FA00" w14:textId="77777777" w:rsidR="009B36B8" w:rsidRPr="0049220A" w:rsidRDefault="009B36B8" w:rsidP="000B6857">
            <w:pPr>
              <w:rPr>
                <w:rFonts w:ascii="Times New Roman" w:hAnsi="Times New Roman" w:cs="Times New Roman"/>
                <w:sz w:val="24"/>
                <w:szCs w:val="24"/>
              </w:rPr>
            </w:pPr>
            <w:r w:rsidRPr="0049220A">
              <w:rPr>
                <w:rFonts w:ascii="Times New Roman" w:hAnsi="Times New Roman" w:cs="Times New Roman"/>
                <w:sz w:val="24"/>
                <w:szCs w:val="24"/>
              </w:rPr>
              <w:t>mainlib</w:t>
            </w:r>
          </w:p>
        </w:tc>
      </w:tr>
      <w:tr w:rsidR="0049220A" w:rsidRPr="0049220A" w14:paraId="2AC777A9" w14:textId="77777777" w:rsidTr="006D4DD7">
        <w:trPr>
          <w:trHeight w:val="161"/>
        </w:trPr>
        <w:tc>
          <w:tcPr>
            <w:tcW w:w="756" w:type="dxa"/>
            <w:tcBorders>
              <w:right w:val="nil"/>
            </w:tcBorders>
          </w:tcPr>
          <w:p w14:paraId="246A1C5D" w14:textId="77777777" w:rsidR="009B36B8" w:rsidRPr="0049220A" w:rsidRDefault="009B36B8" w:rsidP="003421EC">
            <w:pPr>
              <w:jc w:val="both"/>
              <w:rPr>
                <w:rFonts w:ascii="Times New Roman" w:hAnsi="Times New Roman" w:cs="Times New Roman"/>
                <w:sz w:val="24"/>
                <w:szCs w:val="24"/>
              </w:rPr>
            </w:pPr>
            <w:r w:rsidRPr="0049220A">
              <w:rPr>
                <w:rFonts w:ascii="Times New Roman" w:hAnsi="Times New Roman" w:cs="Times New Roman"/>
                <w:sz w:val="24"/>
                <w:szCs w:val="24"/>
              </w:rPr>
              <w:t>41.25</w:t>
            </w:r>
          </w:p>
        </w:tc>
        <w:tc>
          <w:tcPr>
            <w:tcW w:w="4083" w:type="dxa"/>
            <w:tcBorders>
              <w:left w:val="nil"/>
              <w:right w:val="nil"/>
            </w:tcBorders>
          </w:tcPr>
          <w:p w14:paraId="15CEE930" w14:textId="77777777" w:rsidR="009B36B8" w:rsidRPr="0049220A" w:rsidRDefault="00A73E0D" w:rsidP="00E72D95">
            <w:pPr>
              <w:jc w:val="both"/>
              <w:rPr>
                <w:rFonts w:ascii="Times New Roman" w:hAnsi="Times New Roman" w:cs="Times New Roman"/>
                <w:sz w:val="24"/>
                <w:szCs w:val="24"/>
              </w:rPr>
            </w:pPr>
            <w:r w:rsidRPr="0049220A">
              <w:rPr>
                <w:rFonts w:ascii="Times New Roman" w:hAnsi="Times New Roman" w:cs="Times New Roman"/>
                <w:sz w:val="24"/>
                <w:szCs w:val="24"/>
              </w:rPr>
              <w:t>Cholest-5-en-3-ol (3a)-</w:t>
            </w:r>
            <w:r w:rsidR="009B36B8" w:rsidRPr="0049220A">
              <w:rPr>
                <w:rFonts w:ascii="Times New Roman" w:hAnsi="Times New Roman" w:cs="Times New Roman"/>
                <w:sz w:val="24"/>
                <w:szCs w:val="24"/>
              </w:rPr>
              <w:t xml:space="preserve"> </w:t>
            </w:r>
          </w:p>
        </w:tc>
        <w:tc>
          <w:tcPr>
            <w:tcW w:w="1523" w:type="dxa"/>
            <w:tcBorders>
              <w:left w:val="nil"/>
              <w:right w:val="nil"/>
            </w:tcBorders>
          </w:tcPr>
          <w:p w14:paraId="3DD4A244"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C27H46O</w:t>
            </w:r>
          </w:p>
        </w:tc>
        <w:tc>
          <w:tcPr>
            <w:tcW w:w="743" w:type="dxa"/>
            <w:tcBorders>
              <w:left w:val="nil"/>
              <w:right w:val="nil"/>
            </w:tcBorders>
          </w:tcPr>
          <w:p w14:paraId="2161DDA7"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386</w:t>
            </w:r>
          </w:p>
        </w:tc>
        <w:tc>
          <w:tcPr>
            <w:tcW w:w="990" w:type="dxa"/>
            <w:tcBorders>
              <w:left w:val="nil"/>
              <w:right w:val="nil"/>
            </w:tcBorders>
          </w:tcPr>
          <w:p w14:paraId="42810611"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0.66</w:t>
            </w:r>
          </w:p>
        </w:tc>
        <w:tc>
          <w:tcPr>
            <w:tcW w:w="1058" w:type="dxa"/>
            <w:tcBorders>
              <w:left w:val="nil"/>
            </w:tcBorders>
          </w:tcPr>
          <w:p w14:paraId="6AD28F11" w14:textId="77777777" w:rsidR="009B36B8" w:rsidRPr="0049220A" w:rsidRDefault="00172DA7" w:rsidP="000B6857">
            <w:pPr>
              <w:rPr>
                <w:rFonts w:ascii="Times New Roman" w:hAnsi="Times New Roman" w:cs="Times New Roman"/>
                <w:sz w:val="24"/>
                <w:szCs w:val="24"/>
              </w:rPr>
            </w:pPr>
            <w:r w:rsidRPr="0049220A">
              <w:rPr>
                <w:rFonts w:ascii="Times New Roman" w:hAnsi="Times New Roman" w:cs="Times New Roman"/>
                <w:sz w:val="24"/>
                <w:szCs w:val="24"/>
              </w:rPr>
              <w:t>Wiley</w:t>
            </w:r>
          </w:p>
        </w:tc>
      </w:tr>
      <w:tr w:rsidR="0049220A" w:rsidRPr="0049220A" w14:paraId="72CDFC48" w14:textId="77777777" w:rsidTr="006D4DD7">
        <w:trPr>
          <w:trHeight w:val="258"/>
        </w:trPr>
        <w:tc>
          <w:tcPr>
            <w:tcW w:w="756" w:type="dxa"/>
            <w:tcBorders>
              <w:right w:val="nil"/>
            </w:tcBorders>
          </w:tcPr>
          <w:p w14:paraId="41466B3B" w14:textId="77777777" w:rsidR="009B36B8" w:rsidRPr="0049220A" w:rsidRDefault="009B36B8" w:rsidP="003421EC">
            <w:pPr>
              <w:jc w:val="both"/>
              <w:rPr>
                <w:rFonts w:ascii="Times New Roman" w:hAnsi="Times New Roman" w:cs="Times New Roman"/>
                <w:sz w:val="24"/>
                <w:szCs w:val="24"/>
              </w:rPr>
            </w:pPr>
            <w:r w:rsidRPr="0049220A">
              <w:rPr>
                <w:rFonts w:ascii="Times New Roman" w:hAnsi="Times New Roman" w:cs="Times New Roman"/>
                <w:sz w:val="24"/>
                <w:szCs w:val="24"/>
              </w:rPr>
              <w:t>41.52</w:t>
            </w:r>
          </w:p>
        </w:tc>
        <w:tc>
          <w:tcPr>
            <w:tcW w:w="4083" w:type="dxa"/>
            <w:tcBorders>
              <w:left w:val="nil"/>
              <w:right w:val="nil"/>
            </w:tcBorders>
          </w:tcPr>
          <w:p w14:paraId="458C924C" w14:textId="77777777" w:rsidR="009B36B8" w:rsidRPr="0049220A" w:rsidRDefault="00A73E0D" w:rsidP="003421EC">
            <w:pPr>
              <w:jc w:val="both"/>
              <w:rPr>
                <w:rFonts w:ascii="Times New Roman" w:hAnsi="Times New Roman" w:cs="Times New Roman"/>
                <w:sz w:val="24"/>
                <w:szCs w:val="24"/>
              </w:rPr>
            </w:pPr>
            <w:r w:rsidRPr="0049220A">
              <w:rPr>
                <w:rFonts w:ascii="Times New Roman" w:hAnsi="Times New Roman" w:cs="Times New Roman"/>
                <w:sz w:val="24"/>
                <w:szCs w:val="24"/>
              </w:rPr>
              <w:t>T</w:t>
            </w:r>
            <w:r w:rsidR="009B36B8" w:rsidRPr="0049220A">
              <w:rPr>
                <w:rFonts w:ascii="Times New Roman" w:hAnsi="Times New Roman" w:cs="Times New Roman"/>
                <w:sz w:val="24"/>
                <w:szCs w:val="24"/>
              </w:rPr>
              <w:t>ert-Hexadecanethiol</w:t>
            </w:r>
          </w:p>
        </w:tc>
        <w:tc>
          <w:tcPr>
            <w:tcW w:w="1523" w:type="dxa"/>
            <w:tcBorders>
              <w:left w:val="nil"/>
              <w:right w:val="nil"/>
            </w:tcBorders>
          </w:tcPr>
          <w:p w14:paraId="3CD53B9C"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C16H34S</w:t>
            </w:r>
          </w:p>
        </w:tc>
        <w:tc>
          <w:tcPr>
            <w:tcW w:w="743" w:type="dxa"/>
            <w:tcBorders>
              <w:left w:val="nil"/>
              <w:right w:val="nil"/>
            </w:tcBorders>
          </w:tcPr>
          <w:p w14:paraId="5B5CACE2"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258</w:t>
            </w:r>
          </w:p>
        </w:tc>
        <w:tc>
          <w:tcPr>
            <w:tcW w:w="990" w:type="dxa"/>
            <w:tcBorders>
              <w:left w:val="nil"/>
              <w:right w:val="nil"/>
            </w:tcBorders>
          </w:tcPr>
          <w:p w14:paraId="0D613272"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4.00</w:t>
            </w:r>
          </w:p>
        </w:tc>
        <w:tc>
          <w:tcPr>
            <w:tcW w:w="1058" w:type="dxa"/>
            <w:tcBorders>
              <w:left w:val="nil"/>
            </w:tcBorders>
          </w:tcPr>
          <w:p w14:paraId="64D8F8CF" w14:textId="77777777" w:rsidR="009B36B8" w:rsidRPr="0049220A" w:rsidRDefault="009B36B8" w:rsidP="000B6857">
            <w:pPr>
              <w:rPr>
                <w:rFonts w:ascii="Times New Roman" w:hAnsi="Times New Roman" w:cs="Times New Roman"/>
                <w:sz w:val="24"/>
                <w:szCs w:val="24"/>
              </w:rPr>
            </w:pPr>
            <w:r w:rsidRPr="0049220A">
              <w:rPr>
                <w:rFonts w:ascii="Times New Roman" w:hAnsi="Times New Roman" w:cs="Times New Roman"/>
                <w:sz w:val="24"/>
                <w:szCs w:val="24"/>
              </w:rPr>
              <w:t>mainlib</w:t>
            </w:r>
          </w:p>
        </w:tc>
      </w:tr>
      <w:tr w:rsidR="0049220A" w:rsidRPr="0049220A" w14:paraId="67A139BB" w14:textId="77777777" w:rsidTr="006D4DD7">
        <w:trPr>
          <w:trHeight w:val="332"/>
        </w:trPr>
        <w:tc>
          <w:tcPr>
            <w:tcW w:w="756" w:type="dxa"/>
            <w:tcBorders>
              <w:right w:val="nil"/>
            </w:tcBorders>
          </w:tcPr>
          <w:p w14:paraId="63544340" w14:textId="77777777" w:rsidR="009B36B8" w:rsidRPr="0049220A" w:rsidRDefault="009B36B8" w:rsidP="003421EC">
            <w:pPr>
              <w:jc w:val="both"/>
              <w:rPr>
                <w:rFonts w:ascii="Times New Roman" w:hAnsi="Times New Roman" w:cs="Times New Roman"/>
                <w:sz w:val="24"/>
                <w:szCs w:val="24"/>
              </w:rPr>
            </w:pPr>
            <w:r w:rsidRPr="0049220A">
              <w:rPr>
                <w:rFonts w:ascii="Times New Roman" w:hAnsi="Times New Roman" w:cs="Times New Roman"/>
                <w:sz w:val="24"/>
                <w:szCs w:val="24"/>
              </w:rPr>
              <w:t>41.83</w:t>
            </w:r>
          </w:p>
        </w:tc>
        <w:tc>
          <w:tcPr>
            <w:tcW w:w="4083" w:type="dxa"/>
            <w:tcBorders>
              <w:left w:val="nil"/>
              <w:right w:val="nil"/>
            </w:tcBorders>
          </w:tcPr>
          <w:p w14:paraId="32A4DA13" w14:textId="77777777" w:rsidR="009B36B8" w:rsidRPr="0049220A" w:rsidRDefault="00A73E0D" w:rsidP="003421EC">
            <w:pPr>
              <w:jc w:val="both"/>
              <w:rPr>
                <w:rFonts w:ascii="Times New Roman" w:hAnsi="Times New Roman" w:cs="Times New Roman"/>
                <w:sz w:val="24"/>
                <w:szCs w:val="24"/>
              </w:rPr>
            </w:pPr>
            <w:r w:rsidRPr="0049220A">
              <w:rPr>
                <w:rFonts w:ascii="Times New Roman" w:hAnsi="Times New Roman" w:cs="Times New Roman"/>
                <w:sz w:val="24"/>
                <w:szCs w:val="24"/>
              </w:rPr>
              <w:t>Glycidyl oleate</w:t>
            </w:r>
          </w:p>
        </w:tc>
        <w:tc>
          <w:tcPr>
            <w:tcW w:w="1523" w:type="dxa"/>
            <w:tcBorders>
              <w:left w:val="nil"/>
              <w:right w:val="nil"/>
            </w:tcBorders>
          </w:tcPr>
          <w:p w14:paraId="794ECCFC" w14:textId="77777777" w:rsidR="009B36B8" w:rsidRPr="0049220A" w:rsidRDefault="00A73E0D" w:rsidP="006D4DD7">
            <w:pPr>
              <w:rPr>
                <w:rFonts w:ascii="Times New Roman" w:hAnsi="Times New Roman" w:cs="Times New Roman"/>
                <w:sz w:val="24"/>
                <w:szCs w:val="24"/>
              </w:rPr>
            </w:pPr>
            <w:r w:rsidRPr="0049220A">
              <w:rPr>
                <w:rFonts w:ascii="Times New Roman" w:hAnsi="Times New Roman" w:cs="Times New Roman"/>
                <w:sz w:val="24"/>
                <w:szCs w:val="24"/>
              </w:rPr>
              <w:t>C21H38O3</w:t>
            </w:r>
          </w:p>
        </w:tc>
        <w:tc>
          <w:tcPr>
            <w:tcW w:w="743" w:type="dxa"/>
            <w:tcBorders>
              <w:left w:val="nil"/>
              <w:right w:val="nil"/>
            </w:tcBorders>
          </w:tcPr>
          <w:p w14:paraId="5F1AE7B1" w14:textId="77777777" w:rsidR="009B36B8" w:rsidRPr="0049220A" w:rsidRDefault="00A73E0D" w:rsidP="006D4DD7">
            <w:pPr>
              <w:rPr>
                <w:rFonts w:ascii="Times New Roman" w:hAnsi="Times New Roman" w:cs="Times New Roman"/>
                <w:sz w:val="24"/>
                <w:szCs w:val="24"/>
              </w:rPr>
            </w:pPr>
            <w:r w:rsidRPr="0049220A">
              <w:rPr>
                <w:rFonts w:ascii="Times New Roman" w:hAnsi="Times New Roman" w:cs="Times New Roman"/>
                <w:sz w:val="24"/>
                <w:szCs w:val="24"/>
              </w:rPr>
              <w:t>338</w:t>
            </w:r>
          </w:p>
        </w:tc>
        <w:tc>
          <w:tcPr>
            <w:tcW w:w="990" w:type="dxa"/>
            <w:tcBorders>
              <w:left w:val="nil"/>
              <w:right w:val="nil"/>
            </w:tcBorders>
          </w:tcPr>
          <w:p w14:paraId="26374CCA"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2.28</w:t>
            </w:r>
          </w:p>
        </w:tc>
        <w:tc>
          <w:tcPr>
            <w:tcW w:w="1058" w:type="dxa"/>
            <w:tcBorders>
              <w:left w:val="nil"/>
            </w:tcBorders>
          </w:tcPr>
          <w:p w14:paraId="3289B2E8" w14:textId="77777777" w:rsidR="009B36B8" w:rsidRPr="0049220A" w:rsidRDefault="00172DA7" w:rsidP="000B6857">
            <w:pPr>
              <w:rPr>
                <w:rFonts w:ascii="Times New Roman" w:hAnsi="Times New Roman" w:cs="Times New Roman"/>
                <w:sz w:val="24"/>
                <w:szCs w:val="24"/>
              </w:rPr>
            </w:pPr>
            <w:r w:rsidRPr="0049220A">
              <w:rPr>
                <w:rFonts w:ascii="Times New Roman" w:hAnsi="Times New Roman" w:cs="Times New Roman"/>
                <w:sz w:val="24"/>
                <w:szCs w:val="24"/>
              </w:rPr>
              <w:t>Wiley</w:t>
            </w:r>
          </w:p>
        </w:tc>
      </w:tr>
      <w:tr w:rsidR="0049220A" w:rsidRPr="0049220A" w14:paraId="5A2AF7B6" w14:textId="77777777" w:rsidTr="006D4DD7">
        <w:trPr>
          <w:trHeight w:val="258"/>
        </w:trPr>
        <w:tc>
          <w:tcPr>
            <w:tcW w:w="756" w:type="dxa"/>
            <w:tcBorders>
              <w:right w:val="nil"/>
            </w:tcBorders>
          </w:tcPr>
          <w:p w14:paraId="2F30B7C4" w14:textId="77777777" w:rsidR="009B36B8" w:rsidRPr="0049220A" w:rsidRDefault="009B36B8" w:rsidP="003421EC">
            <w:pPr>
              <w:jc w:val="both"/>
              <w:rPr>
                <w:rFonts w:ascii="Times New Roman" w:hAnsi="Times New Roman" w:cs="Times New Roman"/>
                <w:sz w:val="24"/>
                <w:szCs w:val="24"/>
              </w:rPr>
            </w:pPr>
            <w:r w:rsidRPr="0049220A">
              <w:rPr>
                <w:rFonts w:ascii="Times New Roman" w:hAnsi="Times New Roman" w:cs="Times New Roman"/>
                <w:sz w:val="24"/>
                <w:szCs w:val="24"/>
              </w:rPr>
              <w:t>42.13</w:t>
            </w:r>
          </w:p>
        </w:tc>
        <w:tc>
          <w:tcPr>
            <w:tcW w:w="4083" w:type="dxa"/>
            <w:tcBorders>
              <w:left w:val="nil"/>
              <w:right w:val="nil"/>
            </w:tcBorders>
          </w:tcPr>
          <w:p w14:paraId="7B06A534" w14:textId="77777777" w:rsidR="009B36B8" w:rsidRPr="0049220A" w:rsidRDefault="009B36B8" w:rsidP="003421EC">
            <w:pPr>
              <w:jc w:val="both"/>
              <w:rPr>
                <w:rFonts w:ascii="Times New Roman" w:hAnsi="Times New Roman" w:cs="Times New Roman"/>
                <w:sz w:val="24"/>
                <w:szCs w:val="24"/>
              </w:rPr>
            </w:pPr>
            <w:r w:rsidRPr="0049220A">
              <w:rPr>
                <w:rFonts w:ascii="Times New Roman" w:hAnsi="Times New Roman" w:cs="Times New Roman"/>
                <w:sz w:val="24"/>
                <w:szCs w:val="24"/>
              </w:rPr>
              <w:t>17-Octadecynoic acid</w:t>
            </w:r>
          </w:p>
        </w:tc>
        <w:tc>
          <w:tcPr>
            <w:tcW w:w="1523" w:type="dxa"/>
            <w:tcBorders>
              <w:left w:val="nil"/>
              <w:right w:val="nil"/>
            </w:tcBorders>
          </w:tcPr>
          <w:p w14:paraId="48FCB546"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C18H32O2</w:t>
            </w:r>
          </w:p>
        </w:tc>
        <w:tc>
          <w:tcPr>
            <w:tcW w:w="743" w:type="dxa"/>
            <w:tcBorders>
              <w:left w:val="nil"/>
              <w:right w:val="nil"/>
            </w:tcBorders>
          </w:tcPr>
          <w:p w14:paraId="21C32229"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280</w:t>
            </w:r>
          </w:p>
        </w:tc>
        <w:tc>
          <w:tcPr>
            <w:tcW w:w="990" w:type="dxa"/>
            <w:tcBorders>
              <w:left w:val="nil"/>
              <w:right w:val="nil"/>
            </w:tcBorders>
          </w:tcPr>
          <w:p w14:paraId="56024FAB"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5.83</w:t>
            </w:r>
          </w:p>
        </w:tc>
        <w:tc>
          <w:tcPr>
            <w:tcW w:w="1058" w:type="dxa"/>
            <w:tcBorders>
              <w:left w:val="nil"/>
            </w:tcBorders>
          </w:tcPr>
          <w:p w14:paraId="31B7259E" w14:textId="77777777" w:rsidR="009B36B8" w:rsidRPr="0049220A" w:rsidRDefault="009B36B8" w:rsidP="000B6857">
            <w:pPr>
              <w:rPr>
                <w:rFonts w:ascii="Times New Roman" w:hAnsi="Times New Roman" w:cs="Times New Roman"/>
                <w:sz w:val="24"/>
                <w:szCs w:val="24"/>
              </w:rPr>
            </w:pPr>
            <w:r w:rsidRPr="0049220A">
              <w:rPr>
                <w:rFonts w:ascii="Times New Roman" w:hAnsi="Times New Roman" w:cs="Times New Roman"/>
                <w:sz w:val="24"/>
                <w:szCs w:val="24"/>
              </w:rPr>
              <w:t>mainlib</w:t>
            </w:r>
          </w:p>
        </w:tc>
      </w:tr>
      <w:tr w:rsidR="0049220A" w:rsidRPr="0049220A" w14:paraId="5823A2F2" w14:textId="77777777" w:rsidTr="006D4DD7">
        <w:trPr>
          <w:trHeight w:val="258"/>
        </w:trPr>
        <w:tc>
          <w:tcPr>
            <w:tcW w:w="756" w:type="dxa"/>
            <w:tcBorders>
              <w:right w:val="nil"/>
            </w:tcBorders>
          </w:tcPr>
          <w:p w14:paraId="3D6DEEBD" w14:textId="77777777" w:rsidR="009B36B8" w:rsidRPr="0049220A" w:rsidRDefault="009B36B8" w:rsidP="003421EC">
            <w:pPr>
              <w:jc w:val="both"/>
              <w:rPr>
                <w:rFonts w:ascii="Times New Roman" w:hAnsi="Times New Roman" w:cs="Times New Roman"/>
                <w:sz w:val="24"/>
                <w:szCs w:val="24"/>
              </w:rPr>
            </w:pPr>
            <w:r w:rsidRPr="0049220A">
              <w:rPr>
                <w:rFonts w:ascii="Times New Roman" w:hAnsi="Times New Roman" w:cs="Times New Roman"/>
                <w:sz w:val="24"/>
                <w:szCs w:val="24"/>
              </w:rPr>
              <w:t>42.56</w:t>
            </w:r>
          </w:p>
        </w:tc>
        <w:tc>
          <w:tcPr>
            <w:tcW w:w="4083" w:type="dxa"/>
            <w:tcBorders>
              <w:left w:val="nil"/>
              <w:right w:val="nil"/>
            </w:tcBorders>
          </w:tcPr>
          <w:p w14:paraId="3D6C9889" w14:textId="77777777" w:rsidR="009B36B8" w:rsidRPr="0049220A" w:rsidRDefault="00A73E0D" w:rsidP="003421EC">
            <w:pPr>
              <w:jc w:val="both"/>
              <w:rPr>
                <w:rFonts w:ascii="Times New Roman" w:hAnsi="Times New Roman" w:cs="Times New Roman"/>
                <w:sz w:val="24"/>
                <w:szCs w:val="24"/>
              </w:rPr>
            </w:pPr>
            <w:r w:rsidRPr="0049220A">
              <w:rPr>
                <w:rFonts w:ascii="Times New Roman" w:hAnsi="Times New Roman" w:cs="Times New Roman"/>
                <w:sz w:val="24"/>
                <w:szCs w:val="24"/>
              </w:rPr>
              <w:t>Ethyl iso-allocholate</w:t>
            </w:r>
          </w:p>
        </w:tc>
        <w:tc>
          <w:tcPr>
            <w:tcW w:w="1523" w:type="dxa"/>
            <w:tcBorders>
              <w:left w:val="nil"/>
              <w:right w:val="nil"/>
            </w:tcBorders>
          </w:tcPr>
          <w:p w14:paraId="0A248B60" w14:textId="77777777" w:rsidR="009B36B8" w:rsidRPr="0049220A" w:rsidRDefault="00A73E0D" w:rsidP="006D4DD7">
            <w:pPr>
              <w:rPr>
                <w:rFonts w:ascii="Times New Roman" w:hAnsi="Times New Roman" w:cs="Times New Roman"/>
                <w:sz w:val="24"/>
                <w:szCs w:val="24"/>
              </w:rPr>
            </w:pPr>
            <w:r w:rsidRPr="0049220A">
              <w:rPr>
                <w:rFonts w:ascii="Times New Roman" w:hAnsi="Times New Roman" w:cs="Times New Roman"/>
                <w:sz w:val="24"/>
                <w:szCs w:val="24"/>
              </w:rPr>
              <w:t>C26H44O5</w:t>
            </w:r>
          </w:p>
        </w:tc>
        <w:tc>
          <w:tcPr>
            <w:tcW w:w="743" w:type="dxa"/>
            <w:tcBorders>
              <w:left w:val="nil"/>
              <w:right w:val="nil"/>
            </w:tcBorders>
          </w:tcPr>
          <w:p w14:paraId="37039FEB" w14:textId="77777777" w:rsidR="009B36B8" w:rsidRPr="0049220A" w:rsidRDefault="00A73E0D" w:rsidP="006D4DD7">
            <w:pPr>
              <w:rPr>
                <w:rFonts w:ascii="Times New Roman" w:hAnsi="Times New Roman" w:cs="Times New Roman"/>
                <w:sz w:val="24"/>
                <w:szCs w:val="24"/>
              </w:rPr>
            </w:pPr>
            <w:r w:rsidRPr="0049220A">
              <w:rPr>
                <w:rFonts w:ascii="Times New Roman" w:hAnsi="Times New Roman" w:cs="Times New Roman"/>
                <w:sz w:val="24"/>
                <w:szCs w:val="24"/>
              </w:rPr>
              <w:t>436</w:t>
            </w:r>
          </w:p>
        </w:tc>
        <w:tc>
          <w:tcPr>
            <w:tcW w:w="990" w:type="dxa"/>
            <w:tcBorders>
              <w:left w:val="nil"/>
              <w:right w:val="nil"/>
            </w:tcBorders>
          </w:tcPr>
          <w:p w14:paraId="211ABD22"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1.32</w:t>
            </w:r>
          </w:p>
        </w:tc>
        <w:tc>
          <w:tcPr>
            <w:tcW w:w="1058" w:type="dxa"/>
            <w:tcBorders>
              <w:left w:val="nil"/>
            </w:tcBorders>
          </w:tcPr>
          <w:p w14:paraId="19D69520" w14:textId="77777777" w:rsidR="009B36B8" w:rsidRPr="0049220A" w:rsidRDefault="00A73E0D" w:rsidP="000B6857">
            <w:pPr>
              <w:rPr>
                <w:rFonts w:ascii="Times New Roman" w:hAnsi="Times New Roman" w:cs="Times New Roman"/>
                <w:sz w:val="24"/>
                <w:szCs w:val="24"/>
              </w:rPr>
            </w:pPr>
            <w:r w:rsidRPr="0049220A">
              <w:rPr>
                <w:rFonts w:ascii="Times New Roman" w:hAnsi="Times New Roman" w:cs="Times New Roman"/>
                <w:sz w:val="24"/>
                <w:szCs w:val="24"/>
              </w:rPr>
              <w:t>Wiley</w:t>
            </w:r>
          </w:p>
        </w:tc>
      </w:tr>
      <w:tr w:rsidR="0049220A" w:rsidRPr="0049220A" w14:paraId="585C8118" w14:textId="77777777" w:rsidTr="006D4DD7">
        <w:trPr>
          <w:trHeight w:val="258"/>
        </w:trPr>
        <w:tc>
          <w:tcPr>
            <w:tcW w:w="756" w:type="dxa"/>
            <w:tcBorders>
              <w:right w:val="nil"/>
            </w:tcBorders>
          </w:tcPr>
          <w:p w14:paraId="6A2F1233" w14:textId="77777777" w:rsidR="009B36B8" w:rsidRPr="0049220A" w:rsidRDefault="009B36B8" w:rsidP="003421EC">
            <w:pPr>
              <w:jc w:val="both"/>
              <w:rPr>
                <w:rFonts w:ascii="Times New Roman" w:hAnsi="Times New Roman" w:cs="Times New Roman"/>
                <w:sz w:val="24"/>
                <w:szCs w:val="24"/>
              </w:rPr>
            </w:pPr>
            <w:r w:rsidRPr="0049220A">
              <w:rPr>
                <w:rFonts w:ascii="Times New Roman" w:hAnsi="Times New Roman" w:cs="Times New Roman"/>
                <w:sz w:val="24"/>
                <w:szCs w:val="24"/>
              </w:rPr>
              <w:t>42.95</w:t>
            </w:r>
          </w:p>
        </w:tc>
        <w:tc>
          <w:tcPr>
            <w:tcW w:w="4083" w:type="dxa"/>
            <w:tcBorders>
              <w:left w:val="nil"/>
              <w:right w:val="nil"/>
            </w:tcBorders>
          </w:tcPr>
          <w:p w14:paraId="2ADA2B22" w14:textId="77777777" w:rsidR="00A73E0D" w:rsidRPr="0049220A" w:rsidRDefault="00A73E0D" w:rsidP="00A73E0D">
            <w:pPr>
              <w:jc w:val="both"/>
              <w:rPr>
                <w:rFonts w:ascii="Times New Roman" w:hAnsi="Times New Roman" w:cs="Times New Roman"/>
                <w:sz w:val="24"/>
                <w:szCs w:val="24"/>
              </w:rPr>
            </w:pPr>
            <w:r w:rsidRPr="0049220A">
              <w:rPr>
                <w:rFonts w:ascii="Times New Roman" w:hAnsi="Times New Roman" w:cs="Times New Roman"/>
                <w:sz w:val="24"/>
                <w:szCs w:val="24"/>
              </w:rPr>
              <w:t>1,25-Dihydroxyvitamin D3, TMS</w:t>
            </w:r>
          </w:p>
          <w:p w14:paraId="0EB593D1" w14:textId="77777777" w:rsidR="009B36B8" w:rsidRPr="0049220A" w:rsidRDefault="00A73E0D" w:rsidP="00A73E0D">
            <w:pPr>
              <w:jc w:val="both"/>
              <w:rPr>
                <w:rFonts w:ascii="Times New Roman" w:hAnsi="Times New Roman" w:cs="Times New Roman"/>
                <w:sz w:val="24"/>
                <w:szCs w:val="24"/>
              </w:rPr>
            </w:pPr>
            <w:r w:rsidRPr="0049220A">
              <w:rPr>
                <w:rFonts w:ascii="Times New Roman" w:hAnsi="Times New Roman" w:cs="Times New Roman"/>
                <w:sz w:val="24"/>
                <w:szCs w:val="24"/>
              </w:rPr>
              <w:t xml:space="preserve"> derivative</w:t>
            </w:r>
          </w:p>
        </w:tc>
        <w:tc>
          <w:tcPr>
            <w:tcW w:w="1523" w:type="dxa"/>
            <w:tcBorders>
              <w:left w:val="nil"/>
              <w:right w:val="nil"/>
            </w:tcBorders>
          </w:tcPr>
          <w:p w14:paraId="66F471F2" w14:textId="77777777" w:rsidR="009B36B8" w:rsidRPr="0049220A" w:rsidRDefault="00A73E0D" w:rsidP="006D4DD7">
            <w:pPr>
              <w:rPr>
                <w:rFonts w:ascii="Times New Roman" w:hAnsi="Times New Roman" w:cs="Times New Roman"/>
                <w:sz w:val="24"/>
                <w:szCs w:val="24"/>
              </w:rPr>
            </w:pPr>
            <w:r w:rsidRPr="0049220A">
              <w:rPr>
                <w:rFonts w:ascii="Times New Roman" w:hAnsi="Times New Roman" w:cs="Times New Roman"/>
                <w:sz w:val="24"/>
                <w:szCs w:val="24"/>
              </w:rPr>
              <w:t>C30H52O3Si</w:t>
            </w:r>
          </w:p>
        </w:tc>
        <w:tc>
          <w:tcPr>
            <w:tcW w:w="743" w:type="dxa"/>
            <w:tcBorders>
              <w:left w:val="nil"/>
              <w:right w:val="nil"/>
            </w:tcBorders>
          </w:tcPr>
          <w:p w14:paraId="4AC43385" w14:textId="77777777" w:rsidR="009B36B8" w:rsidRPr="0049220A" w:rsidRDefault="00A73E0D" w:rsidP="006D4DD7">
            <w:pPr>
              <w:rPr>
                <w:rFonts w:ascii="Times New Roman" w:hAnsi="Times New Roman" w:cs="Times New Roman"/>
                <w:sz w:val="24"/>
                <w:szCs w:val="24"/>
              </w:rPr>
            </w:pPr>
            <w:r w:rsidRPr="0049220A">
              <w:rPr>
                <w:rFonts w:ascii="Times New Roman" w:hAnsi="Times New Roman" w:cs="Times New Roman"/>
                <w:sz w:val="24"/>
                <w:szCs w:val="24"/>
              </w:rPr>
              <w:t>488</w:t>
            </w:r>
          </w:p>
        </w:tc>
        <w:tc>
          <w:tcPr>
            <w:tcW w:w="990" w:type="dxa"/>
            <w:tcBorders>
              <w:left w:val="nil"/>
              <w:right w:val="nil"/>
            </w:tcBorders>
          </w:tcPr>
          <w:p w14:paraId="63F950A7"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1.89</w:t>
            </w:r>
          </w:p>
        </w:tc>
        <w:tc>
          <w:tcPr>
            <w:tcW w:w="1058" w:type="dxa"/>
            <w:tcBorders>
              <w:left w:val="nil"/>
            </w:tcBorders>
          </w:tcPr>
          <w:p w14:paraId="6E98009D" w14:textId="77777777" w:rsidR="009B36B8" w:rsidRPr="0049220A" w:rsidRDefault="00A73E0D" w:rsidP="000B6857">
            <w:pPr>
              <w:rPr>
                <w:rFonts w:ascii="Times New Roman" w:hAnsi="Times New Roman" w:cs="Times New Roman"/>
                <w:sz w:val="24"/>
                <w:szCs w:val="24"/>
              </w:rPr>
            </w:pPr>
            <w:r w:rsidRPr="0049220A">
              <w:rPr>
                <w:rFonts w:ascii="Times New Roman" w:hAnsi="Times New Roman" w:cs="Times New Roman"/>
                <w:sz w:val="24"/>
                <w:szCs w:val="24"/>
              </w:rPr>
              <w:t>mainlib</w:t>
            </w:r>
          </w:p>
        </w:tc>
      </w:tr>
      <w:tr w:rsidR="0049220A" w:rsidRPr="0049220A" w14:paraId="7AD274DE" w14:textId="77777777" w:rsidTr="006D4DD7">
        <w:trPr>
          <w:trHeight w:val="258"/>
        </w:trPr>
        <w:tc>
          <w:tcPr>
            <w:tcW w:w="756" w:type="dxa"/>
            <w:tcBorders>
              <w:right w:val="nil"/>
            </w:tcBorders>
          </w:tcPr>
          <w:p w14:paraId="6FD14B82" w14:textId="77777777" w:rsidR="009B36B8" w:rsidRPr="0049220A" w:rsidRDefault="009B36B8" w:rsidP="003421EC">
            <w:pPr>
              <w:jc w:val="both"/>
              <w:rPr>
                <w:rFonts w:ascii="Times New Roman" w:hAnsi="Times New Roman" w:cs="Times New Roman"/>
                <w:sz w:val="24"/>
                <w:szCs w:val="24"/>
              </w:rPr>
            </w:pPr>
            <w:r w:rsidRPr="0049220A">
              <w:rPr>
                <w:rFonts w:ascii="Times New Roman" w:hAnsi="Times New Roman" w:cs="Times New Roman"/>
                <w:sz w:val="24"/>
                <w:szCs w:val="24"/>
              </w:rPr>
              <w:t>43.17</w:t>
            </w:r>
          </w:p>
        </w:tc>
        <w:tc>
          <w:tcPr>
            <w:tcW w:w="4083" w:type="dxa"/>
            <w:tcBorders>
              <w:left w:val="nil"/>
              <w:right w:val="nil"/>
            </w:tcBorders>
          </w:tcPr>
          <w:p w14:paraId="4B4AB99B" w14:textId="77777777" w:rsidR="009B36B8" w:rsidRPr="0049220A" w:rsidRDefault="00BB3AA1" w:rsidP="003421EC">
            <w:pPr>
              <w:jc w:val="both"/>
              <w:rPr>
                <w:rFonts w:ascii="Times New Roman" w:hAnsi="Times New Roman" w:cs="Times New Roman"/>
                <w:sz w:val="24"/>
                <w:szCs w:val="24"/>
              </w:rPr>
            </w:pPr>
            <w:r w:rsidRPr="0049220A">
              <w:rPr>
                <w:rFonts w:ascii="Times New Roman" w:hAnsi="Times New Roman" w:cs="Times New Roman"/>
                <w:sz w:val="24"/>
                <w:szCs w:val="24"/>
              </w:rPr>
              <w:t>Isochiapin B</w:t>
            </w:r>
          </w:p>
        </w:tc>
        <w:tc>
          <w:tcPr>
            <w:tcW w:w="1523" w:type="dxa"/>
            <w:tcBorders>
              <w:left w:val="nil"/>
              <w:right w:val="nil"/>
            </w:tcBorders>
          </w:tcPr>
          <w:p w14:paraId="0CBF410F" w14:textId="77777777" w:rsidR="009B36B8" w:rsidRPr="0049220A" w:rsidRDefault="00A73E0D" w:rsidP="006D4DD7">
            <w:pPr>
              <w:rPr>
                <w:rFonts w:ascii="Times New Roman" w:hAnsi="Times New Roman" w:cs="Times New Roman"/>
                <w:sz w:val="24"/>
                <w:szCs w:val="24"/>
              </w:rPr>
            </w:pPr>
            <w:r w:rsidRPr="0049220A">
              <w:rPr>
                <w:rFonts w:ascii="Times New Roman" w:hAnsi="Times New Roman" w:cs="Times New Roman"/>
                <w:sz w:val="24"/>
                <w:szCs w:val="24"/>
              </w:rPr>
              <w:t>C19H22O6</w:t>
            </w:r>
          </w:p>
        </w:tc>
        <w:tc>
          <w:tcPr>
            <w:tcW w:w="743" w:type="dxa"/>
            <w:tcBorders>
              <w:left w:val="nil"/>
              <w:right w:val="nil"/>
            </w:tcBorders>
          </w:tcPr>
          <w:p w14:paraId="202F9672" w14:textId="77777777" w:rsidR="009B36B8" w:rsidRPr="0049220A" w:rsidRDefault="00BB2AD5" w:rsidP="006D4DD7">
            <w:pPr>
              <w:rPr>
                <w:rFonts w:ascii="Times New Roman" w:hAnsi="Times New Roman" w:cs="Times New Roman"/>
                <w:sz w:val="24"/>
                <w:szCs w:val="24"/>
              </w:rPr>
            </w:pPr>
            <w:r w:rsidRPr="0049220A">
              <w:rPr>
                <w:rFonts w:ascii="Times New Roman" w:hAnsi="Times New Roman" w:cs="Times New Roman"/>
                <w:sz w:val="24"/>
                <w:szCs w:val="24"/>
              </w:rPr>
              <w:t>346</w:t>
            </w:r>
          </w:p>
        </w:tc>
        <w:tc>
          <w:tcPr>
            <w:tcW w:w="990" w:type="dxa"/>
            <w:tcBorders>
              <w:left w:val="nil"/>
              <w:right w:val="nil"/>
            </w:tcBorders>
          </w:tcPr>
          <w:p w14:paraId="5CAB5D84"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0.37</w:t>
            </w:r>
          </w:p>
        </w:tc>
        <w:tc>
          <w:tcPr>
            <w:tcW w:w="1058" w:type="dxa"/>
            <w:tcBorders>
              <w:left w:val="nil"/>
            </w:tcBorders>
          </w:tcPr>
          <w:p w14:paraId="352F8372" w14:textId="77777777" w:rsidR="009B36B8" w:rsidRPr="0049220A" w:rsidRDefault="00A73E0D" w:rsidP="000B6857">
            <w:pPr>
              <w:rPr>
                <w:rFonts w:ascii="Times New Roman" w:hAnsi="Times New Roman" w:cs="Times New Roman"/>
                <w:sz w:val="24"/>
                <w:szCs w:val="24"/>
              </w:rPr>
            </w:pPr>
            <w:r w:rsidRPr="0049220A">
              <w:rPr>
                <w:rFonts w:ascii="Times New Roman" w:hAnsi="Times New Roman" w:cs="Times New Roman"/>
                <w:sz w:val="24"/>
                <w:szCs w:val="24"/>
              </w:rPr>
              <w:t>Wiley</w:t>
            </w:r>
          </w:p>
        </w:tc>
      </w:tr>
      <w:tr w:rsidR="0049220A" w:rsidRPr="0049220A" w14:paraId="5BEB9A69" w14:textId="77777777" w:rsidTr="006D4DD7">
        <w:trPr>
          <w:trHeight w:val="258"/>
        </w:trPr>
        <w:tc>
          <w:tcPr>
            <w:tcW w:w="756" w:type="dxa"/>
            <w:tcBorders>
              <w:right w:val="nil"/>
            </w:tcBorders>
          </w:tcPr>
          <w:p w14:paraId="76DA5B49" w14:textId="77777777" w:rsidR="009B36B8" w:rsidRPr="0049220A" w:rsidRDefault="009B36B8" w:rsidP="003421EC">
            <w:pPr>
              <w:jc w:val="both"/>
              <w:rPr>
                <w:rFonts w:ascii="Times New Roman" w:hAnsi="Times New Roman" w:cs="Times New Roman"/>
                <w:sz w:val="24"/>
                <w:szCs w:val="24"/>
              </w:rPr>
            </w:pPr>
            <w:r w:rsidRPr="0049220A">
              <w:rPr>
                <w:rFonts w:ascii="Times New Roman" w:hAnsi="Times New Roman" w:cs="Times New Roman"/>
                <w:sz w:val="24"/>
                <w:szCs w:val="24"/>
              </w:rPr>
              <w:t>43.46</w:t>
            </w:r>
          </w:p>
        </w:tc>
        <w:tc>
          <w:tcPr>
            <w:tcW w:w="4083" w:type="dxa"/>
            <w:tcBorders>
              <w:left w:val="nil"/>
              <w:right w:val="nil"/>
            </w:tcBorders>
          </w:tcPr>
          <w:p w14:paraId="31ECFC6D" w14:textId="77777777" w:rsidR="009B36B8" w:rsidRPr="0049220A" w:rsidRDefault="000B6857" w:rsidP="00BB2AD5">
            <w:pPr>
              <w:jc w:val="both"/>
              <w:rPr>
                <w:rFonts w:ascii="Times New Roman" w:hAnsi="Times New Roman" w:cs="Times New Roman"/>
                <w:sz w:val="24"/>
                <w:szCs w:val="24"/>
              </w:rPr>
            </w:pPr>
            <w:r w:rsidRPr="0049220A">
              <w:rPr>
                <w:rFonts w:ascii="Times New Roman" w:hAnsi="Times New Roman" w:cs="Times New Roman"/>
                <w:sz w:val="24"/>
                <w:szCs w:val="24"/>
              </w:rPr>
              <w:t xml:space="preserve">2H-Pyran, </w:t>
            </w:r>
            <w:r w:rsidR="00BB2AD5" w:rsidRPr="0049220A">
              <w:rPr>
                <w:rFonts w:ascii="Times New Roman" w:hAnsi="Times New Roman" w:cs="Times New Roman"/>
                <w:sz w:val="24"/>
                <w:szCs w:val="24"/>
              </w:rPr>
              <w:t>2-(7-heptadecynyloxy)</w:t>
            </w:r>
            <w:r w:rsidR="00A96890" w:rsidRPr="0049220A">
              <w:rPr>
                <w:rFonts w:ascii="Times New Roman" w:hAnsi="Times New Roman" w:cs="Times New Roman"/>
                <w:sz w:val="24"/>
                <w:szCs w:val="24"/>
              </w:rPr>
              <w:t xml:space="preserve"> </w:t>
            </w:r>
            <w:r w:rsidR="00BB2AD5" w:rsidRPr="0049220A">
              <w:rPr>
                <w:rFonts w:ascii="Times New Roman" w:hAnsi="Times New Roman" w:cs="Times New Roman"/>
                <w:sz w:val="24"/>
                <w:szCs w:val="24"/>
              </w:rPr>
              <w:t>tetrahydro</w:t>
            </w:r>
          </w:p>
        </w:tc>
        <w:tc>
          <w:tcPr>
            <w:tcW w:w="1523" w:type="dxa"/>
            <w:tcBorders>
              <w:left w:val="nil"/>
              <w:right w:val="nil"/>
            </w:tcBorders>
          </w:tcPr>
          <w:p w14:paraId="6B9CB3A4" w14:textId="77777777" w:rsidR="009B36B8" w:rsidRPr="0049220A" w:rsidRDefault="00BB2AD5" w:rsidP="006D4DD7">
            <w:pPr>
              <w:rPr>
                <w:rFonts w:ascii="Times New Roman" w:hAnsi="Times New Roman" w:cs="Times New Roman"/>
                <w:sz w:val="24"/>
                <w:szCs w:val="24"/>
              </w:rPr>
            </w:pPr>
            <w:r w:rsidRPr="0049220A">
              <w:rPr>
                <w:rFonts w:ascii="Times New Roman" w:hAnsi="Times New Roman" w:cs="Times New Roman"/>
                <w:sz w:val="24"/>
                <w:szCs w:val="24"/>
              </w:rPr>
              <w:t>C22H40O2</w:t>
            </w:r>
          </w:p>
        </w:tc>
        <w:tc>
          <w:tcPr>
            <w:tcW w:w="743" w:type="dxa"/>
            <w:tcBorders>
              <w:left w:val="nil"/>
              <w:right w:val="nil"/>
            </w:tcBorders>
          </w:tcPr>
          <w:p w14:paraId="75A496CE" w14:textId="77777777" w:rsidR="009B36B8" w:rsidRPr="0049220A" w:rsidRDefault="00BB2AD5" w:rsidP="006D4DD7">
            <w:pPr>
              <w:rPr>
                <w:rFonts w:ascii="Times New Roman" w:hAnsi="Times New Roman" w:cs="Times New Roman"/>
                <w:sz w:val="24"/>
                <w:szCs w:val="24"/>
              </w:rPr>
            </w:pPr>
            <w:r w:rsidRPr="0049220A">
              <w:rPr>
                <w:rFonts w:ascii="Times New Roman" w:hAnsi="Times New Roman" w:cs="Times New Roman"/>
                <w:sz w:val="24"/>
                <w:szCs w:val="24"/>
              </w:rPr>
              <w:t>336</w:t>
            </w:r>
          </w:p>
        </w:tc>
        <w:tc>
          <w:tcPr>
            <w:tcW w:w="990" w:type="dxa"/>
            <w:tcBorders>
              <w:left w:val="nil"/>
              <w:right w:val="nil"/>
            </w:tcBorders>
          </w:tcPr>
          <w:p w14:paraId="463A6355" w14:textId="77777777" w:rsidR="009B36B8" w:rsidRPr="0049220A" w:rsidRDefault="006E6220" w:rsidP="006D4DD7">
            <w:pPr>
              <w:rPr>
                <w:rFonts w:ascii="Times New Roman" w:hAnsi="Times New Roman" w:cs="Times New Roman"/>
                <w:sz w:val="24"/>
                <w:szCs w:val="24"/>
              </w:rPr>
            </w:pPr>
            <w:r w:rsidRPr="0049220A">
              <w:rPr>
                <w:rFonts w:ascii="Times New Roman" w:hAnsi="Times New Roman" w:cs="Times New Roman"/>
                <w:sz w:val="24"/>
                <w:szCs w:val="24"/>
              </w:rPr>
              <w:t>1.07</w:t>
            </w:r>
          </w:p>
        </w:tc>
        <w:tc>
          <w:tcPr>
            <w:tcW w:w="1058" w:type="dxa"/>
            <w:tcBorders>
              <w:left w:val="nil"/>
            </w:tcBorders>
          </w:tcPr>
          <w:p w14:paraId="49018F84" w14:textId="77777777" w:rsidR="009B36B8" w:rsidRPr="0049220A" w:rsidRDefault="00BB2AD5" w:rsidP="000B6857">
            <w:pPr>
              <w:rPr>
                <w:rFonts w:ascii="Times New Roman" w:hAnsi="Times New Roman" w:cs="Times New Roman"/>
                <w:sz w:val="24"/>
                <w:szCs w:val="24"/>
              </w:rPr>
            </w:pPr>
            <w:r w:rsidRPr="0049220A">
              <w:rPr>
                <w:rFonts w:ascii="Times New Roman" w:hAnsi="Times New Roman" w:cs="Times New Roman"/>
                <w:sz w:val="24"/>
                <w:szCs w:val="24"/>
              </w:rPr>
              <w:t>mainlib</w:t>
            </w:r>
          </w:p>
        </w:tc>
      </w:tr>
      <w:tr w:rsidR="0049220A" w:rsidRPr="0049220A" w14:paraId="7D489028" w14:textId="77777777" w:rsidTr="006D4DD7">
        <w:trPr>
          <w:trHeight w:val="258"/>
        </w:trPr>
        <w:tc>
          <w:tcPr>
            <w:tcW w:w="756" w:type="dxa"/>
            <w:tcBorders>
              <w:right w:val="nil"/>
            </w:tcBorders>
          </w:tcPr>
          <w:p w14:paraId="788F97B7" w14:textId="77777777" w:rsidR="009B36B8" w:rsidRPr="0049220A" w:rsidRDefault="009B36B8" w:rsidP="003421EC">
            <w:pPr>
              <w:jc w:val="both"/>
              <w:rPr>
                <w:rFonts w:ascii="Times New Roman" w:hAnsi="Times New Roman" w:cs="Times New Roman"/>
                <w:sz w:val="24"/>
                <w:szCs w:val="24"/>
              </w:rPr>
            </w:pPr>
            <w:r w:rsidRPr="0049220A">
              <w:rPr>
                <w:rFonts w:ascii="Times New Roman" w:hAnsi="Times New Roman" w:cs="Times New Roman"/>
                <w:sz w:val="24"/>
                <w:szCs w:val="24"/>
              </w:rPr>
              <w:t>43.65</w:t>
            </w:r>
          </w:p>
        </w:tc>
        <w:tc>
          <w:tcPr>
            <w:tcW w:w="4083" w:type="dxa"/>
            <w:tcBorders>
              <w:left w:val="nil"/>
              <w:right w:val="nil"/>
            </w:tcBorders>
          </w:tcPr>
          <w:p w14:paraId="37BC4510" w14:textId="77777777" w:rsidR="009B36B8" w:rsidRPr="0049220A" w:rsidRDefault="00BB2AD5" w:rsidP="003421EC">
            <w:pPr>
              <w:jc w:val="both"/>
              <w:rPr>
                <w:rFonts w:ascii="Times New Roman" w:hAnsi="Times New Roman" w:cs="Times New Roman"/>
                <w:sz w:val="24"/>
                <w:szCs w:val="24"/>
              </w:rPr>
            </w:pPr>
            <w:r w:rsidRPr="0049220A">
              <w:rPr>
                <w:rFonts w:ascii="Times New Roman" w:hAnsi="Times New Roman" w:cs="Times New Roman"/>
                <w:sz w:val="24"/>
                <w:szCs w:val="24"/>
              </w:rPr>
              <w:t>Rhodopin</w:t>
            </w:r>
          </w:p>
        </w:tc>
        <w:tc>
          <w:tcPr>
            <w:tcW w:w="1523" w:type="dxa"/>
            <w:tcBorders>
              <w:left w:val="nil"/>
              <w:right w:val="nil"/>
            </w:tcBorders>
          </w:tcPr>
          <w:p w14:paraId="4CB23AC6" w14:textId="77777777" w:rsidR="009B36B8" w:rsidRPr="0049220A" w:rsidRDefault="00BB2AD5" w:rsidP="006D4DD7">
            <w:pPr>
              <w:rPr>
                <w:rFonts w:ascii="Times New Roman" w:hAnsi="Times New Roman" w:cs="Times New Roman"/>
                <w:sz w:val="24"/>
                <w:szCs w:val="24"/>
              </w:rPr>
            </w:pPr>
            <w:r w:rsidRPr="0049220A">
              <w:rPr>
                <w:rFonts w:ascii="Times New Roman" w:hAnsi="Times New Roman" w:cs="Times New Roman"/>
                <w:sz w:val="24"/>
                <w:szCs w:val="24"/>
              </w:rPr>
              <w:t>C40H58O</w:t>
            </w:r>
          </w:p>
        </w:tc>
        <w:tc>
          <w:tcPr>
            <w:tcW w:w="743" w:type="dxa"/>
            <w:tcBorders>
              <w:left w:val="nil"/>
              <w:right w:val="nil"/>
            </w:tcBorders>
          </w:tcPr>
          <w:p w14:paraId="6C858E1A" w14:textId="77777777" w:rsidR="009B36B8" w:rsidRPr="0049220A" w:rsidRDefault="00BB2AD5" w:rsidP="006D4DD7">
            <w:pPr>
              <w:rPr>
                <w:rFonts w:ascii="Times New Roman" w:hAnsi="Times New Roman" w:cs="Times New Roman"/>
                <w:sz w:val="24"/>
                <w:szCs w:val="24"/>
              </w:rPr>
            </w:pPr>
            <w:r w:rsidRPr="0049220A">
              <w:rPr>
                <w:rFonts w:ascii="Times New Roman" w:hAnsi="Times New Roman" w:cs="Times New Roman"/>
                <w:sz w:val="24"/>
                <w:szCs w:val="24"/>
              </w:rPr>
              <w:t>554</w:t>
            </w:r>
          </w:p>
        </w:tc>
        <w:tc>
          <w:tcPr>
            <w:tcW w:w="990" w:type="dxa"/>
            <w:tcBorders>
              <w:left w:val="nil"/>
              <w:right w:val="nil"/>
            </w:tcBorders>
          </w:tcPr>
          <w:p w14:paraId="5AA962EC" w14:textId="77777777" w:rsidR="009B36B8" w:rsidRPr="0049220A" w:rsidRDefault="006E6220" w:rsidP="006D4DD7">
            <w:pPr>
              <w:rPr>
                <w:rFonts w:ascii="Times New Roman" w:hAnsi="Times New Roman" w:cs="Times New Roman"/>
                <w:sz w:val="24"/>
                <w:szCs w:val="24"/>
              </w:rPr>
            </w:pPr>
            <w:r w:rsidRPr="0049220A">
              <w:rPr>
                <w:rFonts w:ascii="Times New Roman" w:hAnsi="Times New Roman" w:cs="Times New Roman"/>
                <w:sz w:val="24"/>
                <w:szCs w:val="24"/>
              </w:rPr>
              <w:t>3.65</w:t>
            </w:r>
          </w:p>
        </w:tc>
        <w:tc>
          <w:tcPr>
            <w:tcW w:w="1058" w:type="dxa"/>
            <w:tcBorders>
              <w:left w:val="nil"/>
            </w:tcBorders>
          </w:tcPr>
          <w:p w14:paraId="2F44CBBB" w14:textId="77777777" w:rsidR="009B36B8" w:rsidRPr="0049220A" w:rsidRDefault="00BB2AD5" w:rsidP="000B6857">
            <w:pPr>
              <w:rPr>
                <w:rFonts w:ascii="Times New Roman" w:hAnsi="Times New Roman" w:cs="Times New Roman"/>
                <w:sz w:val="24"/>
                <w:szCs w:val="24"/>
              </w:rPr>
            </w:pPr>
            <w:r w:rsidRPr="0049220A">
              <w:rPr>
                <w:rFonts w:ascii="Times New Roman" w:hAnsi="Times New Roman" w:cs="Times New Roman"/>
                <w:sz w:val="24"/>
                <w:szCs w:val="24"/>
              </w:rPr>
              <w:t>mainlib</w:t>
            </w:r>
          </w:p>
        </w:tc>
      </w:tr>
      <w:tr w:rsidR="0049220A" w:rsidRPr="0049220A" w14:paraId="3E59D88D" w14:textId="77777777" w:rsidTr="006D4DD7">
        <w:trPr>
          <w:trHeight w:val="271"/>
        </w:trPr>
        <w:tc>
          <w:tcPr>
            <w:tcW w:w="756" w:type="dxa"/>
            <w:tcBorders>
              <w:right w:val="nil"/>
            </w:tcBorders>
          </w:tcPr>
          <w:p w14:paraId="63CF5CD1" w14:textId="77777777" w:rsidR="009B36B8" w:rsidRPr="0049220A" w:rsidRDefault="009B36B8" w:rsidP="003421EC">
            <w:pPr>
              <w:jc w:val="both"/>
              <w:rPr>
                <w:rFonts w:ascii="Times New Roman" w:hAnsi="Times New Roman" w:cs="Times New Roman"/>
                <w:sz w:val="24"/>
                <w:szCs w:val="24"/>
              </w:rPr>
            </w:pPr>
            <w:r w:rsidRPr="0049220A">
              <w:rPr>
                <w:rFonts w:ascii="Times New Roman" w:hAnsi="Times New Roman" w:cs="Times New Roman"/>
                <w:sz w:val="24"/>
                <w:szCs w:val="24"/>
              </w:rPr>
              <w:t>44.01</w:t>
            </w:r>
          </w:p>
        </w:tc>
        <w:tc>
          <w:tcPr>
            <w:tcW w:w="4083" w:type="dxa"/>
            <w:tcBorders>
              <w:left w:val="nil"/>
              <w:right w:val="nil"/>
            </w:tcBorders>
          </w:tcPr>
          <w:p w14:paraId="2528BBBB" w14:textId="77777777" w:rsidR="009B36B8" w:rsidRPr="0049220A" w:rsidRDefault="00BB2AD5" w:rsidP="00BB2AD5">
            <w:pPr>
              <w:jc w:val="both"/>
              <w:rPr>
                <w:rFonts w:ascii="Times New Roman" w:hAnsi="Times New Roman" w:cs="Times New Roman"/>
                <w:sz w:val="24"/>
                <w:szCs w:val="24"/>
              </w:rPr>
            </w:pPr>
            <w:r w:rsidRPr="0049220A">
              <w:rPr>
                <w:rFonts w:ascii="Times New Roman" w:hAnsi="Times New Roman" w:cs="Times New Roman"/>
                <w:sz w:val="24"/>
                <w:szCs w:val="24"/>
              </w:rPr>
              <w:t>Palmitic acid,</w:t>
            </w:r>
            <w:r w:rsidR="00A96890" w:rsidRPr="0049220A">
              <w:rPr>
                <w:rFonts w:ascii="Times New Roman" w:hAnsi="Times New Roman" w:cs="Times New Roman"/>
                <w:sz w:val="24"/>
                <w:szCs w:val="24"/>
              </w:rPr>
              <w:t xml:space="preserve"> </w:t>
            </w:r>
            <w:r w:rsidRPr="0049220A">
              <w:rPr>
                <w:rFonts w:ascii="Times New Roman" w:hAnsi="Times New Roman" w:cs="Times New Roman"/>
                <w:sz w:val="24"/>
                <w:szCs w:val="24"/>
              </w:rPr>
              <w:t xml:space="preserve">2-(tetradecyloxy)ethyl ester </w:t>
            </w:r>
          </w:p>
        </w:tc>
        <w:tc>
          <w:tcPr>
            <w:tcW w:w="1523" w:type="dxa"/>
            <w:tcBorders>
              <w:left w:val="nil"/>
              <w:right w:val="nil"/>
            </w:tcBorders>
          </w:tcPr>
          <w:p w14:paraId="26B6CDCD" w14:textId="77777777" w:rsidR="009B36B8" w:rsidRPr="0049220A" w:rsidRDefault="00BB2AD5" w:rsidP="006D4DD7">
            <w:pPr>
              <w:rPr>
                <w:rFonts w:ascii="Times New Roman" w:hAnsi="Times New Roman" w:cs="Times New Roman"/>
                <w:sz w:val="24"/>
                <w:szCs w:val="24"/>
              </w:rPr>
            </w:pPr>
            <w:r w:rsidRPr="0049220A">
              <w:rPr>
                <w:rFonts w:ascii="Times New Roman" w:hAnsi="Times New Roman" w:cs="Times New Roman"/>
                <w:sz w:val="24"/>
                <w:szCs w:val="24"/>
              </w:rPr>
              <w:t>C32H64O3</w:t>
            </w:r>
          </w:p>
        </w:tc>
        <w:tc>
          <w:tcPr>
            <w:tcW w:w="743" w:type="dxa"/>
            <w:tcBorders>
              <w:left w:val="nil"/>
              <w:right w:val="nil"/>
            </w:tcBorders>
          </w:tcPr>
          <w:p w14:paraId="4E01F548" w14:textId="77777777" w:rsidR="009B36B8" w:rsidRPr="0049220A" w:rsidRDefault="00BB2AD5" w:rsidP="006D4DD7">
            <w:pPr>
              <w:rPr>
                <w:rFonts w:ascii="Times New Roman" w:hAnsi="Times New Roman" w:cs="Times New Roman"/>
                <w:sz w:val="24"/>
                <w:szCs w:val="24"/>
              </w:rPr>
            </w:pPr>
            <w:r w:rsidRPr="0049220A">
              <w:rPr>
                <w:rFonts w:ascii="Times New Roman" w:hAnsi="Times New Roman" w:cs="Times New Roman"/>
                <w:sz w:val="24"/>
                <w:szCs w:val="24"/>
              </w:rPr>
              <w:t>496</w:t>
            </w:r>
          </w:p>
        </w:tc>
        <w:tc>
          <w:tcPr>
            <w:tcW w:w="990" w:type="dxa"/>
            <w:tcBorders>
              <w:left w:val="nil"/>
              <w:right w:val="nil"/>
            </w:tcBorders>
          </w:tcPr>
          <w:p w14:paraId="3C2BB3C2" w14:textId="77777777" w:rsidR="009B36B8" w:rsidRPr="0049220A" w:rsidRDefault="006E6220" w:rsidP="006D4DD7">
            <w:pPr>
              <w:rPr>
                <w:rFonts w:ascii="Times New Roman" w:hAnsi="Times New Roman" w:cs="Times New Roman"/>
                <w:sz w:val="24"/>
                <w:szCs w:val="24"/>
              </w:rPr>
            </w:pPr>
            <w:r w:rsidRPr="0049220A">
              <w:rPr>
                <w:rFonts w:ascii="Times New Roman" w:hAnsi="Times New Roman" w:cs="Times New Roman"/>
                <w:sz w:val="24"/>
                <w:szCs w:val="24"/>
              </w:rPr>
              <w:t>4.69</w:t>
            </w:r>
          </w:p>
        </w:tc>
        <w:tc>
          <w:tcPr>
            <w:tcW w:w="1058" w:type="dxa"/>
            <w:tcBorders>
              <w:left w:val="nil"/>
            </w:tcBorders>
          </w:tcPr>
          <w:p w14:paraId="739BE2D4" w14:textId="77777777" w:rsidR="009B36B8" w:rsidRPr="0049220A" w:rsidRDefault="00BB2AD5" w:rsidP="000B6857">
            <w:pPr>
              <w:rPr>
                <w:rFonts w:ascii="Times New Roman" w:hAnsi="Times New Roman" w:cs="Times New Roman"/>
                <w:sz w:val="24"/>
                <w:szCs w:val="24"/>
              </w:rPr>
            </w:pPr>
            <w:r w:rsidRPr="0049220A">
              <w:rPr>
                <w:rFonts w:ascii="Times New Roman" w:hAnsi="Times New Roman" w:cs="Times New Roman"/>
                <w:sz w:val="24"/>
                <w:szCs w:val="24"/>
              </w:rPr>
              <w:t>Wiley</w:t>
            </w:r>
          </w:p>
        </w:tc>
      </w:tr>
      <w:tr w:rsidR="0049220A" w:rsidRPr="0049220A" w14:paraId="2834775B" w14:textId="77777777" w:rsidTr="006D4DD7">
        <w:trPr>
          <w:trHeight w:val="207"/>
        </w:trPr>
        <w:tc>
          <w:tcPr>
            <w:tcW w:w="756" w:type="dxa"/>
            <w:tcBorders>
              <w:right w:val="nil"/>
            </w:tcBorders>
          </w:tcPr>
          <w:p w14:paraId="17D564AE" w14:textId="77777777" w:rsidR="006E6220" w:rsidRPr="0049220A" w:rsidRDefault="006E6220" w:rsidP="006E6220">
            <w:pPr>
              <w:jc w:val="both"/>
              <w:rPr>
                <w:rFonts w:ascii="Times New Roman" w:hAnsi="Times New Roman" w:cs="Times New Roman"/>
                <w:sz w:val="24"/>
                <w:szCs w:val="24"/>
              </w:rPr>
            </w:pPr>
            <w:r w:rsidRPr="0049220A">
              <w:rPr>
                <w:rFonts w:ascii="Times New Roman" w:hAnsi="Times New Roman" w:cs="Times New Roman"/>
                <w:sz w:val="24"/>
                <w:szCs w:val="24"/>
              </w:rPr>
              <w:t>44.34</w:t>
            </w:r>
          </w:p>
        </w:tc>
        <w:tc>
          <w:tcPr>
            <w:tcW w:w="4083" w:type="dxa"/>
            <w:tcBorders>
              <w:left w:val="nil"/>
              <w:right w:val="nil"/>
            </w:tcBorders>
          </w:tcPr>
          <w:p w14:paraId="70841750" w14:textId="77777777" w:rsidR="006E6220" w:rsidRPr="0049220A" w:rsidRDefault="006E6220" w:rsidP="006E6220">
            <w:pPr>
              <w:jc w:val="both"/>
              <w:rPr>
                <w:rFonts w:ascii="Times New Roman" w:hAnsi="Times New Roman" w:cs="Times New Roman"/>
                <w:sz w:val="24"/>
                <w:szCs w:val="24"/>
              </w:rPr>
            </w:pPr>
            <w:r w:rsidRPr="0049220A">
              <w:rPr>
                <w:rFonts w:ascii="Times New Roman" w:hAnsi="Times New Roman" w:cs="Times New Roman"/>
                <w:sz w:val="24"/>
                <w:szCs w:val="24"/>
              </w:rPr>
              <w:t>12-Methyl-E,E-2,13-octadecadien-1-ol</w:t>
            </w:r>
          </w:p>
        </w:tc>
        <w:tc>
          <w:tcPr>
            <w:tcW w:w="1523" w:type="dxa"/>
            <w:tcBorders>
              <w:left w:val="nil"/>
              <w:right w:val="nil"/>
            </w:tcBorders>
          </w:tcPr>
          <w:p w14:paraId="167F496F" w14:textId="77777777" w:rsidR="006E6220" w:rsidRPr="0049220A" w:rsidRDefault="006E6220" w:rsidP="006D4DD7">
            <w:pPr>
              <w:rPr>
                <w:rFonts w:ascii="Times New Roman" w:hAnsi="Times New Roman" w:cs="Times New Roman"/>
                <w:sz w:val="24"/>
                <w:szCs w:val="24"/>
              </w:rPr>
            </w:pPr>
            <w:r w:rsidRPr="0049220A">
              <w:rPr>
                <w:rFonts w:ascii="Times New Roman" w:hAnsi="Times New Roman" w:cs="Times New Roman"/>
                <w:sz w:val="24"/>
                <w:szCs w:val="24"/>
              </w:rPr>
              <w:t>C19H36O</w:t>
            </w:r>
          </w:p>
        </w:tc>
        <w:tc>
          <w:tcPr>
            <w:tcW w:w="743" w:type="dxa"/>
            <w:tcBorders>
              <w:left w:val="nil"/>
              <w:right w:val="nil"/>
            </w:tcBorders>
          </w:tcPr>
          <w:p w14:paraId="2C30D40F" w14:textId="77777777" w:rsidR="006E6220" w:rsidRPr="0049220A" w:rsidRDefault="006E6220" w:rsidP="006D4DD7">
            <w:pPr>
              <w:rPr>
                <w:rFonts w:ascii="Times New Roman" w:hAnsi="Times New Roman" w:cs="Times New Roman"/>
                <w:sz w:val="24"/>
                <w:szCs w:val="24"/>
              </w:rPr>
            </w:pPr>
            <w:r w:rsidRPr="0049220A">
              <w:rPr>
                <w:rFonts w:ascii="Times New Roman" w:hAnsi="Times New Roman" w:cs="Times New Roman"/>
                <w:sz w:val="24"/>
                <w:szCs w:val="24"/>
              </w:rPr>
              <w:t>280</w:t>
            </w:r>
          </w:p>
        </w:tc>
        <w:tc>
          <w:tcPr>
            <w:tcW w:w="990" w:type="dxa"/>
            <w:tcBorders>
              <w:left w:val="nil"/>
              <w:right w:val="nil"/>
            </w:tcBorders>
          </w:tcPr>
          <w:p w14:paraId="684407C8" w14:textId="77777777" w:rsidR="006E6220" w:rsidRPr="0049220A" w:rsidRDefault="006E6220" w:rsidP="006D4DD7">
            <w:pPr>
              <w:rPr>
                <w:rFonts w:ascii="Times New Roman" w:hAnsi="Times New Roman" w:cs="Times New Roman"/>
                <w:sz w:val="24"/>
                <w:szCs w:val="24"/>
              </w:rPr>
            </w:pPr>
            <w:r w:rsidRPr="0049220A">
              <w:rPr>
                <w:rFonts w:ascii="Times New Roman" w:hAnsi="Times New Roman" w:cs="Times New Roman"/>
                <w:sz w:val="24"/>
                <w:szCs w:val="24"/>
              </w:rPr>
              <w:t>16.74</w:t>
            </w:r>
          </w:p>
        </w:tc>
        <w:tc>
          <w:tcPr>
            <w:tcW w:w="1058" w:type="dxa"/>
            <w:tcBorders>
              <w:left w:val="nil"/>
            </w:tcBorders>
          </w:tcPr>
          <w:p w14:paraId="14EB76AD" w14:textId="77777777" w:rsidR="006E6220" w:rsidRPr="0049220A" w:rsidRDefault="006E6220" w:rsidP="006E6220">
            <w:pPr>
              <w:rPr>
                <w:rFonts w:ascii="Times New Roman" w:hAnsi="Times New Roman" w:cs="Times New Roman"/>
                <w:sz w:val="24"/>
                <w:szCs w:val="24"/>
              </w:rPr>
            </w:pPr>
            <w:r w:rsidRPr="0049220A">
              <w:rPr>
                <w:rFonts w:ascii="Times New Roman" w:hAnsi="Times New Roman" w:cs="Times New Roman"/>
                <w:sz w:val="24"/>
                <w:szCs w:val="24"/>
              </w:rPr>
              <w:t>mainlib</w:t>
            </w:r>
          </w:p>
        </w:tc>
      </w:tr>
      <w:tr w:rsidR="0049220A" w:rsidRPr="0049220A" w14:paraId="7A9B0F75" w14:textId="77777777" w:rsidTr="006D4DD7">
        <w:trPr>
          <w:trHeight w:val="258"/>
        </w:trPr>
        <w:tc>
          <w:tcPr>
            <w:tcW w:w="756" w:type="dxa"/>
            <w:tcBorders>
              <w:right w:val="nil"/>
            </w:tcBorders>
          </w:tcPr>
          <w:p w14:paraId="7FD3B3D9" w14:textId="77777777" w:rsidR="006E6220" w:rsidRPr="0049220A" w:rsidRDefault="006E6220" w:rsidP="006E6220">
            <w:pPr>
              <w:jc w:val="both"/>
              <w:rPr>
                <w:rFonts w:ascii="Times New Roman" w:hAnsi="Times New Roman" w:cs="Times New Roman"/>
                <w:sz w:val="24"/>
                <w:szCs w:val="24"/>
              </w:rPr>
            </w:pPr>
            <w:r w:rsidRPr="0049220A">
              <w:rPr>
                <w:rFonts w:ascii="Times New Roman" w:hAnsi="Times New Roman" w:cs="Times New Roman"/>
                <w:sz w:val="24"/>
                <w:szCs w:val="24"/>
              </w:rPr>
              <w:t>44.54</w:t>
            </w:r>
          </w:p>
        </w:tc>
        <w:tc>
          <w:tcPr>
            <w:tcW w:w="4083" w:type="dxa"/>
            <w:tcBorders>
              <w:left w:val="nil"/>
              <w:right w:val="nil"/>
            </w:tcBorders>
          </w:tcPr>
          <w:p w14:paraId="77A78B35" w14:textId="77777777" w:rsidR="006E6220" w:rsidRPr="0049220A" w:rsidRDefault="006E6220" w:rsidP="006E6220">
            <w:pPr>
              <w:jc w:val="both"/>
              <w:rPr>
                <w:rFonts w:ascii="Times New Roman" w:hAnsi="Times New Roman" w:cs="Times New Roman"/>
                <w:sz w:val="24"/>
                <w:szCs w:val="24"/>
              </w:rPr>
            </w:pPr>
            <w:r w:rsidRPr="0049220A">
              <w:rPr>
                <w:rFonts w:ascii="Times New Roman" w:hAnsi="Times New Roman" w:cs="Times New Roman"/>
                <w:sz w:val="24"/>
                <w:szCs w:val="24"/>
              </w:rPr>
              <w:t>1,2-15,16-Diepoxyhexadecane</w:t>
            </w:r>
          </w:p>
        </w:tc>
        <w:tc>
          <w:tcPr>
            <w:tcW w:w="1523" w:type="dxa"/>
            <w:tcBorders>
              <w:left w:val="nil"/>
              <w:right w:val="nil"/>
            </w:tcBorders>
          </w:tcPr>
          <w:p w14:paraId="7194685C" w14:textId="77777777" w:rsidR="006E6220" w:rsidRPr="0049220A" w:rsidRDefault="006E6220" w:rsidP="006D4DD7">
            <w:pPr>
              <w:rPr>
                <w:rFonts w:ascii="Times New Roman" w:hAnsi="Times New Roman" w:cs="Times New Roman"/>
                <w:sz w:val="24"/>
                <w:szCs w:val="24"/>
              </w:rPr>
            </w:pPr>
            <w:r w:rsidRPr="0049220A">
              <w:rPr>
                <w:rFonts w:ascii="Times New Roman" w:hAnsi="Times New Roman" w:cs="Times New Roman"/>
                <w:sz w:val="24"/>
                <w:szCs w:val="24"/>
              </w:rPr>
              <w:t>C16H30O2</w:t>
            </w:r>
          </w:p>
        </w:tc>
        <w:tc>
          <w:tcPr>
            <w:tcW w:w="743" w:type="dxa"/>
            <w:tcBorders>
              <w:left w:val="nil"/>
              <w:right w:val="nil"/>
            </w:tcBorders>
          </w:tcPr>
          <w:p w14:paraId="65749837" w14:textId="77777777" w:rsidR="006E6220" w:rsidRPr="0049220A" w:rsidRDefault="006E6220" w:rsidP="006D4DD7">
            <w:pPr>
              <w:rPr>
                <w:rFonts w:ascii="Times New Roman" w:hAnsi="Times New Roman" w:cs="Times New Roman"/>
                <w:sz w:val="24"/>
                <w:szCs w:val="24"/>
              </w:rPr>
            </w:pPr>
            <w:r w:rsidRPr="0049220A">
              <w:rPr>
                <w:rFonts w:ascii="Times New Roman" w:hAnsi="Times New Roman" w:cs="Times New Roman"/>
                <w:sz w:val="24"/>
                <w:szCs w:val="24"/>
              </w:rPr>
              <w:t>254</w:t>
            </w:r>
          </w:p>
        </w:tc>
        <w:tc>
          <w:tcPr>
            <w:tcW w:w="990" w:type="dxa"/>
            <w:tcBorders>
              <w:left w:val="nil"/>
              <w:right w:val="nil"/>
            </w:tcBorders>
          </w:tcPr>
          <w:p w14:paraId="45006D7E" w14:textId="77777777" w:rsidR="006E6220" w:rsidRPr="0049220A" w:rsidRDefault="006E6220" w:rsidP="006D4DD7">
            <w:pPr>
              <w:rPr>
                <w:rFonts w:ascii="Times New Roman" w:hAnsi="Times New Roman" w:cs="Times New Roman"/>
                <w:sz w:val="24"/>
                <w:szCs w:val="24"/>
              </w:rPr>
            </w:pPr>
            <w:r w:rsidRPr="0049220A">
              <w:rPr>
                <w:rFonts w:ascii="Times New Roman" w:hAnsi="Times New Roman" w:cs="Times New Roman"/>
                <w:sz w:val="24"/>
                <w:szCs w:val="24"/>
              </w:rPr>
              <w:t>0.41</w:t>
            </w:r>
          </w:p>
        </w:tc>
        <w:tc>
          <w:tcPr>
            <w:tcW w:w="1058" w:type="dxa"/>
            <w:tcBorders>
              <w:left w:val="nil"/>
            </w:tcBorders>
          </w:tcPr>
          <w:p w14:paraId="3C7549C0" w14:textId="77777777" w:rsidR="006E6220" w:rsidRPr="0049220A" w:rsidRDefault="006E6220" w:rsidP="006E6220">
            <w:pPr>
              <w:rPr>
                <w:rFonts w:ascii="Times New Roman" w:hAnsi="Times New Roman" w:cs="Times New Roman"/>
                <w:sz w:val="24"/>
                <w:szCs w:val="24"/>
              </w:rPr>
            </w:pPr>
            <w:r w:rsidRPr="0049220A">
              <w:rPr>
                <w:rFonts w:ascii="Times New Roman" w:hAnsi="Times New Roman" w:cs="Times New Roman"/>
                <w:sz w:val="24"/>
                <w:szCs w:val="24"/>
              </w:rPr>
              <w:t>Wiley</w:t>
            </w:r>
          </w:p>
        </w:tc>
      </w:tr>
      <w:tr w:rsidR="0049220A" w:rsidRPr="0049220A" w14:paraId="14304A7B" w14:textId="77777777" w:rsidTr="006D4DD7">
        <w:trPr>
          <w:trHeight w:val="258"/>
        </w:trPr>
        <w:tc>
          <w:tcPr>
            <w:tcW w:w="756" w:type="dxa"/>
            <w:tcBorders>
              <w:right w:val="nil"/>
            </w:tcBorders>
          </w:tcPr>
          <w:p w14:paraId="29ACEB00" w14:textId="77777777" w:rsidR="006E6220" w:rsidRPr="0049220A" w:rsidRDefault="006E6220" w:rsidP="006E6220">
            <w:pPr>
              <w:jc w:val="both"/>
              <w:rPr>
                <w:rFonts w:ascii="Times New Roman" w:hAnsi="Times New Roman" w:cs="Times New Roman"/>
                <w:sz w:val="24"/>
                <w:szCs w:val="24"/>
              </w:rPr>
            </w:pPr>
            <w:r w:rsidRPr="0049220A">
              <w:rPr>
                <w:rFonts w:ascii="Times New Roman" w:hAnsi="Times New Roman" w:cs="Times New Roman"/>
                <w:sz w:val="24"/>
                <w:szCs w:val="24"/>
              </w:rPr>
              <w:t>44.64</w:t>
            </w:r>
          </w:p>
        </w:tc>
        <w:tc>
          <w:tcPr>
            <w:tcW w:w="4083" w:type="dxa"/>
            <w:tcBorders>
              <w:left w:val="nil"/>
              <w:right w:val="nil"/>
            </w:tcBorders>
          </w:tcPr>
          <w:p w14:paraId="69C01D43" w14:textId="77777777" w:rsidR="006E6220" w:rsidRPr="0049220A" w:rsidRDefault="00EC79EB" w:rsidP="006E6220">
            <w:pPr>
              <w:jc w:val="both"/>
              <w:rPr>
                <w:rFonts w:ascii="Times New Roman" w:hAnsi="Times New Roman" w:cs="Times New Roman"/>
                <w:sz w:val="24"/>
                <w:szCs w:val="24"/>
              </w:rPr>
            </w:pPr>
            <w:r w:rsidRPr="0049220A">
              <w:rPr>
                <w:rFonts w:ascii="Times New Roman" w:hAnsi="Times New Roman" w:cs="Times New Roman"/>
                <w:sz w:val="24"/>
                <w:szCs w:val="24"/>
              </w:rPr>
              <w:t>2-Hexadecanol</w:t>
            </w:r>
          </w:p>
        </w:tc>
        <w:tc>
          <w:tcPr>
            <w:tcW w:w="1523" w:type="dxa"/>
            <w:tcBorders>
              <w:left w:val="nil"/>
              <w:right w:val="nil"/>
            </w:tcBorders>
          </w:tcPr>
          <w:p w14:paraId="0A2F915F" w14:textId="77777777" w:rsidR="006E6220" w:rsidRPr="0049220A" w:rsidRDefault="00EC79EB" w:rsidP="006D4DD7">
            <w:pPr>
              <w:rPr>
                <w:rFonts w:ascii="Times New Roman" w:hAnsi="Times New Roman" w:cs="Times New Roman"/>
                <w:sz w:val="24"/>
                <w:szCs w:val="24"/>
              </w:rPr>
            </w:pPr>
            <w:r w:rsidRPr="0049220A">
              <w:rPr>
                <w:rFonts w:ascii="Times New Roman" w:hAnsi="Times New Roman" w:cs="Times New Roman"/>
                <w:sz w:val="24"/>
                <w:szCs w:val="24"/>
              </w:rPr>
              <w:t>C16H34O</w:t>
            </w:r>
          </w:p>
        </w:tc>
        <w:tc>
          <w:tcPr>
            <w:tcW w:w="743" w:type="dxa"/>
            <w:tcBorders>
              <w:left w:val="nil"/>
              <w:right w:val="nil"/>
            </w:tcBorders>
          </w:tcPr>
          <w:p w14:paraId="5DE8B0EB" w14:textId="77777777" w:rsidR="006E6220" w:rsidRPr="0049220A" w:rsidRDefault="00EC79EB" w:rsidP="006D4DD7">
            <w:pPr>
              <w:rPr>
                <w:rFonts w:ascii="Times New Roman" w:hAnsi="Times New Roman" w:cs="Times New Roman"/>
                <w:sz w:val="24"/>
                <w:szCs w:val="24"/>
              </w:rPr>
            </w:pPr>
            <w:r w:rsidRPr="0049220A">
              <w:rPr>
                <w:rFonts w:ascii="Times New Roman" w:hAnsi="Times New Roman" w:cs="Times New Roman"/>
                <w:sz w:val="24"/>
                <w:szCs w:val="24"/>
              </w:rPr>
              <w:t>242</w:t>
            </w:r>
          </w:p>
        </w:tc>
        <w:tc>
          <w:tcPr>
            <w:tcW w:w="990" w:type="dxa"/>
            <w:tcBorders>
              <w:left w:val="nil"/>
              <w:right w:val="nil"/>
            </w:tcBorders>
          </w:tcPr>
          <w:p w14:paraId="42D8052E" w14:textId="77777777" w:rsidR="006E6220" w:rsidRPr="0049220A" w:rsidRDefault="00EC79EB" w:rsidP="006D4DD7">
            <w:pPr>
              <w:rPr>
                <w:rFonts w:ascii="Times New Roman" w:hAnsi="Times New Roman" w:cs="Times New Roman"/>
                <w:sz w:val="24"/>
                <w:szCs w:val="24"/>
              </w:rPr>
            </w:pPr>
            <w:r w:rsidRPr="0049220A">
              <w:rPr>
                <w:rFonts w:ascii="Times New Roman" w:hAnsi="Times New Roman" w:cs="Times New Roman"/>
                <w:sz w:val="24"/>
                <w:szCs w:val="24"/>
              </w:rPr>
              <w:t>3.52</w:t>
            </w:r>
          </w:p>
        </w:tc>
        <w:tc>
          <w:tcPr>
            <w:tcW w:w="1058" w:type="dxa"/>
            <w:tcBorders>
              <w:left w:val="nil"/>
            </w:tcBorders>
          </w:tcPr>
          <w:p w14:paraId="744B9F6F" w14:textId="77777777" w:rsidR="006E6220" w:rsidRPr="0049220A" w:rsidRDefault="00EC79EB" w:rsidP="006E6220">
            <w:pPr>
              <w:rPr>
                <w:rFonts w:ascii="Times New Roman" w:hAnsi="Times New Roman" w:cs="Times New Roman"/>
                <w:sz w:val="24"/>
                <w:szCs w:val="24"/>
              </w:rPr>
            </w:pPr>
            <w:r w:rsidRPr="0049220A">
              <w:rPr>
                <w:rFonts w:ascii="Times New Roman" w:hAnsi="Times New Roman" w:cs="Times New Roman"/>
                <w:sz w:val="24"/>
                <w:szCs w:val="24"/>
              </w:rPr>
              <w:t>Wiley</w:t>
            </w:r>
          </w:p>
        </w:tc>
      </w:tr>
      <w:tr w:rsidR="0049220A" w:rsidRPr="0049220A" w14:paraId="70CBD18C" w14:textId="77777777" w:rsidTr="006D4DD7">
        <w:trPr>
          <w:trHeight w:val="258"/>
        </w:trPr>
        <w:tc>
          <w:tcPr>
            <w:tcW w:w="756" w:type="dxa"/>
            <w:tcBorders>
              <w:right w:val="nil"/>
            </w:tcBorders>
          </w:tcPr>
          <w:p w14:paraId="1BA60C8E" w14:textId="77777777" w:rsidR="006E6220" w:rsidRPr="0049220A" w:rsidRDefault="00EC79EB" w:rsidP="006E6220">
            <w:pPr>
              <w:jc w:val="both"/>
              <w:rPr>
                <w:rFonts w:ascii="Times New Roman" w:hAnsi="Times New Roman" w:cs="Times New Roman"/>
                <w:sz w:val="24"/>
                <w:szCs w:val="24"/>
              </w:rPr>
            </w:pPr>
            <w:r w:rsidRPr="0049220A">
              <w:rPr>
                <w:rFonts w:ascii="Times New Roman" w:hAnsi="Times New Roman" w:cs="Times New Roman"/>
                <w:sz w:val="24"/>
                <w:szCs w:val="24"/>
              </w:rPr>
              <w:t>44.79</w:t>
            </w:r>
          </w:p>
        </w:tc>
        <w:tc>
          <w:tcPr>
            <w:tcW w:w="4083" w:type="dxa"/>
            <w:tcBorders>
              <w:left w:val="nil"/>
              <w:right w:val="nil"/>
            </w:tcBorders>
          </w:tcPr>
          <w:p w14:paraId="4C3C5C15" w14:textId="77777777" w:rsidR="006E6220" w:rsidRPr="0049220A" w:rsidRDefault="00EC79EB" w:rsidP="006E6220">
            <w:pPr>
              <w:jc w:val="both"/>
              <w:rPr>
                <w:rFonts w:ascii="Times New Roman" w:hAnsi="Times New Roman" w:cs="Times New Roman"/>
                <w:sz w:val="24"/>
                <w:szCs w:val="24"/>
              </w:rPr>
            </w:pPr>
            <w:r w:rsidRPr="0049220A">
              <w:rPr>
                <w:rFonts w:ascii="Times New Roman" w:hAnsi="Times New Roman" w:cs="Times New Roman"/>
                <w:sz w:val="24"/>
                <w:szCs w:val="24"/>
              </w:rPr>
              <w:t>1-Heptatriacotanol</w:t>
            </w:r>
          </w:p>
        </w:tc>
        <w:tc>
          <w:tcPr>
            <w:tcW w:w="1523" w:type="dxa"/>
            <w:tcBorders>
              <w:left w:val="nil"/>
              <w:right w:val="nil"/>
            </w:tcBorders>
          </w:tcPr>
          <w:p w14:paraId="42A569D2" w14:textId="77777777" w:rsidR="006E6220" w:rsidRPr="0049220A" w:rsidRDefault="00EC79EB" w:rsidP="006D4DD7">
            <w:pPr>
              <w:rPr>
                <w:rFonts w:ascii="Times New Roman" w:hAnsi="Times New Roman" w:cs="Times New Roman"/>
                <w:sz w:val="24"/>
                <w:szCs w:val="24"/>
              </w:rPr>
            </w:pPr>
            <w:r w:rsidRPr="0049220A">
              <w:rPr>
                <w:rFonts w:ascii="Times New Roman" w:hAnsi="Times New Roman" w:cs="Times New Roman"/>
                <w:sz w:val="24"/>
                <w:szCs w:val="24"/>
              </w:rPr>
              <w:t>C37H76O</w:t>
            </w:r>
          </w:p>
        </w:tc>
        <w:tc>
          <w:tcPr>
            <w:tcW w:w="743" w:type="dxa"/>
            <w:tcBorders>
              <w:left w:val="nil"/>
              <w:right w:val="nil"/>
            </w:tcBorders>
          </w:tcPr>
          <w:p w14:paraId="5ED96F1C" w14:textId="77777777" w:rsidR="006E6220" w:rsidRPr="0049220A" w:rsidRDefault="00EC79EB" w:rsidP="006D4DD7">
            <w:pPr>
              <w:rPr>
                <w:rFonts w:ascii="Times New Roman" w:hAnsi="Times New Roman" w:cs="Times New Roman"/>
                <w:sz w:val="24"/>
                <w:szCs w:val="24"/>
              </w:rPr>
            </w:pPr>
            <w:r w:rsidRPr="0049220A">
              <w:rPr>
                <w:rFonts w:ascii="Times New Roman" w:hAnsi="Times New Roman" w:cs="Times New Roman"/>
                <w:sz w:val="24"/>
                <w:szCs w:val="24"/>
              </w:rPr>
              <w:t>536</w:t>
            </w:r>
          </w:p>
        </w:tc>
        <w:tc>
          <w:tcPr>
            <w:tcW w:w="990" w:type="dxa"/>
            <w:tcBorders>
              <w:left w:val="nil"/>
              <w:right w:val="nil"/>
            </w:tcBorders>
          </w:tcPr>
          <w:p w14:paraId="56886C7F" w14:textId="77777777" w:rsidR="006E6220" w:rsidRPr="0049220A" w:rsidRDefault="00971BA0" w:rsidP="006D4DD7">
            <w:pPr>
              <w:rPr>
                <w:rFonts w:ascii="Times New Roman" w:hAnsi="Times New Roman" w:cs="Times New Roman"/>
                <w:sz w:val="24"/>
                <w:szCs w:val="24"/>
              </w:rPr>
            </w:pPr>
            <w:r w:rsidRPr="0049220A">
              <w:rPr>
                <w:rFonts w:ascii="Times New Roman" w:hAnsi="Times New Roman" w:cs="Times New Roman"/>
                <w:sz w:val="24"/>
                <w:szCs w:val="24"/>
              </w:rPr>
              <w:t>5.48</w:t>
            </w:r>
          </w:p>
        </w:tc>
        <w:tc>
          <w:tcPr>
            <w:tcW w:w="1058" w:type="dxa"/>
            <w:tcBorders>
              <w:left w:val="nil"/>
            </w:tcBorders>
          </w:tcPr>
          <w:p w14:paraId="4AB7307C" w14:textId="77777777" w:rsidR="006E6220" w:rsidRPr="0049220A" w:rsidRDefault="00971BA0" w:rsidP="006E6220">
            <w:pPr>
              <w:rPr>
                <w:rFonts w:ascii="Times New Roman" w:hAnsi="Times New Roman" w:cs="Times New Roman"/>
                <w:sz w:val="24"/>
                <w:szCs w:val="24"/>
              </w:rPr>
            </w:pPr>
            <w:r w:rsidRPr="0049220A">
              <w:rPr>
                <w:rFonts w:ascii="Times New Roman" w:hAnsi="Times New Roman" w:cs="Times New Roman"/>
                <w:sz w:val="24"/>
                <w:szCs w:val="24"/>
              </w:rPr>
              <w:t>mainlib</w:t>
            </w:r>
          </w:p>
        </w:tc>
      </w:tr>
      <w:tr w:rsidR="0049220A" w:rsidRPr="0049220A" w14:paraId="26A3E71F" w14:textId="77777777" w:rsidTr="006D4DD7">
        <w:trPr>
          <w:trHeight w:val="584"/>
        </w:trPr>
        <w:tc>
          <w:tcPr>
            <w:tcW w:w="756" w:type="dxa"/>
            <w:tcBorders>
              <w:right w:val="nil"/>
            </w:tcBorders>
          </w:tcPr>
          <w:p w14:paraId="5632D328" w14:textId="77777777" w:rsidR="006E6220" w:rsidRPr="0049220A" w:rsidRDefault="006E6220" w:rsidP="006E6220">
            <w:pPr>
              <w:jc w:val="both"/>
              <w:rPr>
                <w:rFonts w:ascii="Times New Roman" w:hAnsi="Times New Roman" w:cs="Times New Roman"/>
                <w:sz w:val="24"/>
                <w:szCs w:val="24"/>
              </w:rPr>
            </w:pPr>
            <w:r w:rsidRPr="0049220A">
              <w:rPr>
                <w:rFonts w:ascii="Times New Roman" w:hAnsi="Times New Roman" w:cs="Times New Roman"/>
                <w:sz w:val="24"/>
                <w:szCs w:val="24"/>
              </w:rPr>
              <w:t>45.04</w:t>
            </w:r>
          </w:p>
        </w:tc>
        <w:tc>
          <w:tcPr>
            <w:tcW w:w="4083" w:type="dxa"/>
            <w:tcBorders>
              <w:left w:val="nil"/>
              <w:right w:val="nil"/>
            </w:tcBorders>
          </w:tcPr>
          <w:p w14:paraId="76DB8390" w14:textId="77777777" w:rsidR="006E6220" w:rsidRPr="0049220A" w:rsidRDefault="006E6220" w:rsidP="006E6220">
            <w:pPr>
              <w:jc w:val="both"/>
              <w:rPr>
                <w:rFonts w:ascii="Times New Roman" w:hAnsi="Times New Roman" w:cs="Times New Roman"/>
                <w:sz w:val="24"/>
                <w:szCs w:val="24"/>
              </w:rPr>
            </w:pPr>
            <w:r w:rsidRPr="0049220A">
              <w:rPr>
                <w:rFonts w:ascii="Times New Roman" w:hAnsi="Times New Roman" w:cs="Times New Roman"/>
                <w:sz w:val="24"/>
                <w:szCs w:val="24"/>
              </w:rPr>
              <w:t>Docosanoic acid,8,9,13-trihydroxy-, methyl ester</w:t>
            </w:r>
          </w:p>
        </w:tc>
        <w:tc>
          <w:tcPr>
            <w:tcW w:w="1523" w:type="dxa"/>
            <w:tcBorders>
              <w:left w:val="nil"/>
              <w:right w:val="nil"/>
            </w:tcBorders>
          </w:tcPr>
          <w:p w14:paraId="5E5329F1" w14:textId="77777777" w:rsidR="006E6220" w:rsidRPr="0049220A" w:rsidRDefault="006E6220" w:rsidP="006D4DD7">
            <w:pPr>
              <w:rPr>
                <w:rFonts w:ascii="Times New Roman" w:hAnsi="Times New Roman" w:cs="Times New Roman"/>
                <w:sz w:val="24"/>
                <w:szCs w:val="24"/>
              </w:rPr>
            </w:pPr>
            <w:r w:rsidRPr="0049220A">
              <w:rPr>
                <w:rFonts w:ascii="Times New Roman" w:hAnsi="Times New Roman" w:cs="Times New Roman"/>
                <w:sz w:val="24"/>
                <w:szCs w:val="24"/>
              </w:rPr>
              <w:t>C23H46O5</w:t>
            </w:r>
          </w:p>
        </w:tc>
        <w:tc>
          <w:tcPr>
            <w:tcW w:w="743" w:type="dxa"/>
            <w:tcBorders>
              <w:left w:val="nil"/>
              <w:right w:val="nil"/>
            </w:tcBorders>
          </w:tcPr>
          <w:p w14:paraId="377CDB7E" w14:textId="77777777" w:rsidR="006E6220" w:rsidRPr="0049220A" w:rsidRDefault="006E6220" w:rsidP="006D4DD7">
            <w:pPr>
              <w:rPr>
                <w:rFonts w:ascii="Times New Roman" w:hAnsi="Times New Roman" w:cs="Times New Roman"/>
                <w:sz w:val="24"/>
                <w:szCs w:val="24"/>
              </w:rPr>
            </w:pPr>
            <w:r w:rsidRPr="0049220A">
              <w:rPr>
                <w:rFonts w:ascii="Times New Roman" w:hAnsi="Times New Roman" w:cs="Times New Roman"/>
                <w:sz w:val="24"/>
                <w:szCs w:val="24"/>
              </w:rPr>
              <w:t>402</w:t>
            </w:r>
          </w:p>
        </w:tc>
        <w:tc>
          <w:tcPr>
            <w:tcW w:w="990" w:type="dxa"/>
            <w:tcBorders>
              <w:left w:val="nil"/>
              <w:right w:val="nil"/>
            </w:tcBorders>
          </w:tcPr>
          <w:p w14:paraId="4BFD3B8D" w14:textId="77777777" w:rsidR="006E6220" w:rsidRPr="0049220A" w:rsidRDefault="006E6220" w:rsidP="006D4DD7">
            <w:pPr>
              <w:rPr>
                <w:rFonts w:ascii="Times New Roman" w:hAnsi="Times New Roman" w:cs="Times New Roman"/>
                <w:sz w:val="24"/>
                <w:szCs w:val="24"/>
              </w:rPr>
            </w:pPr>
            <w:r w:rsidRPr="0049220A">
              <w:rPr>
                <w:rFonts w:ascii="Times New Roman" w:hAnsi="Times New Roman" w:cs="Times New Roman"/>
                <w:sz w:val="24"/>
                <w:szCs w:val="24"/>
              </w:rPr>
              <w:t>1.06</w:t>
            </w:r>
          </w:p>
        </w:tc>
        <w:tc>
          <w:tcPr>
            <w:tcW w:w="1058" w:type="dxa"/>
            <w:tcBorders>
              <w:left w:val="nil"/>
            </w:tcBorders>
          </w:tcPr>
          <w:p w14:paraId="4CE274B3" w14:textId="77777777" w:rsidR="006E6220" w:rsidRPr="0049220A" w:rsidRDefault="006E6220" w:rsidP="006E6220">
            <w:pPr>
              <w:rPr>
                <w:rFonts w:ascii="Times New Roman" w:hAnsi="Times New Roman" w:cs="Times New Roman"/>
                <w:sz w:val="24"/>
                <w:szCs w:val="24"/>
              </w:rPr>
            </w:pPr>
            <w:r w:rsidRPr="0049220A">
              <w:rPr>
                <w:rFonts w:ascii="Times New Roman" w:hAnsi="Times New Roman" w:cs="Times New Roman"/>
                <w:sz w:val="24"/>
                <w:szCs w:val="24"/>
              </w:rPr>
              <w:t>Wiley</w:t>
            </w:r>
          </w:p>
        </w:tc>
      </w:tr>
      <w:tr w:rsidR="006E6220" w:rsidRPr="0049220A" w14:paraId="0ED2F24D" w14:textId="77777777" w:rsidTr="006D4DD7">
        <w:trPr>
          <w:trHeight w:val="359"/>
        </w:trPr>
        <w:tc>
          <w:tcPr>
            <w:tcW w:w="756" w:type="dxa"/>
            <w:tcBorders>
              <w:bottom w:val="single" w:sz="4" w:space="0" w:color="auto"/>
              <w:right w:val="nil"/>
            </w:tcBorders>
          </w:tcPr>
          <w:p w14:paraId="78E65FE8" w14:textId="77777777" w:rsidR="006E6220" w:rsidRPr="0049220A" w:rsidRDefault="006E6220" w:rsidP="006E6220">
            <w:pPr>
              <w:jc w:val="both"/>
              <w:rPr>
                <w:rFonts w:ascii="Times New Roman" w:hAnsi="Times New Roman" w:cs="Times New Roman"/>
                <w:sz w:val="24"/>
                <w:szCs w:val="24"/>
              </w:rPr>
            </w:pPr>
            <w:r w:rsidRPr="0049220A">
              <w:rPr>
                <w:rFonts w:ascii="Times New Roman" w:hAnsi="Times New Roman" w:cs="Times New Roman"/>
                <w:sz w:val="24"/>
                <w:szCs w:val="24"/>
              </w:rPr>
              <w:t>45.17</w:t>
            </w:r>
          </w:p>
        </w:tc>
        <w:tc>
          <w:tcPr>
            <w:tcW w:w="4083" w:type="dxa"/>
            <w:tcBorders>
              <w:left w:val="nil"/>
              <w:bottom w:val="single" w:sz="4" w:space="0" w:color="auto"/>
              <w:right w:val="nil"/>
            </w:tcBorders>
          </w:tcPr>
          <w:p w14:paraId="38FA4AB5" w14:textId="77777777" w:rsidR="006E6220" w:rsidRPr="0049220A" w:rsidRDefault="006E6220" w:rsidP="006E6220">
            <w:pPr>
              <w:jc w:val="both"/>
              <w:rPr>
                <w:rFonts w:ascii="Times New Roman" w:hAnsi="Times New Roman" w:cs="Times New Roman"/>
                <w:sz w:val="24"/>
                <w:szCs w:val="24"/>
              </w:rPr>
            </w:pPr>
            <w:r w:rsidRPr="0049220A">
              <w:rPr>
                <w:rFonts w:ascii="Times New Roman" w:hAnsi="Times New Roman" w:cs="Times New Roman"/>
                <w:sz w:val="24"/>
                <w:szCs w:val="24"/>
              </w:rPr>
              <w:t>Octadecanal, 2-bromo-</w:t>
            </w:r>
          </w:p>
        </w:tc>
        <w:tc>
          <w:tcPr>
            <w:tcW w:w="1523" w:type="dxa"/>
            <w:tcBorders>
              <w:left w:val="nil"/>
              <w:bottom w:val="single" w:sz="4" w:space="0" w:color="auto"/>
              <w:right w:val="nil"/>
            </w:tcBorders>
          </w:tcPr>
          <w:p w14:paraId="7510CC4E" w14:textId="77777777" w:rsidR="006E6220" w:rsidRPr="0049220A" w:rsidRDefault="006E6220" w:rsidP="006D4DD7">
            <w:pPr>
              <w:rPr>
                <w:rFonts w:ascii="Times New Roman" w:hAnsi="Times New Roman" w:cs="Times New Roman"/>
                <w:sz w:val="24"/>
                <w:szCs w:val="24"/>
              </w:rPr>
            </w:pPr>
            <w:r w:rsidRPr="0049220A">
              <w:rPr>
                <w:rFonts w:ascii="Times New Roman" w:hAnsi="Times New Roman" w:cs="Times New Roman"/>
                <w:sz w:val="24"/>
                <w:szCs w:val="24"/>
              </w:rPr>
              <w:t>C18H35BrO</w:t>
            </w:r>
          </w:p>
        </w:tc>
        <w:tc>
          <w:tcPr>
            <w:tcW w:w="743" w:type="dxa"/>
            <w:tcBorders>
              <w:left w:val="nil"/>
              <w:bottom w:val="single" w:sz="4" w:space="0" w:color="auto"/>
              <w:right w:val="nil"/>
            </w:tcBorders>
          </w:tcPr>
          <w:p w14:paraId="207AC246" w14:textId="77777777" w:rsidR="006E6220" w:rsidRPr="0049220A" w:rsidRDefault="006E6220" w:rsidP="006D4DD7">
            <w:pPr>
              <w:rPr>
                <w:rFonts w:ascii="Times New Roman" w:hAnsi="Times New Roman" w:cs="Times New Roman"/>
                <w:sz w:val="24"/>
                <w:szCs w:val="24"/>
              </w:rPr>
            </w:pPr>
            <w:r w:rsidRPr="0049220A">
              <w:rPr>
                <w:rFonts w:ascii="Times New Roman" w:hAnsi="Times New Roman" w:cs="Times New Roman"/>
                <w:sz w:val="24"/>
                <w:szCs w:val="24"/>
              </w:rPr>
              <w:t>346</w:t>
            </w:r>
          </w:p>
        </w:tc>
        <w:tc>
          <w:tcPr>
            <w:tcW w:w="990" w:type="dxa"/>
            <w:tcBorders>
              <w:left w:val="nil"/>
              <w:bottom w:val="single" w:sz="4" w:space="0" w:color="auto"/>
              <w:right w:val="nil"/>
            </w:tcBorders>
          </w:tcPr>
          <w:p w14:paraId="207BCDAD" w14:textId="77777777" w:rsidR="006E6220" w:rsidRPr="0049220A" w:rsidRDefault="006E6220" w:rsidP="006D4DD7">
            <w:pPr>
              <w:rPr>
                <w:rFonts w:ascii="Times New Roman" w:hAnsi="Times New Roman" w:cs="Times New Roman"/>
                <w:sz w:val="24"/>
                <w:szCs w:val="24"/>
              </w:rPr>
            </w:pPr>
            <w:r w:rsidRPr="0049220A">
              <w:rPr>
                <w:rFonts w:ascii="Times New Roman" w:hAnsi="Times New Roman" w:cs="Times New Roman"/>
                <w:sz w:val="24"/>
                <w:szCs w:val="24"/>
              </w:rPr>
              <w:t>8.56</w:t>
            </w:r>
          </w:p>
        </w:tc>
        <w:tc>
          <w:tcPr>
            <w:tcW w:w="1058" w:type="dxa"/>
            <w:tcBorders>
              <w:left w:val="nil"/>
              <w:bottom w:val="single" w:sz="4" w:space="0" w:color="auto"/>
            </w:tcBorders>
          </w:tcPr>
          <w:p w14:paraId="488E1BF2" w14:textId="77777777" w:rsidR="006E6220" w:rsidRPr="0049220A" w:rsidRDefault="006E6220" w:rsidP="006E6220">
            <w:pPr>
              <w:rPr>
                <w:rFonts w:ascii="Times New Roman" w:hAnsi="Times New Roman" w:cs="Times New Roman"/>
                <w:sz w:val="24"/>
                <w:szCs w:val="24"/>
              </w:rPr>
            </w:pPr>
            <w:r w:rsidRPr="0049220A">
              <w:rPr>
                <w:rFonts w:ascii="Times New Roman" w:hAnsi="Times New Roman" w:cs="Times New Roman"/>
                <w:sz w:val="24"/>
                <w:szCs w:val="24"/>
              </w:rPr>
              <w:t>Wiley</w:t>
            </w:r>
          </w:p>
        </w:tc>
      </w:tr>
    </w:tbl>
    <w:p w14:paraId="4DA63037" w14:textId="77777777" w:rsidR="001F05F7" w:rsidRPr="0049220A" w:rsidRDefault="001F05F7" w:rsidP="003421EC">
      <w:pPr>
        <w:jc w:val="both"/>
        <w:rPr>
          <w:rFonts w:ascii="Times New Roman" w:hAnsi="Times New Roman" w:cs="Times New Roman"/>
          <w:sz w:val="24"/>
          <w:szCs w:val="24"/>
        </w:rPr>
      </w:pPr>
    </w:p>
    <w:p w14:paraId="7B948951" w14:textId="77777777" w:rsidR="002D19BE" w:rsidRPr="0049220A" w:rsidRDefault="002D19BE" w:rsidP="002D19BE">
      <w:pPr>
        <w:jc w:val="both"/>
        <w:rPr>
          <w:rFonts w:ascii="Times New Roman" w:hAnsi="Times New Roman" w:cs="Times New Roman"/>
          <w:sz w:val="24"/>
          <w:szCs w:val="24"/>
        </w:rPr>
      </w:pPr>
      <w:r w:rsidRPr="0049220A">
        <w:rPr>
          <w:rFonts w:ascii="Times New Roman" w:hAnsi="Times New Roman" w:cs="Times New Roman"/>
          <w:noProof/>
          <w:sz w:val="24"/>
          <w:szCs w:val="24"/>
          <w:lang w:val="en-US"/>
        </w:rPr>
        <w:drawing>
          <wp:inline distT="0" distB="0" distL="0" distR="0" wp14:anchorId="3C46F604" wp14:editId="0958C7C8">
            <wp:extent cx="5749925" cy="2889250"/>
            <wp:effectExtent l="0" t="0" r="3175" b="6350"/>
            <wp:docPr id="1" name="Picture 1" descr="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 1"/>
                    <pic:cNvPicPr>
                      <a:picLocks noChangeAspect="1" noChangeArrowheads="1"/>
                    </pic:cNvPicPr>
                  </pic:nvPicPr>
                  <pic:blipFill>
                    <a:blip r:embed="rId13">
                      <a:extLst>
                        <a:ext uri="{28A0092B-C50C-407E-A947-70E740481C1C}">
                          <a14:useLocalDpi xmlns:a14="http://schemas.microsoft.com/office/drawing/2010/main" val="0"/>
                        </a:ext>
                      </a:extLst>
                    </a:blip>
                    <a:srcRect l="1663" t="4224" r="2261"/>
                    <a:stretch>
                      <a:fillRect/>
                    </a:stretch>
                  </pic:blipFill>
                  <pic:spPr bwMode="auto">
                    <a:xfrm>
                      <a:off x="0" y="0"/>
                      <a:ext cx="5749925" cy="2889250"/>
                    </a:xfrm>
                    <a:prstGeom prst="rect">
                      <a:avLst/>
                    </a:prstGeom>
                    <a:noFill/>
                    <a:ln>
                      <a:noFill/>
                    </a:ln>
                  </pic:spPr>
                </pic:pic>
              </a:graphicData>
            </a:graphic>
          </wp:inline>
        </w:drawing>
      </w:r>
    </w:p>
    <w:p w14:paraId="0C64D261" w14:textId="77777777" w:rsidR="002D19BE" w:rsidRPr="0049220A" w:rsidRDefault="002D19BE" w:rsidP="002D19BE">
      <w:pPr>
        <w:jc w:val="center"/>
        <w:rPr>
          <w:rFonts w:ascii="Times New Roman" w:hAnsi="Times New Roman" w:cs="Times New Roman"/>
          <w:sz w:val="24"/>
          <w:szCs w:val="24"/>
        </w:rPr>
      </w:pPr>
      <w:r w:rsidRPr="0049220A">
        <w:rPr>
          <w:rFonts w:ascii="Times New Roman" w:hAnsi="Times New Roman" w:cs="Times New Roman"/>
          <w:b/>
          <w:sz w:val="24"/>
          <w:szCs w:val="24"/>
        </w:rPr>
        <w:t>Fig. 2:</w:t>
      </w:r>
      <w:r w:rsidRPr="0049220A">
        <w:rPr>
          <w:rFonts w:ascii="Times New Roman" w:hAnsi="Times New Roman" w:cs="Times New Roman"/>
          <w:sz w:val="24"/>
          <w:szCs w:val="24"/>
        </w:rPr>
        <w:t xml:space="preserve"> GC-MS chromatogram of </w:t>
      </w:r>
      <w:r w:rsidRPr="0049220A">
        <w:rPr>
          <w:rFonts w:ascii="Times New Roman" w:hAnsi="Times New Roman" w:cs="Times New Roman"/>
          <w:i/>
          <w:sz w:val="24"/>
          <w:szCs w:val="24"/>
        </w:rPr>
        <w:t>A. nayadiformis</w:t>
      </w:r>
      <w:r w:rsidRPr="0049220A">
        <w:rPr>
          <w:rFonts w:ascii="Times New Roman" w:hAnsi="Times New Roman" w:cs="Times New Roman"/>
          <w:sz w:val="24"/>
          <w:szCs w:val="24"/>
        </w:rPr>
        <w:t>.</w:t>
      </w:r>
    </w:p>
    <w:p w14:paraId="12E780B9" w14:textId="77777777" w:rsidR="00877FF1" w:rsidRPr="0049220A" w:rsidRDefault="009222FD" w:rsidP="00F10DF8">
      <w:pPr>
        <w:ind w:firstLine="720"/>
        <w:jc w:val="both"/>
        <w:rPr>
          <w:rFonts w:ascii="Times New Roman" w:hAnsi="Times New Roman" w:cs="Times New Roman"/>
          <w:sz w:val="24"/>
          <w:szCs w:val="24"/>
        </w:rPr>
      </w:pPr>
      <w:r w:rsidRPr="0049220A">
        <w:rPr>
          <w:rFonts w:ascii="Times New Roman" w:hAnsi="Times New Roman" w:cs="Times New Roman"/>
          <w:sz w:val="24"/>
          <w:szCs w:val="24"/>
        </w:rPr>
        <w:lastRenderedPageBreak/>
        <w:t xml:space="preserve">Among the identified phytocompounds, </w:t>
      </w:r>
      <w:r w:rsidR="006D4DD7" w:rsidRPr="0049220A">
        <w:rPr>
          <w:rFonts w:ascii="Times New Roman" w:hAnsi="Times New Roman" w:cs="Times New Roman"/>
          <w:sz w:val="24"/>
          <w:szCs w:val="24"/>
        </w:rPr>
        <w:t>12-Methyl-E,E-2,13-octadecadien-1-ol compound was found to be in</w:t>
      </w:r>
      <w:r w:rsidR="00877FF1" w:rsidRPr="0049220A">
        <w:rPr>
          <w:rFonts w:ascii="Times New Roman" w:hAnsi="Times New Roman" w:cs="Times New Roman"/>
          <w:sz w:val="24"/>
          <w:szCs w:val="24"/>
        </w:rPr>
        <w:t xml:space="preserve"> the highest concentration (16.74</w:t>
      </w:r>
      <w:r w:rsidR="006D4DD7" w:rsidRPr="0049220A">
        <w:rPr>
          <w:rFonts w:ascii="Times New Roman" w:hAnsi="Times New Roman" w:cs="Times New Roman"/>
          <w:sz w:val="24"/>
          <w:szCs w:val="24"/>
        </w:rPr>
        <w:t>%) followed by</w:t>
      </w:r>
      <w:r w:rsidR="003711ED" w:rsidRPr="0049220A">
        <w:rPr>
          <w:rFonts w:ascii="Times New Roman" w:hAnsi="Times New Roman" w:cs="Times New Roman"/>
          <w:sz w:val="24"/>
          <w:szCs w:val="24"/>
        </w:rPr>
        <w:t xml:space="preserve"> </w:t>
      </w:r>
      <w:r w:rsidR="00E72AA1" w:rsidRPr="0049220A">
        <w:rPr>
          <w:rFonts w:ascii="Times New Roman" w:hAnsi="Times New Roman" w:cs="Times New Roman"/>
          <w:sz w:val="24"/>
          <w:szCs w:val="24"/>
        </w:rPr>
        <w:t>Octadecanal, 2-bromo- (8.56%)</w:t>
      </w:r>
      <w:r w:rsidR="003711ED" w:rsidRPr="0049220A">
        <w:rPr>
          <w:rFonts w:ascii="Times New Roman" w:hAnsi="Times New Roman" w:cs="Times New Roman"/>
          <w:sz w:val="24"/>
          <w:szCs w:val="24"/>
        </w:rPr>
        <w:t>, 17-Octadecynoic acid (5.83%), 1-Heptatriacotanol (5.48%), Palmitic acid, 2-(tetradecyloxy) ethyl ester (4.69), Tert-Hexadecanethiol (4.00%), Pentadecanoic acid,14-methyl-, methyl ester (3.68%), Rhodopin (3.65%), 2-Hexadecanol (3.52%), 9-Octadecenoic acid (Z)-, methyl ester (3.35%), other compounds were found in trace amount (</w:t>
      </w:r>
      <w:r w:rsidR="003711ED" w:rsidRPr="0049220A">
        <w:rPr>
          <w:rFonts w:ascii="Times New Roman" w:hAnsi="Times New Roman" w:cs="Times New Roman"/>
          <w:b/>
          <w:sz w:val="24"/>
          <w:szCs w:val="24"/>
        </w:rPr>
        <w:t>Table 1</w:t>
      </w:r>
      <w:r w:rsidR="003711ED" w:rsidRPr="0049220A">
        <w:rPr>
          <w:rFonts w:ascii="Times New Roman" w:hAnsi="Times New Roman" w:cs="Times New Roman"/>
          <w:sz w:val="24"/>
          <w:szCs w:val="24"/>
        </w:rPr>
        <w:t xml:space="preserve">). </w:t>
      </w:r>
    </w:p>
    <w:p w14:paraId="5641F67F" w14:textId="77777777" w:rsidR="006C57CB" w:rsidRPr="0049220A" w:rsidRDefault="006C57CB" w:rsidP="006C57CB">
      <w:pPr>
        <w:jc w:val="both"/>
        <w:rPr>
          <w:rFonts w:ascii="Times New Roman" w:hAnsi="Times New Roman" w:cs="Times New Roman"/>
          <w:b/>
          <w:bCs/>
          <w:sz w:val="24"/>
          <w:szCs w:val="24"/>
        </w:rPr>
      </w:pPr>
      <w:r w:rsidRPr="0049220A">
        <w:rPr>
          <w:rFonts w:ascii="Times New Roman" w:hAnsi="Times New Roman" w:cs="Times New Roman"/>
          <w:b/>
          <w:bCs/>
          <w:sz w:val="24"/>
          <w:szCs w:val="24"/>
        </w:rPr>
        <w:t>3.2. Nature and the biological activities of some compounds from </w:t>
      </w:r>
      <w:r w:rsidRPr="0049220A">
        <w:rPr>
          <w:rFonts w:ascii="Times New Roman" w:hAnsi="Times New Roman" w:cs="Times New Roman"/>
          <w:b/>
          <w:bCs/>
          <w:i/>
          <w:iCs/>
          <w:sz w:val="24"/>
          <w:szCs w:val="24"/>
        </w:rPr>
        <w:t>A. nayadiformis</w:t>
      </w:r>
      <w:r w:rsidRPr="0049220A">
        <w:rPr>
          <w:rFonts w:ascii="Times New Roman" w:hAnsi="Times New Roman" w:cs="Times New Roman"/>
          <w:b/>
          <w:bCs/>
          <w:sz w:val="24"/>
          <w:szCs w:val="24"/>
        </w:rPr>
        <w:t xml:space="preserve"> extract.</w:t>
      </w:r>
    </w:p>
    <w:p w14:paraId="3B9A564E" w14:textId="77777777" w:rsidR="000B1C10" w:rsidRPr="0049220A" w:rsidRDefault="000B1C10" w:rsidP="003421EC">
      <w:pPr>
        <w:jc w:val="both"/>
        <w:rPr>
          <w:rFonts w:ascii="Times New Roman" w:hAnsi="Times New Roman" w:cs="Times New Roman"/>
          <w:sz w:val="24"/>
          <w:szCs w:val="24"/>
        </w:rPr>
      </w:pPr>
      <w:r w:rsidRPr="0049220A">
        <w:rPr>
          <w:rFonts w:ascii="Times New Roman" w:hAnsi="Times New Roman" w:cs="Times New Roman"/>
          <w:sz w:val="24"/>
          <w:szCs w:val="24"/>
        </w:rPr>
        <w:t xml:space="preserve">The different bioactive compounds found in the ethanolic extract of </w:t>
      </w:r>
      <w:r w:rsidRPr="0049220A">
        <w:rPr>
          <w:rFonts w:ascii="Times New Roman" w:hAnsi="Times New Roman" w:cs="Times New Roman"/>
          <w:i/>
          <w:sz w:val="24"/>
          <w:szCs w:val="24"/>
        </w:rPr>
        <w:t>A. nayadiformis</w:t>
      </w:r>
      <w:r w:rsidRPr="0049220A">
        <w:rPr>
          <w:rFonts w:ascii="Times New Roman" w:hAnsi="Times New Roman" w:cs="Times New Roman"/>
          <w:sz w:val="24"/>
          <w:szCs w:val="24"/>
        </w:rPr>
        <w:t>, its type and biological activity, as reported in earlier studies (</w:t>
      </w:r>
      <w:r w:rsidRPr="0049220A">
        <w:rPr>
          <w:rFonts w:ascii="Times New Roman" w:hAnsi="Times New Roman" w:cs="Times New Roman"/>
          <w:b/>
          <w:sz w:val="24"/>
          <w:szCs w:val="24"/>
        </w:rPr>
        <w:t>Table 2</w:t>
      </w:r>
      <w:r w:rsidRPr="0049220A">
        <w:rPr>
          <w:rFonts w:ascii="Times New Roman" w:hAnsi="Times New Roman" w:cs="Times New Roman"/>
          <w:sz w:val="24"/>
          <w:szCs w:val="24"/>
        </w:rPr>
        <w:t>).</w:t>
      </w:r>
    </w:p>
    <w:p w14:paraId="2AEDC4F4" w14:textId="77777777" w:rsidR="001761FE" w:rsidRPr="0049220A" w:rsidRDefault="001761FE" w:rsidP="003421EC">
      <w:pPr>
        <w:jc w:val="both"/>
        <w:rPr>
          <w:rFonts w:ascii="Times New Roman" w:hAnsi="Times New Roman" w:cs="Times New Roman"/>
          <w:b/>
          <w:sz w:val="24"/>
          <w:szCs w:val="24"/>
        </w:rPr>
      </w:pPr>
      <w:r w:rsidRPr="0049220A">
        <w:rPr>
          <w:rFonts w:ascii="Times New Roman" w:hAnsi="Times New Roman" w:cs="Times New Roman"/>
          <w:b/>
          <w:sz w:val="24"/>
          <w:szCs w:val="24"/>
        </w:rPr>
        <w:t xml:space="preserve">Table 2. Nature and the biological activities of compounds from </w:t>
      </w:r>
      <w:r w:rsidRPr="0049220A">
        <w:rPr>
          <w:rFonts w:ascii="Times New Roman" w:hAnsi="Times New Roman" w:cs="Times New Roman"/>
          <w:b/>
          <w:i/>
          <w:sz w:val="24"/>
          <w:szCs w:val="24"/>
        </w:rPr>
        <w:t>A. nayadiformis</w:t>
      </w:r>
      <w:r w:rsidRPr="0049220A">
        <w:rPr>
          <w:rFonts w:ascii="Times New Roman" w:hAnsi="Times New Roman" w:cs="Times New Roman"/>
          <w:b/>
          <w:sz w:val="24"/>
          <w:szCs w:val="24"/>
        </w:rPr>
        <w:t xml:space="preserve">. </w:t>
      </w:r>
    </w:p>
    <w:tbl>
      <w:tblPr>
        <w:tblStyle w:val="TableGrid1"/>
        <w:tblW w:w="917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2"/>
        <w:gridCol w:w="1920"/>
        <w:gridCol w:w="2713"/>
        <w:gridCol w:w="1620"/>
      </w:tblGrid>
      <w:tr w:rsidR="0049220A" w:rsidRPr="0049220A" w14:paraId="6974E99E" w14:textId="77777777" w:rsidTr="000D0B90">
        <w:tc>
          <w:tcPr>
            <w:tcW w:w="2922" w:type="dxa"/>
            <w:tcBorders>
              <w:bottom w:val="single" w:sz="4" w:space="0" w:color="auto"/>
            </w:tcBorders>
          </w:tcPr>
          <w:p w14:paraId="7EA99D94" w14:textId="77777777" w:rsidR="000B6857" w:rsidRPr="0049220A" w:rsidRDefault="000B6857" w:rsidP="000B6857">
            <w:pPr>
              <w:pStyle w:val="NoSpacing"/>
              <w:rPr>
                <w:rFonts w:ascii="Times New Roman" w:hAnsi="Times New Roman" w:cs="Times New Roman"/>
                <w:b/>
                <w:sz w:val="24"/>
                <w:szCs w:val="24"/>
              </w:rPr>
            </w:pPr>
            <w:r w:rsidRPr="0049220A">
              <w:rPr>
                <w:rFonts w:ascii="Times New Roman" w:hAnsi="Times New Roman" w:cs="Times New Roman"/>
                <w:b/>
                <w:sz w:val="24"/>
                <w:szCs w:val="24"/>
              </w:rPr>
              <w:t>Compound Name</w:t>
            </w:r>
          </w:p>
        </w:tc>
        <w:tc>
          <w:tcPr>
            <w:tcW w:w="1920" w:type="dxa"/>
            <w:tcBorders>
              <w:bottom w:val="single" w:sz="4" w:space="0" w:color="auto"/>
            </w:tcBorders>
          </w:tcPr>
          <w:p w14:paraId="4C0F27E8" w14:textId="77777777" w:rsidR="000B6857" w:rsidRPr="0049220A" w:rsidRDefault="000B6857" w:rsidP="000B6857">
            <w:pPr>
              <w:pStyle w:val="NoSpacing"/>
              <w:rPr>
                <w:rFonts w:ascii="Times New Roman" w:hAnsi="Times New Roman" w:cs="Times New Roman"/>
                <w:b/>
                <w:sz w:val="24"/>
                <w:szCs w:val="24"/>
              </w:rPr>
            </w:pPr>
            <w:r w:rsidRPr="0049220A">
              <w:rPr>
                <w:rFonts w:ascii="Times New Roman" w:hAnsi="Times New Roman" w:cs="Times New Roman"/>
                <w:b/>
                <w:sz w:val="24"/>
                <w:szCs w:val="24"/>
              </w:rPr>
              <w:t>Type of Compound</w:t>
            </w:r>
          </w:p>
        </w:tc>
        <w:tc>
          <w:tcPr>
            <w:tcW w:w="2713" w:type="dxa"/>
            <w:tcBorders>
              <w:bottom w:val="single" w:sz="4" w:space="0" w:color="auto"/>
            </w:tcBorders>
          </w:tcPr>
          <w:p w14:paraId="7C7AD3E8" w14:textId="77777777" w:rsidR="000B6857" w:rsidRPr="0049220A" w:rsidRDefault="000B6857" w:rsidP="000B6857">
            <w:pPr>
              <w:pStyle w:val="NoSpacing"/>
              <w:rPr>
                <w:rFonts w:ascii="Times New Roman" w:hAnsi="Times New Roman" w:cs="Times New Roman"/>
                <w:b/>
                <w:sz w:val="24"/>
                <w:szCs w:val="24"/>
              </w:rPr>
            </w:pPr>
            <w:r w:rsidRPr="0049220A">
              <w:rPr>
                <w:rFonts w:ascii="Times New Roman" w:hAnsi="Times New Roman" w:cs="Times New Roman"/>
                <w:b/>
                <w:sz w:val="24"/>
                <w:szCs w:val="24"/>
              </w:rPr>
              <w:t>Reported Bioactivity</w:t>
            </w:r>
          </w:p>
        </w:tc>
        <w:tc>
          <w:tcPr>
            <w:tcW w:w="1620" w:type="dxa"/>
            <w:tcBorders>
              <w:bottom w:val="single" w:sz="4" w:space="0" w:color="auto"/>
            </w:tcBorders>
          </w:tcPr>
          <w:p w14:paraId="0F206950" w14:textId="77777777" w:rsidR="000B6857" w:rsidRPr="0049220A" w:rsidRDefault="000B6857" w:rsidP="000B6857">
            <w:pPr>
              <w:pStyle w:val="NoSpacing"/>
              <w:rPr>
                <w:rFonts w:ascii="Times New Roman" w:hAnsi="Times New Roman" w:cs="Times New Roman"/>
                <w:b/>
                <w:sz w:val="24"/>
                <w:szCs w:val="24"/>
              </w:rPr>
            </w:pPr>
            <w:r w:rsidRPr="0049220A">
              <w:rPr>
                <w:rFonts w:ascii="Times New Roman" w:hAnsi="Times New Roman" w:cs="Times New Roman"/>
                <w:b/>
                <w:sz w:val="24"/>
                <w:szCs w:val="24"/>
              </w:rPr>
              <w:t>References</w:t>
            </w:r>
          </w:p>
        </w:tc>
      </w:tr>
      <w:tr w:rsidR="0049220A" w:rsidRPr="0049220A" w14:paraId="28272C1E" w14:textId="77777777" w:rsidTr="000D0B90">
        <w:trPr>
          <w:trHeight w:val="1511"/>
        </w:trPr>
        <w:tc>
          <w:tcPr>
            <w:tcW w:w="2922" w:type="dxa"/>
            <w:tcBorders>
              <w:top w:val="single" w:sz="4" w:space="0" w:color="auto"/>
            </w:tcBorders>
          </w:tcPr>
          <w:p w14:paraId="45333E25"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5,8,11,14-Eicosatetraenoic acid, phenylmethyl ester (all-Z)</w:t>
            </w:r>
          </w:p>
        </w:tc>
        <w:tc>
          <w:tcPr>
            <w:tcW w:w="1920" w:type="dxa"/>
            <w:tcBorders>
              <w:top w:val="single" w:sz="4" w:space="0" w:color="auto"/>
            </w:tcBorders>
          </w:tcPr>
          <w:p w14:paraId="59E3F2EC"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Aromatic ester of arachidonic acid (PUFA derivative)</w:t>
            </w:r>
          </w:p>
        </w:tc>
        <w:tc>
          <w:tcPr>
            <w:tcW w:w="2713" w:type="dxa"/>
            <w:tcBorders>
              <w:top w:val="single" w:sz="4" w:space="0" w:color="auto"/>
            </w:tcBorders>
          </w:tcPr>
          <w:p w14:paraId="18EB2DA4"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Precursor for eicosanoids; anti-inflammatory, antimicrobial, cytotoxic potential</w:t>
            </w:r>
          </w:p>
        </w:tc>
        <w:tc>
          <w:tcPr>
            <w:tcW w:w="1620" w:type="dxa"/>
            <w:tcBorders>
              <w:top w:val="single" w:sz="4" w:space="0" w:color="auto"/>
            </w:tcBorders>
          </w:tcPr>
          <w:p w14:paraId="1142A142"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fldChar w:fldCharType="begin" w:fldLock="1"/>
            </w:r>
            <w:r w:rsidRPr="0049220A">
              <w:rPr>
                <w:rFonts w:ascii="Times New Roman" w:hAnsi="Times New Roman" w:cs="Times New Roman"/>
                <w:sz w:val="24"/>
                <w:szCs w:val="24"/>
              </w:rPr>
              <w:instrText>ADDIN CSL_CITATION {"citationItems":[{"id":"ITEM-1","itemData":{"DOI":"10.1021/CR2002992,","ISSN":"00092665","PMID":"21942677","author":[{"dropping-particle":"","family":"Smith","given":"William L.","non-dropping-particle":"","parse-names":false,"suffix":""},{"dropping-particle":"","family":"Urade","given":"Yoshihiro","non-dropping-particle":"","parse-names":false,"suffix":""},{"dropping-particle":"","family":"Jakobsson","given":"Per Johan","non-dropping-particle":"","parse-names":false,"suffix":""}],"container-title":"Chemical Reviews","id":"ITEM-1","issue":"10","issued":{"date-parts":[["2011","10","12"]]},"page":"5821-5865","publisher":"Chem Rev","title":"Enzymes of the cyclooxygenase pathways of prostanoid biosynthesis","type":"article-journal","volume":"111"},"uris":["http://www.mendeley.com/documents/?uuid=13898d66-174e-3a67-b79e-6425403b8d6d"]}],"mendeley":{"formattedCitation":"(Smith et al., 2011)","plainTextFormattedCitation":"(Smith et al., 2011)","previouslyFormattedCitation":"(Smith et al., 2011)"},"properties":{"noteIndex":0},"schema":"https://github.com/citation-style-language/schema/raw/master/csl-citation.json"}</w:instrText>
            </w:r>
            <w:r w:rsidRPr="0049220A">
              <w:rPr>
                <w:rFonts w:ascii="Times New Roman" w:hAnsi="Times New Roman" w:cs="Times New Roman"/>
                <w:sz w:val="24"/>
                <w:szCs w:val="24"/>
              </w:rPr>
              <w:fldChar w:fldCharType="separate"/>
            </w:r>
            <w:r w:rsidRPr="0049220A">
              <w:rPr>
                <w:rFonts w:ascii="Times New Roman" w:hAnsi="Times New Roman" w:cs="Times New Roman"/>
                <w:noProof/>
                <w:sz w:val="24"/>
                <w:szCs w:val="24"/>
              </w:rPr>
              <w:t>(Smith et al., 2011)</w:t>
            </w:r>
            <w:r w:rsidRPr="0049220A">
              <w:rPr>
                <w:rFonts w:ascii="Times New Roman" w:hAnsi="Times New Roman" w:cs="Times New Roman"/>
                <w:sz w:val="24"/>
                <w:szCs w:val="24"/>
              </w:rPr>
              <w:fldChar w:fldCharType="end"/>
            </w:r>
          </w:p>
          <w:p w14:paraId="443108B0" w14:textId="77777777" w:rsidR="000B6857" w:rsidRPr="0049220A" w:rsidRDefault="000B6857" w:rsidP="000B6857">
            <w:pPr>
              <w:pStyle w:val="NoSpacing"/>
              <w:rPr>
                <w:rFonts w:ascii="Times New Roman" w:hAnsi="Times New Roman" w:cs="Times New Roman"/>
                <w:sz w:val="24"/>
                <w:szCs w:val="24"/>
              </w:rPr>
            </w:pPr>
          </w:p>
        </w:tc>
      </w:tr>
      <w:tr w:rsidR="0049220A" w:rsidRPr="0049220A" w14:paraId="4D38E79F" w14:textId="77777777" w:rsidTr="000D0B90">
        <w:trPr>
          <w:trHeight w:val="980"/>
        </w:trPr>
        <w:tc>
          <w:tcPr>
            <w:tcW w:w="2922" w:type="dxa"/>
          </w:tcPr>
          <w:p w14:paraId="01D44F1F"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9,12,15-Octadecatrienoic acid, methyl ester</w:t>
            </w:r>
          </w:p>
        </w:tc>
        <w:tc>
          <w:tcPr>
            <w:tcW w:w="1920" w:type="dxa"/>
          </w:tcPr>
          <w:p w14:paraId="48EC1208"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PUFA ester</w:t>
            </w:r>
          </w:p>
        </w:tc>
        <w:tc>
          <w:tcPr>
            <w:tcW w:w="2713" w:type="dxa"/>
          </w:tcPr>
          <w:p w14:paraId="237C9879"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Antioxidant, anti-inflammatory, cardioprotective</w:t>
            </w:r>
          </w:p>
        </w:tc>
        <w:tc>
          <w:tcPr>
            <w:tcW w:w="1620" w:type="dxa"/>
          </w:tcPr>
          <w:p w14:paraId="7DF22315"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fldChar w:fldCharType="begin" w:fldLock="1"/>
            </w:r>
            <w:r w:rsidRPr="0049220A">
              <w:rPr>
                <w:rFonts w:ascii="Times New Roman" w:hAnsi="Times New Roman" w:cs="Times New Roman"/>
                <w:sz w:val="24"/>
                <w:szCs w:val="24"/>
              </w:rPr>
              <w:instrText>ADDIN CSL_CITATION {"citationItems":[{"id":"ITEM-1","itemData":{"DOI":"10.1016/J.BBALIP.2014.08.010","ISSN":"1388-1981","PMID":"25149823","abstract":"Inflammation is a condition which contributes to a range of human diseases. It involves a multitude of cell types, chemical mediators, and interactions. Eicosapentaenoic acid (EPA) and docosahexaenoic acid (DHA) are omega-3 (n - 3) fatty acids found in oily fish and fish oil supplements. These fatty acids are able to partly inhibit a number of aspects of inflammation including leukocyte chemotaxis, adhesion molecule expression and leukocyte-endothelial adhesive interactions, production of eicosanoids like prostaglandins and leukotrienes from the n - 6 fatty acid arachidonic acid, production of inflammatory cytokines, and T-helper 1 lymphocyte reactivity. In addition, EPA gives rise to eicosanoids that often have lower biological potency than those produced from arachidonic acid and EPA and DHA give rise to anti-inflammatory and inflammation resolving mediators called resolvins, protectins and maresins. Mechanisms underlying the anti-inflammatory actions of marine n - 3 fatty acids include altered cell membrane phospholipid fatty acid composition, disruption of lipid rafts, inhibition of activation of the pro-inflammatory transcription factor nuclear factor kappa B so reducing expression of inflammatory genes, activation of the anti-inflammatory transcription factor peroxisome proliferator activated receptor γ and binding to the G protein coupled receptor GPR120. These mechanisms are interlinked, although the full extent of this is not yet elucidated. Animal experiments demonstrate benefit from marine n - 3 fatty acids in models of rheumatoid arthritis (RA), inflammatory bowel disease (IBD) and asthma. Clinical trials of fish oil in RA demonstrate benefit, but clinical trials of fish oil in IBD and asthma are inconsistent with no overall clear evidence of efficacy. This article is part of a Special Issue entitled \"Oxygenated metabolism of PUFA: analysis and biological relevance\".","author":[{"dropping-particle":"","family":"Calder","given":"Philip C.","non-dropping-particle":"","parse-names":false,"suffix":""}],"container-title":"Biochimica et Biophysica Acta (BBA) - Molecular and Cell Biology of Lipids","id":"ITEM-1","issue":"4","issued":{"date-parts":[["2015","4","1"]]},"page":"469-484","publisher":"Elsevier","title":"Marine omega-3 fatty acids and inflammatory processes: Effects, mechanisms and clinical relevance","type":"article-journal","volume":"1851"},"uris":["http://www.mendeley.com/documents/?uuid=45258b62-89f7-3b6e-b9c6-fdfd709f79ae"]}],"mendeley":{"formattedCitation":"(Calder, 2015)","plainTextFormattedCitation":"(Calder, 2015)","previouslyFormattedCitation":"(Calder, 2015)"},"properties":{"noteIndex":0},"schema":"https://github.com/citation-style-language/schema/raw/master/csl-citation.json"}</w:instrText>
            </w:r>
            <w:r w:rsidRPr="0049220A">
              <w:rPr>
                <w:rFonts w:ascii="Times New Roman" w:hAnsi="Times New Roman" w:cs="Times New Roman"/>
                <w:sz w:val="24"/>
                <w:szCs w:val="24"/>
              </w:rPr>
              <w:fldChar w:fldCharType="separate"/>
            </w:r>
            <w:r w:rsidRPr="0049220A">
              <w:rPr>
                <w:rFonts w:ascii="Times New Roman" w:hAnsi="Times New Roman" w:cs="Times New Roman"/>
                <w:noProof/>
                <w:sz w:val="24"/>
                <w:szCs w:val="24"/>
              </w:rPr>
              <w:t>(Calder, 2015)</w:t>
            </w:r>
            <w:r w:rsidRPr="0049220A">
              <w:rPr>
                <w:rFonts w:ascii="Times New Roman" w:hAnsi="Times New Roman" w:cs="Times New Roman"/>
                <w:sz w:val="24"/>
                <w:szCs w:val="24"/>
              </w:rPr>
              <w:fldChar w:fldCharType="end"/>
            </w:r>
          </w:p>
        </w:tc>
      </w:tr>
      <w:tr w:rsidR="0049220A" w:rsidRPr="0049220A" w14:paraId="0B194C19" w14:textId="77777777" w:rsidTr="000D0B90">
        <w:trPr>
          <w:trHeight w:val="710"/>
        </w:trPr>
        <w:tc>
          <w:tcPr>
            <w:tcW w:w="2922" w:type="dxa"/>
          </w:tcPr>
          <w:p w14:paraId="1B1A9681"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1-Chlorooctadecane</w:t>
            </w:r>
          </w:p>
        </w:tc>
        <w:tc>
          <w:tcPr>
            <w:tcW w:w="1920" w:type="dxa"/>
          </w:tcPr>
          <w:p w14:paraId="660CA13C"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Halogenated long-chain alkane</w:t>
            </w:r>
          </w:p>
        </w:tc>
        <w:tc>
          <w:tcPr>
            <w:tcW w:w="2713" w:type="dxa"/>
          </w:tcPr>
          <w:p w14:paraId="0D927ADA"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Antimicrobial, antifungal, antifouling</w:t>
            </w:r>
          </w:p>
        </w:tc>
        <w:tc>
          <w:tcPr>
            <w:tcW w:w="1620" w:type="dxa"/>
          </w:tcPr>
          <w:p w14:paraId="477FC0EE"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fldChar w:fldCharType="begin" w:fldLock="1"/>
            </w:r>
            <w:r w:rsidRPr="0049220A">
              <w:rPr>
                <w:rFonts w:ascii="Times New Roman" w:hAnsi="Times New Roman" w:cs="Times New Roman"/>
                <w:sz w:val="24"/>
                <w:szCs w:val="24"/>
              </w:rPr>
              <w:instrText>ADDIN CSL_CITATION {"citationItems":[{"id":"ITEM-1","itemData":{"DOI":"10.1039/C2NP00090C","ISSN":"1460-4752","PMID":"22193773","abstract":"Covering: 2010. Previous review: Nat. Prod. Rep., 2011, 28, 196\n      This review covers the literature published in 2010 for marine natural products, with 895 citations (590 for the period January to December 2010) referring to compounds isolated from marine microorganisms and phytoplankton, green, brown and red algae, sponges, cnidarians, bryozoans, molluscs, tunicates, echinoderms, mangroves and other intertidal plants and microorganisms. The emphasis is on new compounds (1003 for 2010), together with the relevant biological activities, source organisms and country of origin. Biosynthetic studies, first syntheses, and syntheses that lead to the revision of structures or stereochemistries, have been included.","author":[{"dropping-particle":"","family":"Blunt","given":"John W.","non-dropping-particle":"","parse-names":false,"suffix":""},{"dropping-particle":"","family":"Copp","given":"Brent R.","non-dropping-particle":"","parse-names":false,"suffix":""},{"dropping-particle":"","family":"Keyzers","given":"Robert A.","non-dropping-particle":"","parse-names":false,"suffix":""},{"dropping-particle":"","family":"Munro","given":"Murray H.G.","non-dropping-particle":"","parse-names":false,"suffix":""},{"dropping-particle":"","family":"Prinsep","given":"Michèle R.","non-dropping-particle":"","parse-names":false,"suffix":""}],"container-title":"Natural Product Reports","id":"ITEM-1","issue":"2","issued":{"date-parts":[["2012","1","17"]]},"page":"144-222","publisher":"The Royal Society of Chemistry","title":"Marine natural products","type":"article-journal","volume":"29"},"uris":["http://www.mendeley.com/documents/?uuid=21681af5-1832-3442-b69e-51002f2ec36c"]}],"mendeley":{"formattedCitation":"(Blunt et al., 2012)","plainTextFormattedCitation":"(Blunt et al., 2012)","previouslyFormattedCitation":"(Blunt et al., 2012)"},"properties":{"noteIndex":0},"schema":"https://github.com/citation-style-language/schema/raw/master/csl-citation.json"}</w:instrText>
            </w:r>
            <w:r w:rsidRPr="0049220A">
              <w:rPr>
                <w:rFonts w:ascii="Times New Roman" w:hAnsi="Times New Roman" w:cs="Times New Roman"/>
                <w:sz w:val="24"/>
                <w:szCs w:val="24"/>
              </w:rPr>
              <w:fldChar w:fldCharType="separate"/>
            </w:r>
            <w:r w:rsidRPr="0049220A">
              <w:rPr>
                <w:rFonts w:ascii="Times New Roman" w:hAnsi="Times New Roman" w:cs="Times New Roman"/>
                <w:noProof/>
                <w:sz w:val="24"/>
                <w:szCs w:val="24"/>
              </w:rPr>
              <w:t>(Blunt et al., 2012)</w:t>
            </w:r>
            <w:r w:rsidRPr="0049220A">
              <w:rPr>
                <w:rFonts w:ascii="Times New Roman" w:hAnsi="Times New Roman" w:cs="Times New Roman"/>
                <w:sz w:val="24"/>
                <w:szCs w:val="24"/>
              </w:rPr>
              <w:fldChar w:fldCharType="end"/>
            </w:r>
          </w:p>
        </w:tc>
      </w:tr>
      <w:tr w:rsidR="0049220A" w:rsidRPr="0049220A" w14:paraId="14C9EA90" w14:textId="77777777" w:rsidTr="000D0B90">
        <w:trPr>
          <w:trHeight w:val="620"/>
        </w:trPr>
        <w:tc>
          <w:tcPr>
            <w:tcW w:w="2922" w:type="dxa"/>
          </w:tcPr>
          <w:p w14:paraId="64890231" w14:textId="77777777" w:rsidR="000B6857" w:rsidRPr="00D91551" w:rsidRDefault="000B6857" w:rsidP="000B6857">
            <w:pPr>
              <w:pStyle w:val="NoSpacing"/>
              <w:rPr>
                <w:rFonts w:ascii="Times New Roman" w:hAnsi="Times New Roman" w:cs="Times New Roman"/>
                <w:sz w:val="24"/>
                <w:szCs w:val="24"/>
                <w:lang w:val="de-DE"/>
              </w:rPr>
            </w:pPr>
            <w:r w:rsidRPr="00D91551">
              <w:rPr>
                <w:rFonts w:ascii="Times New Roman" w:hAnsi="Times New Roman" w:cs="Times New Roman"/>
                <w:sz w:val="24"/>
                <w:szCs w:val="24"/>
                <w:lang w:val="de-DE"/>
              </w:rPr>
              <w:t>1,3,5-Triazine-2,4-diamine,6-chloro-n-ethyl</w:t>
            </w:r>
          </w:p>
        </w:tc>
        <w:tc>
          <w:tcPr>
            <w:tcW w:w="1920" w:type="dxa"/>
          </w:tcPr>
          <w:p w14:paraId="77260AF5"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Chlorotriazine derivative</w:t>
            </w:r>
          </w:p>
        </w:tc>
        <w:tc>
          <w:tcPr>
            <w:tcW w:w="2713" w:type="dxa"/>
          </w:tcPr>
          <w:p w14:paraId="097F4E32"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Herbicidal/antimicrobial activity</w:t>
            </w:r>
          </w:p>
        </w:tc>
        <w:tc>
          <w:tcPr>
            <w:tcW w:w="1620" w:type="dxa"/>
          </w:tcPr>
          <w:p w14:paraId="73E78AEF"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fldChar w:fldCharType="begin" w:fldLock="1"/>
            </w:r>
            <w:r w:rsidRPr="0049220A">
              <w:rPr>
                <w:rFonts w:ascii="Times New Roman" w:hAnsi="Times New Roman" w:cs="Times New Roman"/>
                <w:sz w:val="24"/>
                <w:szCs w:val="24"/>
              </w:rPr>
              <w:instrText>ADDIN CSL_CITATION {"citationItems":[{"id":"ITEM-1","itemData":{"ISBN":"925204910X","ISSN":"1014-1197","abstract":"Resultados de un foro electrónico ESTUDIO FAO INVESTIGACIÓN Y TECNOLOGIA En esta publicación se presenta un informe sobre las primeras seis conferencias mediante correo electrónico organizadas por el Foro electrónico de la FAO sobre la biotecnología en la alimentación y la agricultura, celebradas entre marzo de 2000 y mayo de 2001. Todas las conferencias contaron con un moderador, duraron aproximadamente dos meses y se centraron en la biotecnología agrícola en los países en desarrollo. Las cuatro primeras conferencias trataron de la idoneidad para los países en desarrollo de las biotecnologías actualmente disponibles en los sectores agrícola, pesquero, forestal y ganadero. Las otras dos conferencias trataron de las repercusiones de la biotecnología agrícola sobre el hambre y la seguridad alimentaria en los países en desarrollo y las consecuencias de los derechos de propiedad intelectual en la alimentación y la agricultura en esos países. Rapport r gional Ð opportunit s et d s ˆ l'horizon 2020 ƒTUDE FAO FORaeTS Ce rapport r gional de lÕEtude prospective du secteur forestier en Afrique fournit une vue dÕensemble des possibilit s ooertes et des d s ˆ relever pour renforcer la contribution du secteur forestier au d veloppement durable de lÕAfrique, dans le contexte des changements politiques et institutionnels, d mographiques, conomiques, technologiques et environnementaux. Sur la base dÕun examen de lÕimpact des facteurs de changement et des sc narios probables, il donne une indication de ce qui pourrait arriver dÕicî 2020, si les tendances actuelles persistent. Les priorit s et les strat gies permettant de renforcer la contribution du secteur forestier au bien-tre social sont galement tudi es.","author":[{"dropping-particle":"","family":"FAO","given":"","non-dropping-particle":"","parse-names":false,"suffix":""}],"id":"ITEM-1","issued":{"date-parts":[["2000"]]},"number-of-pages":"1-253","title":"Pesticide residues in food 2000 Joint FAO/WHO Meeting on Pesticide Residues","type":"report"},"uris":["http://www.mendeley.com/documents/?uuid=5f50eb75-ecd6-300a-bf98-03c441ed4536"]}],"mendeley":{"formattedCitation":"(FAO, 2000)","plainTextFormattedCitation":"(FAO, 2000)","previouslyFormattedCitation":"(FAO, 2000)"},"properties":{"noteIndex":0},"schema":"https://github.com/citation-style-language/schema/raw/master/csl-citation.json"}</w:instrText>
            </w:r>
            <w:r w:rsidRPr="0049220A">
              <w:rPr>
                <w:rFonts w:ascii="Times New Roman" w:hAnsi="Times New Roman" w:cs="Times New Roman"/>
                <w:sz w:val="24"/>
                <w:szCs w:val="24"/>
              </w:rPr>
              <w:fldChar w:fldCharType="separate"/>
            </w:r>
            <w:r w:rsidRPr="0049220A">
              <w:rPr>
                <w:rFonts w:ascii="Times New Roman" w:hAnsi="Times New Roman" w:cs="Times New Roman"/>
                <w:noProof/>
                <w:sz w:val="24"/>
                <w:szCs w:val="24"/>
              </w:rPr>
              <w:t>(FAO, 2000)</w:t>
            </w:r>
            <w:r w:rsidRPr="0049220A">
              <w:rPr>
                <w:rFonts w:ascii="Times New Roman" w:hAnsi="Times New Roman" w:cs="Times New Roman"/>
                <w:sz w:val="24"/>
                <w:szCs w:val="24"/>
              </w:rPr>
              <w:fldChar w:fldCharType="end"/>
            </w:r>
          </w:p>
        </w:tc>
      </w:tr>
      <w:tr w:rsidR="0049220A" w:rsidRPr="0049220A" w14:paraId="78AB3CCB" w14:textId="77777777" w:rsidTr="000D0B90">
        <w:trPr>
          <w:trHeight w:val="710"/>
        </w:trPr>
        <w:tc>
          <w:tcPr>
            <w:tcW w:w="2922" w:type="dxa"/>
          </w:tcPr>
          <w:p w14:paraId="213853FB"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E-7-Tetradecenol</w:t>
            </w:r>
          </w:p>
        </w:tc>
        <w:tc>
          <w:tcPr>
            <w:tcW w:w="1920" w:type="dxa"/>
          </w:tcPr>
          <w:p w14:paraId="08FA8A78"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Unsaturated fatty alcohol</w:t>
            </w:r>
          </w:p>
        </w:tc>
        <w:tc>
          <w:tcPr>
            <w:tcW w:w="2713" w:type="dxa"/>
          </w:tcPr>
          <w:p w14:paraId="0E9EDF9C"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Pheromone activity, antimicrobial</w:t>
            </w:r>
          </w:p>
        </w:tc>
        <w:tc>
          <w:tcPr>
            <w:tcW w:w="1620" w:type="dxa"/>
          </w:tcPr>
          <w:p w14:paraId="7FF5181E"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fldChar w:fldCharType="begin" w:fldLock="1"/>
            </w:r>
            <w:r w:rsidR="00EA3896" w:rsidRPr="0049220A">
              <w:rPr>
                <w:rFonts w:ascii="Times New Roman" w:hAnsi="Times New Roman" w:cs="Times New Roman"/>
                <w:sz w:val="24"/>
                <w:szCs w:val="24"/>
              </w:rPr>
              <w:instrText>ADDIN CSL_CITATION {"citationItems":[{"id":"ITEM-1","itemData":{"DOI":"10.1016/J.PLIPRES.2015.06.001","ISSN":"18732194","PMID":"26080085","abstract":"For many species of insects, lipid pheromones profoundly influence survival, reproduction, and social organization. Unravelling the chemical language of insects has been the subject of intense research in the field of chemical ecology for the past five decades. Characterizing the forms, functions, and biosynthesis of lipid pheromones has led not only to the development of strategies for controlling agricultural pests but has also provided insights into fundamental questions in evolutionary biology. Despite the enormous variety of chemical structures that are used as pheromones, some common themes in function and biosynthetic pathways have emerged across studies of diverse taxa. This review will offer a general overview of insect lipid pheromone function and biochemical synthesis, describe analytical methods for pheromone discovery, and provide perspectives on the contribution of chemical ecology to pest control and understanding evolutionary processes.","author":[{"dropping-particle":"","family":"Yew","given":"Joanne Y.","non-dropping-particle":"","parse-names":false,"suffix":""},{"dropping-particle":"","family":"Chung","given":"Henry","non-dropping-particle":"","parse-names":false,"suffix":""}],"container-title":"Progress in Lipid Research","id":"ITEM-1","issued":{"date-parts":[["2015","6","29"]]},"page":"88-105","publisher":"Elsevier Ltd","title":"Insect pheromones: An overview of function, form, and discovery","type":"article-journal","volume":"59"},"uris":["http://www.mendeley.com/documents/?uuid=2e687217-b979-3602-9534-6a58cbef7c9a"]}],"mendeley":{"formattedCitation":"(Yew &amp; Chung, 2015)","plainTextFormattedCitation":"(Yew &amp; Chung, 2015)","previouslyFormattedCitation":"(Yew &amp; Chung, 2015)"},"properties":{"noteIndex":0},"schema":"https://github.com/citation-style-language/schema/raw/master/csl-citation.json"}</w:instrText>
            </w:r>
            <w:r w:rsidRPr="0049220A">
              <w:rPr>
                <w:rFonts w:ascii="Times New Roman" w:hAnsi="Times New Roman" w:cs="Times New Roman"/>
                <w:sz w:val="24"/>
                <w:szCs w:val="24"/>
              </w:rPr>
              <w:fldChar w:fldCharType="separate"/>
            </w:r>
            <w:r w:rsidR="00EA3896" w:rsidRPr="0049220A">
              <w:rPr>
                <w:rFonts w:ascii="Times New Roman" w:hAnsi="Times New Roman" w:cs="Times New Roman"/>
                <w:noProof/>
                <w:sz w:val="24"/>
                <w:szCs w:val="24"/>
              </w:rPr>
              <w:t>(Yew &amp; Chung, 2015)</w:t>
            </w:r>
            <w:r w:rsidRPr="0049220A">
              <w:rPr>
                <w:rFonts w:ascii="Times New Roman" w:hAnsi="Times New Roman" w:cs="Times New Roman"/>
                <w:sz w:val="24"/>
                <w:szCs w:val="24"/>
              </w:rPr>
              <w:fldChar w:fldCharType="end"/>
            </w:r>
          </w:p>
        </w:tc>
      </w:tr>
      <w:tr w:rsidR="0049220A" w:rsidRPr="0049220A" w14:paraId="664A149C" w14:textId="77777777" w:rsidTr="000D0B90">
        <w:trPr>
          <w:trHeight w:val="620"/>
        </w:trPr>
        <w:tc>
          <w:tcPr>
            <w:tcW w:w="2922" w:type="dxa"/>
          </w:tcPr>
          <w:p w14:paraId="5C48285D"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1-Dodecanol, 3,7,11-trimethyl-</w:t>
            </w:r>
          </w:p>
        </w:tc>
        <w:tc>
          <w:tcPr>
            <w:tcW w:w="1920" w:type="dxa"/>
          </w:tcPr>
          <w:p w14:paraId="574151EC"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Branched-chain fatty alcohol</w:t>
            </w:r>
          </w:p>
        </w:tc>
        <w:tc>
          <w:tcPr>
            <w:tcW w:w="2713" w:type="dxa"/>
          </w:tcPr>
          <w:p w14:paraId="7FF0B847"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Antimicrobial, quorum-sensing inhibitor</w:t>
            </w:r>
          </w:p>
        </w:tc>
        <w:tc>
          <w:tcPr>
            <w:tcW w:w="1620" w:type="dxa"/>
          </w:tcPr>
          <w:p w14:paraId="50DA6B10"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fldChar w:fldCharType="begin" w:fldLock="1"/>
            </w:r>
            <w:r w:rsidRPr="0049220A">
              <w:rPr>
                <w:rFonts w:ascii="Times New Roman" w:hAnsi="Times New Roman" w:cs="Times New Roman"/>
                <w:sz w:val="24"/>
                <w:szCs w:val="24"/>
              </w:rPr>
              <w:instrText>ADDIN CSL_CITATION {"citationItems":[{"id":"ITEM-1","itemData":{"DOI":"10.1021/JF034774L;JOURNAL:JOURNAL:JAFCAU;ISSUE:ISSUE:10.1021/JAFCAU.2004.52.ISSUE-5;PAGE:STRING:ARTICLE/CHAPTER","ISSN":"00218561","abstract":"The antibacterial activity of a series of alkyl gallates (3,4,5-trihydroxybenzoates) against Gram-positive bacteria was tested using a broth dilution method. All of the Gram-positive bacteria tested were susceptible to alkyl gallates, and this activity was found to correlate with the alkyl chain length. The antibacterial activity of alkyl gallates against Bacillus subtilis was a parabolic function of their lipophilicity and maximized with alkyl chain length between C8 and C11. Notably, alkyl gallates were found to be bactericidal against B. subtilis ATCC 9372, but this activity was significantly affected by the endospore formation in the culture. The antibacterial activity of alkyl gallates likely comes at least in part from their ability to inhibit the membrane respiratory chain but is not due to the prooxidant action.","author":[{"dropping-particle":"","family":"Kubo","given":"Isao","non-dropping-particle":"","parse-names":false,"suffix":""},{"dropping-particle":"","family":"Fujita","given":"Ken Ichi","non-dropping-particle":"","parse-names":false,"suffix":""},{"dropping-particle":"","family":"Nihei","given":"Ken Ichi","non-dropping-particle":"","parse-names":false,"suffix":""},{"dropping-particle":"","family":"Nihei","given":"Atsuko","non-dropping-particle":"","parse-names":false,"suffix":""}],"container-title":"Journal of Agricultural and Food Chemistry","id":"ITEM-1","issue":"5","issued":{"date-parts":[["2004","3","10"]]},"page":"1072-1076","publisher":"American Chemical Society","title":"Antibacterial Activity of Akyl Gallates against Bacillus subtilis","type":"article-journal","volume":"52"},"uris":["http://www.mendeley.com/documents/?uuid=21ed38c1-7279-3c95-b92f-f5840a7cae5b"]}],"mendeley":{"formattedCitation":"(Kubo et al., 2004)","plainTextFormattedCitation":"(Kubo et al., 2004)","previouslyFormattedCitation":"(Kubo et al., 2004)"},"properties":{"noteIndex":0},"schema":"https://github.com/citation-style-language/schema/raw/master/csl-citation.json"}</w:instrText>
            </w:r>
            <w:r w:rsidRPr="0049220A">
              <w:rPr>
                <w:rFonts w:ascii="Times New Roman" w:hAnsi="Times New Roman" w:cs="Times New Roman"/>
                <w:sz w:val="24"/>
                <w:szCs w:val="24"/>
              </w:rPr>
              <w:fldChar w:fldCharType="separate"/>
            </w:r>
            <w:r w:rsidRPr="0049220A">
              <w:rPr>
                <w:rFonts w:ascii="Times New Roman" w:hAnsi="Times New Roman" w:cs="Times New Roman"/>
                <w:noProof/>
                <w:sz w:val="24"/>
                <w:szCs w:val="24"/>
              </w:rPr>
              <w:t>(Kubo et al., 2004)</w:t>
            </w:r>
            <w:r w:rsidRPr="0049220A">
              <w:rPr>
                <w:rFonts w:ascii="Times New Roman" w:hAnsi="Times New Roman" w:cs="Times New Roman"/>
                <w:sz w:val="24"/>
                <w:szCs w:val="24"/>
              </w:rPr>
              <w:fldChar w:fldCharType="end"/>
            </w:r>
          </w:p>
        </w:tc>
      </w:tr>
      <w:tr w:rsidR="0049220A" w:rsidRPr="0049220A" w14:paraId="5577F425" w14:textId="77777777" w:rsidTr="000D0B90">
        <w:trPr>
          <w:trHeight w:val="629"/>
        </w:trPr>
        <w:tc>
          <w:tcPr>
            <w:tcW w:w="2922" w:type="dxa"/>
          </w:tcPr>
          <w:p w14:paraId="43058FAB"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Lidocaine</w:t>
            </w:r>
          </w:p>
        </w:tc>
        <w:tc>
          <w:tcPr>
            <w:tcW w:w="1920" w:type="dxa"/>
          </w:tcPr>
          <w:p w14:paraId="47657BA5"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Synthetic amide anesthetic</w:t>
            </w:r>
          </w:p>
        </w:tc>
        <w:tc>
          <w:tcPr>
            <w:tcW w:w="2713" w:type="dxa"/>
          </w:tcPr>
          <w:p w14:paraId="1B4551B2"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Local anesthetic, antiarrhythmic</w:t>
            </w:r>
          </w:p>
        </w:tc>
        <w:tc>
          <w:tcPr>
            <w:tcW w:w="1620" w:type="dxa"/>
          </w:tcPr>
          <w:p w14:paraId="4D5BCA97"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fldChar w:fldCharType="begin" w:fldLock="1"/>
            </w:r>
            <w:r w:rsidRPr="0049220A">
              <w:rPr>
                <w:rFonts w:ascii="Times New Roman" w:hAnsi="Times New Roman" w:cs="Times New Roman"/>
                <w:sz w:val="24"/>
                <w:szCs w:val="24"/>
              </w:rPr>
              <w:instrText>ADDIN CSL_CITATION {"citationItems":[{"id":"ITEM-1","itemData":{"DOI":"10.1085/JGP.69.4.497","ISSN":"0022-1295","PMID":"300786","abstract":"The properties of Na channels of the node of Ranvier are altered by neutral, amine, and quaternary local anesthetic compounds. The kinetics of the Na currents are governed by a composite of voltage- and time-dependent gating processes with voltage- and time-dependent block of channels by drug. Conventional measurements of steady-state sodium inactivation by use of 50-ms prepulses show a large negative voltage shift of the inactivation curve with neutral benzocaine and with some ionizable amines like lidocaine and tetracaine, but no shift is seen with quaternary QX-572. However, when the experiment is done with repetitive application of a prepulse-testpulse waveform, a shift with the quaternary cations (applied internally) is seen as well. 1-min hyperpolarizations of lidocaine- or tetracaine- treated fibers restore two to four times as many channels to the conducting pool as 50-ms hyperpolarizations. Raising the external Ca++ concentration also has a strong unblocking effect. These manipulations do not relieve block in fibers treated with internal quaternary drugs. The results are interpreted in terms of a single receptor in Na channels for the different drug types. Lipid-soluble drug forms are thought to come and go from the receptor via a hydrophobic region of the membrane, while charged and less lipid-soluble forms pass via a hydrophilic region (the inner channel mouth). The hydrophilic pathway is open only when the gates of the channel are open. Any drug form in the channel increases the probability of closing the inactivation gate which, in effect, is equivalent to a negative shift of the voltage dependence of inactivation. © 1977, Rockefeller University Press., All rights reserved.","author":[{"dropping-particle":"","family":"Hille","given":"Bertil","non-dropping-particle":"","parse-names":false,"suffix":""}],"container-title":"Journal of General Physiology","id":"ITEM-1","issue":"4","issued":{"date-parts":[["1977","4","1"]]},"page":"497-515","publisher":"The Rockefeller University Press","title":"Local anesthetics: hydrophilic and hydrophobic pathways for the drug-receptor reaction.","type":"article-journal","volume":"69"},"uris":["http://www.mendeley.com/documents/?uuid=5e1b43a2-c170-3218-a468-093fd0890edd"]}],"mendeley":{"formattedCitation":"(Hille, 1977)","plainTextFormattedCitation":"(Hille, 1977)","previouslyFormattedCitation":"(Hille, 1977)"},"properties":{"noteIndex":0},"schema":"https://github.com/citation-style-language/schema/raw/master/csl-citation.json"}</w:instrText>
            </w:r>
            <w:r w:rsidRPr="0049220A">
              <w:rPr>
                <w:rFonts w:ascii="Times New Roman" w:hAnsi="Times New Roman" w:cs="Times New Roman"/>
                <w:sz w:val="24"/>
                <w:szCs w:val="24"/>
              </w:rPr>
              <w:fldChar w:fldCharType="separate"/>
            </w:r>
            <w:r w:rsidRPr="0049220A">
              <w:rPr>
                <w:rFonts w:ascii="Times New Roman" w:hAnsi="Times New Roman" w:cs="Times New Roman"/>
                <w:noProof/>
                <w:sz w:val="24"/>
                <w:szCs w:val="24"/>
              </w:rPr>
              <w:t>(Hille, 1977)</w:t>
            </w:r>
            <w:r w:rsidRPr="0049220A">
              <w:rPr>
                <w:rFonts w:ascii="Times New Roman" w:hAnsi="Times New Roman" w:cs="Times New Roman"/>
                <w:sz w:val="24"/>
                <w:szCs w:val="24"/>
              </w:rPr>
              <w:fldChar w:fldCharType="end"/>
            </w:r>
          </w:p>
        </w:tc>
      </w:tr>
      <w:tr w:rsidR="0049220A" w:rsidRPr="0049220A" w14:paraId="17F69F72" w14:textId="77777777" w:rsidTr="000D0B90">
        <w:tc>
          <w:tcPr>
            <w:tcW w:w="2922" w:type="dxa"/>
          </w:tcPr>
          <w:p w14:paraId="75DE21DB"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Pentadecanoic acid,14-methyl-, methyl ester</w:t>
            </w:r>
          </w:p>
        </w:tc>
        <w:tc>
          <w:tcPr>
            <w:tcW w:w="1920" w:type="dxa"/>
          </w:tcPr>
          <w:p w14:paraId="65C5B668"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Branched fatty acid ester</w:t>
            </w:r>
          </w:p>
        </w:tc>
        <w:tc>
          <w:tcPr>
            <w:tcW w:w="2713" w:type="dxa"/>
          </w:tcPr>
          <w:p w14:paraId="6CF3AAB1"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Antimicrobial, antioxidant</w:t>
            </w:r>
          </w:p>
        </w:tc>
        <w:tc>
          <w:tcPr>
            <w:tcW w:w="1620" w:type="dxa"/>
          </w:tcPr>
          <w:p w14:paraId="5AE82C41"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fldChar w:fldCharType="begin" w:fldLock="1"/>
            </w:r>
            <w:r w:rsidRPr="0049220A">
              <w:rPr>
                <w:rFonts w:ascii="Times New Roman" w:hAnsi="Times New Roman" w:cs="Times New Roman"/>
                <w:sz w:val="24"/>
                <w:szCs w:val="24"/>
              </w:rPr>
              <w:instrText>ADDIN CSL_CITATION {"citationItems":[{"id":"ITEM-1","itemData":{"DOI":"10.1016/S0960-894X(01)00663-1","ISSN":"0960-894X","PMID":"11755333","abstract":"A series of alkyl gallates (3,4,5-trihydroxybenzoates) was found to show antibacterial activity against Gram-positive bacteria including methicillin resistant Staphylococcus aureus (MRSA) strains. For example, dodecyl (C12) gallate (1) exhibited bactericidal activity against MRSA ATCC 33591 strain with the minimum bactericidal concentration (MBC) of 25 μg/mL (74 μM). The time-kill curve study showed that dodecyl gallate is bactericidal against this MRSA strain. This bactericidal activity comes in part from its ability to inhibit respiratory electron transport systems. The length of the alkyl chain is not a major contributor but plays an important role in eliciting the activity. © 2002 Elsevier Science Ltd. All rights reserved.","author":[{"dropping-particle":"","family":"Kubo","given":"Isao","non-dropping-particle":"","parse-names":false,"suffix":""},{"dropping-particle":"","family":"Xiao","given":"Ping","non-dropping-particle":"","parse-names":false,"suffix":""},{"dropping-particle":"","family":"Fujita","given":"Ken'ichi","non-dropping-particle":"","parse-names":false,"suffix":""}],"container-title":"Bioorganic &amp; Medicinal Chemistry Letters","id":"ITEM-1","issue":"2","issued":{"date-parts":[["2002","1","21"]]},"page":"113-116","publisher":"Pergamon","title":"Anti-MRSA activity of alkyl gallates","type":"article-journal","volume":"12"},"uris":["http://www.mendeley.com/documents/?uuid=5fbabe2e-5d82-3095-90bb-0417c1ed3318"]}],"mendeley":{"formattedCitation":"(Kubo et al., 2002)","plainTextFormattedCitation":"(Kubo et al., 2002)","previouslyFormattedCitation":"(Kubo et al., 2002)"},"properties":{"noteIndex":0},"schema":"https://github.com/citation-style-language/schema/raw/master/csl-citation.json"}</w:instrText>
            </w:r>
            <w:r w:rsidRPr="0049220A">
              <w:rPr>
                <w:rFonts w:ascii="Times New Roman" w:hAnsi="Times New Roman" w:cs="Times New Roman"/>
                <w:sz w:val="24"/>
                <w:szCs w:val="24"/>
              </w:rPr>
              <w:fldChar w:fldCharType="separate"/>
            </w:r>
            <w:r w:rsidRPr="0049220A">
              <w:rPr>
                <w:rFonts w:ascii="Times New Roman" w:hAnsi="Times New Roman" w:cs="Times New Roman"/>
                <w:noProof/>
                <w:sz w:val="24"/>
                <w:szCs w:val="24"/>
              </w:rPr>
              <w:t>(Kubo et al., 2002)</w:t>
            </w:r>
            <w:r w:rsidRPr="0049220A">
              <w:rPr>
                <w:rFonts w:ascii="Times New Roman" w:hAnsi="Times New Roman" w:cs="Times New Roman"/>
                <w:sz w:val="24"/>
                <w:szCs w:val="24"/>
              </w:rPr>
              <w:fldChar w:fldCharType="end"/>
            </w:r>
          </w:p>
        </w:tc>
      </w:tr>
      <w:tr w:rsidR="0049220A" w:rsidRPr="0049220A" w14:paraId="7BF3E250" w14:textId="77777777" w:rsidTr="000D0B90">
        <w:trPr>
          <w:trHeight w:val="980"/>
        </w:trPr>
        <w:tc>
          <w:tcPr>
            <w:tcW w:w="2922" w:type="dxa"/>
          </w:tcPr>
          <w:p w14:paraId="6B4F861E"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Oleic Acid</w:t>
            </w:r>
          </w:p>
        </w:tc>
        <w:tc>
          <w:tcPr>
            <w:tcW w:w="1920" w:type="dxa"/>
          </w:tcPr>
          <w:p w14:paraId="64D92575"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Monounsaturated fatty acid</w:t>
            </w:r>
          </w:p>
        </w:tc>
        <w:tc>
          <w:tcPr>
            <w:tcW w:w="2713" w:type="dxa"/>
          </w:tcPr>
          <w:p w14:paraId="797EDD61"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Anti-inflammatory, cardioprotective, antimicrobial</w:t>
            </w:r>
          </w:p>
        </w:tc>
        <w:tc>
          <w:tcPr>
            <w:tcW w:w="1620" w:type="dxa"/>
          </w:tcPr>
          <w:p w14:paraId="12FFD750"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fldChar w:fldCharType="begin" w:fldLock="1"/>
            </w:r>
            <w:r w:rsidRPr="0049220A">
              <w:rPr>
                <w:rFonts w:ascii="Times New Roman" w:hAnsi="Times New Roman" w:cs="Times New Roman"/>
                <w:sz w:val="24"/>
                <w:szCs w:val="24"/>
              </w:rPr>
              <w:instrText>ADDIN CSL_CITATION {"citationItems":[{"id":"ITEM-1","itemData":{"DOI":"10.3390/MD9102155","ISBN":"5655637804","ISSN":"1660-3397","PMID":"22073014","abstract":"It is known that some strains of Vibrio parahaemolyticus are responsible for gastroenteric diseases caused by the ingestion of marine organisms contaminated with these bacterial strains. Organic products that show inhibitory activity on the growth of the pathogenic V. parahaemolyticus were extracted from a Vibrio native in the north of Chile. The inhibitory organic products were isolated by reverse phase chromatography and permeation by Sephadex LH20, and were characterized by spectroscopic and spectrometric techniques. The results showed that the prevailing active product is oleic acid, which was compared with standards by gas chromatography and high-performance liquid chromatography (HPLC). These active products might be useful for controlling the proliferation of pathogenic clones of V. parahaemolyticus.","author":[{"dropping-particle":"","family":"Leyton","given":"Yanett","non-dropping-particle":"","parse-names":false,"suffix":""},{"dropping-particle":"","family":"Borquez","given":"Jorge","non-dropping-particle":"","parse-names":false,"suffix":""},{"dropping-particle":"","family":"Darias","given":"José","non-dropping-particle":"","parse-names":false,"suffix":""},{"dropping-particle":"","family":"Cueto","given":"Mercedes","non-dropping-particle":"","parse-names":false,"suffix":""},{"dropping-particle":"","family":"Díaz-Marrero","given":"Ana R.","non-dropping-particle":"","parse-names":false,"suffix":""},{"dropping-particle":"","family":"Riquelme","given":"Carlos","non-dropping-particle":"","parse-names":false,"suffix":""}],"container-title":"Marine Drugs","id":"ITEM-1","issue":"10","issued":{"date-parts":[["2011","10","24"]]},"page":"2155-2163","publisher":"Molecular Diversity Preservation International","title":"Oleic Acid Produced by a Marine Vibrio spp. Acts as an Anti-Vibrio parahaemolyticus Agent","type":"article-journal","volume":"9"},"uris":["http://www.mendeley.com/documents/?uuid=7734124c-18b4-3cc5-b475-6ae239f84eb4"]}],"mendeley":{"formattedCitation":"(Leyton et al., 2011)","plainTextFormattedCitation":"(Leyton et al., 2011)","previouslyFormattedCitation":"(Leyton et al., 2011)"},"properties":{"noteIndex":0},"schema":"https://github.com/citation-style-language/schema/raw/master/csl-citation.json"}</w:instrText>
            </w:r>
            <w:r w:rsidRPr="0049220A">
              <w:rPr>
                <w:rFonts w:ascii="Times New Roman" w:hAnsi="Times New Roman" w:cs="Times New Roman"/>
                <w:sz w:val="24"/>
                <w:szCs w:val="24"/>
              </w:rPr>
              <w:fldChar w:fldCharType="separate"/>
            </w:r>
            <w:r w:rsidRPr="0049220A">
              <w:rPr>
                <w:rFonts w:ascii="Times New Roman" w:hAnsi="Times New Roman" w:cs="Times New Roman"/>
                <w:noProof/>
                <w:sz w:val="24"/>
                <w:szCs w:val="24"/>
              </w:rPr>
              <w:t>(Leyton et al., 2011)</w:t>
            </w:r>
            <w:r w:rsidRPr="0049220A">
              <w:rPr>
                <w:rFonts w:ascii="Times New Roman" w:hAnsi="Times New Roman" w:cs="Times New Roman"/>
                <w:sz w:val="24"/>
                <w:szCs w:val="24"/>
              </w:rPr>
              <w:fldChar w:fldCharType="end"/>
            </w:r>
          </w:p>
        </w:tc>
      </w:tr>
      <w:tr w:rsidR="0049220A" w:rsidRPr="0049220A" w14:paraId="095CCFBB" w14:textId="77777777" w:rsidTr="000D0B90">
        <w:trPr>
          <w:trHeight w:val="620"/>
        </w:trPr>
        <w:tc>
          <w:tcPr>
            <w:tcW w:w="2922" w:type="dxa"/>
          </w:tcPr>
          <w:p w14:paraId="563E177D"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Ethyl pentadecanoate</w:t>
            </w:r>
          </w:p>
        </w:tc>
        <w:tc>
          <w:tcPr>
            <w:tcW w:w="1920" w:type="dxa"/>
          </w:tcPr>
          <w:p w14:paraId="2717FD24"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Fatty acid ethyl ester</w:t>
            </w:r>
          </w:p>
        </w:tc>
        <w:tc>
          <w:tcPr>
            <w:tcW w:w="2713" w:type="dxa"/>
          </w:tcPr>
          <w:p w14:paraId="5E5702AD"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Antimicrobial, antioxidant</w:t>
            </w:r>
          </w:p>
        </w:tc>
        <w:tc>
          <w:tcPr>
            <w:tcW w:w="1620" w:type="dxa"/>
          </w:tcPr>
          <w:p w14:paraId="4B0E9451"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fldChar w:fldCharType="begin" w:fldLock="1"/>
            </w:r>
            <w:r w:rsidRPr="0049220A">
              <w:rPr>
                <w:rFonts w:ascii="Times New Roman" w:hAnsi="Times New Roman" w:cs="Times New Roman"/>
                <w:sz w:val="24"/>
                <w:szCs w:val="24"/>
              </w:rPr>
              <w:instrText>ADDIN CSL_CITATION {"citationItems":[{"id":"ITEM-1","itemData":{"DOI":"10.1016/J.HELIYON.2023.E14461","ISSN":"24058440","PMID":"36925541","abstract":"Conventional antibiotics are associated with various side-effects. Therefore, there is need of using plant-derived antibiotics with fewer side-effects. Grewia tembensis and Xerophyta spekei, which have been extensively utilized in the Mbeere community, were studied to support their folkloric use and demonstrate their antibacterial capabilities. Salmonella Typhi ATCC 1408, Bacillus subtilis ATCC 21332, Staphylococcus aureus ATCC 25923, and Escherichia coli ATCC 25922 were all used in this study. As a standard reference, Ciprofloxacin (100 μg/ml) was employed, and 5% DMSO was used as a negative reference. Tests for antibacterial activities included disc diffusion, minimum inhibitory concentrations, and bactericidal concentrations. G. tembensis exhibited effects on S. aureus only with Mean Zone Inhibition (MZI) of 07.07 ± 0.07 to 12.33 ± 0.33 mm and 08.33 ± 0.33 to 11.67 ± 0.33 mm for stem bark and leaf extracts respectively. While X. spekei extract had effects on S. aureus with MZI of 07.67 ± 0.33 to 14.67 ± 0.33 mm and B. subtilis with MZI of 09.67 ± 0.33 to 14.33 ± 0.33 mm. Ciprofloxacin demonstrated significantly higher activities as compared to the plant extracts in all the concentrations (p &lt; 0.05), while 5% DMSO had no activity. GC-MS analysis demonstrated the availability of compounds with known antibacterial effects. Therefore, the current study recommends ethnomedicinal and therapeutic use of G. tembensis and X. spekei as antibacterial agents.","author":[{"dropping-particle":"","family":"Nyalo","given":"Paul Ochieng","non-dropping-particle":"","parse-names":false,"suffix":""},{"dropping-particle":"","family":"Omwenga","given":"George Isanda","non-dropping-particle":"","parse-names":false,"suffix":""},{"dropping-particle":"","family":"Ngugi","given":"Mathew Piero","non-dropping-particle":"","parse-names":false,"suffix":""}],"container-title":"Heliyon","id":"ITEM-1","issue":"3","issued":{"date-parts":[["2023","3","1"]]},"page":"e14461","publisher":"Elsevier Ltd","title":"Antibacterial properties and GC-MS analysis of ethyl acetate extracts of Xerophyta spekei (Baker) and Grewia tembensis (Fresen)","type":"article-journal","volume":"9"},"uris":["http://www.mendeley.com/documents/?uuid=2d94790a-506b-3aa3-a3da-45b2c6a9b500"]}],"mendeley":{"formattedCitation":"(Nyalo et al., 2023)","plainTextFormattedCitation":"(Nyalo et al., 2023)","previouslyFormattedCitation":"(Nyalo et al., 2023)"},"properties":{"noteIndex":0},"schema":"https://github.com/citation-style-language/schema/raw/master/csl-citation.json"}</w:instrText>
            </w:r>
            <w:r w:rsidRPr="0049220A">
              <w:rPr>
                <w:rFonts w:ascii="Times New Roman" w:hAnsi="Times New Roman" w:cs="Times New Roman"/>
                <w:sz w:val="24"/>
                <w:szCs w:val="24"/>
              </w:rPr>
              <w:fldChar w:fldCharType="separate"/>
            </w:r>
            <w:r w:rsidRPr="0049220A">
              <w:rPr>
                <w:rFonts w:ascii="Times New Roman" w:hAnsi="Times New Roman" w:cs="Times New Roman"/>
                <w:noProof/>
                <w:sz w:val="24"/>
                <w:szCs w:val="24"/>
              </w:rPr>
              <w:t>(Nyalo et al., 2023)</w:t>
            </w:r>
            <w:r w:rsidRPr="0049220A">
              <w:rPr>
                <w:rFonts w:ascii="Times New Roman" w:hAnsi="Times New Roman" w:cs="Times New Roman"/>
                <w:sz w:val="24"/>
                <w:szCs w:val="24"/>
              </w:rPr>
              <w:fldChar w:fldCharType="end"/>
            </w:r>
          </w:p>
        </w:tc>
      </w:tr>
      <w:tr w:rsidR="0049220A" w:rsidRPr="0049220A" w14:paraId="5B7941E6" w14:textId="77777777" w:rsidTr="000D0B90">
        <w:trPr>
          <w:trHeight w:val="620"/>
        </w:trPr>
        <w:tc>
          <w:tcPr>
            <w:tcW w:w="2922" w:type="dxa"/>
          </w:tcPr>
          <w:p w14:paraId="4899E66A"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Hexadecadienoic acid, methyl ester</w:t>
            </w:r>
          </w:p>
        </w:tc>
        <w:tc>
          <w:tcPr>
            <w:tcW w:w="1920" w:type="dxa"/>
          </w:tcPr>
          <w:p w14:paraId="53295429"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PUFA ester</w:t>
            </w:r>
          </w:p>
        </w:tc>
        <w:tc>
          <w:tcPr>
            <w:tcW w:w="2713" w:type="dxa"/>
          </w:tcPr>
          <w:p w14:paraId="738E990F"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Anti-inflammatory, lipid metabolism role</w:t>
            </w:r>
          </w:p>
        </w:tc>
        <w:tc>
          <w:tcPr>
            <w:tcW w:w="1620" w:type="dxa"/>
          </w:tcPr>
          <w:p w14:paraId="4092D16E"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fldChar w:fldCharType="begin" w:fldLock="1"/>
            </w:r>
            <w:r w:rsidRPr="0049220A">
              <w:rPr>
                <w:rFonts w:ascii="Times New Roman" w:hAnsi="Times New Roman" w:cs="Times New Roman"/>
                <w:sz w:val="24"/>
                <w:szCs w:val="24"/>
              </w:rPr>
              <w:instrText>ADDIN CSL_CITATION {"citationItems":[{"id":"ITEM-1","itemData":{"DOI":"10.1016/J.BBALIP.2014.08.010","ISSN":"1388-1981","PMID":"25149823","abstract":"Inflammation is a condition which contributes to a range of human diseases. It involves a multitude of cell types, chemical mediators, and interactions. Eicosapentaenoic acid (EPA) and docosahexaenoic acid (DHA) are omega-3 (n - 3) fatty acids found in oily fish and fish oil supplements. These fatty acids are able to partly inhibit a number of aspects of inflammation including leukocyte chemotaxis, adhesion molecule expression and leukocyte-endothelial adhesive interactions, production of eicosanoids like prostaglandins and leukotrienes from the n - 6 fatty acid arachidonic acid, production of inflammatory cytokines, and T-helper 1 lymphocyte reactivity. In addition, EPA gives rise to eicosanoids that often have lower biological potency than those produced from arachidonic acid and EPA and DHA give rise to anti-inflammatory and inflammation resolving mediators called resolvins, protectins and maresins. Mechanisms underlying the anti-inflammatory actions of marine n - 3 fatty acids include altered cell membrane phospholipid fatty acid composition, disruption of lipid rafts, inhibition of activation of the pro-inflammatory transcription factor nuclear factor kappa B so reducing expression of inflammatory genes, activation of the anti-inflammatory transcription factor peroxisome proliferator activated receptor γ and binding to the G protein coupled receptor GPR120. These mechanisms are interlinked, although the full extent of this is not yet elucidated. Animal experiments demonstrate benefit from marine n - 3 fatty acids in models of rheumatoid arthritis (RA), inflammatory bowel disease (IBD) and asthma. Clinical trials of fish oil in RA demonstrate benefit, but clinical trials of fish oil in IBD and asthma are inconsistent with no overall clear evidence of efficacy. This article is part of a Special Issue entitled \"Oxygenated metabolism of PUFA: analysis and biological relevance\".","author":[{"dropping-particle":"","family":"Calder","given":"Philip C.","non-dropping-particle":"","parse-names":false,"suffix":""}],"container-title":"Biochimica et Biophysica Acta (BBA) - Molecular and Cell Biology of Lipids","id":"ITEM-1","issue":"4","issued":{"date-parts":[["2015","4","1"]]},"page":"469-484","publisher":"Elsevier","title":"Marine omega-3 fatty acids and inflammatory processes: Effects, mechanisms and clinical relevance","type":"article-journal","volume":"1851"},"uris":["http://www.mendeley.com/documents/?uuid=45258b62-89f7-3b6e-b9c6-fdfd709f79ae"]}],"mendeley":{"formattedCitation":"(Calder, 2015)","plainTextFormattedCitation":"(Calder, 2015)","previouslyFormattedCitation":"(Calder, 2015)"},"properties":{"noteIndex":0},"schema":"https://github.com/citation-style-language/schema/raw/master/csl-citation.json"}</w:instrText>
            </w:r>
            <w:r w:rsidRPr="0049220A">
              <w:rPr>
                <w:rFonts w:ascii="Times New Roman" w:hAnsi="Times New Roman" w:cs="Times New Roman"/>
                <w:sz w:val="24"/>
                <w:szCs w:val="24"/>
              </w:rPr>
              <w:fldChar w:fldCharType="separate"/>
            </w:r>
            <w:r w:rsidRPr="0049220A">
              <w:rPr>
                <w:rFonts w:ascii="Times New Roman" w:hAnsi="Times New Roman" w:cs="Times New Roman"/>
                <w:noProof/>
                <w:sz w:val="24"/>
                <w:szCs w:val="24"/>
              </w:rPr>
              <w:t>(Calder, 2015)</w:t>
            </w:r>
            <w:r w:rsidRPr="0049220A">
              <w:rPr>
                <w:rFonts w:ascii="Times New Roman" w:hAnsi="Times New Roman" w:cs="Times New Roman"/>
                <w:sz w:val="24"/>
                <w:szCs w:val="24"/>
              </w:rPr>
              <w:fldChar w:fldCharType="end"/>
            </w:r>
          </w:p>
        </w:tc>
      </w:tr>
      <w:tr w:rsidR="0049220A" w:rsidRPr="0049220A" w14:paraId="293835EA" w14:textId="77777777" w:rsidTr="000D0B90">
        <w:trPr>
          <w:trHeight w:val="971"/>
        </w:trPr>
        <w:tc>
          <w:tcPr>
            <w:tcW w:w="2922" w:type="dxa"/>
          </w:tcPr>
          <w:p w14:paraId="55E205B2"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9-Octadecenoic acid (Z)-, methyl ester</w:t>
            </w:r>
          </w:p>
        </w:tc>
        <w:tc>
          <w:tcPr>
            <w:tcW w:w="1920" w:type="dxa"/>
          </w:tcPr>
          <w:p w14:paraId="5B016224"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Fatty acid ester</w:t>
            </w:r>
          </w:p>
        </w:tc>
        <w:tc>
          <w:tcPr>
            <w:tcW w:w="2713" w:type="dxa"/>
          </w:tcPr>
          <w:p w14:paraId="5F1EEF2B"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Antimicrobial, antioxidant, energy metabolism</w:t>
            </w:r>
          </w:p>
        </w:tc>
        <w:tc>
          <w:tcPr>
            <w:tcW w:w="1620" w:type="dxa"/>
          </w:tcPr>
          <w:p w14:paraId="40CA3AA2"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fldChar w:fldCharType="begin" w:fldLock="1"/>
            </w:r>
            <w:r w:rsidRPr="0049220A">
              <w:rPr>
                <w:rFonts w:ascii="Times New Roman" w:hAnsi="Times New Roman" w:cs="Times New Roman"/>
                <w:sz w:val="24"/>
                <w:szCs w:val="24"/>
              </w:rPr>
              <w:instrText>ADDIN CSL_CITATION {"citationItems":[{"id":"ITEM-1","itemData":{"DOI":"10.1016/j.micpath.2020.104446","ISSN":"10961208","PMID":"32810555","abstract":"Purpose: Antibiotic resistance is a huge problem that stays to challenge the healthcare sector in a large part of the world in both developing and developed countries. The spread of multi drug resistant (MDR) bacteria in hospital and community settings remains a widely uncertain problem and a heavy burden to health services. Methods: This study unveils the in vitro and in vivo anti-ESBL potential of Methyl oleate (MO) and Palmitic acid (PA) against ESBL producing MDR bacterial pathogens such as Escherichia coli and Klebsiella pneumoniae. Microscopic observations unveiled the anti-ESBL efficacy of test compounds. MTT assay, in vivo anti-infective efficiency of MO and PA was tested with different concentrations. Results: The pure compounds of MO and PA from Oxynema thaianum demonstrated high inhibitory activity in MIC and MBC assays against MDR E. coli and K. pneumoniae. Moreover, the anti-ESBL potential of MO and PA was validated through light, confocal laser scanning and scanning electron microscopic analyses. The IC50 values of MO and PA against A549 cells was recorded as 625 μg mL−1 and 514 μg mL−1, respectively. In Artemia nauplii cytotoxicity assay, the LC50 value of MO and PA were recorded as 53.33 μg mL−1 and 50 μg mL−1 respectively. The 96 h lethal concentrations obtained for Lobeo rohita treated with different concentrations of Methyl oleate and Palmitic acid. The LC50 for MO and PA was 50 mg L−1 and 100 mg L−1, respectively. Conclusion: Therefore the study concluded that the promising effects of MO and PA can be used as an alternative biological agent which could be positively explored to treat ESBL producing MDR pathogens.","author":[{"dropping-particle":"","family":"Padmini","given":"Nagarajan","non-dropping-particle":"","parse-names":false,"suffix":""},{"dropping-particle":"","family":"Rashiya","given":"Nagasundaram","non-dropping-particle":"","parse-names":false,"suffix":""},{"dropping-particle":"","family":"Sivakumar","given":"Natesan","non-dropping-particle":"","parse-names":false,"suffix":""},{"dropping-particle":"","family":"Kannan","given":"Narayanan Dhiraviam","non-dropping-particle":"","parse-names":false,"suffix":""},{"dropping-particle":"","family":"Manjuladevi","given":"Ramamoorthy","non-dropping-particle":"","parse-names":false,"suffix":""},{"dropping-particle":"","family":"Rajasekar","given":"Periyannan","non-dropping-particle":"","parse-names":false,"suffix":""},{"dropping-particle":"","family":"Prabhu","given":"Narayananasamy Marimuthu","non-dropping-particle":"","parse-names":false,"suffix":""},{"dropping-particle":"","family":"Selvakumar","given":"Gopal","non-dropping-particle":"","parse-names":false,"suffix":""}],"container-title":"Microbial Pathogenesis","id":"ITEM-1","issued":{"date-parts":[["2020","11","1"]]},"publisher":"Academic Press","title":"In vitro and in vivo efficacy of methyl oleate and palmitic acid against ESBL producing MDR Escherichia coli and Klebsiella pneumoniae","type":"article-journal","volume":"148"},"uris":["http://www.mendeley.com/documents/?uuid=9d51fae5-ea75-3109-8090-7fdbe9e39d03"]}],"mendeley":{"formattedCitation":"(Padmini et al., 2020)","plainTextFormattedCitation":"(Padmini et al., 2020)","previouslyFormattedCitation":"(Padmini et al., 2020)"},"properties":{"noteIndex":0},"schema":"https://github.com/citation-style-language/schema/raw/master/csl-citation.json"}</w:instrText>
            </w:r>
            <w:r w:rsidRPr="0049220A">
              <w:rPr>
                <w:rFonts w:ascii="Times New Roman" w:hAnsi="Times New Roman" w:cs="Times New Roman"/>
                <w:sz w:val="24"/>
                <w:szCs w:val="24"/>
              </w:rPr>
              <w:fldChar w:fldCharType="separate"/>
            </w:r>
            <w:r w:rsidRPr="0049220A">
              <w:rPr>
                <w:rFonts w:ascii="Times New Roman" w:hAnsi="Times New Roman" w:cs="Times New Roman"/>
                <w:noProof/>
                <w:sz w:val="24"/>
                <w:szCs w:val="24"/>
              </w:rPr>
              <w:t>(Padmini et al., 2020)</w:t>
            </w:r>
            <w:r w:rsidRPr="0049220A">
              <w:rPr>
                <w:rFonts w:ascii="Times New Roman" w:hAnsi="Times New Roman" w:cs="Times New Roman"/>
                <w:sz w:val="24"/>
                <w:szCs w:val="24"/>
              </w:rPr>
              <w:fldChar w:fldCharType="end"/>
            </w:r>
          </w:p>
        </w:tc>
      </w:tr>
      <w:tr w:rsidR="0049220A" w:rsidRPr="0049220A" w14:paraId="5A1AFBB7" w14:textId="77777777" w:rsidTr="000D0B90">
        <w:trPr>
          <w:trHeight w:val="629"/>
        </w:trPr>
        <w:tc>
          <w:tcPr>
            <w:tcW w:w="2922" w:type="dxa"/>
          </w:tcPr>
          <w:p w14:paraId="6C791C69"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lastRenderedPageBreak/>
              <w:t>9,12-Octadecadienoyl chloride, (Z,Z)</w:t>
            </w:r>
          </w:p>
        </w:tc>
        <w:tc>
          <w:tcPr>
            <w:tcW w:w="1920" w:type="dxa"/>
          </w:tcPr>
          <w:p w14:paraId="7D43D024"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Fatty acyl chloride</w:t>
            </w:r>
          </w:p>
        </w:tc>
        <w:tc>
          <w:tcPr>
            <w:tcW w:w="2713" w:type="dxa"/>
          </w:tcPr>
          <w:p w14:paraId="2D94F9C7"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Reactive intermediate; antimicrobial</w:t>
            </w:r>
          </w:p>
        </w:tc>
        <w:tc>
          <w:tcPr>
            <w:tcW w:w="1620" w:type="dxa"/>
          </w:tcPr>
          <w:p w14:paraId="473F1525"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fldChar w:fldCharType="begin" w:fldLock="1"/>
            </w:r>
            <w:r w:rsidRPr="0049220A">
              <w:rPr>
                <w:rFonts w:ascii="Times New Roman" w:hAnsi="Times New Roman" w:cs="Times New Roman"/>
                <w:sz w:val="24"/>
                <w:szCs w:val="24"/>
              </w:rPr>
              <w:instrText>ADDIN CSL_CITATION {"citationItems":[{"id":"ITEM-1","itemData":{"DOI":"10.3390/MOLECULES28083350","ISSN":"1420-3049","PMID":"37110582","abstract":"The oxidation of food emulsions causes rancidity, which reduces their shelf life. To prevent rancidity, synthetic antioxidants are widely used in the food industry. However, due to their potential health risks, researchers are exploring natural alternatives. This study aimed to investigate whether Rosa canina fruit extract (RCFE) could be used as a natural antioxidant to extend the shelf life of mayonnaise. Mayonnaise containing varying concentrations of RCFE [0.125% (T1), 0.25% (T2), 0.50% (T3), 0.75% (T4)] was compared to a mayonnaise control sample (C1) and a mayonnaise sample containing 0.02% BHT (C2) for 60 days of storage at 4 °C. RCFE was found to have high levels of total phenols content (52.06 ± 1.14 mg GAE g−1), total flavonoids content (26.31 ± 1.03 mg QE g−1), and free radical scavenging activity. The GC–MS analysis of RCFE revealed 39 different peaks, whereas the HPLC analysis showed the presence of 13 polyphenolic compounds in RCFE. The pH values of T2, T3, and T4 mayonnaise samples substantially declined as storage progressed; however, the reduction was less than that of C1 and C2. After 60 days, mayonnaise samples T2, T3, and T4 had greatly reduced peroxide and free fatty acid levels compared to C1 and C2. The mayonnaise enriched with RCFE (T3 and T4) had the most potent antioxidative ability and the lowest value of lipid hydroperoxides (peroxide value, POV) and the lowest value of thiobarbituric-acid-reactive substances (TBARS). The sensory evaluation revealed that the T3 sample exhibited the highest overall acceptability. In conclusion, this study recommends that RCFE could be used as a natural preservative to enhance the shelf life of functional foods.","author":[{"dropping-particle":"","family":"Soltan","given":"Osama I.A.","non-dropping-particle":"","parse-names":false,"suffix":""},{"dropping-particle":"","family":"Gazwi","given":"Hanaa S.S.","non-dropping-particle":"","parse-names":false,"suffix":""},{"dropping-particle":"","family":"Ragab","given":"Amany E.","non-dropping-particle":"","parse-names":false,"suffix":""},{"dropping-particle":"","family":"Aljohani","given":"Abdullah S.M.","non-dropping-particle":"","parse-names":false,"suffix":""},{"dropping-particle":"","family":"El-Ashmawy","given":"Ibrahim M.","non-dropping-particle":"","parse-names":false,"suffix":""},{"dropping-particle":"","family":"Batiha","given":"Gaber El Saber","non-dropping-particle":"","parse-names":false,"suffix":""},{"dropping-particle":"","family":"Hafiz","given":"Amin A.","non-dropping-particle":"","parse-names":false,"suffix":""},{"dropping-particle":"","family":"Abdel-Hameed","given":"Sanaa M.","non-dropping-particle":"","parse-names":false,"suffix":""}],"container-title":"Molecules","id":"ITEM-1","issue":"8","issued":{"date-parts":[["2023","4","10"]]},"page":"3350","publisher":"Multidisciplinary Digital Publishing Institute","title":"Assessment of Bioactive Phytochemicals and Utilization of Rosa canina Fruit Extract as a Novel Natural Antioxidant for Mayonnaise","type":"article-journal","volume":"28"},"uris":["http://www.mendeley.com/documents/?uuid=a08785f0-6446-3d15-84e8-f73e24dfc5df"]}],"mendeley":{"formattedCitation":"(Soltan et al., 2023)","plainTextFormattedCitation":"(Soltan et al., 2023)","previouslyFormattedCitation":"(Soltan et al., 2023)"},"properties":{"noteIndex":0},"schema":"https://github.com/citation-style-language/schema/raw/master/csl-citation.json"}</w:instrText>
            </w:r>
            <w:r w:rsidRPr="0049220A">
              <w:rPr>
                <w:rFonts w:ascii="Times New Roman" w:hAnsi="Times New Roman" w:cs="Times New Roman"/>
                <w:sz w:val="24"/>
                <w:szCs w:val="24"/>
              </w:rPr>
              <w:fldChar w:fldCharType="separate"/>
            </w:r>
            <w:r w:rsidRPr="0049220A">
              <w:rPr>
                <w:rFonts w:ascii="Times New Roman" w:hAnsi="Times New Roman" w:cs="Times New Roman"/>
                <w:noProof/>
                <w:sz w:val="24"/>
                <w:szCs w:val="24"/>
              </w:rPr>
              <w:t>(Soltan et al., 2023)</w:t>
            </w:r>
            <w:r w:rsidRPr="0049220A">
              <w:rPr>
                <w:rFonts w:ascii="Times New Roman" w:hAnsi="Times New Roman" w:cs="Times New Roman"/>
                <w:sz w:val="24"/>
                <w:szCs w:val="24"/>
              </w:rPr>
              <w:fldChar w:fldCharType="end"/>
            </w:r>
          </w:p>
        </w:tc>
      </w:tr>
      <w:tr w:rsidR="0049220A" w:rsidRPr="0049220A" w14:paraId="4D9ACC01" w14:textId="77777777" w:rsidTr="000D0B90">
        <w:trPr>
          <w:trHeight w:val="737"/>
        </w:trPr>
        <w:tc>
          <w:tcPr>
            <w:tcW w:w="2922" w:type="dxa"/>
          </w:tcPr>
          <w:p w14:paraId="58377C10"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Undec-10-ynoic acid, dodecyl ester</w:t>
            </w:r>
          </w:p>
        </w:tc>
        <w:tc>
          <w:tcPr>
            <w:tcW w:w="1920" w:type="dxa"/>
          </w:tcPr>
          <w:p w14:paraId="639F50D2"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Alkyne fatty ester</w:t>
            </w:r>
          </w:p>
        </w:tc>
        <w:tc>
          <w:tcPr>
            <w:tcW w:w="2713" w:type="dxa"/>
          </w:tcPr>
          <w:p w14:paraId="71EC6E6A"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Antifungal, antimicrobial</w:t>
            </w:r>
          </w:p>
        </w:tc>
        <w:tc>
          <w:tcPr>
            <w:tcW w:w="1620" w:type="dxa"/>
          </w:tcPr>
          <w:p w14:paraId="1654C874"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fldChar w:fldCharType="begin" w:fldLock="1"/>
            </w:r>
            <w:r w:rsidRPr="0049220A">
              <w:rPr>
                <w:rFonts w:ascii="Times New Roman" w:hAnsi="Times New Roman" w:cs="Times New Roman"/>
                <w:sz w:val="24"/>
                <w:szCs w:val="24"/>
              </w:rPr>
              <w:instrText>ADDIN CSL_CITATION {"citationItems":[{"id":"ITEM-1","itemData":{"author":[{"dropping-particle":"","family":"Adebayo-Tayo","given":"Bukola Christianah","non-dropping-particle":"","parse-names":false,"suffix":""},{"dropping-particle":"","family":"Briggs-Kamara","given":"Adela Irene","non-dropping-particle":"","parse-names":false,"suffix":""},{"dropping-particle":"","family":"Salaam","given":"Adebayo Moshood","non-dropping-particle":"","parse-names":false,"suffix":""}],"container-title":"ACTA MICROBIOLOGICA BULGARICA","id":"ITEM-1","issue":"1","issued":{"date-parts":[["2021"]]},"title":"Phytochemical Composition, Antioxidant, Antimicrobial Potential and GC-MS Analysis of Crude and Partitioned Fractions of Nigella sativa Seed Extract","type":"article-journal","volume":"37"},"uris":["http://www.mendeley.com/documents/?uuid=ea779a54-91ee-3e78-995f-f9689d610d4a"]}],"mendeley":{"formattedCitation":"(Adebayo-Tayo et al., 2021)","plainTextFormattedCitation":"(Adebayo-Tayo et al., 2021)","previouslyFormattedCitation":"(Adebayo-Tayo et al., 2021)"},"properties":{"noteIndex":0},"schema":"https://github.com/citation-style-language/schema/raw/master/csl-citation.json"}</w:instrText>
            </w:r>
            <w:r w:rsidRPr="0049220A">
              <w:rPr>
                <w:rFonts w:ascii="Times New Roman" w:hAnsi="Times New Roman" w:cs="Times New Roman"/>
                <w:sz w:val="24"/>
                <w:szCs w:val="24"/>
              </w:rPr>
              <w:fldChar w:fldCharType="separate"/>
            </w:r>
            <w:r w:rsidRPr="0049220A">
              <w:rPr>
                <w:rFonts w:ascii="Times New Roman" w:hAnsi="Times New Roman" w:cs="Times New Roman"/>
                <w:noProof/>
                <w:sz w:val="24"/>
                <w:szCs w:val="24"/>
              </w:rPr>
              <w:t>(Adebayo-Tayo et al., 2021)</w:t>
            </w:r>
            <w:r w:rsidRPr="0049220A">
              <w:rPr>
                <w:rFonts w:ascii="Times New Roman" w:hAnsi="Times New Roman" w:cs="Times New Roman"/>
                <w:sz w:val="24"/>
                <w:szCs w:val="24"/>
              </w:rPr>
              <w:fldChar w:fldCharType="end"/>
            </w:r>
          </w:p>
        </w:tc>
      </w:tr>
      <w:tr w:rsidR="0049220A" w:rsidRPr="0049220A" w14:paraId="24F3B651" w14:textId="77777777" w:rsidTr="000D0B90">
        <w:tc>
          <w:tcPr>
            <w:tcW w:w="2922" w:type="dxa"/>
          </w:tcPr>
          <w:p w14:paraId="46910F3D"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Tetradecanoic acid, 12-methyl-, methyl ester</w:t>
            </w:r>
          </w:p>
        </w:tc>
        <w:tc>
          <w:tcPr>
            <w:tcW w:w="1920" w:type="dxa"/>
          </w:tcPr>
          <w:p w14:paraId="46027EF0"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Branched-chain fatty ester</w:t>
            </w:r>
          </w:p>
        </w:tc>
        <w:tc>
          <w:tcPr>
            <w:tcW w:w="2713" w:type="dxa"/>
          </w:tcPr>
          <w:p w14:paraId="68CC869D"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Antimicrobial, cytotoxic</w:t>
            </w:r>
          </w:p>
        </w:tc>
        <w:tc>
          <w:tcPr>
            <w:tcW w:w="1620" w:type="dxa"/>
          </w:tcPr>
          <w:p w14:paraId="0955358A"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fldChar w:fldCharType="begin" w:fldLock="1"/>
            </w:r>
            <w:r w:rsidRPr="0049220A">
              <w:rPr>
                <w:rFonts w:ascii="Times New Roman" w:hAnsi="Times New Roman" w:cs="Times New Roman"/>
                <w:sz w:val="24"/>
                <w:szCs w:val="24"/>
              </w:rPr>
              <w:instrText>ADDIN CSL_CITATION {"citationItems":[{"id":"ITEM-1","itemData":{"DOI":"10.1007/S13205-023-03888-2/METRICS","ISSN":"21905738","abstract":"Bioactive compounds in plants are essential for the formation of novel chemotherapeutic drugs, which have been used in Ayurveda to treat a variety of illnesses. Indian medicinal herbs have been used for thousands of years to treat a variety of illnesses, such as fever, cancer, snake bites, rheumatism, skin problems, and neurodegenerative diseases. GC–MS was used to locate and categorize bioactive components in Olea dioica leaves. The results showed that presence of octanoic acid, methyl ester, decanoic acid, methyl ester, desulphosinigrin, l-gala-l-ido-octose, methyl tetradecanoate, Tetradecanoic acid, 6-benzoxazolesulfonamide, N-(2-hydroxyethyl)-2-methyl-, 10-chloro-5-methoxy-5H-dibenzo[a,d][7]annulene, pentadecanoic acid, oleic acid, n-hexadecanoic acid, hexanedioic acid, dioctyl ester, and squalene. The methanol extract of Olea dioica was effective against a wide spectrum of pathogenic bacteria at four different concentrations, with the highest activity against Escherichia coli, Klebsiella pneumoniae, Staphylococcus aureus, Xanthomonas campestris, and Salmonella typhimurium. It also showed moderate activity against Agrobacterium tumefaciens, Pseudomonas aeruginosa, Streptomyces pneumonia, and Pseudomonas syringae. The pharmacological properties of O. dioica, as well as their variety and comprehensive phytochemistry, could be exploited as a potent antimicrobial agent for future therapeutics.","author":[{"dropping-particle":"","family":"Krishnappa","given":"Srinivasa","non-dropping-particle":"","parse-names":false,"suffix":""},{"dropping-particle":"","family":"Karthik","given":"Yalpi","non-dropping-particle":"","parse-names":false,"suffix":""},{"dropping-particle":"","family":"Pratap","given":"G. K.","non-dropping-particle":"","parse-names":false,"suffix":""},{"dropping-particle":"","family":"Shantaram","given":"Manjula","non-dropping-particle":"","parse-names":false,"suffix":""},{"dropping-particle":"","family":"Umarajashekhar","given":"Alavala","non-dropping-particle":"","parse-names":false,"suffix":""},{"dropping-particle":"","family":"Soumya","given":"J.","non-dropping-particle":"","parse-names":false,"suffix":""},{"dropping-particle":"","family":"Bhatt","given":"Bhagyashree","non-dropping-particle":"","parse-names":false,"suffix":""},{"dropping-particle":"","family":"Sayed","given":"Samy M.","non-dropping-particle":"","parse-names":false,"suffix":""},{"dropping-particle":"","family":"Alhelaify","given":"Seham Sater","non-dropping-particle":"","parse-names":false,"suffix":""},{"dropping-particle":"","family":"Aharthy","given":"Ohud Muslat","non-dropping-particle":"","parse-names":false,"suffix":""},{"dropping-particle":"","family":"Mushtaq","given":"Muntazir","non-dropping-particle":"","parse-names":false,"suffix":""}],"container-title":"Biotech","id":"ITEM-1","issue":"3","issued":{"date-parts":[["2024","3","1"]]},"page":"1-14","publisher":"Springer Science and Business Media Deutschland GmbH","title":"Exploration of bioactive compounds from Olea dioica in Western Ghats of Karnataka using GC–MS","type":"article-journal","volume":"14"},"uris":["http://www.mendeley.com/documents/?uuid=586d1da9-0f67-3dbc-9aed-2397c7268dd4"]}],"mendeley":{"formattedCitation":"(Krishnappa et al., 2024)","plainTextFormattedCitation":"(Krishnappa et al., 2024)","previouslyFormattedCitation":"(Krishnappa et al., 2024)"},"properties":{"noteIndex":0},"schema":"https://github.com/citation-style-language/schema/raw/master/csl-citation.json"}</w:instrText>
            </w:r>
            <w:r w:rsidRPr="0049220A">
              <w:rPr>
                <w:rFonts w:ascii="Times New Roman" w:hAnsi="Times New Roman" w:cs="Times New Roman"/>
                <w:sz w:val="24"/>
                <w:szCs w:val="24"/>
              </w:rPr>
              <w:fldChar w:fldCharType="separate"/>
            </w:r>
            <w:r w:rsidRPr="0049220A">
              <w:rPr>
                <w:rFonts w:ascii="Times New Roman" w:hAnsi="Times New Roman" w:cs="Times New Roman"/>
                <w:noProof/>
                <w:sz w:val="24"/>
                <w:szCs w:val="24"/>
              </w:rPr>
              <w:t>(Krishnappa et al., 2024)</w:t>
            </w:r>
            <w:r w:rsidRPr="0049220A">
              <w:rPr>
                <w:rFonts w:ascii="Times New Roman" w:hAnsi="Times New Roman" w:cs="Times New Roman"/>
                <w:sz w:val="24"/>
                <w:szCs w:val="24"/>
              </w:rPr>
              <w:fldChar w:fldCharType="end"/>
            </w:r>
          </w:p>
        </w:tc>
      </w:tr>
      <w:tr w:rsidR="0049220A" w:rsidRPr="0049220A" w14:paraId="016ACBD3" w14:textId="77777777" w:rsidTr="000D0B90">
        <w:trPr>
          <w:trHeight w:val="665"/>
        </w:trPr>
        <w:tc>
          <w:tcPr>
            <w:tcW w:w="2922" w:type="dxa"/>
          </w:tcPr>
          <w:p w14:paraId="34A60A55"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9-Hexadecenoic acid</w:t>
            </w:r>
          </w:p>
        </w:tc>
        <w:tc>
          <w:tcPr>
            <w:tcW w:w="1920" w:type="dxa"/>
          </w:tcPr>
          <w:p w14:paraId="60E72E9A"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Monounsaturated fatty acid</w:t>
            </w:r>
          </w:p>
        </w:tc>
        <w:tc>
          <w:tcPr>
            <w:tcW w:w="2713" w:type="dxa"/>
          </w:tcPr>
          <w:p w14:paraId="1FF3ADFA"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Antibacterial, lipid metabolism regulator</w:t>
            </w:r>
          </w:p>
        </w:tc>
        <w:tc>
          <w:tcPr>
            <w:tcW w:w="1620" w:type="dxa"/>
          </w:tcPr>
          <w:p w14:paraId="6266161A"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fldChar w:fldCharType="begin" w:fldLock="1"/>
            </w:r>
            <w:r w:rsidRPr="0049220A">
              <w:rPr>
                <w:rFonts w:ascii="Times New Roman" w:hAnsi="Times New Roman" w:cs="Times New Roman"/>
                <w:sz w:val="24"/>
                <w:szCs w:val="24"/>
              </w:rPr>
              <w:instrText>ADDIN CSL_CITATION {"citationItems":[{"id":"ITEM-1","itemData":{"DOI":"10.3390/IJMS19041114,","ISSN":"14220067","PMID":"29642500","abstract":"Antimicrobial lipids such as fatty acids and monoglycerides are promising antibacterial agents that destabilize bacterial cell membranes, causing a wide range of direct and indirect inhibitory effects. The goal of this review is to introduce the latest experimental approaches for characterizing how antimicrobial lipids destabilize phospholipidmembraneswithin the broader scope of introducing current knowledge about the biological activities of antimicrobial lipids, testing strategies, and applications for treating bacterial infections. To this end, a general background on antimicrobial lipids, including structural classification, is provided along with a detailed description of their targeting spectrum and currently understood antibacterial mechanisms. Building on this knowledge, different experimental approaches to characterize antimicrobial lipids are presented, including cell-based biological and model membrane-based biophysical measurement techniques. Particular emphasis is placed on drawing out how biological and biophysical approaches complement one another and can yield mechanistic insights into how the physicochemical properties of antimicrobial lipids influence molecular self-assembly and concentration-dependent interactions with model phospholipid and bacterial cell membranes. Examples of possible therapeutic applications are briefly introduced to highlight the potential significance of antimicrobial lipids for human health and medicine, and to motivate the importance of employing orthogonal measurement strategies to characterize the activity profile of antimicrobial lipids.","author":[{"dropping-particle":"","family":"Yoon","given":"Bo Kyeong","non-dropping-particle":"","parse-names":false,"suffix":""},{"dropping-particle":"","family":"Jackman","given":"Joshua A.","non-dropping-particle":"","parse-names":false,"suffix":""},{"dropping-particle":"","family":"Valle-González","given":"Elba R.","non-dropping-particle":"","parse-names":false,"suffix":""},{"dropping-particle":"","family":"Cho","given":"Nam Joon","non-dropping-particle":"","parse-names":false,"suffix":""}],"container-title":"International Journal of Molecular Sciences","id":"ITEM-1","issue":"4","issued":{"date-parts":[["2018","4","8"]]},"publisher":"MDPI AG","title":"Antibacterial free fatty acids and monoglycerides: Biological activities, experimental testing, and therapeutic applications","type":"article-journal","volume":"19"},"uris":["http://www.mendeley.com/documents/?uuid=6e50da23-85df-38e2-a783-4f98cb127187"]}],"mendeley":{"formattedCitation":"(Yoon et al., 2018)","plainTextFormattedCitation":"(Yoon et al., 2018)","previouslyFormattedCitation":"(Yoon et al., 2018)"},"properties":{"noteIndex":0},"schema":"https://github.com/citation-style-language/schema/raw/master/csl-citation.json"}</w:instrText>
            </w:r>
            <w:r w:rsidRPr="0049220A">
              <w:rPr>
                <w:rFonts w:ascii="Times New Roman" w:hAnsi="Times New Roman" w:cs="Times New Roman"/>
                <w:sz w:val="24"/>
                <w:szCs w:val="24"/>
              </w:rPr>
              <w:fldChar w:fldCharType="separate"/>
            </w:r>
            <w:r w:rsidRPr="0049220A">
              <w:rPr>
                <w:rFonts w:ascii="Times New Roman" w:hAnsi="Times New Roman" w:cs="Times New Roman"/>
                <w:noProof/>
                <w:sz w:val="24"/>
                <w:szCs w:val="24"/>
              </w:rPr>
              <w:t>(Yoon et al., 2018)</w:t>
            </w:r>
            <w:r w:rsidRPr="0049220A">
              <w:rPr>
                <w:rFonts w:ascii="Times New Roman" w:hAnsi="Times New Roman" w:cs="Times New Roman"/>
                <w:sz w:val="24"/>
                <w:szCs w:val="24"/>
              </w:rPr>
              <w:fldChar w:fldCharType="end"/>
            </w:r>
          </w:p>
        </w:tc>
      </w:tr>
      <w:tr w:rsidR="0049220A" w:rsidRPr="0049220A" w14:paraId="62F07E5C" w14:textId="77777777" w:rsidTr="000D0B90">
        <w:tc>
          <w:tcPr>
            <w:tcW w:w="2922" w:type="dxa"/>
          </w:tcPr>
          <w:p w14:paraId="791A1219"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Panaxjapyne A</w:t>
            </w:r>
          </w:p>
        </w:tc>
        <w:tc>
          <w:tcPr>
            <w:tcW w:w="1920" w:type="dxa"/>
          </w:tcPr>
          <w:p w14:paraId="78354EFA"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Polyacetylene derivative</w:t>
            </w:r>
          </w:p>
        </w:tc>
        <w:tc>
          <w:tcPr>
            <w:tcW w:w="2713" w:type="dxa"/>
          </w:tcPr>
          <w:p w14:paraId="3023C8FA"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Anticancer, antifungal</w:t>
            </w:r>
          </w:p>
        </w:tc>
        <w:tc>
          <w:tcPr>
            <w:tcW w:w="1620" w:type="dxa"/>
          </w:tcPr>
          <w:p w14:paraId="67E1F7E8"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fldChar w:fldCharType="begin" w:fldLock="1"/>
            </w:r>
            <w:r w:rsidRPr="0049220A">
              <w:rPr>
                <w:rFonts w:ascii="Times New Roman" w:hAnsi="Times New Roman" w:cs="Times New Roman"/>
                <w:sz w:val="24"/>
                <w:szCs w:val="24"/>
              </w:rPr>
              <w:instrText>ADDIN CSL_CITATION {"citationItems":[{"id":"ITEM-1","itemData":{"DOI":"10.3390/MOLECULES27207027/S1","ISSN":"14203049","PMID":"36296616","abstract":"Although C17 polyacetylenes from Panax ginseng exhibit cytotoxic properties against various tumor cells, there have been few experiments on epithelial ovarian carcinoma cells. This study aimed to investigate the cytotoxic effects of C17 polyacetylenes from P. ginseng against ovarian cancer cell lines. Four unreported (1–4) and fifteen known (5–19) C17 polyacetylenes were obtained from the roots of P. ginseng using repeated chromatography (open column, MPLC, and preparative HPLC). The chemical structures of all the compounds were determined by analyzing their spectroscopic data (NMR, IR, and optical rotation) and HR-MS. The structures of new polyacetylenes were elucidated as (3S,8S,9R,10R)-(-)-heptadeca-9,10-epoxy-4,6-diyne-3,8-diyl diacetate (1), (3S,8S,9R,10R)-(−)-heptadeca-1-en-9,10-epoxy-4,6-diyne-3,8-diyl diacetate (2), (−)-haptadeca-9,10-epoxy-8-methoxy-4,6-diyne-3,11-diol (3), and (3R,9R,10R)-(+)-3-acetoxy-9,10-dihydroxyheptadeca-1-en-4,6-diyne (4), named ginsenoynes O, P, and Q, and 3-acetyl panaxytriol, respectively. Subsequently, in vitro experiments on A2780 and SKOV3 human epithelial ovarian carcinoma cells were performed to assess the cytotoxic properties of the isolates. Among the isolates, panaquinquecol 4 (15) exhibited the most remarkable cytotoxic effects on both human ovarian cancer cells A2780 (IC50 value of 7.60 μM) and SKOV3 (IC50 value of 27.53 μM). Therefore, C17 polyacetylenes derived from P. ginseng may warrant further investigation for their therapeutic potential in epithelial ovarian cancer.","author":[{"dropping-particle":"","family":"Kim","given":"Ranhee","non-dropping-particle":"","parse-names":false,"suffix":""},{"dropping-particle":"","family":"Son","given":"So Ri","non-dropping-particle":"","parse-names":false,"suffix":""},{"dropping-particle":"","family":"Lee","given":"Na Kyung","non-dropping-particle":"","parse-names":false,"suffix":""},{"dropping-particle":"","family":"Kim","given":"Ji Young","non-dropping-particle":"","parse-names":false,"suffix":""},{"dropping-particle":"","family":"An","given":"Gami","non-dropping-particle":"","parse-names":false,"suffix":""},{"dropping-particle":"","family":"Choi","given":"Jung Hye","non-dropping-particle":"","parse-names":false,"suffix":""},{"dropping-particle":"","family":"Jang","given":"Dae Sik","non-dropping-particle":"","parse-names":false,"suffix":""}],"container-title":"Molecules","id":"ITEM-1","issue":"20","issued":{"date-parts":[["2022","10","1"]]},"page":"7027","publisher":"MDPI","title":"Cytotoxic Properties of C17 Polyacetylenes from the Fresh Roots of Panax ginseng on Human Epithelial Ovarian Cancer Cells","type":"article-journal","volume":"27"},"uris":["http://www.mendeley.com/documents/?uuid=338e59c8-7cee-36fa-884d-70271effaa0f"]}],"mendeley":{"formattedCitation":"(Kim et al., 2022)","plainTextFormattedCitation":"(Kim et al., 2022)","previouslyFormattedCitation":"(Kim et al., 2022)"},"properties":{"noteIndex":0},"schema":"https://github.com/citation-style-language/schema/raw/master/csl-citation.json"}</w:instrText>
            </w:r>
            <w:r w:rsidRPr="0049220A">
              <w:rPr>
                <w:rFonts w:ascii="Times New Roman" w:hAnsi="Times New Roman" w:cs="Times New Roman"/>
                <w:sz w:val="24"/>
                <w:szCs w:val="24"/>
              </w:rPr>
              <w:fldChar w:fldCharType="separate"/>
            </w:r>
            <w:r w:rsidRPr="0049220A">
              <w:rPr>
                <w:rFonts w:ascii="Times New Roman" w:hAnsi="Times New Roman" w:cs="Times New Roman"/>
                <w:noProof/>
                <w:sz w:val="24"/>
                <w:szCs w:val="24"/>
              </w:rPr>
              <w:t>(Kim et al., 2022)</w:t>
            </w:r>
            <w:r w:rsidRPr="0049220A">
              <w:rPr>
                <w:rFonts w:ascii="Times New Roman" w:hAnsi="Times New Roman" w:cs="Times New Roman"/>
                <w:sz w:val="24"/>
                <w:szCs w:val="24"/>
              </w:rPr>
              <w:fldChar w:fldCharType="end"/>
            </w:r>
          </w:p>
        </w:tc>
      </w:tr>
      <w:tr w:rsidR="0049220A" w:rsidRPr="0049220A" w14:paraId="77EB1F34" w14:textId="77777777" w:rsidTr="000D0B90">
        <w:tc>
          <w:tcPr>
            <w:tcW w:w="2922" w:type="dxa"/>
          </w:tcPr>
          <w:p w14:paraId="3F2C6BA9"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2,5-Octadecadiynoic acid, methyl ester</w:t>
            </w:r>
          </w:p>
        </w:tc>
        <w:tc>
          <w:tcPr>
            <w:tcW w:w="1920" w:type="dxa"/>
          </w:tcPr>
          <w:p w14:paraId="262AFCE0"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Polyacetylene fatty ester</w:t>
            </w:r>
          </w:p>
        </w:tc>
        <w:tc>
          <w:tcPr>
            <w:tcW w:w="2713" w:type="dxa"/>
          </w:tcPr>
          <w:p w14:paraId="5A33E5FB"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Antimicrobial, cytotoxic</w:t>
            </w:r>
          </w:p>
        </w:tc>
        <w:tc>
          <w:tcPr>
            <w:tcW w:w="1620" w:type="dxa"/>
          </w:tcPr>
          <w:p w14:paraId="140AA866"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fldChar w:fldCharType="begin" w:fldLock="1"/>
            </w:r>
            <w:r w:rsidRPr="0049220A">
              <w:rPr>
                <w:rFonts w:ascii="Times New Roman" w:hAnsi="Times New Roman" w:cs="Times New Roman"/>
                <w:sz w:val="24"/>
                <w:szCs w:val="24"/>
              </w:rPr>
              <w:instrText>ADDIN CSL_CITATION {"citationItems":[{"id":"ITEM-1","itemData":{"DOI":"10.1039/C2NP00090C","ISSN":"1460-4752","PMID":"22193773","abstract":"Covering: 2010. Previous review: Nat. Prod. Rep., 2011, 28, 196\n      This review covers the literature published in 2010 for marine natural products, with 895 citations (590 for the period January to December 2010) referring to compounds isolated from marine microorganisms and phytoplankton, green, brown and red algae, sponges, cnidarians, bryozoans, molluscs, tunicates, echinoderms, mangroves and other intertidal plants and microorganisms. The emphasis is on new compounds (1003 for 2010), together with the relevant biological activities, source organisms and country of origin. Biosynthetic studies, first syntheses, and syntheses that lead to the revision of structures or stereochemistries, have been included.","author":[{"dropping-particle":"","family":"Blunt","given":"John W.","non-dropping-particle":"","parse-names":false,"suffix":""},{"dropping-particle":"","family":"Copp","given":"Brent R.","non-dropping-particle":"","parse-names":false,"suffix":""},{"dropping-particle":"","family":"Keyzers","given":"Robert A.","non-dropping-particle":"","parse-names":false,"suffix":""},{"dropping-particle":"","family":"Munro","given":"Murray H.G.","non-dropping-particle":"","parse-names":false,"suffix":""},{"dropping-particle":"","family":"Prinsep","given":"Michèle R.","non-dropping-particle":"","parse-names":false,"suffix":""}],"container-title":"Natural Product Reports","id":"ITEM-1","issue":"2","issued":{"date-parts":[["2012","1","17"]]},"page":"144-222","publisher":"The Royal Society of Chemistry","title":"Marine natural products","type":"article-journal","volume":"29"},"uris":["http://www.mendeley.com/documents/?uuid=21681af5-1832-3442-b69e-51002f2ec36c"]}],"mendeley":{"formattedCitation":"(Blunt et al., 2012)","plainTextFormattedCitation":"(Blunt et al., 2012)","previouslyFormattedCitation":"(Blunt et al., 2012)"},"properties":{"noteIndex":0},"schema":"https://github.com/citation-style-language/schema/raw/master/csl-citation.json"}</w:instrText>
            </w:r>
            <w:r w:rsidRPr="0049220A">
              <w:rPr>
                <w:rFonts w:ascii="Times New Roman" w:hAnsi="Times New Roman" w:cs="Times New Roman"/>
                <w:sz w:val="24"/>
                <w:szCs w:val="24"/>
              </w:rPr>
              <w:fldChar w:fldCharType="separate"/>
            </w:r>
            <w:r w:rsidRPr="0049220A">
              <w:rPr>
                <w:rFonts w:ascii="Times New Roman" w:hAnsi="Times New Roman" w:cs="Times New Roman"/>
                <w:noProof/>
                <w:sz w:val="24"/>
                <w:szCs w:val="24"/>
              </w:rPr>
              <w:t>(Blunt et al., 2012)</w:t>
            </w:r>
            <w:r w:rsidRPr="0049220A">
              <w:rPr>
                <w:rFonts w:ascii="Times New Roman" w:hAnsi="Times New Roman" w:cs="Times New Roman"/>
                <w:sz w:val="24"/>
                <w:szCs w:val="24"/>
              </w:rPr>
              <w:fldChar w:fldCharType="end"/>
            </w:r>
          </w:p>
        </w:tc>
      </w:tr>
      <w:tr w:rsidR="0049220A" w:rsidRPr="0049220A" w14:paraId="4A80B215" w14:textId="77777777" w:rsidTr="000D0B90">
        <w:trPr>
          <w:trHeight w:val="683"/>
        </w:trPr>
        <w:tc>
          <w:tcPr>
            <w:tcW w:w="2922" w:type="dxa"/>
          </w:tcPr>
          <w:p w14:paraId="1218F90B"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Corymbolone</w:t>
            </w:r>
          </w:p>
        </w:tc>
        <w:tc>
          <w:tcPr>
            <w:tcW w:w="1920" w:type="dxa"/>
          </w:tcPr>
          <w:p w14:paraId="6316C4E1"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Sesquiterpene</w:t>
            </w:r>
          </w:p>
        </w:tc>
        <w:tc>
          <w:tcPr>
            <w:tcW w:w="2713" w:type="dxa"/>
          </w:tcPr>
          <w:p w14:paraId="7B8BDA2E"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Antiplasmodial, cytotoxic</w:t>
            </w:r>
          </w:p>
        </w:tc>
        <w:tc>
          <w:tcPr>
            <w:tcW w:w="1620" w:type="dxa"/>
          </w:tcPr>
          <w:p w14:paraId="3F3E0CE0"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fldChar w:fldCharType="begin" w:fldLock="1"/>
            </w:r>
            <w:r w:rsidRPr="0049220A">
              <w:rPr>
                <w:rFonts w:ascii="Times New Roman" w:hAnsi="Times New Roman" w:cs="Times New Roman"/>
                <w:sz w:val="24"/>
                <w:szCs w:val="24"/>
              </w:rPr>
              <w:instrText>ADDIN CSL_CITATION {"citationItems":[{"id":"ITEM-1","itemData":{"DOI":"10.3390/PATHOGENS9110889","ISSN":"20760817","PMID":"33120980","abstract":"Cyperus articulatus L. is popularly known as priprioca. Its rhizomes are used as a medicine in the treatment of malaria in traditional medicine. Since priprioca oil is extracted for commercial purpose, we evaluated if the components from the priprioca residue can be a source of antiplasmodial active molecules. This study aimed to determine the in vitro antiplasmodial and cytotoxicity activities of the ethanolic extract of C. articulatus as an in vitro antiplasmodial agent. From the solid residue of the plant rhizomes, 40 g samples were removed and subjected to hot extraction using a Soxhlet extractor. The in vitro antiplasmodial activity was determined using the W2 and 3D7 strains of P. falciparum. The phytochemical study identified the following main compounds: Corymbolone (14.25%), cyclocolorenone (9.75%), and cadalene (8.36%). The extract exhibited moderate IC50 (inhibitory concentration) against the two strains of P. falciparum: 1.21 ± 0.01 against the W2 strain and 1.10 ± 0.06 μg/mL against the 3D7 strain. Our results show the therapeutic potential of priprioca residue as a low-cost antiplasmodial agent.","author":[{"dropping-particle":"","family":"Assis","given":"Francisco Flávio Vieira","non-dropping-particle":"De","parse-names":false,"suffix":""},{"dropping-particle":"","family":"Silva","given":"Nazaré Carneiro","non-dropping-particle":"Da","parse-names":false,"suffix":""},{"dropping-particle":"","family":"Moraes","given":"Waldiney Pires","non-dropping-particle":"","parse-names":false,"suffix":""},{"dropping-particle":"","family":"Barata","given":"Lauro Euclides Soares","non-dropping-particle":"","parse-names":false,"suffix":""},{"dropping-particle":"","family":"Minervino","given":"Antonio Humberto Hamad","non-dropping-particle":"","parse-names":false,"suffix":""}],"container-title":"Pathogens","id":"ITEM-1","issue":"11","issued":{"date-parts":[["2020","11","1"]]},"page":"889","publisher":"MDPI AG","title":"Chemical Composition and In Vitro Antiplasmodial Activity of the Ethanolic Extract of Cyperus articulatus var. nodosus Residue","type":"article-journal","volume":"9"},"uris":["http://www.mendeley.com/documents/?uuid=c8064a74-4e40-38b6-9a56-b9396237d572"]}],"mendeley":{"formattedCitation":"(De Assis et al., 2020)","plainTextFormattedCitation":"(De Assis et al., 2020)","previouslyFormattedCitation":"(De Assis et al., 2020)"},"properties":{"noteIndex":0},"schema":"https://github.com/citation-style-language/schema/raw/master/csl-citation.json"}</w:instrText>
            </w:r>
            <w:r w:rsidRPr="0049220A">
              <w:rPr>
                <w:rFonts w:ascii="Times New Roman" w:hAnsi="Times New Roman" w:cs="Times New Roman"/>
                <w:sz w:val="24"/>
                <w:szCs w:val="24"/>
              </w:rPr>
              <w:fldChar w:fldCharType="separate"/>
            </w:r>
            <w:r w:rsidRPr="0049220A">
              <w:rPr>
                <w:rFonts w:ascii="Times New Roman" w:hAnsi="Times New Roman" w:cs="Times New Roman"/>
                <w:noProof/>
                <w:sz w:val="24"/>
                <w:szCs w:val="24"/>
              </w:rPr>
              <w:t>(De Assis et al., 2020)</w:t>
            </w:r>
            <w:r w:rsidRPr="0049220A">
              <w:rPr>
                <w:rFonts w:ascii="Times New Roman" w:hAnsi="Times New Roman" w:cs="Times New Roman"/>
                <w:sz w:val="24"/>
                <w:szCs w:val="24"/>
              </w:rPr>
              <w:fldChar w:fldCharType="end"/>
            </w:r>
          </w:p>
        </w:tc>
      </w:tr>
      <w:tr w:rsidR="0049220A" w:rsidRPr="0049220A" w14:paraId="069D134F" w14:textId="77777777" w:rsidTr="000D0B90">
        <w:trPr>
          <w:trHeight w:val="980"/>
        </w:trPr>
        <w:tc>
          <w:tcPr>
            <w:tcW w:w="2922" w:type="dxa"/>
          </w:tcPr>
          <w:p w14:paraId="463CBF1F"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1-Heptatriacotanol</w:t>
            </w:r>
          </w:p>
        </w:tc>
        <w:tc>
          <w:tcPr>
            <w:tcW w:w="1920" w:type="dxa"/>
          </w:tcPr>
          <w:p w14:paraId="237CECE4"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Long-chain alcohol (C37)</w:t>
            </w:r>
          </w:p>
        </w:tc>
        <w:tc>
          <w:tcPr>
            <w:tcW w:w="2713" w:type="dxa"/>
          </w:tcPr>
          <w:p w14:paraId="0A98BE7F"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Anticancer, anti-inflammatory, Antioxidant</w:t>
            </w:r>
          </w:p>
        </w:tc>
        <w:tc>
          <w:tcPr>
            <w:tcW w:w="1620" w:type="dxa"/>
          </w:tcPr>
          <w:p w14:paraId="20D0D58C"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fldChar w:fldCharType="begin" w:fldLock="1"/>
            </w:r>
            <w:r w:rsidRPr="0049220A">
              <w:rPr>
                <w:rFonts w:ascii="Times New Roman" w:hAnsi="Times New Roman" w:cs="Times New Roman"/>
                <w:sz w:val="24"/>
                <w:szCs w:val="24"/>
              </w:rPr>
              <w:instrText>ADDIN CSL_CITATION {"citationItems":[{"id":"ITEM-1","itemData":{"DOI":"10.3390/MOLECULES28093939","ISSN":"1420-3049","PMID":"37175349","abstract":"Tephorosia purpurea subsp. apollinea was extracted with methanol and n-hexane to obtain sub-fractions. The chemical compounds identified with GC-MS and HPLC in T. purpurea subsp. apollinea extracts showed antioxidant and anticancer properties. The antioxidant and anticancer activities were investigated using DDPH and ABTS assays, and MTT assay, respectively. Stigmasta-5,24(28)-dien-3-ol, (3 β,24Z)-, 9,12,15-octadecatrienoic acid methyl ester, phytol, chlorogenic acid, and quercetin were the major chemical compounds detected in T. purpurea subsp. apollinea. These compounds possessed antioxidant and anticancer properties. The methanol extract showed antioxidant properties with DDPH and ABTS radical scavenging of 84% and 94%, respectively, relative to ascorbic acid and trolox. The anticancer effects of T. purpurea subsp. apollinea against the cancer cell lines MCF7 (IC50 = 102.8 ± 0.6 μg/mL), MG63 (IC50 = 118.3 ± 2.5 μg/mL), T47D (IC50 = 114.7 ± 1.0 μg/mL), HeLa (IC50 = 196.3 ± 2.3 μg/mL), and PC3 (IC50 = 117.7 ± 1.1 μg/mL) were greater than its anticancer effects against U379 (IC50 = 248.4 ± 7.5 μg/mL). However, it had no adverse effects on the normal cells (WI38) (IC50 = 242.9 ± 1.8 μg/mL). Therefore, the major active constituents presented in T. purpurea subsp. apollinea can be isolated and studied for their potential antioxidant and anticancer effects against breast, cervical, and prostate cancers and osteosarcoma.","author":[{"dropping-particle":"","family":"Youssef","given":"Ahmed M.M.","non-dropping-particle":"","parse-names":false,"suffix":""},{"dropping-particle":"","family":"Maaty","given":"Doaa A.M.","non-dropping-particle":"","parse-names":false,"suffix":""},{"dropping-particle":"","family":"Al-Saraireh","given":"Yousef M.","non-dropping-particle":"","parse-names":false,"suffix":""}],"container-title":"Molecules","id":"ITEM-1","issue":"9","issued":{"date-parts":[["2023","5","7"]]},"page":"3939","publisher":"Multidisciplinary Digital Publishing Institute","title":"Phytochemical Analysis and Profiling of Antioxidants and Anticancer Compounds from Tephrosia purpurea (L.) subsp. apollinea Family Fabaceae","type":"article-journal","volume":"28"},"uris":["http://www.mendeley.com/documents/?uuid=a8d923f8-5671-346d-9a43-6d33de945aeb"]}],"mendeley":{"formattedCitation":"(Youssef et al., 2023)","plainTextFormattedCitation":"(Youssef et al., 2023)","previouslyFormattedCitation":"(Youssef et al., 2023)"},"properties":{"noteIndex":0},"schema":"https://github.com/citation-style-language/schema/raw/master/csl-citation.json"}</w:instrText>
            </w:r>
            <w:r w:rsidRPr="0049220A">
              <w:rPr>
                <w:rFonts w:ascii="Times New Roman" w:hAnsi="Times New Roman" w:cs="Times New Roman"/>
                <w:sz w:val="24"/>
                <w:szCs w:val="24"/>
              </w:rPr>
              <w:fldChar w:fldCharType="separate"/>
            </w:r>
            <w:r w:rsidRPr="0049220A">
              <w:rPr>
                <w:rFonts w:ascii="Times New Roman" w:hAnsi="Times New Roman" w:cs="Times New Roman"/>
                <w:noProof/>
                <w:sz w:val="24"/>
                <w:szCs w:val="24"/>
              </w:rPr>
              <w:t>(Youssef et al., 2023)</w:t>
            </w:r>
            <w:r w:rsidRPr="0049220A">
              <w:rPr>
                <w:rFonts w:ascii="Times New Roman" w:hAnsi="Times New Roman" w:cs="Times New Roman"/>
                <w:sz w:val="24"/>
                <w:szCs w:val="24"/>
              </w:rPr>
              <w:fldChar w:fldCharType="end"/>
            </w:r>
          </w:p>
        </w:tc>
      </w:tr>
      <w:tr w:rsidR="0049220A" w:rsidRPr="0049220A" w14:paraId="13A90989" w14:textId="77777777" w:rsidTr="000D0B90">
        <w:trPr>
          <w:trHeight w:val="629"/>
        </w:trPr>
        <w:tc>
          <w:tcPr>
            <w:tcW w:w="2922" w:type="dxa"/>
          </w:tcPr>
          <w:p w14:paraId="52FA810F"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1,25-Dihydroxyvitamin D3, TMS derivative</w:t>
            </w:r>
          </w:p>
        </w:tc>
        <w:tc>
          <w:tcPr>
            <w:tcW w:w="1920" w:type="dxa"/>
          </w:tcPr>
          <w:p w14:paraId="6F36019A"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Steroidal vitamin D metabolite</w:t>
            </w:r>
          </w:p>
        </w:tc>
        <w:tc>
          <w:tcPr>
            <w:tcW w:w="2713" w:type="dxa"/>
          </w:tcPr>
          <w:p w14:paraId="05E85308"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Regulates calcium metabolism, anticancer</w:t>
            </w:r>
          </w:p>
        </w:tc>
        <w:tc>
          <w:tcPr>
            <w:tcW w:w="1620" w:type="dxa"/>
          </w:tcPr>
          <w:p w14:paraId="3CC6048A"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fldChar w:fldCharType="begin" w:fldLock="1"/>
            </w:r>
            <w:r w:rsidRPr="0049220A">
              <w:rPr>
                <w:rFonts w:ascii="Times New Roman" w:hAnsi="Times New Roman" w:cs="Times New Roman"/>
                <w:sz w:val="24"/>
                <w:szCs w:val="24"/>
              </w:rPr>
              <w:instrText>ADDIN CSL_CITATION {"citationItems":[{"id":"ITEM-1","itemData":{"DOI":"10.1056/NEJMRA070553","ISSN":"1533-4406","PMID":"17634462","author":[{"dropping-particle":"","family":"Holick","given":"Michael F.","non-dropping-particle":"","parse-names":false,"suffix":""}],"container-title":"The New England journal of medicine","id":"ITEM-1","issue":"3","issued":{"date-parts":[["2007","7","19"]]},"page":"266-281","publisher":"N Engl J Med","title":"Vitamin D deficiency","type":"article-journal","volume":"357"},"uris":["http://www.mendeley.com/documents/?uuid=e9c3f049-912a-34bf-8ab8-f47d2da44587"]}],"mendeley":{"formattedCitation":"(Holick, 2007)","plainTextFormattedCitation":"(Holick, 2007)","previouslyFormattedCitation":"(Holick, 2007)"},"properties":{"noteIndex":0},"schema":"https://github.com/citation-style-language/schema/raw/master/csl-citation.json"}</w:instrText>
            </w:r>
            <w:r w:rsidRPr="0049220A">
              <w:rPr>
                <w:rFonts w:ascii="Times New Roman" w:hAnsi="Times New Roman" w:cs="Times New Roman"/>
                <w:sz w:val="24"/>
                <w:szCs w:val="24"/>
              </w:rPr>
              <w:fldChar w:fldCharType="separate"/>
            </w:r>
            <w:r w:rsidRPr="0049220A">
              <w:rPr>
                <w:rFonts w:ascii="Times New Roman" w:hAnsi="Times New Roman" w:cs="Times New Roman"/>
                <w:noProof/>
                <w:sz w:val="24"/>
                <w:szCs w:val="24"/>
              </w:rPr>
              <w:t>(Holick, 2007)</w:t>
            </w:r>
            <w:r w:rsidRPr="0049220A">
              <w:rPr>
                <w:rFonts w:ascii="Times New Roman" w:hAnsi="Times New Roman" w:cs="Times New Roman"/>
                <w:sz w:val="24"/>
                <w:szCs w:val="24"/>
              </w:rPr>
              <w:fldChar w:fldCharType="end"/>
            </w:r>
          </w:p>
        </w:tc>
      </w:tr>
      <w:tr w:rsidR="0049220A" w:rsidRPr="0049220A" w14:paraId="56636497" w14:textId="77777777" w:rsidTr="000D0B90">
        <w:trPr>
          <w:trHeight w:val="701"/>
        </w:trPr>
        <w:tc>
          <w:tcPr>
            <w:tcW w:w="2922" w:type="dxa"/>
          </w:tcPr>
          <w:p w14:paraId="56DF99B8"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E-8-Methyl-9-tetradecen-1-ol acetate</w:t>
            </w:r>
          </w:p>
        </w:tc>
        <w:tc>
          <w:tcPr>
            <w:tcW w:w="1920" w:type="dxa"/>
          </w:tcPr>
          <w:p w14:paraId="5B191696"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Unsaturated fatty acetate</w:t>
            </w:r>
          </w:p>
        </w:tc>
        <w:tc>
          <w:tcPr>
            <w:tcW w:w="2713" w:type="dxa"/>
          </w:tcPr>
          <w:p w14:paraId="6C846429"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Insect pheromone activity</w:t>
            </w:r>
          </w:p>
        </w:tc>
        <w:tc>
          <w:tcPr>
            <w:tcW w:w="1620" w:type="dxa"/>
          </w:tcPr>
          <w:p w14:paraId="2E0379C6"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fldChar w:fldCharType="begin" w:fldLock="1"/>
            </w:r>
            <w:r w:rsidRPr="0049220A">
              <w:rPr>
                <w:rFonts w:ascii="Times New Roman" w:hAnsi="Times New Roman" w:cs="Times New Roman"/>
                <w:sz w:val="24"/>
                <w:szCs w:val="24"/>
              </w:rPr>
              <w:instrText>ADDIN CSL_CITATION {"citationItems":[{"id":"ITEM-1","itemData":{"DOI":"10.1007/B95449","ISSN":"0340-1022","PMID":"22160231","abstract":"As a consequence of the diversity of Lepidoptera, including 150,000 described species, interesting species-specific sex pheromone systems are exhibited in this insect group. The quite varied pheromones, which have been identified from female moths of nearly 530 species from around the world, are classified into groups of Type I (75%),Type II (15%), and miscellaneous (10%), according to their chemical structures.Additionally,many pheromones produced by male moths and butterflies have been known.While new sex pheromones from about 70 lepidopteran species have been reported in the last five years utilizing GC-EAD, GC-MS,LC,and NMR,our information about the pheromones is still rudimentary, and these kinds of semiochemicals remain an exciting research target for natural product chemistry. In addition to the overview of their chemical structures, this chapter deals with current methods for their identification. Furthermore, an actual application of the synthetic pheromones for pest control is briefly introduced.","author":[{"dropping-particle":"","family":"Ando","given":"Tetsu","non-dropping-particle":"","parse-names":false,"suffix":""},{"dropping-particle":"","family":"Inomata","given":"Shin-ichi","non-dropping-particle":"","parse-names":false,"suffix":""},{"dropping-particle":"","family":"Yamamoto","given":"Masanobu","non-dropping-particle":"","parse-names":false,"suffix":""}],"container-title":"Topics in current chemistry","id":"ITEM-1","issued":{"date-parts":[["2004"]]},"page":"51-96","publisher":"Top Curr Chem","title":"Lepidopteran sex pheromones","type":"article-journal","volume":"239"},"uris":["http://www.mendeley.com/documents/?uuid=67e4fdb7-af95-3242-bfab-42935ba3b581"]}],"mendeley":{"formattedCitation":"(Ando et al., 2004)","plainTextFormattedCitation":"(Ando et al., 2004)","previouslyFormattedCitation":"(Ando et al., 2004)"},"properties":{"noteIndex":0},"schema":"https://github.com/citation-style-language/schema/raw/master/csl-citation.json"}</w:instrText>
            </w:r>
            <w:r w:rsidRPr="0049220A">
              <w:rPr>
                <w:rFonts w:ascii="Times New Roman" w:hAnsi="Times New Roman" w:cs="Times New Roman"/>
                <w:sz w:val="24"/>
                <w:szCs w:val="24"/>
              </w:rPr>
              <w:fldChar w:fldCharType="separate"/>
            </w:r>
            <w:r w:rsidRPr="0049220A">
              <w:rPr>
                <w:rFonts w:ascii="Times New Roman" w:hAnsi="Times New Roman" w:cs="Times New Roman"/>
                <w:noProof/>
                <w:sz w:val="24"/>
                <w:szCs w:val="24"/>
              </w:rPr>
              <w:t>(Ando et al., 2004)</w:t>
            </w:r>
            <w:r w:rsidRPr="0049220A">
              <w:rPr>
                <w:rFonts w:ascii="Times New Roman" w:hAnsi="Times New Roman" w:cs="Times New Roman"/>
                <w:sz w:val="24"/>
                <w:szCs w:val="24"/>
              </w:rPr>
              <w:fldChar w:fldCharType="end"/>
            </w:r>
          </w:p>
        </w:tc>
      </w:tr>
      <w:tr w:rsidR="0049220A" w:rsidRPr="0049220A" w14:paraId="2645ED14" w14:textId="77777777" w:rsidTr="000D0B90">
        <w:trPr>
          <w:trHeight w:val="980"/>
        </w:trPr>
        <w:tc>
          <w:tcPr>
            <w:tcW w:w="2922" w:type="dxa"/>
          </w:tcPr>
          <w:p w14:paraId="3E16CF85"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Cholest-5-en-3-ol (3a)-</w:t>
            </w:r>
          </w:p>
        </w:tc>
        <w:tc>
          <w:tcPr>
            <w:tcW w:w="1920" w:type="dxa"/>
          </w:tcPr>
          <w:p w14:paraId="0C23F2EB"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Sterol</w:t>
            </w:r>
          </w:p>
        </w:tc>
        <w:tc>
          <w:tcPr>
            <w:tcW w:w="2713" w:type="dxa"/>
          </w:tcPr>
          <w:p w14:paraId="5A2ACD6D"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Cell membrane regulator, precursor to hormones</w:t>
            </w:r>
          </w:p>
        </w:tc>
        <w:tc>
          <w:tcPr>
            <w:tcW w:w="1620" w:type="dxa"/>
          </w:tcPr>
          <w:p w14:paraId="3717C74F"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fldChar w:fldCharType="begin" w:fldLock="1"/>
            </w:r>
            <w:r w:rsidRPr="0049220A">
              <w:rPr>
                <w:rFonts w:ascii="Times New Roman" w:hAnsi="Times New Roman" w:cs="Times New Roman"/>
                <w:sz w:val="24"/>
                <w:szCs w:val="24"/>
              </w:rPr>
              <w:instrText>ADDIN CSL_CITATION {"citationItems":[{"id":"ITEM-1","itemData":{"DOI":"10.18596/JOTCSA.1379263","ISSN":"2149-0120","abstract":"Cholest-5-en-3-ol is an organic compound that belongs to the category of steroidal secondary metabolites. The compound has a double bond and a hydroxyl group and is commonly found in plants that contain oils such as coconut, nuts, and others. So far, there have been no reports of isolating the compound cholest-5-en-3-ol from the extract of the stem bark of the ulin plant. This compound has been found in very small amounts. A maceration method was used to obtain the extract. The isolation method used for the isolation of the compound was chromatography, while for the elucidation of the structure of the compound, UV-Vis spectrophotometry, Fourier transform infrared spectroscopy (FTIR), and nuclear magnetic resonance spectroscopy (NMR) were used. The ethyl acetate extract is the most abundant with 85.5 g. The isolation results were obtained as a white needle-like solid. Based on the spectra of UV-Vis spectrophotometry, FTIR spectra, and chemical shifts of NMR, the elucidated compound is the cholest-5-en-3-ol.","author":[{"dropping-particle":"","family":"Yulianti","given":"Heni","non-dropping-particle":"","parse-names":false,"suffix":""},{"dropping-particle":"","family":"Santoni","given":"Adlis","non-dropping-particle":"","parse-names":false,"suffix":""},{"dropping-particle":"","family":"Efdi","given":"Mai","non-dropping-particle":"","parse-names":false,"suffix":""}],"container-title":"Journal of the Turkish Chemical Society Section A: Chemistry","id":"ITEM-1","issue":"3","issued":{"date-parts":[["2024","8","30"]]},"page":"919-924","publisher":"Turkish Chemical Society","title":"Isolation and Characterization of Cholest-5-en-3-ol Compound from the Ethyl Acetate Extract of Stem Bark Ulin Plant (Eusideroxylon zwageri Teijm &amp; Binn)","type":"article-journal","volume":"11"},"uris":["http://www.mendeley.com/documents/?uuid=4690c8df-5ebb-35de-bf81-19fb3f632bc4"]}],"mendeley":{"formattedCitation":"(Yulianti et al., 2024)","plainTextFormattedCitation":"(Yulianti et al., 2024)","previouslyFormattedCitation":"(Yulianti et al., 2024)"},"properties":{"noteIndex":0},"schema":"https://github.com/citation-style-language/schema/raw/master/csl-citation.json"}</w:instrText>
            </w:r>
            <w:r w:rsidRPr="0049220A">
              <w:rPr>
                <w:rFonts w:ascii="Times New Roman" w:hAnsi="Times New Roman" w:cs="Times New Roman"/>
                <w:sz w:val="24"/>
                <w:szCs w:val="24"/>
              </w:rPr>
              <w:fldChar w:fldCharType="separate"/>
            </w:r>
            <w:r w:rsidRPr="0049220A">
              <w:rPr>
                <w:rFonts w:ascii="Times New Roman" w:hAnsi="Times New Roman" w:cs="Times New Roman"/>
                <w:noProof/>
                <w:sz w:val="24"/>
                <w:szCs w:val="24"/>
              </w:rPr>
              <w:t>(Yulianti et al., 2024)</w:t>
            </w:r>
            <w:r w:rsidRPr="0049220A">
              <w:rPr>
                <w:rFonts w:ascii="Times New Roman" w:hAnsi="Times New Roman" w:cs="Times New Roman"/>
                <w:sz w:val="24"/>
                <w:szCs w:val="24"/>
              </w:rPr>
              <w:fldChar w:fldCharType="end"/>
            </w:r>
          </w:p>
        </w:tc>
      </w:tr>
      <w:tr w:rsidR="0049220A" w:rsidRPr="0049220A" w14:paraId="1D92BAD2" w14:textId="77777777" w:rsidTr="000D0B90">
        <w:trPr>
          <w:trHeight w:val="710"/>
        </w:trPr>
        <w:tc>
          <w:tcPr>
            <w:tcW w:w="2922" w:type="dxa"/>
          </w:tcPr>
          <w:p w14:paraId="63A4E7C3"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Tert-Hexadecanethiol</w:t>
            </w:r>
          </w:p>
        </w:tc>
        <w:tc>
          <w:tcPr>
            <w:tcW w:w="1920" w:type="dxa"/>
          </w:tcPr>
          <w:p w14:paraId="485C1954"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Aliphatic thiol</w:t>
            </w:r>
          </w:p>
        </w:tc>
        <w:tc>
          <w:tcPr>
            <w:tcW w:w="2713" w:type="dxa"/>
          </w:tcPr>
          <w:p w14:paraId="10447E2A"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Antimicrobial, antioxidant potential</w:t>
            </w:r>
          </w:p>
        </w:tc>
        <w:tc>
          <w:tcPr>
            <w:tcW w:w="1620" w:type="dxa"/>
          </w:tcPr>
          <w:p w14:paraId="2EA8D226"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fldChar w:fldCharType="begin" w:fldLock="1"/>
            </w:r>
            <w:r w:rsidRPr="0049220A">
              <w:rPr>
                <w:rFonts w:ascii="Times New Roman" w:hAnsi="Times New Roman" w:cs="Times New Roman"/>
                <w:sz w:val="24"/>
                <w:szCs w:val="24"/>
              </w:rPr>
              <w:instrText>ADDIN CSL_CITATION {"citationItems":[{"id":"ITEM-1","itemData":{"DOI":"10.3390/MOLECULES27217476,","ISSN":"14203049","PMID":"36364303","abstract":"The unpredictable invasion of the Mupli beetle, Luprops tristis Fabricius (Coleoptera: Tenebrionidae), makes areas uninhabitable to humans. These beetles produce a strong-smelling, irritating secretion as a defence mechanism, which causes blisters on contact with human skin. In the current study, gas chromatography high-resolution mass spectrometry (GC-HRMS) analysis of the defensive gland extract of the Mupli beetle revealed the presence of compounds such as 2,3,dimethyl-1,4-benzoquinone, 1,3-dihydroxy-2-methylbenzene, 2,5-dimethyl hydroquinone, tetracosane, oleic acid, hexacosane, pentacosane, 7-hexadecenal and tert-hexadecanethiol. The defensive gland extracts showed considerable antibacterial activity on Gram-negative and Gram-positive bacteria in an agar diffusion assay. The chromosomal aberration analysis using root tips of Allium cepa L. exposed to the defensive secretion showed chromosomal aberrations such as disturbed metaphase, sticky chromosomes and chromosomal breakage. The antioxidant activity of the extract was determined using a radical scavenging (DPPH) assay. A cytotoxic assay of the defensive gland extract against Dalton’s lymphoma ascites (DLA) cell line showed anticancer properties. In the present study, the defensive gland extract of the Mupli beetle, L. tristis, which is generally perceived as a nuisance insect to humans, was found to have beneficial biological activities.","author":[{"dropping-particle":"","family":"Sabira","given":"Ovungal","non-dropping-particle":"","parse-names":false,"suffix":""},{"dropping-particle":"","family":"Vignesh","given":"Attuvalappil Ramdas","non-dropping-particle":"","parse-names":false,"suffix":""},{"dropping-particle":"","family":"Ajaykumar","given":"Anthyalam Parambil","non-dropping-particle":"","parse-names":false,"suffix":""},{"dropping-particle":"","family":"Varma","given":"Sudhir Rama","non-dropping-particle":"","parse-names":false,"suffix":""},{"dropping-particle":"","family":"Jayaraj","given":"Kodangattil Narayanan","non-dropping-particle":"","parse-names":false,"suffix":""},{"dropping-particle":"","family":"Sebastin","given":"Merin","non-dropping-particle":"","parse-names":false,"suffix":""},{"dropping-particle":"","family":"Nikhila","given":"Kalleringal","non-dropping-particle":"","parse-names":false,"suffix":""},{"dropping-particle":"","family":"Babu","given":"Annet","non-dropping-particle":"","parse-names":false,"suffix":""},{"dropping-particle":"","family":"Rasheed","given":"Vazhanthodi Abdul","non-dropping-particle":"","parse-names":false,"suffix":""},{"dropping-particle":"","family":"Binitha","given":"Valiyaparambil Sivadasan","non-dropping-particle":"","parse-names":false,"suffix":""},{"dropping-particle":"","family":"Vasu","given":"Zeena koldath","non-dropping-particle":"","parse-names":false,"suffix":""},{"dropping-particle":"","family":"Sujith","given":"Madathilpadi Subrahmanian","non-dropping-particle":"","parse-names":false,"suffix":""}],"container-title":"Molecules","id":"ITEM-1","issue":"21","issued":{"date-parts":[["2022","11","1"]]},"publisher":"MDPI","title":"The Chemical Composition and Antimitotic, Antioxidant, Antibacterial and Cytotoxic Properties of the Defensive Gland Extract of the Beetle, Luprops tristis Fabricius","type":"article-journal","volume":"27"},"uris":["http://www.mendeley.com/documents/?uuid=1b780a56-b9a1-35a3-bd24-b91409389945"]}],"mendeley":{"formattedCitation":"(Sabira et al., 2022)","plainTextFormattedCitation":"(Sabira et al., 2022)","previouslyFormattedCitation":"(Sabira et al., 2022)"},"properties":{"noteIndex":0},"schema":"https://github.com/citation-style-language/schema/raw/master/csl-citation.json"}</w:instrText>
            </w:r>
            <w:r w:rsidRPr="0049220A">
              <w:rPr>
                <w:rFonts w:ascii="Times New Roman" w:hAnsi="Times New Roman" w:cs="Times New Roman"/>
                <w:sz w:val="24"/>
                <w:szCs w:val="24"/>
              </w:rPr>
              <w:fldChar w:fldCharType="separate"/>
            </w:r>
            <w:r w:rsidRPr="0049220A">
              <w:rPr>
                <w:rFonts w:ascii="Times New Roman" w:hAnsi="Times New Roman" w:cs="Times New Roman"/>
                <w:noProof/>
                <w:sz w:val="24"/>
                <w:szCs w:val="24"/>
              </w:rPr>
              <w:t>(Sabira et al., 2022)</w:t>
            </w:r>
            <w:r w:rsidRPr="0049220A">
              <w:rPr>
                <w:rFonts w:ascii="Times New Roman" w:hAnsi="Times New Roman" w:cs="Times New Roman"/>
                <w:sz w:val="24"/>
                <w:szCs w:val="24"/>
              </w:rPr>
              <w:fldChar w:fldCharType="end"/>
            </w:r>
          </w:p>
        </w:tc>
      </w:tr>
      <w:tr w:rsidR="0049220A" w:rsidRPr="0049220A" w14:paraId="6F555A40" w14:textId="77777777" w:rsidTr="000D0B90">
        <w:trPr>
          <w:trHeight w:val="710"/>
        </w:trPr>
        <w:tc>
          <w:tcPr>
            <w:tcW w:w="2922" w:type="dxa"/>
          </w:tcPr>
          <w:p w14:paraId="2115DAEA"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Glycidyl oleate</w:t>
            </w:r>
          </w:p>
        </w:tc>
        <w:tc>
          <w:tcPr>
            <w:tcW w:w="1920" w:type="dxa"/>
          </w:tcPr>
          <w:p w14:paraId="5E7C0791"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Epoxy fatty ester</w:t>
            </w:r>
          </w:p>
        </w:tc>
        <w:tc>
          <w:tcPr>
            <w:tcW w:w="2713" w:type="dxa"/>
          </w:tcPr>
          <w:p w14:paraId="573B273B"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Antimicrobial, surfactant precursor</w:t>
            </w:r>
          </w:p>
        </w:tc>
        <w:tc>
          <w:tcPr>
            <w:tcW w:w="1620" w:type="dxa"/>
          </w:tcPr>
          <w:p w14:paraId="135CEF4F"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fldChar w:fldCharType="begin" w:fldLock="1"/>
            </w:r>
            <w:r w:rsidRPr="0049220A">
              <w:rPr>
                <w:rFonts w:ascii="Times New Roman" w:hAnsi="Times New Roman" w:cs="Times New Roman"/>
                <w:sz w:val="24"/>
                <w:szCs w:val="24"/>
              </w:rPr>
              <w:instrText>ADDIN CSL_CITATION {"citationItems":[{"id":"ITEM-1","itemData":{"DOI":"10.3390/TOXICS11020175","ISSN":"2305-6304","abstract":"Glycidyl fatty acid esters (GEs) can be found in food, and they can be converted into genotoxic animal carcinogen glycidol in vivo by the action of lipase. This study examined whether human ingestion of charbroiled pork containing high levels of GEs (300 µg/day) increased glycidol–hemoglobin adduct (diHOPrVal), a marker of internal exposure to glycidol using LC-MS/MS. Contrary to expectation, the diHOPrVal value before ingesting charbroiled pork was 3.11 ± 1.10 pmol/g globin, which slightly decreased to 2.48 ± 0.47 pmol/g globin after 5 days of consumption. The decrease in lipase activity caused by the continuous consumption of lipid-rich foods such as meat in humans might decrease internal exposure to glycidol released from its esters. Thus, lipase activity was measured in C57/BL6J mice fed a high-fat diet (HFD) for 8 weeks, and diHOPrVal formation was measured after the administration of glycidyl oleate. Lipase activity was significantly lower in the HFD group than in the normal diet group. The amount of diHOPrVal was reduced in the HFD group. Therefore, the lipase activity was reduced by HFD, thereby decreasing the degradation of glycidol from glycidyl oleate. These results indicate that changes in lipase activity depending on the amount of lipids in the diet may affect the assessment of GEs exposure, and monitoring the lipase activity would provide a comprehensive understanding of exposure assessment.","author":[{"dropping-particle":"","family":"Shimamura","given":"Yuko","non-dropping-particle":"","parse-names":false,"suffix":""},{"dropping-particle":"","family":"Inagaki","given":"Ryo","non-dropping-particle":"","parse-names":false,"suffix":""},{"dropping-particle":"","family":"Oike","given":"Minami","non-dropping-particle":"","parse-names":false,"suffix":""},{"dropping-particle":"","family":"Wada","given":"Yuri","non-dropping-particle":"","parse-names":false,"suffix":""},{"dropping-particle":"","family":"Honda","given":"Hiroshi","non-dropping-particle":"","parse-names":false,"suffix":""},{"dropping-particle":"","family":"Masuda","given":"Shuichi","non-dropping-particle":"","parse-names":false,"suffix":""}],"container-title":"Toxics","id":"ITEM-1","issue":"2","issued":{"date-parts":[["2023","2","14"]]},"page":"175","publisher":"Multidisciplinary Digital Publishing Institute","title":"Potential Role of Lipase Activity on the Internal Exposure Assessment of Glycidol Released from Its Fatty Acid Esters","type":"article-journal","volume":"11"},"uris":["http://www.mendeley.com/documents/?uuid=cad186e2-aef9-3ae0-8ceb-eee6f92b4675"]}],"mendeley":{"formattedCitation":"(Shimamura et al., 2023)","plainTextFormattedCitation":"(Shimamura et al., 2023)","previouslyFormattedCitation":"(Shimamura et al., 2023)"},"properties":{"noteIndex":0},"schema":"https://github.com/citation-style-language/schema/raw/master/csl-citation.json"}</w:instrText>
            </w:r>
            <w:r w:rsidRPr="0049220A">
              <w:rPr>
                <w:rFonts w:ascii="Times New Roman" w:hAnsi="Times New Roman" w:cs="Times New Roman"/>
                <w:sz w:val="24"/>
                <w:szCs w:val="24"/>
              </w:rPr>
              <w:fldChar w:fldCharType="separate"/>
            </w:r>
            <w:r w:rsidRPr="0049220A">
              <w:rPr>
                <w:rFonts w:ascii="Times New Roman" w:hAnsi="Times New Roman" w:cs="Times New Roman"/>
                <w:noProof/>
                <w:sz w:val="24"/>
                <w:szCs w:val="24"/>
              </w:rPr>
              <w:t>(Shimamura et al., 2023)</w:t>
            </w:r>
            <w:r w:rsidRPr="0049220A">
              <w:rPr>
                <w:rFonts w:ascii="Times New Roman" w:hAnsi="Times New Roman" w:cs="Times New Roman"/>
                <w:sz w:val="24"/>
                <w:szCs w:val="24"/>
              </w:rPr>
              <w:fldChar w:fldCharType="end"/>
            </w:r>
          </w:p>
        </w:tc>
      </w:tr>
      <w:tr w:rsidR="0049220A" w:rsidRPr="0049220A" w14:paraId="5D1E6284" w14:textId="77777777" w:rsidTr="000D0B90">
        <w:tc>
          <w:tcPr>
            <w:tcW w:w="2922" w:type="dxa"/>
          </w:tcPr>
          <w:p w14:paraId="38743E10"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17-Octadecynoic acid</w:t>
            </w:r>
          </w:p>
        </w:tc>
        <w:tc>
          <w:tcPr>
            <w:tcW w:w="1920" w:type="dxa"/>
          </w:tcPr>
          <w:p w14:paraId="5E7DCC8B"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Alkyne fatty acid</w:t>
            </w:r>
          </w:p>
        </w:tc>
        <w:tc>
          <w:tcPr>
            <w:tcW w:w="2713" w:type="dxa"/>
          </w:tcPr>
          <w:p w14:paraId="1B1CDD72"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Inhibitor of cytochrome P450 enzymes, anticancer</w:t>
            </w:r>
          </w:p>
        </w:tc>
        <w:tc>
          <w:tcPr>
            <w:tcW w:w="1620" w:type="dxa"/>
          </w:tcPr>
          <w:p w14:paraId="3D6815F0"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fldChar w:fldCharType="begin" w:fldLock="1"/>
            </w:r>
            <w:r w:rsidRPr="0049220A">
              <w:rPr>
                <w:rFonts w:ascii="Times New Roman" w:hAnsi="Times New Roman" w:cs="Times New Roman"/>
                <w:sz w:val="24"/>
                <w:szCs w:val="24"/>
              </w:rPr>
              <w:instrText>ADDIN CSL_CITATION {"citationItems":[{"id":"ITEM-1","itemData":{"DOI":"10.1021/TX0002583;JOURNAL:JOURNAL:CRTOEC;PAGEGROUP:STRING:PUBLICATION","ISSN":"0893228X","PMID":"11409933","abstract":"Cytochrome P450 (P450) enzymes catalyze a variety of reactions and convert chemicals to potentially reactive products as well as make compounds less toxic. Most of the P450 reactions are oxidations. The majority of these can be rationalized in the context of an FeO3+ intermediate and odd electron abstraction/rebound mechanisms; however, other iron--oxygen complexes are possible and alternate chemistries can be considered. Another issue regarding P450-catalyzed reactions is the delineation of rate-limiting steps in the catalytic cycle and the contribution to reaction selectivity. In addition to the rather classical oxidations, P450s also catalyze less generally discussed reactions including reduction, desaturation, ester cleavage, ring expansion, ring formation, aldehyde scission, dehydration, ipso attack, one-electron oxidation, coupling reactions, rearrangement of fatty acid and prostaglandin hydroperoxides, and phospholipase activity. Most of these reactions are rationalized in the context of high-valent iron--oxygen intermediates and Fe2+ reductions, but others are not and may involve acid--base catalysis. Some of these transformations are involved in the bioactivation and detoxication of xenobiotic chemicals.","author":[{"dropping-particle":"","family":"Guengerich","given":"F. P.","non-dropping-particle":"","parse-names":false,"suffix":""}],"container-title":"Chemical Research in Toxicology","id":"ITEM-1","issue":"6","issued":{"date-parts":[["2001"]]},"page":"611-650","publisher":"American Chemical Society","title":"Common and uncommon cytochrome P450 reactions related to metabolism and chemical toxicity","type":"article-journal","volume":"14"},"uris":["http://www.mendeley.com/documents/?uuid=ed010d86-5857-37bf-b2dc-eaccd31c721f"]}],"mendeley":{"formattedCitation":"(Guengerich, 2001)","plainTextFormattedCitation":"(Guengerich, 2001)","previouslyFormattedCitation":"(Guengerich, 2001)"},"properties":{"noteIndex":0},"schema":"https://github.com/citation-style-language/schema/raw/master/csl-citation.json"}</w:instrText>
            </w:r>
            <w:r w:rsidRPr="0049220A">
              <w:rPr>
                <w:rFonts w:ascii="Times New Roman" w:hAnsi="Times New Roman" w:cs="Times New Roman"/>
                <w:sz w:val="24"/>
                <w:szCs w:val="24"/>
              </w:rPr>
              <w:fldChar w:fldCharType="separate"/>
            </w:r>
            <w:r w:rsidRPr="0049220A">
              <w:rPr>
                <w:rFonts w:ascii="Times New Roman" w:hAnsi="Times New Roman" w:cs="Times New Roman"/>
                <w:noProof/>
                <w:sz w:val="24"/>
                <w:szCs w:val="24"/>
              </w:rPr>
              <w:t>(Guengerich, 2001)</w:t>
            </w:r>
            <w:r w:rsidRPr="0049220A">
              <w:rPr>
                <w:rFonts w:ascii="Times New Roman" w:hAnsi="Times New Roman" w:cs="Times New Roman"/>
                <w:sz w:val="24"/>
                <w:szCs w:val="24"/>
              </w:rPr>
              <w:fldChar w:fldCharType="end"/>
            </w:r>
          </w:p>
        </w:tc>
      </w:tr>
      <w:tr w:rsidR="0049220A" w:rsidRPr="0049220A" w14:paraId="07EA4382" w14:textId="77777777" w:rsidTr="000D0B90">
        <w:tc>
          <w:tcPr>
            <w:tcW w:w="2922" w:type="dxa"/>
          </w:tcPr>
          <w:p w14:paraId="71B642FC"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Ethyl iso-allocholate</w:t>
            </w:r>
          </w:p>
        </w:tc>
        <w:tc>
          <w:tcPr>
            <w:tcW w:w="1920" w:type="dxa"/>
          </w:tcPr>
          <w:p w14:paraId="7834A000"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Bile acid ester</w:t>
            </w:r>
          </w:p>
        </w:tc>
        <w:tc>
          <w:tcPr>
            <w:tcW w:w="2713" w:type="dxa"/>
          </w:tcPr>
          <w:p w14:paraId="15EB13EB"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Antimicrobial, cytotoxic</w:t>
            </w:r>
          </w:p>
        </w:tc>
        <w:tc>
          <w:tcPr>
            <w:tcW w:w="1620" w:type="dxa"/>
          </w:tcPr>
          <w:p w14:paraId="7667D1D8"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fldChar w:fldCharType="begin" w:fldLock="1"/>
            </w:r>
            <w:r w:rsidRPr="0049220A">
              <w:rPr>
                <w:rFonts w:ascii="Times New Roman" w:hAnsi="Times New Roman" w:cs="Times New Roman"/>
                <w:sz w:val="24"/>
                <w:szCs w:val="24"/>
              </w:rPr>
              <w:instrText>ADDIN CSL_CITATION {"citationItems":[{"id":"ITEM-1","itemData":{"DOI":"10.1007/S12010-024-05016-Z,","ISSN":"15590291","PMID":"39083194","abstract":"The rise of microbial resistance and emerging infections pose significant health threats. Natural products from endophytic fungi offer a promising source of novel compounds with the potential as major drug leads. This research aims to screen Myrtus communis and Moringa oleifera for endophytic fungi and screen their metabolites for antibacterial and antifungal potential. Six endophytic fungal strains were isolated using a potato dextrose agar (PDA) medium. The M. communis isolates were designated MC1, MC2, and MC3, and the M. oleifera isolates were named MO1, MO2, and MO3. Preliminary bioactivity testing revealed that the MC3 isolate exhibited significant growth inhibition against multidrug-resistant bacterial and fungal pathogens, including Staphylococcus aureus, Enterococcus faecalis, Bacillus subtilis, Pseudomonas aeruginosa, Escherichia coli, Candida albicans, and Candida glabrata. The MC3 isolate was identified as Fusarium oxysporum through morphological and microscopic methods. For metabolite production, the fungal strain was cultured in potato dextrose broth (PDB) medium at 28 °C for 14 days in a shaking incubator. The metabolites were purified using various chromatographic techniques, HPLC and GC–MS. The GC–MS analysis of the bioactive compound containing fungal strain (F. oxysporum) revealed multiple compounds at different retention times using the NIST-20 Library. Based on RSI values and probability indices, two compounds were targeted for further purification. Structure elucidation was performed using 1D and 2D nuclear magnetic resonance (NMR) experiments on a Varian 500 NMR machine. The compounds identified were ethyl iso-allocholate (C26H44O5, exact mass 436.32) and 1-monolinoleoyl glycerol trimethylsilyl ether (C27H56O4Si2, exact mass 500.37). The MS (NIST-20) library facilitated the investigation of the in silico antimicrobial activity of these compounds against the elastase virulence protein of P. aeruginosa and protease Sapp1p from C. parapsilosis. Both the compounds were docked with druggable proteins using the Glide induced fit docking (IFD) algorithm. The ethyl iso-allocholate and 1-monolinoleoyl glycerol trimethylsilyl ether compounds showed binding scores − 10.07 kcal mol−1 and − 7.47 kcal mol−1 against elastase, and − 8.16 kcal mol−1 and − 6.89 kcal mol−1 against aspartic protease, respectively. In vitro studies confirmed the inhibitory activity of these compounds against multidrug-resistant P. aeruginosa and E. faecalis. Ethyl iso…","author":[{"dropping-particle":"","family":"Khattak","given":"Saeed Ullah","non-dropping-particle":"","parse-names":false,"suffix":""},{"dropping-particle":"","family":"Ahmad","given":"Mansoor","non-dropping-particle":"","parse-names":false,"suffix":""},{"dropping-particle":"","family":"Ahmad","given":"Jamshaid","non-dropping-particle":"","parse-names":false,"suffix":""},{"dropping-particle":"","family":"Ikram","given":"Saima","non-dropping-particle":"","parse-names":false,"suffix":""},{"dropping-particle":"","family":"Ahmad","given":"Sajjad","non-dropping-particle":"","parse-names":false,"suffix":""},{"dropping-particle":"","family":"Alshabrmi","given":"Fahad M.","non-dropping-particle":"","parse-names":false,"suffix":""},{"dropping-particle":"","family":"Alatawi","given":"Eid A.","non-dropping-particle":"","parse-names":false,"suffix":""}],"container-title":"Applied Biochemistry and Biotechnology","id":"ITEM-1","issue":"12","issued":{"date-parts":[["2024","12","1"]]},"page":"8940-8964","publisher":"Springer","title":"Purification of Potential Antimicrobial Metabolites from Endophytic Fusarium oxysporum Isolated from Myrtus communis","type":"article-journal","volume":"196"},"uris":["http://www.mendeley.com/documents/?uuid=cd65851c-e9fa-3a82-8975-bcbc7f2df0ec"]}],"mendeley":{"formattedCitation":"(Khattak et al., 2024)","plainTextFormattedCitation":"(Khattak et al., 2024)","previouslyFormattedCitation":"(Khattak et al., 2024)"},"properties":{"noteIndex":0},"schema":"https://github.com/citation-style-language/schema/raw/master/csl-citation.json"}</w:instrText>
            </w:r>
            <w:r w:rsidRPr="0049220A">
              <w:rPr>
                <w:rFonts w:ascii="Times New Roman" w:hAnsi="Times New Roman" w:cs="Times New Roman"/>
                <w:sz w:val="24"/>
                <w:szCs w:val="24"/>
              </w:rPr>
              <w:fldChar w:fldCharType="separate"/>
            </w:r>
            <w:r w:rsidRPr="0049220A">
              <w:rPr>
                <w:rFonts w:ascii="Times New Roman" w:hAnsi="Times New Roman" w:cs="Times New Roman"/>
                <w:noProof/>
                <w:sz w:val="24"/>
                <w:szCs w:val="24"/>
              </w:rPr>
              <w:t>(Khattak et al., 2024)</w:t>
            </w:r>
            <w:r w:rsidRPr="0049220A">
              <w:rPr>
                <w:rFonts w:ascii="Times New Roman" w:hAnsi="Times New Roman" w:cs="Times New Roman"/>
                <w:sz w:val="24"/>
                <w:szCs w:val="24"/>
              </w:rPr>
              <w:fldChar w:fldCharType="end"/>
            </w:r>
          </w:p>
        </w:tc>
      </w:tr>
      <w:tr w:rsidR="0049220A" w:rsidRPr="0049220A" w14:paraId="1575852E" w14:textId="77777777" w:rsidTr="000D0B90">
        <w:trPr>
          <w:trHeight w:val="666"/>
        </w:trPr>
        <w:tc>
          <w:tcPr>
            <w:tcW w:w="2922" w:type="dxa"/>
          </w:tcPr>
          <w:p w14:paraId="412C8567"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1,25-Dihydroxyvitamin D3, TMS derivative</w:t>
            </w:r>
          </w:p>
        </w:tc>
        <w:tc>
          <w:tcPr>
            <w:tcW w:w="1920" w:type="dxa"/>
          </w:tcPr>
          <w:p w14:paraId="64069C94"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Steroidal vitamin D metabolite</w:t>
            </w:r>
          </w:p>
        </w:tc>
        <w:tc>
          <w:tcPr>
            <w:tcW w:w="2713" w:type="dxa"/>
          </w:tcPr>
          <w:p w14:paraId="6CB1C3A3"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Regulates calcium metabolism, anticancer</w:t>
            </w:r>
          </w:p>
        </w:tc>
        <w:tc>
          <w:tcPr>
            <w:tcW w:w="1620" w:type="dxa"/>
          </w:tcPr>
          <w:p w14:paraId="7AAB374D"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fldChar w:fldCharType="begin" w:fldLock="1"/>
            </w:r>
            <w:r w:rsidRPr="0049220A">
              <w:rPr>
                <w:rFonts w:ascii="Times New Roman" w:hAnsi="Times New Roman" w:cs="Times New Roman"/>
                <w:sz w:val="24"/>
                <w:szCs w:val="24"/>
              </w:rPr>
              <w:instrText>ADDIN CSL_CITATION {"citationItems":[{"id":"ITEM-1","itemData":{"DOI":"10.1056/NEJMRA070553","ISSN":"1533-4406","PMID":"17634462","author":[{"dropping-particle":"","family":"Holick","given":"Michael F.","non-dropping-particle":"","parse-names":false,"suffix":""}],"container-title":"The New England journal of medicine","id":"ITEM-1","issue":"3","issued":{"date-parts":[["2007","7","19"]]},"page":"266-281","publisher":"N Engl J Med","title":"Vitamin D deficiency","type":"article-journal","volume":"357"},"uris":["http://www.mendeley.com/documents/?uuid=e9c3f049-912a-34bf-8ab8-f47d2da44587"]}],"mendeley":{"formattedCitation":"(Holick, 2007)","plainTextFormattedCitation":"(Holick, 2007)","previouslyFormattedCitation":"(Holick, 2007)"},"properties":{"noteIndex":0},"schema":"https://github.com/citation-style-language/schema/raw/master/csl-citation.json"}</w:instrText>
            </w:r>
            <w:r w:rsidRPr="0049220A">
              <w:rPr>
                <w:rFonts w:ascii="Times New Roman" w:hAnsi="Times New Roman" w:cs="Times New Roman"/>
                <w:sz w:val="24"/>
                <w:szCs w:val="24"/>
              </w:rPr>
              <w:fldChar w:fldCharType="separate"/>
            </w:r>
            <w:r w:rsidRPr="0049220A">
              <w:rPr>
                <w:rFonts w:ascii="Times New Roman" w:hAnsi="Times New Roman" w:cs="Times New Roman"/>
                <w:noProof/>
                <w:sz w:val="24"/>
                <w:szCs w:val="24"/>
              </w:rPr>
              <w:t>(Holick, 2007)</w:t>
            </w:r>
            <w:r w:rsidRPr="0049220A">
              <w:rPr>
                <w:rFonts w:ascii="Times New Roman" w:hAnsi="Times New Roman" w:cs="Times New Roman"/>
                <w:sz w:val="24"/>
                <w:szCs w:val="24"/>
              </w:rPr>
              <w:fldChar w:fldCharType="end"/>
            </w:r>
          </w:p>
        </w:tc>
      </w:tr>
      <w:tr w:rsidR="0049220A" w:rsidRPr="0049220A" w14:paraId="012C230A" w14:textId="77777777" w:rsidTr="000D0B90">
        <w:trPr>
          <w:trHeight w:val="710"/>
        </w:trPr>
        <w:tc>
          <w:tcPr>
            <w:tcW w:w="2922" w:type="dxa"/>
          </w:tcPr>
          <w:p w14:paraId="5882E118"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Isochiapin B</w:t>
            </w:r>
          </w:p>
        </w:tc>
        <w:tc>
          <w:tcPr>
            <w:tcW w:w="1920" w:type="dxa"/>
          </w:tcPr>
          <w:p w14:paraId="30023614"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Flavonoid</w:t>
            </w:r>
          </w:p>
        </w:tc>
        <w:tc>
          <w:tcPr>
            <w:tcW w:w="2713" w:type="dxa"/>
          </w:tcPr>
          <w:p w14:paraId="5FE1675E"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Anti-inflammatory, antioxidant</w:t>
            </w:r>
          </w:p>
        </w:tc>
        <w:tc>
          <w:tcPr>
            <w:tcW w:w="1620" w:type="dxa"/>
          </w:tcPr>
          <w:p w14:paraId="654773A3"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fldChar w:fldCharType="begin" w:fldLock="1"/>
            </w:r>
            <w:r w:rsidRPr="0049220A">
              <w:rPr>
                <w:rFonts w:ascii="Times New Roman" w:hAnsi="Times New Roman" w:cs="Times New Roman"/>
                <w:sz w:val="24"/>
                <w:szCs w:val="24"/>
              </w:rPr>
              <w:instrText>ADDIN CSL_CITATION {"citationItems":[{"id":"ITEM-1","itemData":{"DOI":"10.21608/EJCHEM.2024.328645.10642","ISSN":"0449-2285","abstract":"Wound healing stays a substantial health affair for a great number of patients globally. Hypoxia plays a decisive role in specifying the normal successfulness of healing process. Hypoxia-inducible factor-1alpha, plays a critical role in oxygen homeostasis, cell survival and migration and growth factor release throughout the healing process. The target of this research is to characterize the phytochemical and antioxidant analysis of the lipophilic extract of Calendula officinalis (C. officinalis) flowers utilizing colorimetric, spectrophotometric, and chromatographic techniques. In addition, studying the wound healing properties in vivo and in vitro model. Rats were divided into four groups (six in each group) as follow: Group I: Control rats. Group II: Wounded and untreated rats. Group III: Rats are treated topically with 2.5% of C. officinalis in gel. Group IV Rats are treated topically with 5% of C. officinalis in gel. Furthermore, Molecular docking study was conducted to elucidate the mechanistic of C. officinalis wound healing properties through the inhibitory effects of its main components against key anti-healing goals and study the best binding affinity. Using GC-MS analysis six main different organic classes fatty acid (36.99 %), Sesquiterpene (34.9%), hydrocarbons (20.06%), diterpene (3.9%), phytosterol (2.10%) and alkaloid (0.53%), and 24 components comprising 98.48% of the observed peaks were identified as a consequence. It is evident that the predominant fatty acid is 1-heptatriacotanol (16.47%). Additionally, Isochiapin B is a significant sesquiterpene compounds that accounting for 15.91% of all sesquiterpene compounds. Moreover, this extract exhibited more potent antioxidant activity were observed., as demonstrated by the IC50. Owing to its high concentration of active compounds, C. officinalis promoted more wound contraction., collagen synthesis, 5' adenosine monophosphate-activated protein kinase (AMPK), Hypoxia-inducible factor 1-alpha (HIF-1α) and accelerated epithelization with a decrease in matrix metalloproteinases (MMP-9). Molecular docking revealed that Isochiapin B had better binding affinities than 1-Heptatriacotanol in the interaction with AMPK, Collagenase, HIF-1α, MMP-9, tumor necrosis factor alpha (TNF-α), and vascular endothelial growth factor (VEGF), and that its best binding affinity was with MMP-9. Obtained results assured that Calendula officinalis L possesses considerable wound healing activity in wounded rats due to i…","author":[{"dropping-particle":"","family":"Salama","given":"Abeer","non-dropping-particle":"","parse-names":false,"suffix":""},{"dropping-particle":"","family":"EL-Kassaby","given":"Mahitab I.","non-dropping-particle":"","parse-names":false,"suffix":""},{"dropping-particle":"","family":"Refaat","given":"Ahmed","non-dropping-particle":"","parse-names":false,"suffix":""},{"dropping-particle":"","family":"Mohasib","given":"Rasha M.M.","non-dropping-particle":"","parse-names":false,"suffix":""}],"container-title":"Egyptian Journal of Chemistry","id":"ITEM-1","issue":"13","issued":{"date-parts":[["2024","12","1"]]},"page":"1037-1058","publisher":"National Information and Documentation Centre (NIDOC), Academy of Scientific Research and Technology, ASRT","title":"GC–MS and Molecular Docking Analyses of Phytochemicals from Calendula officinalis L. Hexane Extract and Evaluation of its Antioxidant and Wound Healing Properties in Rats","type":"article-journal","volume":"67"},"uris":["http://www.mendeley.com/documents/?uuid=1bd4049e-1398-3dc9-9be0-f44084447ec8"]}],"mendeley":{"formattedCitation":"(Salama et al., 2024)","plainTextFormattedCitation":"(Salama et al., 2024)","previouslyFormattedCitation":"(Salama et al., 2024)"},"properties":{"noteIndex":0},"schema":"https://github.com/citation-style-language/schema/raw/master/csl-citation.json"}</w:instrText>
            </w:r>
            <w:r w:rsidRPr="0049220A">
              <w:rPr>
                <w:rFonts w:ascii="Times New Roman" w:hAnsi="Times New Roman" w:cs="Times New Roman"/>
                <w:sz w:val="24"/>
                <w:szCs w:val="24"/>
              </w:rPr>
              <w:fldChar w:fldCharType="separate"/>
            </w:r>
            <w:r w:rsidRPr="0049220A">
              <w:rPr>
                <w:rFonts w:ascii="Times New Roman" w:hAnsi="Times New Roman" w:cs="Times New Roman"/>
                <w:noProof/>
                <w:sz w:val="24"/>
                <w:szCs w:val="24"/>
              </w:rPr>
              <w:t>(Salama et al., 2024)</w:t>
            </w:r>
            <w:r w:rsidRPr="0049220A">
              <w:rPr>
                <w:rFonts w:ascii="Times New Roman" w:hAnsi="Times New Roman" w:cs="Times New Roman"/>
                <w:sz w:val="24"/>
                <w:szCs w:val="24"/>
              </w:rPr>
              <w:fldChar w:fldCharType="end"/>
            </w:r>
          </w:p>
        </w:tc>
      </w:tr>
      <w:tr w:rsidR="0049220A" w:rsidRPr="0049220A" w14:paraId="380CEBFD" w14:textId="77777777" w:rsidTr="000D0B90">
        <w:tc>
          <w:tcPr>
            <w:tcW w:w="2922" w:type="dxa"/>
          </w:tcPr>
          <w:p w14:paraId="1548DC8D"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2H-Pyran, 2-(7-heptadecynyloxy)tetrahydro</w:t>
            </w:r>
          </w:p>
        </w:tc>
        <w:tc>
          <w:tcPr>
            <w:tcW w:w="1920" w:type="dxa"/>
          </w:tcPr>
          <w:p w14:paraId="2741BD41"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Pyran derivative</w:t>
            </w:r>
          </w:p>
        </w:tc>
        <w:tc>
          <w:tcPr>
            <w:tcW w:w="2713" w:type="dxa"/>
          </w:tcPr>
          <w:p w14:paraId="20063627"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Antimicrobial, antioxidant</w:t>
            </w:r>
          </w:p>
        </w:tc>
        <w:tc>
          <w:tcPr>
            <w:tcW w:w="1620" w:type="dxa"/>
          </w:tcPr>
          <w:p w14:paraId="29583599"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fldChar w:fldCharType="begin" w:fldLock="1"/>
            </w:r>
            <w:r w:rsidR="00EA3896" w:rsidRPr="0049220A">
              <w:rPr>
                <w:rFonts w:ascii="Times New Roman" w:hAnsi="Times New Roman" w:cs="Times New Roman"/>
                <w:sz w:val="24"/>
                <w:szCs w:val="24"/>
              </w:rPr>
              <w:instrText>ADDIN CSL_CITATION {"citationItems":[{"id":"ITEM-1","itemData":{"DOI":"10.1007/S13197-017-2744-Z,","ISSN":"09758402","abstract":"Sida cordata (Burm.f.) is a pineal tropical plant in the family Malvaceae that is found throughout India and used to treat various diseases and ailments in many complementary and alternative medicine systems. This study identified the bioactive components present in whole-plant ethanol extracts of S. cordata using gas chromatography–mass spectrometry (GC–MS). Based on their retention times (RT) and mass-to-charge ratios (m/z), 29 bioactive compounds were identified: nonanoic acid, vitamin D3, 3-trifluroacetoxypentadecane, α-d-glucopyranoside, O-α-d-glucopyranosyl-(1.fwdarw.3)-α-d-fructofuranosyl,3,7,11,15-tetramethyl-2-hexadecan-1-ol, octadecanoic acid, ethyl ester, phytol, 9,12-octadecadienoic acid, methyl ester (E,E), 9,12,15-octadecadienoic acid, methyl ester (Z,Z,Z), oleic acid, 1,2-15,16-diepoxyhexadecane, 3-hexadecyloxycarbonyl-5-(2-hydroxyethyl)-4-methylimidazolium ion, methoxyacetic acid, 4-tetradecyl ester, 1,2-benzenedicarboxylic acid, mono (2-ethylhexyl) ester, 1-iodo-2-methylundecane, dodecane, 2,6,10-trimethyl-, 2-piperidinone-N-[4-bromo-n-butyl]-, squalene, octadecane-1-(ethenyloxy)-, Z,Z-2,5-pentadecadien-1-ol, 1-hexadecanol, 2-methyl-, spiro[androst-5ene-17,1′-cyclobutan]-2′-one-3-hydroxy-, (3a,17a)-, diethylene glycol monododecyl ether, vitamin E, cholestan-3-ol, 2-methylene-, (3a,5a)-, 2H-pyran, 2-(7-heptadecynyloxy)tetrahydro-, and cis-Z-α-bisabolene epoxide. The presence of various bioactive compounds justifies the use of this plant for treating various ailments by traditional practitioners.","author":[{"dropping-particle":"","family":"Ganesh","given":"Mani","non-dropping-particle":"","parse-names":false,"suffix":""},{"dropping-particle":"","family":"Mohankumar","given":"Murugan","non-dropping-particle":"","parse-names":false,"suffix":""}],"container-title":"Journal of Food Science and Technology","id":"ITEM-1","issue":"10","issued":{"date-parts":[["2017","9","1"]]},"page":"3082-3091","publisher":"Springer India","title":"Extraction and identification of bioactive components in Sida cordata (Burm.f.) using gas chromatography–mass spectrometry","type":"article-journal","volume":"54"},"uris":["http://www.mendeley.com/documents/?uuid=0e08f04e-5e85-341b-8836-6afcdbf9d12c"]}],"mendeley":{"formattedCitation":"(Ganesh &amp; Mohankumar, 2017b)","plainTextFormattedCitation":"(Ganesh &amp; Mohankumar, 2017b)","previouslyFormattedCitation":"(Ganesh &amp; Mohankumar, 2017b)"},"properties":{"noteIndex":0},"schema":"https://github.com/citation-style-language/schema/raw/master/csl-citation.json"}</w:instrText>
            </w:r>
            <w:r w:rsidRPr="0049220A">
              <w:rPr>
                <w:rFonts w:ascii="Times New Roman" w:hAnsi="Times New Roman" w:cs="Times New Roman"/>
                <w:sz w:val="24"/>
                <w:szCs w:val="24"/>
              </w:rPr>
              <w:fldChar w:fldCharType="separate"/>
            </w:r>
            <w:r w:rsidR="00EA3896" w:rsidRPr="0049220A">
              <w:rPr>
                <w:rFonts w:ascii="Times New Roman" w:hAnsi="Times New Roman" w:cs="Times New Roman"/>
                <w:noProof/>
                <w:sz w:val="24"/>
                <w:szCs w:val="24"/>
              </w:rPr>
              <w:t>(Ganesh &amp; Mohankumar, 2017b)</w:t>
            </w:r>
            <w:r w:rsidRPr="0049220A">
              <w:rPr>
                <w:rFonts w:ascii="Times New Roman" w:hAnsi="Times New Roman" w:cs="Times New Roman"/>
                <w:sz w:val="24"/>
                <w:szCs w:val="24"/>
              </w:rPr>
              <w:fldChar w:fldCharType="end"/>
            </w:r>
          </w:p>
        </w:tc>
      </w:tr>
      <w:tr w:rsidR="0049220A" w:rsidRPr="0049220A" w14:paraId="3A1A2BDC" w14:textId="77777777" w:rsidTr="000D0B90">
        <w:trPr>
          <w:trHeight w:val="855"/>
        </w:trPr>
        <w:tc>
          <w:tcPr>
            <w:tcW w:w="2922" w:type="dxa"/>
          </w:tcPr>
          <w:p w14:paraId="62C609FC"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Rhodopin</w:t>
            </w:r>
          </w:p>
        </w:tc>
        <w:tc>
          <w:tcPr>
            <w:tcW w:w="1920" w:type="dxa"/>
          </w:tcPr>
          <w:p w14:paraId="6279EC33"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Carotenoid</w:t>
            </w:r>
          </w:p>
        </w:tc>
        <w:tc>
          <w:tcPr>
            <w:tcW w:w="2713" w:type="dxa"/>
          </w:tcPr>
          <w:p w14:paraId="7A6750B1"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Antioxidant, Antiproliferative,</w:t>
            </w:r>
          </w:p>
          <w:p w14:paraId="688F9347"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Antioxidant</w:t>
            </w:r>
          </w:p>
        </w:tc>
        <w:tc>
          <w:tcPr>
            <w:tcW w:w="1620" w:type="dxa"/>
          </w:tcPr>
          <w:p w14:paraId="67120A18"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fldChar w:fldCharType="begin" w:fldLock="1"/>
            </w:r>
            <w:r w:rsidRPr="0049220A">
              <w:rPr>
                <w:rFonts w:ascii="Times New Roman" w:hAnsi="Times New Roman" w:cs="Times New Roman"/>
                <w:sz w:val="24"/>
                <w:szCs w:val="24"/>
              </w:rPr>
              <w:instrText>ADDIN CSL_CITATION {"citationItems":[{"id":"ITEM-1","itemData":{"DOI":"10.3390/MOLECULES28093939","ISSN":"1420-3049","PMID":"37175349","abstract":"Tephorosia purpurea subsp. apollinea was extracted with methanol and n-hexane to obtain sub-fractions. The chemical compounds identified with GC-MS and HPLC in T. purpurea subsp. apollinea extracts showed antioxidant and anticancer properties. The antioxidant and anticancer activities were investigated using DDPH and ABTS assays, and MTT assay, respectively. Stigmasta-5,24(28)-dien-3-ol, (3 β,24Z)-, 9,12,15-octadecatrienoic acid methyl ester, phytol, chlorogenic acid, and quercetin were the major chemical compounds detected in T. purpurea subsp. apollinea. These compounds possessed antioxidant and anticancer properties. The methanol extract showed antioxidant properties with DDPH and ABTS radical scavenging of 84% and 94%, respectively, relative to ascorbic acid and trolox. The anticancer effects of T. purpurea subsp. apollinea against the cancer cell lines MCF7 (IC50 = 102.8 ± 0.6 μg/mL), MG63 (IC50 = 118.3 ± 2.5 μg/mL), T47D (IC50 = 114.7 ± 1.0 μg/mL), HeLa (IC50 = 196.3 ± 2.3 μg/mL), and PC3 (IC50 = 117.7 ± 1.1 μg/mL) were greater than its anticancer effects against U379 (IC50 = 248.4 ± 7.5 μg/mL). However, it had no adverse effects on the normal cells (WI38) (IC50 = 242.9 ± 1.8 μg/mL). Therefore, the major active constituents presented in T. purpurea subsp. apollinea can be isolated and studied for their potential antioxidant and anticancer effects against breast, cervical, and prostate cancers and osteosarcoma.","author":[{"dropping-particle":"","family":"Youssef","given":"Ahmed M.M.","non-dropping-particle":"","parse-names":false,"suffix":""},{"dropping-particle":"","family":"Maaty","given":"Doaa A.M.","non-dropping-particle":"","parse-names":false,"suffix":""},{"dropping-particle":"","family":"Al-Saraireh","given":"Yousef M.","non-dropping-particle":"","parse-names":false,"suffix":""}],"container-title":"Molecules","id":"ITEM-1","issue":"9","issued":{"date-parts":[["2023","5","7"]]},"page":"3939","publisher":"Multidisciplinary Digital Publishing Institute","title":"Phytochemical Analysis and Profiling of Antioxidants and Anticancer Compounds from Tephrosia purpurea (L.) subsp. apollinea Family Fabaceae","type":"article-journal","volume":"28"},"uris":["http://www.mendeley.com/documents/?uuid=a8d923f8-5671-346d-9a43-6d33de945aeb"]}],"mendeley":{"formattedCitation":"(Youssef et al., 2023)","plainTextFormattedCitation":"(Youssef et al., 2023)","previouslyFormattedCitation":"(Youssef et al., 2023)"},"properties":{"noteIndex":0},"schema":"https://github.com/citation-style-language/schema/raw/master/csl-citation.json"}</w:instrText>
            </w:r>
            <w:r w:rsidRPr="0049220A">
              <w:rPr>
                <w:rFonts w:ascii="Times New Roman" w:hAnsi="Times New Roman" w:cs="Times New Roman"/>
                <w:sz w:val="24"/>
                <w:szCs w:val="24"/>
              </w:rPr>
              <w:fldChar w:fldCharType="separate"/>
            </w:r>
            <w:r w:rsidRPr="0049220A">
              <w:rPr>
                <w:rFonts w:ascii="Times New Roman" w:hAnsi="Times New Roman" w:cs="Times New Roman"/>
                <w:noProof/>
                <w:sz w:val="24"/>
                <w:szCs w:val="24"/>
              </w:rPr>
              <w:t>(Youssef et al., 2023)</w:t>
            </w:r>
            <w:r w:rsidRPr="0049220A">
              <w:rPr>
                <w:rFonts w:ascii="Times New Roman" w:hAnsi="Times New Roman" w:cs="Times New Roman"/>
                <w:sz w:val="24"/>
                <w:szCs w:val="24"/>
              </w:rPr>
              <w:fldChar w:fldCharType="end"/>
            </w:r>
          </w:p>
        </w:tc>
      </w:tr>
      <w:tr w:rsidR="0049220A" w:rsidRPr="0049220A" w14:paraId="0B07494D" w14:textId="77777777" w:rsidTr="000D0B90">
        <w:tc>
          <w:tcPr>
            <w:tcW w:w="2922" w:type="dxa"/>
          </w:tcPr>
          <w:p w14:paraId="19117B67"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Palmitic acid, 2-(tetradecyloxy) ethyl ester</w:t>
            </w:r>
          </w:p>
        </w:tc>
        <w:tc>
          <w:tcPr>
            <w:tcW w:w="1920" w:type="dxa"/>
          </w:tcPr>
          <w:p w14:paraId="4EB7E826"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Fatty acid ether ester</w:t>
            </w:r>
          </w:p>
        </w:tc>
        <w:tc>
          <w:tcPr>
            <w:tcW w:w="2713" w:type="dxa"/>
          </w:tcPr>
          <w:p w14:paraId="0051C975"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Antimicrobial, cytotoxic</w:t>
            </w:r>
          </w:p>
        </w:tc>
        <w:tc>
          <w:tcPr>
            <w:tcW w:w="1620" w:type="dxa"/>
          </w:tcPr>
          <w:p w14:paraId="5CAA4433"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fldChar w:fldCharType="begin" w:fldLock="1"/>
            </w:r>
            <w:r w:rsidRPr="0049220A">
              <w:rPr>
                <w:rFonts w:ascii="Times New Roman" w:hAnsi="Times New Roman" w:cs="Times New Roman"/>
                <w:sz w:val="24"/>
                <w:szCs w:val="24"/>
              </w:rPr>
              <w:instrText>ADDIN CSL_CITATION {"citationItems":[{"id":"ITEM-1","itemData":{"DOI":"10.3389/FPHYS.2017.00902","ISSN":"1664042X","PMID":"29167646","abstract":"Palmitic acid (PA) has been for long time negatively depicted for its putative detrimental health effects, shadowing its multiple crucial physiological activities. PA is the most common saturated fatty acid accounting for 20-30% of total fatty acids in the human body and can be provided in the diet or synthesized endogenously via de novo lipogenesis (DNL). PA tissue content seems to be controlled around a well-defined concentration, and changes in its intake do not influence significantly its tissue concentration because the exogenous source is counterbalanced by PA endogenous biosynthesis. Particular physiopathological conditions and nutritional factors may strongly induce DNL, resulting in increased tissue content of PA and disrupted homeostatic control of its tissue concentration. The tight homeostatic control of PA tissue concentration is likely related to its fundamental physiological role to guarantee membrane physical properties but also to consent protein palmitoylation, palmitoylethanolamide (PEA) biosynthesis, and in the lung an efficient surfactant activity. In order to maintain membrane phospholipids (PL) balance may be crucial an optimal intake of PA in a certain ratio with unsaturated fatty acids, especially PUFAs of both n-6 and n-3 families. However, in presence of other factors such as positive energy balance, excessive intake of carbohydrates (in particular mono and disaccharides), and a sedentary lifestyle, the mechanisms to maintain a steady state of PA concentration may be disrupted leading to an over accumulation of tissue PA resulting in dyslipidemia, hyperglycemia, increased ectopic fat accumulation and increased inflammatory tone via toll-like receptor 4. It is therefore likely that the controversial data on the association of dietary PA with detrimental health effects, may be related to an excessive imbalance of dietary PA/PUFA ratio which, in certain physiopathological conditions, and in presence of an enhanced DNL, may further accelerate these deleterious effects.","author":[{"dropping-particle":"","family":"Carta","given":"Gianfranca","non-dropping-particle":"","parse-names":false,"suffix":""},{"dropping-particle":"","family":"Murru","given":"Elisabetta","non-dropping-particle":"","parse-names":false,"suffix":""},{"dropping-particle":"","family":"Banni","given":"Sebastiano","non-dropping-particle":"","parse-names":false,"suffix":""},{"dropping-particle":"","family":"Manca","given":"Claudia","non-dropping-particle":"","parse-names":false,"suffix":""}],"container-title":"Frontiers in Physiology","id":"ITEM-1","issue":"NOV","issued":{"date-parts":[["2017","11","8"]]},"page":"902","publisher":"Frontiers Media S.A.","title":"Palmitic Acid: Physiological Role, Metabolism and Nutritional Implications","type":"article-journal","volume":"8"},"uris":["http://www.mendeley.com/documents/?uuid=a90ce1d3-4e74-33c9-b773-f0bb1cba514a"]}],"mendeley":{"formattedCitation":"(Carta et al., 2017)","plainTextFormattedCitation":"(Carta et al., 2017)","previouslyFormattedCitation":"(Carta et al., 2017)"},"properties":{"noteIndex":0},"schema":"https://github.com/citation-style-language/schema/raw/master/csl-citation.json"}</w:instrText>
            </w:r>
            <w:r w:rsidRPr="0049220A">
              <w:rPr>
                <w:rFonts w:ascii="Times New Roman" w:hAnsi="Times New Roman" w:cs="Times New Roman"/>
                <w:sz w:val="24"/>
                <w:szCs w:val="24"/>
              </w:rPr>
              <w:fldChar w:fldCharType="separate"/>
            </w:r>
            <w:r w:rsidRPr="0049220A">
              <w:rPr>
                <w:rFonts w:ascii="Times New Roman" w:hAnsi="Times New Roman" w:cs="Times New Roman"/>
                <w:noProof/>
                <w:sz w:val="24"/>
                <w:szCs w:val="24"/>
              </w:rPr>
              <w:t>(Carta et al., 2017)</w:t>
            </w:r>
            <w:r w:rsidRPr="0049220A">
              <w:rPr>
                <w:rFonts w:ascii="Times New Roman" w:hAnsi="Times New Roman" w:cs="Times New Roman"/>
                <w:sz w:val="24"/>
                <w:szCs w:val="24"/>
              </w:rPr>
              <w:fldChar w:fldCharType="end"/>
            </w:r>
          </w:p>
        </w:tc>
      </w:tr>
      <w:tr w:rsidR="0049220A" w:rsidRPr="0049220A" w14:paraId="78C41E3E" w14:textId="77777777" w:rsidTr="000D0B90">
        <w:tc>
          <w:tcPr>
            <w:tcW w:w="2922" w:type="dxa"/>
          </w:tcPr>
          <w:p w14:paraId="3193B8A2"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lastRenderedPageBreak/>
              <w:t>12-Methyl-E,E-2,13-octadecadien-1-ol</w:t>
            </w:r>
          </w:p>
        </w:tc>
        <w:tc>
          <w:tcPr>
            <w:tcW w:w="1920" w:type="dxa"/>
          </w:tcPr>
          <w:p w14:paraId="0B1EF865"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Unsaturated fatty alcohol</w:t>
            </w:r>
          </w:p>
        </w:tc>
        <w:tc>
          <w:tcPr>
            <w:tcW w:w="2713" w:type="dxa"/>
          </w:tcPr>
          <w:p w14:paraId="3E2BF07E"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Antimicrobial, pheromone activity</w:t>
            </w:r>
          </w:p>
        </w:tc>
        <w:tc>
          <w:tcPr>
            <w:tcW w:w="1620" w:type="dxa"/>
          </w:tcPr>
          <w:p w14:paraId="36B5D549"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fldChar w:fldCharType="begin" w:fldLock="1"/>
            </w:r>
            <w:r w:rsidRPr="0049220A">
              <w:rPr>
                <w:rFonts w:ascii="Times New Roman" w:hAnsi="Times New Roman" w:cs="Times New Roman"/>
                <w:sz w:val="24"/>
                <w:szCs w:val="24"/>
              </w:rPr>
              <w:instrText>ADDIN CSL_CITATION {"citationItems":[{"id":"ITEM-1","itemData":{"DOI":"10.30491/JABR.2022.335430.1514","author":[{"dropping-particle":"","family":"Fakhry Abdel-Motaal","given":"Fatma","non-dropping-particle":"","parse-names":false,"suffix":""},{"dropping-particle":"","family":"Kamel","given":"Noha M","non-dropping-particle":"","parse-names":false,"suffix":""},{"dropping-particle":"","family":"El-Zayat","given":"Soad A","non-dropping-particle":"","parse-names":false,"suffix":""},{"dropping-particle":"","family":"El-Hamd Mohamed","given":"Abou H","non-dropping-particle":"","parse-names":false,"suffix":""},{"dropping-particle":"","family":"Darwish","given":"Doaa B","non-dropping-particle":"","parse-names":false,"suffix":""},{"dropping-particle":"","family":"Professor","given":"Associate","non-dropping-particle":"","parse-names":false,"suffix":""}],"container-title":"J Appl Biotechnol Rep","id":"ITEM-1","issue":"4","issued":{"date-parts":[["2022"]]},"page":"831-840","title":"Plant Seedling Growth Stimulation and Antifungal Activities of Volatile Organic Compounds Emitted by Aspergillus flavus Endophyte","type":"article-journal","volume":"9"},"uris":["http://www.mendeley.com/documents/?uuid=fcf26b81-969e-39de-b4c3-b6e53a77194e"]}],"mendeley":{"formattedCitation":"(Fakhry Abdel-Motaal et al., 2022)","plainTextFormattedCitation":"(Fakhry Abdel-Motaal et al., 2022)","previouslyFormattedCitation":"(Fakhry Abdel-Motaal et al., 2022)"},"properties":{"noteIndex":0},"schema":"https://github.com/citation-style-language/schema/raw/master/csl-citation.json"}</w:instrText>
            </w:r>
            <w:r w:rsidRPr="0049220A">
              <w:rPr>
                <w:rFonts w:ascii="Times New Roman" w:hAnsi="Times New Roman" w:cs="Times New Roman"/>
                <w:sz w:val="24"/>
                <w:szCs w:val="24"/>
              </w:rPr>
              <w:fldChar w:fldCharType="separate"/>
            </w:r>
            <w:r w:rsidRPr="0049220A">
              <w:rPr>
                <w:rFonts w:ascii="Times New Roman" w:hAnsi="Times New Roman" w:cs="Times New Roman"/>
                <w:noProof/>
                <w:sz w:val="24"/>
                <w:szCs w:val="24"/>
              </w:rPr>
              <w:t>(Fakhry Abdel-Motaal et al., 2022)</w:t>
            </w:r>
            <w:r w:rsidRPr="0049220A">
              <w:rPr>
                <w:rFonts w:ascii="Times New Roman" w:hAnsi="Times New Roman" w:cs="Times New Roman"/>
                <w:sz w:val="24"/>
                <w:szCs w:val="24"/>
              </w:rPr>
              <w:fldChar w:fldCharType="end"/>
            </w:r>
          </w:p>
        </w:tc>
      </w:tr>
      <w:tr w:rsidR="0049220A" w:rsidRPr="0049220A" w14:paraId="14BC3CC1" w14:textId="77777777" w:rsidTr="000D0B90">
        <w:tc>
          <w:tcPr>
            <w:tcW w:w="2922" w:type="dxa"/>
          </w:tcPr>
          <w:p w14:paraId="16C930BB"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1,2-15,16-Diepoxyhexadecane</w:t>
            </w:r>
          </w:p>
        </w:tc>
        <w:tc>
          <w:tcPr>
            <w:tcW w:w="1920" w:type="dxa"/>
          </w:tcPr>
          <w:p w14:paraId="3F5F2151"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Epoxy alkane</w:t>
            </w:r>
          </w:p>
        </w:tc>
        <w:tc>
          <w:tcPr>
            <w:tcW w:w="2713" w:type="dxa"/>
          </w:tcPr>
          <w:p w14:paraId="3F8E00C9"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Antimicrobial, reactive lipid</w:t>
            </w:r>
          </w:p>
        </w:tc>
        <w:tc>
          <w:tcPr>
            <w:tcW w:w="1620" w:type="dxa"/>
          </w:tcPr>
          <w:p w14:paraId="45C0E920"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fldChar w:fldCharType="begin" w:fldLock="1"/>
            </w:r>
            <w:r w:rsidR="00EA3896" w:rsidRPr="0049220A">
              <w:rPr>
                <w:rFonts w:ascii="Times New Roman" w:hAnsi="Times New Roman" w:cs="Times New Roman"/>
                <w:sz w:val="24"/>
                <w:szCs w:val="24"/>
              </w:rPr>
              <w:instrText>ADDIN CSL_CITATION {"citationItems":[{"id":"ITEM-1","itemData":{"DOI":"10.1007/S13197-017-2744-Z","ISSN":"0022-1155","PMID":"28974793","abstract":"Sida cordata (Burm.f.) is a pineal tropical plant in the family Malvaceae that is found throughout India and used to treat various diseases and ailments in many complementary and alternative medicine systems. This study identified the bioactive components present in whole-plant ethanol extracts of S. cordata using gas chromatography–mass spectrometry (GC–MS). Based on their retention times (RT) and mass-to-charge ratios (m/z), 29 bioactive compounds were identified: nonanoic acid, vitamin D3, 3-trifluroacetoxypentadecane, α-d-glucopyranoside, O-α-d-glucopyranosyl-(1.fwdarw.3)-α-d-fructofuranosyl,3,7,11,15-tetramethyl-2-hexadecan-1-ol, octadecanoic acid, ethyl ester, phytol, 9,12-octadecadienoic acid, methyl ester (E,E), 9,12,15-octadecadienoic acid, methyl ester (Z,Z,Z), oleic acid, 1,2-15,16-diepoxyhexadecane, 3-hexadecyloxycarbonyl-5-(2-hydroxyethyl)-4-methylimidazolium ion, methoxyacetic acid, 4-tetradecyl ester, 1,2-benzenedicarboxylic acid, mono (2-ethylhexyl) ester, 1-iodo-2-methylundecane, dodecane, 2,6,10-trimethyl-, 2-piperidinone-N-[4-bromo-n-butyl]-, squalene, octadecane-1-(ethenyloxy)-, Z,Z-2,5-pentadecadien-1-ol, 1-hexadecanol, 2-methyl-, spiro[androst-5ene-17,1′-cyclobutan]-2′-one-3-hydroxy-, (3a,17a)-, diethylene glycol monododecyl ether, vitamin E, cholestan-3-ol, 2-methylene-, (3a,5a)-, 2H-pyran, 2-(7-heptadecynyloxy)tetrahydro-, and cis-Z-α-bisabolene epoxide. The presence of various bioactive compounds justifies the use of this plant for treating various ailments by traditional practitioners.","author":[{"dropping-particle":"","family":"Ganesh","given":"Mani","non-dropping-particle":"","parse-names":false,"suffix":""},{"dropping-particle":"","family":"Mohankumar","given":"Murugan","non-dropping-particle":"","parse-names":false,"suffix":""}],"container-title":"Journal of food science and technology","id":"ITEM-1","issue":"10","issued":{"date-parts":[["2017","9","1"]]},"page":"3082-3091","publisher":"J Food Sci Technol","title":"Extraction and identification of bioactive components in Sida cordata (Burm.f.) using gas chromatography-mass spectrometry","type":"article-journal","volume":"54"},"uris":["http://www.mendeley.com/documents/?uuid=8ed35788-b960-395d-b02f-9674e1facfdf"]}],"mendeley":{"formattedCitation":"(Ganesh &amp; Mohankumar, 2017a)","plainTextFormattedCitation":"(Ganesh &amp; Mohankumar, 2017a)","previouslyFormattedCitation":"(Ganesh &amp; Mohankumar, 2017a)"},"properties":{"noteIndex":0},"schema":"https://github.com/citation-style-language/schema/raw/master/csl-citation.json"}</w:instrText>
            </w:r>
            <w:r w:rsidRPr="0049220A">
              <w:rPr>
                <w:rFonts w:ascii="Times New Roman" w:hAnsi="Times New Roman" w:cs="Times New Roman"/>
                <w:sz w:val="24"/>
                <w:szCs w:val="24"/>
              </w:rPr>
              <w:fldChar w:fldCharType="separate"/>
            </w:r>
            <w:r w:rsidR="00EA3896" w:rsidRPr="0049220A">
              <w:rPr>
                <w:rFonts w:ascii="Times New Roman" w:hAnsi="Times New Roman" w:cs="Times New Roman"/>
                <w:noProof/>
                <w:sz w:val="24"/>
                <w:szCs w:val="24"/>
              </w:rPr>
              <w:t>(Ganesh &amp; Mohankumar, 2017a)</w:t>
            </w:r>
            <w:r w:rsidRPr="0049220A">
              <w:rPr>
                <w:rFonts w:ascii="Times New Roman" w:hAnsi="Times New Roman" w:cs="Times New Roman"/>
                <w:sz w:val="24"/>
                <w:szCs w:val="24"/>
              </w:rPr>
              <w:fldChar w:fldCharType="end"/>
            </w:r>
          </w:p>
        </w:tc>
      </w:tr>
      <w:tr w:rsidR="0049220A" w:rsidRPr="0049220A" w14:paraId="6924754B" w14:textId="77777777" w:rsidTr="000D0B90">
        <w:trPr>
          <w:trHeight w:val="674"/>
        </w:trPr>
        <w:tc>
          <w:tcPr>
            <w:tcW w:w="2922" w:type="dxa"/>
          </w:tcPr>
          <w:p w14:paraId="14738092"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11-Octadecenal</w:t>
            </w:r>
          </w:p>
        </w:tc>
        <w:tc>
          <w:tcPr>
            <w:tcW w:w="1920" w:type="dxa"/>
          </w:tcPr>
          <w:p w14:paraId="2E182D51"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Unsaturated fatty aldehyde</w:t>
            </w:r>
          </w:p>
        </w:tc>
        <w:tc>
          <w:tcPr>
            <w:tcW w:w="2713" w:type="dxa"/>
          </w:tcPr>
          <w:p w14:paraId="708F52D1"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Pheromone, antimicrobial, cytotoxic</w:t>
            </w:r>
          </w:p>
        </w:tc>
        <w:tc>
          <w:tcPr>
            <w:tcW w:w="1620" w:type="dxa"/>
          </w:tcPr>
          <w:p w14:paraId="45690653"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fldChar w:fldCharType="begin" w:fldLock="1"/>
            </w:r>
            <w:r w:rsidRPr="0049220A">
              <w:rPr>
                <w:rFonts w:ascii="Times New Roman" w:hAnsi="Times New Roman" w:cs="Times New Roman"/>
                <w:sz w:val="24"/>
                <w:szCs w:val="24"/>
              </w:rPr>
              <w:instrText>ADDIN CSL_CITATION {"citationItems":[{"id":"ITEM-1","itemData":{"DOI":"10.1007/B95449","ISSN":"0340-1022","PMID":"22160231","abstract":"As a consequence of the diversity of Lepidoptera, including 150,000 described species, interesting species-specific sex pheromone systems are exhibited in this insect group. The quite varied pheromones, which have been identified from female moths of nearly 530 species from around the world, are classified into groups of Type I (75%),Type II (15%), and miscellaneous (10%), according to their chemical structures.Additionally,many pheromones produced by male moths and butterflies have been known.While new sex pheromones from about 70 lepidopteran species have been reported in the last five years utilizing GC-EAD, GC-MS,LC,and NMR,our information about the pheromones is still rudimentary, and these kinds of semiochemicals remain an exciting research target for natural product chemistry. In addition to the overview of their chemical structures, this chapter deals with current methods for their identification. Furthermore, an actual application of the synthetic pheromones for pest control is briefly introduced.","author":[{"dropping-particle":"","family":"Ando","given":"Tetsu","non-dropping-particle":"","parse-names":false,"suffix":""},{"dropping-particle":"","family":"Inomata","given":"Shin-ichi","non-dropping-particle":"","parse-names":false,"suffix":""},{"dropping-particle":"","family":"Yamamoto","given":"Masanobu","non-dropping-particle":"","parse-names":false,"suffix":""}],"container-title":"Topics in current chemistry","id":"ITEM-1","issued":{"date-parts":[["2004"]]},"page":"51-96","publisher":"Top Curr Chem","title":"Lepidopteran sex pheromones","type":"article-journal","volume":"239"},"uris":["http://www.mendeley.com/documents/?uuid=67e4fdb7-af95-3242-bfab-42935ba3b581"]}],"mendeley":{"formattedCitation":"(Ando et al., 2004)","plainTextFormattedCitation":"(Ando et al., 2004)","previouslyFormattedCitation":"(Ando et al., 2004)"},"properties":{"noteIndex":0},"schema":"https://github.com/citation-style-language/schema/raw/master/csl-citation.json"}</w:instrText>
            </w:r>
            <w:r w:rsidRPr="0049220A">
              <w:rPr>
                <w:rFonts w:ascii="Times New Roman" w:hAnsi="Times New Roman" w:cs="Times New Roman"/>
                <w:sz w:val="24"/>
                <w:szCs w:val="24"/>
              </w:rPr>
              <w:fldChar w:fldCharType="separate"/>
            </w:r>
            <w:r w:rsidRPr="0049220A">
              <w:rPr>
                <w:rFonts w:ascii="Times New Roman" w:hAnsi="Times New Roman" w:cs="Times New Roman"/>
                <w:noProof/>
                <w:sz w:val="24"/>
                <w:szCs w:val="24"/>
              </w:rPr>
              <w:t>(Ando et al., 2004)</w:t>
            </w:r>
            <w:r w:rsidRPr="0049220A">
              <w:rPr>
                <w:rFonts w:ascii="Times New Roman" w:hAnsi="Times New Roman" w:cs="Times New Roman"/>
                <w:sz w:val="24"/>
                <w:szCs w:val="24"/>
              </w:rPr>
              <w:fldChar w:fldCharType="end"/>
            </w:r>
          </w:p>
        </w:tc>
      </w:tr>
      <w:tr w:rsidR="0049220A" w:rsidRPr="0049220A" w14:paraId="5A802A85" w14:textId="77777777" w:rsidTr="000D0B90">
        <w:trPr>
          <w:trHeight w:val="701"/>
        </w:trPr>
        <w:tc>
          <w:tcPr>
            <w:tcW w:w="2922" w:type="dxa"/>
          </w:tcPr>
          <w:p w14:paraId="36B4A19A"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Docosanoic acid,8,9,13-trihydroxy-, methyl ester</w:t>
            </w:r>
          </w:p>
        </w:tc>
        <w:tc>
          <w:tcPr>
            <w:tcW w:w="1920" w:type="dxa"/>
          </w:tcPr>
          <w:p w14:paraId="4AA8653D"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Hydroxylated fatty ester</w:t>
            </w:r>
          </w:p>
        </w:tc>
        <w:tc>
          <w:tcPr>
            <w:tcW w:w="2713" w:type="dxa"/>
          </w:tcPr>
          <w:p w14:paraId="3940BC43"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Antioxidant, antimicrobial</w:t>
            </w:r>
          </w:p>
        </w:tc>
        <w:tc>
          <w:tcPr>
            <w:tcW w:w="1620" w:type="dxa"/>
          </w:tcPr>
          <w:p w14:paraId="03832DC9"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fldChar w:fldCharType="begin" w:fldLock="1"/>
            </w:r>
            <w:r w:rsidRPr="0049220A">
              <w:rPr>
                <w:rFonts w:ascii="Times New Roman" w:hAnsi="Times New Roman" w:cs="Times New Roman"/>
                <w:sz w:val="24"/>
                <w:szCs w:val="24"/>
              </w:rPr>
              <w:instrText>ADDIN CSL_CITATION {"citationItems":[{"id":"ITEM-1","itemData":{"DOI":"10.3390/MOLECULES27175453","ISSN":"14203049","PMID":"36080220","abstract":"Opuntia ficus-indica (OFI) is a cactus that is widely cultivated in the Kingdom of Saudi Arabia especially in the Taif region due to its favorable weather for growing, and it has benefits as a food and traditional medicine. The aim of the current study was to chemically characterize Opuntia ficus-indica seed oil from Taif, Kingdom of Saudi Arabia, using GC-MS and HPLC analysis and evaluate its antioxidant, antiviral, antifungal, antibacterial and anticancer activities. Linolenic acid was the dominating fatty acid in OFI oil, followed by oleic acid, linoleic acid, palmitic acid and stearic acid. Total tocopherol (α-, β-, Ɣ-tocopherol) was found to be 24.02 μg/mL. Campesterol was the main phytosterol, followed by γ- &amp; β -sitosterol, and Stigmasterol. The phenolic components scored 30.5 mg gallic acid equivalent per ml of oil with 89.2% antioxidant activity (% DPPH radical inhibition) at 200 µL/mL of OFI oil. OFI oil showed an inhibition efficacy against microbial strains especially Saccharomyces cervisiae with a diameter (28.3 ± 0.4), MBC (15 µg/mL) and MIC bacteriostatic (10 µg/mL). While OFI oil had no effect against Aspergillus niger, OFI oil showed weak inhibitory activity against A-2780 (Ovarian carcinoma) cell line, although it showed significant inhibitory activity against PC-3 (Prostate carcinoma) cell line. OFI oil exhibited an antiviral effect (22.67 ± 2.79%) at 300 µg/mL of Oil against herpes simplex type 2 (HSV-2) virus. The bioactive compounds of OFI oil, as well as its main biological activities, make it a promising candidate for the non-communicable disease management.","author":[{"dropping-particle":"","family":"Alqurashi","given":"Abeer S.","non-dropping-particle":"","parse-names":false,"suffix":""},{"dropping-particle":"","family":"Masoudi","given":"Luluah M.","non-dropping-particle":"Al","parse-names":false,"suffix":""},{"dropping-particle":"","family":"Hamdi","given":"Hamida","non-dropping-particle":"","parse-names":false,"suffix":""},{"dropping-particle":"","family":"Abu Zaid","given":"Abeer","non-dropping-particle":"","parse-names":false,"suffix":""}],"container-title":"Molecules","id":"ITEM-1","issue":"17","issued":{"date-parts":[["2022","9","1"]]},"page":"5453","publisher":"MDPI","title":"Chemical Composition and Antioxidant, Antiviral, Antifungal, Antibacterial and Anticancer Potentials of Opuntia ficus-indica Seed Oil","type":"article-journal","volume":"27"},"uris":["http://www.mendeley.com/documents/?uuid=a95916cf-05b2-3c59-8ab1-02ba1d25b10f"]}],"mendeley":{"formattedCitation":"(Alqurashi et al., 2022)","plainTextFormattedCitation":"(Alqurashi et al., 2022)","previouslyFormattedCitation":"(Alqurashi et al., 2022)"},"properties":{"noteIndex":0},"schema":"https://github.com/citation-style-language/schema/raw/master/csl-citation.json"}</w:instrText>
            </w:r>
            <w:r w:rsidRPr="0049220A">
              <w:rPr>
                <w:rFonts w:ascii="Times New Roman" w:hAnsi="Times New Roman" w:cs="Times New Roman"/>
                <w:sz w:val="24"/>
                <w:szCs w:val="24"/>
              </w:rPr>
              <w:fldChar w:fldCharType="separate"/>
            </w:r>
            <w:r w:rsidRPr="0049220A">
              <w:rPr>
                <w:rFonts w:ascii="Times New Roman" w:hAnsi="Times New Roman" w:cs="Times New Roman"/>
                <w:noProof/>
                <w:sz w:val="24"/>
                <w:szCs w:val="24"/>
              </w:rPr>
              <w:t>(Alqurashi et al., 2022)</w:t>
            </w:r>
            <w:r w:rsidRPr="0049220A">
              <w:rPr>
                <w:rFonts w:ascii="Times New Roman" w:hAnsi="Times New Roman" w:cs="Times New Roman"/>
                <w:sz w:val="24"/>
                <w:szCs w:val="24"/>
              </w:rPr>
              <w:fldChar w:fldCharType="end"/>
            </w:r>
          </w:p>
        </w:tc>
      </w:tr>
      <w:tr w:rsidR="000B6857" w:rsidRPr="0049220A" w14:paraId="6B889017" w14:textId="77777777" w:rsidTr="000D0B90">
        <w:tc>
          <w:tcPr>
            <w:tcW w:w="2922" w:type="dxa"/>
          </w:tcPr>
          <w:p w14:paraId="01EC1A7E"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Octadecanal, 2-bromo-</w:t>
            </w:r>
          </w:p>
        </w:tc>
        <w:tc>
          <w:tcPr>
            <w:tcW w:w="1920" w:type="dxa"/>
          </w:tcPr>
          <w:p w14:paraId="59C11602"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Halogenated fatty aldehyde</w:t>
            </w:r>
          </w:p>
        </w:tc>
        <w:tc>
          <w:tcPr>
            <w:tcW w:w="2713" w:type="dxa"/>
          </w:tcPr>
          <w:p w14:paraId="5F763A72"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Antimicrobial, antifouling, cytotoxic</w:t>
            </w:r>
          </w:p>
        </w:tc>
        <w:tc>
          <w:tcPr>
            <w:tcW w:w="1620" w:type="dxa"/>
          </w:tcPr>
          <w:p w14:paraId="55AD1196"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fldChar w:fldCharType="begin" w:fldLock="1"/>
            </w:r>
            <w:r w:rsidRPr="0049220A">
              <w:rPr>
                <w:rFonts w:ascii="Times New Roman" w:hAnsi="Times New Roman" w:cs="Times New Roman"/>
                <w:sz w:val="24"/>
                <w:szCs w:val="24"/>
              </w:rPr>
              <w:instrText>ADDIN CSL_CITATION {"citationItems":[{"id":"ITEM-1","itemData":{"ISSN":"20084447","PMID":"28210466","abstract":"Background and Objectives: Acinetobacter spp. are important causes of nosocomial infections. They possess various antibiotic resistance mechanisms including extended spectrum beta lactamases (ESBLs). The aim of this study was to determine antibiotic resistance profile of Acinetobacter clinical isolates especially among ESBL-producing strains and to investigate the antimicrobial effects of oleo-gum-resin extract and essential oil of Ferula gummosa Boiss. Materials and Methods: 120 Acinetobacter strains were isolated from various clinical samples of hospitalized patients in Baqiyatallah hospital, Tehran during 2011-2012. Antibiotic susceptibility test was performed on the isolates using disk diffusion method. To detect and confirm the ESBL-positive isolates, phenotypic and genotypic tests were performed. Three types of F. gummosa oleo-gum-resin extracts and essential oils were prepared and the bioactive components of F. gummosa Boiss extracts were determined by GC-Mass chromatography. F. gummosa antimicrobial activity was evaluated against standard strain of Acinetobacter baumannii (ATCC19606) as well as Acinetobacter clinical isolates using well and disk diffusion methods. Minimum inhibitory concentration (MIC) and minimum bactericidal concentration (MBC) were determined by broth microdilution method. Results: 46 isolates were resistant to all tested antibiotics. All clinical isolates were resistant to cefotaxime. 12.94% of the isolates were phenotypically ESBL-producing among which 94.2% carried ESBL genes (blaPER-1, blaOXA-4 and blaCTX-M) detected by PCR. Oleo-gum-resin of F. gummosa had significant antibacterial activity and alcoholic essential oil had higher inhibitory effect on Acinetobacter strains (MIC of 18.75 mg/ml). Conclusion: Ferula gummosa extract contained components with well-known antimicrobial effects.","author":[{"dropping-particle":"","family":"Farid-Afshar","given":"Fatemeh","non-dropping-particle":"","parse-names":false,"suffix":""},{"dropping-particle":"","family":"Saffarian","given":"Parvaneh","non-dropping-particle":"","parse-names":false,"suffix":""},{"dropping-particle":"","family":"Mahmoodzadeh-Hosseini","given":"Hamideh","non-dropping-particle":"","parse-names":false,"suffix":""},{"dropping-particle":"","family":"Sattarian","given":"Fereshteh","non-dropping-particle":"","parse-names":false,"suffix":""},{"dropping-particle":"","family":"Amin","given":"Mohsen","non-dropping-particle":"","parse-names":false,"suffix":""},{"dropping-particle":"","family":"Fooladi","given":"Abbas Ali Imani","non-dropping-particle":"","parse-names":false,"suffix":""}],"container-title":"Iranian Journal of Microbiology","id":"ITEM-1","issue":"4","issued":{"date-parts":[["2016"]]},"page":"263","publisher":"Tehran University of Medical Science","title":"Antimicrobial effects of Ferula gummosa Boiss gum against extended-spectrum β-lactamase producing Acinetobacter clinical isolates","type":"article-journal","volume":"8"},"uris":["http://www.mendeley.com/documents/?uuid=657d224a-56f6-3d6b-84c3-92148d396ee6"]}],"mendeley":{"formattedCitation":"(Farid-Afshar et al., 2016)","plainTextFormattedCitation":"(Farid-Afshar et al., 2016)","previouslyFormattedCitation":"(Farid-Afshar et al., 2016)"},"properties":{"noteIndex":0},"schema":"https://github.com/citation-style-language/schema/raw/master/csl-citation.json"}</w:instrText>
            </w:r>
            <w:r w:rsidRPr="0049220A">
              <w:rPr>
                <w:rFonts w:ascii="Times New Roman" w:hAnsi="Times New Roman" w:cs="Times New Roman"/>
                <w:sz w:val="24"/>
                <w:szCs w:val="24"/>
              </w:rPr>
              <w:fldChar w:fldCharType="separate"/>
            </w:r>
            <w:r w:rsidRPr="0049220A">
              <w:rPr>
                <w:rFonts w:ascii="Times New Roman" w:hAnsi="Times New Roman" w:cs="Times New Roman"/>
                <w:noProof/>
                <w:sz w:val="24"/>
                <w:szCs w:val="24"/>
              </w:rPr>
              <w:t>(Farid-Afshar et al., 2016)</w:t>
            </w:r>
            <w:r w:rsidRPr="0049220A">
              <w:rPr>
                <w:rFonts w:ascii="Times New Roman" w:hAnsi="Times New Roman" w:cs="Times New Roman"/>
                <w:sz w:val="24"/>
                <w:szCs w:val="24"/>
              </w:rPr>
              <w:fldChar w:fldCharType="end"/>
            </w:r>
          </w:p>
        </w:tc>
      </w:tr>
    </w:tbl>
    <w:p w14:paraId="710CB212" w14:textId="77777777" w:rsidR="006E13DA" w:rsidRPr="0049220A" w:rsidRDefault="006E13DA" w:rsidP="003421EC">
      <w:pPr>
        <w:jc w:val="both"/>
        <w:rPr>
          <w:rFonts w:ascii="Times New Roman" w:hAnsi="Times New Roman" w:cs="Times New Roman"/>
          <w:noProof/>
          <w:sz w:val="24"/>
          <w:szCs w:val="24"/>
          <w:lang w:eastAsia="en-GB"/>
        </w:rPr>
      </w:pPr>
    </w:p>
    <w:p w14:paraId="0F185627" w14:textId="77777777" w:rsidR="009222FD" w:rsidRPr="0049220A" w:rsidRDefault="00856A4D" w:rsidP="003421EC">
      <w:pPr>
        <w:jc w:val="both"/>
        <w:rPr>
          <w:rFonts w:ascii="Times New Roman" w:hAnsi="Times New Roman" w:cs="Times New Roman"/>
          <w:b/>
          <w:sz w:val="24"/>
          <w:szCs w:val="24"/>
        </w:rPr>
      </w:pPr>
      <w:r w:rsidRPr="0049220A">
        <w:rPr>
          <w:rFonts w:ascii="Times New Roman" w:hAnsi="Times New Roman" w:cs="Times New Roman"/>
          <w:b/>
          <w:sz w:val="24"/>
          <w:szCs w:val="24"/>
        </w:rPr>
        <w:t xml:space="preserve">4. </w:t>
      </w:r>
      <w:r w:rsidR="009222FD" w:rsidRPr="0049220A">
        <w:rPr>
          <w:rFonts w:ascii="Times New Roman" w:hAnsi="Times New Roman" w:cs="Times New Roman"/>
          <w:b/>
          <w:sz w:val="24"/>
          <w:szCs w:val="24"/>
        </w:rPr>
        <w:t>Discussion</w:t>
      </w:r>
    </w:p>
    <w:p w14:paraId="33ADC227" w14:textId="77777777" w:rsidR="00F7118C" w:rsidRPr="0049220A" w:rsidRDefault="00F7118C" w:rsidP="00F7118C">
      <w:pPr>
        <w:jc w:val="both"/>
        <w:rPr>
          <w:rFonts w:ascii="Times New Roman" w:hAnsi="Times New Roman" w:cs="Times New Roman"/>
          <w:sz w:val="24"/>
          <w:szCs w:val="24"/>
        </w:rPr>
      </w:pPr>
      <w:commentRangeStart w:id="6"/>
      <w:r w:rsidRPr="0049220A">
        <w:rPr>
          <w:rFonts w:ascii="Times New Roman" w:hAnsi="Times New Roman" w:cs="Times New Roman"/>
          <w:sz w:val="24"/>
          <w:szCs w:val="24"/>
        </w:rPr>
        <w:t xml:space="preserve">The GC-MS analysis of the ethanolic extract of </w:t>
      </w:r>
      <w:r w:rsidRPr="0049220A">
        <w:rPr>
          <w:rFonts w:ascii="Times New Roman" w:hAnsi="Times New Roman" w:cs="Times New Roman"/>
          <w:i/>
          <w:iCs/>
          <w:sz w:val="24"/>
          <w:szCs w:val="24"/>
        </w:rPr>
        <w:t>A. nayadiformis</w:t>
      </w:r>
      <w:r w:rsidRPr="0049220A">
        <w:rPr>
          <w:rFonts w:ascii="Times New Roman" w:hAnsi="Times New Roman" w:cs="Times New Roman"/>
          <w:sz w:val="24"/>
          <w:szCs w:val="24"/>
        </w:rPr>
        <w:t xml:space="preserve"> revealed the presence of diverse bioactive compounds, including fatty acids, esters, alcohols, alkanes, terpenoids, and steroidal derivatives, each contributing to the extract’s biological potential. The predominance of polyunsaturated fatty acids (PUFAs) and their derivatives, such as 5,8,11,14-eicosatetraenoic acid, phenylmethyl ester and 9,12,15-octadecatrienoic acid, methyl ester, indicates that </w:t>
      </w:r>
      <w:r w:rsidRPr="0049220A">
        <w:rPr>
          <w:rFonts w:ascii="Times New Roman" w:hAnsi="Times New Roman" w:cs="Times New Roman"/>
          <w:i/>
          <w:iCs/>
          <w:sz w:val="24"/>
          <w:szCs w:val="24"/>
        </w:rPr>
        <w:t>A. nayadiformis</w:t>
      </w:r>
      <w:r w:rsidRPr="0049220A">
        <w:rPr>
          <w:rFonts w:ascii="Times New Roman" w:hAnsi="Times New Roman" w:cs="Times New Roman"/>
          <w:sz w:val="24"/>
          <w:szCs w:val="24"/>
        </w:rPr>
        <w:t xml:space="preserve"> possesses strong anti-inflammatory, antioxidant, and antimicrobial properties</w:t>
      </w:r>
      <w:commentRangeEnd w:id="6"/>
      <w:r w:rsidR="00005579">
        <w:rPr>
          <w:rStyle w:val="CommentReference"/>
        </w:rPr>
        <w:commentReference w:id="6"/>
      </w:r>
      <w:r w:rsidRPr="0049220A">
        <w:rPr>
          <w:rFonts w:ascii="Times New Roman" w:hAnsi="Times New Roman" w:cs="Times New Roman"/>
          <w:sz w:val="24"/>
          <w:szCs w:val="24"/>
        </w:rPr>
        <w:t>. These findings are consistent with previous reports highlighting the crucial role of PUFA derivatives in modulating oxidative stress and immune responses</w:t>
      </w:r>
      <w:r w:rsidR="00AB1280" w:rsidRPr="0049220A">
        <w:rPr>
          <w:rFonts w:ascii="Times New Roman" w:hAnsi="Times New Roman" w:cs="Times New Roman"/>
          <w:sz w:val="24"/>
          <w:szCs w:val="24"/>
        </w:rPr>
        <w:t xml:space="preserve"> </w:t>
      </w:r>
      <w:r w:rsidR="00AB1280" w:rsidRPr="0049220A">
        <w:rPr>
          <w:rFonts w:ascii="Times New Roman" w:hAnsi="Times New Roman" w:cs="Times New Roman"/>
          <w:sz w:val="24"/>
          <w:szCs w:val="24"/>
        </w:rPr>
        <w:fldChar w:fldCharType="begin" w:fldLock="1"/>
      </w:r>
      <w:r w:rsidR="00AB1280" w:rsidRPr="0049220A">
        <w:rPr>
          <w:rFonts w:ascii="Times New Roman" w:hAnsi="Times New Roman" w:cs="Times New Roman"/>
          <w:sz w:val="24"/>
          <w:szCs w:val="24"/>
        </w:rPr>
        <w:instrText>ADDIN CSL_CITATION {"citationItems":[{"id":"ITEM-1","itemData":{"DOI":"10.1016/J.BBALIP.2014.08.010","ISSN":"1388-1981","PMID":"25149823","abstract":"Inflammation is a condition which contributes to a range of human diseases. It involves a multitude of cell types, chemical mediators, and interactions. Eicosapentaenoic acid (EPA) and docosahexaenoic acid (DHA) are omega-3 (n - 3) fatty acids found in oily fish and fish oil supplements. These fatty acids are able to partly inhibit a number of aspects of inflammation including leukocyte chemotaxis, adhesion molecule expression and leukocyte-endothelial adhesive interactions, production of eicosanoids like prostaglandins and leukotrienes from the n - 6 fatty acid arachidonic acid, production of inflammatory cytokines, and T-helper 1 lymphocyte reactivity. In addition, EPA gives rise to eicosanoids that often have lower biological potency than those produced from arachidonic acid and EPA and DHA give rise to anti-inflammatory and inflammation resolving mediators called resolvins, protectins and maresins. Mechanisms underlying the anti-inflammatory actions of marine n - 3 fatty acids include altered cell membrane phospholipid fatty acid composition, disruption of lipid rafts, inhibition of activation of the pro-inflammatory transcription factor nuclear factor kappa B so reducing expression of inflammatory genes, activation of the anti-inflammatory transcription factor peroxisome proliferator activated receptor γ and binding to the G protein coupled receptor GPR120. These mechanisms are interlinked, although the full extent of this is not yet elucidated. Animal experiments demonstrate benefit from marine n - 3 fatty acids in models of rheumatoid arthritis (RA), inflammatory bowel disease (IBD) and asthma. Clinical trials of fish oil in RA demonstrate benefit, but clinical trials of fish oil in IBD and asthma are inconsistent with no overall clear evidence of efficacy. This article is part of a Special Issue entitled \"Oxygenated metabolism of PUFA: analysis and biological relevance\".","author":[{"dropping-particle":"","family":"Calder","given":"Philip C.","non-dropping-particle":"","parse-names":false,"suffix":""}],"container-title":"Biochimica et Biophysica Acta (BBA) - Molecular and Cell Biology of Lipids","id":"ITEM-1","issue":"4","issued":{"date-parts":[["2015","4","1"]]},"page":"469-484","publisher":"Elsevier","title":"Marine omega-3 fatty acids and inflammatory processes: Effects, mechanisms and clinical relevance","type":"article-journal","volume":"1851"},"uris":["http://www.mendeley.com/documents/?uuid=45258b62-89f7-3b6e-b9c6-fdfd709f79ae"]},{"id":"ITEM-2","itemData":{"DOI":"10.1021/CR2002992,","ISSN":"00092665","PMID":"21942677","author":[{"dropping-particle":"","family":"Smith","given":"William L.","non-dropping-particle":"","parse-names":false,"suffix":""},{"dropping-particle":"","family":"Urade","given":"Yoshihiro","non-dropping-particle":"","parse-names":false,"suffix":""},{"dropping-particle":"","family":"Jakobsson","given":"Per Johan","non-dropping-particle":"","parse-names":false,"suffix":""}],"container-title":"Chemical Reviews","id":"ITEM-2","issue":"10","issued":{"date-parts":[["2011","10","12"]]},"page":"5821-5865","publisher":"Chem Rev","title":"Enzymes of the cyclooxygenase pathways of prostanoid biosynthesis","type":"article-journal","volume":"111"},"uris":["http://www.mendeley.com/documents/?uuid=13898d66-174e-3a67-b79e-6425403b8d6d"]}],"mendeley":{"formattedCitation":"(Calder, 2015; Smith et al., 2011)","plainTextFormattedCitation":"(Calder, 2015; Smith et al., 2011)","previouslyFormattedCitation":"(Calder, 2015; Smith et al., 2011)"},"properties":{"noteIndex":0},"schema":"https://github.com/citation-style-language/schema/raw/master/csl-citation.json"}</w:instrText>
      </w:r>
      <w:r w:rsidR="00AB1280" w:rsidRPr="0049220A">
        <w:rPr>
          <w:rFonts w:ascii="Times New Roman" w:hAnsi="Times New Roman" w:cs="Times New Roman"/>
          <w:sz w:val="24"/>
          <w:szCs w:val="24"/>
        </w:rPr>
        <w:fldChar w:fldCharType="separate"/>
      </w:r>
      <w:r w:rsidR="00AB1280" w:rsidRPr="0049220A">
        <w:rPr>
          <w:rFonts w:ascii="Times New Roman" w:hAnsi="Times New Roman" w:cs="Times New Roman"/>
          <w:noProof/>
          <w:sz w:val="24"/>
          <w:szCs w:val="24"/>
        </w:rPr>
        <w:t>(Calder, 2015; Smith et al., 2011)</w:t>
      </w:r>
      <w:r w:rsidR="00AB1280" w:rsidRPr="0049220A">
        <w:rPr>
          <w:rFonts w:ascii="Times New Roman" w:hAnsi="Times New Roman" w:cs="Times New Roman"/>
          <w:sz w:val="24"/>
          <w:szCs w:val="24"/>
        </w:rPr>
        <w:fldChar w:fldCharType="end"/>
      </w:r>
      <w:r w:rsidRPr="0049220A">
        <w:rPr>
          <w:rFonts w:ascii="Times New Roman" w:hAnsi="Times New Roman" w:cs="Times New Roman"/>
          <w:sz w:val="24"/>
          <w:szCs w:val="24"/>
        </w:rPr>
        <w:t>.</w:t>
      </w:r>
    </w:p>
    <w:p w14:paraId="2BFE1D8C" w14:textId="77777777" w:rsidR="00F7118C" w:rsidRPr="0049220A" w:rsidRDefault="00F7118C" w:rsidP="00F7118C">
      <w:pPr>
        <w:jc w:val="both"/>
        <w:rPr>
          <w:rFonts w:ascii="Times New Roman" w:hAnsi="Times New Roman" w:cs="Times New Roman"/>
          <w:sz w:val="24"/>
          <w:szCs w:val="24"/>
        </w:rPr>
      </w:pPr>
      <w:commentRangeStart w:id="7"/>
      <w:r w:rsidRPr="0049220A">
        <w:rPr>
          <w:rFonts w:ascii="Times New Roman" w:hAnsi="Times New Roman" w:cs="Times New Roman"/>
          <w:sz w:val="24"/>
          <w:szCs w:val="24"/>
        </w:rPr>
        <w:t>The detection of several antimicrobial compounds such as 1-chlorooctadecane, 9,12-octadecadienoyl chloride, and tetradecanoic acid, 12-methyl-, methyl ester further supports the antimicrobial potential of the extract. Similar compounds isolated from other cyanobacteria have demonstrated inhibitory activity against Gram-positive and Gram-negative bacteria</w:t>
      </w:r>
      <w:r w:rsidR="00AB1280" w:rsidRPr="0049220A">
        <w:rPr>
          <w:rFonts w:ascii="Times New Roman" w:hAnsi="Times New Roman" w:cs="Times New Roman"/>
          <w:sz w:val="24"/>
          <w:szCs w:val="24"/>
        </w:rPr>
        <w:t xml:space="preserve"> </w:t>
      </w:r>
      <w:r w:rsidR="00AB1280" w:rsidRPr="0049220A">
        <w:rPr>
          <w:rFonts w:ascii="Times New Roman" w:hAnsi="Times New Roman" w:cs="Times New Roman"/>
          <w:sz w:val="24"/>
          <w:szCs w:val="24"/>
        </w:rPr>
        <w:fldChar w:fldCharType="begin" w:fldLock="1"/>
      </w:r>
      <w:r w:rsidR="00AB1280" w:rsidRPr="0049220A">
        <w:rPr>
          <w:rFonts w:ascii="Times New Roman" w:hAnsi="Times New Roman" w:cs="Times New Roman"/>
          <w:sz w:val="24"/>
          <w:szCs w:val="24"/>
        </w:rPr>
        <w:instrText>ADDIN CSL_CITATION {"citationItems":[{"id":"ITEM-1","itemData":{"DOI":"10.1039/C2NP00090C","ISSN":"1460-4752","PMID":"22193773","abstract":"Covering: 2010. Previous review: Nat. Prod. Rep., 2011, 28, 196\n      This review covers the literature published in 2010 for marine natural products, with 895 citations (590 for the period January to December 2010) referring to compounds isolated from marine microorganisms and phytoplankton, green, brown and red algae, sponges, cnidarians, bryozoans, molluscs, tunicates, echinoderms, mangroves and other intertidal plants and microorganisms. The emphasis is on new compounds (1003 for 2010), together with the relevant biological activities, source organisms and country of origin. Biosynthetic studies, first syntheses, and syntheses that lead to the revision of structures or stereochemistries, have been included.","author":[{"dropping-particle":"","family":"Blunt","given":"John W.","non-dropping-particle":"","parse-names":false,"suffix":""},{"dropping-particle":"","family":"Copp","given":"Brent R.","non-dropping-particle":"","parse-names":false,"suffix":""},{"dropping-particle":"","family":"Keyzers","given":"Robert A.","non-dropping-particle":"","parse-names":false,"suffix":""},{"dropping-particle":"","family":"Munro","given":"Murray H.G.","non-dropping-particle":"","parse-names":false,"suffix":""},{"dropping-particle":"","family":"Prinsep","given":"Michèle R.","non-dropping-particle":"","parse-names":false,"suffix":""}],"container-title":"Natural Product Reports","id":"ITEM-1","issue":"2","issued":{"date-parts":[["2012","1","17"]]},"page":"144-222","publisher":"The Royal Society of Chemistry","title":"Marine natural products","type":"article-journal","volume":"29"},"uris":["http://www.mendeley.com/documents/?uuid=21681af5-1832-3442-b69e-51002f2ec36c"]},{"id":"ITEM-2","itemData":{"DOI":"10.1007/S13205-023-03888-2/METRICS","ISSN":"21905738","abstract":"Bioactive compounds in plants are essential for the formation of novel chemotherapeutic drugs, which have been used in Ayurveda to treat a variety of illnesses. Indian medicinal herbs have been used for thousands of years to treat a variety of illnesses, such as fever, cancer, snake bites, rheumatism, skin problems, and neurodegenerative diseases. GC–MS was used to locate and categorize bioactive components in Olea dioica leaves. The results showed that presence of octanoic acid, methyl ester, decanoic acid, methyl ester, desulphosinigrin, l-gala-l-ido-octose, methyl tetradecanoate, Tetradecanoic acid, 6-benzoxazolesulfonamide, N-(2-hydroxyethyl)-2-methyl-, 10-chloro-5-methoxy-5H-dibenzo[a,d][7]annulene, pentadecanoic acid, oleic acid, n-hexadecanoic acid, hexanedioic acid, dioctyl ester, and squalene. The methanol extract of Olea dioica was effective against a wide spectrum of pathogenic bacteria at four different concentrations, with the highest activity against Escherichia coli, Klebsiella pneumoniae, Staphylococcus aureus, Xanthomonas campestris, and Salmonella typhimurium. It also showed moderate activity against Agrobacterium tumefaciens, Pseudomonas aeruginosa, Streptomyces pneumonia, and Pseudomonas syringae. The pharmacological properties of O. dioica, as well as their variety and comprehensive phytochemistry, could be exploited as a potent antimicrobial agent for future therapeutics.","author":[{"dropping-particle":"","family":"Krishnappa","given":"Srinivasa","non-dropping-particle":"","parse-names":false,"suffix":""},{"dropping-particle":"","family":"Karthik","given":"Yalpi","non-dropping-particle":"","parse-names":false,"suffix":""},{"dropping-particle":"","family":"Pratap","given":"G. K.","non-dropping-particle":"","parse-names":false,"suffix":""},{"dropping-particle":"","family":"Shantaram","given":"Manjula","non-dropping-particle":"","parse-names":false,"suffix":""},{"dropping-particle":"","family":"Umarajashekhar","given":"Alavala","non-dropping-particle":"","parse-names":false,"suffix":""},{"dropping-particle":"","family":"Soumya","given":"J.","non-dropping-particle":"","parse-names":false,"suffix":""},{"dropping-particle":"","family":"Bhatt","given":"Bhagyashree","non-dropping-particle":"","parse-names":false,"suffix":""},{"dropping-particle":"","family":"Sayed","given":"Samy M.","non-dropping-particle":"","parse-names":false,"suffix":""},{"dropping-particle":"","family":"Alhelaify","given":"Seham Sater","non-dropping-particle":"","parse-names":false,"suffix":""},{"dropping-particle":"","family":"Aharthy","given":"Ohud Muslat","non-dropping-particle":"","parse-names":false,"suffix":""},{"dropping-particle":"","family":"Mushtaq","given":"Muntazir","non-dropping-particle":"","parse-names":false,"suffix":""}],"container-title":"Biotech","id":"ITEM-2","issue":"3","issued":{"date-parts":[["2024","3","1"]]},"page":"1-14","publisher":"Springer Science and Business Media Deutschland GmbH","title":"Exploration of bioactive compounds from Olea dioica in Western Ghats of Karnataka using GC–MS","type":"article-journal","volume":"14"},"uris":["http://www.mendeley.com/documents/?uuid=586d1da9-0f67-3dbc-9aed-2397c7268dd4"]}],"mendeley":{"formattedCitation":"(Blunt et al., 2012; Krishnappa et al., 2024)","plainTextFormattedCitation":"(Blunt et al., 2012; Krishnappa et al., 2024)","previouslyFormattedCitation":"(Blunt et al., 2012; Krishnappa et al., 2024)"},"properties":{"noteIndex":0},"schema":"https://github.com/citation-style-language/schema/raw/master/csl-citation.json"}</w:instrText>
      </w:r>
      <w:r w:rsidR="00AB1280" w:rsidRPr="0049220A">
        <w:rPr>
          <w:rFonts w:ascii="Times New Roman" w:hAnsi="Times New Roman" w:cs="Times New Roman"/>
          <w:sz w:val="24"/>
          <w:szCs w:val="24"/>
        </w:rPr>
        <w:fldChar w:fldCharType="separate"/>
      </w:r>
      <w:r w:rsidR="00AB1280" w:rsidRPr="0049220A">
        <w:rPr>
          <w:rFonts w:ascii="Times New Roman" w:hAnsi="Times New Roman" w:cs="Times New Roman"/>
          <w:noProof/>
          <w:sz w:val="24"/>
          <w:szCs w:val="24"/>
        </w:rPr>
        <w:t>(Blunt et al., 2012; Krishnappa et al., 2024)</w:t>
      </w:r>
      <w:r w:rsidR="00AB1280" w:rsidRPr="0049220A">
        <w:rPr>
          <w:rFonts w:ascii="Times New Roman" w:hAnsi="Times New Roman" w:cs="Times New Roman"/>
          <w:sz w:val="24"/>
          <w:szCs w:val="24"/>
        </w:rPr>
        <w:fldChar w:fldCharType="end"/>
      </w:r>
      <w:r w:rsidRPr="0049220A">
        <w:rPr>
          <w:rFonts w:ascii="Times New Roman" w:hAnsi="Times New Roman" w:cs="Times New Roman"/>
          <w:sz w:val="24"/>
          <w:szCs w:val="24"/>
        </w:rPr>
        <w:t xml:space="preserve">. </w:t>
      </w:r>
      <w:commentRangeEnd w:id="7"/>
      <w:r w:rsidR="00005579">
        <w:rPr>
          <w:rStyle w:val="CommentReference"/>
        </w:rPr>
        <w:commentReference w:id="7"/>
      </w:r>
      <w:r w:rsidRPr="0049220A">
        <w:rPr>
          <w:rFonts w:ascii="Times New Roman" w:hAnsi="Times New Roman" w:cs="Times New Roman"/>
          <w:sz w:val="24"/>
          <w:szCs w:val="24"/>
        </w:rPr>
        <w:t xml:space="preserve">The presence of halogenated alkanes and aldehydes, including 1-chlorooctadecane and octadecanal, 2-bromo-, suggests a defensive role against microbial colonization and fouling, a common ecological adaptation among marine and freshwater cyanobacteria </w:t>
      </w:r>
      <w:r w:rsidR="00AB1280" w:rsidRPr="0049220A">
        <w:rPr>
          <w:rFonts w:ascii="Times New Roman" w:hAnsi="Times New Roman" w:cs="Times New Roman"/>
          <w:sz w:val="24"/>
          <w:szCs w:val="24"/>
        </w:rPr>
        <w:fldChar w:fldCharType="begin" w:fldLock="1"/>
      </w:r>
      <w:r w:rsidR="00AB1280" w:rsidRPr="0049220A">
        <w:rPr>
          <w:rFonts w:ascii="Times New Roman" w:hAnsi="Times New Roman" w:cs="Times New Roman"/>
          <w:sz w:val="24"/>
          <w:szCs w:val="24"/>
        </w:rPr>
        <w:instrText>ADDIN CSL_CITATION {"citationItems":[{"id":"ITEM-1","itemData":{"ISSN":"20084447","PMID":"28210466","abstract":"Background and Objectives: Acinetobacter spp. are important causes of nosocomial infections. They possess various antibiotic resistance mechanisms including extended spectrum beta lactamases (ESBLs). The aim of this study was to determine antibiotic resistance profile of Acinetobacter clinical isolates especially among ESBL-producing strains and to investigate the antimicrobial effects of oleo-gum-resin extract and essential oil of Ferula gummosa Boiss. Materials and Methods: 120 Acinetobacter strains were isolated from various clinical samples of hospitalized patients in Baqiyatallah hospital, Tehran during 2011-2012. Antibiotic susceptibility test was performed on the isolates using disk diffusion method. To detect and confirm the ESBL-positive isolates, phenotypic and genotypic tests were performed. Three types of F. gummosa oleo-gum-resin extracts and essential oils were prepared and the bioactive components of F. gummosa Boiss extracts were determined by GC-Mass chromatography. F. gummosa antimicrobial activity was evaluated against standard strain of Acinetobacter baumannii (ATCC19606) as well as Acinetobacter clinical isolates using well and disk diffusion methods. Minimum inhibitory concentration (MIC) and minimum bactericidal concentration (MBC) were determined by broth microdilution method. Results: 46 isolates were resistant to all tested antibiotics. All clinical isolates were resistant to cefotaxime. 12.94% of the isolates were phenotypically ESBL-producing among which 94.2% carried ESBL genes (blaPER-1, blaOXA-4 and blaCTX-M) detected by PCR. Oleo-gum-resin of F. gummosa had significant antibacterial activity and alcoholic essential oil had higher inhibitory effect on Acinetobacter strains (MIC of 18.75 mg/ml). Conclusion: Ferula gummosa extract contained components with well-known antimicrobial effects.","author":[{"dropping-particle":"","family":"Farid-Afshar","given":"Fatemeh","non-dropping-particle":"","parse-names":false,"suffix":""},{"dropping-particle":"","family":"Saffarian","given":"Parvaneh","non-dropping-particle":"","parse-names":false,"suffix":""},{"dropping-particle":"","family":"Mahmoodzadeh-Hosseini","given":"Hamideh","non-dropping-particle":"","parse-names":false,"suffix":""},{"dropping-particle":"","family":"Sattarian","given":"Fereshteh","non-dropping-particle":"","parse-names":false,"suffix":""},{"dropping-particle":"","family":"Amin","given":"Mohsen","non-dropping-particle":"","parse-names":false,"suffix":""},{"dropping-particle":"","family":"Fooladi","given":"Abbas Ali Imani","non-dropping-particle":"","parse-names":false,"suffix":""}],"container-title":"Iranian Journal of Microbiology","id":"ITEM-1","issue":"4","issued":{"date-parts":[["2016"]]},"page":"263","publisher":"Tehran University of Medical Science","title":"Antimicrobial effects of Ferula gummosa Boiss gum against extended-spectrum β-lactamase producing Acinetobacter clinical isolates","type":"article-journal","volume":"8"},"uris":["http://www.mendeley.com/documents/?uuid=657d224a-56f6-3d6b-84c3-92148d396ee6"]}],"mendeley":{"formattedCitation":"(Farid-Afshar et al., 2016)","plainTextFormattedCitation":"(Farid-Afshar et al., 2016)","previouslyFormattedCitation":"(Farid-Afshar et al., 2016)"},"properties":{"noteIndex":0},"schema":"https://github.com/citation-style-language/schema/raw/master/csl-citation.json"}</w:instrText>
      </w:r>
      <w:r w:rsidR="00AB1280" w:rsidRPr="0049220A">
        <w:rPr>
          <w:rFonts w:ascii="Times New Roman" w:hAnsi="Times New Roman" w:cs="Times New Roman"/>
          <w:sz w:val="24"/>
          <w:szCs w:val="24"/>
        </w:rPr>
        <w:fldChar w:fldCharType="separate"/>
      </w:r>
      <w:r w:rsidR="00AB1280" w:rsidRPr="0049220A">
        <w:rPr>
          <w:rFonts w:ascii="Times New Roman" w:hAnsi="Times New Roman" w:cs="Times New Roman"/>
          <w:noProof/>
          <w:sz w:val="24"/>
          <w:szCs w:val="24"/>
        </w:rPr>
        <w:t>(Farid-Afshar et al., 2016)</w:t>
      </w:r>
      <w:r w:rsidR="00AB1280" w:rsidRPr="0049220A">
        <w:rPr>
          <w:rFonts w:ascii="Times New Roman" w:hAnsi="Times New Roman" w:cs="Times New Roman"/>
          <w:sz w:val="24"/>
          <w:szCs w:val="24"/>
        </w:rPr>
        <w:fldChar w:fldCharType="end"/>
      </w:r>
      <w:r w:rsidRPr="0049220A">
        <w:rPr>
          <w:rFonts w:ascii="Times New Roman" w:hAnsi="Times New Roman" w:cs="Times New Roman"/>
          <w:sz w:val="24"/>
          <w:szCs w:val="24"/>
        </w:rPr>
        <w:t>.</w:t>
      </w:r>
    </w:p>
    <w:p w14:paraId="4EC0535C" w14:textId="77777777" w:rsidR="00F7118C" w:rsidRPr="0049220A" w:rsidRDefault="00F7118C" w:rsidP="00F7118C">
      <w:pPr>
        <w:jc w:val="both"/>
        <w:rPr>
          <w:rFonts w:ascii="Times New Roman" w:hAnsi="Times New Roman" w:cs="Times New Roman"/>
          <w:sz w:val="24"/>
          <w:szCs w:val="24"/>
        </w:rPr>
      </w:pPr>
      <w:r w:rsidRPr="0049220A">
        <w:rPr>
          <w:rFonts w:ascii="Times New Roman" w:hAnsi="Times New Roman" w:cs="Times New Roman"/>
          <w:sz w:val="24"/>
          <w:szCs w:val="24"/>
        </w:rPr>
        <w:t xml:space="preserve">Several lipid-based metabolites, such as oleic acid, pentadecanoic acid methyl ester, and ethyl pentadecanoate, contribute to the antioxidant and cytoprotective activities of the extract. These compounds are known to maintain membrane stability and prevent lipid peroxidation, which </w:t>
      </w:r>
      <w:commentRangeStart w:id="8"/>
      <w:r w:rsidRPr="0049220A">
        <w:rPr>
          <w:rFonts w:ascii="Times New Roman" w:hAnsi="Times New Roman" w:cs="Times New Roman"/>
          <w:sz w:val="24"/>
          <w:szCs w:val="24"/>
        </w:rPr>
        <w:t xml:space="preserve">may enhance the survival of </w:t>
      </w:r>
      <w:r w:rsidRPr="0049220A">
        <w:rPr>
          <w:rFonts w:ascii="Times New Roman" w:hAnsi="Times New Roman" w:cs="Times New Roman"/>
          <w:i/>
          <w:iCs/>
          <w:sz w:val="24"/>
          <w:szCs w:val="24"/>
        </w:rPr>
        <w:t>A. nayadiformis</w:t>
      </w:r>
      <w:r w:rsidRPr="0049220A">
        <w:rPr>
          <w:rFonts w:ascii="Times New Roman" w:hAnsi="Times New Roman" w:cs="Times New Roman"/>
          <w:sz w:val="24"/>
          <w:szCs w:val="24"/>
        </w:rPr>
        <w:t xml:space="preserve"> in oxidative environments</w:t>
      </w:r>
      <w:r w:rsidR="00AB1280" w:rsidRPr="0049220A">
        <w:rPr>
          <w:rFonts w:ascii="Times New Roman" w:hAnsi="Times New Roman" w:cs="Times New Roman"/>
          <w:sz w:val="24"/>
          <w:szCs w:val="24"/>
        </w:rPr>
        <w:t xml:space="preserve"> </w:t>
      </w:r>
      <w:r w:rsidR="00AB1280" w:rsidRPr="0049220A">
        <w:rPr>
          <w:rFonts w:ascii="Times New Roman" w:hAnsi="Times New Roman" w:cs="Times New Roman"/>
          <w:sz w:val="24"/>
          <w:szCs w:val="24"/>
        </w:rPr>
        <w:fldChar w:fldCharType="begin" w:fldLock="1"/>
      </w:r>
      <w:r w:rsidR="00AB1280" w:rsidRPr="0049220A">
        <w:rPr>
          <w:rFonts w:ascii="Times New Roman" w:hAnsi="Times New Roman" w:cs="Times New Roman"/>
          <w:sz w:val="24"/>
          <w:szCs w:val="24"/>
        </w:rPr>
        <w:instrText>ADDIN CSL_CITATION {"citationItems":[{"id":"ITEM-1","itemData":{"DOI":"10.3390/MD9102155","ISBN":"5655637804","ISSN":"1660-3397","PMID":"22073014","abstract":"It is known that some strains of Vibrio parahaemolyticus are responsible for gastroenteric diseases caused by the ingestion of marine organisms contaminated with these bacterial strains. Organic products that show inhibitory activity on the growth of the pathogenic V. parahaemolyticus were extracted from a Vibrio native in the north of Chile. The inhibitory organic products were isolated by reverse phase chromatography and permeation by Sephadex LH20, and were characterized by spectroscopic and spectrometric techniques. The results showed that the prevailing active product is oleic acid, which was compared with standards by gas chromatography and high-performance liquid chromatography (HPLC). These active products might be useful for controlling the proliferation of pathogenic clones of V. parahaemolyticus.","author":[{"dropping-particle":"","family":"Leyton","given":"Yanett","non-dropping-particle":"","parse-names":false,"suffix":""},{"dropping-particle":"","family":"Borquez","given":"Jorge","non-dropping-particle":"","parse-names":false,"suffix":""},{"dropping-particle":"","family":"Darias","given":"José","non-dropping-particle":"","parse-names":false,"suffix":""},{"dropping-particle":"","family":"Cueto","given":"Mercedes","non-dropping-particle":"","parse-names":false,"suffix":""},{"dropping-particle":"","family":"Díaz-Marrero","given":"Ana R.","non-dropping-particle":"","parse-names":false,"suffix":""},{"dropping-particle":"","family":"Riquelme","given":"Carlos","non-dropping-particle":"","parse-names":false,"suffix":""}],"container-title":"Marine Drugs","id":"ITEM-1","issue":"10","issued":{"date-parts":[["2011","10","24"]]},"page":"2155-2163","publisher":"Molecular Diversity Preservation International","title":"Oleic Acid Produced by a Marine Vibrio spp. Acts as an Anti-Vibrio parahaemolyticus Agent","type":"article-journal","volume":"9"},"uris":["http://www.mendeley.com/documents/?uuid=7734124c-18b4-3cc5-b475-6ae239f84eb4"]},{"id":"ITEM-2","itemData":{"DOI":"10.1016/J.HELIYON.2023.E14461","ISSN":"24058440","PMID":"36925541","abstract":"Conventional antibiotics are associated with various side-effects. Therefore, there is need of using plant-derived antibiotics with fewer side-effects. Grewia tembensis and Xerophyta spekei, which have been extensively utilized in the Mbeere community, were studied to support their folkloric use and demonstrate their antibacterial capabilities. Salmonella Typhi ATCC 1408, Bacillus subtilis ATCC 21332, Staphylococcus aureus ATCC 25923, and Escherichia coli ATCC 25922 were all used in this study. As a standard reference, Ciprofloxacin (100 μg/ml) was employed, and 5% DMSO was used as a negative reference. Tests for antibacterial activities included disc diffusion, minimum inhibitory concentrations, and bactericidal concentrations. G. tembensis exhibited effects on S. aureus only with Mean Zone Inhibition (MZI) of 07.07 ± 0.07 to 12.33 ± 0.33 mm and 08.33 ± 0.33 to 11.67 ± 0.33 mm for stem bark and leaf extracts respectively. While X. spekei extract had effects on S. aureus with MZI of 07.67 ± 0.33 to 14.67 ± 0.33 mm and B. subtilis with MZI of 09.67 ± 0.33 to 14.33 ± 0.33 mm. Ciprofloxacin demonstrated significantly higher activities as compared to the plant extracts in all the concentrations (p &lt; 0.05), while 5% DMSO had no activity. GC-MS analysis demonstrated the availability of compounds with known antibacterial effects. Therefore, the current study recommends ethnomedicinal and therapeutic use of G. tembensis and X. spekei as antibacterial agents.","author":[{"dropping-particle":"","family":"Nyalo","given":"Paul Ochieng","non-dropping-particle":"","parse-names":false,"suffix":""},{"dropping-particle":"","family":"Omwenga","given":"George Isanda","non-dropping-particle":"","parse-names":false,"suffix":""},{"dropping-particle":"","family":"Ngugi","given":"Mathew Piero","non-dropping-particle":"","parse-names":false,"suffix":""}],"container-title":"Heliyon","id":"ITEM-2","issue":"3","issued":{"date-parts":[["2023","3","1"]]},"page":"e14461","publisher":"Elsevier Ltd","title":"Antibacterial properties and GC-MS analysis of ethyl acetate extracts of Xerophyta spekei (Baker) and Grewia tembensis (Fresen)","type":"article-journal","volume":"9"},"uris":["http://www.mendeley.com/documents/?uuid=2d94790a-506b-3aa3-a3da-45b2c6a9b500"]}],"mendeley":{"formattedCitation":"(Leyton et al., 2011; Nyalo et al., 2023)","plainTextFormattedCitation":"(Leyton et al., 2011; Nyalo et al., 2023)","previouslyFormattedCitation":"(Leyton et al., 2011; Nyalo et al., 2023)"},"properties":{"noteIndex":0},"schema":"https://github.com/citation-style-language/schema/raw/master/csl-citation.json"}</w:instrText>
      </w:r>
      <w:r w:rsidR="00AB1280" w:rsidRPr="0049220A">
        <w:rPr>
          <w:rFonts w:ascii="Times New Roman" w:hAnsi="Times New Roman" w:cs="Times New Roman"/>
          <w:sz w:val="24"/>
          <w:szCs w:val="24"/>
        </w:rPr>
        <w:fldChar w:fldCharType="separate"/>
      </w:r>
      <w:r w:rsidR="00AB1280" w:rsidRPr="0049220A">
        <w:rPr>
          <w:rFonts w:ascii="Times New Roman" w:hAnsi="Times New Roman" w:cs="Times New Roman"/>
          <w:noProof/>
          <w:sz w:val="24"/>
          <w:szCs w:val="24"/>
        </w:rPr>
        <w:t>(Leyton et al., 2011; Nyalo et al., 2023)</w:t>
      </w:r>
      <w:r w:rsidR="00AB1280" w:rsidRPr="0049220A">
        <w:rPr>
          <w:rFonts w:ascii="Times New Roman" w:hAnsi="Times New Roman" w:cs="Times New Roman"/>
          <w:sz w:val="24"/>
          <w:szCs w:val="24"/>
        </w:rPr>
        <w:fldChar w:fldCharType="end"/>
      </w:r>
      <w:commentRangeEnd w:id="8"/>
      <w:r w:rsidR="006721B7">
        <w:rPr>
          <w:rStyle w:val="CommentReference"/>
        </w:rPr>
        <w:commentReference w:id="8"/>
      </w:r>
      <w:r w:rsidRPr="0049220A">
        <w:rPr>
          <w:rFonts w:ascii="Times New Roman" w:hAnsi="Times New Roman" w:cs="Times New Roman"/>
          <w:sz w:val="24"/>
          <w:szCs w:val="24"/>
        </w:rPr>
        <w:t xml:space="preserve">. Moreover, the identification of bioactive alcohols such as E-7-tetradecenol and 1-dodecanol, 3,7,11-trimethyl- implies potential quorum-sensing inhibition and antifungal effects, similar to those reported in other microalgal metabolites </w:t>
      </w:r>
      <w:r w:rsidR="00AB1280" w:rsidRPr="0049220A">
        <w:rPr>
          <w:rFonts w:ascii="Times New Roman" w:hAnsi="Times New Roman" w:cs="Times New Roman"/>
          <w:sz w:val="24"/>
          <w:szCs w:val="24"/>
        </w:rPr>
        <w:fldChar w:fldCharType="begin" w:fldLock="1"/>
      </w:r>
      <w:r w:rsidR="00EA3896" w:rsidRPr="0049220A">
        <w:rPr>
          <w:rFonts w:ascii="Times New Roman" w:hAnsi="Times New Roman" w:cs="Times New Roman"/>
          <w:sz w:val="24"/>
          <w:szCs w:val="24"/>
        </w:rPr>
        <w:instrText>ADDIN CSL_CITATION {"citationItems":[{"id":"ITEM-1","itemData":{"DOI":"10.1021/JF034774L;JOURNAL:JOURNAL:JAFCAU;ISSUE:ISSUE:10.1021/JAFCAU.2004.52.ISSUE-5;PAGE:STRING:ARTICLE/CHAPTER","ISSN":"00218561","abstract":"The antibacterial activity of a series of alkyl gallates (3,4,5-trihydroxybenzoates) against Gram-positive bacteria was tested using a broth dilution method. All of the Gram-positive bacteria tested were susceptible to alkyl gallates, and this activity was found to correlate with the alkyl chain length. The antibacterial activity of alkyl gallates against Bacillus subtilis was a parabolic function of their lipophilicity and maximized with alkyl chain length between C8 and C11. Notably, alkyl gallates were found to be bactericidal against B. subtilis ATCC 9372, but this activity was significantly affected by the endospore formation in the culture. The antibacterial activity of alkyl gallates likely comes at least in part from their ability to inhibit the membrane respiratory chain but is not due to the prooxidant action.","author":[{"dropping-particle":"","family":"Kubo","given":"Isao","non-dropping-particle":"","parse-names":false,"suffix":""},{"dropping-particle":"","family":"Fujita","given":"Ken Ichi","non-dropping-particle":"","parse-names":false,"suffix":""},{"dropping-particle":"","family":"Nihei","given":"Ken Ichi","non-dropping-particle":"","parse-names":false,"suffix":""},{"dropping-particle":"","family":"Nihei","given":"Atsuko","non-dropping-particle":"","parse-names":false,"suffix":""}],"container-title":"Journal of Agricultural and Food Chemistry","id":"ITEM-1","issue":"5","issued":{"date-parts":[["2004","3","10"]]},"page":"1072-1076","publisher":"American Chemical Society","title":"Antibacterial Activity of Akyl Gallates against Bacillus subtilis","type":"article-journal","volume":"52"},"uris":["http://www.mendeley.com/documents/?uuid=21ed38c1-7279-3c95-b92f-f5840a7cae5b"]},{"id":"ITEM-2","itemData":{"DOI":"10.1016/J.PLIPRES.2015.06.001","ISSN":"18732194","PMID":"26080085","abstract":"For many species of insects, lipid pheromones profoundly influence survival, reproduction, and social organization. Unravelling the chemical language of insects has been the subject of intense research in the field of chemical ecology for the past five decades. Characterizing the forms, functions, and biosynthesis of lipid pheromones has led not only to the development of strategies for controlling agricultural pests but has also provided insights into fundamental questions in evolutionary biology. Despite the enormous variety of chemical structures that are used as pheromones, some common themes in function and biosynthetic pathways have emerged across studies of diverse taxa. This review will offer a general overview of insect lipid pheromone function and biochemical synthesis, describe analytical methods for pheromone discovery, and provide perspectives on the contribution of chemical ecology to pest control and understanding evolutionary processes.","author":[{"dropping-particle":"","family":"Yew","given":"Joanne Y.","non-dropping-particle":"","parse-names":false,"suffix":""},{"dropping-particle":"","family":"Chung","given":"Henry","non-dropping-particle":"","parse-names":false,"suffix":""}],"container-title":"Progress in Lipid Research","id":"ITEM-2","issued":{"date-parts":[["2015","6","29"]]},"page":"88-105","publisher":"Elsevier Ltd","title":"Insect pheromones: An overview of function, form, and discovery","type":"article-journal","volume":"59"},"uris":["http://www.mendeley.com/documents/?uuid=2e687217-b979-3602-9534-6a58cbef7c9a"]}],"mendeley":{"formattedCitation":"(Kubo et al., 2004; Yew &amp; Chung, 2015)","plainTextFormattedCitation":"(Kubo et al., 2004; Yew &amp; Chung, 2015)","previouslyFormattedCitation":"(Kubo et al., 2004; Yew &amp; Chung, 2015)"},"properties":{"noteIndex":0},"schema":"https://github.com/citation-style-language/schema/raw/master/csl-citation.json"}</w:instrText>
      </w:r>
      <w:r w:rsidR="00AB1280" w:rsidRPr="0049220A">
        <w:rPr>
          <w:rFonts w:ascii="Times New Roman" w:hAnsi="Times New Roman" w:cs="Times New Roman"/>
          <w:sz w:val="24"/>
          <w:szCs w:val="24"/>
        </w:rPr>
        <w:fldChar w:fldCharType="separate"/>
      </w:r>
      <w:r w:rsidR="00EA3896" w:rsidRPr="0049220A">
        <w:rPr>
          <w:rFonts w:ascii="Times New Roman" w:hAnsi="Times New Roman" w:cs="Times New Roman"/>
          <w:noProof/>
          <w:sz w:val="24"/>
          <w:szCs w:val="24"/>
        </w:rPr>
        <w:t>(Kubo et al., 2004; Yew &amp; Chung, 2015)</w:t>
      </w:r>
      <w:r w:rsidR="00AB1280" w:rsidRPr="0049220A">
        <w:rPr>
          <w:rFonts w:ascii="Times New Roman" w:hAnsi="Times New Roman" w:cs="Times New Roman"/>
          <w:sz w:val="24"/>
          <w:szCs w:val="24"/>
        </w:rPr>
        <w:fldChar w:fldCharType="end"/>
      </w:r>
      <w:r w:rsidRPr="0049220A">
        <w:rPr>
          <w:rFonts w:ascii="Times New Roman" w:hAnsi="Times New Roman" w:cs="Times New Roman"/>
          <w:sz w:val="24"/>
          <w:szCs w:val="24"/>
        </w:rPr>
        <w:t>.</w:t>
      </w:r>
    </w:p>
    <w:p w14:paraId="434ABF8C" w14:textId="77777777" w:rsidR="00F7118C" w:rsidRPr="0049220A" w:rsidRDefault="00F7118C" w:rsidP="00F7118C">
      <w:pPr>
        <w:jc w:val="both"/>
        <w:rPr>
          <w:rFonts w:ascii="Times New Roman" w:hAnsi="Times New Roman" w:cs="Times New Roman"/>
          <w:sz w:val="24"/>
          <w:szCs w:val="24"/>
        </w:rPr>
      </w:pPr>
      <w:commentRangeStart w:id="9"/>
      <w:r w:rsidRPr="0049220A">
        <w:rPr>
          <w:rFonts w:ascii="Times New Roman" w:hAnsi="Times New Roman" w:cs="Times New Roman"/>
          <w:sz w:val="24"/>
          <w:szCs w:val="24"/>
        </w:rPr>
        <w:t>The detection of specialized compounds such as panaxjapyne A, corymbolone, and 17-octadecynoic acid indicates possible cytotoxic or anticancer properties. Polyacetylene and sesquiterpene derivatives, like those found here, have been associated with antiproliferative and apoptosis-inducing effects</w:t>
      </w:r>
      <w:r w:rsidR="00AB1280" w:rsidRPr="0049220A">
        <w:rPr>
          <w:rFonts w:ascii="Times New Roman" w:hAnsi="Times New Roman" w:cs="Times New Roman"/>
          <w:sz w:val="24"/>
          <w:szCs w:val="24"/>
        </w:rPr>
        <w:t xml:space="preserve"> </w:t>
      </w:r>
      <w:commentRangeEnd w:id="9"/>
      <w:r w:rsidR="00281DDC">
        <w:rPr>
          <w:rStyle w:val="CommentReference"/>
        </w:rPr>
        <w:commentReference w:id="9"/>
      </w:r>
      <w:r w:rsidR="00AB1280" w:rsidRPr="0049220A">
        <w:rPr>
          <w:rFonts w:ascii="Times New Roman" w:hAnsi="Times New Roman" w:cs="Times New Roman"/>
          <w:sz w:val="24"/>
          <w:szCs w:val="24"/>
        </w:rPr>
        <w:fldChar w:fldCharType="begin" w:fldLock="1"/>
      </w:r>
      <w:r w:rsidR="00AB1280" w:rsidRPr="0049220A">
        <w:rPr>
          <w:rFonts w:ascii="Times New Roman" w:hAnsi="Times New Roman" w:cs="Times New Roman"/>
          <w:sz w:val="24"/>
          <w:szCs w:val="24"/>
        </w:rPr>
        <w:instrText>ADDIN CSL_CITATION {"citationItems":[{"id":"ITEM-1","itemData":{"DOI":"10.3390/PATHOGENS9110889","ISSN":"20760817","PMID":"33120980","abstract":"Cyperus articulatus L. is popularly known as priprioca. Its rhizomes are used as a medicine in the treatment of malaria in traditional medicine. Since priprioca oil is extracted for commercial purpose, we evaluated if the components from the priprioca residue can be a source of antiplasmodial active molecules. This study aimed to determine the in vitro antiplasmodial and cytotoxicity activities of the ethanolic extract of C. articulatus as an in vitro antiplasmodial agent. From the solid residue of the plant rhizomes, 40 g samples were removed and subjected to hot extraction using a Soxhlet extractor. The in vitro antiplasmodial activity was determined using the W2 and 3D7 strains of P. falciparum. The phytochemical study identified the following main compounds: Corymbolone (14.25%), cyclocolorenone (9.75%), and cadalene (8.36%). The extract exhibited moderate IC50 (inhibitory concentration) against the two strains of P. falciparum: 1.21 ± 0.01 against the W2 strain and 1.10 ± 0.06 μg/mL against the 3D7 strain. Our results show the therapeutic potential of priprioca residue as a low-cost antiplasmodial agent.","author":[{"dropping-particle":"","family":"Assis","given":"Francisco Flávio Vieira","non-dropping-particle":"De","parse-names":false,"suffix":""},{"dropping-particle":"","family":"Silva","given":"Nazaré Carneiro","non-dropping-particle":"Da","parse-names":false,"suffix":""},{"dropping-particle":"","family":"Moraes","given":"Waldiney Pires","non-dropping-particle":"","parse-names":false,"suffix":""},{"dropping-particle":"","family":"Barata","given":"Lauro Euclides Soares","non-dropping-particle":"","parse-names":false,"suffix":""},{"dropping-particle":"","family":"Minervino","given":"Antonio Humberto Hamad","non-dropping-particle":"","parse-names":false,"suffix":""}],"container-title":"Pathogens","id":"ITEM-1","issue":"11","issued":{"date-parts":[["2020","11","1"]]},"page":"889","publisher":"MDPI AG","title":"Chemical Composition and In Vitro Antiplasmodial Activity of the Ethanolic Extract of Cyperus articulatus var. nodosus Residue","type":"article-journal","volume":"9"},"uris":["http://www.mendeley.com/documents/?uuid=c8064a74-4e40-38b6-9a56-b9396237d572"]},{"id":"ITEM-2","itemData":{"DOI":"10.3390/MOLECULES27207027/S1","ISSN":"14203049","PMID":"36296616","abstract":"Although C17 polyacetylenes from Panax ginseng exhibit cytotoxic properties against various tumor cells, there have been few experiments on epithelial ovarian carcinoma cells. This study aimed to investigate the cytotoxic effects of C17 polyacetylenes from P. ginseng against ovarian cancer cell lines. Four unreported (1–4) and fifteen known (5–19) C17 polyacetylenes were obtained from the roots of P. ginseng using repeated chromatography (open column, MPLC, and preparative HPLC). The chemical structures of all the compounds were determined by analyzing their spectroscopic data (NMR, IR, and optical rotation) and HR-MS. The structures of new polyacetylenes were elucidated as (3S,8S,9R,10R)-(-)-heptadeca-9,10-epoxy-4,6-diyne-3,8-diyl diacetate (1), (3S,8S,9R,10R)-(−)-heptadeca-1-en-9,10-epoxy-4,6-diyne-3,8-diyl diacetate (2), (−)-haptadeca-9,10-epoxy-8-methoxy-4,6-diyne-3,11-diol (3), and (3R,9R,10R)-(+)-3-acetoxy-9,10-dihydroxyheptadeca-1-en-4,6-diyne (4), named ginsenoynes O, P, and Q, and 3-acetyl panaxytriol, respectively. Subsequently, in vitro experiments on A2780 and SKOV3 human epithelial ovarian carcinoma cells were performed to assess the cytotoxic properties of the isolates. Among the isolates, panaquinquecol 4 (15) exhibited the most remarkable cytotoxic effects on both human ovarian cancer cells A2780 (IC50 value of 7.60 μM) and SKOV3 (IC50 value of 27.53 μM). Therefore, C17 polyacetylenes derived from P. ginseng may warrant further investigation for their therapeutic potential in epithelial ovarian cancer.","author":[{"dropping-particle":"","family":"Kim","given":"Ranhee","non-dropping-particle":"","parse-names":false,"suffix":""},{"dropping-particle":"","family":"Son","given":"So Ri","non-dropping-particle":"","parse-names":false,"suffix":""},{"dropping-particle":"","family":"Lee","given":"Na Kyung","non-dropping-particle":"","parse-names":false,"suffix":""},{"dropping-particle":"","family":"Kim","given":"Ji Young","non-dropping-particle":"","parse-names":false,"suffix":""},{"dropping-particle":"","family":"An","given":"Gami","non-dropping-particle":"","parse-names":false,"suffix":""},{"dropping-particle":"","family":"Choi","given":"Jung Hye","non-dropping-particle":"","parse-names":false,"suffix":""},{"dropping-particle":"","family":"Jang","given":"Dae Sik","non-dropping-particle":"","parse-names":false,"suffix":""}],"container-title":"Molecules","id":"ITEM-2","issue":"20","issued":{"date-parts":[["2022","10","1"]]},"page":"7027","publisher":"MDPI","title":"Cytotoxic Properties of C17 Polyacetylenes from the Fresh Roots of Panax ginseng on Human Epithelial Ovarian Cancer Cells","type":"article-journal","volume":"27"},"uris":["http://www.mendeley.com/documents/?uuid=338e59c8-7cee-36fa-884d-70271effaa0f"]}],"mendeley":{"formattedCitation":"(De Assis et al., 2020; Kim et al., 2022)","plainTextFormattedCitation":"(De Assis et al., 2020; Kim et al., 2022)","previouslyFormattedCitation":"(De Assis et al., 2020; Kim et al., 2022)"},"properties":{"noteIndex":0},"schema":"https://github.com/citation-style-language/schema/raw/master/csl-citation.json"}</w:instrText>
      </w:r>
      <w:r w:rsidR="00AB1280" w:rsidRPr="0049220A">
        <w:rPr>
          <w:rFonts w:ascii="Times New Roman" w:hAnsi="Times New Roman" w:cs="Times New Roman"/>
          <w:sz w:val="24"/>
          <w:szCs w:val="24"/>
        </w:rPr>
        <w:fldChar w:fldCharType="separate"/>
      </w:r>
      <w:r w:rsidR="00AB1280" w:rsidRPr="0049220A">
        <w:rPr>
          <w:rFonts w:ascii="Times New Roman" w:hAnsi="Times New Roman" w:cs="Times New Roman"/>
          <w:noProof/>
          <w:sz w:val="24"/>
          <w:szCs w:val="24"/>
        </w:rPr>
        <w:t>(De Assis et al., 2020; Kim et al., 2022)</w:t>
      </w:r>
      <w:r w:rsidR="00AB1280" w:rsidRPr="0049220A">
        <w:rPr>
          <w:rFonts w:ascii="Times New Roman" w:hAnsi="Times New Roman" w:cs="Times New Roman"/>
          <w:sz w:val="24"/>
          <w:szCs w:val="24"/>
        </w:rPr>
        <w:fldChar w:fldCharType="end"/>
      </w:r>
      <w:r w:rsidRPr="0049220A">
        <w:rPr>
          <w:rFonts w:ascii="Times New Roman" w:hAnsi="Times New Roman" w:cs="Times New Roman"/>
          <w:sz w:val="24"/>
          <w:szCs w:val="24"/>
        </w:rPr>
        <w:t xml:space="preserve">. Additionally, the presence of 1,25-dihydroxyvitamin D3 and cholest-5-en-3-ol confirms the metabolic versatility </w:t>
      </w:r>
      <w:r w:rsidRPr="0049220A">
        <w:rPr>
          <w:rFonts w:ascii="Times New Roman" w:hAnsi="Times New Roman" w:cs="Times New Roman"/>
          <w:sz w:val="24"/>
          <w:szCs w:val="24"/>
        </w:rPr>
        <w:lastRenderedPageBreak/>
        <w:t xml:space="preserve">of </w:t>
      </w:r>
      <w:r w:rsidRPr="0049220A">
        <w:rPr>
          <w:rFonts w:ascii="Times New Roman" w:hAnsi="Times New Roman" w:cs="Times New Roman"/>
          <w:i/>
          <w:iCs/>
          <w:sz w:val="24"/>
          <w:szCs w:val="24"/>
        </w:rPr>
        <w:t>A. nayadiformis</w:t>
      </w:r>
      <w:r w:rsidRPr="0049220A">
        <w:rPr>
          <w:rFonts w:ascii="Times New Roman" w:hAnsi="Times New Roman" w:cs="Times New Roman"/>
          <w:sz w:val="24"/>
          <w:szCs w:val="24"/>
        </w:rPr>
        <w:t xml:space="preserve"> in producing steroidal compounds involved in cellular regulation and photoprotection</w:t>
      </w:r>
      <w:r w:rsidR="00AB1280" w:rsidRPr="0049220A">
        <w:rPr>
          <w:rFonts w:ascii="Times New Roman" w:hAnsi="Times New Roman" w:cs="Times New Roman"/>
          <w:sz w:val="24"/>
          <w:szCs w:val="24"/>
        </w:rPr>
        <w:t xml:space="preserve"> </w:t>
      </w:r>
      <w:r w:rsidR="00AB1280" w:rsidRPr="0049220A">
        <w:rPr>
          <w:rFonts w:ascii="Times New Roman" w:hAnsi="Times New Roman" w:cs="Times New Roman"/>
          <w:sz w:val="24"/>
          <w:szCs w:val="24"/>
        </w:rPr>
        <w:fldChar w:fldCharType="begin" w:fldLock="1"/>
      </w:r>
      <w:r w:rsidR="00AB1280" w:rsidRPr="0049220A">
        <w:rPr>
          <w:rFonts w:ascii="Times New Roman" w:hAnsi="Times New Roman" w:cs="Times New Roman"/>
          <w:sz w:val="24"/>
          <w:szCs w:val="24"/>
        </w:rPr>
        <w:instrText>ADDIN CSL_CITATION {"citationItems":[{"id":"ITEM-1","itemData":{"DOI":"10.1056/NEJMRA070553","ISSN":"1533-4406","PMID":"17634462","author":[{"dropping-particle":"","family":"Holick","given":"Michael F.","non-dropping-particle":"","parse-names":false,"suffix":""}],"container-title":"The New England journal of medicine","id":"ITEM-1","issue":"3","issued":{"date-parts":[["2007","7","19"]]},"page":"266-281","publisher":"N Engl J Med","title":"Vitamin D deficiency","type":"article-journal","volume":"357"},"uris":["http://www.mendeley.com/documents/?uuid=e9c3f049-912a-34bf-8ab8-f47d2da44587"]},{"id":"ITEM-2","itemData":{"DOI":"10.18596/JOTCSA.1379263","ISSN":"2149-0120","abstract":"Cholest-5-en-3-ol is an organic compound that belongs to the category of steroidal secondary metabolites. The compound has a double bond and a hydroxyl group and is commonly found in plants that contain oils such as coconut, nuts, and others. So far, there have been no reports of isolating the compound cholest-5-en-3-ol from the extract of the stem bark of the ulin plant. This compound has been found in very small amounts. A maceration method was used to obtain the extract. The isolation method used for the isolation of the compound was chromatography, while for the elucidation of the structure of the compound, UV-Vis spectrophotometry, Fourier transform infrared spectroscopy (FTIR), and nuclear magnetic resonance spectroscopy (NMR) were used. The ethyl acetate extract is the most abundant with 85.5 g. The isolation results were obtained as a white needle-like solid. Based on the spectra of UV-Vis spectrophotometry, FTIR spectra, and chemical shifts of NMR, the elucidated compound is the cholest-5-en-3-ol.","author":[{"dropping-particle":"","family":"Yulianti","given":"Heni","non-dropping-particle":"","parse-names":false,"suffix":""},{"dropping-particle":"","family":"Santoni","given":"Adlis","non-dropping-particle":"","parse-names":false,"suffix":""},{"dropping-particle":"","family":"Efdi","given":"Mai","non-dropping-particle":"","parse-names":false,"suffix":""}],"container-title":"Journal of the Turkish Chemical Society Section A: Chemistry","id":"ITEM-2","issue":"3","issued":{"date-parts":[["2024","8","30"]]},"page":"919-924","publisher":"Turkish Chemical Society","title":"Isolation and Characterization of Cholest-5-en-3-ol Compound from the Ethyl Acetate Extract of Stem Bark Ulin Plant (Eusideroxylon zwageri Teijm &amp; Binn)","type":"article-journal","volume":"11"},"uris":["http://www.mendeley.com/documents/?uuid=4690c8df-5ebb-35de-bf81-19fb3f632bc4"]}],"mendeley":{"formattedCitation":"(Holick, 2007; Yulianti et al., 2024)","plainTextFormattedCitation":"(Holick, 2007; Yulianti et al., 2024)","previouslyFormattedCitation":"(Holick, 2007; Yulianti et al., 2024)"},"properties":{"noteIndex":0},"schema":"https://github.com/citation-style-language/schema/raw/master/csl-citation.json"}</w:instrText>
      </w:r>
      <w:r w:rsidR="00AB1280" w:rsidRPr="0049220A">
        <w:rPr>
          <w:rFonts w:ascii="Times New Roman" w:hAnsi="Times New Roman" w:cs="Times New Roman"/>
          <w:sz w:val="24"/>
          <w:szCs w:val="24"/>
        </w:rPr>
        <w:fldChar w:fldCharType="separate"/>
      </w:r>
      <w:r w:rsidR="00AB1280" w:rsidRPr="0049220A">
        <w:rPr>
          <w:rFonts w:ascii="Times New Roman" w:hAnsi="Times New Roman" w:cs="Times New Roman"/>
          <w:noProof/>
          <w:sz w:val="24"/>
          <w:szCs w:val="24"/>
        </w:rPr>
        <w:t>(Holick, 2007; Yulianti et al., 2024)</w:t>
      </w:r>
      <w:r w:rsidR="00AB1280" w:rsidRPr="0049220A">
        <w:rPr>
          <w:rFonts w:ascii="Times New Roman" w:hAnsi="Times New Roman" w:cs="Times New Roman"/>
          <w:sz w:val="24"/>
          <w:szCs w:val="24"/>
        </w:rPr>
        <w:fldChar w:fldCharType="end"/>
      </w:r>
      <w:r w:rsidRPr="0049220A">
        <w:rPr>
          <w:rFonts w:ascii="Times New Roman" w:hAnsi="Times New Roman" w:cs="Times New Roman"/>
          <w:sz w:val="24"/>
          <w:szCs w:val="24"/>
        </w:rPr>
        <w:t>.</w:t>
      </w:r>
    </w:p>
    <w:p w14:paraId="25A33082" w14:textId="77777777" w:rsidR="00F7118C" w:rsidRPr="0049220A" w:rsidRDefault="00F7118C" w:rsidP="00F7118C">
      <w:pPr>
        <w:jc w:val="both"/>
        <w:rPr>
          <w:rFonts w:ascii="Times New Roman" w:hAnsi="Times New Roman" w:cs="Times New Roman"/>
          <w:sz w:val="24"/>
          <w:szCs w:val="24"/>
        </w:rPr>
      </w:pPr>
      <w:commentRangeStart w:id="10"/>
      <w:r w:rsidRPr="0049220A">
        <w:rPr>
          <w:rFonts w:ascii="Times New Roman" w:hAnsi="Times New Roman" w:cs="Times New Roman"/>
          <w:sz w:val="24"/>
          <w:szCs w:val="24"/>
        </w:rPr>
        <w:t xml:space="preserve">Flavonoid-like metabolites such as isochiapin B and carotenoids like rhodopin further strengthen the antioxidant profile of the extract. These compounds scavenge free radicals and contribute to cellular protection, aligning with the bioactivities previously documented in cyanobacteria and microalgae </w:t>
      </w:r>
      <w:r w:rsidR="00AB1280" w:rsidRPr="0049220A">
        <w:rPr>
          <w:rFonts w:ascii="Times New Roman" w:hAnsi="Times New Roman" w:cs="Times New Roman"/>
          <w:sz w:val="24"/>
          <w:szCs w:val="24"/>
        </w:rPr>
        <w:fldChar w:fldCharType="begin" w:fldLock="1"/>
      </w:r>
      <w:r w:rsidR="00EA3896" w:rsidRPr="0049220A">
        <w:rPr>
          <w:rFonts w:ascii="Times New Roman" w:hAnsi="Times New Roman" w:cs="Times New Roman"/>
          <w:sz w:val="24"/>
          <w:szCs w:val="24"/>
        </w:rPr>
        <w:instrText>ADDIN CSL_CITATION {"citationItems":[{"id":"ITEM-1","itemData":{"DOI":"10.21608/EJCHEM.2024.328645.10642","ISSN":"0449-2285","abstract":"Wound healing stays a substantial health affair for a great number of patients globally. Hypoxia plays a decisive role in specifying the normal successfulness of healing process. Hypoxia-inducible factor-1alpha, plays a critical role in oxygen homeostasis, cell survival and migration and growth factor release throughout the healing process. The target of this research is to characterize the phytochemical and antioxidant analysis of the lipophilic extract of Calendula officinalis (C. officinalis) flowers utilizing colorimetric, spectrophotometric, and chromatographic techniques. In addition, studying the wound healing properties in vivo and in vitro model. Rats were divided into four groups (six in each group) as follow: Group I: Control rats. Group II: Wounded and untreated rats. Group III: Rats are treated topically with 2.5% of C. officinalis in gel. Group IV Rats are treated topically with 5% of C. officinalis in gel. Furthermore, Molecular docking study was conducted to elucidate the mechanistic of C. officinalis wound healing properties through the inhibitory effects of its main components against key anti-healing goals and study the best binding affinity. Using GC-MS analysis six main different organic classes fatty acid (36.99 %), Sesquiterpene (34.9%), hydrocarbons (20.06%), diterpene (3.9%), phytosterol (2.10%) and alkaloid (0.53%), and 24 components comprising 98.48% of the observed peaks were identified as a consequence. It is evident that the predominant fatty acid is 1-heptatriacotanol (16.47%). Additionally, Isochiapin B is a significant sesquiterpene compounds that accounting for 15.91% of all sesquiterpene compounds. Moreover, this extract exhibited more potent antioxidant activity were observed., as demonstrated by the IC50. Owing to its high concentration of active compounds, C. officinalis promoted more wound contraction., collagen synthesis, 5' adenosine monophosphate-activated protein kinase (AMPK), Hypoxia-inducible factor 1-alpha (HIF-1α) and accelerated epithelization with a decrease in matrix metalloproteinases (MMP-9). Molecular docking revealed that Isochiapin B had better binding affinities than 1-Heptatriacotanol in the interaction with AMPK, Collagenase, HIF-1α, MMP-9, tumor necrosis factor alpha (TNF-α), and vascular endothelial growth factor (VEGF), and that its best binding affinity was with MMP-9. Obtained results assured that Calendula officinalis L possesses considerable wound healing activity in wounded rats due to i…","author":[{"dropping-particle":"","family":"Salama","given":"Abeer","non-dropping-particle":"","parse-names":false,"suffix":""},{"dropping-particle":"","family":"EL-Kassaby","given":"Mahitab I.","non-dropping-particle":"","parse-names":false,"suffix":""},{"dropping-particle":"","family":"Refaat","given":"Ahmed","non-dropping-particle":"","parse-names":false,"suffix":""},{"dropping-particle":"","family":"Mohasib","given":"Rasha M.M.","non-dropping-particle":"","parse-names":false,"suffix":""}],"container-title":"Egyptian Journal of Chemistry","id":"ITEM-1","issue":"13","issued":{"date-parts":[["2024","12","1"]]},"page":"1037-1058","publisher":"National Information and Documentation Centre (NIDOC), Academy of Scientific Research and Technology, ASRT","title":"GC–MS and Molecular Docking Analyses of Phytochemicals from Calendula officinalis L. Hexane Extract and Evaluation of its Antioxidant and Wound Healing Properties in Rats","type":"article-journal","volume":"67"},"uris":["http://www.mendeley.com/documents/?uuid=1bd4049e-1398-3dc9-9be0-f44084447ec8"]},{"id":"ITEM-2","itemData":{"DOI":"10.3390/MOLECULES28093939","ISSN":"1420-3049","PMID":"37175349","abstract":"Tephorosia purpurea subsp. apollinea was extracted with methanol and n-hexane to obtain sub-fractions. The chemical compounds identified with GC-MS and HPLC in T. purpurea subsp. apollinea extracts showed antioxidant and anticancer properties. The antioxidant and anticancer activities were investigated using DDPH and ABTS assays, and MTT assay, respectively. Stigmasta-5,24(28)-dien-3-ol, (3 β,24Z)-, 9,12,15-octadecatrienoic acid methyl ester, phytol, chlorogenic acid, and quercetin were the major chemical compounds detected in T. purpurea subsp. apollinea. These compounds possessed antioxidant and anticancer properties. The methanol extract showed antioxidant properties with DDPH and ABTS radical scavenging of 84% and 94%, respectively, relative to ascorbic acid and trolox. The anticancer effects of T. purpurea subsp. apollinea against the cancer cell lines MCF7 (IC50 = 102.8 ± 0.6 μg/mL), MG63 (IC50 = 118.3 ± 2.5 μg/mL), T47D (IC50 = 114.7 ± 1.0 μg/mL), HeLa (IC50 = 196.3 ± 2.3 μg/mL), and PC3 (IC50 = 117.7 ± 1.1 μg/mL) were greater than its anticancer effects against U379 (IC50 = 248.4 ± 7.5 μg/mL). However, it had no adverse effects on the normal cells (WI38) (IC50 = 242.9 ± 1.8 μg/mL). Therefore, the major active constituents presented in T. purpurea subsp. apollinea can be isolated and studied for their potential antioxidant and anticancer effects against breast, cervical, and prostate cancers and osteosarcoma.","author":[{"dropping-particle":"","family":"Youssef","given":"Ahmed M.M.","non-dropping-particle":"","parse-names":false,"suffix":""},{"dropping-particle":"","family":"Maaty","given":"Doaa A.M.","non-dropping-particle":"","parse-names":false,"suffix":""},{"dropping-particle":"","family":"Al-Saraireh","given":"Yousef M.","non-dropping-particle":"","parse-names":false,"suffix":""}],"container-title":"Molecules","id":"ITEM-2","issue":"9","issued":{"date-parts":[["2023","5","7"]]},"page":"3939","publisher":"Multidisciplinary Digital Publishing Institute","title":"Phytochemical Analysis and Profiling of Antioxidants and Anticancer Compounds from Tephrosia purpurea (L.) subsp. apollinea Family Fabaceae","type":"article-journal","volume":"28"},"uris":["http://www.mendeley.com/documents/?uuid=a8d923f8-5671-346d-9a43-6d33de945aeb"]}],"mendeley":{"formattedCitation":"(Salama et al., 2024; Youssef et al., 2023)","plainTextFormattedCitation":"(Salama et al., 2024; Youssef et al., 2023)","previouslyFormattedCitation":"(Salama et al., 2024; Youssef et al., 2023)"},"properties":{"noteIndex":0},"schema":"https://github.com/citation-style-language/schema/raw/master/csl-citation.json"}</w:instrText>
      </w:r>
      <w:r w:rsidR="00AB1280" w:rsidRPr="0049220A">
        <w:rPr>
          <w:rFonts w:ascii="Times New Roman" w:hAnsi="Times New Roman" w:cs="Times New Roman"/>
          <w:sz w:val="24"/>
          <w:szCs w:val="24"/>
        </w:rPr>
        <w:fldChar w:fldCharType="separate"/>
      </w:r>
      <w:r w:rsidR="00AB1280" w:rsidRPr="0049220A">
        <w:rPr>
          <w:rFonts w:ascii="Times New Roman" w:hAnsi="Times New Roman" w:cs="Times New Roman"/>
          <w:noProof/>
          <w:sz w:val="24"/>
          <w:szCs w:val="24"/>
        </w:rPr>
        <w:t>(Salama et al., 2024; Youssef et al., 2023)</w:t>
      </w:r>
      <w:r w:rsidR="00AB1280" w:rsidRPr="0049220A">
        <w:rPr>
          <w:rFonts w:ascii="Times New Roman" w:hAnsi="Times New Roman" w:cs="Times New Roman"/>
          <w:sz w:val="24"/>
          <w:szCs w:val="24"/>
        </w:rPr>
        <w:fldChar w:fldCharType="end"/>
      </w:r>
      <w:commentRangeEnd w:id="10"/>
      <w:r w:rsidR="005A315B">
        <w:rPr>
          <w:rStyle w:val="CommentReference"/>
        </w:rPr>
        <w:commentReference w:id="10"/>
      </w:r>
      <w:r w:rsidRPr="0049220A">
        <w:rPr>
          <w:rFonts w:ascii="Times New Roman" w:hAnsi="Times New Roman" w:cs="Times New Roman"/>
          <w:sz w:val="24"/>
          <w:szCs w:val="24"/>
        </w:rPr>
        <w:t xml:space="preserve">. The combined occurrence of antimicrobial, antioxidant, and cytotoxic compounds demonstrates that </w:t>
      </w:r>
      <w:r w:rsidRPr="0049220A">
        <w:rPr>
          <w:rFonts w:ascii="Times New Roman" w:hAnsi="Times New Roman" w:cs="Times New Roman"/>
          <w:i/>
          <w:iCs/>
          <w:sz w:val="24"/>
          <w:szCs w:val="24"/>
        </w:rPr>
        <w:t>A. nayadiformis</w:t>
      </w:r>
      <w:r w:rsidRPr="0049220A">
        <w:rPr>
          <w:rFonts w:ascii="Times New Roman" w:hAnsi="Times New Roman" w:cs="Times New Roman"/>
          <w:sz w:val="24"/>
          <w:szCs w:val="24"/>
        </w:rPr>
        <w:t xml:space="preserve"> is a rich source of multifunctional bioactive molecules with pharmaceutical and biotechnological potential.</w:t>
      </w:r>
    </w:p>
    <w:p w14:paraId="0088AC1E" w14:textId="77777777" w:rsidR="00F7118C" w:rsidRPr="0049220A" w:rsidRDefault="00F7118C" w:rsidP="003421EC">
      <w:pPr>
        <w:jc w:val="both"/>
        <w:rPr>
          <w:rFonts w:ascii="Times New Roman" w:hAnsi="Times New Roman" w:cs="Times New Roman"/>
          <w:sz w:val="24"/>
          <w:szCs w:val="24"/>
        </w:rPr>
      </w:pPr>
      <w:r w:rsidRPr="0049220A">
        <w:rPr>
          <w:rFonts w:ascii="Times New Roman" w:hAnsi="Times New Roman" w:cs="Times New Roman"/>
          <w:sz w:val="24"/>
          <w:szCs w:val="24"/>
        </w:rPr>
        <w:t xml:space="preserve">Overall, the biochemical composition of </w:t>
      </w:r>
      <w:r w:rsidRPr="0049220A">
        <w:rPr>
          <w:rFonts w:ascii="Times New Roman" w:hAnsi="Times New Roman" w:cs="Times New Roman"/>
          <w:i/>
          <w:iCs/>
          <w:sz w:val="24"/>
          <w:szCs w:val="24"/>
        </w:rPr>
        <w:t>A. nayadiformis</w:t>
      </w:r>
      <w:r w:rsidRPr="0049220A">
        <w:rPr>
          <w:rFonts w:ascii="Times New Roman" w:hAnsi="Times New Roman" w:cs="Times New Roman"/>
          <w:sz w:val="24"/>
          <w:szCs w:val="24"/>
        </w:rPr>
        <w:t xml:space="preserve"> ethanolic extract justifies its observed bioactivities and supports its potential as a natural source of antimicrobial, antioxidant, and anticancer agents. Further studies focusing on compound isolation, structural characterization, and in vitro or in vivo bioassays are recommended to validate </w:t>
      </w:r>
      <w:r w:rsidR="00C47C68" w:rsidRPr="0049220A">
        <w:rPr>
          <w:rFonts w:ascii="Times New Roman" w:hAnsi="Times New Roman" w:cs="Times New Roman"/>
          <w:sz w:val="24"/>
          <w:szCs w:val="24"/>
        </w:rPr>
        <w:t>and expand upon these findings.</w:t>
      </w:r>
    </w:p>
    <w:p w14:paraId="163FB9EA" w14:textId="77777777" w:rsidR="001F05F7" w:rsidRPr="0049220A" w:rsidRDefault="00856A4D" w:rsidP="003421EC">
      <w:pPr>
        <w:jc w:val="both"/>
        <w:rPr>
          <w:rFonts w:ascii="Times New Roman" w:hAnsi="Times New Roman" w:cs="Times New Roman"/>
          <w:b/>
          <w:sz w:val="24"/>
          <w:szCs w:val="24"/>
        </w:rPr>
      </w:pPr>
      <w:r w:rsidRPr="0049220A">
        <w:rPr>
          <w:rFonts w:ascii="Times New Roman" w:hAnsi="Times New Roman" w:cs="Times New Roman"/>
          <w:b/>
          <w:sz w:val="24"/>
          <w:szCs w:val="24"/>
        </w:rPr>
        <w:t xml:space="preserve">5. </w:t>
      </w:r>
      <w:r w:rsidR="006C57CB" w:rsidRPr="0049220A">
        <w:rPr>
          <w:rFonts w:ascii="Times New Roman" w:hAnsi="Times New Roman" w:cs="Times New Roman"/>
          <w:b/>
          <w:sz w:val="24"/>
          <w:szCs w:val="24"/>
        </w:rPr>
        <w:t>Conclusion</w:t>
      </w:r>
    </w:p>
    <w:p w14:paraId="25CC16A2" w14:textId="77777777" w:rsidR="005A57E5" w:rsidRPr="0049220A" w:rsidRDefault="005A57E5" w:rsidP="003421EC">
      <w:pPr>
        <w:jc w:val="both"/>
        <w:rPr>
          <w:rFonts w:ascii="Times New Roman" w:hAnsi="Times New Roman" w:cs="Times New Roman"/>
          <w:sz w:val="24"/>
          <w:szCs w:val="24"/>
        </w:rPr>
      </w:pPr>
      <w:r w:rsidRPr="0049220A">
        <w:rPr>
          <w:rFonts w:ascii="Times New Roman" w:hAnsi="Times New Roman" w:cs="Times New Roman"/>
          <w:sz w:val="24"/>
          <w:szCs w:val="24"/>
        </w:rPr>
        <w:t xml:space="preserve">The ethanolic extract of </w:t>
      </w:r>
      <w:r w:rsidRPr="0049220A">
        <w:rPr>
          <w:rFonts w:ascii="Times New Roman" w:hAnsi="Times New Roman" w:cs="Times New Roman"/>
          <w:i/>
          <w:sz w:val="24"/>
          <w:szCs w:val="24"/>
        </w:rPr>
        <w:t>A. nayadiformis</w:t>
      </w:r>
      <w:r w:rsidRPr="0049220A">
        <w:rPr>
          <w:rFonts w:ascii="Times New Roman" w:hAnsi="Times New Roman" w:cs="Times New Roman"/>
          <w:sz w:val="24"/>
          <w:szCs w:val="24"/>
        </w:rPr>
        <w:t xml:space="preserve"> revealed a wide range of bioactive molecules with demonstrated antimicrobial, antioxidant, and antican</w:t>
      </w:r>
      <w:r w:rsidR="00973339" w:rsidRPr="0049220A">
        <w:rPr>
          <w:rFonts w:ascii="Times New Roman" w:hAnsi="Times New Roman" w:cs="Times New Roman"/>
          <w:sz w:val="24"/>
          <w:szCs w:val="24"/>
        </w:rPr>
        <w:t>cer activities. The present</w:t>
      </w:r>
      <w:r w:rsidRPr="0049220A">
        <w:rPr>
          <w:rFonts w:ascii="Times New Roman" w:hAnsi="Times New Roman" w:cs="Times New Roman"/>
          <w:sz w:val="24"/>
          <w:szCs w:val="24"/>
        </w:rPr>
        <w:t xml:space="preserve"> of PUFA derivatives, halogenated compounds, lipid-based metabolites, and specialized metabolites such as polyacetylene derivatives and carotenoids </w:t>
      </w:r>
      <w:commentRangeStart w:id="11"/>
      <w:r w:rsidRPr="0049220A">
        <w:rPr>
          <w:rFonts w:ascii="Times New Roman" w:hAnsi="Times New Roman" w:cs="Times New Roman"/>
          <w:sz w:val="24"/>
          <w:szCs w:val="24"/>
        </w:rPr>
        <w:t xml:space="preserve">supports the extract’s therapeutic potential. </w:t>
      </w:r>
      <w:commentRangeEnd w:id="11"/>
      <w:r w:rsidR="005A315B">
        <w:rPr>
          <w:rStyle w:val="CommentReference"/>
        </w:rPr>
        <w:commentReference w:id="11"/>
      </w:r>
      <w:r w:rsidRPr="0049220A">
        <w:rPr>
          <w:rFonts w:ascii="Times New Roman" w:hAnsi="Times New Roman" w:cs="Times New Roman"/>
          <w:sz w:val="24"/>
          <w:szCs w:val="24"/>
        </w:rPr>
        <w:t xml:space="preserve">These findings validate the traditional use of marine macroalgae in medicine and underscore their significance as sources of lead compounds for pharmaceutical innovation. Continued work in isolating and characterizing individual compounds, supported by bioactivity assays, will be critical in advancing the clinical and biotechnological utility of these marine resources. </w:t>
      </w:r>
    </w:p>
    <w:p w14:paraId="218D14EA" w14:textId="77777777" w:rsidR="005A57E5" w:rsidRPr="0049220A" w:rsidRDefault="005A57E5" w:rsidP="003421EC">
      <w:pPr>
        <w:jc w:val="both"/>
        <w:rPr>
          <w:rFonts w:ascii="Times New Roman" w:hAnsi="Times New Roman" w:cs="Times New Roman"/>
          <w:sz w:val="24"/>
          <w:szCs w:val="24"/>
        </w:rPr>
      </w:pPr>
    </w:p>
    <w:p w14:paraId="40645F6B" w14:textId="77777777" w:rsidR="006C57CB" w:rsidRPr="0049220A" w:rsidRDefault="006C57CB" w:rsidP="00C862CA">
      <w:pPr>
        <w:jc w:val="both"/>
        <w:rPr>
          <w:rFonts w:ascii="Times New Roman" w:hAnsi="Times New Roman" w:cs="Times New Roman"/>
          <w:b/>
          <w:sz w:val="24"/>
          <w:szCs w:val="24"/>
        </w:rPr>
      </w:pPr>
      <w:r w:rsidRPr="0049220A">
        <w:rPr>
          <w:rFonts w:ascii="Times New Roman" w:hAnsi="Times New Roman" w:cs="Times New Roman"/>
          <w:b/>
          <w:sz w:val="24"/>
          <w:szCs w:val="24"/>
        </w:rPr>
        <w:t>References</w:t>
      </w:r>
    </w:p>
    <w:p w14:paraId="65AD5599" w14:textId="77777777" w:rsidR="00EA3896" w:rsidRPr="0049220A" w:rsidRDefault="00EA3896" w:rsidP="00EA389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9220A">
        <w:rPr>
          <w:rFonts w:ascii="Times New Roman" w:hAnsi="Times New Roman" w:cs="Times New Roman"/>
          <w:sz w:val="24"/>
          <w:szCs w:val="24"/>
        </w:rPr>
        <w:fldChar w:fldCharType="begin" w:fldLock="1"/>
      </w:r>
      <w:r w:rsidRPr="0049220A">
        <w:rPr>
          <w:rFonts w:ascii="Times New Roman" w:hAnsi="Times New Roman" w:cs="Times New Roman"/>
          <w:sz w:val="24"/>
          <w:szCs w:val="24"/>
        </w:rPr>
        <w:instrText xml:space="preserve">ADDIN Mendeley Bibliography CSL_BIBLIOGRAPHY </w:instrText>
      </w:r>
      <w:r w:rsidRPr="0049220A">
        <w:rPr>
          <w:rFonts w:ascii="Times New Roman" w:hAnsi="Times New Roman" w:cs="Times New Roman"/>
          <w:sz w:val="24"/>
          <w:szCs w:val="24"/>
        </w:rPr>
        <w:fldChar w:fldCharType="separate"/>
      </w:r>
      <w:r w:rsidRPr="0049220A">
        <w:rPr>
          <w:rFonts w:ascii="Times New Roman" w:hAnsi="Times New Roman" w:cs="Times New Roman"/>
          <w:noProof/>
          <w:sz w:val="24"/>
          <w:szCs w:val="24"/>
        </w:rPr>
        <w:t xml:space="preserve">Adebayo-Tayo, B. C., Briggs-Kamara, A. I. &amp; Salaam, A. M. (2021). Phytochemical Composition, Antioxidant, Antimicrobial Potential and GC-MS Analysis of Crude and Partitioned Fractions of Nigella sativa Seed Extract. </w:t>
      </w:r>
      <w:r w:rsidRPr="0049220A">
        <w:rPr>
          <w:rFonts w:ascii="Times New Roman" w:hAnsi="Times New Roman" w:cs="Times New Roman"/>
          <w:i/>
          <w:iCs/>
          <w:noProof/>
          <w:sz w:val="24"/>
          <w:szCs w:val="24"/>
        </w:rPr>
        <w:t>ACTA MICROBIOLOGICA BULGARICA</w:t>
      </w:r>
      <w:r w:rsidRPr="0049220A">
        <w:rPr>
          <w:rFonts w:ascii="Times New Roman" w:hAnsi="Times New Roman" w:cs="Times New Roman"/>
          <w:noProof/>
          <w:sz w:val="24"/>
          <w:szCs w:val="24"/>
        </w:rPr>
        <w:t xml:space="preserve">, </w:t>
      </w:r>
      <w:r w:rsidRPr="0049220A">
        <w:rPr>
          <w:rFonts w:ascii="Times New Roman" w:hAnsi="Times New Roman" w:cs="Times New Roman"/>
          <w:i/>
          <w:iCs/>
          <w:noProof/>
          <w:sz w:val="24"/>
          <w:szCs w:val="24"/>
        </w:rPr>
        <w:t>37</w:t>
      </w:r>
      <w:r w:rsidRPr="0049220A">
        <w:rPr>
          <w:rFonts w:ascii="Times New Roman" w:hAnsi="Times New Roman" w:cs="Times New Roman"/>
          <w:noProof/>
          <w:sz w:val="24"/>
          <w:szCs w:val="24"/>
        </w:rPr>
        <w:t>(1). https://actamicrobio.bg/archive/issue-1-2021/amb-1-2021-article-5.pdf</w:t>
      </w:r>
    </w:p>
    <w:p w14:paraId="45B9C498" w14:textId="77777777" w:rsidR="00EA3896" w:rsidRPr="0049220A" w:rsidRDefault="00EA3896" w:rsidP="00EA389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9220A">
        <w:rPr>
          <w:rFonts w:ascii="Times New Roman" w:hAnsi="Times New Roman" w:cs="Times New Roman"/>
          <w:noProof/>
          <w:sz w:val="24"/>
          <w:szCs w:val="24"/>
        </w:rPr>
        <w:t xml:space="preserve">Alqurashi, A. S., Al Masoudi, L. M., Hamdi, H. &amp; Abu Zaid, A. (2022). Chemical Composition and Antioxidant, Antiviral, Antifungal, Antibacterial and Anticancer Potentials of Opuntia ficus-indica Seed Oil. </w:t>
      </w:r>
      <w:r w:rsidRPr="0049220A">
        <w:rPr>
          <w:rFonts w:ascii="Times New Roman" w:hAnsi="Times New Roman" w:cs="Times New Roman"/>
          <w:i/>
          <w:iCs/>
          <w:noProof/>
          <w:sz w:val="24"/>
          <w:szCs w:val="24"/>
        </w:rPr>
        <w:t>Molecules</w:t>
      </w:r>
      <w:r w:rsidRPr="0049220A">
        <w:rPr>
          <w:rFonts w:ascii="Times New Roman" w:hAnsi="Times New Roman" w:cs="Times New Roman"/>
          <w:noProof/>
          <w:sz w:val="24"/>
          <w:szCs w:val="24"/>
        </w:rPr>
        <w:t xml:space="preserve">, </w:t>
      </w:r>
      <w:r w:rsidRPr="0049220A">
        <w:rPr>
          <w:rFonts w:ascii="Times New Roman" w:hAnsi="Times New Roman" w:cs="Times New Roman"/>
          <w:i/>
          <w:iCs/>
          <w:noProof/>
          <w:sz w:val="24"/>
          <w:szCs w:val="24"/>
        </w:rPr>
        <w:t>27</w:t>
      </w:r>
      <w:r w:rsidRPr="0049220A">
        <w:rPr>
          <w:rFonts w:ascii="Times New Roman" w:hAnsi="Times New Roman" w:cs="Times New Roman"/>
          <w:noProof/>
          <w:sz w:val="24"/>
          <w:szCs w:val="24"/>
        </w:rPr>
        <w:t>(17), 5453. https://doi.org/10.3390/MOLECULES27175453</w:t>
      </w:r>
    </w:p>
    <w:p w14:paraId="02B7D849" w14:textId="77777777" w:rsidR="00EA3896" w:rsidRPr="0049220A" w:rsidRDefault="00EA3896" w:rsidP="00EA389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9220A">
        <w:rPr>
          <w:rFonts w:ascii="Times New Roman" w:hAnsi="Times New Roman" w:cs="Times New Roman"/>
          <w:noProof/>
          <w:sz w:val="24"/>
          <w:szCs w:val="24"/>
        </w:rPr>
        <w:t xml:space="preserve">Ando, T., Inomata, S. &amp; Yamamoto, M. (2004). Lepidopteran sex pheromones. </w:t>
      </w:r>
      <w:r w:rsidRPr="0049220A">
        <w:rPr>
          <w:rFonts w:ascii="Times New Roman" w:hAnsi="Times New Roman" w:cs="Times New Roman"/>
          <w:i/>
          <w:iCs/>
          <w:noProof/>
          <w:sz w:val="24"/>
          <w:szCs w:val="24"/>
        </w:rPr>
        <w:t>Topics in Current Chemistry</w:t>
      </w:r>
      <w:r w:rsidRPr="0049220A">
        <w:rPr>
          <w:rFonts w:ascii="Times New Roman" w:hAnsi="Times New Roman" w:cs="Times New Roman"/>
          <w:noProof/>
          <w:sz w:val="24"/>
          <w:szCs w:val="24"/>
        </w:rPr>
        <w:t xml:space="preserve">, </w:t>
      </w:r>
      <w:r w:rsidRPr="0049220A">
        <w:rPr>
          <w:rFonts w:ascii="Times New Roman" w:hAnsi="Times New Roman" w:cs="Times New Roman"/>
          <w:i/>
          <w:iCs/>
          <w:noProof/>
          <w:sz w:val="24"/>
          <w:szCs w:val="24"/>
        </w:rPr>
        <w:t>239</w:t>
      </w:r>
      <w:r w:rsidRPr="0049220A">
        <w:rPr>
          <w:rFonts w:ascii="Times New Roman" w:hAnsi="Times New Roman" w:cs="Times New Roman"/>
          <w:noProof/>
          <w:sz w:val="24"/>
          <w:szCs w:val="24"/>
        </w:rPr>
        <w:t>, 51–96. https://doi.org/10.1007/B95449</w:t>
      </w:r>
    </w:p>
    <w:p w14:paraId="61F10C8F" w14:textId="77777777" w:rsidR="00EA3896" w:rsidRPr="0049220A" w:rsidRDefault="00EA3896" w:rsidP="00EA389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9220A">
        <w:rPr>
          <w:rFonts w:ascii="Times New Roman" w:hAnsi="Times New Roman" w:cs="Times New Roman"/>
          <w:noProof/>
          <w:sz w:val="24"/>
          <w:szCs w:val="24"/>
        </w:rPr>
        <w:t xml:space="preserve">Asteggiano, A., Occhipinti, A., Capuzzo, A., Mecarelli, E., Aigotti, R. &amp; Medana, C. (2021). Quali–Quantitative Characterization of Volatile and Non-Volatile Compounds in Protium heptaphyllum (Aubl.) Marchand Resin by GC–MS Validated Method, GC–FID and HPLC–HRMS2. </w:t>
      </w:r>
      <w:r w:rsidRPr="0049220A">
        <w:rPr>
          <w:rFonts w:ascii="Times New Roman" w:hAnsi="Times New Roman" w:cs="Times New Roman"/>
          <w:i/>
          <w:iCs/>
          <w:noProof/>
          <w:sz w:val="24"/>
          <w:szCs w:val="24"/>
        </w:rPr>
        <w:t>Molecules</w:t>
      </w:r>
      <w:r w:rsidRPr="0049220A">
        <w:rPr>
          <w:rFonts w:ascii="Times New Roman" w:hAnsi="Times New Roman" w:cs="Times New Roman"/>
          <w:noProof/>
          <w:sz w:val="24"/>
          <w:szCs w:val="24"/>
        </w:rPr>
        <w:t xml:space="preserve">, </w:t>
      </w:r>
      <w:r w:rsidRPr="0049220A">
        <w:rPr>
          <w:rFonts w:ascii="Times New Roman" w:hAnsi="Times New Roman" w:cs="Times New Roman"/>
          <w:i/>
          <w:iCs/>
          <w:noProof/>
          <w:sz w:val="24"/>
          <w:szCs w:val="24"/>
        </w:rPr>
        <w:t>26</w:t>
      </w:r>
      <w:r w:rsidRPr="0049220A">
        <w:rPr>
          <w:rFonts w:ascii="Times New Roman" w:hAnsi="Times New Roman" w:cs="Times New Roman"/>
          <w:noProof/>
          <w:sz w:val="24"/>
          <w:szCs w:val="24"/>
        </w:rPr>
        <w:t>(5), 1447. https://doi.org/10.3390/MOLECULES26051447</w:t>
      </w:r>
    </w:p>
    <w:p w14:paraId="777BB1F3" w14:textId="77777777" w:rsidR="00EA3896" w:rsidRPr="0049220A" w:rsidRDefault="00EA3896" w:rsidP="00EA389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9220A">
        <w:rPr>
          <w:rFonts w:ascii="Times New Roman" w:hAnsi="Times New Roman" w:cs="Times New Roman"/>
          <w:noProof/>
          <w:sz w:val="24"/>
          <w:szCs w:val="24"/>
        </w:rPr>
        <w:t xml:space="preserve">Blunt, J. W., Copp, B. R., Keyzers, R. A., Munro, M. H. G. &amp; Prinsep, M. R. (2012). Marine natural products. </w:t>
      </w:r>
      <w:r w:rsidRPr="0049220A">
        <w:rPr>
          <w:rFonts w:ascii="Times New Roman" w:hAnsi="Times New Roman" w:cs="Times New Roman"/>
          <w:i/>
          <w:iCs/>
          <w:noProof/>
          <w:sz w:val="24"/>
          <w:szCs w:val="24"/>
        </w:rPr>
        <w:t>Natural Product Reports</w:t>
      </w:r>
      <w:r w:rsidRPr="0049220A">
        <w:rPr>
          <w:rFonts w:ascii="Times New Roman" w:hAnsi="Times New Roman" w:cs="Times New Roman"/>
          <w:noProof/>
          <w:sz w:val="24"/>
          <w:szCs w:val="24"/>
        </w:rPr>
        <w:t xml:space="preserve">, </w:t>
      </w:r>
      <w:r w:rsidRPr="0049220A">
        <w:rPr>
          <w:rFonts w:ascii="Times New Roman" w:hAnsi="Times New Roman" w:cs="Times New Roman"/>
          <w:i/>
          <w:iCs/>
          <w:noProof/>
          <w:sz w:val="24"/>
          <w:szCs w:val="24"/>
        </w:rPr>
        <w:t>29</w:t>
      </w:r>
      <w:r w:rsidRPr="0049220A">
        <w:rPr>
          <w:rFonts w:ascii="Times New Roman" w:hAnsi="Times New Roman" w:cs="Times New Roman"/>
          <w:noProof/>
          <w:sz w:val="24"/>
          <w:szCs w:val="24"/>
        </w:rPr>
        <w:t xml:space="preserve">(2), 144–222. </w:t>
      </w:r>
      <w:r w:rsidRPr="0049220A">
        <w:rPr>
          <w:rFonts w:ascii="Times New Roman" w:hAnsi="Times New Roman" w:cs="Times New Roman"/>
          <w:noProof/>
          <w:sz w:val="24"/>
          <w:szCs w:val="24"/>
        </w:rPr>
        <w:lastRenderedPageBreak/>
        <w:t>https://doi.org/10.1039/C2NP00090C</w:t>
      </w:r>
    </w:p>
    <w:p w14:paraId="5F66AC9D" w14:textId="77777777" w:rsidR="00EA3896" w:rsidRPr="0049220A" w:rsidRDefault="00EA3896" w:rsidP="00EA389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9220A">
        <w:rPr>
          <w:rFonts w:ascii="Times New Roman" w:hAnsi="Times New Roman" w:cs="Times New Roman"/>
          <w:noProof/>
          <w:sz w:val="24"/>
          <w:szCs w:val="24"/>
        </w:rPr>
        <w:t xml:space="preserve">Calder, P. C. (2015). Marine omega-3 fatty acids and inflammatory processes: Effects, mechanisms and clinical relevance. </w:t>
      </w:r>
      <w:r w:rsidRPr="0049220A">
        <w:rPr>
          <w:rFonts w:ascii="Times New Roman" w:hAnsi="Times New Roman" w:cs="Times New Roman"/>
          <w:i/>
          <w:iCs/>
          <w:noProof/>
          <w:sz w:val="24"/>
          <w:szCs w:val="24"/>
        </w:rPr>
        <w:t>Biochimica et Biophysica Acta (BBA) - Molecular and Cell Biology of Lipids</w:t>
      </w:r>
      <w:r w:rsidRPr="0049220A">
        <w:rPr>
          <w:rFonts w:ascii="Times New Roman" w:hAnsi="Times New Roman" w:cs="Times New Roman"/>
          <w:noProof/>
          <w:sz w:val="24"/>
          <w:szCs w:val="24"/>
        </w:rPr>
        <w:t xml:space="preserve">, </w:t>
      </w:r>
      <w:r w:rsidRPr="0049220A">
        <w:rPr>
          <w:rFonts w:ascii="Times New Roman" w:hAnsi="Times New Roman" w:cs="Times New Roman"/>
          <w:i/>
          <w:iCs/>
          <w:noProof/>
          <w:sz w:val="24"/>
          <w:szCs w:val="24"/>
        </w:rPr>
        <w:t>1851</w:t>
      </w:r>
      <w:r w:rsidRPr="0049220A">
        <w:rPr>
          <w:rFonts w:ascii="Times New Roman" w:hAnsi="Times New Roman" w:cs="Times New Roman"/>
          <w:noProof/>
          <w:sz w:val="24"/>
          <w:szCs w:val="24"/>
        </w:rPr>
        <w:t>(4), 469–484. https://doi.org/10.1016/J.BBALIP.2014.08.010</w:t>
      </w:r>
    </w:p>
    <w:p w14:paraId="00F8EE43" w14:textId="77777777" w:rsidR="00EA3896" w:rsidRPr="0049220A" w:rsidRDefault="00EA3896" w:rsidP="00EA389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91551">
        <w:rPr>
          <w:rFonts w:ascii="Times New Roman" w:hAnsi="Times New Roman" w:cs="Times New Roman"/>
          <w:noProof/>
          <w:sz w:val="24"/>
          <w:szCs w:val="24"/>
          <w:lang w:val="pl-PL"/>
        </w:rPr>
        <w:t xml:space="preserve">Carta, G., Murru, E., Banni, S. &amp; Manca, C. (2017). </w:t>
      </w:r>
      <w:r w:rsidRPr="0049220A">
        <w:rPr>
          <w:rFonts w:ascii="Times New Roman" w:hAnsi="Times New Roman" w:cs="Times New Roman"/>
          <w:noProof/>
          <w:sz w:val="24"/>
          <w:szCs w:val="24"/>
        </w:rPr>
        <w:t xml:space="preserve">Palmitic Acid: Physiological Role, Metabolism and Nutritional Implications. </w:t>
      </w:r>
      <w:r w:rsidRPr="0049220A">
        <w:rPr>
          <w:rFonts w:ascii="Times New Roman" w:hAnsi="Times New Roman" w:cs="Times New Roman"/>
          <w:i/>
          <w:iCs/>
          <w:noProof/>
          <w:sz w:val="24"/>
          <w:szCs w:val="24"/>
        </w:rPr>
        <w:t>Frontiers in Physiology</w:t>
      </w:r>
      <w:r w:rsidRPr="0049220A">
        <w:rPr>
          <w:rFonts w:ascii="Times New Roman" w:hAnsi="Times New Roman" w:cs="Times New Roman"/>
          <w:noProof/>
          <w:sz w:val="24"/>
          <w:szCs w:val="24"/>
        </w:rPr>
        <w:t xml:space="preserve">, </w:t>
      </w:r>
      <w:r w:rsidRPr="0049220A">
        <w:rPr>
          <w:rFonts w:ascii="Times New Roman" w:hAnsi="Times New Roman" w:cs="Times New Roman"/>
          <w:i/>
          <w:iCs/>
          <w:noProof/>
          <w:sz w:val="24"/>
          <w:szCs w:val="24"/>
        </w:rPr>
        <w:t>8</w:t>
      </w:r>
      <w:r w:rsidRPr="0049220A">
        <w:rPr>
          <w:rFonts w:ascii="Times New Roman" w:hAnsi="Times New Roman" w:cs="Times New Roman"/>
          <w:noProof/>
          <w:sz w:val="24"/>
          <w:szCs w:val="24"/>
        </w:rPr>
        <w:t>(NOV), 902. https://doi.org/10.3389/FPHYS.2017.00902</w:t>
      </w:r>
    </w:p>
    <w:p w14:paraId="68D9310B" w14:textId="77777777" w:rsidR="00EA3896" w:rsidRPr="0049220A" w:rsidRDefault="00EA3896" w:rsidP="00EA389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9220A">
        <w:rPr>
          <w:rFonts w:ascii="Times New Roman" w:hAnsi="Times New Roman" w:cs="Times New Roman"/>
          <w:noProof/>
          <w:sz w:val="24"/>
          <w:szCs w:val="24"/>
        </w:rPr>
        <w:t xml:space="preserve">Cecere, E. &amp; Perrone, C. (2002). Morphology of Acanthophora nayadiformis (Ceramiales, Rhodophyta). </w:t>
      </w:r>
      <w:r w:rsidRPr="0049220A">
        <w:rPr>
          <w:rFonts w:ascii="Times New Roman" w:hAnsi="Times New Roman" w:cs="Times New Roman"/>
          <w:i/>
          <w:iCs/>
          <w:noProof/>
          <w:sz w:val="24"/>
          <w:szCs w:val="24"/>
        </w:rPr>
        <w:t>Phycologia</w:t>
      </w:r>
      <w:r w:rsidRPr="0049220A">
        <w:rPr>
          <w:rFonts w:ascii="Times New Roman" w:hAnsi="Times New Roman" w:cs="Times New Roman"/>
          <w:noProof/>
          <w:sz w:val="24"/>
          <w:szCs w:val="24"/>
        </w:rPr>
        <w:t xml:space="preserve">, </w:t>
      </w:r>
      <w:r w:rsidRPr="0049220A">
        <w:rPr>
          <w:rFonts w:ascii="Times New Roman" w:hAnsi="Times New Roman" w:cs="Times New Roman"/>
          <w:i/>
          <w:iCs/>
          <w:noProof/>
          <w:sz w:val="24"/>
          <w:szCs w:val="24"/>
        </w:rPr>
        <w:t>41</w:t>
      </w:r>
      <w:r w:rsidRPr="0049220A">
        <w:rPr>
          <w:rFonts w:ascii="Times New Roman" w:hAnsi="Times New Roman" w:cs="Times New Roman"/>
          <w:noProof/>
          <w:sz w:val="24"/>
          <w:szCs w:val="24"/>
        </w:rPr>
        <w:t>(5), 523–532. https://doi.org/10.2216/I0031-8884-41-5-523.1</w:t>
      </w:r>
    </w:p>
    <w:p w14:paraId="6F3B4F62" w14:textId="77777777" w:rsidR="00EA3896" w:rsidRPr="0049220A" w:rsidRDefault="00EA3896" w:rsidP="00EA389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9220A">
        <w:rPr>
          <w:rFonts w:ascii="Times New Roman" w:hAnsi="Times New Roman" w:cs="Times New Roman"/>
          <w:noProof/>
          <w:sz w:val="24"/>
          <w:szCs w:val="24"/>
        </w:rPr>
        <w:t xml:space="preserve">De Assis, F. F. V., Da Silva, N. C., Moraes, W. P., Barata, L. E. S. &amp; Minervino, A. H. H. (2020). Chemical Composition and In Vitro Antiplasmodial Activity of the Ethanolic Extract of Cyperus articulatus var. nodosus Residue. </w:t>
      </w:r>
      <w:r w:rsidRPr="0049220A">
        <w:rPr>
          <w:rFonts w:ascii="Times New Roman" w:hAnsi="Times New Roman" w:cs="Times New Roman"/>
          <w:i/>
          <w:iCs/>
          <w:noProof/>
          <w:sz w:val="24"/>
          <w:szCs w:val="24"/>
        </w:rPr>
        <w:t>Pathogens</w:t>
      </w:r>
      <w:r w:rsidRPr="0049220A">
        <w:rPr>
          <w:rFonts w:ascii="Times New Roman" w:hAnsi="Times New Roman" w:cs="Times New Roman"/>
          <w:noProof/>
          <w:sz w:val="24"/>
          <w:szCs w:val="24"/>
        </w:rPr>
        <w:t xml:space="preserve">, </w:t>
      </w:r>
      <w:r w:rsidRPr="0049220A">
        <w:rPr>
          <w:rFonts w:ascii="Times New Roman" w:hAnsi="Times New Roman" w:cs="Times New Roman"/>
          <w:i/>
          <w:iCs/>
          <w:noProof/>
          <w:sz w:val="24"/>
          <w:szCs w:val="24"/>
        </w:rPr>
        <w:t>9</w:t>
      </w:r>
      <w:r w:rsidRPr="0049220A">
        <w:rPr>
          <w:rFonts w:ascii="Times New Roman" w:hAnsi="Times New Roman" w:cs="Times New Roman"/>
          <w:noProof/>
          <w:sz w:val="24"/>
          <w:szCs w:val="24"/>
        </w:rPr>
        <w:t>(11), 889. https://doi.org/10.3390/PATHOGENS9110889</w:t>
      </w:r>
    </w:p>
    <w:p w14:paraId="5161467B" w14:textId="77777777" w:rsidR="00EA3896" w:rsidRPr="0049220A" w:rsidRDefault="00EA3896" w:rsidP="00EA389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9220A">
        <w:rPr>
          <w:rFonts w:ascii="Times New Roman" w:hAnsi="Times New Roman" w:cs="Times New Roman"/>
          <w:noProof/>
          <w:sz w:val="24"/>
          <w:szCs w:val="24"/>
        </w:rPr>
        <w:t xml:space="preserve">Fakhry Abdel-Motaal, F., Kamel, N. M., El-Zayat, S. A., El-Hamd Mohamed, A. H., Darwish, D. B. &amp; Professor, A. (2022). Plant Seedling Growth Stimulation and Antifungal Activities of Volatile Organic Compounds Emitted by Aspergillus flavus Endophyte. </w:t>
      </w:r>
      <w:r w:rsidRPr="0049220A">
        <w:rPr>
          <w:rFonts w:ascii="Times New Roman" w:hAnsi="Times New Roman" w:cs="Times New Roman"/>
          <w:i/>
          <w:iCs/>
          <w:noProof/>
          <w:sz w:val="24"/>
          <w:szCs w:val="24"/>
        </w:rPr>
        <w:t>J Appl Biotechnol Rep</w:t>
      </w:r>
      <w:r w:rsidRPr="0049220A">
        <w:rPr>
          <w:rFonts w:ascii="Times New Roman" w:hAnsi="Times New Roman" w:cs="Times New Roman"/>
          <w:noProof/>
          <w:sz w:val="24"/>
          <w:szCs w:val="24"/>
        </w:rPr>
        <w:t xml:space="preserve">, </w:t>
      </w:r>
      <w:r w:rsidRPr="0049220A">
        <w:rPr>
          <w:rFonts w:ascii="Times New Roman" w:hAnsi="Times New Roman" w:cs="Times New Roman"/>
          <w:i/>
          <w:iCs/>
          <w:noProof/>
          <w:sz w:val="24"/>
          <w:szCs w:val="24"/>
        </w:rPr>
        <w:t>9</w:t>
      </w:r>
      <w:r w:rsidRPr="0049220A">
        <w:rPr>
          <w:rFonts w:ascii="Times New Roman" w:hAnsi="Times New Roman" w:cs="Times New Roman"/>
          <w:noProof/>
          <w:sz w:val="24"/>
          <w:szCs w:val="24"/>
        </w:rPr>
        <w:t>(4), 831–840. https://doi.org/10.30491/JABR.2022.335430.1514</w:t>
      </w:r>
    </w:p>
    <w:p w14:paraId="1BD9BB78" w14:textId="77777777" w:rsidR="00EA3896" w:rsidRPr="0049220A" w:rsidRDefault="00EA3896" w:rsidP="00EA389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9220A">
        <w:rPr>
          <w:rFonts w:ascii="Times New Roman" w:hAnsi="Times New Roman" w:cs="Times New Roman"/>
          <w:noProof/>
          <w:sz w:val="24"/>
          <w:szCs w:val="24"/>
        </w:rPr>
        <w:t xml:space="preserve">FAO. (2000). </w:t>
      </w:r>
      <w:r w:rsidRPr="0049220A">
        <w:rPr>
          <w:rFonts w:ascii="Times New Roman" w:hAnsi="Times New Roman" w:cs="Times New Roman"/>
          <w:i/>
          <w:iCs/>
          <w:noProof/>
          <w:sz w:val="24"/>
          <w:szCs w:val="24"/>
        </w:rPr>
        <w:t>Pesticide residues in food 2000 Joint FAO/WHO Meeting on Pesticide Residues</w:t>
      </w:r>
      <w:r w:rsidRPr="0049220A">
        <w:rPr>
          <w:rFonts w:ascii="Times New Roman" w:hAnsi="Times New Roman" w:cs="Times New Roman"/>
          <w:noProof/>
          <w:sz w:val="24"/>
          <w:szCs w:val="24"/>
        </w:rPr>
        <w:t>.</w:t>
      </w:r>
    </w:p>
    <w:p w14:paraId="0AF9BBD2" w14:textId="77777777" w:rsidR="00EA3896" w:rsidRPr="0049220A" w:rsidRDefault="00EA3896" w:rsidP="00EA389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9220A">
        <w:rPr>
          <w:rFonts w:ascii="Times New Roman" w:hAnsi="Times New Roman" w:cs="Times New Roman"/>
          <w:noProof/>
          <w:sz w:val="24"/>
          <w:szCs w:val="24"/>
        </w:rPr>
        <w:t xml:space="preserve">Farid-Afshar, F., Saffarian, P., Mahmoodzadeh-Hosseini, H., Sattarian, F., Amin, M. &amp; Fooladi, A. A. I. (2016). Antimicrobial effects of Ferula gummosa Boiss gum against extended-spectrum β-lactamase producing Acinetobacter clinical isolates. </w:t>
      </w:r>
      <w:r w:rsidRPr="0049220A">
        <w:rPr>
          <w:rFonts w:ascii="Times New Roman" w:hAnsi="Times New Roman" w:cs="Times New Roman"/>
          <w:i/>
          <w:iCs/>
          <w:noProof/>
          <w:sz w:val="24"/>
          <w:szCs w:val="24"/>
        </w:rPr>
        <w:t>Iranian Journal of Microbiology</w:t>
      </w:r>
      <w:r w:rsidRPr="0049220A">
        <w:rPr>
          <w:rFonts w:ascii="Times New Roman" w:hAnsi="Times New Roman" w:cs="Times New Roman"/>
          <w:noProof/>
          <w:sz w:val="24"/>
          <w:szCs w:val="24"/>
        </w:rPr>
        <w:t xml:space="preserve">, </w:t>
      </w:r>
      <w:r w:rsidRPr="0049220A">
        <w:rPr>
          <w:rFonts w:ascii="Times New Roman" w:hAnsi="Times New Roman" w:cs="Times New Roman"/>
          <w:i/>
          <w:iCs/>
          <w:noProof/>
          <w:sz w:val="24"/>
          <w:szCs w:val="24"/>
        </w:rPr>
        <w:t>8</w:t>
      </w:r>
      <w:r w:rsidRPr="0049220A">
        <w:rPr>
          <w:rFonts w:ascii="Times New Roman" w:hAnsi="Times New Roman" w:cs="Times New Roman"/>
          <w:noProof/>
          <w:sz w:val="24"/>
          <w:szCs w:val="24"/>
        </w:rPr>
        <w:t>(4), 263. https://pmc.ncbi.nlm.nih.gov/articles/PMC5296941/</w:t>
      </w:r>
    </w:p>
    <w:p w14:paraId="29A716DF" w14:textId="77777777" w:rsidR="00EA3896" w:rsidRPr="0049220A" w:rsidRDefault="00EA3896" w:rsidP="00EA389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9220A">
        <w:rPr>
          <w:rFonts w:ascii="Times New Roman" w:hAnsi="Times New Roman" w:cs="Times New Roman"/>
          <w:noProof/>
          <w:sz w:val="24"/>
          <w:szCs w:val="24"/>
        </w:rPr>
        <w:t xml:space="preserve">Ganesh, M. &amp; Mohankumar, M. (2017a). Extraction and identification of bioactive components in Sida cordata (Burm.f.) using gas chromatography-mass spectrometry. </w:t>
      </w:r>
      <w:r w:rsidRPr="0049220A">
        <w:rPr>
          <w:rFonts w:ascii="Times New Roman" w:hAnsi="Times New Roman" w:cs="Times New Roman"/>
          <w:i/>
          <w:iCs/>
          <w:noProof/>
          <w:sz w:val="24"/>
          <w:szCs w:val="24"/>
        </w:rPr>
        <w:t>Journal of Food Science and Technology</w:t>
      </w:r>
      <w:r w:rsidRPr="0049220A">
        <w:rPr>
          <w:rFonts w:ascii="Times New Roman" w:hAnsi="Times New Roman" w:cs="Times New Roman"/>
          <w:noProof/>
          <w:sz w:val="24"/>
          <w:szCs w:val="24"/>
        </w:rPr>
        <w:t xml:space="preserve">, </w:t>
      </w:r>
      <w:r w:rsidRPr="0049220A">
        <w:rPr>
          <w:rFonts w:ascii="Times New Roman" w:hAnsi="Times New Roman" w:cs="Times New Roman"/>
          <w:i/>
          <w:iCs/>
          <w:noProof/>
          <w:sz w:val="24"/>
          <w:szCs w:val="24"/>
        </w:rPr>
        <w:t>54</w:t>
      </w:r>
      <w:r w:rsidRPr="0049220A">
        <w:rPr>
          <w:rFonts w:ascii="Times New Roman" w:hAnsi="Times New Roman" w:cs="Times New Roman"/>
          <w:noProof/>
          <w:sz w:val="24"/>
          <w:szCs w:val="24"/>
        </w:rPr>
        <w:t>(10), 3082–3091. https://doi.org/10.1007/S13197-017-2744-Z</w:t>
      </w:r>
    </w:p>
    <w:p w14:paraId="0A25299B" w14:textId="77777777" w:rsidR="00EA3896" w:rsidRPr="0049220A" w:rsidRDefault="00EA3896" w:rsidP="00EA389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9220A">
        <w:rPr>
          <w:rFonts w:ascii="Times New Roman" w:hAnsi="Times New Roman" w:cs="Times New Roman"/>
          <w:noProof/>
          <w:sz w:val="24"/>
          <w:szCs w:val="24"/>
        </w:rPr>
        <w:t xml:space="preserve">Ganesh, M. &amp; Mohankumar, M. (2017b). Extraction and identification of bioactive components in Sida cordata (Burm.f.) using gas chromatography–mass spectrometry. </w:t>
      </w:r>
      <w:r w:rsidRPr="0049220A">
        <w:rPr>
          <w:rFonts w:ascii="Times New Roman" w:hAnsi="Times New Roman" w:cs="Times New Roman"/>
          <w:i/>
          <w:iCs/>
          <w:noProof/>
          <w:sz w:val="24"/>
          <w:szCs w:val="24"/>
        </w:rPr>
        <w:t>Journal of Food Science and Technology</w:t>
      </w:r>
      <w:r w:rsidRPr="0049220A">
        <w:rPr>
          <w:rFonts w:ascii="Times New Roman" w:hAnsi="Times New Roman" w:cs="Times New Roman"/>
          <w:noProof/>
          <w:sz w:val="24"/>
          <w:szCs w:val="24"/>
        </w:rPr>
        <w:t xml:space="preserve">, </w:t>
      </w:r>
      <w:r w:rsidRPr="0049220A">
        <w:rPr>
          <w:rFonts w:ascii="Times New Roman" w:hAnsi="Times New Roman" w:cs="Times New Roman"/>
          <w:i/>
          <w:iCs/>
          <w:noProof/>
          <w:sz w:val="24"/>
          <w:szCs w:val="24"/>
        </w:rPr>
        <w:t>54</w:t>
      </w:r>
      <w:r w:rsidRPr="0049220A">
        <w:rPr>
          <w:rFonts w:ascii="Times New Roman" w:hAnsi="Times New Roman" w:cs="Times New Roman"/>
          <w:noProof/>
          <w:sz w:val="24"/>
          <w:szCs w:val="24"/>
        </w:rPr>
        <w:t>(10), 3082–3091. https://doi.org/10.1007/S13197-017-2744-Z,</w:t>
      </w:r>
    </w:p>
    <w:p w14:paraId="4EB9C273" w14:textId="77777777" w:rsidR="00EA3896" w:rsidRPr="0049220A" w:rsidRDefault="00EA3896" w:rsidP="00EA389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9220A">
        <w:rPr>
          <w:rFonts w:ascii="Times New Roman" w:hAnsi="Times New Roman" w:cs="Times New Roman"/>
          <w:noProof/>
          <w:sz w:val="24"/>
          <w:szCs w:val="24"/>
        </w:rPr>
        <w:t xml:space="preserve">Gomathi, D., Kalaiselvi, M., Ravikumar, G., Devaki, K. &amp; Uma, C. (2013). GC-MS analysis of bioactive compounds from the whole plant ethanolic extract of Evolvulus alsinoides (L.) L. </w:t>
      </w:r>
      <w:r w:rsidRPr="0049220A">
        <w:rPr>
          <w:rFonts w:ascii="Times New Roman" w:hAnsi="Times New Roman" w:cs="Times New Roman"/>
          <w:i/>
          <w:iCs/>
          <w:noProof/>
          <w:sz w:val="24"/>
          <w:szCs w:val="24"/>
        </w:rPr>
        <w:t>Journal of Food Science and Technology</w:t>
      </w:r>
      <w:r w:rsidRPr="0049220A">
        <w:rPr>
          <w:rFonts w:ascii="Times New Roman" w:hAnsi="Times New Roman" w:cs="Times New Roman"/>
          <w:noProof/>
          <w:sz w:val="24"/>
          <w:szCs w:val="24"/>
        </w:rPr>
        <w:t xml:space="preserve">, </w:t>
      </w:r>
      <w:r w:rsidRPr="0049220A">
        <w:rPr>
          <w:rFonts w:ascii="Times New Roman" w:hAnsi="Times New Roman" w:cs="Times New Roman"/>
          <w:i/>
          <w:iCs/>
          <w:noProof/>
          <w:sz w:val="24"/>
          <w:szCs w:val="24"/>
        </w:rPr>
        <w:t>52</w:t>
      </w:r>
      <w:r w:rsidRPr="0049220A">
        <w:rPr>
          <w:rFonts w:ascii="Times New Roman" w:hAnsi="Times New Roman" w:cs="Times New Roman"/>
          <w:noProof/>
          <w:sz w:val="24"/>
          <w:szCs w:val="24"/>
        </w:rPr>
        <w:t>(2), 1212. https://doi.org/10.1007/S13197-013-1105-9</w:t>
      </w:r>
    </w:p>
    <w:p w14:paraId="476596E2" w14:textId="77777777" w:rsidR="00EA3896" w:rsidRPr="0049220A" w:rsidRDefault="00EA3896" w:rsidP="00EA389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9220A">
        <w:rPr>
          <w:rFonts w:ascii="Times New Roman" w:hAnsi="Times New Roman" w:cs="Times New Roman"/>
          <w:noProof/>
          <w:sz w:val="24"/>
          <w:szCs w:val="24"/>
        </w:rPr>
        <w:t xml:space="preserve">Guengerich, F. P. (2001). Common and uncommon cytochrome P450 reactions related to metabolism and chemical toxicity. </w:t>
      </w:r>
      <w:r w:rsidRPr="0049220A">
        <w:rPr>
          <w:rFonts w:ascii="Times New Roman" w:hAnsi="Times New Roman" w:cs="Times New Roman"/>
          <w:i/>
          <w:iCs/>
          <w:noProof/>
          <w:sz w:val="24"/>
          <w:szCs w:val="24"/>
        </w:rPr>
        <w:t>Chemical Research in Toxicology</w:t>
      </w:r>
      <w:r w:rsidRPr="0049220A">
        <w:rPr>
          <w:rFonts w:ascii="Times New Roman" w:hAnsi="Times New Roman" w:cs="Times New Roman"/>
          <w:noProof/>
          <w:sz w:val="24"/>
          <w:szCs w:val="24"/>
        </w:rPr>
        <w:t xml:space="preserve">, </w:t>
      </w:r>
      <w:r w:rsidRPr="0049220A">
        <w:rPr>
          <w:rFonts w:ascii="Times New Roman" w:hAnsi="Times New Roman" w:cs="Times New Roman"/>
          <w:i/>
          <w:iCs/>
          <w:noProof/>
          <w:sz w:val="24"/>
          <w:szCs w:val="24"/>
        </w:rPr>
        <w:t>14</w:t>
      </w:r>
      <w:r w:rsidRPr="0049220A">
        <w:rPr>
          <w:rFonts w:ascii="Times New Roman" w:hAnsi="Times New Roman" w:cs="Times New Roman"/>
          <w:noProof/>
          <w:sz w:val="24"/>
          <w:szCs w:val="24"/>
        </w:rPr>
        <w:t>(6), 611–650. https://doi.org/10.1021/TX0002583;JOURNAL:JOURNAL:CRTOEC;PAGEGROUP:STRING:PUBLICATION</w:t>
      </w:r>
    </w:p>
    <w:p w14:paraId="1F5A4587" w14:textId="77777777" w:rsidR="00EA3896" w:rsidRPr="0049220A" w:rsidRDefault="00EA3896" w:rsidP="00EA389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91551">
        <w:rPr>
          <w:rFonts w:ascii="Times New Roman" w:hAnsi="Times New Roman" w:cs="Times New Roman"/>
          <w:noProof/>
          <w:sz w:val="24"/>
          <w:szCs w:val="24"/>
          <w:lang w:val="de-DE"/>
        </w:rPr>
        <w:t xml:space="preserve">Guillén, P. O., Motti, P., Mangelinckx, S., De Clerck, O., Bossier, P. &amp; Van Den Hende, S. (2022). </w:t>
      </w:r>
      <w:r w:rsidRPr="0049220A">
        <w:rPr>
          <w:rFonts w:ascii="Times New Roman" w:hAnsi="Times New Roman" w:cs="Times New Roman"/>
          <w:noProof/>
          <w:sz w:val="24"/>
          <w:szCs w:val="24"/>
        </w:rPr>
        <w:t xml:space="preserve">Valorization of the chemical diversity of the tropical red seaweeds Acanthophora and Kappaphycus and their applications in aquaculture: A review. </w:t>
      </w:r>
      <w:r w:rsidRPr="0049220A">
        <w:rPr>
          <w:rFonts w:ascii="Times New Roman" w:hAnsi="Times New Roman" w:cs="Times New Roman"/>
          <w:i/>
          <w:iCs/>
          <w:noProof/>
          <w:sz w:val="24"/>
          <w:szCs w:val="24"/>
        </w:rPr>
        <w:t>Frontiers in Marine Science</w:t>
      </w:r>
      <w:r w:rsidRPr="0049220A">
        <w:rPr>
          <w:rFonts w:ascii="Times New Roman" w:hAnsi="Times New Roman" w:cs="Times New Roman"/>
          <w:noProof/>
          <w:sz w:val="24"/>
          <w:szCs w:val="24"/>
        </w:rPr>
        <w:t xml:space="preserve">, </w:t>
      </w:r>
      <w:r w:rsidRPr="0049220A">
        <w:rPr>
          <w:rFonts w:ascii="Times New Roman" w:hAnsi="Times New Roman" w:cs="Times New Roman"/>
          <w:i/>
          <w:iCs/>
          <w:noProof/>
          <w:sz w:val="24"/>
          <w:szCs w:val="24"/>
        </w:rPr>
        <w:t>9</w:t>
      </w:r>
      <w:r w:rsidRPr="0049220A">
        <w:rPr>
          <w:rFonts w:ascii="Times New Roman" w:hAnsi="Times New Roman" w:cs="Times New Roman"/>
          <w:noProof/>
          <w:sz w:val="24"/>
          <w:szCs w:val="24"/>
        </w:rPr>
        <w:t>, 957290. https://doi.org/10.3389/FMARS.2022.957290/XML</w:t>
      </w:r>
    </w:p>
    <w:p w14:paraId="652A1552" w14:textId="77777777" w:rsidR="00EA3896" w:rsidRPr="0049220A" w:rsidRDefault="00EA3896" w:rsidP="00EA389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9220A">
        <w:rPr>
          <w:rFonts w:ascii="Times New Roman" w:hAnsi="Times New Roman" w:cs="Times New Roman"/>
          <w:noProof/>
          <w:sz w:val="24"/>
          <w:szCs w:val="24"/>
        </w:rPr>
        <w:t>Hille, B. (1977). Local anesthetics: hydrophilic and hydrophobic pathways for the drug-</w:t>
      </w:r>
      <w:r w:rsidRPr="0049220A">
        <w:rPr>
          <w:rFonts w:ascii="Times New Roman" w:hAnsi="Times New Roman" w:cs="Times New Roman"/>
          <w:noProof/>
          <w:sz w:val="24"/>
          <w:szCs w:val="24"/>
        </w:rPr>
        <w:lastRenderedPageBreak/>
        <w:t xml:space="preserve">receptor reaction. </w:t>
      </w:r>
      <w:r w:rsidRPr="0049220A">
        <w:rPr>
          <w:rFonts w:ascii="Times New Roman" w:hAnsi="Times New Roman" w:cs="Times New Roman"/>
          <w:i/>
          <w:iCs/>
          <w:noProof/>
          <w:sz w:val="24"/>
          <w:szCs w:val="24"/>
        </w:rPr>
        <w:t>Journal of General Physiology</w:t>
      </w:r>
      <w:r w:rsidRPr="0049220A">
        <w:rPr>
          <w:rFonts w:ascii="Times New Roman" w:hAnsi="Times New Roman" w:cs="Times New Roman"/>
          <w:noProof/>
          <w:sz w:val="24"/>
          <w:szCs w:val="24"/>
        </w:rPr>
        <w:t xml:space="preserve">, </w:t>
      </w:r>
      <w:r w:rsidRPr="0049220A">
        <w:rPr>
          <w:rFonts w:ascii="Times New Roman" w:hAnsi="Times New Roman" w:cs="Times New Roman"/>
          <w:i/>
          <w:iCs/>
          <w:noProof/>
          <w:sz w:val="24"/>
          <w:szCs w:val="24"/>
        </w:rPr>
        <w:t>69</w:t>
      </w:r>
      <w:r w:rsidRPr="0049220A">
        <w:rPr>
          <w:rFonts w:ascii="Times New Roman" w:hAnsi="Times New Roman" w:cs="Times New Roman"/>
          <w:noProof/>
          <w:sz w:val="24"/>
          <w:szCs w:val="24"/>
        </w:rPr>
        <w:t>(4), 497–515. https://doi.org/10.1085/JGP.69.4.497</w:t>
      </w:r>
    </w:p>
    <w:p w14:paraId="1A80DD5B" w14:textId="77777777" w:rsidR="00EA3896" w:rsidRPr="0049220A" w:rsidRDefault="00EA3896" w:rsidP="00EA389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9220A">
        <w:rPr>
          <w:rFonts w:ascii="Times New Roman" w:hAnsi="Times New Roman" w:cs="Times New Roman"/>
          <w:noProof/>
          <w:sz w:val="24"/>
          <w:szCs w:val="24"/>
        </w:rPr>
        <w:t xml:space="preserve">Holick, M. F. (2007). Vitamin D deficiency. </w:t>
      </w:r>
      <w:r w:rsidRPr="0049220A">
        <w:rPr>
          <w:rFonts w:ascii="Times New Roman" w:hAnsi="Times New Roman" w:cs="Times New Roman"/>
          <w:i/>
          <w:iCs/>
          <w:noProof/>
          <w:sz w:val="24"/>
          <w:szCs w:val="24"/>
        </w:rPr>
        <w:t>The New England Journal of Medicine</w:t>
      </w:r>
      <w:r w:rsidRPr="0049220A">
        <w:rPr>
          <w:rFonts w:ascii="Times New Roman" w:hAnsi="Times New Roman" w:cs="Times New Roman"/>
          <w:noProof/>
          <w:sz w:val="24"/>
          <w:szCs w:val="24"/>
        </w:rPr>
        <w:t xml:space="preserve">, </w:t>
      </w:r>
      <w:r w:rsidRPr="0049220A">
        <w:rPr>
          <w:rFonts w:ascii="Times New Roman" w:hAnsi="Times New Roman" w:cs="Times New Roman"/>
          <w:i/>
          <w:iCs/>
          <w:noProof/>
          <w:sz w:val="24"/>
          <w:szCs w:val="24"/>
        </w:rPr>
        <w:t>357</w:t>
      </w:r>
      <w:r w:rsidRPr="0049220A">
        <w:rPr>
          <w:rFonts w:ascii="Times New Roman" w:hAnsi="Times New Roman" w:cs="Times New Roman"/>
          <w:noProof/>
          <w:sz w:val="24"/>
          <w:szCs w:val="24"/>
        </w:rPr>
        <w:t>(3), 266–281. https://doi.org/10.1056/NEJMRA070553</w:t>
      </w:r>
    </w:p>
    <w:p w14:paraId="5CB8BB7B" w14:textId="77777777" w:rsidR="00EA3896" w:rsidRPr="0049220A" w:rsidRDefault="00EA3896" w:rsidP="00EA389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9220A">
        <w:rPr>
          <w:rFonts w:ascii="Times New Roman" w:hAnsi="Times New Roman" w:cs="Times New Roman"/>
          <w:noProof/>
          <w:sz w:val="24"/>
          <w:szCs w:val="24"/>
        </w:rPr>
        <w:t xml:space="preserve">Khattak, S. U., Ahmad, M., Ahmad, J., Ikram, S., Ahmad, S., Alshabrmi, F. M. &amp; Alatawi, E. A. (2024). Purification of Potential Antimicrobial Metabolites from Endophytic Fusarium oxysporum Isolated from Myrtus communis. </w:t>
      </w:r>
      <w:r w:rsidRPr="0049220A">
        <w:rPr>
          <w:rFonts w:ascii="Times New Roman" w:hAnsi="Times New Roman" w:cs="Times New Roman"/>
          <w:i/>
          <w:iCs/>
          <w:noProof/>
          <w:sz w:val="24"/>
          <w:szCs w:val="24"/>
        </w:rPr>
        <w:t>Applied Biochemistry and Biotechnology</w:t>
      </w:r>
      <w:r w:rsidRPr="0049220A">
        <w:rPr>
          <w:rFonts w:ascii="Times New Roman" w:hAnsi="Times New Roman" w:cs="Times New Roman"/>
          <w:noProof/>
          <w:sz w:val="24"/>
          <w:szCs w:val="24"/>
        </w:rPr>
        <w:t xml:space="preserve">, </w:t>
      </w:r>
      <w:r w:rsidRPr="0049220A">
        <w:rPr>
          <w:rFonts w:ascii="Times New Roman" w:hAnsi="Times New Roman" w:cs="Times New Roman"/>
          <w:i/>
          <w:iCs/>
          <w:noProof/>
          <w:sz w:val="24"/>
          <w:szCs w:val="24"/>
        </w:rPr>
        <w:t>196</w:t>
      </w:r>
      <w:r w:rsidRPr="0049220A">
        <w:rPr>
          <w:rFonts w:ascii="Times New Roman" w:hAnsi="Times New Roman" w:cs="Times New Roman"/>
          <w:noProof/>
          <w:sz w:val="24"/>
          <w:szCs w:val="24"/>
        </w:rPr>
        <w:t>(12), 8940–8964. https://doi.org/10.1007/S12010-024-05016-Z,</w:t>
      </w:r>
    </w:p>
    <w:p w14:paraId="35FD4C34" w14:textId="77777777" w:rsidR="00EA3896" w:rsidRPr="0049220A" w:rsidRDefault="00EA3896" w:rsidP="00EA389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9220A">
        <w:rPr>
          <w:rFonts w:ascii="Times New Roman" w:hAnsi="Times New Roman" w:cs="Times New Roman"/>
          <w:noProof/>
          <w:sz w:val="24"/>
          <w:szCs w:val="24"/>
        </w:rPr>
        <w:t xml:space="preserve">Kim, R., Son, S. R., Lee, N. K., Kim, J. Y., An, G., Choi, J. H. &amp; Jang, D. S. (2022). Cytotoxic Properties of C17 Polyacetylenes from the Fresh Roots of Panax ginseng on Human Epithelial Ovarian Cancer Cells. </w:t>
      </w:r>
      <w:r w:rsidRPr="0049220A">
        <w:rPr>
          <w:rFonts w:ascii="Times New Roman" w:hAnsi="Times New Roman" w:cs="Times New Roman"/>
          <w:i/>
          <w:iCs/>
          <w:noProof/>
          <w:sz w:val="24"/>
          <w:szCs w:val="24"/>
        </w:rPr>
        <w:t>Molecules</w:t>
      </w:r>
      <w:r w:rsidRPr="0049220A">
        <w:rPr>
          <w:rFonts w:ascii="Times New Roman" w:hAnsi="Times New Roman" w:cs="Times New Roman"/>
          <w:noProof/>
          <w:sz w:val="24"/>
          <w:szCs w:val="24"/>
        </w:rPr>
        <w:t xml:space="preserve">, </w:t>
      </w:r>
      <w:r w:rsidRPr="0049220A">
        <w:rPr>
          <w:rFonts w:ascii="Times New Roman" w:hAnsi="Times New Roman" w:cs="Times New Roman"/>
          <w:i/>
          <w:iCs/>
          <w:noProof/>
          <w:sz w:val="24"/>
          <w:szCs w:val="24"/>
        </w:rPr>
        <w:t>27</w:t>
      </w:r>
      <w:r w:rsidRPr="0049220A">
        <w:rPr>
          <w:rFonts w:ascii="Times New Roman" w:hAnsi="Times New Roman" w:cs="Times New Roman"/>
          <w:noProof/>
          <w:sz w:val="24"/>
          <w:szCs w:val="24"/>
        </w:rPr>
        <w:t>(20), 7027. https://doi.org/10.3390/MOLECULES27207027/S1</w:t>
      </w:r>
    </w:p>
    <w:p w14:paraId="51613DA8" w14:textId="77777777" w:rsidR="00EA3896" w:rsidRPr="00D91551" w:rsidRDefault="00EA3896" w:rsidP="00EA3896">
      <w:pPr>
        <w:widowControl w:val="0"/>
        <w:autoSpaceDE w:val="0"/>
        <w:autoSpaceDN w:val="0"/>
        <w:adjustRightInd w:val="0"/>
        <w:spacing w:line="240" w:lineRule="auto"/>
        <w:ind w:left="480" w:hanging="480"/>
        <w:jc w:val="both"/>
        <w:rPr>
          <w:rFonts w:ascii="Times New Roman" w:hAnsi="Times New Roman" w:cs="Times New Roman"/>
          <w:noProof/>
          <w:sz w:val="24"/>
          <w:szCs w:val="24"/>
          <w:lang w:val="pl-PL"/>
        </w:rPr>
      </w:pPr>
      <w:r w:rsidRPr="0049220A">
        <w:rPr>
          <w:rFonts w:ascii="Times New Roman" w:hAnsi="Times New Roman" w:cs="Times New Roman"/>
          <w:noProof/>
          <w:sz w:val="24"/>
          <w:szCs w:val="24"/>
        </w:rPr>
        <w:t xml:space="preserve">Krishnappa, S., Karthik, Y., Pratap, G. K., Shantaram, M., Umarajashekhar, A., Soumya, J., Bhatt, B., Sayed, S. M., Alhelaify, S. S., Aharthy, O. M. &amp; Mushtaq, M. (2024). Exploration of bioactive compounds from Olea dioica in Western Ghats of Karnataka using GC–MS. </w:t>
      </w:r>
      <w:r w:rsidRPr="00D91551">
        <w:rPr>
          <w:rFonts w:ascii="Times New Roman" w:hAnsi="Times New Roman" w:cs="Times New Roman"/>
          <w:i/>
          <w:iCs/>
          <w:noProof/>
          <w:sz w:val="24"/>
          <w:szCs w:val="24"/>
          <w:lang w:val="pl-PL"/>
        </w:rPr>
        <w:t>Biotech</w:t>
      </w:r>
      <w:r w:rsidRPr="00D91551">
        <w:rPr>
          <w:rFonts w:ascii="Times New Roman" w:hAnsi="Times New Roman" w:cs="Times New Roman"/>
          <w:noProof/>
          <w:sz w:val="24"/>
          <w:szCs w:val="24"/>
          <w:lang w:val="pl-PL"/>
        </w:rPr>
        <w:t xml:space="preserve">, </w:t>
      </w:r>
      <w:r w:rsidRPr="00D91551">
        <w:rPr>
          <w:rFonts w:ascii="Times New Roman" w:hAnsi="Times New Roman" w:cs="Times New Roman"/>
          <w:i/>
          <w:iCs/>
          <w:noProof/>
          <w:sz w:val="24"/>
          <w:szCs w:val="24"/>
          <w:lang w:val="pl-PL"/>
        </w:rPr>
        <w:t>14</w:t>
      </w:r>
      <w:r w:rsidRPr="00D91551">
        <w:rPr>
          <w:rFonts w:ascii="Times New Roman" w:hAnsi="Times New Roman" w:cs="Times New Roman"/>
          <w:noProof/>
          <w:sz w:val="24"/>
          <w:szCs w:val="24"/>
          <w:lang w:val="pl-PL"/>
        </w:rPr>
        <w:t>(3), 1–14. https://doi.org/10.1007/S13205-023-03888-2/METRICS</w:t>
      </w:r>
    </w:p>
    <w:p w14:paraId="1A873CE9" w14:textId="77777777" w:rsidR="00EA3896" w:rsidRPr="0049220A" w:rsidRDefault="00EA3896" w:rsidP="00EA389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91551">
        <w:rPr>
          <w:rFonts w:ascii="Times New Roman" w:hAnsi="Times New Roman" w:cs="Times New Roman"/>
          <w:noProof/>
          <w:sz w:val="24"/>
          <w:szCs w:val="24"/>
          <w:lang w:val="pl-PL"/>
        </w:rPr>
        <w:t xml:space="preserve">Kubo, I., Fujita, K. I., Nihei, K. I. &amp; Nihei, A. (2004). </w:t>
      </w:r>
      <w:r w:rsidRPr="0049220A">
        <w:rPr>
          <w:rFonts w:ascii="Times New Roman" w:hAnsi="Times New Roman" w:cs="Times New Roman"/>
          <w:noProof/>
          <w:sz w:val="24"/>
          <w:szCs w:val="24"/>
        </w:rPr>
        <w:t xml:space="preserve">Antibacterial Activity of Akyl Gallates against Bacillus subtilis. </w:t>
      </w:r>
      <w:r w:rsidRPr="0049220A">
        <w:rPr>
          <w:rFonts w:ascii="Times New Roman" w:hAnsi="Times New Roman" w:cs="Times New Roman"/>
          <w:i/>
          <w:iCs/>
          <w:noProof/>
          <w:sz w:val="24"/>
          <w:szCs w:val="24"/>
        </w:rPr>
        <w:t>Journal of Agricultural and Food Chemistry</w:t>
      </w:r>
      <w:r w:rsidRPr="0049220A">
        <w:rPr>
          <w:rFonts w:ascii="Times New Roman" w:hAnsi="Times New Roman" w:cs="Times New Roman"/>
          <w:noProof/>
          <w:sz w:val="24"/>
          <w:szCs w:val="24"/>
        </w:rPr>
        <w:t xml:space="preserve">, </w:t>
      </w:r>
      <w:r w:rsidRPr="0049220A">
        <w:rPr>
          <w:rFonts w:ascii="Times New Roman" w:hAnsi="Times New Roman" w:cs="Times New Roman"/>
          <w:i/>
          <w:iCs/>
          <w:noProof/>
          <w:sz w:val="24"/>
          <w:szCs w:val="24"/>
        </w:rPr>
        <w:t>52</w:t>
      </w:r>
      <w:r w:rsidRPr="0049220A">
        <w:rPr>
          <w:rFonts w:ascii="Times New Roman" w:hAnsi="Times New Roman" w:cs="Times New Roman"/>
          <w:noProof/>
          <w:sz w:val="24"/>
          <w:szCs w:val="24"/>
        </w:rPr>
        <w:t>(5), 1072–1076. https://doi.org/10.1021/JF034774L;JOURNAL:JOURNAL:JAFCAU;ISSUE:ISSUE:10.1021/JAFCAU.2004.52.ISSUE-5;PAGE:STRING:ARTICLE/CHAPTER</w:t>
      </w:r>
    </w:p>
    <w:p w14:paraId="5138792E" w14:textId="77777777" w:rsidR="00EA3896" w:rsidRPr="0049220A" w:rsidRDefault="00EA3896" w:rsidP="00EA389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91551">
        <w:rPr>
          <w:rFonts w:ascii="Times New Roman" w:hAnsi="Times New Roman" w:cs="Times New Roman"/>
          <w:noProof/>
          <w:sz w:val="24"/>
          <w:szCs w:val="24"/>
          <w:lang w:val="pl-PL"/>
        </w:rPr>
        <w:t xml:space="preserve">Kubo, I., Xiao, P. &amp; Fujita, K. (2002). </w:t>
      </w:r>
      <w:r w:rsidRPr="0049220A">
        <w:rPr>
          <w:rFonts w:ascii="Times New Roman" w:hAnsi="Times New Roman" w:cs="Times New Roman"/>
          <w:noProof/>
          <w:sz w:val="24"/>
          <w:szCs w:val="24"/>
        </w:rPr>
        <w:t xml:space="preserve">Anti-MRSA activity of alkyl gallates. </w:t>
      </w:r>
      <w:r w:rsidRPr="0049220A">
        <w:rPr>
          <w:rFonts w:ascii="Times New Roman" w:hAnsi="Times New Roman" w:cs="Times New Roman"/>
          <w:i/>
          <w:iCs/>
          <w:noProof/>
          <w:sz w:val="24"/>
          <w:szCs w:val="24"/>
        </w:rPr>
        <w:t>Bioorganic &amp; Medicinal Chemistry Letters</w:t>
      </w:r>
      <w:r w:rsidRPr="0049220A">
        <w:rPr>
          <w:rFonts w:ascii="Times New Roman" w:hAnsi="Times New Roman" w:cs="Times New Roman"/>
          <w:noProof/>
          <w:sz w:val="24"/>
          <w:szCs w:val="24"/>
        </w:rPr>
        <w:t xml:space="preserve">, </w:t>
      </w:r>
      <w:r w:rsidRPr="0049220A">
        <w:rPr>
          <w:rFonts w:ascii="Times New Roman" w:hAnsi="Times New Roman" w:cs="Times New Roman"/>
          <w:i/>
          <w:iCs/>
          <w:noProof/>
          <w:sz w:val="24"/>
          <w:szCs w:val="24"/>
        </w:rPr>
        <w:t>12</w:t>
      </w:r>
      <w:r w:rsidRPr="0049220A">
        <w:rPr>
          <w:rFonts w:ascii="Times New Roman" w:hAnsi="Times New Roman" w:cs="Times New Roman"/>
          <w:noProof/>
          <w:sz w:val="24"/>
          <w:szCs w:val="24"/>
        </w:rPr>
        <w:t>(2), 113–116. https://doi.org/10.1016/S0960-894X(01)00663-1</w:t>
      </w:r>
    </w:p>
    <w:p w14:paraId="7E8DBEF0" w14:textId="77777777" w:rsidR="00EA3896" w:rsidRPr="00D91551" w:rsidRDefault="00EA3896" w:rsidP="00EA3896">
      <w:pPr>
        <w:widowControl w:val="0"/>
        <w:autoSpaceDE w:val="0"/>
        <w:autoSpaceDN w:val="0"/>
        <w:adjustRightInd w:val="0"/>
        <w:spacing w:line="240" w:lineRule="auto"/>
        <w:ind w:left="480" w:hanging="480"/>
        <w:jc w:val="both"/>
        <w:rPr>
          <w:rFonts w:ascii="Times New Roman" w:hAnsi="Times New Roman" w:cs="Times New Roman"/>
          <w:noProof/>
          <w:sz w:val="24"/>
          <w:szCs w:val="24"/>
          <w:lang w:val="de-DE"/>
        </w:rPr>
      </w:pPr>
      <w:r w:rsidRPr="0049220A">
        <w:rPr>
          <w:rFonts w:ascii="Times New Roman" w:hAnsi="Times New Roman" w:cs="Times New Roman"/>
          <w:noProof/>
          <w:sz w:val="24"/>
          <w:szCs w:val="24"/>
        </w:rPr>
        <w:t xml:space="preserve">Leyton, Y., Borquez, J., Darias, J., Cueto, M., Díaz-Marrero, A. R. &amp; Riquelme, C. (2011). Oleic Acid Produced by a Marine Vibrio spp. Acts as an Anti-Vibrio parahaemolyticus Agent. </w:t>
      </w:r>
      <w:r w:rsidRPr="00D91551">
        <w:rPr>
          <w:rFonts w:ascii="Times New Roman" w:hAnsi="Times New Roman" w:cs="Times New Roman"/>
          <w:i/>
          <w:iCs/>
          <w:noProof/>
          <w:sz w:val="24"/>
          <w:szCs w:val="24"/>
          <w:lang w:val="de-DE"/>
        </w:rPr>
        <w:t>Marine Drugs</w:t>
      </w:r>
      <w:r w:rsidRPr="00D91551">
        <w:rPr>
          <w:rFonts w:ascii="Times New Roman" w:hAnsi="Times New Roman" w:cs="Times New Roman"/>
          <w:noProof/>
          <w:sz w:val="24"/>
          <w:szCs w:val="24"/>
          <w:lang w:val="de-DE"/>
        </w:rPr>
        <w:t xml:space="preserve">, </w:t>
      </w:r>
      <w:r w:rsidRPr="00D91551">
        <w:rPr>
          <w:rFonts w:ascii="Times New Roman" w:hAnsi="Times New Roman" w:cs="Times New Roman"/>
          <w:i/>
          <w:iCs/>
          <w:noProof/>
          <w:sz w:val="24"/>
          <w:szCs w:val="24"/>
          <w:lang w:val="de-DE"/>
        </w:rPr>
        <w:t>9</w:t>
      </w:r>
      <w:r w:rsidRPr="00D91551">
        <w:rPr>
          <w:rFonts w:ascii="Times New Roman" w:hAnsi="Times New Roman" w:cs="Times New Roman"/>
          <w:noProof/>
          <w:sz w:val="24"/>
          <w:szCs w:val="24"/>
          <w:lang w:val="de-DE"/>
        </w:rPr>
        <w:t>(10), 2155–2163. https://doi.org/10.3390/MD9102155</w:t>
      </w:r>
    </w:p>
    <w:p w14:paraId="1EE2E63D" w14:textId="77777777" w:rsidR="00EA3896" w:rsidRPr="0049220A" w:rsidRDefault="00EA3896" w:rsidP="00EA389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91551">
        <w:rPr>
          <w:rFonts w:ascii="Times New Roman" w:hAnsi="Times New Roman" w:cs="Times New Roman"/>
          <w:noProof/>
          <w:sz w:val="24"/>
          <w:szCs w:val="24"/>
          <w:lang w:val="de-DE"/>
        </w:rPr>
        <w:t xml:space="preserve">Mukherjee, P., Harwansh, R., Bahadur, S., Banerjee, S. &amp; Kar, A. (2016). </w:t>
      </w:r>
      <w:r w:rsidRPr="0049220A">
        <w:rPr>
          <w:rFonts w:ascii="Times New Roman" w:hAnsi="Times New Roman" w:cs="Times New Roman"/>
          <w:noProof/>
          <w:sz w:val="24"/>
          <w:szCs w:val="24"/>
        </w:rPr>
        <w:t xml:space="preserve">Evidence based validation of Indian traditional medicine - Way forward. </w:t>
      </w:r>
      <w:r w:rsidRPr="0049220A">
        <w:rPr>
          <w:rFonts w:ascii="Times New Roman" w:hAnsi="Times New Roman" w:cs="Times New Roman"/>
          <w:i/>
          <w:iCs/>
          <w:noProof/>
          <w:sz w:val="24"/>
          <w:szCs w:val="24"/>
        </w:rPr>
        <w:t>World Journal of Traditional Chinese Medicine</w:t>
      </w:r>
      <w:r w:rsidRPr="0049220A">
        <w:rPr>
          <w:rFonts w:ascii="Times New Roman" w:hAnsi="Times New Roman" w:cs="Times New Roman"/>
          <w:noProof/>
          <w:sz w:val="24"/>
          <w:szCs w:val="24"/>
        </w:rPr>
        <w:t xml:space="preserve">, </w:t>
      </w:r>
      <w:r w:rsidRPr="0049220A">
        <w:rPr>
          <w:rFonts w:ascii="Times New Roman" w:hAnsi="Times New Roman" w:cs="Times New Roman"/>
          <w:i/>
          <w:iCs/>
          <w:noProof/>
          <w:sz w:val="24"/>
          <w:szCs w:val="24"/>
        </w:rPr>
        <w:t>2</w:t>
      </w:r>
      <w:r w:rsidRPr="0049220A">
        <w:rPr>
          <w:rFonts w:ascii="Times New Roman" w:hAnsi="Times New Roman" w:cs="Times New Roman"/>
          <w:noProof/>
          <w:sz w:val="24"/>
          <w:szCs w:val="24"/>
        </w:rPr>
        <w:t>(1), 48–61. https://doi.org/10.15806/J.ISSN.2311-8571.2015.0018</w:t>
      </w:r>
    </w:p>
    <w:p w14:paraId="01A77F1E" w14:textId="77777777" w:rsidR="00EA3896" w:rsidRPr="0049220A" w:rsidRDefault="00EA3896" w:rsidP="00EA389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9220A">
        <w:rPr>
          <w:rFonts w:ascii="Times New Roman" w:hAnsi="Times New Roman" w:cs="Times New Roman"/>
          <w:noProof/>
          <w:sz w:val="24"/>
          <w:szCs w:val="24"/>
        </w:rPr>
        <w:t xml:space="preserve">Nyalo, P. O., Omwenga, G. I. &amp; Ngugi, M. P. (2023). Antibacterial properties and GC-MS analysis of ethyl acetate extracts of Xerophyta spekei (Baker) and Grewia tembensis (Fresen). </w:t>
      </w:r>
      <w:r w:rsidRPr="0049220A">
        <w:rPr>
          <w:rFonts w:ascii="Times New Roman" w:hAnsi="Times New Roman" w:cs="Times New Roman"/>
          <w:i/>
          <w:iCs/>
          <w:noProof/>
          <w:sz w:val="24"/>
          <w:szCs w:val="24"/>
        </w:rPr>
        <w:t>Heliyon</w:t>
      </w:r>
      <w:r w:rsidRPr="0049220A">
        <w:rPr>
          <w:rFonts w:ascii="Times New Roman" w:hAnsi="Times New Roman" w:cs="Times New Roman"/>
          <w:noProof/>
          <w:sz w:val="24"/>
          <w:szCs w:val="24"/>
        </w:rPr>
        <w:t xml:space="preserve">, </w:t>
      </w:r>
      <w:r w:rsidRPr="0049220A">
        <w:rPr>
          <w:rFonts w:ascii="Times New Roman" w:hAnsi="Times New Roman" w:cs="Times New Roman"/>
          <w:i/>
          <w:iCs/>
          <w:noProof/>
          <w:sz w:val="24"/>
          <w:szCs w:val="24"/>
        </w:rPr>
        <w:t>9</w:t>
      </w:r>
      <w:r w:rsidRPr="0049220A">
        <w:rPr>
          <w:rFonts w:ascii="Times New Roman" w:hAnsi="Times New Roman" w:cs="Times New Roman"/>
          <w:noProof/>
          <w:sz w:val="24"/>
          <w:szCs w:val="24"/>
        </w:rPr>
        <w:t>(3), e14461. https://doi.org/10.1016/J.HELIYON.2023.E14461</w:t>
      </w:r>
    </w:p>
    <w:p w14:paraId="11C443EB" w14:textId="77777777" w:rsidR="00EA3896" w:rsidRPr="0049220A" w:rsidRDefault="00EA3896" w:rsidP="00EA389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9220A">
        <w:rPr>
          <w:rFonts w:ascii="Times New Roman" w:hAnsi="Times New Roman" w:cs="Times New Roman"/>
          <w:noProof/>
          <w:sz w:val="24"/>
          <w:szCs w:val="24"/>
        </w:rPr>
        <w:t xml:space="preserve">Olivia, N. U., Goodness, U. C. &amp; Obinna, O. M. (2021). Phytochemical profiling and GC-MS analysis of aqueous methanol fraction of Hibiscus asper leaves. </w:t>
      </w:r>
      <w:r w:rsidRPr="0049220A">
        <w:rPr>
          <w:rFonts w:ascii="Times New Roman" w:hAnsi="Times New Roman" w:cs="Times New Roman"/>
          <w:i/>
          <w:iCs/>
          <w:noProof/>
          <w:sz w:val="24"/>
          <w:szCs w:val="24"/>
        </w:rPr>
        <w:t>Future Journal of Pharmaceutical Sciences</w:t>
      </w:r>
      <w:r w:rsidRPr="0049220A">
        <w:rPr>
          <w:rFonts w:ascii="Times New Roman" w:hAnsi="Times New Roman" w:cs="Times New Roman"/>
          <w:noProof/>
          <w:sz w:val="24"/>
          <w:szCs w:val="24"/>
        </w:rPr>
        <w:t xml:space="preserve">, </w:t>
      </w:r>
      <w:r w:rsidRPr="0049220A">
        <w:rPr>
          <w:rFonts w:ascii="Times New Roman" w:hAnsi="Times New Roman" w:cs="Times New Roman"/>
          <w:i/>
          <w:iCs/>
          <w:noProof/>
          <w:sz w:val="24"/>
          <w:szCs w:val="24"/>
        </w:rPr>
        <w:t>7</w:t>
      </w:r>
      <w:r w:rsidRPr="0049220A">
        <w:rPr>
          <w:rFonts w:ascii="Times New Roman" w:hAnsi="Times New Roman" w:cs="Times New Roman"/>
          <w:noProof/>
          <w:sz w:val="24"/>
          <w:szCs w:val="24"/>
        </w:rPr>
        <w:t>(1), 1–5. https://doi.org/10.1186/S43094-021-00208-4</w:t>
      </w:r>
    </w:p>
    <w:p w14:paraId="316E53AF" w14:textId="77777777" w:rsidR="00EA3896" w:rsidRPr="0049220A" w:rsidRDefault="00EA3896" w:rsidP="00EA389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9220A">
        <w:rPr>
          <w:rFonts w:ascii="Times New Roman" w:hAnsi="Times New Roman" w:cs="Times New Roman"/>
          <w:noProof/>
          <w:sz w:val="24"/>
          <w:szCs w:val="24"/>
        </w:rPr>
        <w:t xml:space="preserve">Padmini, N., Rashiya, N., Sivakumar, N., Kannan, N. D., Manjuladevi, R., Rajasekar, P., Prabhu, N. M. &amp; Selvakumar, G. (2020). In vitro and in vivo efficacy of methyl oleate and palmitic acid against ESBL producing MDR Escherichia coli and Klebsiella pneumoniae. </w:t>
      </w:r>
      <w:r w:rsidRPr="0049220A">
        <w:rPr>
          <w:rFonts w:ascii="Times New Roman" w:hAnsi="Times New Roman" w:cs="Times New Roman"/>
          <w:i/>
          <w:iCs/>
          <w:noProof/>
          <w:sz w:val="24"/>
          <w:szCs w:val="24"/>
        </w:rPr>
        <w:t>Microbial Pathogenesis</w:t>
      </w:r>
      <w:r w:rsidRPr="0049220A">
        <w:rPr>
          <w:rFonts w:ascii="Times New Roman" w:hAnsi="Times New Roman" w:cs="Times New Roman"/>
          <w:noProof/>
          <w:sz w:val="24"/>
          <w:szCs w:val="24"/>
        </w:rPr>
        <w:t xml:space="preserve">, </w:t>
      </w:r>
      <w:r w:rsidRPr="0049220A">
        <w:rPr>
          <w:rFonts w:ascii="Times New Roman" w:hAnsi="Times New Roman" w:cs="Times New Roman"/>
          <w:i/>
          <w:iCs/>
          <w:noProof/>
          <w:sz w:val="24"/>
          <w:szCs w:val="24"/>
        </w:rPr>
        <w:t>148</w:t>
      </w:r>
      <w:r w:rsidRPr="0049220A">
        <w:rPr>
          <w:rFonts w:ascii="Times New Roman" w:hAnsi="Times New Roman" w:cs="Times New Roman"/>
          <w:noProof/>
          <w:sz w:val="24"/>
          <w:szCs w:val="24"/>
        </w:rPr>
        <w:t>. https://doi.org/10.1016/j.micpath.2020.104446</w:t>
      </w:r>
    </w:p>
    <w:p w14:paraId="708D2039" w14:textId="77777777" w:rsidR="00EA3896" w:rsidRPr="0049220A" w:rsidRDefault="00EA3896" w:rsidP="00EA389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9220A">
        <w:rPr>
          <w:rFonts w:ascii="Times New Roman" w:hAnsi="Times New Roman" w:cs="Times New Roman"/>
          <w:noProof/>
          <w:sz w:val="24"/>
          <w:szCs w:val="24"/>
        </w:rPr>
        <w:t xml:space="preserve">Pereira, L. &amp; Cotas, J. (2024). Seaweed: a sustainable solution for greening drug manufacturing in the pursuit of sustainable healthcare. </w:t>
      </w:r>
      <w:r w:rsidRPr="0049220A">
        <w:rPr>
          <w:rFonts w:ascii="Times New Roman" w:hAnsi="Times New Roman" w:cs="Times New Roman"/>
          <w:i/>
          <w:iCs/>
          <w:noProof/>
          <w:sz w:val="24"/>
          <w:szCs w:val="24"/>
        </w:rPr>
        <w:t>Open Exploration</w:t>
      </w:r>
      <w:r w:rsidRPr="0049220A">
        <w:rPr>
          <w:rFonts w:ascii="Times New Roman" w:hAnsi="Times New Roman" w:cs="Times New Roman"/>
          <w:noProof/>
          <w:sz w:val="24"/>
          <w:szCs w:val="24"/>
        </w:rPr>
        <w:t xml:space="preserve">, </w:t>
      </w:r>
      <w:r w:rsidRPr="0049220A">
        <w:rPr>
          <w:rFonts w:ascii="Times New Roman" w:hAnsi="Times New Roman" w:cs="Times New Roman"/>
          <w:i/>
          <w:iCs/>
          <w:noProof/>
          <w:sz w:val="24"/>
          <w:szCs w:val="24"/>
        </w:rPr>
        <w:t>2</w:t>
      </w:r>
      <w:r w:rsidRPr="0049220A">
        <w:rPr>
          <w:rFonts w:ascii="Times New Roman" w:hAnsi="Times New Roman" w:cs="Times New Roman"/>
          <w:noProof/>
          <w:sz w:val="24"/>
          <w:szCs w:val="24"/>
        </w:rPr>
        <w:t>(1), 50–84. https://doi.org/10.37349/EDS.2024.00036</w:t>
      </w:r>
    </w:p>
    <w:p w14:paraId="711A2360" w14:textId="77777777" w:rsidR="00EA3896" w:rsidRPr="0049220A" w:rsidRDefault="00EA3896" w:rsidP="00EA389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9220A">
        <w:rPr>
          <w:rFonts w:ascii="Times New Roman" w:hAnsi="Times New Roman" w:cs="Times New Roman"/>
          <w:noProof/>
          <w:sz w:val="24"/>
          <w:szCs w:val="24"/>
        </w:rPr>
        <w:lastRenderedPageBreak/>
        <w:t xml:space="preserve">Perrone, C., Cecere, E. &amp; Furnari, G. (2006). Growth pattern assessment in the genus Acanthophora (Rhodophyta, Ceramiales). </w:t>
      </w:r>
      <w:r w:rsidRPr="0049220A">
        <w:rPr>
          <w:rFonts w:ascii="Times New Roman" w:hAnsi="Times New Roman" w:cs="Times New Roman"/>
          <w:i/>
          <w:iCs/>
          <w:noProof/>
          <w:sz w:val="24"/>
          <w:szCs w:val="24"/>
        </w:rPr>
        <w:t>Phycologia</w:t>
      </w:r>
      <w:r w:rsidRPr="0049220A">
        <w:rPr>
          <w:rFonts w:ascii="Times New Roman" w:hAnsi="Times New Roman" w:cs="Times New Roman"/>
          <w:noProof/>
          <w:sz w:val="24"/>
          <w:szCs w:val="24"/>
        </w:rPr>
        <w:t xml:space="preserve">, </w:t>
      </w:r>
      <w:r w:rsidRPr="0049220A">
        <w:rPr>
          <w:rFonts w:ascii="Times New Roman" w:hAnsi="Times New Roman" w:cs="Times New Roman"/>
          <w:i/>
          <w:iCs/>
          <w:noProof/>
          <w:sz w:val="24"/>
          <w:szCs w:val="24"/>
        </w:rPr>
        <w:t>45</w:t>
      </w:r>
      <w:r w:rsidRPr="0049220A">
        <w:rPr>
          <w:rFonts w:ascii="Times New Roman" w:hAnsi="Times New Roman" w:cs="Times New Roman"/>
          <w:noProof/>
          <w:sz w:val="24"/>
          <w:szCs w:val="24"/>
        </w:rPr>
        <w:t>(1), 37–43. https://doi.org/10.2216/04-45.1</w:t>
      </w:r>
    </w:p>
    <w:p w14:paraId="12CC1B6E" w14:textId="77777777" w:rsidR="00EA3896" w:rsidRPr="0049220A" w:rsidRDefault="00EA3896" w:rsidP="00EA389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9220A">
        <w:rPr>
          <w:rFonts w:ascii="Times New Roman" w:hAnsi="Times New Roman" w:cs="Times New Roman"/>
          <w:noProof/>
          <w:sz w:val="24"/>
          <w:szCs w:val="24"/>
        </w:rPr>
        <w:t xml:space="preserve">Raghavendra Hebbar, D. &amp; Somaiah Nalini, M. (2020). GC-MS Characterization of Antioxidative Compounds from the Stem Bark and Flower Extracts of Schefflera Species, from Western Ghats. </w:t>
      </w:r>
      <w:r w:rsidRPr="0049220A">
        <w:rPr>
          <w:rFonts w:ascii="Times New Roman" w:hAnsi="Times New Roman" w:cs="Times New Roman"/>
          <w:i/>
          <w:iCs/>
          <w:noProof/>
          <w:sz w:val="24"/>
          <w:szCs w:val="24"/>
        </w:rPr>
        <w:t>Der Pharmacia Lettre</w:t>
      </w:r>
      <w:r w:rsidRPr="0049220A">
        <w:rPr>
          <w:rFonts w:ascii="Times New Roman" w:hAnsi="Times New Roman" w:cs="Times New Roman"/>
          <w:noProof/>
          <w:sz w:val="24"/>
          <w:szCs w:val="24"/>
        </w:rPr>
        <w:t xml:space="preserve">, </w:t>
      </w:r>
      <w:r w:rsidRPr="0049220A">
        <w:rPr>
          <w:rFonts w:ascii="Times New Roman" w:hAnsi="Times New Roman" w:cs="Times New Roman"/>
          <w:i/>
          <w:iCs/>
          <w:noProof/>
          <w:sz w:val="24"/>
          <w:szCs w:val="24"/>
        </w:rPr>
        <w:t>12</w:t>
      </w:r>
      <w:r w:rsidRPr="0049220A">
        <w:rPr>
          <w:rFonts w:ascii="Times New Roman" w:hAnsi="Times New Roman" w:cs="Times New Roman"/>
          <w:noProof/>
          <w:sz w:val="24"/>
          <w:szCs w:val="24"/>
        </w:rPr>
        <w:t>(7), 51–60. https://www.researchgate.net/publication/383670943</w:t>
      </w:r>
    </w:p>
    <w:p w14:paraId="3B4500AF" w14:textId="77777777" w:rsidR="00EA3896" w:rsidRPr="0049220A" w:rsidRDefault="00EA3896" w:rsidP="00EA389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9220A">
        <w:rPr>
          <w:rFonts w:ascii="Times New Roman" w:hAnsi="Times New Roman" w:cs="Times New Roman"/>
          <w:noProof/>
          <w:sz w:val="24"/>
          <w:szCs w:val="24"/>
        </w:rPr>
        <w:t xml:space="preserve">Sabira, O., Vignesh, A. R., Ajaykumar, A. P., Varma, S. R., Jayaraj, K. N., Sebastin, M., Nikhila, K., Babu, A., Rasheed, V. A., Binitha, V. S., Vasu, Z. koldath &amp; Sujith, M. S. (2022). The Chemical Composition and Antimitotic, Antioxidant, Antibacterial and Cytotoxic Properties of the Defensive Gland Extract of the Beetle, Luprops tristis Fabricius. </w:t>
      </w:r>
      <w:r w:rsidRPr="0049220A">
        <w:rPr>
          <w:rFonts w:ascii="Times New Roman" w:hAnsi="Times New Roman" w:cs="Times New Roman"/>
          <w:i/>
          <w:iCs/>
          <w:noProof/>
          <w:sz w:val="24"/>
          <w:szCs w:val="24"/>
        </w:rPr>
        <w:t>Molecules</w:t>
      </w:r>
      <w:r w:rsidRPr="0049220A">
        <w:rPr>
          <w:rFonts w:ascii="Times New Roman" w:hAnsi="Times New Roman" w:cs="Times New Roman"/>
          <w:noProof/>
          <w:sz w:val="24"/>
          <w:szCs w:val="24"/>
        </w:rPr>
        <w:t xml:space="preserve">, </w:t>
      </w:r>
      <w:r w:rsidRPr="0049220A">
        <w:rPr>
          <w:rFonts w:ascii="Times New Roman" w:hAnsi="Times New Roman" w:cs="Times New Roman"/>
          <w:i/>
          <w:iCs/>
          <w:noProof/>
          <w:sz w:val="24"/>
          <w:szCs w:val="24"/>
        </w:rPr>
        <w:t>27</w:t>
      </w:r>
      <w:r w:rsidRPr="0049220A">
        <w:rPr>
          <w:rFonts w:ascii="Times New Roman" w:hAnsi="Times New Roman" w:cs="Times New Roman"/>
          <w:noProof/>
          <w:sz w:val="24"/>
          <w:szCs w:val="24"/>
        </w:rPr>
        <w:t>(21). https://doi.org/10.3390/MOLECULES27217476,</w:t>
      </w:r>
    </w:p>
    <w:p w14:paraId="61381C7A" w14:textId="77777777" w:rsidR="00EA3896" w:rsidRPr="0049220A" w:rsidRDefault="00EA3896" w:rsidP="00EA389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9220A">
        <w:rPr>
          <w:rFonts w:ascii="Times New Roman" w:hAnsi="Times New Roman" w:cs="Times New Roman"/>
          <w:noProof/>
          <w:sz w:val="24"/>
          <w:szCs w:val="24"/>
        </w:rPr>
        <w:t xml:space="preserve">Salama, A., EL-Kassaby, M. I., Refaat, A. &amp; Mohasib, R. M. M. (2024). GC–MS and Molecular Docking Analyses of Phytochemicals from Calendula officinalis L. Hexane Extract and Evaluation of its Antioxidant and Wound Healing Properties in Rats. </w:t>
      </w:r>
      <w:r w:rsidRPr="0049220A">
        <w:rPr>
          <w:rFonts w:ascii="Times New Roman" w:hAnsi="Times New Roman" w:cs="Times New Roman"/>
          <w:i/>
          <w:iCs/>
          <w:noProof/>
          <w:sz w:val="24"/>
          <w:szCs w:val="24"/>
        </w:rPr>
        <w:t>Egyptian Journal of Chemistry</w:t>
      </w:r>
      <w:r w:rsidRPr="0049220A">
        <w:rPr>
          <w:rFonts w:ascii="Times New Roman" w:hAnsi="Times New Roman" w:cs="Times New Roman"/>
          <w:noProof/>
          <w:sz w:val="24"/>
          <w:szCs w:val="24"/>
        </w:rPr>
        <w:t xml:space="preserve">, </w:t>
      </w:r>
      <w:r w:rsidRPr="0049220A">
        <w:rPr>
          <w:rFonts w:ascii="Times New Roman" w:hAnsi="Times New Roman" w:cs="Times New Roman"/>
          <w:i/>
          <w:iCs/>
          <w:noProof/>
          <w:sz w:val="24"/>
          <w:szCs w:val="24"/>
        </w:rPr>
        <w:t>67</w:t>
      </w:r>
      <w:r w:rsidRPr="0049220A">
        <w:rPr>
          <w:rFonts w:ascii="Times New Roman" w:hAnsi="Times New Roman" w:cs="Times New Roman"/>
          <w:noProof/>
          <w:sz w:val="24"/>
          <w:szCs w:val="24"/>
        </w:rPr>
        <w:t>(13), 1037–1058. https://doi.org/10.21608/EJCHEM.2024.328645.10642</w:t>
      </w:r>
    </w:p>
    <w:p w14:paraId="40A96B88" w14:textId="77777777" w:rsidR="00EA3896" w:rsidRPr="0049220A" w:rsidRDefault="00EA3896" w:rsidP="00EA389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9220A">
        <w:rPr>
          <w:rFonts w:ascii="Times New Roman" w:hAnsi="Times New Roman" w:cs="Times New Roman"/>
          <w:noProof/>
          <w:sz w:val="24"/>
          <w:szCs w:val="24"/>
        </w:rPr>
        <w:t xml:space="preserve">Sezer, F., Deniz, S., Sevim, D., Chaachouay, N. &amp; Zidane, L. (2024). Plant-Derived Natural Products: A Source for Drug Discovery and Development. </w:t>
      </w:r>
      <w:r w:rsidRPr="0049220A">
        <w:rPr>
          <w:rFonts w:ascii="Times New Roman" w:hAnsi="Times New Roman" w:cs="Times New Roman"/>
          <w:i/>
          <w:iCs/>
          <w:noProof/>
          <w:sz w:val="24"/>
          <w:szCs w:val="24"/>
        </w:rPr>
        <w:t>Drugs and Drug Candidates</w:t>
      </w:r>
      <w:r w:rsidRPr="0049220A">
        <w:rPr>
          <w:rFonts w:ascii="Times New Roman" w:hAnsi="Times New Roman" w:cs="Times New Roman"/>
          <w:noProof/>
          <w:sz w:val="24"/>
          <w:szCs w:val="24"/>
        </w:rPr>
        <w:t xml:space="preserve">, </w:t>
      </w:r>
      <w:r w:rsidRPr="0049220A">
        <w:rPr>
          <w:rFonts w:ascii="Times New Roman" w:hAnsi="Times New Roman" w:cs="Times New Roman"/>
          <w:i/>
          <w:iCs/>
          <w:noProof/>
          <w:sz w:val="24"/>
          <w:szCs w:val="24"/>
        </w:rPr>
        <w:t>3</w:t>
      </w:r>
      <w:r w:rsidRPr="0049220A">
        <w:rPr>
          <w:rFonts w:ascii="Times New Roman" w:hAnsi="Times New Roman" w:cs="Times New Roman"/>
          <w:noProof/>
          <w:sz w:val="24"/>
          <w:szCs w:val="24"/>
        </w:rPr>
        <w:t>(1), 184–207. https://doi.org/10.3390/DDC3010011</w:t>
      </w:r>
    </w:p>
    <w:p w14:paraId="3E8F19DF" w14:textId="77777777" w:rsidR="00EA3896" w:rsidRPr="0049220A" w:rsidRDefault="00EA3896" w:rsidP="00EA389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9220A">
        <w:rPr>
          <w:rFonts w:ascii="Times New Roman" w:hAnsi="Times New Roman" w:cs="Times New Roman"/>
          <w:noProof/>
          <w:sz w:val="24"/>
          <w:szCs w:val="24"/>
        </w:rPr>
        <w:t xml:space="preserve">Shimamura, Y., Inagaki, R., Oike, M., Wada, Y., Honda, H. &amp; Masuda, S. (2023). Potential Role of Lipase Activity on the Internal Exposure Assessment of Glycidol Released from Its Fatty Acid Esters. </w:t>
      </w:r>
      <w:r w:rsidRPr="0049220A">
        <w:rPr>
          <w:rFonts w:ascii="Times New Roman" w:hAnsi="Times New Roman" w:cs="Times New Roman"/>
          <w:i/>
          <w:iCs/>
          <w:noProof/>
          <w:sz w:val="24"/>
          <w:szCs w:val="24"/>
        </w:rPr>
        <w:t>Toxics</w:t>
      </w:r>
      <w:r w:rsidRPr="0049220A">
        <w:rPr>
          <w:rFonts w:ascii="Times New Roman" w:hAnsi="Times New Roman" w:cs="Times New Roman"/>
          <w:noProof/>
          <w:sz w:val="24"/>
          <w:szCs w:val="24"/>
        </w:rPr>
        <w:t xml:space="preserve">, </w:t>
      </w:r>
      <w:r w:rsidRPr="0049220A">
        <w:rPr>
          <w:rFonts w:ascii="Times New Roman" w:hAnsi="Times New Roman" w:cs="Times New Roman"/>
          <w:i/>
          <w:iCs/>
          <w:noProof/>
          <w:sz w:val="24"/>
          <w:szCs w:val="24"/>
        </w:rPr>
        <w:t>11</w:t>
      </w:r>
      <w:r w:rsidRPr="0049220A">
        <w:rPr>
          <w:rFonts w:ascii="Times New Roman" w:hAnsi="Times New Roman" w:cs="Times New Roman"/>
          <w:noProof/>
          <w:sz w:val="24"/>
          <w:szCs w:val="24"/>
        </w:rPr>
        <w:t>(2), 175. https://doi.org/10.3390/TOXICS11020175</w:t>
      </w:r>
    </w:p>
    <w:p w14:paraId="12E05535" w14:textId="77777777" w:rsidR="00EA3896" w:rsidRPr="0049220A" w:rsidRDefault="00EA3896" w:rsidP="00EA389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9220A">
        <w:rPr>
          <w:rFonts w:ascii="Times New Roman" w:hAnsi="Times New Roman" w:cs="Times New Roman"/>
          <w:noProof/>
          <w:sz w:val="24"/>
          <w:szCs w:val="24"/>
        </w:rPr>
        <w:t xml:space="preserve">Smith, W. L., Urade, Y. &amp; Jakobsson, P. J. (2011). Enzymes of the cyclooxygenase pathways of prostanoid biosynthesis. </w:t>
      </w:r>
      <w:r w:rsidRPr="0049220A">
        <w:rPr>
          <w:rFonts w:ascii="Times New Roman" w:hAnsi="Times New Roman" w:cs="Times New Roman"/>
          <w:i/>
          <w:iCs/>
          <w:noProof/>
          <w:sz w:val="24"/>
          <w:szCs w:val="24"/>
        </w:rPr>
        <w:t>Chemical Reviews</w:t>
      </w:r>
      <w:r w:rsidRPr="0049220A">
        <w:rPr>
          <w:rFonts w:ascii="Times New Roman" w:hAnsi="Times New Roman" w:cs="Times New Roman"/>
          <w:noProof/>
          <w:sz w:val="24"/>
          <w:szCs w:val="24"/>
        </w:rPr>
        <w:t xml:space="preserve">, </w:t>
      </w:r>
      <w:r w:rsidRPr="0049220A">
        <w:rPr>
          <w:rFonts w:ascii="Times New Roman" w:hAnsi="Times New Roman" w:cs="Times New Roman"/>
          <w:i/>
          <w:iCs/>
          <w:noProof/>
          <w:sz w:val="24"/>
          <w:szCs w:val="24"/>
        </w:rPr>
        <w:t>111</w:t>
      </w:r>
      <w:r w:rsidRPr="0049220A">
        <w:rPr>
          <w:rFonts w:ascii="Times New Roman" w:hAnsi="Times New Roman" w:cs="Times New Roman"/>
          <w:noProof/>
          <w:sz w:val="24"/>
          <w:szCs w:val="24"/>
        </w:rPr>
        <w:t>(10), 5821–5865. https://doi.org/10.1021/CR2002992,</w:t>
      </w:r>
    </w:p>
    <w:p w14:paraId="433199E3" w14:textId="77777777" w:rsidR="00EA3896" w:rsidRPr="0049220A" w:rsidRDefault="00EA3896" w:rsidP="00EA389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9220A">
        <w:rPr>
          <w:rFonts w:ascii="Times New Roman" w:hAnsi="Times New Roman" w:cs="Times New Roman"/>
          <w:noProof/>
          <w:sz w:val="24"/>
          <w:szCs w:val="24"/>
        </w:rPr>
        <w:t xml:space="preserve">Soltan, O. I. A., Gazwi, H. S. S., Ragab, A. E., Aljohani, A. S. M., El-Ashmawy, I. M., Batiha, G. E. S., Hafiz, A. A. &amp; Abdel-Hameed, S. M. (2023). Assessment of Bioactive Phytochemicals and Utilization of Rosa canina Fruit Extract as a Novel Natural Antioxidant for Mayonnaise. </w:t>
      </w:r>
      <w:r w:rsidRPr="0049220A">
        <w:rPr>
          <w:rFonts w:ascii="Times New Roman" w:hAnsi="Times New Roman" w:cs="Times New Roman"/>
          <w:i/>
          <w:iCs/>
          <w:noProof/>
          <w:sz w:val="24"/>
          <w:szCs w:val="24"/>
        </w:rPr>
        <w:t>Molecules</w:t>
      </w:r>
      <w:r w:rsidRPr="0049220A">
        <w:rPr>
          <w:rFonts w:ascii="Times New Roman" w:hAnsi="Times New Roman" w:cs="Times New Roman"/>
          <w:noProof/>
          <w:sz w:val="24"/>
          <w:szCs w:val="24"/>
        </w:rPr>
        <w:t xml:space="preserve">, </w:t>
      </w:r>
      <w:r w:rsidRPr="0049220A">
        <w:rPr>
          <w:rFonts w:ascii="Times New Roman" w:hAnsi="Times New Roman" w:cs="Times New Roman"/>
          <w:i/>
          <w:iCs/>
          <w:noProof/>
          <w:sz w:val="24"/>
          <w:szCs w:val="24"/>
        </w:rPr>
        <w:t>28</w:t>
      </w:r>
      <w:r w:rsidRPr="0049220A">
        <w:rPr>
          <w:rFonts w:ascii="Times New Roman" w:hAnsi="Times New Roman" w:cs="Times New Roman"/>
          <w:noProof/>
          <w:sz w:val="24"/>
          <w:szCs w:val="24"/>
        </w:rPr>
        <w:t>(8), 3350. https://doi.org/10.3390/MOLECULES28083350</w:t>
      </w:r>
    </w:p>
    <w:p w14:paraId="60E965D1" w14:textId="77777777" w:rsidR="00EA3896" w:rsidRPr="00D91551" w:rsidRDefault="00EA3896" w:rsidP="00EA3896">
      <w:pPr>
        <w:widowControl w:val="0"/>
        <w:autoSpaceDE w:val="0"/>
        <w:autoSpaceDN w:val="0"/>
        <w:adjustRightInd w:val="0"/>
        <w:spacing w:line="240" w:lineRule="auto"/>
        <w:ind w:left="480" w:hanging="480"/>
        <w:jc w:val="both"/>
        <w:rPr>
          <w:rFonts w:ascii="Times New Roman" w:hAnsi="Times New Roman" w:cs="Times New Roman"/>
          <w:noProof/>
          <w:sz w:val="24"/>
          <w:szCs w:val="24"/>
          <w:lang w:val="de-DE"/>
        </w:rPr>
      </w:pPr>
      <w:r w:rsidRPr="0049220A">
        <w:rPr>
          <w:rFonts w:ascii="Times New Roman" w:hAnsi="Times New Roman" w:cs="Times New Roman"/>
          <w:noProof/>
          <w:sz w:val="24"/>
          <w:szCs w:val="24"/>
        </w:rPr>
        <w:t xml:space="preserve">Thamer, F. H. &amp; Thamer, N. (2023). Gas chromatography – Mass spectrometry (GC-MS) profiling reveals newly described bioactive compounds in Citrullus colocynthis (L.) seeds oil extracts. </w:t>
      </w:r>
      <w:r w:rsidRPr="00D91551">
        <w:rPr>
          <w:rFonts w:ascii="Times New Roman" w:hAnsi="Times New Roman" w:cs="Times New Roman"/>
          <w:i/>
          <w:iCs/>
          <w:noProof/>
          <w:sz w:val="24"/>
          <w:szCs w:val="24"/>
          <w:lang w:val="de-DE"/>
        </w:rPr>
        <w:t>Heliyon</w:t>
      </w:r>
      <w:r w:rsidRPr="00D91551">
        <w:rPr>
          <w:rFonts w:ascii="Times New Roman" w:hAnsi="Times New Roman" w:cs="Times New Roman"/>
          <w:noProof/>
          <w:sz w:val="24"/>
          <w:szCs w:val="24"/>
          <w:lang w:val="de-DE"/>
        </w:rPr>
        <w:t xml:space="preserve">, </w:t>
      </w:r>
      <w:r w:rsidRPr="00D91551">
        <w:rPr>
          <w:rFonts w:ascii="Times New Roman" w:hAnsi="Times New Roman" w:cs="Times New Roman"/>
          <w:i/>
          <w:iCs/>
          <w:noProof/>
          <w:sz w:val="24"/>
          <w:szCs w:val="24"/>
          <w:lang w:val="de-DE"/>
        </w:rPr>
        <w:t>9</w:t>
      </w:r>
      <w:r w:rsidRPr="00D91551">
        <w:rPr>
          <w:rFonts w:ascii="Times New Roman" w:hAnsi="Times New Roman" w:cs="Times New Roman"/>
          <w:noProof/>
          <w:sz w:val="24"/>
          <w:szCs w:val="24"/>
          <w:lang w:val="de-DE"/>
        </w:rPr>
        <w:t>(6), e16861. https://doi.org/10.1016/J.HELIYON.2023.E16861</w:t>
      </w:r>
    </w:p>
    <w:p w14:paraId="74F3E049" w14:textId="77777777" w:rsidR="00EA3896" w:rsidRPr="0049220A" w:rsidRDefault="00EA3896" w:rsidP="00EA389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91551">
        <w:rPr>
          <w:rFonts w:ascii="Times New Roman" w:hAnsi="Times New Roman" w:cs="Times New Roman"/>
          <w:noProof/>
          <w:sz w:val="24"/>
          <w:szCs w:val="24"/>
          <w:lang w:val="de-DE"/>
        </w:rPr>
        <w:t xml:space="preserve">Yew, J. Y. &amp; Chung, H. (2015). </w:t>
      </w:r>
      <w:r w:rsidRPr="0049220A">
        <w:rPr>
          <w:rFonts w:ascii="Times New Roman" w:hAnsi="Times New Roman" w:cs="Times New Roman"/>
          <w:noProof/>
          <w:sz w:val="24"/>
          <w:szCs w:val="24"/>
        </w:rPr>
        <w:t xml:space="preserve">Insect pheromones: An overview of function, form, and discovery. </w:t>
      </w:r>
      <w:r w:rsidRPr="0049220A">
        <w:rPr>
          <w:rFonts w:ascii="Times New Roman" w:hAnsi="Times New Roman" w:cs="Times New Roman"/>
          <w:i/>
          <w:iCs/>
          <w:noProof/>
          <w:sz w:val="24"/>
          <w:szCs w:val="24"/>
        </w:rPr>
        <w:t>Progress in Lipid Research</w:t>
      </w:r>
      <w:r w:rsidRPr="0049220A">
        <w:rPr>
          <w:rFonts w:ascii="Times New Roman" w:hAnsi="Times New Roman" w:cs="Times New Roman"/>
          <w:noProof/>
          <w:sz w:val="24"/>
          <w:szCs w:val="24"/>
        </w:rPr>
        <w:t xml:space="preserve">, </w:t>
      </w:r>
      <w:r w:rsidRPr="0049220A">
        <w:rPr>
          <w:rFonts w:ascii="Times New Roman" w:hAnsi="Times New Roman" w:cs="Times New Roman"/>
          <w:i/>
          <w:iCs/>
          <w:noProof/>
          <w:sz w:val="24"/>
          <w:szCs w:val="24"/>
        </w:rPr>
        <w:t>59</w:t>
      </w:r>
      <w:r w:rsidRPr="0049220A">
        <w:rPr>
          <w:rFonts w:ascii="Times New Roman" w:hAnsi="Times New Roman" w:cs="Times New Roman"/>
          <w:noProof/>
          <w:sz w:val="24"/>
          <w:szCs w:val="24"/>
        </w:rPr>
        <w:t>, 88–105. https://doi.org/10.1016/J.PLIPRES.2015.06.001</w:t>
      </w:r>
    </w:p>
    <w:p w14:paraId="4AF036CC" w14:textId="77777777" w:rsidR="00EA3896" w:rsidRPr="0049220A" w:rsidRDefault="00EA3896" w:rsidP="00EA389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9220A">
        <w:rPr>
          <w:rFonts w:ascii="Times New Roman" w:hAnsi="Times New Roman" w:cs="Times New Roman"/>
          <w:noProof/>
          <w:sz w:val="24"/>
          <w:szCs w:val="24"/>
        </w:rPr>
        <w:t xml:space="preserve">Yoon, B. K., Jackman, J. A., Valle-González, E. R. &amp; Cho, N. J. (2018). Antibacterial free fatty acids and monoglycerides: Biological activities, experimental testing, and therapeutic applications. </w:t>
      </w:r>
      <w:r w:rsidRPr="0049220A">
        <w:rPr>
          <w:rFonts w:ascii="Times New Roman" w:hAnsi="Times New Roman" w:cs="Times New Roman"/>
          <w:i/>
          <w:iCs/>
          <w:noProof/>
          <w:sz w:val="24"/>
          <w:szCs w:val="24"/>
        </w:rPr>
        <w:t>International Journal of Molecular Sciences</w:t>
      </w:r>
      <w:r w:rsidRPr="0049220A">
        <w:rPr>
          <w:rFonts w:ascii="Times New Roman" w:hAnsi="Times New Roman" w:cs="Times New Roman"/>
          <w:noProof/>
          <w:sz w:val="24"/>
          <w:szCs w:val="24"/>
        </w:rPr>
        <w:t xml:space="preserve">, </w:t>
      </w:r>
      <w:r w:rsidRPr="0049220A">
        <w:rPr>
          <w:rFonts w:ascii="Times New Roman" w:hAnsi="Times New Roman" w:cs="Times New Roman"/>
          <w:i/>
          <w:iCs/>
          <w:noProof/>
          <w:sz w:val="24"/>
          <w:szCs w:val="24"/>
        </w:rPr>
        <w:t>19</w:t>
      </w:r>
      <w:r w:rsidRPr="0049220A">
        <w:rPr>
          <w:rFonts w:ascii="Times New Roman" w:hAnsi="Times New Roman" w:cs="Times New Roman"/>
          <w:noProof/>
          <w:sz w:val="24"/>
          <w:szCs w:val="24"/>
        </w:rPr>
        <w:t>(4). https://doi.org/10.3390/IJMS19041114,</w:t>
      </w:r>
    </w:p>
    <w:p w14:paraId="7C7307B2" w14:textId="77777777" w:rsidR="00EA3896" w:rsidRPr="0049220A" w:rsidRDefault="00EA3896" w:rsidP="00EA389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9220A">
        <w:rPr>
          <w:rFonts w:ascii="Times New Roman" w:hAnsi="Times New Roman" w:cs="Times New Roman"/>
          <w:noProof/>
          <w:sz w:val="24"/>
          <w:szCs w:val="24"/>
        </w:rPr>
        <w:t xml:space="preserve">Youssef, A. M. M., Maaty, D. A. M. &amp; Al-Saraireh, Y. M. (2023). Phytochemical Analysis and Profiling of Antioxidants and Anticancer Compounds from Tephrosia purpurea (L.) subsp. apollinea Family Fabaceae. </w:t>
      </w:r>
      <w:r w:rsidRPr="0049220A">
        <w:rPr>
          <w:rFonts w:ascii="Times New Roman" w:hAnsi="Times New Roman" w:cs="Times New Roman"/>
          <w:i/>
          <w:iCs/>
          <w:noProof/>
          <w:sz w:val="24"/>
          <w:szCs w:val="24"/>
        </w:rPr>
        <w:t>Molecules</w:t>
      </w:r>
      <w:r w:rsidRPr="0049220A">
        <w:rPr>
          <w:rFonts w:ascii="Times New Roman" w:hAnsi="Times New Roman" w:cs="Times New Roman"/>
          <w:noProof/>
          <w:sz w:val="24"/>
          <w:szCs w:val="24"/>
        </w:rPr>
        <w:t xml:space="preserve">, </w:t>
      </w:r>
      <w:r w:rsidRPr="0049220A">
        <w:rPr>
          <w:rFonts w:ascii="Times New Roman" w:hAnsi="Times New Roman" w:cs="Times New Roman"/>
          <w:i/>
          <w:iCs/>
          <w:noProof/>
          <w:sz w:val="24"/>
          <w:szCs w:val="24"/>
        </w:rPr>
        <w:t>28</w:t>
      </w:r>
      <w:r w:rsidRPr="0049220A">
        <w:rPr>
          <w:rFonts w:ascii="Times New Roman" w:hAnsi="Times New Roman" w:cs="Times New Roman"/>
          <w:noProof/>
          <w:sz w:val="24"/>
          <w:szCs w:val="24"/>
        </w:rPr>
        <w:t>(9), 3939. https://doi.org/10.3390/MOLECULES28093939</w:t>
      </w:r>
    </w:p>
    <w:p w14:paraId="63FB44D4" w14:textId="77777777" w:rsidR="00EA3896" w:rsidRPr="0049220A" w:rsidRDefault="00EA3896" w:rsidP="00EA389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9220A">
        <w:rPr>
          <w:rFonts w:ascii="Times New Roman" w:hAnsi="Times New Roman" w:cs="Times New Roman"/>
          <w:noProof/>
          <w:sz w:val="24"/>
          <w:szCs w:val="24"/>
        </w:rPr>
        <w:lastRenderedPageBreak/>
        <w:t xml:space="preserve">Yulianti, H., Santoni, A. &amp; Efdi, M. (2024). Isolation and Characterization of Cholest-5-en-3-ol Compound from the Ethyl Acetate Extract of Stem Bark Ulin Plant (Eusideroxylon zwageri Teijm &amp; Binn). </w:t>
      </w:r>
      <w:r w:rsidRPr="0049220A">
        <w:rPr>
          <w:rFonts w:ascii="Times New Roman" w:hAnsi="Times New Roman" w:cs="Times New Roman"/>
          <w:i/>
          <w:iCs/>
          <w:noProof/>
          <w:sz w:val="24"/>
          <w:szCs w:val="24"/>
        </w:rPr>
        <w:t>Journal of the Turkish Chemical Society Section A: Chemistry</w:t>
      </w:r>
      <w:r w:rsidRPr="0049220A">
        <w:rPr>
          <w:rFonts w:ascii="Times New Roman" w:hAnsi="Times New Roman" w:cs="Times New Roman"/>
          <w:noProof/>
          <w:sz w:val="24"/>
          <w:szCs w:val="24"/>
        </w:rPr>
        <w:t xml:space="preserve">, </w:t>
      </w:r>
      <w:r w:rsidRPr="0049220A">
        <w:rPr>
          <w:rFonts w:ascii="Times New Roman" w:hAnsi="Times New Roman" w:cs="Times New Roman"/>
          <w:i/>
          <w:iCs/>
          <w:noProof/>
          <w:sz w:val="24"/>
          <w:szCs w:val="24"/>
        </w:rPr>
        <w:t>11</w:t>
      </w:r>
      <w:r w:rsidRPr="0049220A">
        <w:rPr>
          <w:rFonts w:ascii="Times New Roman" w:hAnsi="Times New Roman" w:cs="Times New Roman"/>
          <w:noProof/>
          <w:sz w:val="24"/>
          <w:szCs w:val="24"/>
        </w:rPr>
        <w:t>(3), 919–924. https://doi.org/10.18596/JOTCSA.1379263</w:t>
      </w:r>
    </w:p>
    <w:p w14:paraId="398C5AF3" w14:textId="77777777" w:rsidR="006C57CB" w:rsidRPr="0049220A" w:rsidRDefault="00EA3896" w:rsidP="003421EC">
      <w:pPr>
        <w:jc w:val="both"/>
        <w:rPr>
          <w:rFonts w:ascii="Times New Roman" w:hAnsi="Times New Roman" w:cs="Times New Roman"/>
          <w:sz w:val="24"/>
          <w:szCs w:val="24"/>
        </w:rPr>
      </w:pPr>
      <w:r w:rsidRPr="0049220A">
        <w:rPr>
          <w:rFonts w:ascii="Times New Roman" w:hAnsi="Times New Roman" w:cs="Times New Roman"/>
          <w:sz w:val="24"/>
          <w:szCs w:val="24"/>
        </w:rPr>
        <w:fldChar w:fldCharType="end"/>
      </w:r>
    </w:p>
    <w:sectPr w:rsidR="006C57CB" w:rsidRPr="0049220A" w:rsidSect="003639F6">
      <w:headerReference w:type="even" r:id="rId14"/>
      <w:headerReference w:type="default" r:id="rId15"/>
      <w:footerReference w:type="even" r:id="rId16"/>
      <w:footerReference w:type="default" r:id="rId17"/>
      <w:headerReference w:type="first" r:id="rId18"/>
      <w:footerReference w:type="first" r:id="rId19"/>
      <w:pgSz w:w="11906" w:h="16838" w:code="9"/>
      <w:pgMar w:top="1152" w:right="1152" w:bottom="1152" w:left="1728" w:header="706" w:footer="706"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gema wahyudewantoro" w:date="2025-10-11T23:07:00Z" w:initials="gw">
    <w:p w14:paraId="231F2BBE" w14:textId="06E1D43F" w:rsidR="00D91551" w:rsidRDefault="00D91551">
      <w:pPr>
        <w:pStyle w:val="CommentText"/>
        <w:rPr>
          <w:noProof/>
        </w:rPr>
      </w:pPr>
      <w:r>
        <w:rPr>
          <w:rStyle w:val="CommentReference"/>
        </w:rPr>
        <w:annotationRef/>
      </w:r>
      <w:r w:rsidRPr="00D91551">
        <w:t>add methodological information</w:t>
      </w:r>
      <w:r w:rsidR="00000000">
        <w:rPr>
          <w:noProof/>
        </w:rPr>
        <w:t>.</w:t>
      </w:r>
    </w:p>
    <w:p w14:paraId="7645A33E" w14:textId="5A3F6BFF" w:rsidR="00D91551" w:rsidRDefault="00D91551">
      <w:pPr>
        <w:pStyle w:val="CommentText"/>
        <w:rPr>
          <w:noProof/>
        </w:rPr>
      </w:pPr>
      <w:r w:rsidRPr="00D91551">
        <w:rPr>
          <w:noProof/>
        </w:rPr>
        <w:t>The geographical origin or time of sampling of Acanthophora nayadiformis was not informed.</w:t>
      </w:r>
    </w:p>
    <w:p w14:paraId="1EC493A9" w14:textId="17E8A037" w:rsidR="00D91551" w:rsidRDefault="00D91551">
      <w:pPr>
        <w:pStyle w:val="CommentText"/>
        <w:rPr>
          <w:noProof/>
        </w:rPr>
      </w:pPr>
      <w:r w:rsidRPr="00D91551">
        <w:rPr>
          <w:noProof/>
        </w:rPr>
        <w:t>Are these activities properly tested experimentally?</w:t>
      </w:r>
      <w:r w:rsidR="00000000">
        <w:rPr>
          <w:noProof/>
        </w:rPr>
        <w:t xml:space="preserve"> for example </w:t>
      </w:r>
      <w:r w:rsidRPr="00D91551">
        <w:rPr>
          <w:noProof/>
        </w:rPr>
        <w:t>antioxidant, antimicrobial, etc.</w:t>
      </w:r>
    </w:p>
    <w:p w14:paraId="487CDBEE" w14:textId="28BB8BE8" w:rsidR="00D91551" w:rsidRDefault="00D91551">
      <w:pPr>
        <w:pStyle w:val="CommentText"/>
      </w:pPr>
    </w:p>
  </w:comment>
  <w:comment w:id="1" w:author="gema wahyudewantoro" w:date="2025-10-11T23:12:00Z" w:initials="gw">
    <w:p w14:paraId="11C76BA2" w14:textId="7D892AAB" w:rsidR="00D91551" w:rsidRDefault="00D91551">
      <w:pPr>
        <w:pStyle w:val="CommentText"/>
      </w:pPr>
      <w:r>
        <w:rPr>
          <w:rStyle w:val="CommentReference"/>
        </w:rPr>
        <w:annotationRef/>
      </w:r>
      <w:r w:rsidRPr="00D91551">
        <w:t>add keywords, preferably no words are included in the title</w:t>
      </w:r>
    </w:p>
  </w:comment>
  <w:comment w:id="2" w:author="gema wahyudewantoro" w:date="2025-10-11T23:24:00Z" w:initials="gw">
    <w:p w14:paraId="4D5C9F1C" w14:textId="472C0EF4" w:rsidR="005514A9" w:rsidRDefault="005514A9" w:rsidP="005514A9">
      <w:pPr>
        <w:pStyle w:val="CommentText"/>
      </w:pPr>
      <w:r>
        <w:rPr>
          <w:rStyle w:val="CommentReference"/>
        </w:rPr>
        <w:annotationRef/>
      </w:r>
      <w:r>
        <w:t>It hasn't specifically explained what will be studied and why it is scientifically important</w:t>
      </w:r>
    </w:p>
    <w:p w14:paraId="5A37358C" w14:textId="77777777" w:rsidR="005514A9" w:rsidRDefault="005514A9" w:rsidP="005514A9">
      <w:pPr>
        <w:pStyle w:val="CommentText"/>
        <w:rPr>
          <w:noProof/>
        </w:rPr>
      </w:pPr>
      <w:r>
        <w:t>What is the main hypothesis or research question?</w:t>
      </w:r>
    </w:p>
    <w:p w14:paraId="041156FC" w14:textId="77777777" w:rsidR="000C79D0" w:rsidRDefault="000C79D0" w:rsidP="000C79D0">
      <w:pPr>
        <w:pStyle w:val="CommentText"/>
      </w:pPr>
      <w:r>
        <w:t>What differentiates this research from previous studies?</w:t>
      </w:r>
    </w:p>
    <w:p w14:paraId="4557F0A1" w14:textId="2842AFB4" w:rsidR="000C79D0" w:rsidRDefault="000C79D0" w:rsidP="000C79D0">
      <w:pPr>
        <w:pStyle w:val="CommentText"/>
      </w:pPr>
      <w:r>
        <w:t>Why was this species chosen over other seaweeds that also have bioactive potential?</w:t>
      </w:r>
    </w:p>
  </w:comment>
  <w:comment w:id="3" w:author="gema wahyudewantoro" w:date="2025-10-11T23:55:00Z" w:initials="gw">
    <w:p w14:paraId="4EAD1427" w14:textId="4653B2F1" w:rsidR="000C79D0" w:rsidRDefault="000C79D0" w:rsidP="000C79D0">
      <w:pPr>
        <w:pStyle w:val="CommentText"/>
      </w:pPr>
      <w:r>
        <w:rPr>
          <w:rStyle w:val="CommentReference"/>
        </w:rPr>
        <w:annotationRef/>
      </w:r>
      <w:r>
        <w:t>The location and time of sampling are not specific.</w:t>
      </w:r>
    </w:p>
  </w:comment>
  <w:comment w:id="4" w:author="gema wahyudewantoro" w:date="2025-10-11T23:56:00Z" w:initials="gw">
    <w:p w14:paraId="00020186" w14:textId="38DE3D62" w:rsidR="000C79D0" w:rsidRDefault="000C79D0">
      <w:pPr>
        <w:pStyle w:val="CommentText"/>
      </w:pPr>
      <w:r>
        <w:rPr>
          <w:rStyle w:val="CommentReference"/>
        </w:rPr>
        <w:annotationRef/>
      </w:r>
      <w:r w:rsidRPr="000C79D0">
        <w:t>Explain a little about the evaporation process carried out (water bath, rotary evaporator, what temperature), and is drying carried out until constant weight?</w:t>
      </w:r>
    </w:p>
  </w:comment>
  <w:comment w:id="5" w:author="gema wahyudewantoro" w:date="2025-10-11T23:59:00Z" w:initials="gw">
    <w:p w14:paraId="417C5932" w14:textId="77777777" w:rsidR="009C3048" w:rsidRDefault="009C3048" w:rsidP="009C3048">
      <w:pPr>
        <w:pStyle w:val="CommentText"/>
      </w:pPr>
      <w:r>
        <w:rPr>
          <w:rStyle w:val="CommentReference"/>
        </w:rPr>
        <w:annotationRef/>
      </w:r>
      <w:r>
        <w:t>How many µL were injected into the GC–MS? Was it split or splitless mode?</w:t>
      </w:r>
    </w:p>
    <w:p w14:paraId="7AD1997E" w14:textId="5A76B9E4" w:rsidR="009C3048" w:rsidRDefault="009C3048" w:rsidP="009C3048">
      <w:pPr>
        <w:pStyle w:val="CommentText"/>
      </w:pPr>
      <w:r>
        <w:t>Was the system calibrated or validated</w:t>
      </w:r>
    </w:p>
  </w:comment>
  <w:comment w:id="6" w:author="gema wahyudewantoro" w:date="2025-10-12T00:10:00Z" w:initials="gw">
    <w:p w14:paraId="3309C5E0" w14:textId="1F5A14B9" w:rsidR="00005579" w:rsidRDefault="00005579">
      <w:pPr>
        <w:pStyle w:val="CommentText"/>
      </w:pPr>
      <w:r>
        <w:rPr>
          <w:rStyle w:val="CommentReference"/>
        </w:rPr>
        <w:annotationRef/>
      </w:r>
      <w:r w:rsidRPr="00005579">
        <w:t>Explain whether these bioactivities have been experimentally validated in this study or are simply inferred from literature reports.</w:t>
      </w:r>
    </w:p>
  </w:comment>
  <w:comment w:id="7" w:author="gema wahyudewantoro" w:date="2025-10-12T00:16:00Z" w:initials="gw">
    <w:p w14:paraId="508F9567" w14:textId="4EC6A7FF" w:rsidR="00005579" w:rsidRDefault="00005579">
      <w:pPr>
        <w:pStyle w:val="CommentText"/>
      </w:pPr>
      <w:r>
        <w:rPr>
          <w:rStyle w:val="CommentReference"/>
        </w:rPr>
        <w:annotationRef/>
      </w:r>
      <w:r w:rsidRPr="00005579">
        <w:t>Provide the relative peak area (%) for each identified antimicrobial compound to support their significance in the extract.</w:t>
      </w:r>
    </w:p>
  </w:comment>
  <w:comment w:id="8" w:author="gema wahyudewantoro" w:date="2025-10-12T00:18:00Z" w:initials="gw">
    <w:p w14:paraId="03E14E7F" w14:textId="36C2FFCE" w:rsidR="006721B7" w:rsidRDefault="006721B7">
      <w:pPr>
        <w:pStyle w:val="CommentText"/>
      </w:pPr>
      <w:r>
        <w:rPr>
          <w:rStyle w:val="CommentReference"/>
        </w:rPr>
        <w:annotationRef/>
      </w:r>
      <w:r w:rsidRPr="006721B7">
        <w:t xml:space="preserve">Provide evidence or references supporting the ecological role of these metabolites in </w:t>
      </w:r>
      <w:r w:rsidRPr="006721B7">
        <w:rPr>
          <w:i/>
          <w:iCs/>
        </w:rPr>
        <w:t>A. nayadiformis</w:t>
      </w:r>
      <w:r w:rsidRPr="006721B7">
        <w:t>, or clarify that this is a hypothesis inferred from known properties of fatty acids.</w:t>
      </w:r>
    </w:p>
  </w:comment>
  <w:comment w:id="9" w:author="gema wahyudewantoro" w:date="2025-10-12T00:23:00Z" w:initials="gw">
    <w:p w14:paraId="3736AD6C" w14:textId="6AC8DF00" w:rsidR="00281DDC" w:rsidRDefault="00281DDC">
      <w:pPr>
        <w:pStyle w:val="CommentText"/>
      </w:pPr>
      <w:r>
        <w:rPr>
          <w:rStyle w:val="CommentReference"/>
        </w:rPr>
        <w:annotationRef/>
      </w:r>
      <w:r w:rsidRPr="00281DDC">
        <w:t>Clarify how the identification of complex metabolites (e.g., panaxjapyne A, 1,25-dihydroxyvitamin D3) was verified, as these compounds are difficult to confirm by GC–MS alone. Indicate whether the identification was tentative and based solely on library matches.</w:t>
      </w:r>
    </w:p>
  </w:comment>
  <w:comment w:id="10" w:author="gema wahyudewantoro" w:date="2025-10-12T00:25:00Z" w:initials="gw">
    <w:p w14:paraId="35EBE62D" w14:textId="4036D84A" w:rsidR="005A315B" w:rsidRDefault="005A315B">
      <w:pPr>
        <w:pStyle w:val="CommentText"/>
      </w:pPr>
      <w:r>
        <w:rPr>
          <w:rStyle w:val="CommentReference"/>
        </w:rPr>
        <w:annotationRef/>
      </w:r>
      <w:r w:rsidRPr="005A315B">
        <w:t>How thermolabile compounds such as flavonoids and carotenoids were detected by GC–MS. Indicate whether derivatization was performed prior to analysis.</w:t>
      </w:r>
    </w:p>
  </w:comment>
  <w:comment w:id="11" w:author="gema wahyudewantoro" w:date="2025-10-12T00:27:00Z" w:initials="gw">
    <w:p w14:paraId="29E63B2A" w14:textId="7BB8AB3F" w:rsidR="005A315B" w:rsidRDefault="005A315B">
      <w:pPr>
        <w:pStyle w:val="CommentText"/>
      </w:pPr>
      <w:r>
        <w:rPr>
          <w:rStyle w:val="CommentReference"/>
        </w:rPr>
        <w:annotationRef/>
      </w:r>
      <w:r w:rsidRPr="005A315B">
        <w:t>The statement on “therapeutic potential” should be moderated unless supported by biological assay data.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87CDBEE" w15:done="0"/>
  <w15:commentEx w15:paraId="11C76BA2" w15:done="0"/>
  <w15:commentEx w15:paraId="4557F0A1" w15:done="0"/>
  <w15:commentEx w15:paraId="4EAD1427" w15:done="0"/>
  <w15:commentEx w15:paraId="00020186" w15:done="0"/>
  <w15:commentEx w15:paraId="7AD1997E" w15:done="0"/>
  <w15:commentEx w15:paraId="3309C5E0" w15:done="0"/>
  <w15:commentEx w15:paraId="508F9567" w15:done="0"/>
  <w15:commentEx w15:paraId="03E14E7F" w15:done="0"/>
  <w15:commentEx w15:paraId="3736AD6C" w15:done="0"/>
  <w15:commentEx w15:paraId="35EBE62D" w15:done="0"/>
  <w15:commentEx w15:paraId="29E63B2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16883B0" w16cex:dateUtc="2025-10-11T16:07:00Z"/>
  <w16cex:commentExtensible w16cex:durableId="079F2148" w16cex:dateUtc="2025-10-11T16:12:00Z"/>
  <w16cex:commentExtensible w16cex:durableId="7DFF8590" w16cex:dateUtc="2025-10-11T16:24:00Z"/>
  <w16cex:commentExtensible w16cex:durableId="1AFC03EF" w16cex:dateUtc="2025-10-11T16:55:00Z"/>
  <w16cex:commentExtensible w16cex:durableId="26912343" w16cex:dateUtc="2025-10-11T16:56:00Z"/>
  <w16cex:commentExtensible w16cex:durableId="23A14823" w16cex:dateUtc="2025-10-11T16:59:00Z"/>
  <w16cex:commentExtensible w16cex:durableId="19E89B00" w16cex:dateUtc="2025-10-11T17:10:00Z"/>
  <w16cex:commentExtensible w16cex:durableId="23D37AED" w16cex:dateUtc="2025-10-11T17:16:00Z"/>
  <w16cex:commentExtensible w16cex:durableId="15C466CA" w16cex:dateUtc="2025-10-11T17:18:00Z"/>
  <w16cex:commentExtensible w16cex:durableId="4A4FCC72" w16cex:dateUtc="2025-10-11T17:23:00Z"/>
  <w16cex:commentExtensible w16cex:durableId="06866B33" w16cex:dateUtc="2025-10-11T17:25:00Z"/>
  <w16cex:commentExtensible w16cex:durableId="690F8851" w16cex:dateUtc="2025-10-11T17: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87CDBEE" w16cid:durableId="716883B0"/>
  <w16cid:commentId w16cid:paraId="11C76BA2" w16cid:durableId="079F2148"/>
  <w16cid:commentId w16cid:paraId="4557F0A1" w16cid:durableId="7DFF8590"/>
  <w16cid:commentId w16cid:paraId="4EAD1427" w16cid:durableId="1AFC03EF"/>
  <w16cid:commentId w16cid:paraId="00020186" w16cid:durableId="26912343"/>
  <w16cid:commentId w16cid:paraId="7AD1997E" w16cid:durableId="23A14823"/>
  <w16cid:commentId w16cid:paraId="3309C5E0" w16cid:durableId="19E89B00"/>
  <w16cid:commentId w16cid:paraId="508F9567" w16cid:durableId="23D37AED"/>
  <w16cid:commentId w16cid:paraId="03E14E7F" w16cid:durableId="15C466CA"/>
  <w16cid:commentId w16cid:paraId="3736AD6C" w16cid:durableId="4A4FCC72"/>
  <w16cid:commentId w16cid:paraId="35EBE62D" w16cid:durableId="06866B33"/>
  <w16cid:commentId w16cid:paraId="29E63B2A" w16cid:durableId="690F885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BE8C40" w14:textId="77777777" w:rsidR="000760C7" w:rsidRDefault="000760C7" w:rsidP="00856A4D">
      <w:pPr>
        <w:spacing w:after="0" w:line="240" w:lineRule="auto"/>
      </w:pPr>
      <w:r>
        <w:separator/>
      </w:r>
    </w:p>
  </w:endnote>
  <w:endnote w:type="continuationSeparator" w:id="0">
    <w:p w14:paraId="7762FAA4" w14:textId="77777777" w:rsidR="000760C7" w:rsidRDefault="000760C7" w:rsidP="00856A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ACE3E" w14:textId="77777777" w:rsidR="0030380D" w:rsidRDefault="003038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2719"/>
      <w:docPartObj>
        <w:docPartGallery w:val="Page Numbers (Bottom of Page)"/>
        <w:docPartUnique/>
      </w:docPartObj>
    </w:sdtPr>
    <w:sdtEndPr>
      <w:rPr>
        <w:noProof/>
      </w:rPr>
    </w:sdtEndPr>
    <w:sdtContent>
      <w:p w14:paraId="6FCA2BD1" w14:textId="77777777" w:rsidR="00856A4D" w:rsidRDefault="00856A4D">
        <w:pPr>
          <w:pStyle w:val="Footer"/>
          <w:jc w:val="center"/>
        </w:pPr>
        <w:r>
          <w:fldChar w:fldCharType="begin"/>
        </w:r>
        <w:r>
          <w:instrText xml:space="preserve"> PAGE   \* MERGEFORMAT </w:instrText>
        </w:r>
        <w:r>
          <w:fldChar w:fldCharType="separate"/>
        </w:r>
        <w:r w:rsidR="0049220A">
          <w:rPr>
            <w:noProof/>
          </w:rPr>
          <w:t>13</w:t>
        </w:r>
        <w:r>
          <w:rPr>
            <w:noProof/>
          </w:rPr>
          <w:fldChar w:fldCharType="end"/>
        </w:r>
      </w:p>
    </w:sdtContent>
  </w:sdt>
  <w:p w14:paraId="39FFE85D" w14:textId="77777777" w:rsidR="00856A4D" w:rsidRDefault="00856A4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85143" w14:textId="77777777" w:rsidR="0030380D" w:rsidRDefault="003038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601C03" w14:textId="77777777" w:rsidR="000760C7" w:rsidRDefault="000760C7" w:rsidP="00856A4D">
      <w:pPr>
        <w:spacing w:after="0" w:line="240" w:lineRule="auto"/>
      </w:pPr>
      <w:r>
        <w:separator/>
      </w:r>
    </w:p>
  </w:footnote>
  <w:footnote w:type="continuationSeparator" w:id="0">
    <w:p w14:paraId="3EFF5032" w14:textId="77777777" w:rsidR="000760C7" w:rsidRDefault="000760C7" w:rsidP="00856A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06D1C" w14:textId="48459E07" w:rsidR="0030380D" w:rsidRDefault="00000000">
    <w:pPr>
      <w:pStyle w:val="Header"/>
    </w:pPr>
    <w:r>
      <w:rPr>
        <w:noProof/>
      </w:rPr>
      <w:pict w14:anchorId="6C926B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931501"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6092A" w14:textId="791151A6" w:rsidR="0030380D" w:rsidRDefault="00000000">
    <w:pPr>
      <w:pStyle w:val="Header"/>
    </w:pPr>
    <w:r>
      <w:rPr>
        <w:noProof/>
      </w:rPr>
      <w:pict w14:anchorId="6C0439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931502"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FB8D0" w14:textId="156DEEF3" w:rsidR="0030380D" w:rsidRDefault="00000000">
    <w:pPr>
      <w:pStyle w:val="Header"/>
    </w:pPr>
    <w:r>
      <w:rPr>
        <w:noProof/>
      </w:rPr>
      <w:pict w14:anchorId="222F8E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931500"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B3B1DDB"/>
    <w:multiLevelType w:val="hybridMultilevel"/>
    <w:tmpl w:val="CE3459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85103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ema wahyudewantoro">
    <w15:presenceInfo w15:providerId="Windows Live" w15:userId="997066122c4d81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395F"/>
    <w:rsid w:val="00005579"/>
    <w:rsid w:val="000760C7"/>
    <w:rsid w:val="000809C4"/>
    <w:rsid w:val="000B1C10"/>
    <w:rsid w:val="000B6857"/>
    <w:rsid w:val="000C79D0"/>
    <w:rsid w:val="000D0B90"/>
    <w:rsid w:val="001028B0"/>
    <w:rsid w:val="00113986"/>
    <w:rsid w:val="00132707"/>
    <w:rsid w:val="00172DA7"/>
    <w:rsid w:val="001761FE"/>
    <w:rsid w:val="001802CF"/>
    <w:rsid w:val="0019395F"/>
    <w:rsid w:val="001F05F7"/>
    <w:rsid w:val="00250B15"/>
    <w:rsid w:val="00267DA2"/>
    <w:rsid w:val="00273B94"/>
    <w:rsid w:val="00281DDC"/>
    <w:rsid w:val="00297DEF"/>
    <w:rsid w:val="002D19BE"/>
    <w:rsid w:val="002F5586"/>
    <w:rsid w:val="0030380D"/>
    <w:rsid w:val="00325A67"/>
    <w:rsid w:val="003421EC"/>
    <w:rsid w:val="00345798"/>
    <w:rsid w:val="003639F6"/>
    <w:rsid w:val="003711ED"/>
    <w:rsid w:val="0037163D"/>
    <w:rsid w:val="003C6D93"/>
    <w:rsid w:val="003F403E"/>
    <w:rsid w:val="003F685F"/>
    <w:rsid w:val="003F7CE8"/>
    <w:rsid w:val="0042421F"/>
    <w:rsid w:val="00445751"/>
    <w:rsid w:val="00463A9C"/>
    <w:rsid w:val="00473BF2"/>
    <w:rsid w:val="0049220A"/>
    <w:rsid w:val="004B1CB4"/>
    <w:rsid w:val="004F64F6"/>
    <w:rsid w:val="004F6EF1"/>
    <w:rsid w:val="005006B9"/>
    <w:rsid w:val="005514A9"/>
    <w:rsid w:val="005813B9"/>
    <w:rsid w:val="00596613"/>
    <w:rsid w:val="005A315B"/>
    <w:rsid w:val="005A57E5"/>
    <w:rsid w:val="005C2030"/>
    <w:rsid w:val="005D2222"/>
    <w:rsid w:val="005E0DF0"/>
    <w:rsid w:val="005F5E1A"/>
    <w:rsid w:val="00603275"/>
    <w:rsid w:val="00604806"/>
    <w:rsid w:val="00625BF3"/>
    <w:rsid w:val="006308D7"/>
    <w:rsid w:val="0065004C"/>
    <w:rsid w:val="00655323"/>
    <w:rsid w:val="006721B7"/>
    <w:rsid w:val="006809CC"/>
    <w:rsid w:val="00682148"/>
    <w:rsid w:val="00687E4A"/>
    <w:rsid w:val="006953DB"/>
    <w:rsid w:val="006A146C"/>
    <w:rsid w:val="006A25C9"/>
    <w:rsid w:val="006C0A91"/>
    <w:rsid w:val="006C57CB"/>
    <w:rsid w:val="006D4DD7"/>
    <w:rsid w:val="006E13DA"/>
    <w:rsid w:val="006E1B9A"/>
    <w:rsid w:val="006E6220"/>
    <w:rsid w:val="006F1F24"/>
    <w:rsid w:val="00712C44"/>
    <w:rsid w:val="00724B53"/>
    <w:rsid w:val="007359E2"/>
    <w:rsid w:val="0075488C"/>
    <w:rsid w:val="007606C4"/>
    <w:rsid w:val="007640AA"/>
    <w:rsid w:val="00764614"/>
    <w:rsid w:val="00765570"/>
    <w:rsid w:val="0076701B"/>
    <w:rsid w:val="0077714B"/>
    <w:rsid w:val="007B6738"/>
    <w:rsid w:val="007F310E"/>
    <w:rsid w:val="00800267"/>
    <w:rsid w:val="00841199"/>
    <w:rsid w:val="00852972"/>
    <w:rsid w:val="00856A4D"/>
    <w:rsid w:val="008673C1"/>
    <w:rsid w:val="00877FF1"/>
    <w:rsid w:val="00891970"/>
    <w:rsid w:val="008A1698"/>
    <w:rsid w:val="008B0BD7"/>
    <w:rsid w:val="008B456D"/>
    <w:rsid w:val="008D2F6B"/>
    <w:rsid w:val="008F6DC1"/>
    <w:rsid w:val="00900717"/>
    <w:rsid w:val="009222FD"/>
    <w:rsid w:val="009259BE"/>
    <w:rsid w:val="00960F65"/>
    <w:rsid w:val="009707E3"/>
    <w:rsid w:val="00971BA0"/>
    <w:rsid w:val="00973339"/>
    <w:rsid w:val="009947CE"/>
    <w:rsid w:val="009B36B8"/>
    <w:rsid w:val="009B7DB7"/>
    <w:rsid w:val="009C3048"/>
    <w:rsid w:val="00A16965"/>
    <w:rsid w:val="00A73E0D"/>
    <w:rsid w:val="00A96890"/>
    <w:rsid w:val="00AB1280"/>
    <w:rsid w:val="00AB25E6"/>
    <w:rsid w:val="00AD3219"/>
    <w:rsid w:val="00AE6CD9"/>
    <w:rsid w:val="00B25667"/>
    <w:rsid w:val="00B34B56"/>
    <w:rsid w:val="00B4653B"/>
    <w:rsid w:val="00B76DEA"/>
    <w:rsid w:val="00B80359"/>
    <w:rsid w:val="00B91AE1"/>
    <w:rsid w:val="00BA04A3"/>
    <w:rsid w:val="00BB2AD5"/>
    <w:rsid w:val="00BB3AA1"/>
    <w:rsid w:val="00BE3360"/>
    <w:rsid w:val="00BE795C"/>
    <w:rsid w:val="00C05ADB"/>
    <w:rsid w:val="00C47C68"/>
    <w:rsid w:val="00C862CA"/>
    <w:rsid w:val="00CC4D81"/>
    <w:rsid w:val="00CF0F1F"/>
    <w:rsid w:val="00CF5ACD"/>
    <w:rsid w:val="00D54B3B"/>
    <w:rsid w:val="00D64EBD"/>
    <w:rsid w:val="00D85EDA"/>
    <w:rsid w:val="00D8758A"/>
    <w:rsid w:val="00D91551"/>
    <w:rsid w:val="00DC0BDF"/>
    <w:rsid w:val="00DD06D2"/>
    <w:rsid w:val="00DF67F0"/>
    <w:rsid w:val="00E32A74"/>
    <w:rsid w:val="00E51A9F"/>
    <w:rsid w:val="00E64453"/>
    <w:rsid w:val="00E72AA1"/>
    <w:rsid w:val="00E72D95"/>
    <w:rsid w:val="00EA11B5"/>
    <w:rsid w:val="00EA159E"/>
    <w:rsid w:val="00EA3896"/>
    <w:rsid w:val="00EC79EB"/>
    <w:rsid w:val="00EE39D9"/>
    <w:rsid w:val="00EE4FA6"/>
    <w:rsid w:val="00F05712"/>
    <w:rsid w:val="00F10DF8"/>
    <w:rsid w:val="00F36E9D"/>
    <w:rsid w:val="00F43804"/>
    <w:rsid w:val="00F475F3"/>
    <w:rsid w:val="00F65C40"/>
    <w:rsid w:val="00F7118C"/>
    <w:rsid w:val="00F860DE"/>
    <w:rsid w:val="00FC19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02A3F3"/>
  <w15:chartTrackingRefBased/>
  <w15:docId w15:val="{E2961AAE-89C9-4ADD-A85E-3439C9606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25BF3"/>
    <w:rPr>
      <w:color w:val="0563C1" w:themeColor="hyperlink"/>
      <w:u w:val="single"/>
    </w:rPr>
  </w:style>
  <w:style w:type="table" w:styleId="TableGrid">
    <w:name w:val="Table Grid"/>
    <w:basedOn w:val="TableNormal"/>
    <w:uiPriority w:val="39"/>
    <w:rsid w:val="001F05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0B6857"/>
    <w:pPr>
      <w:spacing w:after="0" w:line="240" w:lineRule="auto"/>
    </w:pPr>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B6857"/>
    <w:pPr>
      <w:spacing w:after="0" w:line="240" w:lineRule="auto"/>
    </w:pPr>
  </w:style>
  <w:style w:type="paragraph" w:styleId="ListParagraph">
    <w:name w:val="List Paragraph"/>
    <w:basedOn w:val="Normal"/>
    <w:uiPriority w:val="34"/>
    <w:qFormat/>
    <w:rsid w:val="00B34B56"/>
    <w:pPr>
      <w:ind w:left="720"/>
      <w:contextualSpacing/>
    </w:pPr>
  </w:style>
  <w:style w:type="paragraph" w:styleId="Header">
    <w:name w:val="header"/>
    <w:basedOn w:val="Normal"/>
    <w:link w:val="HeaderChar"/>
    <w:uiPriority w:val="99"/>
    <w:unhideWhenUsed/>
    <w:rsid w:val="00856A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6A4D"/>
  </w:style>
  <w:style w:type="paragraph" w:styleId="Footer">
    <w:name w:val="footer"/>
    <w:basedOn w:val="Normal"/>
    <w:link w:val="FooterChar"/>
    <w:uiPriority w:val="99"/>
    <w:unhideWhenUsed/>
    <w:rsid w:val="00856A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6A4D"/>
  </w:style>
  <w:style w:type="character" w:styleId="UnresolvedMention">
    <w:name w:val="Unresolved Mention"/>
    <w:basedOn w:val="DefaultParagraphFont"/>
    <w:uiPriority w:val="99"/>
    <w:semiHidden/>
    <w:unhideWhenUsed/>
    <w:rsid w:val="009947CE"/>
    <w:rPr>
      <w:color w:val="605E5C"/>
      <w:shd w:val="clear" w:color="auto" w:fill="E1DFDD"/>
    </w:rPr>
  </w:style>
  <w:style w:type="character" w:styleId="CommentReference">
    <w:name w:val="annotation reference"/>
    <w:basedOn w:val="DefaultParagraphFont"/>
    <w:uiPriority w:val="99"/>
    <w:semiHidden/>
    <w:unhideWhenUsed/>
    <w:rsid w:val="00D91551"/>
    <w:rPr>
      <w:sz w:val="16"/>
      <w:szCs w:val="16"/>
    </w:rPr>
  </w:style>
  <w:style w:type="paragraph" w:styleId="CommentText">
    <w:name w:val="annotation text"/>
    <w:basedOn w:val="Normal"/>
    <w:link w:val="CommentTextChar"/>
    <w:uiPriority w:val="99"/>
    <w:unhideWhenUsed/>
    <w:rsid w:val="00D91551"/>
    <w:pPr>
      <w:spacing w:line="240" w:lineRule="auto"/>
    </w:pPr>
    <w:rPr>
      <w:sz w:val="20"/>
      <w:szCs w:val="20"/>
    </w:rPr>
  </w:style>
  <w:style w:type="character" w:customStyle="1" w:styleId="CommentTextChar">
    <w:name w:val="Comment Text Char"/>
    <w:basedOn w:val="DefaultParagraphFont"/>
    <w:link w:val="CommentText"/>
    <w:uiPriority w:val="99"/>
    <w:rsid w:val="00D91551"/>
    <w:rPr>
      <w:sz w:val="20"/>
      <w:szCs w:val="20"/>
    </w:rPr>
  </w:style>
  <w:style w:type="paragraph" w:styleId="CommentSubject">
    <w:name w:val="annotation subject"/>
    <w:basedOn w:val="CommentText"/>
    <w:next w:val="CommentText"/>
    <w:link w:val="CommentSubjectChar"/>
    <w:uiPriority w:val="99"/>
    <w:semiHidden/>
    <w:unhideWhenUsed/>
    <w:rsid w:val="00D91551"/>
    <w:rPr>
      <w:b/>
      <w:bCs/>
    </w:rPr>
  </w:style>
  <w:style w:type="character" w:customStyle="1" w:styleId="CommentSubjectChar">
    <w:name w:val="Comment Subject Char"/>
    <w:basedOn w:val="CommentTextChar"/>
    <w:link w:val="CommentSubject"/>
    <w:uiPriority w:val="99"/>
    <w:semiHidden/>
    <w:rsid w:val="00D91551"/>
    <w:rPr>
      <w:b/>
      <w:bCs/>
      <w:sz w:val="20"/>
      <w:szCs w:val="20"/>
    </w:rPr>
  </w:style>
  <w:style w:type="paragraph" w:styleId="Revision">
    <w:name w:val="Revision"/>
    <w:hidden/>
    <w:uiPriority w:val="99"/>
    <w:semiHidden/>
    <w:rsid w:val="00D9155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854118">
      <w:bodyDiv w:val="1"/>
      <w:marLeft w:val="0"/>
      <w:marRight w:val="0"/>
      <w:marTop w:val="0"/>
      <w:marBottom w:val="0"/>
      <w:divBdr>
        <w:top w:val="none" w:sz="0" w:space="0" w:color="auto"/>
        <w:left w:val="none" w:sz="0" w:space="0" w:color="auto"/>
        <w:bottom w:val="none" w:sz="0" w:space="0" w:color="auto"/>
        <w:right w:val="none" w:sz="0" w:space="0" w:color="auto"/>
      </w:divBdr>
    </w:div>
    <w:div w:id="494498334">
      <w:bodyDiv w:val="1"/>
      <w:marLeft w:val="0"/>
      <w:marRight w:val="0"/>
      <w:marTop w:val="0"/>
      <w:marBottom w:val="0"/>
      <w:divBdr>
        <w:top w:val="none" w:sz="0" w:space="0" w:color="auto"/>
        <w:left w:val="none" w:sz="0" w:space="0" w:color="auto"/>
        <w:bottom w:val="none" w:sz="0" w:space="0" w:color="auto"/>
        <w:right w:val="none" w:sz="0" w:space="0" w:color="auto"/>
      </w:divBdr>
    </w:div>
    <w:div w:id="560216163">
      <w:bodyDiv w:val="1"/>
      <w:marLeft w:val="0"/>
      <w:marRight w:val="0"/>
      <w:marTop w:val="0"/>
      <w:marBottom w:val="0"/>
      <w:divBdr>
        <w:top w:val="none" w:sz="0" w:space="0" w:color="auto"/>
        <w:left w:val="none" w:sz="0" w:space="0" w:color="auto"/>
        <w:bottom w:val="none" w:sz="0" w:space="0" w:color="auto"/>
        <w:right w:val="none" w:sz="0" w:space="0" w:color="auto"/>
      </w:divBdr>
    </w:div>
    <w:div w:id="909340377">
      <w:bodyDiv w:val="1"/>
      <w:marLeft w:val="0"/>
      <w:marRight w:val="0"/>
      <w:marTop w:val="0"/>
      <w:marBottom w:val="0"/>
      <w:divBdr>
        <w:top w:val="none" w:sz="0" w:space="0" w:color="auto"/>
        <w:left w:val="none" w:sz="0" w:space="0" w:color="auto"/>
        <w:bottom w:val="none" w:sz="0" w:space="0" w:color="auto"/>
        <w:right w:val="none" w:sz="0" w:space="0" w:color="auto"/>
      </w:divBdr>
    </w:div>
    <w:div w:id="1316181568">
      <w:bodyDiv w:val="1"/>
      <w:marLeft w:val="0"/>
      <w:marRight w:val="0"/>
      <w:marTop w:val="0"/>
      <w:marBottom w:val="0"/>
      <w:divBdr>
        <w:top w:val="none" w:sz="0" w:space="0" w:color="auto"/>
        <w:left w:val="none" w:sz="0" w:space="0" w:color="auto"/>
        <w:bottom w:val="none" w:sz="0" w:space="0" w:color="auto"/>
        <w:right w:val="none" w:sz="0" w:space="0" w:color="auto"/>
      </w:divBdr>
    </w:div>
    <w:div w:id="1754158849">
      <w:bodyDiv w:val="1"/>
      <w:marLeft w:val="0"/>
      <w:marRight w:val="0"/>
      <w:marTop w:val="0"/>
      <w:marBottom w:val="0"/>
      <w:divBdr>
        <w:top w:val="none" w:sz="0" w:space="0" w:color="auto"/>
        <w:left w:val="none" w:sz="0" w:space="0" w:color="auto"/>
        <w:bottom w:val="none" w:sz="0" w:space="0" w:color="auto"/>
        <w:right w:val="none" w:sz="0" w:space="0" w:color="auto"/>
      </w:divBdr>
    </w:div>
    <w:div w:id="1907254937">
      <w:bodyDiv w:val="1"/>
      <w:marLeft w:val="0"/>
      <w:marRight w:val="0"/>
      <w:marTop w:val="0"/>
      <w:marBottom w:val="0"/>
      <w:divBdr>
        <w:top w:val="none" w:sz="0" w:space="0" w:color="auto"/>
        <w:left w:val="none" w:sz="0" w:space="0" w:color="auto"/>
        <w:bottom w:val="none" w:sz="0" w:space="0" w:color="auto"/>
        <w:right w:val="none" w:sz="0" w:space="0" w:color="auto"/>
      </w:divBdr>
    </w:div>
    <w:div w:id="1968730878">
      <w:bodyDiv w:val="1"/>
      <w:marLeft w:val="0"/>
      <w:marRight w:val="0"/>
      <w:marTop w:val="0"/>
      <w:marBottom w:val="0"/>
      <w:divBdr>
        <w:top w:val="none" w:sz="0" w:space="0" w:color="auto"/>
        <w:left w:val="none" w:sz="0" w:space="0" w:color="auto"/>
        <w:bottom w:val="none" w:sz="0" w:space="0" w:color="auto"/>
        <w:right w:val="none" w:sz="0" w:space="0" w:color="auto"/>
      </w:divBdr>
    </w:div>
    <w:div w:id="1983846163">
      <w:bodyDiv w:val="1"/>
      <w:marLeft w:val="0"/>
      <w:marRight w:val="0"/>
      <w:marTop w:val="0"/>
      <w:marBottom w:val="0"/>
      <w:divBdr>
        <w:top w:val="none" w:sz="0" w:space="0" w:color="auto"/>
        <w:left w:val="none" w:sz="0" w:space="0" w:color="auto"/>
        <w:bottom w:val="none" w:sz="0" w:space="0" w:color="auto"/>
        <w:right w:val="none" w:sz="0" w:space="0" w:color="auto"/>
      </w:divBdr>
    </w:div>
    <w:div w:id="2047949687">
      <w:bodyDiv w:val="1"/>
      <w:marLeft w:val="0"/>
      <w:marRight w:val="0"/>
      <w:marTop w:val="0"/>
      <w:marBottom w:val="0"/>
      <w:divBdr>
        <w:top w:val="none" w:sz="0" w:space="0" w:color="auto"/>
        <w:left w:val="none" w:sz="0" w:space="0" w:color="auto"/>
        <w:bottom w:val="none" w:sz="0" w:space="0" w:color="auto"/>
        <w:right w:val="none" w:sz="0" w:space="0" w:color="auto"/>
      </w:divBdr>
    </w:div>
    <w:div w:id="2080014020">
      <w:bodyDiv w:val="1"/>
      <w:marLeft w:val="0"/>
      <w:marRight w:val="0"/>
      <w:marTop w:val="0"/>
      <w:marBottom w:val="0"/>
      <w:divBdr>
        <w:top w:val="none" w:sz="0" w:space="0" w:color="auto"/>
        <w:left w:val="none" w:sz="0" w:space="0" w:color="auto"/>
        <w:bottom w:val="none" w:sz="0" w:space="0" w:color="auto"/>
        <w:right w:val="none" w:sz="0" w:space="0" w:color="auto"/>
      </w:divBdr>
    </w:div>
    <w:div w:id="2085032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jpeg"/><Relationship Id="rId18" Type="http://schemas.openxmlformats.org/officeDocument/2006/relationships/header" Target="header3.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eader" Target="header2.xml"/><Relationship Id="rId10" Type="http://schemas.microsoft.com/office/2016/09/relationships/commentsIds" Target="commentsIds.xml"/><Relationship Id="rId19" Type="http://schemas.openxmlformats.org/officeDocument/2006/relationships/footer" Target="footer3.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847569-B985-4492-A380-3C256AC27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12</Pages>
  <Words>28308</Words>
  <Characters>161362</Characters>
  <Application>Microsoft Office Word</Application>
  <DocSecurity>0</DocSecurity>
  <Lines>1344</Lines>
  <Paragraphs>378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gema wahyudewantoro</cp:lastModifiedBy>
  <cp:revision>10</cp:revision>
  <dcterms:created xsi:type="dcterms:W3CDTF">2025-10-11T16:07:00Z</dcterms:created>
  <dcterms:modified xsi:type="dcterms:W3CDTF">2025-10-11T17:27:00Z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http://www.zotero.org/styles/aquaculture-and-fisheries</vt:lpwstr>
  </property>
  <property fmtid="{D5CDD505-2E9C-101B-9397-08002B2CF9AE}" pid="5" name="Mendeley Recent Style Name 1_1">
    <vt:lpwstr>Aquaculture and Fisheries</vt:lpwstr>
  </property>
  <property fmtid="{D5CDD505-2E9C-101B-9397-08002B2CF9AE}" pid="6" name="Mendeley Recent Style Id 2_1">
    <vt:lpwstr>http://www.zotero.org/styles/food-webs</vt:lpwstr>
  </property>
  <property fmtid="{D5CDD505-2E9C-101B-9397-08002B2CF9AE}" pid="7" name="Mendeley Recent Style Name 2_1">
    <vt:lpwstr>Food Webs</vt:lpwstr>
  </property>
  <property fmtid="{D5CDD505-2E9C-101B-9397-08002B2CF9AE}" pid="8" name="Mendeley Recent Style Id 3_1">
    <vt:lpwstr>http://www.zotero.org/styles/journal-of-plant-growth-regulation</vt:lpwstr>
  </property>
  <property fmtid="{D5CDD505-2E9C-101B-9397-08002B2CF9AE}" pid="9" name="Mendeley Recent Style Name 3_1">
    <vt:lpwstr>Journal of Plant Growth Regulation</vt:lpwstr>
  </property>
  <property fmtid="{D5CDD505-2E9C-101B-9397-08002B2CF9AE}" pid="10" name="Mendeley Recent Style Id 4_1">
    <vt:lpwstr>http://www.zotero.org/styles/nature</vt:lpwstr>
  </property>
  <property fmtid="{D5CDD505-2E9C-101B-9397-08002B2CF9AE}" pid="11" name="Mendeley Recent Style Name 4_1">
    <vt:lpwstr>Nature</vt:lpwstr>
  </property>
  <property fmtid="{D5CDD505-2E9C-101B-9397-08002B2CF9AE}" pid="12" name="Mendeley Recent Style Id 5_1">
    <vt:lpwstr>http://www.zotero.org/styles/norsk-apa-manual</vt:lpwstr>
  </property>
  <property fmtid="{D5CDD505-2E9C-101B-9397-08002B2CF9AE}" pid="13" name="Mendeley Recent Style Name 5_1">
    <vt:lpwstr>Norsk APA-manual - APA 7th edition (author-date)</vt:lpwstr>
  </property>
  <property fmtid="{D5CDD505-2E9C-101B-9397-08002B2CF9AE}" pid="14" name="Mendeley Recent Style Id 6_1">
    <vt:lpwstr>http://www.zotero.org/styles/pakistani-veterinary-journal</vt:lpwstr>
  </property>
  <property fmtid="{D5CDD505-2E9C-101B-9397-08002B2CF9AE}" pid="15" name="Mendeley Recent Style Name 6_1">
    <vt:lpwstr>Pakistan Veterinary Journal</vt:lpwstr>
  </property>
  <property fmtid="{D5CDD505-2E9C-101B-9397-08002B2CF9AE}" pid="16" name="Mendeley Recent Style Id 7_1">
    <vt:lpwstr>http://www.zotero.org/styles/saudi-journal-of-biological-sciences</vt:lpwstr>
  </property>
  <property fmtid="{D5CDD505-2E9C-101B-9397-08002B2CF9AE}" pid="17" name="Mendeley Recent Style Name 7_1">
    <vt:lpwstr>Saudi Journal of Biological Sciences</vt:lpwstr>
  </property>
  <property fmtid="{D5CDD505-2E9C-101B-9397-08002B2CF9AE}" pid="18" name="Mendeley Recent Style Id 8_1">
    <vt:lpwstr>http://www.zotero.org/styles/the-egyptian-journal-of-aquatic-research</vt:lpwstr>
  </property>
  <property fmtid="{D5CDD505-2E9C-101B-9397-08002B2CF9AE}" pid="19" name="Mendeley Recent Style Name 8_1">
    <vt:lpwstr>The Egyptian Journal of Aquatic Research</vt:lpwstr>
  </property>
  <property fmtid="{D5CDD505-2E9C-101B-9397-08002B2CF9AE}" pid="20" name="Mendeley Recent Style Id 9_1">
    <vt:lpwstr>http://www.zotero.org/styles/tropical-animal-health-and-production</vt:lpwstr>
  </property>
  <property fmtid="{D5CDD505-2E9C-101B-9397-08002B2CF9AE}" pid="21" name="Mendeley Recent Style Name 9_1">
    <vt:lpwstr>Tropical Animal Health and Production</vt:lpwstr>
  </property>
  <property fmtid="{D5CDD505-2E9C-101B-9397-08002B2CF9AE}" pid="22" name="Mendeley Document_1">
    <vt:lpwstr>True</vt:lpwstr>
  </property>
  <property fmtid="{D5CDD505-2E9C-101B-9397-08002B2CF9AE}" pid="23" name="Mendeley Unique User Id_1">
    <vt:lpwstr>61cbbfd6-ba95-316c-9270-90fcb8d76383</vt:lpwstr>
  </property>
  <property fmtid="{D5CDD505-2E9C-101B-9397-08002B2CF9AE}" pid="24" name="Mendeley Citation Style_1">
    <vt:lpwstr>http://www.zotero.org/styles/norsk-apa-manual</vt:lpwstr>
  </property>
</Properties>
</file>