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8A" w:rsidRPr="00F4038A" w:rsidRDefault="00F4038A" w:rsidP="00F4038A">
      <w:pPr>
        <w:spacing w:after="0" w:line="240" w:lineRule="auto"/>
        <w:jc w:val="right"/>
        <w:rPr>
          <w:rFonts w:ascii="Times New Roman" w:eastAsia="Calibri" w:hAnsi="Times New Roman" w:cs="Times New Roman"/>
          <w:b/>
          <w:sz w:val="32"/>
          <w:szCs w:val="32"/>
          <w:lang w:val="en-US" w:eastAsia="en-US"/>
        </w:rPr>
      </w:pPr>
      <w:r w:rsidRPr="00F4038A">
        <w:rPr>
          <w:rFonts w:ascii="Times New Roman" w:eastAsia="Calibri" w:hAnsi="Times New Roman" w:cs="Times New Roman"/>
          <w:b/>
          <w:sz w:val="32"/>
          <w:szCs w:val="32"/>
          <w:lang w:val="en-US" w:eastAsia="en-US"/>
        </w:rPr>
        <w:t>Original Research Article</w:t>
      </w:r>
    </w:p>
    <w:p w:rsidR="00F4038A" w:rsidRDefault="00F4038A" w:rsidP="00F4038A">
      <w:pPr>
        <w:spacing w:after="0" w:line="240" w:lineRule="auto"/>
        <w:jc w:val="right"/>
        <w:rPr>
          <w:rFonts w:ascii="Times New Roman" w:eastAsia="Calibri" w:hAnsi="Times New Roman" w:cs="Times New Roman"/>
          <w:b/>
          <w:sz w:val="24"/>
          <w:szCs w:val="24"/>
          <w:lang w:val="en-US" w:eastAsia="en-US"/>
        </w:rPr>
      </w:pPr>
    </w:p>
    <w:p w:rsidR="00990562" w:rsidRDefault="00BB4B66" w:rsidP="00A90A9C">
      <w:pPr>
        <w:spacing w:after="0" w:line="240" w:lineRule="auto"/>
        <w:jc w:val="right"/>
        <w:rPr>
          <w:rFonts w:ascii="Times New Roman" w:eastAsia="Calibri" w:hAnsi="Times New Roman" w:cs="Times New Roman"/>
          <w:b/>
          <w:sz w:val="34"/>
          <w:szCs w:val="34"/>
          <w:lang w:val="en-US" w:eastAsia="en-US"/>
        </w:rPr>
      </w:pPr>
      <w:r w:rsidRPr="00BB4B66">
        <w:rPr>
          <w:rFonts w:ascii="Times New Roman" w:eastAsia="Calibri" w:hAnsi="Times New Roman" w:cs="Times New Roman"/>
          <w:b/>
          <w:sz w:val="34"/>
          <w:szCs w:val="34"/>
          <w:lang w:val="en-US" w:eastAsia="en-US"/>
        </w:rPr>
        <w:t xml:space="preserve">Marketing Margin and Efficiency of Handline Fisheries at Beba Fish Landing Site, Takalar, </w:t>
      </w:r>
      <w:commentRangeStart w:id="0"/>
      <w:r w:rsidRPr="00BB4B66">
        <w:rPr>
          <w:rFonts w:ascii="Times New Roman" w:eastAsia="Calibri" w:hAnsi="Times New Roman" w:cs="Times New Roman"/>
          <w:b/>
          <w:sz w:val="34"/>
          <w:szCs w:val="34"/>
          <w:lang w:val="en-US" w:eastAsia="en-US"/>
        </w:rPr>
        <w:t>Indonesia</w:t>
      </w:r>
      <w:commentRangeEnd w:id="0"/>
      <w:r w:rsidR="004745F9">
        <w:rPr>
          <w:rStyle w:val="CommentReference"/>
        </w:rPr>
        <w:commentReference w:id="0"/>
      </w:r>
    </w:p>
    <w:p w:rsidR="009A2979" w:rsidRDefault="009A2979" w:rsidP="00F4038A">
      <w:pPr>
        <w:spacing w:after="0" w:line="240" w:lineRule="auto"/>
        <w:ind w:left="1418" w:hanging="1418"/>
        <w:rPr>
          <w:rFonts w:ascii="Times New Roman" w:hAnsi="Times New Roman" w:cs="Times New Roman"/>
          <w:b/>
          <w:sz w:val="24"/>
          <w:szCs w:val="24"/>
        </w:rPr>
      </w:pPr>
    </w:p>
    <w:p w:rsidR="009A2979" w:rsidRDefault="009A2979" w:rsidP="00F4038A">
      <w:pPr>
        <w:spacing w:after="0" w:line="240" w:lineRule="auto"/>
        <w:ind w:left="1418" w:hanging="1418"/>
        <w:rPr>
          <w:rFonts w:ascii="Times New Roman" w:hAnsi="Times New Roman" w:cs="Times New Roman"/>
          <w:b/>
          <w:sz w:val="24"/>
          <w:szCs w:val="24"/>
        </w:rPr>
      </w:pPr>
    </w:p>
    <w:p w:rsidR="009A2979" w:rsidRDefault="009A2979" w:rsidP="00F4038A">
      <w:pPr>
        <w:spacing w:after="0" w:line="240" w:lineRule="auto"/>
        <w:ind w:left="1418" w:hanging="1418"/>
        <w:rPr>
          <w:rFonts w:ascii="Times New Roman" w:hAnsi="Times New Roman" w:cs="Times New Roman"/>
          <w:b/>
          <w:sz w:val="24"/>
          <w:szCs w:val="24"/>
        </w:rPr>
      </w:pPr>
    </w:p>
    <w:p w:rsidR="00DC7ABC" w:rsidRPr="007315F4" w:rsidRDefault="007F633C" w:rsidP="00F4038A">
      <w:pPr>
        <w:spacing w:after="0" w:line="240" w:lineRule="auto"/>
        <w:ind w:left="1418" w:hanging="1418"/>
        <w:rPr>
          <w:rFonts w:ascii="Times New Roman" w:hAnsi="Times New Roman" w:cs="Times New Roman"/>
          <w:b/>
          <w:sz w:val="24"/>
          <w:szCs w:val="24"/>
          <w:lang w:val="en-US"/>
        </w:rPr>
      </w:pPr>
      <w:commentRangeStart w:id="1"/>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commentRangeEnd w:id="1"/>
      <w:r w:rsidR="004745F9">
        <w:rPr>
          <w:rStyle w:val="CommentReference"/>
        </w:rPr>
        <w:commentReference w:id="1"/>
      </w:r>
    </w:p>
    <w:p w:rsidR="007F633C" w:rsidRPr="007315F4" w:rsidRDefault="00A2295F"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pict>
          <v:rect id="Rectangle 2" o:spid="_x0000_s1026" style="position:absolute;left:0;text-align:left;margin-left:4.6pt;margin-top:2.1pt;width:449.5pt;height:296.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" fillcolor="white [3201]" strokecolor="black [3200]" strokeweight=".5pt">
            <v:textbox>
              <w:txbxContent>
                <w:p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This study used a survey method with a direct interview approach with a number of respondents, including boat owners, fishermen, collectors, retailers, and end consumers. The study is a descriptive quantitative study with a purposive sampling method.The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Efforts to overcome this require a strategy to improve fishermen's bargaining position by strengthening marketing institutions and developing a fairer distribution network, so that fishermen's welfare can improve and the sustainability of handline fishing can be maintained.</w:t>
                  </w:r>
                </w:p>
                <w:p w:rsidR="00F4038A" w:rsidRPr="00F4038A" w:rsidRDefault="00F4038A" w:rsidP="00BB4B66">
                  <w:pPr>
                    <w:rPr>
                      <w:rFonts w:ascii="Times New Roman" w:hAnsi="Times New Roman" w:cs="Times New Roman"/>
                      <w:sz w:val="24"/>
                      <w:szCs w:val="24"/>
                    </w:rPr>
                  </w:pPr>
                </w:p>
              </w:txbxContent>
            </v:textbox>
          </v:rect>
        </w:pict>
      </w: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F4038A" w:rsidRDefault="00F4038A" w:rsidP="00A826A1">
      <w:pPr>
        <w:spacing w:after="0" w:line="240" w:lineRule="auto"/>
        <w:jc w:val="both"/>
        <w:rPr>
          <w:rFonts w:ascii="Times New Roman" w:hAnsi="Times New Roman" w:cs="Times New Roman"/>
          <w:sz w:val="24"/>
          <w:szCs w:val="24"/>
          <w:lang w:val="en-US"/>
        </w:rPr>
      </w:pPr>
    </w:p>
    <w:p w:rsidR="00695F22" w:rsidRPr="007315F4" w:rsidRDefault="00695F22" w:rsidP="00A826A1">
      <w:pPr>
        <w:spacing w:after="0" w:line="240" w:lineRule="auto"/>
        <w:jc w:val="both"/>
        <w:rPr>
          <w:rFonts w:ascii="Times New Roman" w:hAnsi="Times New Roman" w:cs="Times New Roman"/>
          <w:sz w:val="24"/>
          <w:szCs w:val="24"/>
        </w:rPr>
      </w:pPr>
    </w:p>
    <w:p w:rsidR="00C31436" w:rsidRDefault="00C31436" w:rsidP="00A826A1">
      <w:pPr>
        <w:spacing w:after="0" w:line="240" w:lineRule="auto"/>
        <w:ind w:left="1276" w:hanging="1276"/>
        <w:jc w:val="both"/>
        <w:rPr>
          <w:rFonts w:ascii="Times New Roman" w:hAnsi="Times New Roman" w:cs="Times New Roman"/>
          <w:sz w:val="24"/>
          <w:szCs w:val="24"/>
          <w:lang w:val="en-US"/>
        </w:rPr>
      </w:pPr>
    </w:p>
    <w:p w:rsidR="009B382B" w:rsidRDefault="009B382B" w:rsidP="00A826A1">
      <w:pPr>
        <w:spacing w:after="0" w:line="240" w:lineRule="auto"/>
        <w:ind w:left="1276" w:hanging="1276"/>
        <w:jc w:val="both"/>
        <w:rPr>
          <w:rFonts w:ascii="Times New Roman" w:hAnsi="Times New Roman" w:cs="Times New Roman"/>
          <w:sz w:val="24"/>
          <w:szCs w:val="24"/>
          <w:lang w:val="en-US"/>
        </w:rPr>
      </w:pPr>
    </w:p>
    <w:p w:rsidR="009B382B" w:rsidRDefault="009B382B" w:rsidP="00A826A1">
      <w:pPr>
        <w:spacing w:after="0" w:line="240" w:lineRule="auto"/>
        <w:ind w:left="1276" w:hanging="1276"/>
        <w:jc w:val="both"/>
        <w:rPr>
          <w:rFonts w:ascii="Times New Roman" w:hAnsi="Times New Roman" w:cs="Times New Roman"/>
          <w:sz w:val="24"/>
          <w:szCs w:val="24"/>
          <w:lang w:val="en-US"/>
        </w:rPr>
      </w:pPr>
    </w:p>
    <w:p w:rsidR="00A90A9C" w:rsidRDefault="00A90A9C" w:rsidP="00A826A1">
      <w:pPr>
        <w:spacing w:after="0" w:line="240" w:lineRule="auto"/>
        <w:ind w:left="1276" w:hanging="1276"/>
        <w:jc w:val="both"/>
        <w:rPr>
          <w:rFonts w:ascii="Times New Roman" w:hAnsi="Times New Roman" w:cs="Times New Roman"/>
          <w:sz w:val="24"/>
          <w:szCs w:val="24"/>
          <w:lang w:val="en-US"/>
        </w:rPr>
      </w:pPr>
    </w:p>
    <w:p w:rsidR="00A90A9C" w:rsidRDefault="00A90A9C" w:rsidP="00A826A1">
      <w:pPr>
        <w:spacing w:after="0" w:line="240" w:lineRule="auto"/>
        <w:ind w:left="1276" w:hanging="1276"/>
        <w:jc w:val="both"/>
        <w:rPr>
          <w:rFonts w:ascii="Times New Roman" w:hAnsi="Times New Roman" w:cs="Times New Roman"/>
          <w:sz w:val="24"/>
          <w:szCs w:val="24"/>
          <w:lang w:val="en-US"/>
        </w:rPr>
      </w:pPr>
    </w:p>
    <w:p w:rsidR="00354983" w:rsidRDefault="00354983" w:rsidP="00A826A1">
      <w:pPr>
        <w:spacing w:after="0" w:line="240" w:lineRule="auto"/>
        <w:ind w:left="1276" w:hanging="1276"/>
        <w:jc w:val="both"/>
        <w:rPr>
          <w:rFonts w:ascii="Times New Roman" w:hAnsi="Times New Roman" w:cs="Times New Roman"/>
          <w:sz w:val="24"/>
          <w:szCs w:val="24"/>
          <w:lang w:val="en-US"/>
        </w:rPr>
      </w:pPr>
    </w:p>
    <w:p w:rsidR="00354983" w:rsidRDefault="00354983" w:rsidP="00A826A1">
      <w:pPr>
        <w:spacing w:after="0" w:line="240" w:lineRule="auto"/>
        <w:ind w:left="1276" w:hanging="1276"/>
        <w:jc w:val="both"/>
        <w:rPr>
          <w:rFonts w:ascii="Times New Roman" w:hAnsi="Times New Roman" w:cs="Times New Roman"/>
          <w:sz w:val="24"/>
          <w:szCs w:val="24"/>
          <w:lang w:val="en-US"/>
        </w:rPr>
      </w:pPr>
    </w:p>
    <w:p w:rsidR="00C6103F" w:rsidRDefault="00C6103F" w:rsidP="00A826A1">
      <w:pPr>
        <w:spacing w:after="0" w:line="240" w:lineRule="auto"/>
        <w:ind w:left="1276" w:hanging="1276"/>
        <w:jc w:val="both"/>
        <w:rPr>
          <w:rFonts w:ascii="Times New Roman" w:hAnsi="Times New Roman" w:cs="Times New Roman"/>
          <w:sz w:val="24"/>
          <w:szCs w:val="24"/>
          <w:lang w:val="en-US"/>
        </w:rPr>
      </w:pPr>
    </w:p>
    <w:p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BB4B66" w:rsidRPr="00BB4B66">
        <w:rPr>
          <w:rFonts w:ascii="Times New Roman" w:hAnsi="Times New Roman" w:cs="Times New Roman"/>
          <w:sz w:val="24"/>
          <w:szCs w:val="24"/>
          <w:lang w:val="en-US"/>
        </w:rPr>
        <w:t>price, marketing margin, marketing efficiency</w:t>
      </w:r>
      <w:r w:rsidR="00B44757" w:rsidRPr="00B44757">
        <w:rPr>
          <w:rFonts w:ascii="Times New Roman" w:hAnsi="Times New Roman" w:cs="Times New Roman"/>
          <w:sz w:val="24"/>
          <w:szCs w:val="24"/>
          <w:lang w:val="en-US"/>
        </w:rPr>
        <w:t xml:space="preserve">. </w:t>
      </w:r>
      <w:r w:rsidR="00BB4B66">
        <w:rPr>
          <w:rFonts w:ascii="Times New Roman" w:hAnsi="Times New Roman" w:cs="Times New Roman"/>
          <w:sz w:val="24"/>
          <w:szCs w:val="24"/>
          <w:lang w:val="en-US"/>
        </w:rPr>
        <w:t>handline</w:t>
      </w:r>
    </w:p>
    <w:p w:rsidR="00DC7ABC" w:rsidRPr="007315F4" w:rsidRDefault="00DC7ABC" w:rsidP="00A826A1">
      <w:pPr>
        <w:spacing w:after="0" w:line="240" w:lineRule="auto"/>
        <w:ind w:left="1418" w:hanging="1418"/>
        <w:jc w:val="both"/>
        <w:rPr>
          <w:rFonts w:ascii="Times New Roman" w:hAnsi="Times New Roman" w:cs="Times New Roman"/>
          <w:sz w:val="24"/>
          <w:szCs w:val="24"/>
        </w:rPr>
      </w:pPr>
    </w:p>
    <w:p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rsidR="00F10678" w:rsidRDefault="00F10678" w:rsidP="006B1D2F">
      <w:pPr>
        <w:spacing w:after="0" w:line="240" w:lineRule="auto"/>
        <w:jc w:val="both"/>
        <w:rPr>
          <w:rFonts w:ascii="Times New Roman" w:hAnsi="Times New Roman" w:cs="Times New Roman"/>
          <w:sz w:val="24"/>
          <w:szCs w:val="24"/>
        </w:rPr>
        <w:sectPr w:rsidR="00F106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421D9F" w:rsidRPr="00421D9F" w:rsidRDefault="00A2295F" w:rsidP="00421D9F">
      <w:pPr>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lastRenderedPageBreak/>
        <w:pict>
          <v:rect id="Rectangle 1" o:spid="_x0000_s1027" style="position:absolute;left:0;text-align:left;margin-left:98.35pt;margin-top:233.25pt;width:272.7pt;height:24.9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" fillcolor="white [3201]" stroked="f" strokeweight="2pt">
            <v:textbox>
              <w:txbxContent>
                <w:p w:rsidR="008A5072" w:rsidRDefault="008A5072" w:rsidP="008A5072">
                  <w:pPr>
                    <w:jc w:val="center"/>
                  </w:pPr>
                </w:p>
              </w:txbxContent>
            </v:textbox>
            <w10:wrap anchorx="margin"/>
          </v:rect>
        </w:pict>
      </w:r>
      <w:r w:rsidR="00BB4B66" w:rsidRPr="00BB4B66">
        <w:rPr>
          <w:rFonts w:ascii="Times New Roman" w:hAnsi="Times New Roman" w:cs="Times New Roman"/>
          <w:noProof/>
          <w:sz w:val="24"/>
          <w:szCs w:val="24"/>
          <w:lang w:val="en-US" w:eastAsia="en-US"/>
        </w:rPr>
        <w:t xml:space="preserve">Smallscale fisheries play a crucial role in maintaining food security, providing employment, and improving the welfare of coastal communities, particularly in developing countries like Indonesia (Béné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xml:space="preserve">. 2016; FAO 2020). As one of the world's largest archipelagic countries, Indonesia boasts a diverse range of capture fisheries, including smallscale fisheries that rely on simple fishing gear, yet still contribute to national fisheries production (Girsang &amp; Haluan, 2016; Serang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xml:space="preserve">. 2025). One such fishing gear is the handline, which is relatively </w:t>
      </w:r>
      <w:r w:rsidR="00BB4B66" w:rsidRPr="00BB4B66">
        <w:rPr>
          <w:rFonts w:ascii="Times New Roman" w:hAnsi="Times New Roman" w:cs="Times New Roman"/>
          <w:noProof/>
          <w:sz w:val="24"/>
          <w:szCs w:val="24"/>
          <w:lang w:val="en-US" w:eastAsia="en-US"/>
        </w:rPr>
        <w:lastRenderedPageBreak/>
        <w:t xml:space="preserve">environmentally friendly, labor-intensive, and widely used by fishermen to catch high-value fish (Monintja 2000; Nikijuluw 2002; Purwanto, 2019; Salas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xml:space="preserve">. 2007). Furthermore, handline technology is more readily accepted by traditional fishermen because it does not require large capital investments or complex fishing gear (Anis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2015).</w:t>
      </w:r>
    </w:p>
    <w:p w:rsidR="00BB4B66" w:rsidRPr="00BB4B66" w:rsidRDefault="00BB4B66" w:rsidP="00BB4B66">
      <w:pPr>
        <w:jc w:val="both"/>
        <w:rPr>
          <w:rFonts w:ascii="Times New Roman" w:hAnsi="Times New Roman" w:cs="Times New Roman"/>
          <w:noProof/>
          <w:sz w:val="24"/>
          <w:szCs w:val="24"/>
          <w:lang w:val="en-US" w:eastAsia="en-US"/>
        </w:rPr>
      </w:pPr>
      <w:r w:rsidRPr="00BB4B66">
        <w:rPr>
          <w:rFonts w:ascii="Times New Roman" w:hAnsi="Times New Roman" w:cs="Times New Roman"/>
          <w:noProof/>
          <w:sz w:val="24"/>
          <w:szCs w:val="24"/>
          <w:lang w:val="en-US" w:eastAsia="en-US"/>
        </w:rPr>
        <w:t xml:space="preserve">Fish Landing Sites (TPI) in the fisheries supply chain serve as the primary hub for distributing fishermen's catches to end consumers. However, the problem faced is </w:t>
      </w:r>
      <w:r w:rsidRPr="00BB4B66">
        <w:rPr>
          <w:rFonts w:ascii="Times New Roman" w:hAnsi="Times New Roman" w:cs="Times New Roman"/>
          <w:noProof/>
          <w:sz w:val="24"/>
          <w:szCs w:val="24"/>
          <w:lang w:val="en-US" w:eastAsia="en-US"/>
        </w:rPr>
        <w:lastRenderedPageBreak/>
        <w:t xml:space="preserve">an unbalanced market structure, where fishermen enjoy a weak bargaining position compared to collectors and retailers. This results in intermediaries enjoying more added value from the catch than fishermen, the primary producers (Nurdin </w:t>
      </w:r>
      <w:r w:rsidRPr="000657C0">
        <w:rPr>
          <w:rFonts w:ascii="Times New Roman" w:hAnsi="Times New Roman" w:cs="Times New Roman"/>
          <w:i/>
          <w:iCs/>
          <w:noProof/>
          <w:sz w:val="24"/>
          <w:szCs w:val="24"/>
          <w:lang w:val="en-US" w:eastAsia="en-US"/>
        </w:rPr>
        <w:t>et al</w:t>
      </w:r>
      <w:r w:rsidRPr="00BB4B66">
        <w:rPr>
          <w:rFonts w:ascii="Times New Roman" w:hAnsi="Times New Roman" w:cs="Times New Roman"/>
          <w:noProof/>
          <w:sz w:val="24"/>
          <w:szCs w:val="24"/>
          <w:lang w:val="en-US" w:eastAsia="en-US"/>
        </w:rPr>
        <w:t>. 2020; Nurani &amp; Wisudo 2016). This situation is also found at the Beba TPI in Takalar Regency, one of the centers of capture fisheries activity in South Sulawesi.</w:t>
      </w:r>
    </w:p>
    <w:p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Previous research in Indonesia examining marketing margins and efficiency issues, including Asmarawati</w:t>
      </w:r>
      <w:r w:rsidRPr="00751578">
        <w:rPr>
          <w:rFonts w:ascii="Times New Roman" w:hAnsi="Times New Roman" w:cs="Times New Roman"/>
          <w:i/>
          <w:iCs/>
          <w:sz w:val="24"/>
          <w:szCs w:val="24"/>
          <w:lang w:val="en-US"/>
        </w:rPr>
        <w:t>et al.</w:t>
      </w:r>
      <w:r w:rsidRPr="00BB4B66">
        <w:rPr>
          <w:rFonts w:ascii="Times New Roman" w:hAnsi="Times New Roman" w:cs="Times New Roman"/>
          <w:sz w:val="24"/>
          <w:szCs w:val="24"/>
          <w:lang w:val="en-US"/>
        </w:rPr>
        <w:t xml:space="preserve"> (2021), found that marketing margins for tuna in Jeneponto were largely controlled by traders, while fishermen received only a small share of the consumer price. Nurdin </w:t>
      </w:r>
      <w:r w:rsidRPr="00751578">
        <w:rPr>
          <w:rFonts w:ascii="Times New Roman" w:hAnsi="Times New Roman" w:cs="Times New Roman"/>
          <w:i/>
          <w:iCs/>
          <w:sz w:val="24"/>
          <w:szCs w:val="24"/>
          <w:lang w:val="en-US"/>
        </w:rPr>
        <w:t>et al.</w:t>
      </w:r>
      <w:r w:rsidRPr="00BB4B66">
        <w:rPr>
          <w:rFonts w:ascii="Times New Roman" w:hAnsi="Times New Roman" w:cs="Times New Roman"/>
          <w:sz w:val="24"/>
          <w:szCs w:val="24"/>
          <w:lang w:val="en-US"/>
        </w:rPr>
        <w:t xml:space="preserve"> (2020) showed that the market structure for smallscale fishermen's catches in South Sulawesi tends to be characterized by a small number of buyers and a large number of sellers (oligopsony), so prices are determined by buyers, not fishermen. Saputra </w:t>
      </w:r>
      <w:r w:rsidRPr="00751578">
        <w:rPr>
          <w:rFonts w:ascii="Times New Roman" w:hAnsi="Times New Roman" w:cs="Times New Roman"/>
          <w:i/>
          <w:iCs/>
          <w:sz w:val="24"/>
          <w:szCs w:val="24"/>
          <w:lang w:val="en-US"/>
        </w:rPr>
        <w:t>et al</w:t>
      </w:r>
      <w:r w:rsidRPr="00BB4B66">
        <w:rPr>
          <w:rFonts w:ascii="Times New Roman" w:hAnsi="Times New Roman" w:cs="Times New Roman"/>
          <w:sz w:val="24"/>
          <w:szCs w:val="24"/>
          <w:lang w:val="en-US"/>
        </w:rPr>
        <w:t>. (2020) in the northern coast of Central Java confirmed that the length of the distribution chain reduces marketing efficiency, while Susilowati (2015) found that high margins at the intermediary level are a factor in fishery marketing inefficiency in various regions of Indonesia.</w:t>
      </w:r>
    </w:p>
    <w:p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Although numerous studies on marketing margins and efficiency have been conducted, most have focused on specific fish species or regions with distinct market characteristics. The novelty of this research lies in its examination of the handline fishery at the Beba Fish Farming Center (TPI), Takalar, which has received relatively little academic attention, despite being a hub for smallscale fisheries in </w:t>
      </w:r>
      <w:r w:rsidRPr="00BB4B66">
        <w:rPr>
          <w:rFonts w:ascii="Times New Roman" w:hAnsi="Times New Roman" w:cs="Times New Roman"/>
          <w:sz w:val="24"/>
          <w:szCs w:val="24"/>
          <w:lang w:val="en-US"/>
        </w:rPr>
        <w:lastRenderedPageBreak/>
        <w:t>South Sulawesi with unique market distribution dynamics. Furthermore, this study combines simultaneous analysis of marketing margins and marketing efficiency, thereby depicting the comprehensive distribution of added value along the supply chain.</w:t>
      </w:r>
    </w:p>
    <w:p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This research is important because its results can provide evidencebased policy recommendations regarding improving fishermen's bargaining power, developing marketing institutional strategies, and achieving a more equitable distribution of added value. This research makes an academic contribution to enriching the literature on fisheries marketing and a practical contribution to supporting the economic and social sustainability of handline fishing communities in coastal areas.</w:t>
      </w:r>
    </w:p>
    <w:p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6B43E1" w:rsidRPr="006B43E1">
        <w:rPr>
          <w:rFonts w:ascii="Times New Roman" w:hAnsi="Times New Roman" w:cs="Times New Roman"/>
          <w:b/>
          <w:sz w:val="24"/>
          <w:szCs w:val="24"/>
          <w:lang w:val="en-US"/>
        </w:rPr>
        <w:t>Place and research instruments</w:t>
      </w:r>
    </w:p>
    <w:p w:rsidR="006B43E1" w:rsidRPr="006B43E1" w:rsidRDefault="006B43E1" w:rsidP="006B43E1">
      <w:pPr>
        <w:jc w:val="both"/>
        <w:rPr>
          <w:rFonts w:ascii="Times New Roman" w:hAnsi="Times New Roman" w:cs="Times New Roman"/>
          <w:sz w:val="24"/>
          <w:szCs w:val="24"/>
        </w:rPr>
      </w:pPr>
      <w:r w:rsidRPr="006B43E1">
        <w:rPr>
          <w:rFonts w:ascii="Times New Roman" w:hAnsi="Times New Roman" w:cs="Times New Roman"/>
          <w:sz w:val="24"/>
          <w:szCs w:val="24"/>
        </w:rPr>
        <w:t>This research was conducted at the Beba fish landing site in Takalar Regency, South Sulawesi</w:t>
      </w:r>
      <w:r w:rsidR="00751578">
        <w:rPr>
          <w:rFonts w:ascii="Times New Roman" w:hAnsi="Times New Roman" w:cs="Times New Roman"/>
          <w:sz w:val="24"/>
          <w:szCs w:val="24"/>
        </w:rPr>
        <w:t>, Indonesia</w:t>
      </w:r>
      <w:r w:rsidRPr="006B43E1">
        <w:rPr>
          <w:rFonts w:ascii="Times New Roman" w:hAnsi="Times New Roman" w:cs="Times New Roman"/>
          <w:sz w:val="24"/>
          <w:szCs w:val="24"/>
        </w:rPr>
        <w:t xml:space="preserve"> Data collection involved distributing questionnaires containing various questions to respondents.</w:t>
      </w:r>
    </w:p>
    <w:p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rsidR="006B43E1" w:rsidRPr="006B43E1" w:rsidRDefault="006B43E1" w:rsidP="006B43E1">
      <w:pPr>
        <w:jc w:val="both"/>
        <w:rPr>
          <w:rFonts w:ascii="Times New Roman" w:hAnsi="Times New Roman" w:cs="Times New Roman"/>
          <w:sz w:val="24"/>
          <w:szCs w:val="24"/>
        </w:rPr>
      </w:pPr>
      <w:r w:rsidRPr="006B43E1">
        <w:rPr>
          <w:rFonts w:ascii="Times New Roman" w:hAnsi="Times New Roman" w:cs="Times New Roman"/>
          <w:sz w:val="24"/>
          <w:szCs w:val="24"/>
        </w:rPr>
        <w:t xml:space="preserve">Respondents in this study were fishermen using handlines, collectors, retailers, and end consumers. All respondents were given a questionnaire designed to achieve the research objectives. Ten respondents were selected for each instrument. Data were collected intentionally to obtain information on catches, selling prices, and price differences within the marketing supply </w:t>
      </w:r>
      <w:commentRangeStart w:id="2"/>
      <w:r w:rsidRPr="006B43E1">
        <w:rPr>
          <w:rFonts w:ascii="Times New Roman" w:hAnsi="Times New Roman" w:cs="Times New Roman"/>
          <w:sz w:val="24"/>
          <w:szCs w:val="24"/>
        </w:rPr>
        <w:t>chain</w:t>
      </w:r>
      <w:commentRangeEnd w:id="2"/>
      <w:r w:rsidR="004745F9">
        <w:rPr>
          <w:rStyle w:val="CommentReference"/>
        </w:rPr>
        <w:commentReference w:id="2"/>
      </w:r>
      <w:r w:rsidRPr="006B43E1">
        <w:rPr>
          <w:rFonts w:ascii="Times New Roman" w:hAnsi="Times New Roman" w:cs="Times New Roman"/>
          <w:sz w:val="24"/>
          <w:szCs w:val="24"/>
        </w:rPr>
        <w:t>.</w:t>
      </w:r>
    </w:p>
    <w:p w:rsidR="001267C1" w:rsidRDefault="001267C1" w:rsidP="006B1D2F">
      <w:pPr>
        <w:spacing w:after="0" w:line="240" w:lineRule="auto"/>
        <w:jc w:val="both"/>
        <w:rPr>
          <w:rFonts w:ascii="Times New Roman" w:hAnsi="Times New Roman" w:cs="Times New Roman"/>
          <w:b/>
          <w:sz w:val="24"/>
          <w:szCs w:val="24"/>
          <w:lang w:val="en-US"/>
        </w:rPr>
      </w:pPr>
    </w:p>
    <w:p w:rsidR="001267C1" w:rsidRDefault="001267C1" w:rsidP="006B1D2F">
      <w:pPr>
        <w:spacing w:after="0" w:line="240" w:lineRule="auto"/>
        <w:jc w:val="both"/>
        <w:rPr>
          <w:rFonts w:ascii="Times New Roman" w:hAnsi="Times New Roman" w:cs="Times New Roman"/>
          <w:b/>
          <w:sz w:val="24"/>
          <w:szCs w:val="24"/>
          <w:lang w:val="en-US"/>
        </w:rPr>
      </w:pPr>
    </w:p>
    <w:p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rsidR="006B43E1" w:rsidRDefault="006B43E1" w:rsidP="001267C1">
      <w:pPr>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lastRenderedPageBreak/>
        <w:t>2.3.1 Marketing margin is the difference between the price paid by consumers and the price received by fishermen. Marketing margin is calculated using the formula (Sudiyono 2002)</w:t>
      </w:r>
    </w:p>
    <w:p w:rsidR="006B43E1" w:rsidRDefault="006B43E1" w:rsidP="006B43E1">
      <w:pPr>
        <w:jc w:val="center"/>
        <w:rPr>
          <w:rFonts w:ascii="Times New Roman" w:hAnsi="Times New Roman" w:cs="Times New Roman"/>
          <w:sz w:val="24"/>
          <w:szCs w:val="24"/>
          <w:lang w:val="en-US"/>
        </w:rPr>
      </w:pPr>
      <w:r w:rsidRPr="006B43E1">
        <w:rPr>
          <w:rFonts w:ascii="Times New Roman" w:hAnsi="Times New Roman" w:cs="Times New Roman"/>
          <w:sz w:val="24"/>
          <w:szCs w:val="24"/>
          <w:lang w:val="en-US"/>
        </w:rPr>
        <w:t>MP :Pr – Pf</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 xml:space="preserve">Description: </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MP: Marketing margin (Rp/Kg)</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Pr: Consumer price (Rp/Kg)</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Pf: Fisherman's price (Rp/Kg)</w:t>
      </w:r>
    </w:p>
    <w:p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To calculate the share received by fishermen, use the following formula:</w:t>
      </w:r>
    </w:p>
    <w:p w:rsidR="006B43E1" w:rsidRPr="006B43E1" w:rsidRDefault="006B43E1" w:rsidP="006B43E1">
      <w:pPr>
        <w:spacing w:after="0" w:line="240" w:lineRule="auto"/>
        <w:jc w:val="both"/>
        <w:rPr>
          <w:rFonts w:ascii="Times New Roman" w:hAnsi="Times New Roman" w:cs="Times New Roman"/>
          <w:sz w:val="24"/>
          <w:szCs w:val="24"/>
          <w:lang w:val="en-US"/>
        </w:rPr>
      </w:pPr>
    </w:p>
    <w:p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Fs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Pf</m:t>
              </m:r>
            </m:num>
            <m:den>
              <m:r>
                <w:rPr>
                  <w:rFonts w:ascii="Cambria Math" w:eastAsia="Calibri" w:hAnsi="Cambria Math" w:cs="Times New Roman"/>
                  <w:sz w:val="24"/>
                  <w:lang w:val="en-US" w:eastAsia="en-US"/>
                </w:rPr>
                <m:t>Pr</m:t>
              </m:r>
            </m:den>
          </m:f>
          <m:r>
            <w:rPr>
              <w:rFonts w:ascii="Cambria Math" w:eastAsia="Calibri" w:hAnsi="Cambria Math" w:cs="Times New Roman"/>
              <w:sz w:val="24"/>
              <w:lang w:val="en-US" w:eastAsia="en-US"/>
            </w:rPr>
            <m:t xml:space="preserve"> x 100%</m:t>
          </m:r>
        </m:oMath>
      </m:oMathPara>
    </w:p>
    <w:p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Fs: Portion or percentage received by</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 xml:space="preserve"> fishermen (%)</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Pf: Price at the producer level (Rp/Kg)</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Pr: Price at the consumer level (Rp/Kg)</w:t>
      </w:r>
    </w:p>
    <w:p w:rsidR="006B43E1" w:rsidRDefault="006B43E1" w:rsidP="00751578">
      <w:pPr>
        <w:spacing w:after="0"/>
        <w:jc w:val="both"/>
        <w:rPr>
          <w:rFonts w:ascii="Times New Roman" w:hAnsi="Times New Roman" w:cs="Times New Roman"/>
          <w:sz w:val="24"/>
          <w:szCs w:val="24"/>
          <w:lang w:val="en-US"/>
        </w:rPr>
      </w:pPr>
    </w:p>
    <w:p w:rsidR="006B43E1" w:rsidRDefault="006B43E1" w:rsidP="00751578">
      <w:pPr>
        <w:spacing w:after="0"/>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2.3.2 Marketing efficiency of pelagic fishThe level of marketing efficiency in each marketing channel uses the formula introduced by Soekartawai (2002).</w:t>
      </w:r>
    </w:p>
    <w:p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Eps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Bp</m:t>
              </m:r>
            </m:num>
            <m:den>
              <m:r>
                <w:rPr>
                  <w:rFonts w:ascii="Cambria Math" w:eastAsia="Calibri" w:hAnsi="Cambria Math" w:cs="Times New Roman"/>
                  <w:sz w:val="24"/>
                  <w:lang w:val="en-US" w:eastAsia="en-US"/>
                </w:rPr>
                <m:t>HK</m:t>
              </m:r>
            </m:den>
          </m:f>
          <m:r>
            <w:rPr>
              <w:rFonts w:ascii="Cambria Math" w:eastAsia="Calibri" w:hAnsi="Cambria Math" w:cs="Times New Roman"/>
              <w:sz w:val="24"/>
              <w:lang w:val="en-US" w:eastAsia="en-US"/>
            </w:rPr>
            <m:t xml:space="preserve"> x 100%</m:t>
          </m:r>
        </m:oMath>
      </m:oMathPara>
    </w:p>
    <w:p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Eps: Marketing efficiency (%)</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Bp: Marketing costs (Kg/Rp)</w:t>
      </w:r>
    </w:p>
    <w:p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Hk: Consumer price (Kg/Rp)</w:t>
      </w:r>
    </w:p>
    <w:p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With the criteria that if Ep &lt; 50% is efficient and if Ep &gt; 50% is inefficient</w:t>
      </w:r>
    </w:p>
    <w:p w:rsidR="006B43E1" w:rsidRPr="001267C1" w:rsidRDefault="006B43E1" w:rsidP="006B43E1">
      <w:pPr>
        <w:spacing w:after="0" w:line="240" w:lineRule="auto"/>
        <w:jc w:val="both"/>
        <w:rPr>
          <w:rFonts w:ascii="Times New Roman" w:hAnsi="Times New Roman" w:cs="Times New Roman"/>
          <w:sz w:val="24"/>
          <w:szCs w:val="24"/>
          <w:lang w:val="en-US"/>
        </w:rPr>
      </w:pPr>
    </w:p>
    <w:p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8D040D" w:rsidRPr="008D040D">
        <w:rPr>
          <w:rFonts w:ascii="Times New Roman" w:hAnsi="Times New Roman" w:cs="Times New Roman"/>
          <w:b/>
          <w:color w:val="000000" w:themeColor="text1"/>
          <w:sz w:val="24"/>
          <w:szCs w:val="24"/>
          <w:lang w:val="en-US"/>
        </w:rPr>
        <w:t>Marketing margin</w:t>
      </w:r>
    </w:p>
    <w:p w:rsidR="008D040D" w:rsidRPr="008D040D" w:rsidRDefault="008D040D" w:rsidP="00751578">
      <w:pPr>
        <w:spacing w:after="0"/>
        <w:jc w:val="both"/>
        <w:rPr>
          <w:rFonts w:ascii="Times New Roman" w:hAnsi="Times New Roman" w:cs="Times New Roman"/>
          <w:color w:val="000000" w:themeColor="text1"/>
          <w:sz w:val="24"/>
          <w:szCs w:val="24"/>
          <w:lang w:val="en-US"/>
        </w:rPr>
      </w:pPr>
      <w:bookmarkStart w:id="3" w:name="_Hlk202076774"/>
      <w:r w:rsidRPr="008D040D">
        <w:rPr>
          <w:rFonts w:ascii="Times New Roman" w:hAnsi="Times New Roman" w:cs="Times New Roman"/>
          <w:color w:val="000000" w:themeColor="text1"/>
          <w:sz w:val="24"/>
          <w:szCs w:val="24"/>
          <w:lang w:val="en-US"/>
        </w:rPr>
        <w:t xml:space="preserve">The average selling price of small pelagic fish from producers to collectors is Rp. 20,000/kg. The price from collectors to retailers is Rp. 25,000/kg, and from retailers to consumers is Rp. 50,000/kg. The marketing margin from producers to collectors and retailers is Rp. 5,000/kg, respectively. The highest marketing margin occurs from retailers to end consumers. Based on these margins, </w:t>
      </w:r>
      <w:r w:rsidRPr="008D040D">
        <w:rPr>
          <w:rFonts w:ascii="Times New Roman" w:hAnsi="Times New Roman" w:cs="Times New Roman"/>
          <w:color w:val="000000" w:themeColor="text1"/>
          <w:sz w:val="24"/>
          <w:szCs w:val="24"/>
          <w:lang w:val="en-US"/>
        </w:rPr>
        <w:lastRenderedPageBreak/>
        <w:t>fishermen receive 40% of the profit (Table 1).</w:t>
      </w:r>
    </w:p>
    <w:bookmarkEnd w:id="3"/>
    <w:p w:rsidR="008D040D" w:rsidRDefault="008D040D" w:rsidP="00751578">
      <w:pPr>
        <w:spacing w:after="0"/>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Table 1. Price structure and marketing margins of small pelagic fish caught by hand line fishing</w:t>
      </w:r>
    </w:p>
    <w:p w:rsidR="008D040D" w:rsidRDefault="008D040D" w:rsidP="00566712">
      <w:pPr>
        <w:jc w:val="both"/>
        <w:rPr>
          <w:rFonts w:ascii="Times New Roman" w:hAnsi="Times New Roman" w:cs="Times New Roman"/>
          <w:sz w:val="24"/>
          <w:szCs w:val="24"/>
          <w:lang w:val="en-US"/>
        </w:rPr>
      </w:pPr>
      <w:commentRangeStart w:id="4"/>
      <w:r>
        <w:rPr>
          <w:noProof/>
          <w:lang w:val="en-US" w:eastAsia="en-US"/>
        </w:rPr>
        <w:drawing>
          <wp:inline distT="0" distB="0" distL="0" distR="0">
            <wp:extent cx="2640790" cy="1265529"/>
            <wp:effectExtent l="0" t="0" r="7620" b="0"/>
            <wp:docPr id="140924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47737" name=""/>
                    <pic:cNvPicPr/>
                  </pic:nvPicPr>
                  <pic:blipFill>
                    <a:blip r:embed="rId15"/>
                    <a:stretch>
                      <a:fillRect/>
                    </a:stretch>
                  </pic:blipFill>
                  <pic:spPr>
                    <a:xfrm>
                      <a:off x="0" y="0"/>
                      <a:ext cx="2653650" cy="1271692"/>
                    </a:xfrm>
                    <a:prstGeom prst="rect">
                      <a:avLst/>
                    </a:prstGeom>
                  </pic:spPr>
                </pic:pic>
              </a:graphicData>
            </a:graphic>
          </wp:inline>
        </w:drawing>
      </w:r>
      <w:commentRangeEnd w:id="4"/>
      <w:r w:rsidR="004745F9">
        <w:rPr>
          <w:rStyle w:val="CommentReference"/>
        </w:rPr>
        <w:commentReference w:id="4"/>
      </w:r>
    </w:p>
    <w:p w:rsidR="008D040D" w:rsidRPr="008D040D" w:rsidRDefault="008D040D" w:rsidP="008D040D">
      <w:pPr>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 xml:space="preserve">The marketing chain for pelagic fish </w:t>
      </w:r>
      <w:commentRangeStart w:id="5"/>
      <w:r w:rsidRPr="008D040D">
        <w:rPr>
          <w:rFonts w:ascii="Times New Roman" w:hAnsi="Times New Roman" w:cs="Times New Roman"/>
          <w:sz w:val="24"/>
          <w:szCs w:val="24"/>
          <w:lang w:val="en-US"/>
        </w:rPr>
        <w:t>caught</w:t>
      </w:r>
      <w:commentRangeEnd w:id="5"/>
      <w:r w:rsidR="004745F9">
        <w:rPr>
          <w:rStyle w:val="CommentReference"/>
        </w:rPr>
        <w:commentReference w:id="5"/>
      </w:r>
      <w:r w:rsidRPr="008D040D">
        <w:rPr>
          <w:rFonts w:ascii="Times New Roman" w:hAnsi="Times New Roman" w:cs="Times New Roman"/>
          <w:sz w:val="24"/>
          <w:szCs w:val="24"/>
          <w:lang w:val="en-US"/>
        </w:rPr>
        <w:t xml:space="preserve"> using handlines demonstrates a disparity in margins across distribution actors. Data shows that the margins earned by fishermen as producers to collectors and from collectors to retailers are relatively small, at only around IDR 5,000/kg. Conversely, the margins earned by retailers when selling to end consumers increase to IDR 20,000/kg. This indicates that the majority of added value in the distribution chain is controlled by actors at the final level (retailers), while fishermen, as the primary producers, receive a much smaller share.</w:t>
      </w:r>
    </w:p>
    <w:p w:rsidR="008469D8" w:rsidRDefault="008469D8" w:rsidP="008469D8">
      <w:pPr>
        <w:spacing w:line="240" w:lineRule="auto"/>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This phenomenon reflects a market structure in which fishermen have a weak bargaining position due to their dependence on a small number of buyers (collectors or retailers) who control market access (Nurdin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2020; Nurani&amp;Wisudo, 2016). Consequently, fishermen are unable to set selling prices commensurate with production costs and fishing risks. The results of this study are similar to those reported by Asmarawati</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(2021) in their study of tuna marketing in Jeneponto, where the largest margins were actually at the retail level, while fishermen earned relatively low profits.</w:t>
      </w:r>
    </w:p>
    <w:p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From a marketing efficiency perspective, this situation indicates inefficient </w:t>
      </w:r>
      <w:r w:rsidRPr="008469D8">
        <w:rPr>
          <w:rFonts w:ascii="Times New Roman" w:hAnsi="Times New Roman" w:cs="Times New Roman"/>
          <w:sz w:val="24"/>
          <w:szCs w:val="24"/>
          <w:lang w:val="en-US"/>
        </w:rPr>
        <w:lastRenderedPageBreak/>
        <w:t xml:space="preserve">allocation of added value due to the uneven distribution of profits along the supply chain (Saputra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2020). The greater the margin disparity, the greater the likelihood of price distortions that are detrimental to producers.</w:t>
      </w:r>
    </w:p>
    <w:p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Based on the price and margin structure in Table 1, fishermen receive 40% of the consumer price, while retailers still control the largest margin, at 40%. The distribution of added value still shows retail dominance. This confirms that the distribution chain structure impacts fishermen's welfare, as the largest share of profits still resides with retailers (Soekartawi 2002; Nikijuluw 2002).</w:t>
      </w:r>
    </w:p>
    <w:p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wide margin difference between the retailer and the end consumer can be caused by several factors. First, there are additional costs at the retailer level, such as transportation, storage, the risk of damage or deterioration of the fish quality, and labor and distribution costs to the consumer market. Second, retailers have greater bargaining power than fishermen and collectors because they deal directly with end consumers who have relatively little information about prices at the fisherman level (Porter 1985). This allows retailers to set higher prices.</w:t>
      </w:r>
    </w:p>
    <w:p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Furthermore, the length of the distribution chain also increases margins at the retailer level. Each link adds costs and profits, but the greatest disparity occurs at the final level due to the inelasticity of consumer demand, particularly for fresh fish, which is considered a basic necessity (Soekartawi 2002). In this context, the end consumer bears the brunt of distribution costs and profits accumulated along the marketing chain.</w:t>
      </w:r>
    </w:p>
    <w:p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lastRenderedPageBreak/>
        <w:t>Very wide marketing margins at the retailer level reflect an imbalance in the distribution of added value between producers (fishermen) and marketers. This aligns with findings that fishermen's bargaining position is generally weak due to their reliance on market access through collectors or intermediary traders (Nikijuluw 2002). Therefore, strengthening fishermen's institutions, strengthening fishermen's cooperatives, direct supply chain models, and streamlining the distribution chain need to be considered to ensure fishermen receive a fairer share of the margins and maintain reasonable prices for consumers.</w:t>
      </w:r>
    </w:p>
    <w:p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3.2</w:t>
      </w:r>
      <w:r w:rsidR="008469D8" w:rsidRPr="008469D8">
        <w:rPr>
          <w:rFonts w:ascii="Times New Roman" w:hAnsi="Times New Roman" w:cs="Times New Roman"/>
          <w:b/>
          <w:bCs/>
          <w:sz w:val="24"/>
          <w:szCs w:val="24"/>
          <w:lang w:val="en-US"/>
        </w:rPr>
        <w:t>Marketing efficiency</w:t>
      </w:r>
    </w:p>
    <w:p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marketing efficiency of the study was classified as inefficient at 60%. A marketing efficiency value of 60% indicates that of the price paid by consumers (Rp. 50,000/kg), approximately 60% is distribution costs and margins, while only 40% is received by fishermen as producers. Marketing efficiency is considered good if marketing costs are relatively small compared to consumer prices, so that the proportion received by fishermen is high (Fauzi 2010; Soekartawi 2002; Afriansyah</w:t>
      </w:r>
      <w:r w:rsidRPr="009113C5">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xml:space="preserve"> 2022). The value of 60% obtained in this study indicates that the market structure is still inefficient, because most of the added value is still controlled by retailers.</w:t>
      </w:r>
    </w:p>
    <w:p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The disparity in marketing margins, which demonstrates retailers' dominance over the added value of the catch, indicates asymmetry in the fisheries supply chain. This asymmetry arises when fishermen, as producers, are in a weak bargaining position, while actors at the end of the distribution chain have greater control over </w:t>
      </w:r>
      <w:r w:rsidRPr="008469D8">
        <w:rPr>
          <w:rFonts w:ascii="Times New Roman" w:hAnsi="Times New Roman" w:cs="Times New Roman"/>
          <w:sz w:val="24"/>
          <w:szCs w:val="24"/>
          <w:lang w:val="en-US"/>
        </w:rPr>
        <w:lastRenderedPageBreak/>
        <w:t>pricing. Consequently, fishermen's welfare is not directly proportional to their contribution to food security and resource sustainability.</w:t>
      </w:r>
    </w:p>
    <w:p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This situation also indicates a disparity in added value within the supply chain, where fishermen's role as producers is disproportionately undercompensated compared to those closer to consumers. Therefore, interventions such as shortening the distribution chain through fishermen's cooperatives, direct marketing, and increasing post-catch capacity are crucial in creating a more equitable distribution of margins. These mechanisms can support fishermen in aggregating their catch and collectively negotiating prices, thereby increasing their bargaining power with both wholesale buyers and retail markets (Fauzi 2010; Porter 1985).</w:t>
      </w:r>
    </w:p>
    <w:p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rsidR="008469D8" w:rsidRPr="008469D8" w:rsidRDefault="008469D8" w:rsidP="008469D8">
      <w:pPr>
        <w:jc w:val="both"/>
        <w:rPr>
          <w:rFonts w:ascii="Times New Roman" w:hAnsi="Times New Roman" w:cs="Times New Roman"/>
          <w:color w:val="000000" w:themeColor="text1"/>
          <w:sz w:val="24"/>
          <w:szCs w:val="24"/>
        </w:rPr>
      </w:pPr>
      <w:r w:rsidRPr="008469D8">
        <w:rPr>
          <w:rFonts w:ascii="Times New Roman" w:hAnsi="Times New Roman" w:cs="Times New Roman"/>
          <w:color w:val="000000" w:themeColor="text1"/>
          <w:sz w:val="24"/>
          <w:szCs w:val="24"/>
        </w:rPr>
        <w:t>The marketing margin gap between fishermen, collectors, retailers, and end consumers indicates low marketing efficiency and a weak bargaining position for fishermen in the distribution chain. Therefore, streamlining the distribution chain through collective marketing, market digitization, and direct partnerships with consumers is not merely a technical option, but a structural transformation strategy to increase marketing efficiency, improve the distribution of added value, and thus ensure the welfare of handline fishermen in a more sustainable manner.</w:t>
      </w:r>
    </w:p>
    <w:p w:rsidR="0022672F" w:rsidRDefault="0022672F" w:rsidP="00A826A1">
      <w:pPr>
        <w:pStyle w:val="ListParagraph"/>
        <w:spacing w:after="0" w:line="240" w:lineRule="auto"/>
        <w:ind w:left="0"/>
        <w:jc w:val="both"/>
        <w:rPr>
          <w:rFonts w:ascii="Times New Roman" w:hAnsi="Times New Roman" w:cs="Times New Roman"/>
          <w:color w:val="000000" w:themeColor="text1"/>
          <w:sz w:val="24"/>
          <w:szCs w:val="24"/>
        </w:rPr>
      </w:pPr>
      <w:r w:rsidRPr="0022672F">
        <w:rPr>
          <w:rFonts w:ascii="Times New Roman" w:hAnsi="Times New Roman" w:cs="Times New Roman"/>
          <w:color w:val="000000" w:themeColor="text1"/>
          <w:sz w:val="24"/>
          <w:szCs w:val="24"/>
        </w:rPr>
        <w:t>.</w:t>
      </w:r>
    </w:p>
    <w:p w:rsidR="0022672F" w:rsidRDefault="0022672F" w:rsidP="00A826A1">
      <w:pPr>
        <w:pStyle w:val="ListParagraph"/>
        <w:spacing w:after="0" w:line="240" w:lineRule="auto"/>
        <w:ind w:left="0"/>
        <w:jc w:val="both"/>
        <w:rPr>
          <w:rFonts w:ascii="Times New Roman" w:hAnsi="Times New Roman" w:cs="Times New Roman"/>
          <w:color w:val="000000" w:themeColor="text1"/>
          <w:sz w:val="24"/>
          <w:szCs w:val="24"/>
        </w:rPr>
      </w:pPr>
    </w:p>
    <w:p w:rsidR="00737494" w:rsidRDefault="00737494" w:rsidP="00A826A1">
      <w:pPr>
        <w:pStyle w:val="ListParagraph"/>
        <w:spacing w:after="0" w:line="240" w:lineRule="auto"/>
        <w:ind w:left="0"/>
        <w:jc w:val="both"/>
        <w:rPr>
          <w:rFonts w:ascii="Times New Roman" w:hAnsi="Times New Roman" w:cs="Times New Roman"/>
          <w:b/>
          <w:color w:val="000000" w:themeColor="text1"/>
          <w:sz w:val="24"/>
          <w:szCs w:val="24"/>
          <w:lang w:val="en-US"/>
        </w:rPr>
      </w:pPr>
    </w:p>
    <w:p w:rsidR="00737494" w:rsidRDefault="00737494" w:rsidP="00A826A1">
      <w:pPr>
        <w:pStyle w:val="ListParagraph"/>
        <w:spacing w:after="0" w:line="240" w:lineRule="auto"/>
        <w:ind w:left="0"/>
        <w:jc w:val="both"/>
        <w:rPr>
          <w:rFonts w:ascii="Times New Roman" w:hAnsi="Times New Roman" w:cs="Times New Roman"/>
          <w:b/>
          <w:color w:val="000000" w:themeColor="text1"/>
          <w:sz w:val="24"/>
          <w:szCs w:val="24"/>
          <w:lang w:val="en-US"/>
        </w:rPr>
      </w:pPr>
    </w:p>
    <w:p w:rsidR="0036395F" w:rsidRDefault="0036395F" w:rsidP="0022672F">
      <w:pPr>
        <w:pStyle w:val="ListParagraph"/>
        <w:spacing w:after="0" w:line="240" w:lineRule="auto"/>
        <w:ind w:left="0"/>
        <w:jc w:val="both"/>
        <w:rPr>
          <w:rFonts w:ascii="Times New Roman" w:hAnsi="Times New Roman" w:cs="Times New Roman"/>
          <w:color w:val="000000" w:themeColor="text1"/>
          <w:sz w:val="24"/>
          <w:szCs w:val="24"/>
        </w:rPr>
      </w:pPr>
    </w:p>
    <w:p w:rsidR="009A2979" w:rsidRDefault="009A2979" w:rsidP="0022672F">
      <w:pPr>
        <w:pStyle w:val="ListParagraph"/>
        <w:spacing w:after="0" w:line="240" w:lineRule="auto"/>
        <w:ind w:left="0"/>
        <w:jc w:val="both"/>
        <w:rPr>
          <w:rFonts w:ascii="Times New Roman" w:hAnsi="Times New Roman" w:cs="Times New Roman"/>
          <w:color w:val="000000" w:themeColor="text1"/>
          <w:sz w:val="24"/>
          <w:szCs w:val="24"/>
        </w:rPr>
      </w:pPr>
    </w:p>
    <w:p w:rsidR="009A2979" w:rsidRDefault="009A2979" w:rsidP="0022672F">
      <w:pPr>
        <w:pStyle w:val="ListParagraph"/>
        <w:spacing w:after="0" w:line="240" w:lineRule="auto"/>
        <w:ind w:left="0"/>
        <w:jc w:val="both"/>
        <w:rPr>
          <w:rFonts w:ascii="Times New Roman" w:hAnsi="Times New Roman" w:cs="Times New Roman"/>
          <w:color w:val="000000" w:themeColor="text1"/>
          <w:sz w:val="24"/>
          <w:szCs w:val="24"/>
        </w:rPr>
      </w:pPr>
      <w:bookmarkStart w:id="6" w:name="_GoBack"/>
      <w:bookmarkEnd w:id="6"/>
    </w:p>
    <w:p w:rsidR="0022672F" w:rsidRPr="0083418E" w:rsidRDefault="0022672F" w:rsidP="003435CA">
      <w:pPr>
        <w:pStyle w:val="ListParagraph"/>
        <w:spacing w:after="0" w:line="240" w:lineRule="auto"/>
        <w:ind w:left="0"/>
        <w:jc w:val="center"/>
        <w:rPr>
          <w:rFonts w:ascii="Times New Roman" w:hAnsi="Times New Roman" w:cs="Times New Roman"/>
          <w:b/>
          <w:color w:val="FF0000"/>
          <w:sz w:val="24"/>
          <w:szCs w:val="24"/>
          <w:lang w:val="en-US"/>
        </w:rPr>
      </w:pPr>
    </w:p>
    <w:p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lastRenderedPageBreak/>
        <w:t>REFERENCES</w:t>
      </w:r>
    </w:p>
    <w:p w:rsidR="003435CA" w:rsidRPr="0083418E"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Afriansyah, Kembauw, E., Munajat&amp; Marni, S. (2022). Basic Principles of Agricultural Economics. </w:t>
      </w:r>
      <w:hyperlink r:id="rId16" w:history="1">
        <w:r w:rsidRPr="00F5412A">
          <w:rPr>
            <w:rStyle w:val="Hyperlink"/>
            <w:rFonts w:ascii="Times New Roman" w:eastAsia="Times New Roman" w:hAnsi="Times New Roman" w:cs="Times New Roman"/>
            <w:sz w:val="24"/>
            <w:szCs w:val="24"/>
            <w:lang w:val="en-US"/>
          </w:rPr>
          <w:t>https://www.researchgate.net/publication/362762382_Prinsip_Dasar_Ekonomi_Pertanian</w:t>
        </w:r>
      </w:hyperlink>
    </w:p>
    <w:p w:rsidR="00D65C2B" w:rsidRP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Anis, S.R.G, Aziz Nur B, &amp;Aristi, D.P.F. (2015). Marketing Analysis of Red Snapper (</w:t>
      </w:r>
      <w:r w:rsidRPr="00D65C2B">
        <w:rPr>
          <w:rFonts w:ascii="Times New Roman" w:eastAsia="Times New Roman" w:hAnsi="Times New Roman" w:cs="Times New Roman"/>
          <w:i/>
          <w:iCs/>
          <w:color w:val="000000"/>
          <w:sz w:val="24"/>
          <w:szCs w:val="24"/>
          <w:lang w:val="en-US"/>
        </w:rPr>
        <w:t>Luntjanus</w:t>
      </w:r>
      <w:r w:rsidRPr="00D65C2B">
        <w:rPr>
          <w:rFonts w:ascii="Times New Roman" w:eastAsia="Times New Roman" w:hAnsi="Times New Roman" w:cs="Times New Roman"/>
          <w:color w:val="000000"/>
          <w:sz w:val="24"/>
          <w:szCs w:val="24"/>
          <w:lang w:val="en-US"/>
        </w:rPr>
        <w:t>sp) Catch Results at Brondon Nusantara Fisheries Port, Lamongan, East Java. [Diponegoro University].</w:t>
      </w:r>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Asmarawati, L., Nurdin, E., &amp;Yusran, Y. (2021). Analysis of marketing margins and efficiency of tuna (</w:t>
      </w:r>
      <w:r w:rsidRPr="00D65C2B">
        <w:rPr>
          <w:rFonts w:ascii="Times New Roman" w:eastAsia="Times New Roman" w:hAnsi="Times New Roman" w:cs="Times New Roman"/>
          <w:i/>
          <w:iCs/>
          <w:color w:val="000000"/>
          <w:sz w:val="24"/>
          <w:szCs w:val="24"/>
          <w:lang w:val="en-US"/>
        </w:rPr>
        <w:t>Euthynnusaffinis</w:t>
      </w:r>
      <w:r w:rsidRPr="00D65C2B">
        <w:rPr>
          <w:rFonts w:ascii="Times New Roman" w:eastAsia="Times New Roman" w:hAnsi="Times New Roman" w:cs="Times New Roman"/>
          <w:color w:val="000000"/>
          <w:sz w:val="24"/>
          <w:szCs w:val="24"/>
          <w:lang w:val="en-US"/>
        </w:rPr>
        <w:t xml:space="preserve">) in Jeneponto Regency. Journal of Maritime Socioeconomics and Fisheries, 16(2), 169–179. </w:t>
      </w:r>
      <w:hyperlink r:id="rId17" w:history="1">
        <w:r w:rsidRPr="00F5412A">
          <w:rPr>
            <w:rStyle w:val="Hyperlink"/>
            <w:rFonts w:ascii="Times New Roman" w:eastAsia="Times New Roman" w:hAnsi="Times New Roman" w:cs="Times New Roman"/>
            <w:sz w:val="24"/>
            <w:szCs w:val="24"/>
            <w:lang w:val="en-US"/>
          </w:rPr>
          <w:t>https://doi.org/10.15578/jsekp.v16i2.9439</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Béné, C., Barange, M., Subasinghe, R., Pinstrup-Andersen, P., Merino, G., Hemre, G. I., &amp; Williams, M. (2016). Feeding 9 billion by 2050  Putting fish back on the menu. Food Security, 7, 261–274. </w:t>
      </w:r>
      <w:hyperlink r:id="rId18" w:history="1">
        <w:r w:rsidRPr="00F5412A">
          <w:rPr>
            <w:rStyle w:val="Hyperlink"/>
            <w:rFonts w:ascii="Times New Roman" w:eastAsia="Times New Roman" w:hAnsi="Times New Roman" w:cs="Times New Roman"/>
            <w:sz w:val="24"/>
            <w:szCs w:val="24"/>
            <w:lang w:val="en-US"/>
          </w:rPr>
          <w:t>https://doi.org/10.1007/s12571-015-0427-z</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FAO. (2020). The State of World Fisheries and Aquaculture 2020. Sustainability in Action. Rome: Food and Agriculture Organization of the United Nations. </w:t>
      </w:r>
      <w:hyperlink r:id="rId19" w:history="1">
        <w:r w:rsidRPr="00F5412A">
          <w:rPr>
            <w:rStyle w:val="Hyperlink"/>
            <w:rFonts w:ascii="Times New Roman" w:eastAsia="Times New Roman" w:hAnsi="Times New Roman" w:cs="Times New Roman"/>
            <w:sz w:val="24"/>
            <w:szCs w:val="24"/>
            <w:lang w:val="en-US"/>
          </w:rPr>
          <w:t>https://doi.org/10.4060/ca9229en</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Fauzi, A. (2010). Fisheries Economics: Theory, Policy, and Management. Jakarta: Gramedia Pustaka Utama. </w:t>
      </w:r>
      <w:hyperlink r:id="rId20" w:history="1">
        <w:r w:rsidRPr="00F5412A">
          <w:rPr>
            <w:rStyle w:val="Hyperlink"/>
            <w:rFonts w:ascii="Times New Roman" w:eastAsia="Times New Roman" w:hAnsi="Times New Roman" w:cs="Times New Roman"/>
            <w:sz w:val="24"/>
            <w:szCs w:val="24"/>
            <w:lang w:val="en-US"/>
          </w:rPr>
          <w:t>https://opac.ut.ac.id/detail-opac?id=30739</w:t>
        </w:r>
      </w:hyperlink>
    </w:p>
    <w:p w:rsidR="00D65C2B" w:rsidRP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Girsang, H., &amp; Haluan, J. (2016). Handline as an environmentally friendly fishing gear in small-scale fisheries. Journal of Maritime Socioeconomics and Fisheries, 11(2), 143–153.</w:t>
      </w:r>
    </w:p>
    <w:p w:rsidR="00D65C2B" w:rsidRP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Monintja, D. R. (2000). Status of tuna fisheries and fishing technology in Indonesia. Indonesian Journal of Fisheries Research, 6(3), 1–12.</w:t>
      </w:r>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Nikijuluw, V. P. H. (2002). Fisheries Resource Management Regime. Jakarta: PustakaCidesindo. </w:t>
      </w:r>
      <w:hyperlink r:id="rId21" w:history="1">
        <w:r w:rsidRPr="00F5412A">
          <w:rPr>
            <w:rStyle w:val="Hyperlink"/>
            <w:rFonts w:ascii="Times New Roman" w:eastAsia="Times New Roman" w:hAnsi="Times New Roman" w:cs="Times New Roman"/>
            <w:sz w:val="24"/>
            <w:szCs w:val="24"/>
            <w:lang w:val="en-US"/>
          </w:rPr>
          <w:t>https://books.google.co.id/books/about/Rezim_pengelolaan_sumberdaya_perikanan.html?id=ShrbAAAAMAAJ&amp;redir_esc=y</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Nurdin, E., Fahrudin, A., &amp;Wisudo, S. H. (2020). Market structure and performance of small-scale fisheries in South Sulawesi, Indonesia. IOTC Proceedings, 23(2), 187–194. </w:t>
      </w:r>
      <w:hyperlink r:id="rId22" w:history="1">
        <w:r w:rsidRPr="00F5412A">
          <w:rPr>
            <w:rStyle w:val="Hyperlink"/>
            <w:rFonts w:ascii="Times New Roman" w:eastAsia="Times New Roman" w:hAnsi="Times New Roman" w:cs="Times New Roman"/>
            <w:sz w:val="24"/>
            <w:szCs w:val="24"/>
            <w:lang w:val="en-US"/>
          </w:rPr>
          <w:t>https://iotc.org/documents/proceedings-23rd-session-iotc-2020</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Nurani, T. W., &amp;Wisudo, S. H. (2016). Strategies to Strengthen Fishermen's Bargaining Position in Marketing Fishery Products. Journal of Maritime and Fisheries Socioeconomics, 11(1), 59–70. </w:t>
      </w:r>
      <w:hyperlink r:id="rId23" w:history="1">
        <w:r w:rsidRPr="00F5412A">
          <w:rPr>
            <w:rStyle w:val="Hyperlink"/>
            <w:rFonts w:ascii="Times New Roman" w:eastAsia="Times New Roman" w:hAnsi="Times New Roman" w:cs="Times New Roman"/>
            <w:sz w:val="24"/>
            <w:szCs w:val="24"/>
            <w:lang w:val="en-US"/>
          </w:rPr>
          <w:t>https://doi.org/10.15578/jsekp.v11i1.3044</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Porter, M. E. (1985). Competitive Advantage: Creating and Sustaining Superior Performance. New York: Free Press. </w:t>
      </w:r>
      <w:hyperlink r:id="rId24" w:history="1">
        <w:r w:rsidRPr="00F5412A">
          <w:rPr>
            <w:rStyle w:val="Hyperlink"/>
            <w:rFonts w:ascii="Times New Roman" w:eastAsia="Times New Roman" w:hAnsi="Times New Roman" w:cs="Times New Roman"/>
            <w:sz w:val="24"/>
            <w:szCs w:val="24"/>
            <w:lang w:val="en-US"/>
          </w:rPr>
          <w:t>https://books.google.co.id/books/about/Competitive_Advantage.html?hl=</w:t>
        </w:r>
        <w:r w:rsidRPr="00F5412A">
          <w:rPr>
            <w:rStyle w:val="Hyperlink"/>
            <w:rFonts w:ascii="Times New Roman" w:eastAsia="Times New Roman" w:hAnsi="Times New Roman" w:cs="Times New Roman"/>
            <w:sz w:val="24"/>
            <w:szCs w:val="24"/>
            <w:lang w:val="en-US"/>
          </w:rPr>
          <w:lastRenderedPageBreak/>
          <w:t>id&amp;id=cMytzQEACAAJ&amp;redir_esc=y</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Purwanto, P. (2019). Sustainable handline tuna fisheries in Indonesia: Opportunities and challenges. Marine Policy, 100, 297–304. </w:t>
      </w:r>
      <w:hyperlink r:id="rId25" w:history="1">
        <w:r w:rsidRPr="00F5412A">
          <w:rPr>
            <w:rStyle w:val="Hyperlink"/>
            <w:rFonts w:ascii="Times New Roman" w:eastAsia="Times New Roman" w:hAnsi="Times New Roman" w:cs="Times New Roman"/>
            <w:sz w:val="24"/>
            <w:szCs w:val="24"/>
            <w:lang w:val="en-US"/>
          </w:rPr>
          <w:t>https://doi.org/10.1016/j.marpol.2018.11.002</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Salas, S., Chuenpagdee, R., Seijo, J. C., &amp; Charles, A. (2007). Challenges in the assessment and management of small-scale fisheries in Latin America and the Caribbean. Fisheries Research, 87(1), 5–16. </w:t>
      </w:r>
      <w:hyperlink r:id="rId26" w:history="1">
        <w:r w:rsidR="009113C5" w:rsidRPr="00F5412A">
          <w:rPr>
            <w:rStyle w:val="Hyperlink"/>
            <w:rFonts w:ascii="Times New Roman" w:eastAsia="Times New Roman" w:hAnsi="Times New Roman" w:cs="Times New Roman"/>
            <w:sz w:val="24"/>
            <w:szCs w:val="24"/>
            <w:lang w:val="en-US"/>
          </w:rPr>
          <w:t>https://doi.org/10.1016/j.fishres.2007.06.015</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Saputra, S. W., Rahardjo, M. F., &amp; Nugroho, D. (2020). Analysis of fish marketing efficiency in the Pantura area of ​​Central Java. Indonesian Journal of Fisheries Research and Development, 26(1), 13–25. </w:t>
      </w:r>
      <w:hyperlink r:id="rId27" w:history="1">
        <w:r w:rsidRPr="00F5412A">
          <w:rPr>
            <w:rStyle w:val="Hyperlink"/>
            <w:rFonts w:ascii="Times New Roman" w:eastAsia="Times New Roman" w:hAnsi="Times New Roman" w:cs="Times New Roman"/>
            <w:sz w:val="24"/>
            <w:szCs w:val="24"/>
            <w:lang w:val="en-US"/>
          </w:rPr>
          <w:t>https://doi.org/10.15578/jppi.26.1.2020.13-25</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Serang, A.S., Marasabessy, F., Rahantan, A. &amp;Tahapary, J. (2025). Measuring the Environmental Friendliness of Handline Fishing Gear in Labetawi Village, Tual City, Maluku Province. Indonesian Community Service Journal 5(4):701-714. </w:t>
      </w:r>
      <w:hyperlink r:id="rId28" w:history="1">
        <w:r w:rsidRPr="00F5412A">
          <w:rPr>
            <w:rStyle w:val="Hyperlink"/>
            <w:rFonts w:ascii="Times New Roman" w:eastAsia="Times New Roman" w:hAnsi="Times New Roman" w:cs="Times New Roman"/>
            <w:sz w:val="24"/>
            <w:szCs w:val="24"/>
            <w:lang w:val="en-US"/>
          </w:rPr>
          <w:t>https://jpmi.journals.id/index.php/jpmi/article/view/3613</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Soekartawi. (2002). Basic Principles of Agricultural Economics: Theory and Application. Jakarta: PT. Raja GrafindoPersada. </w:t>
      </w:r>
      <w:hyperlink r:id="rId29" w:history="1">
        <w:r w:rsidRPr="00F5412A">
          <w:rPr>
            <w:rStyle w:val="Hyperlink"/>
            <w:rFonts w:ascii="Times New Roman" w:eastAsia="Times New Roman" w:hAnsi="Times New Roman" w:cs="Times New Roman"/>
            <w:sz w:val="24"/>
            <w:szCs w:val="24"/>
            <w:lang w:val="en-US"/>
          </w:rPr>
          <w:t>https://inlislite.dispustaka.sumselprov.go.id/opac/detail-opac?id=15261</w:t>
        </w:r>
      </w:hyperlink>
    </w:p>
    <w:p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lastRenderedPageBreak/>
        <w:t>Sudiyono, A. (2002). Agricultural Marketing. Malang: [Muhammadiyah University of Malang], UMM Press</w:t>
      </w:r>
      <w:r>
        <w:rPr>
          <w:rFonts w:ascii="Times New Roman" w:eastAsia="Times New Roman" w:hAnsi="Times New Roman" w:cs="Times New Roman"/>
          <w:color w:val="000000"/>
          <w:sz w:val="24"/>
          <w:szCs w:val="24"/>
          <w:lang w:val="en-US"/>
        </w:rPr>
        <w:t xml:space="preserve">: </w:t>
      </w:r>
      <w:hyperlink r:id="rId30" w:history="1">
        <w:r w:rsidRPr="00F5412A">
          <w:rPr>
            <w:rStyle w:val="Hyperlink"/>
            <w:rFonts w:ascii="Times New Roman" w:eastAsia="Times New Roman" w:hAnsi="Times New Roman" w:cs="Times New Roman"/>
            <w:sz w:val="24"/>
            <w:szCs w:val="24"/>
            <w:lang w:val="en-US"/>
          </w:rPr>
          <w:t>https://books.google.co.id/books/about/Pemasaran_pertanian.html?hl=id&amp;id=QDldAAAACAAJ&amp;redir_esc=y</w:t>
        </w:r>
      </w:hyperlink>
    </w:p>
    <w:p w:rsidR="009365B7"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Susilowati, I. (2015). Analysis of market structure and marketing efficiency of marine fish in Central Java. Journal of Development Economics: Study of Economic and Development Issues, 16(1), 69–83. </w:t>
      </w:r>
      <w:hyperlink r:id="rId31" w:history="1">
        <w:r w:rsidRPr="00F5412A">
          <w:rPr>
            <w:rStyle w:val="Hyperlink"/>
            <w:rFonts w:ascii="Times New Roman" w:eastAsia="Times New Roman" w:hAnsi="Times New Roman" w:cs="Times New Roman"/>
            <w:sz w:val="24"/>
            <w:szCs w:val="24"/>
            <w:lang w:val="en-US"/>
          </w:rPr>
          <w:t>https://doi.org/10.23917/jep.v16i1.1612</w:t>
        </w:r>
      </w:hyperlink>
    </w:p>
    <w:p w:rsidR="00D65C2B" w:rsidRPr="009365B7" w:rsidRDefault="00D65C2B" w:rsidP="00D65C2B">
      <w:pPr>
        <w:ind w:left="567" w:hanging="567"/>
        <w:jc w:val="both"/>
        <w:rPr>
          <w:rFonts w:ascii="Times New Roman" w:eastAsia="Times New Roman" w:hAnsi="Times New Roman" w:cs="Times New Roman"/>
          <w:color w:val="000000"/>
          <w:sz w:val="24"/>
          <w:szCs w:val="24"/>
          <w:lang w:val="en-US"/>
        </w:rPr>
      </w:pPr>
    </w:p>
    <w:p w:rsidR="00E523B9" w:rsidRPr="00E523B9" w:rsidRDefault="00E523B9" w:rsidP="00E523B9">
      <w:pPr>
        <w:spacing w:after="0"/>
        <w:ind w:left="567" w:hanging="567"/>
        <w:jc w:val="both"/>
        <w:rPr>
          <w:rFonts w:ascii="Times New Roman" w:eastAsia="Times New Roman" w:hAnsi="Times New Roman" w:cs="Times New Roman"/>
          <w:color w:val="000000"/>
          <w:sz w:val="24"/>
          <w:szCs w:val="24"/>
          <w:lang w:val="en-US"/>
        </w:rPr>
      </w:pPr>
    </w:p>
    <w:p w:rsidR="00000C9A" w:rsidRPr="00000C9A" w:rsidRDefault="00000C9A" w:rsidP="00730BF3">
      <w:pPr>
        <w:autoSpaceDE w:val="0"/>
        <w:autoSpaceDN w:val="0"/>
        <w:adjustRightInd w:val="0"/>
        <w:spacing w:after="0" w:line="240" w:lineRule="auto"/>
        <w:ind w:left="426"/>
        <w:contextualSpacing/>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OMPAQ" w:date="2025-10-06T12:20:00Z" w:initials="C">
    <w:p w:rsidR="004745F9" w:rsidRPr="004745F9" w:rsidRDefault="004745F9">
      <w:pPr>
        <w:pStyle w:val="CommentText"/>
        <w:rPr>
          <w:lang w:val="en-US"/>
        </w:rPr>
      </w:pPr>
      <w:r>
        <w:rPr>
          <w:rStyle w:val="CommentReference"/>
        </w:rPr>
        <w:annotationRef/>
      </w:r>
      <w:r>
        <w:rPr>
          <w:lang w:val="en-US"/>
        </w:rPr>
        <w:t>Refine the title</w:t>
      </w:r>
    </w:p>
  </w:comment>
  <w:comment w:id="1" w:author="COMPAQ" w:date="2025-10-06T12:20:00Z" w:initials="C">
    <w:p w:rsidR="004745F9" w:rsidRPr="004745F9" w:rsidRDefault="004745F9">
      <w:pPr>
        <w:pStyle w:val="CommentText"/>
        <w:rPr>
          <w:lang w:val="en-US"/>
        </w:rPr>
      </w:pPr>
      <w:r>
        <w:rPr>
          <w:rStyle w:val="CommentReference"/>
        </w:rPr>
        <w:annotationRef/>
      </w:r>
      <w:r>
        <w:rPr>
          <w:lang w:val="en-US"/>
        </w:rPr>
        <w:t>Modify abstract</w:t>
      </w:r>
    </w:p>
  </w:comment>
  <w:comment w:id="2" w:author="COMPAQ" w:date="2025-10-06T12:23:00Z" w:initials="C">
    <w:p w:rsidR="004745F9" w:rsidRPr="004745F9" w:rsidRDefault="004745F9">
      <w:pPr>
        <w:pStyle w:val="CommentText"/>
        <w:rPr>
          <w:lang w:val="en-US"/>
        </w:rPr>
      </w:pPr>
      <w:r>
        <w:rPr>
          <w:rStyle w:val="CommentReference"/>
        </w:rPr>
        <w:annotationRef/>
      </w:r>
      <w:r>
        <w:rPr>
          <w:lang w:val="en-US"/>
        </w:rPr>
        <w:t>Mention number of respondents and how data was processed like the interpretation methods</w:t>
      </w:r>
    </w:p>
  </w:comment>
  <w:comment w:id="4" w:author="COMPAQ" w:date="2025-10-06T12:25:00Z" w:initials="C">
    <w:p w:rsidR="004745F9" w:rsidRPr="004745F9" w:rsidRDefault="004745F9">
      <w:pPr>
        <w:pStyle w:val="CommentText"/>
        <w:rPr>
          <w:lang w:val="en-US"/>
        </w:rPr>
      </w:pPr>
      <w:r>
        <w:rPr>
          <w:rStyle w:val="CommentReference"/>
        </w:rPr>
        <w:annotationRef/>
      </w:r>
      <w:r>
        <w:rPr>
          <w:lang w:val="en-US"/>
        </w:rPr>
        <w:t>Its more like image pasted here mention the data here in tabular form</w:t>
      </w:r>
    </w:p>
  </w:comment>
  <w:comment w:id="5" w:author="COMPAQ" w:date="2025-10-06T12:26:00Z" w:initials="C">
    <w:p w:rsidR="004745F9" w:rsidRPr="004745F9" w:rsidRDefault="004745F9">
      <w:pPr>
        <w:pStyle w:val="CommentText"/>
        <w:rPr>
          <w:lang w:val="en-US"/>
        </w:rPr>
      </w:pPr>
      <w:r>
        <w:rPr>
          <w:rStyle w:val="CommentReference"/>
        </w:rPr>
        <w:annotationRef/>
      </w:r>
      <w:r>
        <w:rPr>
          <w:lang w:val="en-US"/>
        </w:rPr>
        <w:t xml:space="preserve">Whole discussion needs refinement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EF1" w:rsidRDefault="00790EF1" w:rsidP="00E744A2">
      <w:pPr>
        <w:spacing w:after="0" w:line="240" w:lineRule="auto"/>
      </w:pPr>
      <w:r>
        <w:separator/>
      </w:r>
    </w:p>
  </w:endnote>
  <w:endnote w:type="continuationSeparator" w:id="1">
    <w:p w:rsidR="00790EF1" w:rsidRDefault="00790EF1" w:rsidP="00E74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79" w:rsidRDefault="009A2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79" w:rsidRDefault="009A2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79" w:rsidRDefault="009A2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EF1" w:rsidRDefault="00790EF1" w:rsidP="00E744A2">
      <w:pPr>
        <w:spacing w:after="0" w:line="240" w:lineRule="auto"/>
      </w:pPr>
      <w:r>
        <w:separator/>
      </w:r>
    </w:p>
  </w:footnote>
  <w:footnote w:type="continuationSeparator" w:id="1">
    <w:p w:rsidR="00790EF1" w:rsidRDefault="00790EF1" w:rsidP="00E74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79" w:rsidRDefault="00A2295F">
    <w:pPr>
      <w:pStyle w:val="Header"/>
    </w:pPr>
    <w:r w:rsidRPr="00A229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79" w:rsidRDefault="00A2295F">
    <w:pPr>
      <w:pStyle w:val="Header"/>
    </w:pPr>
    <w:r w:rsidRPr="00A229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79" w:rsidRDefault="00A2295F">
    <w:pPr>
      <w:pStyle w:val="Header"/>
    </w:pPr>
    <w:r w:rsidRPr="00A229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C7ABC"/>
    <w:rsid w:val="00000C9A"/>
    <w:rsid w:val="00001A42"/>
    <w:rsid w:val="0000257C"/>
    <w:rsid w:val="00010760"/>
    <w:rsid w:val="00014528"/>
    <w:rsid w:val="00014A8B"/>
    <w:rsid w:val="0001681E"/>
    <w:rsid w:val="000174DC"/>
    <w:rsid w:val="00021D05"/>
    <w:rsid w:val="00030FFA"/>
    <w:rsid w:val="00060D93"/>
    <w:rsid w:val="00062C6A"/>
    <w:rsid w:val="000657C0"/>
    <w:rsid w:val="00082D47"/>
    <w:rsid w:val="00095503"/>
    <w:rsid w:val="000B48D1"/>
    <w:rsid w:val="000B71BD"/>
    <w:rsid w:val="000C6EAD"/>
    <w:rsid w:val="000C7DCA"/>
    <w:rsid w:val="000D0312"/>
    <w:rsid w:val="000D0C75"/>
    <w:rsid w:val="000D57A5"/>
    <w:rsid w:val="000E0D32"/>
    <w:rsid w:val="000F1F88"/>
    <w:rsid w:val="00114491"/>
    <w:rsid w:val="00120264"/>
    <w:rsid w:val="00122114"/>
    <w:rsid w:val="001249DB"/>
    <w:rsid w:val="00125E10"/>
    <w:rsid w:val="001267C1"/>
    <w:rsid w:val="00127272"/>
    <w:rsid w:val="0013181E"/>
    <w:rsid w:val="00140661"/>
    <w:rsid w:val="00140D9E"/>
    <w:rsid w:val="001536D2"/>
    <w:rsid w:val="00164ECF"/>
    <w:rsid w:val="00165A52"/>
    <w:rsid w:val="00170A21"/>
    <w:rsid w:val="001736DD"/>
    <w:rsid w:val="0018525D"/>
    <w:rsid w:val="00186260"/>
    <w:rsid w:val="0019213A"/>
    <w:rsid w:val="0019371D"/>
    <w:rsid w:val="001A418B"/>
    <w:rsid w:val="001B00C5"/>
    <w:rsid w:val="001C6C43"/>
    <w:rsid w:val="001E21E9"/>
    <w:rsid w:val="001F5FD8"/>
    <w:rsid w:val="0020201F"/>
    <w:rsid w:val="00212DDC"/>
    <w:rsid w:val="00215A11"/>
    <w:rsid w:val="0022393A"/>
    <w:rsid w:val="00224F3C"/>
    <w:rsid w:val="0022672F"/>
    <w:rsid w:val="00233D3F"/>
    <w:rsid w:val="00236235"/>
    <w:rsid w:val="0025372C"/>
    <w:rsid w:val="00257310"/>
    <w:rsid w:val="002574C6"/>
    <w:rsid w:val="00263F31"/>
    <w:rsid w:val="002664C9"/>
    <w:rsid w:val="002702A4"/>
    <w:rsid w:val="00275431"/>
    <w:rsid w:val="00280509"/>
    <w:rsid w:val="002B2047"/>
    <w:rsid w:val="002B5B64"/>
    <w:rsid w:val="002B70E7"/>
    <w:rsid w:val="002C673F"/>
    <w:rsid w:val="002E203D"/>
    <w:rsid w:val="002F0862"/>
    <w:rsid w:val="002F119C"/>
    <w:rsid w:val="002F44CE"/>
    <w:rsid w:val="003009D4"/>
    <w:rsid w:val="00312F77"/>
    <w:rsid w:val="003178BE"/>
    <w:rsid w:val="003205DA"/>
    <w:rsid w:val="003409B2"/>
    <w:rsid w:val="00342190"/>
    <w:rsid w:val="003435CA"/>
    <w:rsid w:val="00343E5D"/>
    <w:rsid w:val="00354983"/>
    <w:rsid w:val="003614B3"/>
    <w:rsid w:val="00362BDF"/>
    <w:rsid w:val="0036395F"/>
    <w:rsid w:val="003645BC"/>
    <w:rsid w:val="00372CBE"/>
    <w:rsid w:val="0037567C"/>
    <w:rsid w:val="00390E50"/>
    <w:rsid w:val="003C4AAA"/>
    <w:rsid w:val="003E59DF"/>
    <w:rsid w:val="0040478C"/>
    <w:rsid w:val="00417423"/>
    <w:rsid w:val="00417E64"/>
    <w:rsid w:val="00421D9F"/>
    <w:rsid w:val="00430CAF"/>
    <w:rsid w:val="00434FD1"/>
    <w:rsid w:val="00454CC5"/>
    <w:rsid w:val="00456666"/>
    <w:rsid w:val="0045669A"/>
    <w:rsid w:val="004745F9"/>
    <w:rsid w:val="00484B61"/>
    <w:rsid w:val="00486AB1"/>
    <w:rsid w:val="00490BF0"/>
    <w:rsid w:val="00492A9E"/>
    <w:rsid w:val="00495DD3"/>
    <w:rsid w:val="004A1CA5"/>
    <w:rsid w:val="004A2ACE"/>
    <w:rsid w:val="004C11A4"/>
    <w:rsid w:val="004C34EA"/>
    <w:rsid w:val="004D55B4"/>
    <w:rsid w:val="004E1A2B"/>
    <w:rsid w:val="004E4CF8"/>
    <w:rsid w:val="004E6202"/>
    <w:rsid w:val="00503F0F"/>
    <w:rsid w:val="00510A46"/>
    <w:rsid w:val="00520589"/>
    <w:rsid w:val="0054164D"/>
    <w:rsid w:val="00543D9B"/>
    <w:rsid w:val="005450CC"/>
    <w:rsid w:val="005532DF"/>
    <w:rsid w:val="00553328"/>
    <w:rsid w:val="00566712"/>
    <w:rsid w:val="00585B40"/>
    <w:rsid w:val="005A2A70"/>
    <w:rsid w:val="005A3CF7"/>
    <w:rsid w:val="005A732F"/>
    <w:rsid w:val="005B4522"/>
    <w:rsid w:val="005B484C"/>
    <w:rsid w:val="005B7561"/>
    <w:rsid w:val="005C2B62"/>
    <w:rsid w:val="005D4BED"/>
    <w:rsid w:val="005E4E4C"/>
    <w:rsid w:val="00610C22"/>
    <w:rsid w:val="006247C5"/>
    <w:rsid w:val="00626114"/>
    <w:rsid w:val="00663091"/>
    <w:rsid w:val="006633D9"/>
    <w:rsid w:val="0067258A"/>
    <w:rsid w:val="0067627B"/>
    <w:rsid w:val="006812E3"/>
    <w:rsid w:val="00690E69"/>
    <w:rsid w:val="00695F22"/>
    <w:rsid w:val="006962ED"/>
    <w:rsid w:val="00697607"/>
    <w:rsid w:val="006B1D2F"/>
    <w:rsid w:val="006B43E1"/>
    <w:rsid w:val="006C13AA"/>
    <w:rsid w:val="006C454A"/>
    <w:rsid w:val="006C5F90"/>
    <w:rsid w:val="006C6E74"/>
    <w:rsid w:val="006D02E1"/>
    <w:rsid w:val="006E1009"/>
    <w:rsid w:val="006E42A6"/>
    <w:rsid w:val="006E7CE5"/>
    <w:rsid w:val="007005C2"/>
    <w:rsid w:val="007063C8"/>
    <w:rsid w:val="007162D1"/>
    <w:rsid w:val="00730BF3"/>
    <w:rsid w:val="007315F4"/>
    <w:rsid w:val="00737494"/>
    <w:rsid w:val="00742E3E"/>
    <w:rsid w:val="00750A3A"/>
    <w:rsid w:val="00751578"/>
    <w:rsid w:val="00751D18"/>
    <w:rsid w:val="0075665F"/>
    <w:rsid w:val="00777E56"/>
    <w:rsid w:val="00781D73"/>
    <w:rsid w:val="00785A03"/>
    <w:rsid w:val="00790EF1"/>
    <w:rsid w:val="0079283E"/>
    <w:rsid w:val="00794950"/>
    <w:rsid w:val="007A0423"/>
    <w:rsid w:val="007A15D4"/>
    <w:rsid w:val="007B08B2"/>
    <w:rsid w:val="007D5706"/>
    <w:rsid w:val="007E06DF"/>
    <w:rsid w:val="007E30D2"/>
    <w:rsid w:val="007E5A26"/>
    <w:rsid w:val="007E7325"/>
    <w:rsid w:val="007F1D92"/>
    <w:rsid w:val="007F3EAA"/>
    <w:rsid w:val="007F633C"/>
    <w:rsid w:val="00801060"/>
    <w:rsid w:val="0081445B"/>
    <w:rsid w:val="00831B62"/>
    <w:rsid w:val="008333A3"/>
    <w:rsid w:val="0083418E"/>
    <w:rsid w:val="00835AC9"/>
    <w:rsid w:val="00841701"/>
    <w:rsid w:val="008469D8"/>
    <w:rsid w:val="008516BE"/>
    <w:rsid w:val="008521FB"/>
    <w:rsid w:val="00862268"/>
    <w:rsid w:val="00863054"/>
    <w:rsid w:val="008642D8"/>
    <w:rsid w:val="00864756"/>
    <w:rsid w:val="0086766E"/>
    <w:rsid w:val="00883281"/>
    <w:rsid w:val="00895EAB"/>
    <w:rsid w:val="008A2B8F"/>
    <w:rsid w:val="008A5072"/>
    <w:rsid w:val="008C2142"/>
    <w:rsid w:val="008C29D8"/>
    <w:rsid w:val="008C7069"/>
    <w:rsid w:val="008C7B53"/>
    <w:rsid w:val="008D040D"/>
    <w:rsid w:val="008D5A50"/>
    <w:rsid w:val="008F7937"/>
    <w:rsid w:val="00905F78"/>
    <w:rsid w:val="009113C5"/>
    <w:rsid w:val="00924405"/>
    <w:rsid w:val="00924C2F"/>
    <w:rsid w:val="00927D36"/>
    <w:rsid w:val="009365B7"/>
    <w:rsid w:val="00943819"/>
    <w:rsid w:val="00950266"/>
    <w:rsid w:val="00951D19"/>
    <w:rsid w:val="0095688E"/>
    <w:rsid w:val="00970925"/>
    <w:rsid w:val="00987439"/>
    <w:rsid w:val="00990562"/>
    <w:rsid w:val="009A2979"/>
    <w:rsid w:val="009A464E"/>
    <w:rsid w:val="009B11C4"/>
    <w:rsid w:val="009B2050"/>
    <w:rsid w:val="009B382B"/>
    <w:rsid w:val="009B3983"/>
    <w:rsid w:val="009D379C"/>
    <w:rsid w:val="009D5328"/>
    <w:rsid w:val="009F1D60"/>
    <w:rsid w:val="00A03A8B"/>
    <w:rsid w:val="00A04C54"/>
    <w:rsid w:val="00A11A7F"/>
    <w:rsid w:val="00A2295F"/>
    <w:rsid w:val="00A25B51"/>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B251FA"/>
    <w:rsid w:val="00B316AD"/>
    <w:rsid w:val="00B44757"/>
    <w:rsid w:val="00B63F65"/>
    <w:rsid w:val="00B71539"/>
    <w:rsid w:val="00B76351"/>
    <w:rsid w:val="00B85313"/>
    <w:rsid w:val="00B962E3"/>
    <w:rsid w:val="00BA0F37"/>
    <w:rsid w:val="00BA76D2"/>
    <w:rsid w:val="00BB4B66"/>
    <w:rsid w:val="00BF0A29"/>
    <w:rsid w:val="00BF4850"/>
    <w:rsid w:val="00BF5452"/>
    <w:rsid w:val="00C026F7"/>
    <w:rsid w:val="00C04D78"/>
    <w:rsid w:val="00C07162"/>
    <w:rsid w:val="00C072F2"/>
    <w:rsid w:val="00C12EE9"/>
    <w:rsid w:val="00C31436"/>
    <w:rsid w:val="00C330EA"/>
    <w:rsid w:val="00C408FC"/>
    <w:rsid w:val="00C43541"/>
    <w:rsid w:val="00C6103F"/>
    <w:rsid w:val="00C719D3"/>
    <w:rsid w:val="00C74BF8"/>
    <w:rsid w:val="00C75D6F"/>
    <w:rsid w:val="00CA7D96"/>
    <w:rsid w:val="00CB2DDD"/>
    <w:rsid w:val="00CB5991"/>
    <w:rsid w:val="00CD18EC"/>
    <w:rsid w:val="00CD1B38"/>
    <w:rsid w:val="00CF244B"/>
    <w:rsid w:val="00CF3C9F"/>
    <w:rsid w:val="00D01BB1"/>
    <w:rsid w:val="00D022BE"/>
    <w:rsid w:val="00D14709"/>
    <w:rsid w:val="00D31FFB"/>
    <w:rsid w:val="00D36808"/>
    <w:rsid w:val="00D41CF8"/>
    <w:rsid w:val="00D43D8A"/>
    <w:rsid w:val="00D50F66"/>
    <w:rsid w:val="00D65C2B"/>
    <w:rsid w:val="00D712E9"/>
    <w:rsid w:val="00D713CB"/>
    <w:rsid w:val="00D74792"/>
    <w:rsid w:val="00D95794"/>
    <w:rsid w:val="00D962A8"/>
    <w:rsid w:val="00D9729F"/>
    <w:rsid w:val="00DB703E"/>
    <w:rsid w:val="00DC762F"/>
    <w:rsid w:val="00DC7ABC"/>
    <w:rsid w:val="00DE0CE8"/>
    <w:rsid w:val="00DE75C1"/>
    <w:rsid w:val="00DF2CC8"/>
    <w:rsid w:val="00DF61C7"/>
    <w:rsid w:val="00E06E55"/>
    <w:rsid w:val="00E12B64"/>
    <w:rsid w:val="00E21286"/>
    <w:rsid w:val="00E323D2"/>
    <w:rsid w:val="00E4175B"/>
    <w:rsid w:val="00E453B9"/>
    <w:rsid w:val="00E523B9"/>
    <w:rsid w:val="00E561E7"/>
    <w:rsid w:val="00E720AB"/>
    <w:rsid w:val="00E744A2"/>
    <w:rsid w:val="00E74A84"/>
    <w:rsid w:val="00E76B4B"/>
    <w:rsid w:val="00E7711C"/>
    <w:rsid w:val="00E7713E"/>
    <w:rsid w:val="00E82FE0"/>
    <w:rsid w:val="00E95135"/>
    <w:rsid w:val="00E978DD"/>
    <w:rsid w:val="00EA3011"/>
    <w:rsid w:val="00EA4371"/>
    <w:rsid w:val="00EB0130"/>
    <w:rsid w:val="00EB389D"/>
    <w:rsid w:val="00EB409A"/>
    <w:rsid w:val="00EB7515"/>
    <w:rsid w:val="00EC3A86"/>
    <w:rsid w:val="00ED6DBD"/>
    <w:rsid w:val="00F10678"/>
    <w:rsid w:val="00F16D49"/>
    <w:rsid w:val="00F229C4"/>
    <w:rsid w:val="00F22D36"/>
    <w:rsid w:val="00F36C45"/>
    <w:rsid w:val="00F3785D"/>
    <w:rsid w:val="00F4038A"/>
    <w:rsid w:val="00F43EC1"/>
    <w:rsid w:val="00F57338"/>
    <w:rsid w:val="00F57680"/>
    <w:rsid w:val="00F66DF0"/>
    <w:rsid w:val="00F7084B"/>
    <w:rsid w:val="00F75FF7"/>
    <w:rsid w:val="00F83100"/>
    <w:rsid w:val="00F84DBB"/>
    <w:rsid w:val="00F87A43"/>
    <w:rsid w:val="00FB339A"/>
    <w:rsid w:val="00FC324A"/>
    <w:rsid w:val="00FC45F5"/>
    <w:rsid w:val="00FC5033"/>
    <w:rsid w:val="00FE6533"/>
    <w:rsid w:val="00FF4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9056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doi.org/10.1007/s12571-015-0427-z" TargetMode="External"/><Relationship Id="rId26" Type="http://schemas.openxmlformats.org/officeDocument/2006/relationships/hyperlink" Target="https://doi.org/10.1016/j.fishres.2007.06.015" TargetMode="External"/><Relationship Id="rId3" Type="http://schemas.openxmlformats.org/officeDocument/2006/relationships/styles" Target="styles.xml"/><Relationship Id="rId21" Type="http://schemas.openxmlformats.org/officeDocument/2006/relationships/hyperlink" Target="https://books.google.co.id/books/about/Rezim_pengelolaan_sumberdaya_perikanan.html?id=ShrbAAAAMAAJ&amp;redir_esc=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5578/jsekp.v16i2.9439" TargetMode="External"/><Relationship Id="rId25" Type="http://schemas.openxmlformats.org/officeDocument/2006/relationships/hyperlink" Target="https://doi.org/10.1016/j.marpol.2018.11.0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ublication/362762382_Prinsip_Dasar_Ekonomi_Pertanian" TargetMode="External"/><Relationship Id="rId20" Type="http://schemas.openxmlformats.org/officeDocument/2006/relationships/hyperlink" Target="https://opac.ut.ac.id/detail-opac?id=30739" TargetMode="External"/><Relationship Id="rId29" Type="http://schemas.openxmlformats.org/officeDocument/2006/relationships/hyperlink" Target="https://inlislite.dispustaka.sumselprov.go.id/opac/detail-opac?id=152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ooks.google.co.id/books/about/Competitive_Advantage.html?hl=id&amp;id=cMytzQEACAAJ&amp;redir_es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5578/jsekp.v11i1.3044" TargetMode="External"/><Relationship Id="rId28" Type="http://schemas.openxmlformats.org/officeDocument/2006/relationships/hyperlink" Target="https://jpmi.journals.id/index.php/jpmi/article/view/3613" TargetMode="External"/><Relationship Id="rId10" Type="http://schemas.openxmlformats.org/officeDocument/2006/relationships/header" Target="header2.xml"/><Relationship Id="rId19" Type="http://schemas.openxmlformats.org/officeDocument/2006/relationships/hyperlink" Target="https://doi.org/10.4060/ca9229en" TargetMode="External"/><Relationship Id="rId31" Type="http://schemas.openxmlformats.org/officeDocument/2006/relationships/hyperlink" Target="https://doi.org/10.23917/jep.v16i1.16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otc.org/documents/proceedings-23rd-session-iotc-2020" TargetMode="External"/><Relationship Id="rId27" Type="http://schemas.openxmlformats.org/officeDocument/2006/relationships/hyperlink" Target="https://doi.org/10.15578/jppi.26.1.2020.13-25" TargetMode="External"/><Relationship Id="rId30" Type="http://schemas.openxmlformats.org/officeDocument/2006/relationships/hyperlink" Target="https://books.google.co.id/books/about/Pemasaran_pertanian.html?hl=id&amp;id=QDldAAAACAAJ&amp;redir_e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C255-7BB2-4432-9C18-FF853225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COMPAQ</cp:lastModifiedBy>
  <cp:revision>131</cp:revision>
  <cp:lastPrinted>2018-12-18T13:33:00Z</cp:lastPrinted>
  <dcterms:created xsi:type="dcterms:W3CDTF">2021-08-24T01:50:00Z</dcterms:created>
  <dcterms:modified xsi:type="dcterms:W3CDTF">2025-10-06T06:57:00Z</dcterms:modified>
</cp:coreProperties>
</file>