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21" w:rsidRDefault="003F7E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3F7E2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3F7E21" w:rsidRDefault="003F7E21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3F7E21">
        <w:trPr>
          <w:trHeight w:val="290"/>
        </w:trPr>
        <w:tc>
          <w:tcPr>
            <w:tcW w:w="5167" w:type="dxa"/>
          </w:tcPr>
          <w:p w:rsidR="003F7E21" w:rsidRDefault="006E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Journal Name: </w:t>
            </w:r>
          </w:p>
          <w:p w:rsidR="003F7E21" w:rsidRDefault="003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F7E21" w:rsidRDefault="003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F7E21" w:rsidRDefault="003F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E21" w:rsidRDefault="0066497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6E174A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Education and Social Studies</w:t>
              </w:r>
            </w:hyperlink>
            <w:r w:rsidR="006E174A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3F7E21">
        <w:trPr>
          <w:trHeight w:val="290"/>
        </w:trPr>
        <w:tc>
          <w:tcPr>
            <w:tcW w:w="5167" w:type="dxa"/>
          </w:tcPr>
          <w:p w:rsidR="003F7E21" w:rsidRDefault="006E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E21" w:rsidRDefault="006E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Ms_AJESS_146261</w:t>
            </w:r>
          </w:p>
        </w:tc>
      </w:tr>
      <w:tr w:rsidR="003F7E21">
        <w:trPr>
          <w:trHeight w:val="755"/>
        </w:trPr>
        <w:tc>
          <w:tcPr>
            <w:tcW w:w="5167" w:type="dxa"/>
          </w:tcPr>
          <w:p w:rsidR="003F7E21" w:rsidRDefault="006E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E21" w:rsidRDefault="006E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From Policy to Practice: Opportunities and Challenges of the Persons with Disabilities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PwD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in light of NEP-2020</w:t>
            </w:r>
          </w:p>
        </w:tc>
      </w:tr>
      <w:tr w:rsidR="003F7E21">
        <w:trPr>
          <w:trHeight w:val="332"/>
        </w:trPr>
        <w:tc>
          <w:tcPr>
            <w:tcW w:w="5167" w:type="dxa"/>
          </w:tcPr>
          <w:p w:rsidR="003F7E21" w:rsidRDefault="006E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E21" w:rsidRDefault="006E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3F7E21" w:rsidRDefault="003F7E21">
      <w:pPr>
        <w:rPr>
          <w:sz w:val="20"/>
          <w:szCs w:val="20"/>
        </w:rPr>
      </w:pPr>
      <w:bookmarkStart w:id="0" w:name="_ku1t2ndm4yko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F7E21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3F7E21" w:rsidRDefault="006E174A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3F7E21" w:rsidRDefault="003F7E21">
            <w:pPr>
              <w:rPr>
                <w:sz w:val="20"/>
                <w:szCs w:val="20"/>
              </w:rPr>
            </w:pPr>
          </w:p>
        </w:tc>
      </w:tr>
      <w:tr w:rsidR="003F7E21">
        <w:tc>
          <w:tcPr>
            <w:tcW w:w="5351" w:type="dxa"/>
          </w:tcPr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3F7E21" w:rsidRDefault="006E174A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3F7E21" w:rsidRDefault="006E174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F7E21" w:rsidRDefault="003F7E21"/>
        </w:tc>
        <w:tc>
          <w:tcPr>
            <w:tcW w:w="6442" w:type="dxa"/>
          </w:tcPr>
          <w:p w:rsidR="003F7E21" w:rsidRDefault="006E174A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F7E21">
        <w:trPr>
          <w:trHeight w:val="1264"/>
        </w:trPr>
        <w:tc>
          <w:tcPr>
            <w:tcW w:w="5351" w:type="dxa"/>
          </w:tcPr>
          <w:p w:rsidR="003F7E21" w:rsidRDefault="006E174A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3F7E21" w:rsidRDefault="003F7E2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3F7E21" w:rsidRDefault="006E174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manuscript highly impacts the overall quality of understanding disability and the types</w:t>
            </w:r>
          </w:p>
          <w:p w:rsidR="003F7E21" w:rsidRDefault="006E174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as well underscores the importance of Inclusive curriculum and pedagogy</w:t>
            </w:r>
          </w:p>
          <w:p w:rsidR="003F7E21" w:rsidRDefault="006E174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manuscript benefits the scientific community by highlighting the cogent need for assistive technologies in learning environments of </w:t>
            </w:r>
            <w:proofErr w:type="spellStart"/>
            <w:r>
              <w:rPr>
                <w:sz w:val="20"/>
                <w:szCs w:val="20"/>
              </w:rPr>
              <w:t>PwD</w:t>
            </w:r>
            <w:proofErr w:type="spellEnd"/>
          </w:p>
        </w:tc>
        <w:tc>
          <w:tcPr>
            <w:tcW w:w="6442" w:type="dxa"/>
          </w:tcPr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F7E21">
        <w:trPr>
          <w:trHeight w:val="1262"/>
        </w:trPr>
        <w:tc>
          <w:tcPr>
            <w:tcW w:w="5351" w:type="dxa"/>
          </w:tcPr>
          <w:p w:rsidR="003F7E21" w:rsidRDefault="006E174A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3F7E21" w:rsidRDefault="006E174A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3F7E21" w:rsidRDefault="006E174A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the title of the article is suitable. It encapsulates the whole point of</w:t>
            </w:r>
          </w:p>
        </w:tc>
        <w:tc>
          <w:tcPr>
            <w:tcW w:w="6442" w:type="dxa"/>
          </w:tcPr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F7E21">
        <w:trPr>
          <w:trHeight w:val="1262"/>
        </w:trPr>
        <w:tc>
          <w:tcPr>
            <w:tcW w:w="5351" w:type="dxa"/>
          </w:tcPr>
          <w:p w:rsidR="003F7E21" w:rsidRDefault="006E174A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3F7E21" w:rsidRDefault="006E174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strongly commend the Author for the comprehensive abstract, they were able to pinpoint key details about the National Education Policy (NEP) 2020 in a concise manner and at the same time shedding light to how it embodies a transformative vision for inclusive and equitable education, prioritising universal access to high-quality learning opportunities. In the same light, the Author categorically highlighted the challenges of the NEP 2020 most especially for Persons with Disabilities.</w:t>
            </w:r>
          </w:p>
        </w:tc>
        <w:tc>
          <w:tcPr>
            <w:tcW w:w="6442" w:type="dxa"/>
          </w:tcPr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F7E21">
        <w:trPr>
          <w:trHeight w:val="704"/>
        </w:trPr>
        <w:tc>
          <w:tcPr>
            <w:tcW w:w="5351" w:type="dxa"/>
          </w:tcPr>
          <w:p w:rsidR="003F7E21" w:rsidRDefault="006E174A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3F7E21" w:rsidRDefault="006E17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the manuscript is scientifically correct</w:t>
            </w:r>
          </w:p>
          <w:p w:rsidR="003F7E21" w:rsidRDefault="006E17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data given therein appears sufficient</w:t>
            </w:r>
          </w:p>
          <w:p w:rsidR="003F7E21" w:rsidRDefault="006E17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Also, the statistical analysis is sufficient for the data presented therein</w:t>
            </w:r>
          </w:p>
          <w:p w:rsidR="003F7E21" w:rsidRDefault="006E17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Author did a comprehensive work on the clarity of language used pertaining to </w:t>
            </w:r>
            <w:proofErr w:type="spellStart"/>
            <w:r>
              <w:rPr>
                <w:sz w:val="20"/>
                <w:szCs w:val="20"/>
              </w:rPr>
              <w:t>PwD</w:t>
            </w:r>
            <w:proofErr w:type="spellEnd"/>
            <w:r>
              <w:rPr>
                <w:sz w:val="20"/>
                <w:szCs w:val="20"/>
              </w:rPr>
              <w:t>, the structure of the manuscript too has a logical flow</w:t>
            </w:r>
          </w:p>
        </w:tc>
        <w:tc>
          <w:tcPr>
            <w:tcW w:w="6442" w:type="dxa"/>
          </w:tcPr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F7E21">
        <w:trPr>
          <w:trHeight w:val="703"/>
        </w:trPr>
        <w:tc>
          <w:tcPr>
            <w:tcW w:w="5351" w:type="dxa"/>
          </w:tcPr>
          <w:p w:rsidR="003F7E21" w:rsidRDefault="006E174A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3F7E21" w:rsidRDefault="006E174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references </w:t>
            </w:r>
            <w:proofErr w:type="gramStart"/>
            <w:r>
              <w:rPr>
                <w:sz w:val="20"/>
                <w:szCs w:val="20"/>
              </w:rPr>
              <w:t>appears</w:t>
            </w:r>
            <w:proofErr w:type="gramEnd"/>
            <w:r>
              <w:rPr>
                <w:sz w:val="20"/>
                <w:szCs w:val="20"/>
              </w:rPr>
              <w:t xml:space="preserve"> sufficient and recent</w:t>
            </w:r>
          </w:p>
        </w:tc>
        <w:tc>
          <w:tcPr>
            <w:tcW w:w="6442" w:type="dxa"/>
          </w:tcPr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3F7E21">
        <w:trPr>
          <w:trHeight w:val="386"/>
        </w:trPr>
        <w:tc>
          <w:tcPr>
            <w:tcW w:w="5351" w:type="dxa"/>
          </w:tcPr>
          <w:p w:rsidR="003F7E21" w:rsidRDefault="006E174A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3F7E21" w:rsidRDefault="003F7E21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3F7E21" w:rsidRDefault="006E174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Indeed, the quality of English language employed in the article is suitable for scholarly communication</w:t>
            </w:r>
          </w:p>
        </w:tc>
        <w:tc>
          <w:tcPr>
            <w:tcW w:w="6442" w:type="dxa"/>
          </w:tcPr>
          <w:p w:rsidR="003F7E21" w:rsidRDefault="003F7E21">
            <w:pPr>
              <w:rPr>
                <w:sz w:val="20"/>
                <w:szCs w:val="20"/>
              </w:rPr>
            </w:pPr>
          </w:p>
        </w:tc>
      </w:tr>
      <w:tr w:rsidR="003F7E21">
        <w:trPr>
          <w:trHeight w:val="1178"/>
        </w:trPr>
        <w:tc>
          <w:tcPr>
            <w:tcW w:w="5351" w:type="dxa"/>
          </w:tcPr>
          <w:p w:rsidR="003F7E21" w:rsidRDefault="006E174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3F7E21" w:rsidRDefault="003F7E2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3F7E21" w:rsidRDefault="006E174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Articles like this are very important to the educational community at large, especially for </w:t>
            </w:r>
            <w:proofErr w:type="spellStart"/>
            <w:r>
              <w:rPr>
                <w:sz w:val="20"/>
                <w:szCs w:val="20"/>
              </w:rPr>
              <w:t>PwD</w:t>
            </w:r>
            <w:proofErr w:type="spellEnd"/>
            <w:r>
              <w:rPr>
                <w:sz w:val="20"/>
                <w:szCs w:val="20"/>
              </w:rPr>
              <w:t xml:space="preserve">. It is widely known that the level of equity they deserve (in places like India as written by </w:t>
            </w:r>
            <w:proofErr w:type="spellStart"/>
            <w:proofErr w:type="gramStart"/>
            <w:r>
              <w:rPr>
                <w:sz w:val="20"/>
                <w:szCs w:val="20"/>
              </w:rPr>
              <w:t>Author,for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example) is not achieved yet. From policy to practice, there is still a huge gap and with manuscripts like this, more awareness and resources goes into making the education of </w:t>
            </w:r>
            <w:proofErr w:type="spellStart"/>
            <w:r>
              <w:rPr>
                <w:sz w:val="20"/>
                <w:szCs w:val="20"/>
              </w:rPr>
              <w:t>PwD</w:t>
            </w:r>
            <w:proofErr w:type="spellEnd"/>
            <w:r>
              <w:rPr>
                <w:sz w:val="20"/>
                <w:szCs w:val="20"/>
              </w:rPr>
              <w:t xml:space="preserve"> getting adequate resources to benefit them immensely.</w:t>
            </w:r>
          </w:p>
        </w:tc>
        <w:tc>
          <w:tcPr>
            <w:tcW w:w="6442" w:type="dxa"/>
          </w:tcPr>
          <w:p w:rsidR="003F7E21" w:rsidRDefault="003F7E21">
            <w:pPr>
              <w:rPr>
                <w:sz w:val="20"/>
                <w:szCs w:val="20"/>
              </w:rPr>
            </w:pPr>
          </w:p>
        </w:tc>
      </w:tr>
    </w:tbl>
    <w:p w:rsidR="003F7E21" w:rsidRDefault="003F7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F7E21" w:rsidRDefault="003F7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F7E21" w:rsidRDefault="003F7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F7E21" w:rsidRDefault="003F7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F7E21" w:rsidRDefault="003F7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F7E21" w:rsidRDefault="003F7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F7E21" w:rsidRDefault="003F7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3F7E21" w:rsidRDefault="003F7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DC3652" w:rsidRPr="00340561" w:rsidTr="00C03A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52" w:rsidRPr="00340561" w:rsidRDefault="00DC3652" w:rsidP="00C03A5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DC3652" w:rsidRPr="00340561" w:rsidRDefault="00DC3652" w:rsidP="00C03A5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C3652" w:rsidRPr="00340561" w:rsidTr="00C03A5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52" w:rsidRPr="00340561" w:rsidRDefault="00DC3652" w:rsidP="00C03A5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52" w:rsidRPr="00340561" w:rsidRDefault="00DC3652" w:rsidP="00C03A5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C3652" w:rsidRPr="008608EB" w:rsidRDefault="00DC3652" w:rsidP="00C03A5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3652" w:rsidRPr="00340561" w:rsidRDefault="00DC3652" w:rsidP="00C03A5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DC3652" w:rsidRPr="00340561" w:rsidTr="00C03A5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52" w:rsidRPr="00340561" w:rsidRDefault="00DC3652" w:rsidP="00C03A5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DC3652" w:rsidRPr="00340561" w:rsidRDefault="00DC3652" w:rsidP="00C03A5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652" w:rsidRPr="00340561" w:rsidRDefault="00DC3652" w:rsidP="00C03A5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DC3652" w:rsidRPr="00340561" w:rsidRDefault="00DC3652" w:rsidP="00C03A5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C3652" w:rsidRPr="00340561" w:rsidRDefault="00DC3652" w:rsidP="00C03A5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C3652" w:rsidRPr="00340561" w:rsidRDefault="00DC3652" w:rsidP="00C03A5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C3652" w:rsidRPr="00340561" w:rsidRDefault="00DC3652" w:rsidP="00C03A5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C3652" w:rsidRPr="00340561" w:rsidRDefault="00DC3652" w:rsidP="00C03A5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A8695A" w:rsidRDefault="00A8695A" w:rsidP="00A869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8695A" w:rsidRPr="005F4EDD" w:rsidRDefault="00A8695A" w:rsidP="00A869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8695A" w:rsidRDefault="00A8695A" w:rsidP="00A8695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8695A" w:rsidRDefault="00A8695A" w:rsidP="00A8695A">
      <w:proofErr w:type="spellStart"/>
      <w:r>
        <w:rPr>
          <w:rFonts w:ascii="Calibri" w:hAnsi="Calibri" w:cs="Calibri"/>
          <w:color w:val="000000"/>
        </w:rPr>
        <w:t>Ayobami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Oluwamayomikun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Odeyale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Mayhandsome</w:t>
      </w:r>
      <w:proofErr w:type="spellEnd"/>
      <w:r>
        <w:rPr>
          <w:rFonts w:ascii="Calibri" w:hAnsi="Calibri" w:cs="Calibri"/>
          <w:color w:val="000000"/>
        </w:rPr>
        <w:t xml:space="preserve"> Educational Consult, United Kingdom </w:t>
      </w:r>
      <w:r>
        <w:rPr>
          <w:rFonts w:ascii="Calibri" w:hAnsi="Calibri" w:cs="Calibri"/>
          <w:color w:val="000000"/>
        </w:rPr>
        <w:br/>
      </w:r>
    </w:p>
    <w:p w:rsidR="00DC3652" w:rsidRDefault="00DC3652" w:rsidP="00DC3652">
      <w:bookmarkStart w:id="3" w:name="_GoBack"/>
      <w:bookmarkEnd w:id="3"/>
    </w:p>
    <w:p w:rsidR="00DC3652" w:rsidRDefault="00DC3652" w:rsidP="00DC3652"/>
    <w:p w:rsidR="00DC3652" w:rsidRPr="00375011" w:rsidRDefault="00DC3652" w:rsidP="00DC3652">
      <w:pPr>
        <w:rPr>
          <w:bCs/>
          <w:u w:val="single"/>
        </w:rPr>
      </w:pPr>
    </w:p>
    <w:bookmarkEnd w:id="2"/>
    <w:p w:rsidR="00DC3652" w:rsidRDefault="00DC3652" w:rsidP="00DC3652"/>
    <w:p w:rsidR="003F7E21" w:rsidRDefault="003F7E21" w:rsidP="00DC36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3F7E21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97B" w:rsidRDefault="0066497B">
      <w:r>
        <w:separator/>
      </w:r>
    </w:p>
  </w:endnote>
  <w:endnote w:type="continuationSeparator" w:id="0">
    <w:p w:rsidR="0066497B" w:rsidRDefault="0066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21" w:rsidRDefault="006E174A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97B" w:rsidRDefault="0066497B">
      <w:r>
        <w:separator/>
      </w:r>
    </w:p>
  </w:footnote>
  <w:footnote w:type="continuationSeparator" w:id="0">
    <w:p w:rsidR="0066497B" w:rsidRDefault="0066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21" w:rsidRDefault="003F7E21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3F7E21" w:rsidRDefault="006E174A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75C5"/>
    <w:multiLevelType w:val="multilevel"/>
    <w:tmpl w:val="95C894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2011B0"/>
    <w:multiLevelType w:val="multilevel"/>
    <w:tmpl w:val="9F867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5F67EB"/>
    <w:multiLevelType w:val="multilevel"/>
    <w:tmpl w:val="F0CC8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B93533"/>
    <w:multiLevelType w:val="multilevel"/>
    <w:tmpl w:val="430A3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B07650"/>
    <w:multiLevelType w:val="multilevel"/>
    <w:tmpl w:val="519C5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F702AA"/>
    <w:multiLevelType w:val="multilevel"/>
    <w:tmpl w:val="D5443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BF42B6"/>
    <w:multiLevelType w:val="multilevel"/>
    <w:tmpl w:val="F8A8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21"/>
    <w:rsid w:val="0008217E"/>
    <w:rsid w:val="0035318A"/>
    <w:rsid w:val="003F7E21"/>
    <w:rsid w:val="00542A4D"/>
    <w:rsid w:val="0066497B"/>
    <w:rsid w:val="006E174A"/>
    <w:rsid w:val="00A3545C"/>
    <w:rsid w:val="00A8695A"/>
    <w:rsid w:val="00D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A5685-54F1-475C-B1C2-AFB2111F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2A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A4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695A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2025-10-13T06:17:00Z</dcterms:created>
  <dcterms:modified xsi:type="dcterms:W3CDTF">2025-10-18T07:37:00Z</dcterms:modified>
</cp:coreProperties>
</file>