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CCD1B" w14:textId="77777777" w:rsidR="00A102D6" w:rsidRDefault="002379B8">
      <w:pPr>
        <w:rPr>
          <w:rFonts w:ascii="Times New Roman" w:hAnsi="Times New Roman" w:cs="Times New Roman"/>
          <w:b/>
          <w:bCs/>
          <w:sz w:val="32"/>
          <w:szCs w:val="32"/>
        </w:rPr>
      </w:pPr>
      <w:proofErr w:type="spellStart"/>
      <w:r>
        <w:rPr>
          <w:rFonts w:ascii="Times New Roman" w:hAnsi="Times New Roman" w:cs="Times New Roman"/>
          <w:b/>
          <w:bCs/>
          <w:sz w:val="32"/>
          <w:szCs w:val="32"/>
        </w:rPr>
        <w:t>Blockchain</w:t>
      </w:r>
      <w:proofErr w:type="spellEnd"/>
      <w:r>
        <w:rPr>
          <w:rFonts w:ascii="Times New Roman" w:hAnsi="Times New Roman" w:cs="Times New Roman"/>
          <w:b/>
          <w:bCs/>
          <w:sz w:val="32"/>
          <w:szCs w:val="32"/>
        </w:rPr>
        <w:t xml:space="preserve"> and Tax Administration: Disruptive Innovations for Compliance and Revenue Collection</w:t>
      </w:r>
    </w:p>
    <w:p w14:paraId="23C5713C" w14:textId="77777777" w:rsidR="00A102D6" w:rsidRDefault="00A102D6">
      <w:pPr>
        <w:rPr>
          <w:rFonts w:ascii="Times New Roman" w:hAnsi="Times New Roman" w:cs="Times New Roman"/>
          <w:sz w:val="24"/>
          <w:szCs w:val="24"/>
        </w:rPr>
      </w:pPr>
    </w:p>
    <w:p w14:paraId="6895CEE8" w14:textId="77777777" w:rsidR="00A102D6" w:rsidRDefault="002379B8">
      <w:pPr>
        <w:rPr>
          <w:rFonts w:ascii="Times New Roman" w:hAnsi="Times New Roman" w:cs="Times New Roman"/>
          <w:b/>
          <w:bCs/>
          <w:sz w:val="24"/>
          <w:szCs w:val="24"/>
        </w:rPr>
      </w:pPr>
      <w:r>
        <w:rPr>
          <w:rFonts w:ascii="Times New Roman" w:hAnsi="Times New Roman" w:cs="Times New Roman"/>
          <w:b/>
          <w:bCs/>
          <w:sz w:val="24"/>
          <w:szCs w:val="24"/>
        </w:rPr>
        <w:t>ABSTRACT</w:t>
      </w:r>
      <w:r>
        <w:commentReference w:id="0"/>
      </w:r>
    </w:p>
    <w:p w14:paraId="55A02FFB"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 xml:space="preserve">Tax evasion and administrative inefficiency continue to be significant </w:t>
      </w:r>
      <w:r>
        <w:rPr>
          <w:rFonts w:ascii="Times New Roman" w:hAnsi="Times New Roman" w:cs="Times New Roman"/>
          <w:sz w:val="24"/>
          <w:szCs w:val="24"/>
        </w:rPr>
        <w:t>constraints on the stability of Nigeria's public finances. In this research, the authors explore</w:t>
      </w:r>
      <w:r>
        <w:commentReference w:id="1"/>
      </w:r>
      <w:r>
        <w:rPr>
          <w:rFonts w:ascii="Times New Roman" w:hAnsi="Times New Roman" w:cs="Times New Roman"/>
          <w:sz w:val="24"/>
          <w:szCs w:val="24"/>
        </w:rPr>
        <w:t xml:space="preserve"> how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technology </w:t>
      </w:r>
      <w:commentRangeStart w:id="2"/>
      <w:r>
        <w:rPr>
          <w:rFonts w:ascii="Times New Roman" w:hAnsi="Times New Roman" w:cs="Times New Roman"/>
          <w:sz w:val="24"/>
          <w:szCs w:val="24"/>
        </w:rPr>
        <w:t xml:space="preserve">can </w:t>
      </w:r>
      <w:commentRangeEnd w:id="2"/>
      <w:r>
        <w:commentReference w:id="2"/>
      </w:r>
      <w:r>
        <w:rPr>
          <w:rFonts w:ascii="Times New Roman" w:hAnsi="Times New Roman" w:cs="Times New Roman"/>
          <w:sz w:val="24"/>
          <w:szCs w:val="24"/>
        </w:rPr>
        <w:t>accelerate tax compliance and revenue mobilization using simulation-based modeling. With a calibrated mathematical behavior</w:t>
      </w:r>
      <w:r>
        <w:rPr>
          <w:rFonts w:ascii="Times New Roman" w:hAnsi="Times New Roman" w:cs="Times New Roman"/>
          <w:sz w:val="24"/>
          <w:szCs w:val="24"/>
        </w:rPr>
        <w:t xml:space="preserve">al framework and Nigerian fiscal data, they </w:t>
      </w:r>
      <w:commentRangeStart w:id="3"/>
      <w:r>
        <w:rPr>
          <w:rFonts w:ascii="Times New Roman" w:hAnsi="Times New Roman" w:cs="Times New Roman"/>
          <w:sz w:val="24"/>
          <w:szCs w:val="24"/>
        </w:rPr>
        <w:t xml:space="preserve">evaluate </w:t>
      </w:r>
      <w:commentRangeEnd w:id="3"/>
      <w:r>
        <w:commentReference w:id="3"/>
      </w:r>
      <w:r>
        <w:rPr>
          <w:rFonts w:ascii="Times New Roman" w:hAnsi="Times New Roman" w:cs="Times New Roman"/>
          <w:sz w:val="24"/>
          <w:szCs w:val="24"/>
        </w:rPr>
        <w:t xml:space="preserve">the impact of adopting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technology on the probability of compliance, under-reporting behavior, and detection probability. On a Monte Carlo simulation-paired-sample t-test comparison, the res</w:t>
      </w:r>
      <w:r>
        <w:rPr>
          <w:rFonts w:ascii="Times New Roman" w:hAnsi="Times New Roman" w:cs="Times New Roman"/>
          <w:sz w:val="24"/>
          <w:szCs w:val="24"/>
        </w:rPr>
        <w:t xml:space="preserve">earch </w:t>
      </w:r>
      <w:commentRangeStart w:id="4"/>
      <w:r>
        <w:rPr>
          <w:rFonts w:ascii="Times New Roman" w:hAnsi="Times New Roman" w:cs="Times New Roman"/>
          <w:sz w:val="24"/>
          <w:szCs w:val="24"/>
        </w:rPr>
        <w:t xml:space="preserve">quantifies </w:t>
      </w:r>
      <w:commentRangeEnd w:id="4"/>
      <w:r>
        <w:commentReference w:id="4"/>
      </w:r>
      <w:r>
        <w:rPr>
          <w:rFonts w:ascii="Times New Roman" w:hAnsi="Times New Roman" w:cs="Times New Roman"/>
          <w:sz w:val="24"/>
          <w:szCs w:val="24"/>
        </w:rPr>
        <w:t xml:space="preserve">fiscal impacts at </w:t>
      </w:r>
      <w:proofErr w:type="gramStart"/>
      <w:r>
        <w:rPr>
          <w:rFonts w:ascii="Times New Roman" w:hAnsi="Times New Roman" w:cs="Times New Roman"/>
          <w:sz w:val="24"/>
          <w:szCs w:val="24"/>
        </w:rPr>
        <w:t>different</w:t>
      </w:r>
      <w:proofErr w:type="gramEnd"/>
      <w:r>
        <w:rPr>
          <w:rFonts w:ascii="Times New Roman" w:hAnsi="Times New Roman" w:cs="Times New Roman"/>
          <w:sz w:val="24"/>
          <w:szCs w:val="24"/>
        </w:rPr>
        <w:t xml:space="preserve"> levels of adoption. It </w:t>
      </w:r>
      <w:commentRangeStart w:id="5"/>
      <w:r>
        <w:rPr>
          <w:rFonts w:ascii="Times New Roman" w:hAnsi="Times New Roman" w:cs="Times New Roman"/>
          <w:sz w:val="24"/>
          <w:szCs w:val="24"/>
        </w:rPr>
        <w:t xml:space="preserve">finds </w:t>
      </w:r>
      <w:commentRangeEnd w:id="5"/>
      <w:r>
        <w:commentReference w:id="5"/>
      </w:r>
      <w:r>
        <w:rPr>
          <w:rFonts w:ascii="Times New Roman" w:hAnsi="Times New Roman" w:cs="Times New Roman"/>
          <w:sz w:val="24"/>
          <w:szCs w:val="24"/>
        </w:rPr>
        <w:t xml:space="preserve">that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-enabled tax systems have the potential to cut the national tax gap by as much as 90%, enhance compliance levels from 55% to 80%, and boost effective VAT collect</w:t>
      </w:r>
      <w:r>
        <w:rPr>
          <w:rFonts w:ascii="Times New Roman" w:hAnsi="Times New Roman" w:cs="Times New Roman"/>
          <w:sz w:val="24"/>
          <w:szCs w:val="24"/>
        </w:rPr>
        <w:t>ions by up to 25% with a possible ROI of up to 16.7 at mid-range levels of adoption. Sensitivity analysis further indicates that fiscal performance is fundamentally determined by responsiveness of behavior and cost-effectiveness. However, only effective im</w:t>
      </w:r>
      <w:r>
        <w:rPr>
          <w:rFonts w:ascii="Times New Roman" w:hAnsi="Times New Roman" w:cs="Times New Roman"/>
          <w:sz w:val="24"/>
          <w:szCs w:val="24"/>
        </w:rPr>
        <w:t xml:space="preserve">plementation relies on institutional ability, legal backing, and digital preparedness. The research </w:t>
      </w:r>
      <w:commentRangeStart w:id="6"/>
      <w:r>
        <w:rPr>
          <w:rFonts w:ascii="Times New Roman" w:hAnsi="Times New Roman" w:cs="Times New Roman"/>
          <w:sz w:val="24"/>
          <w:szCs w:val="24"/>
        </w:rPr>
        <w:t xml:space="preserve">concludes </w:t>
      </w:r>
      <w:commentRangeEnd w:id="6"/>
      <w:r>
        <w:commentReference w:id="6"/>
      </w:r>
      <w:r>
        <w:rPr>
          <w:rFonts w:ascii="Times New Roman" w:hAnsi="Times New Roman" w:cs="Times New Roman"/>
          <w:sz w:val="24"/>
          <w:szCs w:val="24"/>
        </w:rPr>
        <w:t xml:space="preserve">that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is not an isolated solution but a governance enabler </w:t>
      </w:r>
      <w:proofErr w:type="gramStart"/>
      <w:r>
        <w:rPr>
          <w:rFonts w:ascii="Times New Roman" w:hAnsi="Times New Roman" w:cs="Times New Roman"/>
          <w:sz w:val="24"/>
          <w:szCs w:val="24"/>
        </w:rPr>
        <w:t>whose</w:t>
      </w:r>
      <w:proofErr w:type="gramEnd"/>
      <w:r>
        <w:rPr>
          <w:rFonts w:ascii="Times New Roman" w:hAnsi="Times New Roman" w:cs="Times New Roman"/>
          <w:sz w:val="24"/>
          <w:szCs w:val="24"/>
        </w:rPr>
        <w:t xml:space="preserve"> potential, in conjunction with taxpayer education and governance ref</w:t>
      </w:r>
      <w:r>
        <w:rPr>
          <w:rFonts w:ascii="Times New Roman" w:hAnsi="Times New Roman" w:cs="Times New Roman"/>
          <w:sz w:val="24"/>
          <w:szCs w:val="24"/>
        </w:rPr>
        <w:t>orms, can significantly reshape Nigeria's tax administration and revenue.</w:t>
      </w:r>
    </w:p>
    <w:p w14:paraId="6B2D25F5" w14:textId="77777777" w:rsidR="00A102D6" w:rsidRDefault="002379B8">
      <w:pPr>
        <w:rPr>
          <w:rFonts w:ascii="Times New Roman" w:hAnsi="Times New Roman" w:cs="Times New Roman"/>
          <w:b/>
          <w:bCs/>
          <w:sz w:val="24"/>
          <w:szCs w:val="24"/>
        </w:rPr>
      </w:pPr>
      <w:r>
        <w:rPr>
          <w:rFonts w:ascii="Times New Roman" w:hAnsi="Times New Roman" w:cs="Times New Roman"/>
          <w:b/>
          <w:bCs/>
          <w:sz w:val="24"/>
          <w:szCs w:val="24"/>
        </w:rPr>
        <w:t xml:space="preserve">Keywords: </w:t>
      </w:r>
      <w:commentRangeStart w:id="7"/>
      <w:proofErr w:type="spellStart"/>
      <w:r>
        <w:rPr>
          <w:rFonts w:ascii="Times New Roman" w:hAnsi="Times New Roman" w:cs="Times New Roman"/>
          <w:b/>
          <w:bCs/>
          <w:sz w:val="24"/>
          <w:szCs w:val="24"/>
        </w:rPr>
        <w:t>Blockchain</w:t>
      </w:r>
      <w:proofErr w:type="spellEnd"/>
      <w:r>
        <w:rPr>
          <w:rFonts w:ascii="Times New Roman" w:hAnsi="Times New Roman" w:cs="Times New Roman"/>
          <w:b/>
          <w:bCs/>
          <w:sz w:val="24"/>
          <w:szCs w:val="24"/>
        </w:rPr>
        <w:t>, Tax Compliance, Revenue Generation, E-Taxation, Digital Innovation, Tax Policy, Disruptive Technology</w:t>
      </w:r>
      <w:commentRangeEnd w:id="7"/>
      <w:r>
        <w:commentReference w:id="7"/>
      </w:r>
    </w:p>
    <w:p w14:paraId="6E799FF8" w14:textId="77777777" w:rsidR="00A102D6" w:rsidRDefault="00A102D6">
      <w:pPr>
        <w:rPr>
          <w:rFonts w:ascii="Times New Roman" w:hAnsi="Times New Roman" w:cs="Times New Roman"/>
          <w:b/>
          <w:bCs/>
          <w:sz w:val="24"/>
          <w:szCs w:val="24"/>
        </w:rPr>
      </w:pPr>
    </w:p>
    <w:p w14:paraId="4AFAD1F2" w14:textId="77777777" w:rsidR="00A102D6" w:rsidRDefault="002379B8">
      <w:pPr>
        <w:rPr>
          <w:rFonts w:ascii="Times New Roman" w:hAnsi="Times New Roman" w:cs="Times New Roman"/>
          <w:b/>
          <w:bCs/>
          <w:sz w:val="24"/>
          <w:szCs w:val="24"/>
        </w:rPr>
      </w:pPr>
      <w:r>
        <w:rPr>
          <w:rFonts w:ascii="Times New Roman" w:hAnsi="Times New Roman" w:cs="Times New Roman"/>
          <w:b/>
          <w:bCs/>
          <w:sz w:val="24"/>
          <w:szCs w:val="24"/>
        </w:rPr>
        <w:t>Introduction</w:t>
      </w:r>
    </w:p>
    <w:p w14:paraId="13551DA3"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 xml:space="preserve">Tax systems are the foundation of public </w:t>
      </w:r>
      <w:r>
        <w:rPr>
          <w:rFonts w:ascii="Times New Roman" w:hAnsi="Times New Roman" w:cs="Times New Roman"/>
          <w:sz w:val="24"/>
          <w:szCs w:val="24"/>
        </w:rPr>
        <w:t>finance but are continually eroded by evasion, non-compliance, and administrative wastage. Traditional taxation mechanisms are typically characterized by weak enforcement, invoice tampering, and fragmented databases, individually widening the tax gap and u</w:t>
      </w:r>
      <w:r>
        <w:rPr>
          <w:rFonts w:ascii="Times New Roman" w:hAnsi="Times New Roman" w:cs="Times New Roman"/>
          <w:sz w:val="24"/>
          <w:szCs w:val="24"/>
        </w:rPr>
        <w:t>ndermining fiscal authorities’ trust (</w:t>
      </w:r>
      <w:proofErr w:type="spellStart"/>
      <w:r>
        <w:rPr>
          <w:rFonts w:ascii="Times New Roman" w:hAnsi="Times New Roman" w:cs="Times New Roman"/>
          <w:sz w:val="24"/>
          <w:szCs w:val="24"/>
        </w:rPr>
        <w:t>Saptono</w:t>
      </w:r>
      <w:proofErr w:type="spellEnd"/>
      <w:r>
        <w:rPr>
          <w:rFonts w:ascii="Times New Roman" w:hAnsi="Times New Roman" w:cs="Times New Roman"/>
          <w:sz w:val="24"/>
          <w:szCs w:val="24"/>
        </w:rPr>
        <w:t xml:space="preserve"> et al., 2024). These are most acute in poor economies with thin administrative capacity, low tax-to-GDP ratios, and large-scale economic activity that is informal (Moore, 2020). To fill these systemic gaps</w:t>
      </w:r>
      <w:commentRangeStart w:id="8"/>
      <w:r>
        <w:rPr>
          <w:rFonts w:ascii="Times New Roman" w:hAnsi="Times New Roman" w:cs="Times New Roman"/>
          <w:sz w:val="24"/>
          <w:szCs w:val="24"/>
        </w:rPr>
        <w:t xml:space="preserve"> (</w:t>
      </w:r>
      <w:proofErr w:type="spellStart"/>
      <w:r>
        <w:rPr>
          <w:rFonts w:ascii="Times New Roman" w:hAnsi="Times New Roman" w:cs="Times New Roman"/>
          <w:sz w:val="24"/>
          <w:szCs w:val="24"/>
        </w:rPr>
        <w:t>Gwa</w:t>
      </w:r>
      <w:r>
        <w:rPr>
          <w:rFonts w:ascii="Times New Roman" w:hAnsi="Times New Roman" w:cs="Times New Roman"/>
          <w:sz w:val="24"/>
          <w:szCs w:val="24"/>
        </w:rPr>
        <w:t>indepi</w:t>
      </w:r>
      <w:proofErr w:type="spellEnd"/>
      <w:r>
        <w:rPr>
          <w:rFonts w:ascii="Times New Roman" w:hAnsi="Times New Roman" w:cs="Times New Roman"/>
          <w:sz w:val="24"/>
          <w:szCs w:val="24"/>
        </w:rPr>
        <w:t>, 2024)</w:t>
      </w:r>
      <w:commentRangeEnd w:id="8"/>
      <w:r>
        <w:commentReference w:id="8"/>
      </w:r>
      <w:r>
        <w:rPr>
          <w:rFonts w:ascii="Times New Roman" w:hAnsi="Times New Roman" w:cs="Times New Roman"/>
          <w:sz w:val="24"/>
          <w:szCs w:val="24"/>
        </w:rPr>
        <w:t>, governments increasingly are looking to digital technologies to enhance transparency, accountability, and the efficiency of tax administration.</w:t>
      </w:r>
    </w:p>
    <w:p w14:paraId="24D9B7DC"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lastRenderedPageBreak/>
        <w:t xml:space="preserve">It highlights the major enforcement and compliance practices along with how the invisible and </w:t>
      </w:r>
      <w:r>
        <w:rPr>
          <w:rFonts w:ascii="Times New Roman" w:hAnsi="Times New Roman" w:cs="Times New Roman"/>
          <w:sz w:val="24"/>
          <w:szCs w:val="24"/>
        </w:rPr>
        <w:t>underlying interactions of actors in the field shape these practices (</w:t>
      </w:r>
      <w:proofErr w:type="spellStart"/>
      <w:r>
        <w:rPr>
          <w:rFonts w:ascii="Times New Roman" w:hAnsi="Times New Roman" w:cs="Times New Roman"/>
          <w:sz w:val="24"/>
          <w:szCs w:val="24"/>
        </w:rPr>
        <w:t>Ayodeji</w:t>
      </w:r>
      <w:proofErr w:type="spellEnd"/>
      <w:r>
        <w:rPr>
          <w:rFonts w:ascii="Times New Roman" w:hAnsi="Times New Roman" w:cs="Times New Roman"/>
          <w:sz w:val="24"/>
          <w:szCs w:val="24"/>
        </w:rPr>
        <w:t>, 2024).  It also explores those issues and circumstances along with the existing patterns of interests which have contributed to the continued practice of the central administrat</w:t>
      </w:r>
      <w:r>
        <w:rPr>
          <w:rFonts w:ascii="Times New Roman" w:hAnsi="Times New Roman" w:cs="Times New Roman"/>
          <w:sz w:val="24"/>
          <w:szCs w:val="24"/>
        </w:rPr>
        <w:t>ion of the property tax (</w:t>
      </w:r>
      <w:proofErr w:type="spellStart"/>
      <w:r>
        <w:rPr>
          <w:rFonts w:ascii="Times New Roman" w:hAnsi="Times New Roman" w:cs="Times New Roman"/>
          <w:sz w:val="24"/>
          <w:szCs w:val="24"/>
        </w:rPr>
        <w:t>Ohemeng</w:t>
      </w:r>
      <w:proofErr w:type="spellEnd"/>
      <w:r>
        <w:rPr>
          <w:rFonts w:ascii="Times New Roman" w:hAnsi="Times New Roman" w:cs="Times New Roman"/>
          <w:sz w:val="24"/>
          <w:szCs w:val="24"/>
        </w:rPr>
        <w:t xml:space="preserve"> 2022). The study also </w:t>
      </w:r>
      <w:proofErr w:type="spellStart"/>
      <w:r>
        <w:rPr>
          <w:rFonts w:ascii="Times New Roman" w:hAnsi="Times New Roman" w:cs="Times New Roman"/>
          <w:sz w:val="24"/>
          <w:szCs w:val="24"/>
        </w:rPr>
        <w:t>emphasises</w:t>
      </w:r>
      <w:proofErr w:type="spellEnd"/>
      <w:r>
        <w:rPr>
          <w:rFonts w:ascii="Times New Roman" w:hAnsi="Times New Roman" w:cs="Times New Roman"/>
          <w:sz w:val="24"/>
          <w:szCs w:val="24"/>
        </w:rPr>
        <w:t xml:space="preserve"> struggles in the property tax field between the various players:  the tax authority, the politicians, the developers, the local authorities, the central government and the taxpayers and how </w:t>
      </w:r>
      <w:r>
        <w:rPr>
          <w:rFonts w:ascii="Times New Roman" w:hAnsi="Times New Roman" w:cs="Times New Roman"/>
          <w:sz w:val="24"/>
          <w:szCs w:val="24"/>
        </w:rPr>
        <w:t>each one uses its capital to maintain or dominate its position within the property tax field (</w:t>
      </w:r>
      <w:proofErr w:type="spellStart"/>
      <w:r>
        <w:rPr>
          <w:rFonts w:ascii="Times New Roman" w:hAnsi="Times New Roman" w:cs="Times New Roman"/>
          <w:sz w:val="24"/>
          <w:szCs w:val="24"/>
        </w:rPr>
        <w:t>Wołowiec</w:t>
      </w:r>
      <w:proofErr w:type="spellEnd"/>
      <w:r>
        <w:rPr>
          <w:rFonts w:ascii="Times New Roman" w:hAnsi="Times New Roman" w:cs="Times New Roman"/>
          <w:sz w:val="24"/>
          <w:szCs w:val="24"/>
        </w:rPr>
        <w:t>, 2018).</w:t>
      </w:r>
    </w:p>
    <w:p w14:paraId="4F6F2C77"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 xml:space="preserve">Among the most transformative of those technologies that have been used is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technology.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as a native technology, ensures imm</w:t>
      </w:r>
      <w:r>
        <w:rPr>
          <w:rFonts w:ascii="Times New Roman" w:hAnsi="Times New Roman" w:cs="Times New Roman"/>
          <w:sz w:val="24"/>
          <w:szCs w:val="24"/>
        </w:rPr>
        <w:t xml:space="preserve">utability, decentralization, and traceability of transactions, greatly minimizing the possibility of fraud and maximizing compliance monitoring (Dai &amp; </w:t>
      </w:r>
      <w:proofErr w:type="spellStart"/>
      <w:r>
        <w:rPr>
          <w:rFonts w:ascii="Times New Roman" w:hAnsi="Times New Roman" w:cs="Times New Roman"/>
          <w:sz w:val="24"/>
          <w:szCs w:val="24"/>
        </w:rPr>
        <w:t>Vasarely</w:t>
      </w:r>
      <w:proofErr w:type="spellEnd"/>
      <w:r>
        <w:rPr>
          <w:rFonts w:ascii="Times New Roman" w:hAnsi="Times New Roman" w:cs="Times New Roman"/>
          <w:sz w:val="24"/>
          <w:szCs w:val="24"/>
        </w:rPr>
        <w:t xml:space="preserve">, 2017; Beck et al., 2018).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founded on distributed ledgers and smart contracts, allow</w:t>
      </w:r>
      <w:r>
        <w:rPr>
          <w:rFonts w:ascii="Times New Roman" w:hAnsi="Times New Roman" w:cs="Times New Roman"/>
          <w:sz w:val="24"/>
          <w:szCs w:val="24"/>
        </w:rPr>
        <w:t>s for instant verification of tax liability, automatic remittance of value-added tax, and secure storage of financial information (Schmitz &amp; Leoni, 2019). Early experiences in Estonia and China offer quantifiable increases in VAT collection and invoice ver</w:t>
      </w:r>
      <w:r>
        <w:rPr>
          <w:rFonts w:ascii="Times New Roman" w:hAnsi="Times New Roman" w:cs="Times New Roman"/>
          <w:sz w:val="24"/>
          <w:szCs w:val="24"/>
        </w:rPr>
        <w:t xml:space="preserve">ification, providing empirical basis for the transformative possibilities of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with respect to taxation </w:t>
      </w:r>
      <w:r>
        <w:rPr>
          <w:rFonts w:ascii="Times New Roman" w:eastAsiaTheme="minorHAnsi" w:hAnsi="Times New Roman" w:cs="Times New Roman"/>
          <w:kern w:val="2"/>
          <w:sz w:val="24"/>
          <w:szCs w:val="24"/>
          <w14:ligatures w14:val="standardContextual"/>
        </w:rPr>
        <w:t>(</w:t>
      </w:r>
      <w:proofErr w:type="spellStart"/>
      <w:r>
        <w:rPr>
          <w:rFonts w:ascii="Times New Roman" w:eastAsiaTheme="minorHAnsi" w:hAnsi="Times New Roman" w:cs="Times New Roman"/>
          <w:kern w:val="2"/>
          <w:sz w:val="24"/>
          <w:szCs w:val="24"/>
          <w14:ligatures w14:val="standardContextual"/>
        </w:rPr>
        <w:t>Schletz</w:t>
      </w:r>
      <w:proofErr w:type="spellEnd"/>
      <w:r>
        <w:rPr>
          <w:rFonts w:ascii="Times New Roman" w:eastAsiaTheme="minorHAnsi" w:hAnsi="Times New Roman" w:cs="Times New Roman"/>
          <w:kern w:val="2"/>
          <w:sz w:val="24"/>
          <w:szCs w:val="24"/>
          <w14:ligatures w14:val="standardContextual"/>
        </w:rPr>
        <w:t>, 2021)</w:t>
      </w:r>
      <w:r>
        <w:rPr>
          <w:rFonts w:ascii="Times New Roman" w:hAnsi="Times New Roman" w:cs="Times New Roman"/>
          <w:sz w:val="24"/>
          <w:szCs w:val="24"/>
        </w:rPr>
        <w:t>, 2016; Xu et al., 2019).</w:t>
      </w:r>
    </w:p>
    <w:p w14:paraId="7709BE40" w14:textId="77777777" w:rsidR="00A102D6" w:rsidRDefault="002379B8">
      <w:pPr>
        <w:rPr>
          <w:rFonts w:ascii="Times New Roman" w:hAnsi="Times New Roman" w:cs="Times New Roman"/>
          <w:sz w:val="24"/>
          <w:szCs w:val="24"/>
        </w:rPr>
      </w:pP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use in tax systems has its drawbacks. Scalability, compatibility with already existing </w:t>
      </w:r>
      <w:r>
        <w:rPr>
          <w:rFonts w:ascii="Times New Roman" w:hAnsi="Times New Roman" w:cs="Times New Roman"/>
          <w:sz w:val="24"/>
          <w:szCs w:val="24"/>
        </w:rPr>
        <w:t>e-taxing platforms, regulatory clarity, and infrastructural constraints are real challenges (</w:t>
      </w:r>
      <w:proofErr w:type="spellStart"/>
      <w:r>
        <w:rPr>
          <w:rFonts w:ascii="Times New Roman" w:hAnsi="Times New Roman" w:cs="Times New Roman"/>
          <w:sz w:val="24"/>
          <w:szCs w:val="24"/>
        </w:rPr>
        <w:t>Yermack</w:t>
      </w:r>
      <w:proofErr w:type="spellEnd"/>
      <w:r>
        <w:rPr>
          <w:rFonts w:ascii="Times New Roman" w:hAnsi="Times New Roman" w:cs="Times New Roman"/>
          <w:sz w:val="24"/>
          <w:szCs w:val="24"/>
        </w:rPr>
        <w:t>, 2017). Moreover, for countries such as Nigeria’s, where digital readiness is still not uniform and where institutional planning is still ongoing, incorpor</w:t>
      </w:r>
      <w:r>
        <w:rPr>
          <w:rFonts w:ascii="Times New Roman" w:hAnsi="Times New Roman" w:cs="Times New Roman"/>
          <w:sz w:val="24"/>
          <w:szCs w:val="24"/>
        </w:rPr>
        <w:t xml:space="preserve">ating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in taxation administration must be weighed with caution. The Nigerian Federal Inland Revenue Service has undertaken digital reforms, yet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is not yet well tested, presenting risks and opportunities for improving compliance as well</w:t>
      </w:r>
      <w:r>
        <w:rPr>
          <w:rFonts w:ascii="Times New Roman" w:hAnsi="Times New Roman" w:cs="Times New Roman"/>
          <w:sz w:val="24"/>
          <w:szCs w:val="24"/>
        </w:rPr>
        <w:t xml:space="preserve"> as revenue collection (OECD, 2022).</w:t>
      </w:r>
    </w:p>
    <w:p w14:paraId="4BD4821A"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 xml:space="preserve">This research explores the disruptive innovation role of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in taxation, its capacity for promoting compliance and revenue mobilization. Based on global case evidence alongside Nigeria’s institutional </w:t>
      </w:r>
      <w:r>
        <w:rPr>
          <w:rFonts w:ascii="Times New Roman" w:hAnsi="Times New Roman" w:cs="Times New Roman"/>
          <w:sz w:val="24"/>
          <w:szCs w:val="24"/>
        </w:rPr>
        <w:t xml:space="preserve">environment, the paper adds to digital fiscal governance studies and offers pragmatic knowledge about utilizing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for tax systems in developing economies.</w:t>
      </w:r>
    </w:p>
    <w:p w14:paraId="32900C2B" w14:textId="77777777" w:rsidR="00A102D6" w:rsidRDefault="002379B8">
      <w:pPr>
        <w:rPr>
          <w:rFonts w:ascii="Times New Roman" w:hAnsi="Times New Roman" w:cs="Times New Roman"/>
          <w:b/>
          <w:bCs/>
          <w:sz w:val="24"/>
          <w:szCs w:val="24"/>
        </w:rPr>
      </w:pPr>
      <w:r>
        <w:rPr>
          <w:rFonts w:ascii="Times New Roman" w:hAnsi="Times New Roman" w:cs="Times New Roman"/>
          <w:b/>
          <w:bCs/>
          <w:sz w:val="24"/>
          <w:szCs w:val="24"/>
        </w:rPr>
        <w:t>Review of related literature</w:t>
      </w:r>
      <w:r>
        <w:commentReference w:id="9"/>
      </w:r>
      <w:r>
        <w:rPr>
          <w:rFonts w:ascii="Times New Roman" w:hAnsi="Times New Roman" w:cs="Times New Roman"/>
          <w:b/>
          <w:bCs/>
          <w:sz w:val="24"/>
          <w:szCs w:val="24"/>
        </w:rPr>
        <w:t xml:space="preserve"> </w:t>
      </w:r>
    </w:p>
    <w:p w14:paraId="4BB168A3" w14:textId="77777777" w:rsidR="00A102D6" w:rsidRDefault="002379B8">
      <w:pPr>
        <w:rPr>
          <w:rFonts w:ascii="Times New Roman" w:hAnsi="Times New Roman" w:cs="Times New Roman"/>
          <w:b/>
          <w:bCs/>
          <w:sz w:val="24"/>
          <w:szCs w:val="24"/>
        </w:rPr>
      </w:pPr>
      <w:proofErr w:type="gramStart"/>
      <w:r>
        <w:rPr>
          <w:rFonts w:ascii="Times New Roman" w:hAnsi="Times New Roman" w:cs="Times New Roman"/>
          <w:b/>
          <w:bCs/>
          <w:sz w:val="24"/>
          <w:szCs w:val="24"/>
        </w:rPr>
        <w:t>1.Theoretical</w:t>
      </w:r>
      <w:proofErr w:type="gramEnd"/>
      <w:r>
        <w:rPr>
          <w:rFonts w:ascii="Times New Roman" w:hAnsi="Times New Roman" w:cs="Times New Roman"/>
          <w:b/>
          <w:bCs/>
          <w:sz w:val="24"/>
          <w:szCs w:val="24"/>
        </w:rPr>
        <w:t xml:space="preserve"> bases: tax compliance and online enforcement</w:t>
      </w:r>
      <w:r>
        <w:commentReference w:id="10"/>
      </w:r>
    </w:p>
    <w:p w14:paraId="011F3349"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 xml:space="preserve">Theory in tax compliance invokes economic deterrence, institutional ability, and </w:t>
      </w:r>
      <w:proofErr w:type="spellStart"/>
      <w:r>
        <w:rPr>
          <w:rFonts w:ascii="Times New Roman" w:hAnsi="Times New Roman" w:cs="Times New Roman"/>
          <w:sz w:val="24"/>
          <w:szCs w:val="24"/>
        </w:rPr>
        <w:t>behavioural</w:t>
      </w:r>
      <w:proofErr w:type="spellEnd"/>
      <w:r>
        <w:rPr>
          <w:rFonts w:ascii="Times New Roman" w:hAnsi="Times New Roman" w:cs="Times New Roman"/>
          <w:sz w:val="24"/>
          <w:szCs w:val="24"/>
        </w:rPr>
        <w:t xml:space="preserve"> factors such as tax morale. </w:t>
      </w:r>
      <w:proofErr w:type="spellStart"/>
      <w:r>
        <w:rPr>
          <w:rFonts w:ascii="Times New Roman" w:hAnsi="Times New Roman" w:cs="Times New Roman"/>
          <w:sz w:val="24"/>
          <w:szCs w:val="24"/>
        </w:rPr>
        <w:t>Slemrod</w:t>
      </w:r>
      <w:proofErr w:type="spellEnd"/>
      <w:r>
        <w:rPr>
          <w:rFonts w:ascii="Times New Roman" w:hAnsi="Times New Roman" w:cs="Times New Roman"/>
          <w:sz w:val="24"/>
          <w:szCs w:val="24"/>
        </w:rPr>
        <w:t xml:space="preserve"> (2019) synthesizes evidence to show that the presence of information, probability of audit, and administrative structure are</w:t>
      </w:r>
      <w:r>
        <w:rPr>
          <w:rFonts w:ascii="Times New Roman" w:hAnsi="Times New Roman" w:cs="Times New Roman"/>
          <w:sz w:val="24"/>
          <w:szCs w:val="24"/>
        </w:rPr>
        <w:t xml:space="preserve"> </w:t>
      </w:r>
      <w:r>
        <w:rPr>
          <w:rFonts w:ascii="Times New Roman" w:hAnsi="Times New Roman" w:cs="Times New Roman"/>
          <w:sz w:val="24"/>
          <w:szCs w:val="24"/>
        </w:rPr>
        <w:lastRenderedPageBreak/>
        <w:t>essential to minimizing evasion. Digitalization reconditions these by enabling monitoring of transactions online in real time, shifting the evasion benefits v. detection danger balance (</w:t>
      </w:r>
      <w:proofErr w:type="spellStart"/>
      <w:r>
        <w:rPr>
          <w:rFonts w:ascii="Times New Roman" w:hAnsi="Times New Roman" w:cs="Times New Roman"/>
          <w:sz w:val="24"/>
          <w:szCs w:val="24"/>
        </w:rPr>
        <w:t>Alm</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Torgler</w:t>
      </w:r>
      <w:proofErr w:type="spellEnd"/>
      <w:r>
        <w:rPr>
          <w:rFonts w:ascii="Times New Roman" w:hAnsi="Times New Roman" w:cs="Times New Roman"/>
          <w:sz w:val="24"/>
          <w:szCs w:val="24"/>
        </w:rPr>
        <w:t xml:space="preserve">, 2011; Mascagni, </w:t>
      </w:r>
      <w:commentRangeStart w:id="11"/>
      <w:r>
        <w:rPr>
          <w:rFonts w:ascii="Times New Roman" w:hAnsi="Times New Roman" w:cs="Times New Roman"/>
          <w:sz w:val="24"/>
          <w:szCs w:val="24"/>
        </w:rPr>
        <w:t>2018</w:t>
      </w:r>
      <w:commentRangeEnd w:id="11"/>
      <w:r w:rsidR="002070D0">
        <w:rPr>
          <w:rStyle w:val="CommentReference"/>
        </w:rPr>
        <w:commentReference w:id="11"/>
      </w:r>
      <w:r>
        <w:rPr>
          <w:rFonts w:ascii="Times New Roman" w:hAnsi="Times New Roman" w:cs="Times New Roman"/>
          <w:sz w:val="24"/>
          <w:szCs w:val="24"/>
        </w:rPr>
        <w:t>).</w:t>
      </w:r>
    </w:p>
    <w:p w14:paraId="24FF3616" w14:textId="77777777" w:rsidR="00A102D6" w:rsidRDefault="002379B8">
      <w:pPr>
        <w:rPr>
          <w:rFonts w:ascii="Times New Roman" w:hAnsi="Times New Roman" w:cs="Times New Roman"/>
          <w:b/>
          <w:bCs/>
          <w:sz w:val="24"/>
          <w:szCs w:val="24"/>
        </w:rPr>
      </w:pPr>
      <w:r>
        <w:rPr>
          <w:rFonts w:ascii="Times New Roman" w:hAnsi="Times New Roman" w:cs="Times New Roman"/>
          <w:b/>
          <w:bCs/>
          <w:sz w:val="24"/>
          <w:szCs w:val="24"/>
        </w:rPr>
        <w:t xml:space="preserve">2. </w:t>
      </w:r>
      <w:proofErr w:type="spellStart"/>
      <w:r>
        <w:rPr>
          <w:rFonts w:ascii="Times New Roman" w:hAnsi="Times New Roman" w:cs="Times New Roman"/>
          <w:b/>
          <w:bCs/>
          <w:sz w:val="24"/>
          <w:szCs w:val="24"/>
        </w:rPr>
        <w:t>Blockchain</w:t>
      </w:r>
      <w:proofErr w:type="spellEnd"/>
      <w:r>
        <w:rPr>
          <w:rFonts w:ascii="Times New Roman" w:hAnsi="Times New Roman" w:cs="Times New Roman"/>
          <w:b/>
          <w:bCs/>
          <w:sz w:val="24"/>
          <w:szCs w:val="24"/>
        </w:rPr>
        <w:t>: features relevan</w:t>
      </w:r>
      <w:r>
        <w:rPr>
          <w:rFonts w:ascii="Times New Roman" w:hAnsi="Times New Roman" w:cs="Times New Roman"/>
          <w:b/>
          <w:bCs/>
          <w:sz w:val="24"/>
          <w:szCs w:val="24"/>
        </w:rPr>
        <w:t>t to taxation and public finance</w:t>
      </w:r>
    </w:p>
    <w:p w14:paraId="6DCAB72B" w14:textId="77777777" w:rsidR="00A102D6" w:rsidRDefault="002379B8">
      <w:pPr>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sz w:val="24"/>
          <w:szCs w:val="24"/>
        </w:rPr>
        <w:t>According to (</w:t>
      </w:r>
      <w:commentRangeStart w:id="12"/>
      <w:r>
        <w:rPr>
          <w:rFonts w:ascii="Times New Roman" w:hAnsi="Times New Roman" w:cs="Times New Roman"/>
          <w:sz w:val="24"/>
          <w:szCs w:val="24"/>
        </w:rPr>
        <w:t>Khan</w:t>
      </w:r>
      <w:commentRangeEnd w:id="12"/>
      <w:r w:rsidR="003A4D91">
        <w:rPr>
          <w:rStyle w:val="CommentReference"/>
        </w:rPr>
        <w:commentReference w:id="12"/>
      </w:r>
      <w:r>
        <w:rPr>
          <w:rFonts w:ascii="Times New Roman" w:hAnsi="Times New Roman" w:cs="Times New Roman"/>
          <w:sz w:val="24"/>
          <w:szCs w:val="24"/>
        </w:rPr>
        <w:t xml:space="preserve"> 2019) </w:t>
      </w:r>
      <w:proofErr w:type="gramStart"/>
      <w:r>
        <w:rPr>
          <w:rFonts w:ascii="Times New Roman" w:hAnsi="Times New Roman" w:cs="Times New Roman"/>
          <w:sz w:val="24"/>
          <w:szCs w:val="24"/>
        </w:rPr>
        <w:t>Financial</w:t>
      </w:r>
      <w:proofErr w:type="gramEnd"/>
      <w:r>
        <w:rPr>
          <w:rFonts w:ascii="Times New Roman" w:hAnsi="Times New Roman" w:cs="Times New Roman"/>
          <w:sz w:val="24"/>
          <w:szCs w:val="24"/>
        </w:rPr>
        <w:t xml:space="preserve"> systems throughout the world have some things in common: activities termed as transactions, entities involved in such transactions and the recording of transactions in a database or ledge</w:t>
      </w:r>
      <w:r>
        <w:rPr>
          <w:rFonts w:ascii="Times New Roman" w:hAnsi="Times New Roman" w:cs="Times New Roman"/>
          <w:sz w:val="24"/>
          <w:szCs w:val="24"/>
        </w:rPr>
        <w:t xml:space="preserve">r. (Khan 2019). Here the role of a central authority becomes signiﬁcant to facilitate such transactions and manage the record of those transactions in reliable manner.” However, (Al </w:t>
      </w:r>
      <w:proofErr w:type="spellStart"/>
      <w:r>
        <w:rPr>
          <w:rFonts w:ascii="Times New Roman" w:hAnsi="Times New Roman" w:cs="Times New Roman"/>
          <w:sz w:val="24"/>
          <w:szCs w:val="24"/>
        </w:rPr>
        <w:t>Tilooby</w:t>
      </w:r>
      <w:proofErr w:type="spellEnd"/>
      <w:r>
        <w:rPr>
          <w:rFonts w:ascii="Times New Roman" w:hAnsi="Times New Roman" w:cs="Times New Roman"/>
          <w:sz w:val="24"/>
          <w:szCs w:val="24"/>
        </w:rPr>
        <w:t xml:space="preserve">, 2018) the emergence of the (Xu &amp; Zhang, 2022)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as the a</w:t>
      </w:r>
      <w:r>
        <w:rPr>
          <w:rFonts w:ascii="Times New Roman" w:hAnsi="Times New Roman" w:cs="Times New Roman"/>
          <w:sz w:val="24"/>
          <w:szCs w:val="24"/>
        </w:rPr>
        <w:t>utomated mechanism of handling and recording transactions have redeﬁned the ordinary ﬁnancial accounting mechanism in such a way that no any central authority is required anymore. This is being seen as a good solution having no any risks associated with ex</w:t>
      </w:r>
      <w:r>
        <w:rPr>
          <w:rFonts w:ascii="Times New Roman" w:hAnsi="Times New Roman" w:cs="Times New Roman"/>
          <w:sz w:val="24"/>
          <w:szCs w:val="24"/>
        </w:rPr>
        <w:t>istence of a central authority. In addition, (</w:t>
      </w:r>
      <w:commentRangeStart w:id="13"/>
      <w:r>
        <w:rPr>
          <w:rFonts w:ascii="Times New Roman" w:hAnsi="Times New Roman" w:cs="Times New Roman"/>
          <w:sz w:val="24"/>
          <w:szCs w:val="24"/>
        </w:rPr>
        <w:t>Khan</w:t>
      </w:r>
      <w:commentRangeEnd w:id="13"/>
      <w:r w:rsidR="003A4D91">
        <w:rPr>
          <w:rStyle w:val="CommentReference"/>
        </w:rPr>
        <w:commentReference w:id="13"/>
      </w:r>
      <w:r>
        <w:rPr>
          <w:rFonts w:ascii="Times New Roman" w:hAnsi="Times New Roman" w:cs="Times New Roman"/>
          <w:sz w:val="24"/>
          <w:szCs w:val="24"/>
        </w:rPr>
        <w:t xml:space="preserve">, et al 2019)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is admired to be a good solution having fast pace, secure method of transactions and cryptographic redundancy of the database.</w:t>
      </w:r>
    </w:p>
    <w:p w14:paraId="14E1D569" w14:textId="77777777" w:rsidR="00A102D6" w:rsidRDefault="002379B8">
      <w:pPr>
        <w:rPr>
          <w:rFonts w:ascii="Times New Roman" w:hAnsi="Times New Roman" w:cs="Times New Roman"/>
          <w:sz w:val="24"/>
          <w:szCs w:val="24"/>
        </w:rPr>
      </w:pP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is deﬁned as peer-to-peer (distributed) dig</w:t>
      </w:r>
      <w:r>
        <w:rPr>
          <w:rFonts w:ascii="Times New Roman" w:hAnsi="Times New Roman" w:cs="Times New Roman"/>
          <w:sz w:val="24"/>
          <w:szCs w:val="24"/>
        </w:rPr>
        <w:t>ital ledger of transactions based upon the principles of cryptography (Public Key Infrastructure and hashing functions) (</w:t>
      </w:r>
      <w:proofErr w:type="spellStart"/>
      <w:r>
        <w:rPr>
          <w:rFonts w:ascii="Times New Roman" w:hAnsi="Times New Roman" w:cs="Times New Roman"/>
          <w:sz w:val="24"/>
          <w:szCs w:val="24"/>
        </w:rPr>
        <w:t>Wijesekara</w:t>
      </w:r>
      <w:proofErr w:type="spellEnd"/>
      <w:r>
        <w:rPr>
          <w:rFonts w:ascii="Times New Roman" w:hAnsi="Times New Roman" w:cs="Times New Roman"/>
          <w:sz w:val="24"/>
          <w:szCs w:val="24"/>
        </w:rPr>
        <w:t xml:space="preserve"> et al 2023). It facilitates the recording of real-time transactions (called as blocks), incurred among authorized participan</w:t>
      </w:r>
      <w:r>
        <w:rPr>
          <w:rFonts w:ascii="Times New Roman" w:hAnsi="Times New Roman" w:cs="Times New Roman"/>
          <w:sz w:val="24"/>
          <w:szCs w:val="24"/>
        </w:rPr>
        <w:t xml:space="preserve">ts over a certain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network without involving any centralized 3rd party (Habib et al., 2022). </w:t>
      </w:r>
    </w:p>
    <w:p w14:paraId="36C4E4DA" w14:textId="77777777" w:rsidR="00A102D6" w:rsidRDefault="002379B8">
      <w:pPr>
        <w:rPr>
          <w:rFonts w:ascii="Times New Roman" w:hAnsi="Times New Roman" w:cs="Times New Roman"/>
          <w:sz w:val="24"/>
          <w:szCs w:val="24"/>
        </w:rPr>
      </w:pPr>
      <w:proofErr w:type="spellStart"/>
      <w:r>
        <w:rPr>
          <w:rFonts w:ascii="Times New Roman" w:hAnsi="Times New Roman" w:cs="Times New Roman"/>
          <w:sz w:val="24"/>
          <w:szCs w:val="24"/>
        </w:rPr>
        <w:t>Blockchain's</w:t>
      </w:r>
      <w:proofErr w:type="spellEnd"/>
      <w:r>
        <w:rPr>
          <w:rFonts w:ascii="Times New Roman" w:hAnsi="Times New Roman" w:cs="Times New Roman"/>
          <w:sz w:val="24"/>
          <w:szCs w:val="24"/>
        </w:rPr>
        <w:t xml:space="preserve"> intrinsic qualities of immutability, cryptographic integrity, and smart contracts minimize age-old tax administration challenges such as in</w:t>
      </w:r>
      <w:r>
        <w:rPr>
          <w:rFonts w:ascii="Times New Roman" w:hAnsi="Times New Roman" w:cs="Times New Roman"/>
          <w:sz w:val="24"/>
          <w:szCs w:val="24"/>
        </w:rPr>
        <w:t>voice forgery and data tampering. Systematic accounting and auditing reviews highlight that distributed ledgers give tamper-proof audit trails, improve transparency, and minimize reconciliation expenses (Georgiou et al., 2024). It is mostly a theory for no</w:t>
      </w:r>
      <w:r>
        <w:rPr>
          <w:rFonts w:ascii="Times New Roman" w:hAnsi="Times New Roman" w:cs="Times New Roman"/>
          <w:sz w:val="24"/>
          <w:szCs w:val="24"/>
        </w:rPr>
        <w:t>w, but empirical evidence is needed.</w:t>
      </w:r>
    </w:p>
    <w:p w14:paraId="3A8C5284" w14:textId="77777777" w:rsidR="00A102D6" w:rsidRDefault="002379B8">
      <w:pPr>
        <w:rPr>
          <w:rFonts w:ascii="Times New Roman" w:hAnsi="Times New Roman" w:cs="Times New Roman"/>
          <w:b/>
          <w:bCs/>
          <w:sz w:val="24"/>
          <w:szCs w:val="24"/>
        </w:rPr>
      </w:pPr>
      <w:r>
        <w:rPr>
          <w:rFonts w:ascii="Times New Roman" w:hAnsi="Times New Roman" w:cs="Times New Roman"/>
          <w:b/>
          <w:bCs/>
          <w:sz w:val="24"/>
          <w:szCs w:val="24"/>
        </w:rPr>
        <w:t xml:space="preserve">3. </w:t>
      </w:r>
      <w:proofErr w:type="spellStart"/>
      <w:r>
        <w:rPr>
          <w:rFonts w:ascii="Times New Roman" w:hAnsi="Times New Roman" w:cs="Times New Roman"/>
          <w:b/>
          <w:bCs/>
          <w:sz w:val="24"/>
          <w:szCs w:val="24"/>
        </w:rPr>
        <w:t>Blockchain</w:t>
      </w:r>
      <w:proofErr w:type="spellEnd"/>
      <w:r>
        <w:rPr>
          <w:rFonts w:ascii="Times New Roman" w:hAnsi="Times New Roman" w:cs="Times New Roman"/>
          <w:b/>
          <w:bCs/>
          <w:sz w:val="24"/>
          <w:szCs w:val="24"/>
        </w:rPr>
        <w:t xml:space="preserve"> for VAT and transaction-level administration</w:t>
      </w:r>
    </w:p>
    <w:p w14:paraId="34466B32"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 xml:space="preserve">There is an emerging literature on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for VAT systems. European Union research indicates how e-invoices based on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can authenticate transaction</w:t>
      </w:r>
      <w:r>
        <w:rPr>
          <w:rFonts w:ascii="Times New Roman" w:hAnsi="Times New Roman" w:cs="Times New Roman"/>
          <w:sz w:val="24"/>
          <w:szCs w:val="24"/>
        </w:rPr>
        <w:t>s in real-time, calculate VAT liability, and help eliminate carousel fraud (Rodríguez-</w:t>
      </w:r>
      <w:proofErr w:type="spellStart"/>
      <w:r>
        <w:rPr>
          <w:rFonts w:ascii="Times New Roman" w:hAnsi="Times New Roman" w:cs="Times New Roman"/>
          <w:sz w:val="24"/>
          <w:szCs w:val="24"/>
        </w:rPr>
        <w:t>Aros</w:t>
      </w:r>
      <w:proofErr w:type="spellEnd"/>
      <w:r>
        <w:rPr>
          <w:rFonts w:ascii="Times New Roman" w:hAnsi="Times New Roman" w:cs="Times New Roman"/>
          <w:sz w:val="24"/>
          <w:szCs w:val="24"/>
        </w:rPr>
        <w:t xml:space="preserve">, 2023). Empirical pilots in Thailand and China also verify the ability of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to authenticate invoices and refund tourist VAT, though success is contingent on</w:t>
      </w:r>
      <w:r>
        <w:rPr>
          <w:rFonts w:ascii="Times New Roman" w:hAnsi="Times New Roman" w:cs="Times New Roman"/>
          <w:sz w:val="24"/>
          <w:szCs w:val="24"/>
        </w:rPr>
        <w:t xml:space="preserve"> the level of digital infrastructure (</w:t>
      </w:r>
      <w:commentRangeStart w:id="14"/>
      <w:proofErr w:type="spellStart"/>
      <w:r>
        <w:rPr>
          <w:rFonts w:ascii="Times New Roman" w:hAnsi="Times New Roman" w:cs="Times New Roman"/>
          <w:sz w:val="24"/>
          <w:szCs w:val="24"/>
        </w:rPr>
        <w:t>Semenzin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Rozas</w:t>
      </w:r>
      <w:proofErr w:type="spellEnd"/>
      <w:r>
        <w:rPr>
          <w:rFonts w:ascii="Times New Roman" w:hAnsi="Times New Roman" w:cs="Times New Roman"/>
          <w:sz w:val="24"/>
          <w:szCs w:val="24"/>
        </w:rPr>
        <w:t>, &amp; Hassan, 2022</w:t>
      </w:r>
      <w:commentRangeEnd w:id="14"/>
      <w:r w:rsidR="0024401B">
        <w:rPr>
          <w:rStyle w:val="CommentReference"/>
        </w:rPr>
        <w:commentReference w:id="14"/>
      </w:r>
      <w:r>
        <w:rPr>
          <w:rFonts w:ascii="Times New Roman" w:hAnsi="Times New Roman" w:cs="Times New Roman"/>
          <w:sz w:val="24"/>
          <w:szCs w:val="24"/>
        </w:rPr>
        <w:t xml:space="preserve">). Systematic reviews also establish that most of the studies remain descriptive rather than being quantitatively evaluative (Owens &amp; </w:t>
      </w:r>
      <w:proofErr w:type="spellStart"/>
      <w:r>
        <w:rPr>
          <w:rFonts w:ascii="Times New Roman" w:hAnsi="Times New Roman" w:cs="Times New Roman"/>
          <w:sz w:val="24"/>
          <w:szCs w:val="24"/>
        </w:rPr>
        <w:t>Hodžić</w:t>
      </w:r>
      <w:proofErr w:type="spellEnd"/>
      <w:r>
        <w:rPr>
          <w:rFonts w:ascii="Times New Roman" w:hAnsi="Times New Roman" w:cs="Times New Roman"/>
          <w:sz w:val="24"/>
          <w:szCs w:val="24"/>
        </w:rPr>
        <w:t>, 2022).</w:t>
      </w:r>
    </w:p>
    <w:p w14:paraId="0C8B1D75" w14:textId="77777777" w:rsidR="00A102D6" w:rsidRDefault="002379B8">
      <w:pPr>
        <w:rPr>
          <w:rFonts w:ascii="Times New Roman" w:hAnsi="Times New Roman" w:cs="Times New Roman"/>
          <w:b/>
          <w:bCs/>
          <w:sz w:val="24"/>
          <w:szCs w:val="24"/>
        </w:rPr>
      </w:pPr>
      <w:r>
        <w:rPr>
          <w:rFonts w:ascii="Times New Roman" w:hAnsi="Times New Roman" w:cs="Times New Roman"/>
          <w:b/>
          <w:bCs/>
          <w:sz w:val="24"/>
          <w:szCs w:val="24"/>
        </w:rPr>
        <w:t>4. Empirical evidence on compliance an</w:t>
      </w:r>
      <w:r>
        <w:rPr>
          <w:rFonts w:ascii="Times New Roman" w:hAnsi="Times New Roman" w:cs="Times New Roman"/>
          <w:b/>
          <w:bCs/>
          <w:sz w:val="24"/>
          <w:szCs w:val="24"/>
        </w:rPr>
        <w:t>d revenue effects</w:t>
      </w:r>
      <w:r>
        <w:commentReference w:id="15"/>
      </w:r>
    </w:p>
    <w:p w14:paraId="21B26CF2"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lastRenderedPageBreak/>
        <w:t xml:space="preserve">Empirical evidence remains limited. Initial evidence finds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heightens the validity of invoices, accelerates refunds, and lowers fraud risk when paired with e-invoicing and digital identity technology (Hussain, 2020). Cross-co</w:t>
      </w:r>
      <w:r>
        <w:rPr>
          <w:rFonts w:ascii="Times New Roman" w:hAnsi="Times New Roman" w:cs="Times New Roman"/>
          <w:sz w:val="24"/>
          <w:szCs w:val="24"/>
        </w:rPr>
        <w:t>untry evidence on wider tax (</w:t>
      </w:r>
      <w:commentRangeStart w:id="16"/>
      <w:r>
        <w:rPr>
          <w:rFonts w:ascii="Times New Roman" w:hAnsi="Times New Roman" w:cs="Times New Roman"/>
          <w:sz w:val="24"/>
          <w:szCs w:val="24"/>
        </w:rPr>
        <w:t>Nose</w:t>
      </w:r>
      <w:commentRangeEnd w:id="16"/>
      <w:r w:rsidR="0024401B">
        <w:rPr>
          <w:rStyle w:val="CommentReference"/>
        </w:rPr>
        <w:commentReference w:id="16"/>
      </w:r>
      <w:r>
        <w:rPr>
          <w:rFonts w:ascii="Times New Roman" w:hAnsi="Times New Roman" w:cs="Times New Roman"/>
          <w:sz w:val="24"/>
          <w:szCs w:val="24"/>
        </w:rPr>
        <w:t xml:space="preserve"> 2023) digitalization indicates significant decreases in tax gaps as governments move forward to digital channels, indicating </w:t>
      </w:r>
      <w:proofErr w:type="spellStart"/>
      <w:r>
        <w:rPr>
          <w:rFonts w:ascii="Times New Roman" w:hAnsi="Times New Roman" w:cs="Times New Roman"/>
          <w:sz w:val="24"/>
          <w:szCs w:val="24"/>
        </w:rPr>
        <w:t>blockchain's</w:t>
      </w:r>
      <w:proofErr w:type="spellEnd"/>
      <w:r>
        <w:rPr>
          <w:rFonts w:ascii="Times New Roman" w:hAnsi="Times New Roman" w:cs="Times New Roman"/>
          <w:sz w:val="24"/>
          <w:szCs w:val="24"/>
        </w:rPr>
        <w:t xml:space="preserve"> potential when paired with end-to-end overhauls </w:t>
      </w:r>
    </w:p>
    <w:p w14:paraId="550A417A" w14:textId="77777777" w:rsidR="00A102D6" w:rsidRDefault="002379B8">
      <w:pPr>
        <w:rPr>
          <w:rFonts w:ascii="Times New Roman" w:hAnsi="Times New Roman" w:cs="Times New Roman"/>
          <w:b/>
          <w:bCs/>
          <w:sz w:val="24"/>
          <w:szCs w:val="24"/>
        </w:rPr>
      </w:pPr>
      <w:r>
        <w:rPr>
          <w:rFonts w:ascii="Times New Roman" w:hAnsi="Times New Roman" w:cs="Times New Roman"/>
          <w:b/>
          <w:bCs/>
          <w:sz w:val="24"/>
          <w:szCs w:val="24"/>
        </w:rPr>
        <w:t>5. Implementation challenges</w:t>
      </w:r>
    </w:p>
    <w:p w14:paraId="057EBCB1" w14:textId="77777777" w:rsidR="00A102D6" w:rsidRDefault="002379B8">
      <w:pPr>
        <w:pStyle w:val="NoSpacing"/>
        <w:rPr>
          <w:rFonts w:ascii="Times New Roman" w:hAnsi="Times New Roman" w:cs="Times New Roman"/>
          <w:sz w:val="24"/>
          <w:szCs w:val="24"/>
        </w:rPr>
      </w:pPr>
      <w:r>
        <w:rPr>
          <w:rFonts w:ascii="Times New Roman" w:hAnsi="Times New Roman" w:cs="Times New Roman"/>
          <w:sz w:val="24"/>
          <w:szCs w:val="24"/>
        </w:rPr>
        <w:t xml:space="preserve">There </w:t>
      </w:r>
      <w:r>
        <w:rPr>
          <w:rFonts w:ascii="Times New Roman" w:hAnsi="Times New Roman" w:cs="Times New Roman"/>
          <w:sz w:val="24"/>
          <w:szCs w:val="24"/>
        </w:rPr>
        <w:t xml:space="preserve">are difficulties ahead for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w:t>
      </w:r>
    </w:p>
    <w:p w14:paraId="6A197DD5" w14:textId="77777777" w:rsidR="00A102D6" w:rsidRDefault="00A102D6">
      <w:pPr>
        <w:pStyle w:val="NoSpacing"/>
        <w:rPr>
          <w:rFonts w:ascii="Times New Roman" w:hAnsi="Times New Roman" w:cs="Times New Roman"/>
          <w:sz w:val="24"/>
          <w:szCs w:val="24"/>
        </w:rPr>
      </w:pPr>
    </w:p>
    <w:p w14:paraId="6EFD42AC" w14:textId="77777777" w:rsidR="00A102D6" w:rsidRDefault="002379B8">
      <w:pPr>
        <w:pStyle w:val="NoSpacing"/>
        <w:rPr>
          <w:rFonts w:ascii="Times New Roman" w:hAnsi="Times New Roman" w:cs="Times New Roman"/>
          <w:sz w:val="24"/>
          <w:szCs w:val="24"/>
        </w:rPr>
      </w:pPr>
      <w:r>
        <w:rPr>
          <w:rFonts w:ascii="Times New Roman" w:hAnsi="Times New Roman" w:cs="Times New Roman"/>
          <w:sz w:val="24"/>
          <w:szCs w:val="24"/>
        </w:rPr>
        <w:t>Scalability: processing millions of invoices needs hybrid on-chain/off-chain architecture (Rodríguez-</w:t>
      </w:r>
      <w:proofErr w:type="spellStart"/>
      <w:r>
        <w:rPr>
          <w:rFonts w:ascii="Times New Roman" w:hAnsi="Times New Roman" w:cs="Times New Roman"/>
          <w:sz w:val="24"/>
          <w:szCs w:val="24"/>
        </w:rPr>
        <w:t>Aros</w:t>
      </w:r>
      <w:proofErr w:type="spellEnd"/>
      <w:r>
        <w:rPr>
          <w:rFonts w:ascii="Times New Roman" w:hAnsi="Times New Roman" w:cs="Times New Roman"/>
          <w:sz w:val="24"/>
          <w:szCs w:val="24"/>
        </w:rPr>
        <w:t>, 2023).</w:t>
      </w:r>
    </w:p>
    <w:p w14:paraId="04F3A8B7" w14:textId="77777777" w:rsidR="00A102D6" w:rsidRDefault="002379B8">
      <w:pPr>
        <w:pStyle w:val="NoSpacing"/>
        <w:rPr>
          <w:rFonts w:ascii="Times New Roman" w:hAnsi="Times New Roman" w:cs="Times New Roman"/>
          <w:sz w:val="24"/>
          <w:szCs w:val="24"/>
        </w:rPr>
      </w:pPr>
      <w:r>
        <w:rPr>
          <w:rFonts w:ascii="Times New Roman" w:hAnsi="Times New Roman" w:cs="Times New Roman"/>
          <w:sz w:val="24"/>
          <w:szCs w:val="24"/>
        </w:rPr>
        <w:t xml:space="preserve">Data privacy: permissioned </w:t>
      </w:r>
      <w:proofErr w:type="spellStart"/>
      <w:r>
        <w:rPr>
          <w:rFonts w:ascii="Times New Roman" w:hAnsi="Times New Roman" w:cs="Times New Roman"/>
          <w:sz w:val="24"/>
          <w:szCs w:val="24"/>
        </w:rPr>
        <w:t>blockchains</w:t>
      </w:r>
      <w:proofErr w:type="spellEnd"/>
      <w:r>
        <w:rPr>
          <w:rFonts w:ascii="Times New Roman" w:hAnsi="Times New Roman" w:cs="Times New Roman"/>
          <w:sz w:val="24"/>
          <w:szCs w:val="24"/>
        </w:rPr>
        <w:t xml:space="preserve"> are typically required to safeguard confidential taxpayer data </w:t>
      </w:r>
      <w:r>
        <w:rPr>
          <w:rFonts w:ascii="Times New Roman" w:hAnsi="Times New Roman" w:cs="Times New Roman"/>
          <w:sz w:val="24"/>
          <w:szCs w:val="24"/>
        </w:rPr>
        <w:t>(</w:t>
      </w:r>
      <w:proofErr w:type="spellStart"/>
      <w:r>
        <w:rPr>
          <w:rFonts w:ascii="Times New Roman" w:hAnsi="Times New Roman" w:cs="Times New Roman"/>
          <w:sz w:val="24"/>
          <w:szCs w:val="24"/>
        </w:rPr>
        <w:t>Semenzin</w:t>
      </w:r>
      <w:proofErr w:type="spellEnd"/>
      <w:r>
        <w:rPr>
          <w:rFonts w:ascii="Times New Roman" w:hAnsi="Times New Roman" w:cs="Times New Roman"/>
          <w:sz w:val="24"/>
          <w:szCs w:val="24"/>
        </w:rPr>
        <w:t xml:space="preserve"> et al., 2022).</w:t>
      </w:r>
    </w:p>
    <w:p w14:paraId="129C1B12" w14:textId="77777777" w:rsidR="00A102D6" w:rsidRDefault="002379B8">
      <w:pPr>
        <w:pStyle w:val="NoSpacing"/>
        <w:rPr>
          <w:rFonts w:ascii="Times New Roman" w:hAnsi="Times New Roman" w:cs="Times New Roman"/>
          <w:sz w:val="24"/>
          <w:szCs w:val="24"/>
        </w:rPr>
      </w:pPr>
      <w:r>
        <w:rPr>
          <w:rFonts w:ascii="Times New Roman" w:hAnsi="Times New Roman" w:cs="Times New Roman"/>
          <w:sz w:val="24"/>
          <w:szCs w:val="24"/>
        </w:rPr>
        <w:t xml:space="preserve">Interoperability: integration with existing IT systems necessitates agency and business coordination (Owens &amp; </w:t>
      </w:r>
      <w:proofErr w:type="spellStart"/>
      <w:r>
        <w:rPr>
          <w:rFonts w:ascii="Times New Roman" w:hAnsi="Times New Roman" w:cs="Times New Roman"/>
          <w:sz w:val="24"/>
          <w:szCs w:val="24"/>
        </w:rPr>
        <w:t>Hodžić</w:t>
      </w:r>
      <w:proofErr w:type="spellEnd"/>
      <w:r>
        <w:rPr>
          <w:rFonts w:ascii="Times New Roman" w:hAnsi="Times New Roman" w:cs="Times New Roman"/>
          <w:sz w:val="24"/>
          <w:szCs w:val="24"/>
        </w:rPr>
        <w:t>, 2022).</w:t>
      </w:r>
    </w:p>
    <w:p w14:paraId="09C749EC" w14:textId="77777777" w:rsidR="00A102D6" w:rsidRDefault="002379B8">
      <w:pPr>
        <w:pStyle w:val="NoSpacing"/>
        <w:rPr>
          <w:rFonts w:ascii="Times New Roman" w:hAnsi="Times New Roman" w:cs="Times New Roman"/>
          <w:sz w:val="24"/>
          <w:szCs w:val="24"/>
        </w:rPr>
      </w:pPr>
      <w:r>
        <w:rPr>
          <w:rFonts w:ascii="Times New Roman" w:hAnsi="Times New Roman" w:cs="Times New Roman"/>
          <w:sz w:val="24"/>
          <w:szCs w:val="24"/>
        </w:rPr>
        <w:t>Institutional capacity: adoption success relies on training, legal environment, and change management (Geo</w:t>
      </w:r>
      <w:r>
        <w:rPr>
          <w:rFonts w:ascii="Times New Roman" w:hAnsi="Times New Roman" w:cs="Times New Roman"/>
          <w:sz w:val="24"/>
          <w:szCs w:val="24"/>
        </w:rPr>
        <w:t>rgiou et al., 2024).</w:t>
      </w:r>
    </w:p>
    <w:p w14:paraId="3D6BA80B" w14:textId="77777777" w:rsidR="00A102D6" w:rsidRDefault="00A102D6">
      <w:pPr>
        <w:pStyle w:val="NoSpacing"/>
        <w:rPr>
          <w:rFonts w:ascii="Times New Roman" w:hAnsi="Times New Roman" w:cs="Times New Roman"/>
          <w:sz w:val="24"/>
          <w:szCs w:val="24"/>
        </w:rPr>
      </w:pPr>
    </w:p>
    <w:p w14:paraId="661A8882" w14:textId="77777777" w:rsidR="00A102D6" w:rsidRDefault="002379B8">
      <w:pPr>
        <w:rPr>
          <w:rFonts w:ascii="Times New Roman" w:hAnsi="Times New Roman" w:cs="Times New Roman"/>
          <w:b/>
          <w:bCs/>
          <w:sz w:val="24"/>
          <w:szCs w:val="24"/>
        </w:rPr>
      </w:pPr>
      <w:r>
        <w:rPr>
          <w:rFonts w:ascii="Times New Roman" w:hAnsi="Times New Roman" w:cs="Times New Roman"/>
          <w:b/>
          <w:bCs/>
          <w:sz w:val="24"/>
          <w:szCs w:val="24"/>
        </w:rPr>
        <w:t xml:space="preserve">Definition of </w:t>
      </w:r>
      <w:proofErr w:type="spellStart"/>
      <w:r>
        <w:rPr>
          <w:rFonts w:ascii="Times New Roman" w:hAnsi="Times New Roman" w:cs="Times New Roman"/>
          <w:b/>
          <w:bCs/>
          <w:sz w:val="24"/>
          <w:szCs w:val="24"/>
        </w:rPr>
        <w:t>Blockchain</w:t>
      </w:r>
      <w:proofErr w:type="spellEnd"/>
    </w:p>
    <w:p w14:paraId="22F3CD41" w14:textId="77777777" w:rsidR="00A102D6" w:rsidRDefault="002379B8">
      <w:pPr>
        <w:rPr>
          <w:rFonts w:ascii="Times New Roman" w:hAnsi="Times New Roman" w:cs="Times New Roman"/>
          <w:sz w:val="24"/>
          <w:szCs w:val="24"/>
        </w:rPr>
      </w:pP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is a decentralized ledger technology (DLT) used for safe, transparent, and tamper-proof recording of transactions on a decentralized network (</w:t>
      </w:r>
      <w:proofErr w:type="spellStart"/>
      <w:r>
        <w:rPr>
          <w:rFonts w:ascii="Times New Roman" w:hAnsi="Times New Roman" w:cs="Times New Roman"/>
          <w:sz w:val="24"/>
          <w:szCs w:val="24"/>
        </w:rPr>
        <w:t>Nwariaku</w:t>
      </w:r>
      <w:proofErr w:type="spellEnd"/>
      <w:r>
        <w:rPr>
          <w:rFonts w:ascii="Times New Roman" w:hAnsi="Times New Roman" w:cs="Times New Roman"/>
          <w:sz w:val="24"/>
          <w:szCs w:val="24"/>
        </w:rPr>
        <w:t xml:space="preserve"> et al., 2024). Transactions are compiled into a</w:t>
      </w:r>
      <w:r>
        <w:rPr>
          <w:rFonts w:ascii="Times New Roman" w:hAnsi="Times New Roman" w:cs="Times New Roman"/>
          <w:sz w:val="24"/>
          <w:szCs w:val="24"/>
        </w:rPr>
        <w:t xml:space="preserve"> "block," which is cryptographically bound to the subsequent one to create an unalterable chain of blocks (</w:t>
      </w:r>
      <w:proofErr w:type="spellStart"/>
      <w:r>
        <w:rPr>
          <w:rFonts w:ascii="Times New Roman" w:hAnsi="Times New Roman" w:cs="Times New Roman"/>
          <w:sz w:val="24"/>
          <w:szCs w:val="24"/>
        </w:rPr>
        <w:t>Nakamoto</w:t>
      </w:r>
      <w:proofErr w:type="spellEnd"/>
      <w:r>
        <w:rPr>
          <w:rFonts w:ascii="Times New Roman" w:hAnsi="Times New Roman" w:cs="Times New Roman"/>
          <w:sz w:val="24"/>
          <w:szCs w:val="24"/>
        </w:rPr>
        <w:t xml:space="preserve">, 2008). The most prominent features of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are decentralization, immutability, transparency, and programmability via smart contracts,</w:t>
      </w:r>
      <w:r>
        <w:rPr>
          <w:rFonts w:ascii="Times New Roman" w:hAnsi="Times New Roman" w:cs="Times New Roman"/>
          <w:sz w:val="24"/>
          <w:szCs w:val="24"/>
        </w:rPr>
        <w:t xml:space="preserve"> which, combined, reduce the need for intermediaries and lower information asymmetry (</w:t>
      </w:r>
      <w:proofErr w:type="spellStart"/>
      <w:r>
        <w:rPr>
          <w:rFonts w:ascii="Times New Roman" w:hAnsi="Times New Roman" w:cs="Times New Roman"/>
          <w:sz w:val="24"/>
          <w:szCs w:val="24"/>
        </w:rPr>
        <w:t>Tapscott</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Tapscott</w:t>
      </w:r>
      <w:proofErr w:type="spellEnd"/>
      <w:r>
        <w:rPr>
          <w:rFonts w:ascii="Times New Roman" w:hAnsi="Times New Roman" w:cs="Times New Roman"/>
          <w:sz w:val="24"/>
          <w:szCs w:val="24"/>
        </w:rPr>
        <w:t>, 2016).</w:t>
      </w:r>
    </w:p>
    <w:p w14:paraId="7E15EAE9"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 xml:space="preserve">For public finance, </w:t>
      </w:r>
      <w:proofErr w:type="spellStart"/>
      <w:r>
        <w:rPr>
          <w:rFonts w:ascii="Times New Roman" w:hAnsi="Times New Roman" w:cs="Times New Roman"/>
          <w:sz w:val="24"/>
          <w:szCs w:val="24"/>
        </w:rPr>
        <w:t>blockchain's</w:t>
      </w:r>
      <w:proofErr w:type="spellEnd"/>
      <w:r>
        <w:rPr>
          <w:rFonts w:ascii="Times New Roman" w:hAnsi="Times New Roman" w:cs="Times New Roman"/>
          <w:sz w:val="24"/>
          <w:szCs w:val="24"/>
        </w:rPr>
        <w:t xml:space="preserve"> immutability and consensus features grant tax administrations an auditable record of dependability that enhan</w:t>
      </w:r>
      <w:r>
        <w:rPr>
          <w:rFonts w:ascii="Times New Roman" w:hAnsi="Times New Roman" w:cs="Times New Roman"/>
          <w:sz w:val="24"/>
          <w:szCs w:val="24"/>
        </w:rPr>
        <w:t>ces accountability and trust (</w:t>
      </w:r>
      <w:commentRangeStart w:id="17"/>
      <w:proofErr w:type="spellStart"/>
      <w:r>
        <w:rPr>
          <w:rFonts w:ascii="Times New Roman" w:hAnsi="Times New Roman" w:cs="Times New Roman"/>
          <w:sz w:val="24"/>
          <w:szCs w:val="24"/>
        </w:rPr>
        <w:t>Treleaven</w:t>
      </w:r>
      <w:proofErr w:type="spellEnd"/>
      <w:r>
        <w:rPr>
          <w:rFonts w:ascii="Times New Roman" w:hAnsi="Times New Roman" w:cs="Times New Roman"/>
          <w:sz w:val="24"/>
          <w:szCs w:val="24"/>
        </w:rPr>
        <w:t>, Brown, &amp; Yang, 2017</w:t>
      </w:r>
      <w:commentRangeEnd w:id="17"/>
      <w:r w:rsidR="00E17670">
        <w:rPr>
          <w:rStyle w:val="CommentReference"/>
        </w:rPr>
        <w:commentReference w:id="17"/>
      </w:r>
      <w:r>
        <w:rPr>
          <w:rFonts w:ascii="Times New Roman" w:hAnsi="Times New Roman" w:cs="Times New Roman"/>
          <w:sz w:val="24"/>
          <w:szCs w:val="24"/>
        </w:rPr>
        <w:t xml:space="preserve">).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is henceforth increasingly seen as a core digital innovation that can reshape financial reporting, audit, and above all, tax administration (Georgiou et al., 2024).</w:t>
      </w:r>
    </w:p>
    <w:p w14:paraId="29E1E49B" w14:textId="77777777" w:rsidR="00A102D6" w:rsidRDefault="002379B8">
      <w:pPr>
        <w:rPr>
          <w:rFonts w:ascii="Times New Roman" w:hAnsi="Times New Roman" w:cs="Times New Roman"/>
          <w:b/>
          <w:bCs/>
          <w:sz w:val="24"/>
          <w:szCs w:val="24"/>
        </w:rPr>
      </w:pPr>
      <w:proofErr w:type="spellStart"/>
      <w:r>
        <w:rPr>
          <w:rFonts w:ascii="Times New Roman" w:hAnsi="Times New Roman" w:cs="Times New Roman"/>
          <w:b/>
          <w:bCs/>
          <w:sz w:val="24"/>
          <w:szCs w:val="24"/>
        </w:rPr>
        <w:t>Blockchain</w:t>
      </w:r>
      <w:proofErr w:type="spellEnd"/>
      <w:r>
        <w:rPr>
          <w:rFonts w:ascii="Times New Roman" w:hAnsi="Times New Roman" w:cs="Times New Roman"/>
          <w:b/>
          <w:bCs/>
          <w:sz w:val="24"/>
          <w:szCs w:val="24"/>
        </w:rPr>
        <w:t xml:space="preserve"> and Ta</w:t>
      </w:r>
      <w:r>
        <w:rPr>
          <w:rFonts w:ascii="Times New Roman" w:hAnsi="Times New Roman" w:cs="Times New Roman"/>
          <w:b/>
          <w:bCs/>
          <w:sz w:val="24"/>
          <w:szCs w:val="24"/>
        </w:rPr>
        <w:t>x Administration</w:t>
      </w:r>
    </w:p>
    <w:p w14:paraId="5A0BE0CE" w14:textId="77777777" w:rsidR="00A102D6" w:rsidRDefault="002379B8">
      <w:pPr>
        <w:rPr>
          <w:rFonts w:ascii="Times New Roman" w:hAnsi="Times New Roman" w:cs="Times New Roman"/>
          <w:b/>
          <w:bCs/>
          <w:sz w:val="24"/>
          <w:szCs w:val="24"/>
        </w:rPr>
      </w:pPr>
      <w:r>
        <w:rPr>
          <w:rFonts w:ascii="Times New Roman" w:hAnsi="Times New Roman" w:cs="Times New Roman"/>
          <w:b/>
          <w:bCs/>
          <w:sz w:val="24"/>
          <w:szCs w:val="24"/>
        </w:rPr>
        <w:t xml:space="preserve">1. </w:t>
      </w:r>
      <w:proofErr w:type="spellStart"/>
      <w:r>
        <w:rPr>
          <w:rFonts w:ascii="Times New Roman" w:hAnsi="Times New Roman" w:cs="Times New Roman"/>
          <w:b/>
          <w:bCs/>
          <w:sz w:val="24"/>
          <w:szCs w:val="24"/>
        </w:rPr>
        <w:t>Blockchain</w:t>
      </w:r>
      <w:proofErr w:type="spellEnd"/>
      <w:r>
        <w:rPr>
          <w:rFonts w:ascii="Times New Roman" w:hAnsi="Times New Roman" w:cs="Times New Roman"/>
          <w:b/>
          <w:bCs/>
          <w:sz w:val="24"/>
          <w:szCs w:val="24"/>
        </w:rPr>
        <w:t xml:space="preserve"> as a disruption to tax administration</w:t>
      </w:r>
    </w:p>
    <w:p w14:paraId="14BC1827"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Tax agencies globally are confronted with tax evasion, (Martinez-Vazquez et al, 2014) under-reporting, fraud, and wastage of administration. Conventional digitalization initiatives (e-inv</w:t>
      </w:r>
      <w:r>
        <w:rPr>
          <w:rFonts w:ascii="Times New Roman" w:hAnsi="Times New Roman" w:cs="Times New Roman"/>
          <w:sz w:val="24"/>
          <w:szCs w:val="24"/>
        </w:rPr>
        <w:t xml:space="preserve">oicing, e-filing) raised compliance levels but are open to manipulation. Permanent records of the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technology provide a more revolutionary alternative </w:t>
      </w:r>
      <w:r>
        <w:rPr>
          <w:rFonts w:ascii="Times New Roman" w:hAnsi="Times New Roman" w:cs="Times New Roman"/>
          <w:sz w:val="24"/>
          <w:szCs w:val="24"/>
        </w:rPr>
        <w:lastRenderedPageBreak/>
        <w:t>in the sense that data submitted cannot be altered in the past (</w:t>
      </w:r>
      <w:proofErr w:type="spellStart"/>
      <w:r>
        <w:rPr>
          <w:rFonts w:ascii="Times New Roman" w:hAnsi="Times New Roman" w:cs="Times New Roman"/>
          <w:sz w:val="24"/>
          <w:szCs w:val="24"/>
        </w:rPr>
        <w:t>Yermack</w:t>
      </w:r>
      <w:proofErr w:type="spellEnd"/>
      <w:r>
        <w:rPr>
          <w:rFonts w:ascii="Times New Roman" w:hAnsi="Times New Roman" w:cs="Times New Roman"/>
          <w:sz w:val="24"/>
          <w:szCs w:val="24"/>
        </w:rPr>
        <w:t>, 2017). Researchers cit</w:t>
      </w:r>
      <w:r>
        <w:rPr>
          <w:rFonts w:ascii="Times New Roman" w:hAnsi="Times New Roman" w:cs="Times New Roman"/>
          <w:sz w:val="24"/>
          <w:szCs w:val="24"/>
        </w:rPr>
        <w:t xml:space="preserve">e how the functionality is in line with tax authorities' objectives of minimizing information asymmetry and maximizing taxpayers' transparency (Pimentel &amp; </w:t>
      </w:r>
      <w:proofErr w:type="spellStart"/>
      <w:r>
        <w:rPr>
          <w:rFonts w:ascii="Times New Roman" w:hAnsi="Times New Roman" w:cs="Times New Roman"/>
          <w:sz w:val="24"/>
          <w:szCs w:val="24"/>
        </w:rPr>
        <w:t>Boulianne</w:t>
      </w:r>
      <w:proofErr w:type="spellEnd"/>
      <w:r>
        <w:rPr>
          <w:rFonts w:ascii="Times New Roman" w:hAnsi="Times New Roman" w:cs="Times New Roman"/>
          <w:sz w:val="24"/>
          <w:szCs w:val="24"/>
        </w:rPr>
        <w:t>, 2020).</w:t>
      </w:r>
    </w:p>
    <w:p w14:paraId="0EF7576E" w14:textId="77777777" w:rsidR="00A102D6" w:rsidRDefault="002379B8">
      <w:pPr>
        <w:rPr>
          <w:rFonts w:ascii="Times New Roman" w:hAnsi="Times New Roman" w:cs="Times New Roman"/>
          <w:b/>
          <w:bCs/>
          <w:sz w:val="24"/>
          <w:szCs w:val="24"/>
        </w:rPr>
      </w:pPr>
      <w:r>
        <w:rPr>
          <w:rFonts w:ascii="Times New Roman" w:hAnsi="Times New Roman" w:cs="Times New Roman"/>
          <w:b/>
          <w:bCs/>
          <w:sz w:val="24"/>
          <w:szCs w:val="24"/>
        </w:rPr>
        <w:t xml:space="preserve">2. </w:t>
      </w:r>
      <w:proofErr w:type="spellStart"/>
      <w:r>
        <w:rPr>
          <w:rFonts w:ascii="Times New Roman" w:hAnsi="Times New Roman" w:cs="Times New Roman"/>
          <w:b/>
          <w:bCs/>
          <w:sz w:val="24"/>
          <w:szCs w:val="24"/>
        </w:rPr>
        <w:t>Blockchain</w:t>
      </w:r>
      <w:proofErr w:type="spellEnd"/>
      <w:r>
        <w:rPr>
          <w:rFonts w:ascii="Times New Roman" w:hAnsi="Times New Roman" w:cs="Times New Roman"/>
          <w:b/>
          <w:bCs/>
          <w:sz w:val="24"/>
          <w:szCs w:val="24"/>
        </w:rPr>
        <w:t xml:space="preserve"> technology for VAT and indirect tax</w:t>
      </w:r>
    </w:p>
    <w:p w14:paraId="41E1C079"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 xml:space="preserve">Literature primarily describes </w:t>
      </w:r>
      <w:r>
        <w:rPr>
          <w:rFonts w:ascii="Times New Roman" w:hAnsi="Times New Roman" w:cs="Times New Roman"/>
          <w:sz w:val="24"/>
          <w:szCs w:val="24"/>
        </w:rPr>
        <w:t xml:space="preserve">how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is beneficial in VAT, where carousel schemes and frauds are common. Rodríguez-</w:t>
      </w:r>
      <w:proofErr w:type="spellStart"/>
      <w:r>
        <w:rPr>
          <w:rFonts w:ascii="Times New Roman" w:hAnsi="Times New Roman" w:cs="Times New Roman"/>
          <w:sz w:val="24"/>
          <w:szCs w:val="24"/>
        </w:rPr>
        <w:t>Aros</w:t>
      </w:r>
      <w:proofErr w:type="spellEnd"/>
      <w:r>
        <w:rPr>
          <w:rFonts w:ascii="Times New Roman" w:hAnsi="Times New Roman" w:cs="Times New Roman"/>
          <w:sz w:val="24"/>
          <w:szCs w:val="24"/>
        </w:rPr>
        <w:t xml:space="preserve"> (2023) indicates that VAT systems based on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can verify invoices, automate VAT settlements, and prevent refund fraud. National pilots like China's </w:t>
      </w:r>
      <w:proofErr w:type="spellStart"/>
      <w:r>
        <w:rPr>
          <w:rFonts w:ascii="Times New Roman" w:hAnsi="Times New Roman" w:cs="Times New Roman"/>
          <w:sz w:val="24"/>
          <w:szCs w:val="24"/>
        </w:rPr>
        <w:t>bl</w:t>
      </w:r>
      <w:r>
        <w:rPr>
          <w:rFonts w:ascii="Times New Roman" w:hAnsi="Times New Roman" w:cs="Times New Roman"/>
          <w:sz w:val="24"/>
          <w:szCs w:val="24"/>
        </w:rPr>
        <w:t>ockchain</w:t>
      </w:r>
      <w:proofErr w:type="spellEnd"/>
      <w:r>
        <w:rPr>
          <w:rFonts w:ascii="Times New Roman" w:hAnsi="Times New Roman" w:cs="Times New Roman"/>
          <w:sz w:val="24"/>
          <w:szCs w:val="24"/>
        </w:rPr>
        <w:t xml:space="preserve"> invoicing system have proved to enhance traceability and prevent false claims (Li, Wang, &amp; Chen, 2019). In the same way, Thailand has used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in tourist VAT refund schemes to showcase its application to cross-border compliance in real-time</w:t>
      </w:r>
      <w:r>
        <w:rPr>
          <w:rFonts w:ascii="Times New Roman" w:hAnsi="Times New Roman" w:cs="Times New Roman"/>
          <w:sz w:val="24"/>
          <w:szCs w:val="24"/>
        </w:rPr>
        <w:t xml:space="preserve"> (</w:t>
      </w:r>
      <w:commentRangeStart w:id="18"/>
      <w:proofErr w:type="spellStart"/>
      <w:r>
        <w:rPr>
          <w:rFonts w:ascii="Times New Roman" w:hAnsi="Times New Roman" w:cs="Times New Roman"/>
          <w:sz w:val="24"/>
          <w:szCs w:val="24"/>
        </w:rPr>
        <w:t>Semenzin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Rozas</w:t>
      </w:r>
      <w:proofErr w:type="spellEnd"/>
      <w:r>
        <w:rPr>
          <w:rFonts w:ascii="Times New Roman" w:hAnsi="Times New Roman" w:cs="Times New Roman"/>
          <w:sz w:val="24"/>
          <w:szCs w:val="24"/>
        </w:rPr>
        <w:t>, &amp; Hassan, 2022</w:t>
      </w:r>
      <w:commentRangeEnd w:id="18"/>
      <w:r w:rsidR="0024401B">
        <w:rPr>
          <w:rStyle w:val="CommentReference"/>
        </w:rPr>
        <w:commentReference w:id="18"/>
      </w:r>
      <w:r>
        <w:rPr>
          <w:rFonts w:ascii="Times New Roman" w:hAnsi="Times New Roman" w:cs="Times New Roman"/>
          <w:sz w:val="24"/>
          <w:szCs w:val="24"/>
        </w:rPr>
        <w:t>).</w:t>
      </w:r>
    </w:p>
    <w:p w14:paraId="0CA1AD90" w14:textId="77777777" w:rsidR="00A102D6" w:rsidRDefault="002379B8">
      <w:pPr>
        <w:rPr>
          <w:rFonts w:ascii="Times New Roman" w:hAnsi="Times New Roman" w:cs="Times New Roman"/>
          <w:b/>
          <w:bCs/>
          <w:sz w:val="24"/>
          <w:szCs w:val="24"/>
        </w:rPr>
      </w:pPr>
      <w:r>
        <w:rPr>
          <w:rFonts w:ascii="Times New Roman" w:hAnsi="Times New Roman" w:cs="Times New Roman"/>
          <w:b/>
          <w:bCs/>
          <w:sz w:val="24"/>
          <w:szCs w:val="24"/>
        </w:rPr>
        <w:t>3. Improving compliance and revenue mobilization</w:t>
      </w:r>
    </w:p>
    <w:p w14:paraId="318C2B5B"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 xml:space="preserve">Evidences indicate that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has the capacity to encourage voluntary compliance through diminished opportunities for evasion and easier reporting. For instance, </w:t>
      </w:r>
      <w:r>
        <w:rPr>
          <w:rFonts w:ascii="Times New Roman" w:hAnsi="Times New Roman" w:cs="Times New Roman"/>
          <w:sz w:val="24"/>
          <w:szCs w:val="24"/>
        </w:rPr>
        <w:t xml:space="preserve">Nguyen, Le, and Truong (2021) discovered that using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in tax management enhances the credibility of data and efficiency of audit (Han et al., 2022), thereby enhancing the collection of revenue. Owens and </w:t>
      </w:r>
      <w:proofErr w:type="spellStart"/>
      <w:r>
        <w:rPr>
          <w:rFonts w:ascii="Times New Roman" w:hAnsi="Times New Roman" w:cs="Times New Roman"/>
          <w:sz w:val="24"/>
          <w:szCs w:val="24"/>
        </w:rPr>
        <w:t>Hodžić</w:t>
      </w:r>
      <w:proofErr w:type="spellEnd"/>
      <w:r>
        <w:rPr>
          <w:rFonts w:ascii="Times New Roman" w:hAnsi="Times New Roman" w:cs="Times New Roman"/>
          <w:sz w:val="24"/>
          <w:szCs w:val="24"/>
        </w:rPr>
        <w:t xml:space="preserve"> (2022) posit that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is a tu</w:t>
      </w:r>
      <w:r>
        <w:rPr>
          <w:rFonts w:ascii="Times New Roman" w:hAnsi="Times New Roman" w:cs="Times New Roman"/>
          <w:sz w:val="24"/>
          <w:szCs w:val="24"/>
        </w:rPr>
        <w:t>rning point of "Tax Administration 3.0," where web platforms enable real-time monitoring of taxpayer behavior, reducing the compliance burden while plugging loopholes.</w:t>
      </w:r>
    </w:p>
    <w:p w14:paraId="696804D1" w14:textId="77777777" w:rsidR="00A102D6" w:rsidRDefault="002379B8">
      <w:pPr>
        <w:rPr>
          <w:rFonts w:ascii="Times New Roman" w:hAnsi="Times New Roman" w:cs="Times New Roman"/>
          <w:b/>
          <w:bCs/>
          <w:sz w:val="24"/>
          <w:szCs w:val="24"/>
        </w:rPr>
      </w:pPr>
      <w:r>
        <w:rPr>
          <w:rFonts w:ascii="Times New Roman" w:hAnsi="Times New Roman" w:cs="Times New Roman"/>
          <w:b/>
          <w:bCs/>
          <w:sz w:val="24"/>
          <w:szCs w:val="24"/>
        </w:rPr>
        <w:t xml:space="preserve">4. Challenges and threats of </w:t>
      </w:r>
      <w:proofErr w:type="spellStart"/>
      <w:r>
        <w:rPr>
          <w:rFonts w:ascii="Times New Roman" w:hAnsi="Times New Roman" w:cs="Times New Roman"/>
          <w:b/>
          <w:bCs/>
          <w:sz w:val="24"/>
          <w:szCs w:val="24"/>
        </w:rPr>
        <w:t>blockchain</w:t>
      </w:r>
      <w:proofErr w:type="spellEnd"/>
      <w:r>
        <w:rPr>
          <w:rFonts w:ascii="Times New Roman" w:hAnsi="Times New Roman" w:cs="Times New Roman"/>
          <w:b/>
          <w:bCs/>
          <w:sz w:val="24"/>
          <w:szCs w:val="24"/>
        </w:rPr>
        <w:t xml:space="preserve"> adoption</w:t>
      </w:r>
    </w:p>
    <w:p w14:paraId="568DC00F"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 xml:space="preserve">Notwithstanding its promise, however, </w:t>
      </w:r>
      <w:proofErr w:type="spellStart"/>
      <w:r>
        <w:rPr>
          <w:rFonts w:ascii="Times New Roman" w:hAnsi="Times New Roman" w:cs="Times New Roman"/>
          <w:sz w:val="24"/>
          <w:szCs w:val="24"/>
        </w:rPr>
        <w:t>b</w:t>
      </w:r>
      <w:r>
        <w:rPr>
          <w:rFonts w:ascii="Times New Roman" w:hAnsi="Times New Roman" w:cs="Times New Roman"/>
          <w:sz w:val="24"/>
          <w:szCs w:val="24"/>
        </w:rPr>
        <w:t>lockchain</w:t>
      </w:r>
      <w:proofErr w:type="spellEnd"/>
      <w:r>
        <w:rPr>
          <w:rFonts w:ascii="Times New Roman" w:hAnsi="Times New Roman" w:cs="Times New Roman"/>
          <w:sz w:val="24"/>
          <w:szCs w:val="24"/>
        </w:rPr>
        <w:t xml:space="preserve"> has numerous challenges. Scalability and integration concerns stall adoption in countries with high volumes of transactions (Rodríguez-</w:t>
      </w:r>
      <w:proofErr w:type="spellStart"/>
      <w:r>
        <w:rPr>
          <w:rFonts w:ascii="Times New Roman" w:hAnsi="Times New Roman" w:cs="Times New Roman"/>
          <w:sz w:val="24"/>
          <w:szCs w:val="24"/>
        </w:rPr>
        <w:t>Aros</w:t>
      </w:r>
      <w:proofErr w:type="spellEnd"/>
      <w:r>
        <w:rPr>
          <w:rFonts w:ascii="Times New Roman" w:hAnsi="Times New Roman" w:cs="Times New Roman"/>
          <w:sz w:val="24"/>
          <w:szCs w:val="24"/>
        </w:rPr>
        <w:t>, 2023). There are data privacy challenges and concerns with the law, including maintaining taxpayer anonym</w:t>
      </w:r>
      <w:r>
        <w:rPr>
          <w:rFonts w:ascii="Times New Roman" w:hAnsi="Times New Roman" w:cs="Times New Roman"/>
          <w:sz w:val="24"/>
          <w:szCs w:val="24"/>
        </w:rPr>
        <w:t>ity but being transparent (</w:t>
      </w:r>
      <w:proofErr w:type="spellStart"/>
      <w:r>
        <w:rPr>
          <w:rFonts w:ascii="Times New Roman" w:hAnsi="Times New Roman" w:cs="Times New Roman"/>
          <w:sz w:val="24"/>
          <w:szCs w:val="24"/>
        </w:rPr>
        <w:t>Semenzin</w:t>
      </w:r>
      <w:proofErr w:type="spellEnd"/>
      <w:r>
        <w:rPr>
          <w:rFonts w:ascii="Times New Roman" w:hAnsi="Times New Roman" w:cs="Times New Roman"/>
          <w:sz w:val="24"/>
          <w:szCs w:val="24"/>
        </w:rPr>
        <w:t xml:space="preserve"> et al., 2022). The adoption is also susceptible to high institutional capacity and governance transformations, for instance, training staff, new legal frameworks, and compatibility with existing systems (Georgiou et al.,</w:t>
      </w:r>
      <w:r>
        <w:rPr>
          <w:rFonts w:ascii="Times New Roman" w:hAnsi="Times New Roman" w:cs="Times New Roman"/>
          <w:sz w:val="24"/>
          <w:szCs w:val="24"/>
        </w:rPr>
        <w:t xml:space="preserve"> 2024). Political economy constraints can also affect adoption because automation reduces discretionary power in tax administration (Owens &amp; </w:t>
      </w:r>
      <w:proofErr w:type="spellStart"/>
      <w:r>
        <w:rPr>
          <w:rFonts w:ascii="Times New Roman" w:hAnsi="Times New Roman" w:cs="Times New Roman"/>
          <w:sz w:val="24"/>
          <w:szCs w:val="24"/>
        </w:rPr>
        <w:t>Hodžić</w:t>
      </w:r>
      <w:proofErr w:type="spellEnd"/>
      <w:r>
        <w:rPr>
          <w:rFonts w:ascii="Times New Roman" w:hAnsi="Times New Roman" w:cs="Times New Roman"/>
          <w:sz w:val="24"/>
          <w:szCs w:val="24"/>
        </w:rPr>
        <w:t>, 2022).</w:t>
      </w:r>
    </w:p>
    <w:p w14:paraId="170DDC23" w14:textId="77777777" w:rsidR="00A102D6" w:rsidRDefault="002379B8">
      <w:pPr>
        <w:rPr>
          <w:rFonts w:ascii="Times New Roman" w:hAnsi="Times New Roman" w:cs="Times New Roman"/>
          <w:b/>
          <w:bCs/>
          <w:sz w:val="24"/>
          <w:szCs w:val="24"/>
        </w:rPr>
      </w:pPr>
      <w:r>
        <w:rPr>
          <w:rFonts w:ascii="Times New Roman" w:hAnsi="Times New Roman" w:cs="Times New Roman"/>
          <w:b/>
          <w:bCs/>
          <w:sz w:val="24"/>
          <w:szCs w:val="24"/>
        </w:rPr>
        <w:t>Disruptive tax compliance and collection technologies</w:t>
      </w:r>
    </w:p>
    <w:p w14:paraId="09C2F8A5"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Disruptive digital technologies here defined a</w:t>
      </w:r>
      <w:r>
        <w:rPr>
          <w:rFonts w:ascii="Times New Roman" w:hAnsi="Times New Roman" w:cs="Times New Roman"/>
          <w:sz w:val="24"/>
          <w:szCs w:val="24"/>
        </w:rPr>
        <w:t>s technologies that alter the cost, timing, or observability of economic transactions redevelop the game of enforcement in tax by reshaping information flows, audit likelihoods and taxpayer concealment costs (OECD, 2019). Where third-party data were previo</w:t>
      </w:r>
      <w:r>
        <w:rPr>
          <w:rFonts w:ascii="Times New Roman" w:hAnsi="Times New Roman" w:cs="Times New Roman"/>
          <w:sz w:val="24"/>
          <w:szCs w:val="24"/>
        </w:rPr>
        <w:t xml:space="preserve">usly incomplete or costly to obtain, </w:t>
      </w:r>
      <w:r>
        <w:rPr>
          <w:rFonts w:ascii="Times New Roman" w:hAnsi="Times New Roman" w:cs="Times New Roman"/>
          <w:sz w:val="24"/>
          <w:szCs w:val="24"/>
        </w:rPr>
        <w:lastRenderedPageBreak/>
        <w:t>contemporary digital technologies (e-invoicing, online tills, big-data analysis, artificial intelligence, DLT/</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and e-payments) provide near real-time machine-readable proof of transactions that may be used by </w:t>
      </w:r>
      <w:r>
        <w:rPr>
          <w:rFonts w:ascii="Times New Roman" w:hAnsi="Times New Roman" w:cs="Times New Roman"/>
          <w:sz w:val="24"/>
          <w:szCs w:val="24"/>
        </w:rPr>
        <w:t xml:space="preserve">tax administrations to limit the ambit for under-reporting and tax evasion. </w:t>
      </w:r>
    </w:p>
    <w:p w14:paraId="17C981D3" w14:textId="77777777" w:rsidR="00A102D6" w:rsidRDefault="002379B8">
      <w:pPr>
        <w:rPr>
          <w:rFonts w:ascii="Times New Roman" w:hAnsi="Times New Roman" w:cs="Times New Roman"/>
          <w:b/>
          <w:bCs/>
          <w:sz w:val="24"/>
          <w:szCs w:val="24"/>
        </w:rPr>
      </w:pPr>
      <w:r>
        <w:rPr>
          <w:rFonts w:ascii="Times New Roman" w:hAnsi="Times New Roman" w:cs="Times New Roman"/>
          <w:b/>
          <w:bCs/>
          <w:sz w:val="24"/>
          <w:szCs w:val="24"/>
        </w:rPr>
        <w:t>2. Mechanisms: how disruptive technologies enhance compliance and revenues</w:t>
      </w:r>
    </w:p>
    <w:p w14:paraId="288631C1"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 xml:space="preserve">One of the main channels through which digital technologies increase compliance is through the increase </w:t>
      </w:r>
      <w:r>
        <w:rPr>
          <w:rFonts w:ascii="Times New Roman" w:hAnsi="Times New Roman" w:cs="Times New Roman"/>
          <w:sz w:val="24"/>
          <w:szCs w:val="24"/>
        </w:rPr>
        <w:t>in verifiable third-party information. Experimental and quasi-experimental results indicate that taxpayers are more likely to report if they have assurance that the tax authority possesses independent, transaction-level information. Randomized evidence fro</w:t>
      </w:r>
      <w:r>
        <w:rPr>
          <w:rFonts w:ascii="Times New Roman" w:hAnsi="Times New Roman" w:cs="Times New Roman"/>
          <w:sz w:val="24"/>
          <w:szCs w:val="24"/>
        </w:rPr>
        <w:t xml:space="preserve">m </w:t>
      </w:r>
      <w:proofErr w:type="spellStart"/>
      <w:r>
        <w:rPr>
          <w:rFonts w:ascii="Times New Roman" w:hAnsi="Times New Roman" w:cs="Times New Roman"/>
          <w:sz w:val="24"/>
          <w:szCs w:val="24"/>
        </w:rPr>
        <w:t>Pomeranz's</w:t>
      </w:r>
      <w:proofErr w:type="spellEnd"/>
      <w:r>
        <w:rPr>
          <w:rFonts w:ascii="Times New Roman" w:hAnsi="Times New Roman" w:cs="Times New Roman"/>
          <w:sz w:val="24"/>
          <w:szCs w:val="24"/>
        </w:rPr>
        <w:t xml:space="preserve"> VAT contexts illustrates that credible third-party reporting significantly increases declared VAT by altering deterrence and self-enforcement incentives. (</w:t>
      </w:r>
      <w:proofErr w:type="spellStart"/>
      <w:r>
        <w:rPr>
          <w:rFonts w:ascii="Times New Roman" w:hAnsi="Times New Roman" w:cs="Times New Roman"/>
          <w:sz w:val="24"/>
          <w:szCs w:val="24"/>
        </w:rPr>
        <w:t>Pomeranz</w:t>
      </w:r>
      <w:proofErr w:type="spellEnd"/>
      <w:r>
        <w:rPr>
          <w:rFonts w:ascii="Times New Roman" w:hAnsi="Times New Roman" w:cs="Times New Roman"/>
          <w:sz w:val="24"/>
          <w:szCs w:val="24"/>
        </w:rPr>
        <w:t>, 2015).</w:t>
      </w:r>
    </w:p>
    <w:p w14:paraId="3F2F7222"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E-invoicing and electronic fiscal instruments accomplish this mechanism</w:t>
      </w:r>
      <w:r>
        <w:rPr>
          <w:rFonts w:ascii="Times New Roman" w:hAnsi="Times New Roman" w:cs="Times New Roman"/>
          <w:sz w:val="24"/>
          <w:szCs w:val="24"/>
        </w:rPr>
        <w:t xml:space="preserve"> by rendering invoices and transaction records machine-readable and (if collected in a central fashion) immediately verifiable between buyer, seller and the taxation authority. Empirical evidence is presented that compulsory electronic invoicing can stimul</w:t>
      </w:r>
      <w:r>
        <w:rPr>
          <w:rFonts w:ascii="Times New Roman" w:hAnsi="Times New Roman" w:cs="Times New Roman"/>
          <w:sz w:val="24"/>
          <w:szCs w:val="24"/>
        </w:rPr>
        <w:t>ate reported turnover and VAT obligations effects most pronounced amongst firms with previous weak enforcement or in industries where informal payments are common (</w:t>
      </w:r>
      <w:proofErr w:type="spellStart"/>
      <w:r>
        <w:rPr>
          <w:rFonts w:ascii="Times New Roman" w:hAnsi="Times New Roman" w:cs="Times New Roman"/>
          <w:sz w:val="24"/>
          <w:szCs w:val="24"/>
        </w:rPr>
        <w:t>Bellon</w:t>
      </w:r>
      <w:proofErr w:type="spellEnd"/>
      <w:r>
        <w:rPr>
          <w:rFonts w:ascii="Times New Roman" w:hAnsi="Times New Roman" w:cs="Times New Roman"/>
          <w:sz w:val="24"/>
          <w:szCs w:val="24"/>
        </w:rPr>
        <w:t xml:space="preserve"> et al., 2019). Network externalities are significant too: as trade counterparts imple</w:t>
      </w:r>
      <w:r>
        <w:rPr>
          <w:rFonts w:ascii="Times New Roman" w:hAnsi="Times New Roman" w:cs="Times New Roman"/>
          <w:sz w:val="24"/>
          <w:szCs w:val="24"/>
        </w:rPr>
        <w:t>ment e-invoicing, compliance spillovers increase the impact of the reform in supply chains (IMF follow-up evidence documented below). Big data and AI complement transaction-level reforms. Machine-learning risk models and network-topology aware analytics en</w:t>
      </w:r>
      <w:r>
        <w:rPr>
          <w:rFonts w:ascii="Times New Roman" w:hAnsi="Times New Roman" w:cs="Times New Roman"/>
          <w:sz w:val="24"/>
          <w:szCs w:val="24"/>
        </w:rPr>
        <w:t>hance audit selection efficiency and find unusual patterns in high-dimensional transaction data such that authorities can concentrate limited audit capacity and identify novel types of evasion (</w:t>
      </w:r>
      <w:proofErr w:type="spellStart"/>
      <w:r>
        <w:rPr>
          <w:rFonts w:ascii="Times New Roman" w:hAnsi="Times New Roman" w:cs="Times New Roman"/>
          <w:sz w:val="24"/>
          <w:szCs w:val="24"/>
        </w:rPr>
        <w:t>Baghdasaryan</w:t>
      </w:r>
      <w:proofErr w:type="spellEnd"/>
      <w:r>
        <w:rPr>
          <w:rFonts w:ascii="Times New Roman" w:hAnsi="Times New Roman" w:cs="Times New Roman"/>
          <w:sz w:val="24"/>
          <w:szCs w:val="24"/>
        </w:rPr>
        <w:t xml:space="preserve"> et al., 2022).</w:t>
      </w:r>
    </w:p>
    <w:p w14:paraId="1A3A64F6" w14:textId="77777777" w:rsidR="00A102D6" w:rsidRDefault="002379B8">
      <w:pPr>
        <w:rPr>
          <w:rFonts w:ascii="Times New Roman" w:hAnsi="Times New Roman" w:cs="Times New Roman"/>
          <w:b/>
          <w:bCs/>
          <w:sz w:val="24"/>
          <w:szCs w:val="24"/>
        </w:rPr>
      </w:pPr>
      <w:r>
        <w:rPr>
          <w:rFonts w:ascii="Times New Roman" w:hAnsi="Times New Roman" w:cs="Times New Roman"/>
          <w:b/>
          <w:bCs/>
          <w:sz w:val="24"/>
          <w:szCs w:val="24"/>
        </w:rPr>
        <w:t>3. Representative empirical eviden</w:t>
      </w:r>
      <w:r>
        <w:rPr>
          <w:rFonts w:ascii="Times New Roman" w:hAnsi="Times New Roman" w:cs="Times New Roman"/>
          <w:b/>
          <w:bCs/>
          <w:sz w:val="24"/>
          <w:szCs w:val="24"/>
        </w:rPr>
        <w:t>ce</w:t>
      </w:r>
    </w:p>
    <w:p w14:paraId="4D3FE657" w14:textId="77777777" w:rsidR="00A102D6" w:rsidRDefault="002379B8">
      <w:pPr>
        <w:rPr>
          <w:rFonts w:ascii="Times New Roman" w:hAnsi="Times New Roman" w:cs="Times New Roman"/>
          <w:b/>
          <w:bCs/>
          <w:sz w:val="24"/>
          <w:szCs w:val="24"/>
        </w:rPr>
      </w:pPr>
      <w:r>
        <w:rPr>
          <w:rFonts w:ascii="Times New Roman" w:hAnsi="Times New Roman" w:cs="Times New Roman"/>
          <w:b/>
          <w:bCs/>
          <w:sz w:val="24"/>
          <w:szCs w:val="24"/>
        </w:rPr>
        <w:t>E-invoicing and electronic sales reporting</w:t>
      </w:r>
    </w:p>
    <w:p w14:paraId="2774818E"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Several high-quality quasi-experimental studies corroborate that mandatory e-invoicing increases reported purchases, sales and VAT liabilities. Close inspection of Peru's rolled-out deployment reveals significa</w:t>
      </w:r>
      <w:r>
        <w:rPr>
          <w:rFonts w:ascii="Times New Roman" w:hAnsi="Times New Roman" w:cs="Times New Roman"/>
          <w:sz w:val="24"/>
          <w:szCs w:val="24"/>
        </w:rPr>
        <w:t>nt increases in reported sales and VAT for adopters, particularly small firms and historically low-compliance sectors consistent with increased deterrence and reduced concealment cost once invoices are electronic (</w:t>
      </w:r>
      <w:proofErr w:type="spellStart"/>
      <w:r>
        <w:rPr>
          <w:rFonts w:ascii="Times New Roman" w:hAnsi="Times New Roman" w:cs="Times New Roman"/>
          <w:sz w:val="24"/>
          <w:szCs w:val="24"/>
        </w:rPr>
        <w:t>Bellon</w:t>
      </w:r>
      <w:proofErr w:type="spellEnd"/>
      <w:r>
        <w:rPr>
          <w:rFonts w:ascii="Times New Roman" w:hAnsi="Times New Roman" w:cs="Times New Roman"/>
          <w:sz w:val="24"/>
          <w:szCs w:val="24"/>
        </w:rPr>
        <w:t xml:space="preserve"> et al., 2019). Consistent with Ital</w:t>
      </w:r>
      <w:r>
        <w:rPr>
          <w:rFonts w:ascii="Times New Roman" w:hAnsi="Times New Roman" w:cs="Times New Roman"/>
          <w:sz w:val="24"/>
          <w:szCs w:val="24"/>
        </w:rPr>
        <w:t>y, supporting evidence indicates that mandatory e-invoicing across the country curbed estimated cross-country VAT fraud considerably and realized actual revenue gains in the first year of enforcement (Heinemann &amp; Stiller, 2024). Lower-income country resear</w:t>
      </w:r>
      <w:r>
        <w:rPr>
          <w:rFonts w:ascii="Times New Roman" w:hAnsi="Times New Roman" w:cs="Times New Roman"/>
          <w:sz w:val="24"/>
          <w:szCs w:val="24"/>
        </w:rPr>
        <w:t xml:space="preserve">ch in Peru and other lower-income environments also record revenue gains after the application of e-invoicing or fiscal instruments online, </w:t>
      </w:r>
      <w:r>
        <w:rPr>
          <w:rFonts w:ascii="Times New Roman" w:hAnsi="Times New Roman" w:cs="Times New Roman"/>
          <w:sz w:val="24"/>
          <w:szCs w:val="24"/>
        </w:rPr>
        <w:lastRenderedPageBreak/>
        <w:t>even though realized impacts vary depending on controls available (</w:t>
      </w:r>
      <w:commentRangeStart w:id="19"/>
      <w:r>
        <w:rPr>
          <w:rFonts w:ascii="Times New Roman" w:hAnsi="Times New Roman" w:cs="Times New Roman"/>
          <w:sz w:val="24"/>
          <w:szCs w:val="24"/>
        </w:rPr>
        <w:t>Mascag</w:t>
      </w:r>
      <w:commentRangeEnd w:id="19"/>
      <w:r w:rsidR="0024401B">
        <w:rPr>
          <w:rStyle w:val="CommentReference"/>
        </w:rPr>
        <w:commentReference w:id="19"/>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et al., 2021).</w:t>
      </w:r>
    </w:p>
    <w:p w14:paraId="3B9AF848" w14:textId="77777777" w:rsidR="00A102D6" w:rsidRDefault="002379B8">
      <w:pPr>
        <w:rPr>
          <w:rFonts w:ascii="Times New Roman" w:hAnsi="Times New Roman" w:cs="Times New Roman"/>
          <w:b/>
          <w:bCs/>
          <w:sz w:val="24"/>
          <w:szCs w:val="24"/>
        </w:rPr>
      </w:pPr>
      <w:r>
        <w:rPr>
          <w:rFonts w:ascii="Times New Roman" w:hAnsi="Times New Roman" w:cs="Times New Roman"/>
          <w:b/>
          <w:bCs/>
          <w:sz w:val="24"/>
          <w:szCs w:val="24"/>
        </w:rPr>
        <w:t>Third-party information a</w:t>
      </w:r>
      <w:r>
        <w:rPr>
          <w:rFonts w:ascii="Times New Roman" w:hAnsi="Times New Roman" w:cs="Times New Roman"/>
          <w:b/>
          <w:bCs/>
          <w:sz w:val="24"/>
          <w:szCs w:val="24"/>
        </w:rPr>
        <w:t>nd consumer reporting</w:t>
      </w:r>
    </w:p>
    <w:p w14:paraId="4333B7E0"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Third-party reporting policy experiments with intermediaries or consumers have high multiplier effects: randomized deterrence experiments and consumer reward schemes in Brazil (nota-fiscal schemes) show that extra information channels</w:t>
      </w:r>
      <w:r>
        <w:rPr>
          <w:rFonts w:ascii="Times New Roman" w:hAnsi="Times New Roman" w:cs="Times New Roman"/>
          <w:sz w:val="24"/>
          <w:szCs w:val="24"/>
        </w:rPr>
        <w:t xml:space="preserve"> (notifications, receipts verifiable by the authority) strongly increase declared transactions (</w:t>
      </w:r>
      <w:proofErr w:type="spellStart"/>
      <w:r>
        <w:rPr>
          <w:rFonts w:ascii="Times New Roman" w:hAnsi="Times New Roman" w:cs="Times New Roman"/>
          <w:sz w:val="24"/>
          <w:szCs w:val="24"/>
        </w:rPr>
        <w:t>Naritomi</w:t>
      </w:r>
      <w:proofErr w:type="spellEnd"/>
      <w:r>
        <w:rPr>
          <w:rFonts w:ascii="Times New Roman" w:hAnsi="Times New Roman" w:cs="Times New Roman"/>
          <w:sz w:val="24"/>
          <w:szCs w:val="24"/>
        </w:rPr>
        <w:t xml:space="preserve">, 2019; </w:t>
      </w:r>
      <w:proofErr w:type="spellStart"/>
      <w:r>
        <w:rPr>
          <w:rFonts w:ascii="Times New Roman" w:hAnsi="Times New Roman" w:cs="Times New Roman"/>
          <w:sz w:val="24"/>
          <w:szCs w:val="24"/>
        </w:rPr>
        <w:t>Pomeranz</w:t>
      </w:r>
      <w:proofErr w:type="spellEnd"/>
      <w:r>
        <w:rPr>
          <w:rFonts w:ascii="Times New Roman" w:hAnsi="Times New Roman" w:cs="Times New Roman"/>
          <w:sz w:val="24"/>
          <w:szCs w:val="24"/>
        </w:rPr>
        <w:t>, 2015). These experiments corroborate that verifiable, easy-to-process information provokes voluntary compliance.</w:t>
      </w:r>
    </w:p>
    <w:p w14:paraId="3221DE6C" w14:textId="77777777" w:rsidR="00A102D6" w:rsidRDefault="002379B8">
      <w:pPr>
        <w:rPr>
          <w:rFonts w:ascii="Times New Roman" w:hAnsi="Times New Roman" w:cs="Times New Roman"/>
          <w:b/>
          <w:bCs/>
          <w:sz w:val="24"/>
          <w:szCs w:val="24"/>
        </w:rPr>
      </w:pPr>
      <w:r>
        <w:rPr>
          <w:rFonts w:ascii="Times New Roman" w:hAnsi="Times New Roman" w:cs="Times New Roman"/>
          <w:b/>
          <w:bCs/>
          <w:sz w:val="24"/>
          <w:szCs w:val="24"/>
        </w:rPr>
        <w:t xml:space="preserve">AI, machine learning </w:t>
      </w:r>
      <w:r>
        <w:rPr>
          <w:rFonts w:ascii="Times New Roman" w:hAnsi="Times New Roman" w:cs="Times New Roman"/>
          <w:b/>
          <w:bCs/>
          <w:sz w:val="24"/>
          <w:szCs w:val="24"/>
        </w:rPr>
        <w:t>and audit targeting</w:t>
      </w:r>
    </w:p>
    <w:p w14:paraId="585EAB1A"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ML in auditing and suggests strategies to overcome these challenges. Overall, this paper aims to provide a comprehensive overview (</w:t>
      </w:r>
      <w:proofErr w:type="spellStart"/>
      <w:r>
        <w:rPr>
          <w:rFonts w:ascii="Times New Roman" w:hAnsi="Times New Roman" w:cs="Times New Roman"/>
          <w:sz w:val="24"/>
          <w:szCs w:val="24"/>
        </w:rPr>
        <w:t>Adelakun</w:t>
      </w:r>
      <w:proofErr w:type="spellEnd"/>
      <w:r>
        <w:rPr>
          <w:rFonts w:ascii="Times New Roman" w:hAnsi="Times New Roman" w:cs="Times New Roman"/>
          <w:sz w:val="24"/>
          <w:szCs w:val="24"/>
        </w:rPr>
        <w:t xml:space="preserve"> et al., 2024) of the benefits and challenges of integrating ML algorithms into audit processes. </w:t>
      </w:r>
      <w:r>
        <w:rPr>
          <w:rFonts w:ascii="Times New Roman" w:hAnsi="Times New Roman" w:cs="Times New Roman"/>
          <w:sz w:val="24"/>
          <w:szCs w:val="24"/>
        </w:rPr>
        <w:t xml:space="preserve"> It will discuss the potential impact of ML on audit practices and how auditors can leverage this technology to improve audit outcomes. Auditing plays a crucial role in ensuring the integrity and reliability of financial information.  It involves a systema</w:t>
      </w:r>
      <w:r>
        <w:rPr>
          <w:rFonts w:ascii="Times New Roman" w:hAnsi="Times New Roman" w:cs="Times New Roman"/>
          <w:sz w:val="24"/>
          <w:szCs w:val="24"/>
        </w:rPr>
        <w:t>tic examination of financial records, transactions, and operations to verify their accuracy and compliance with relevant laws and regulations. As businesses and financial transactions become increasingly complex, auditors are turning to advanced technologi</w:t>
      </w:r>
      <w:r>
        <w:rPr>
          <w:rFonts w:ascii="Times New Roman" w:hAnsi="Times New Roman" w:cs="Times New Roman"/>
          <w:sz w:val="24"/>
          <w:szCs w:val="24"/>
        </w:rPr>
        <w:t>es, such as machine learning (ML), to enhance audit processes (</w:t>
      </w:r>
      <w:proofErr w:type="spellStart"/>
      <w:r>
        <w:rPr>
          <w:rFonts w:ascii="Times New Roman" w:hAnsi="Times New Roman" w:cs="Times New Roman"/>
          <w:sz w:val="24"/>
          <w:szCs w:val="24"/>
        </w:rPr>
        <w:t>Fotoh</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Lorentzon</w:t>
      </w:r>
      <w:proofErr w:type="spellEnd"/>
      <w:r>
        <w:rPr>
          <w:rFonts w:ascii="Times New Roman" w:hAnsi="Times New Roman" w:cs="Times New Roman"/>
          <w:sz w:val="24"/>
          <w:szCs w:val="24"/>
        </w:rPr>
        <w:t xml:space="preserve">, 2023, </w:t>
      </w:r>
      <w:proofErr w:type="spellStart"/>
      <w:r>
        <w:rPr>
          <w:rFonts w:ascii="Times New Roman" w:hAnsi="Times New Roman" w:cs="Times New Roman"/>
          <w:sz w:val="24"/>
          <w:szCs w:val="24"/>
        </w:rPr>
        <w:t>Imoniana</w:t>
      </w:r>
      <w:proofErr w:type="spellEnd"/>
      <w:r>
        <w:rPr>
          <w:rFonts w:ascii="Times New Roman" w:hAnsi="Times New Roman" w:cs="Times New Roman"/>
          <w:sz w:val="24"/>
          <w:szCs w:val="24"/>
        </w:rPr>
        <w:t xml:space="preserve">, et. al., 2023, </w:t>
      </w:r>
      <w:proofErr w:type="spellStart"/>
      <w:r>
        <w:rPr>
          <w:rFonts w:ascii="Times New Roman" w:hAnsi="Times New Roman" w:cs="Times New Roman"/>
          <w:sz w:val="24"/>
          <w:szCs w:val="24"/>
        </w:rPr>
        <w:t>Kanaparthi</w:t>
      </w:r>
      <w:proofErr w:type="spellEnd"/>
      <w:r>
        <w:rPr>
          <w:rFonts w:ascii="Times New Roman" w:hAnsi="Times New Roman" w:cs="Times New Roman"/>
          <w:sz w:val="24"/>
          <w:szCs w:val="24"/>
        </w:rPr>
        <w:t>, 2024). Machine learning, a subset of artificial intelligence (AI), involves the development of algorithms that can learn from and m</w:t>
      </w:r>
      <w:r>
        <w:rPr>
          <w:rFonts w:ascii="Times New Roman" w:hAnsi="Times New Roman" w:cs="Times New Roman"/>
          <w:sz w:val="24"/>
          <w:szCs w:val="24"/>
        </w:rPr>
        <w:t>ake predictions or decisions based on data</w:t>
      </w:r>
    </w:p>
    <w:p w14:paraId="42D6E46E" w14:textId="77777777" w:rsidR="00A102D6" w:rsidRDefault="002379B8">
      <w:pPr>
        <w:pStyle w:val="Heading2"/>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Applied ML enhances the efficiency of auditing by enhancing fraud/under-reporting accuracy detection and by utilizing network information (buyer/supplier relationships, payment flows) for collusion or missing-trad</w:t>
      </w:r>
      <w:r>
        <w:rPr>
          <w:rFonts w:ascii="Times New Roman" w:hAnsi="Times New Roman" w:cs="Times New Roman"/>
          <w:b w:val="0"/>
          <w:bCs w:val="0"/>
          <w:color w:val="000000" w:themeColor="text1"/>
          <w:sz w:val="24"/>
          <w:szCs w:val="24"/>
        </w:rPr>
        <w:t>er scheme detection. New applied studies indicate gradient-boosting and other ensemble techniques via taxpayer network features outperforming straightforward rule-based selection, enhancing the hit-rate of audits as well as assisting revenue agencies in ca</w:t>
      </w:r>
      <w:r>
        <w:rPr>
          <w:rFonts w:ascii="Times New Roman" w:hAnsi="Times New Roman" w:cs="Times New Roman"/>
          <w:b w:val="0"/>
          <w:bCs w:val="0"/>
          <w:color w:val="000000" w:themeColor="text1"/>
          <w:sz w:val="24"/>
          <w:szCs w:val="24"/>
        </w:rPr>
        <w:t>se prioritization (</w:t>
      </w:r>
      <w:proofErr w:type="spellStart"/>
      <w:r>
        <w:rPr>
          <w:rFonts w:ascii="Times New Roman" w:hAnsi="Times New Roman" w:cs="Times New Roman"/>
          <w:b w:val="0"/>
          <w:bCs w:val="0"/>
          <w:color w:val="000000" w:themeColor="text1"/>
          <w:sz w:val="24"/>
          <w:szCs w:val="24"/>
        </w:rPr>
        <w:t>Baghdasaryan</w:t>
      </w:r>
      <w:proofErr w:type="spellEnd"/>
      <w:r>
        <w:rPr>
          <w:rFonts w:ascii="Times New Roman" w:hAnsi="Times New Roman" w:cs="Times New Roman"/>
          <w:b w:val="0"/>
          <w:bCs w:val="0"/>
          <w:color w:val="000000" w:themeColor="text1"/>
          <w:sz w:val="24"/>
          <w:szCs w:val="24"/>
        </w:rPr>
        <w:t xml:space="preserve"> et al., 2022). Operational deployments (as documented in policy reports) show that analytic platforms and AI can have a material impact on reducing human effort and enabling more transaction screening, but author teams cite </w:t>
      </w:r>
      <w:r>
        <w:rPr>
          <w:rFonts w:ascii="Times New Roman" w:hAnsi="Times New Roman" w:cs="Times New Roman"/>
          <w:b w:val="0"/>
          <w:bCs w:val="0"/>
          <w:color w:val="000000" w:themeColor="text1"/>
          <w:sz w:val="24"/>
          <w:szCs w:val="24"/>
        </w:rPr>
        <w:t xml:space="preserve">governance and </w:t>
      </w:r>
      <w:proofErr w:type="spellStart"/>
      <w:r>
        <w:rPr>
          <w:rFonts w:ascii="Times New Roman" w:hAnsi="Times New Roman" w:cs="Times New Roman"/>
          <w:b w:val="0"/>
          <w:bCs w:val="0"/>
          <w:color w:val="000000" w:themeColor="text1"/>
          <w:sz w:val="24"/>
          <w:szCs w:val="24"/>
        </w:rPr>
        <w:t>explainability</w:t>
      </w:r>
      <w:proofErr w:type="spellEnd"/>
      <w:r>
        <w:rPr>
          <w:rFonts w:ascii="Times New Roman" w:hAnsi="Times New Roman" w:cs="Times New Roman"/>
          <w:b w:val="0"/>
          <w:bCs w:val="0"/>
          <w:color w:val="000000" w:themeColor="text1"/>
          <w:sz w:val="24"/>
          <w:szCs w:val="24"/>
        </w:rPr>
        <w:t xml:space="preserve"> constraints</w:t>
      </w:r>
    </w:p>
    <w:p w14:paraId="49061D96" w14:textId="77777777" w:rsidR="00A102D6" w:rsidRDefault="00A102D6">
      <w:pPr>
        <w:pStyle w:val="Heading2"/>
        <w:rPr>
          <w:rFonts w:ascii="Times New Roman" w:hAnsi="Times New Roman" w:cs="Times New Roman"/>
          <w:color w:val="000000" w:themeColor="text1"/>
          <w:sz w:val="24"/>
          <w:szCs w:val="24"/>
        </w:rPr>
      </w:pPr>
    </w:p>
    <w:p w14:paraId="0AA9E43A" w14:textId="77777777" w:rsidR="00A102D6" w:rsidRDefault="002379B8">
      <w:pPr>
        <w:pStyle w:val="Heading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Material and </w:t>
      </w:r>
      <w:commentRangeStart w:id="20"/>
      <w:r>
        <w:rPr>
          <w:rFonts w:ascii="Times New Roman" w:hAnsi="Times New Roman" w:cs="Times New Roman"/>
          <w:color w:val="000000" w:themeColor="text1"/>
          <w:sz w:val="24"/>
          <w:szCs w:val="24"/>
        </w:rPr>
        <w:t>Methods</w:t>
      </w:r>
      <w:commentRangeEnd w:id="20"/>
      <w:r w:rsidR="003A4D91">
        <w:rPr>
          <w:rStyle w:val="CommentReference"/>
          <w:rFonts w:asciiTheme="minorHAnsi" w:eastAsiaTheme="minorEastAsia" w:hAnsiTheme="minorHAnsi" w:cstheme="minorBidi"/>
          <w:b w:val="0"/>
          <w:bCs w:val="0"/>
          <w:color w:val="auto"/>
        </w:rPr>
        <w:commentReference w:id="20"/>
      </w:r>
      <w:r>
        <w:rPr>
          <w:rFonts w:ascii="Times New Roman" w:hAnsi="Times New Roman" w:cs="Times New Roman"/>
          <w:color w:val="000000" w:themeColor="text1"/>
          <w:sz w:val="24"/>
          <w:szCs w:val="24"/>
        </w:rPr>
        <w:t xml:space="preserve"> </w:t>
      </w:r>
    </w:p>
    <w:p w14:paraId="32A54BA7"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br/>
        <w:t xml:space="preserve"> Research Design</w:t>
      </w:r>
    </w:p>
    <w:p w14:paraId="0A54238F"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lastRenderedPageBreak/>
        <w:t xml:space="preserve">This research employs a simulation quantitative research approach with its anchor rooted in a behavioral mathematical model and computation calibration to quantify </w:t>
      </w:r>
      <w:proofErr w:type="spellStart"/>
      <w:r>
        <w:rPr>
          <w:rFonts w:ascii="Times New Roman" w:hAnsi="Times New Roman" w:cs="Times New Roman"/>
          <w:sz w:val="24"/>
          <w:szCs w:val="24"/>
        </w:rPr>
        <w:t>blockchain's</w:t>
      </w:r>
      <w:proofErr w:type="spellEnd"/>
      <w:r>
        <w:rPr>
          <w:rFonts w:ascii="Times New Roman" w:hAnsi="Times New Roman" w:cs="Times New Roman"/>
          <w:sz w:val="24"/>
          <w:szCs w:val="24"/>
        </w:rPr>
        <w:t xml:space="preserve"> potential impact on tax compliance and revenue collection in Nigeria. The model is predictive–evaluative in nature appropriate where empirical adoption data is lacking. The model measures the extent to which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-enforced enforcement sys</w:t>
      </w:r>
      <w:r>
        <w:rPr>
          <w:rFonts w:ascii="Times New Roman" w:hAnsi="Times New Roman" w:cs="Times New Roman"/>
          <w:sz w:val="24"/>
          <w:szCs w:val="24"/>
        </w:rPr>
        <w:t>tems change taxpayers' compliance opportunity, under-reporting opportunity, and detection opportunity.</w:t>
      </w:r>
    </w:p>
    <w:p w14:paraId="58E4C8EA"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Model Specification</w:t>
      </w:r>
    </w:p>
    <w:p w14:paraId="5BFC9A0A" w14:textId="77777777" w:rsidR="00A102D6" w:rsidRDefault="002379B8">
      <w:pPr>
        <w:rPr>
          <w:rFonts w:ascii="Times New Roman" w:hAnsi="Times New Roman" w:cs="Times New Roman"/>
          <w:i/>
          <w:iCs/>
          <w:sz w:val="24"/>
          <w:szCs w:val="24"/>
        </w:rPr>
      </w:pPr>
      <w:r>
        <w:rPr>
          <w:rFonts w:ascii="Times New Roman" w:hAnsi="Times New Roman" w:cs="Times New Roman"/>
          <w:sz w:val="24"/>
          <w:szCs w:val="24"/>
        </w:rPr>
        <w:t xml:space="preserve">Let </w:t>
      </w:r>
      <w:proofErr w:type="spellStart"/>
      <w:r>
        <w:rPr>
          <w:rFonts w:ascii="Times New Roman" w:hAnsi="Times New Roman" w:cs="Times New Roman"/>
          <w:sz w:val="24"/>
          <w:szCs w:val="24"/>
        </w:rPr>
        <w:t>Y_i</w:t>
      </w:r>
      <w:proofErr w:type="spellEnd"/>
      <w:r>
        <w:rPr>
          <w:rFonts w:ascii="Times New Roman" w:hAnsi="Times New Roman" w:cs="Times New Roman"/>
          <w:sz w:val="24"/>
          <w:szCs w:val="24"/>
        </w:rPr>
        <w:t xml:space="preserve"> denote firm i’s VAT-liable sales, and t the statutory VAT rate.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adoption intensity is represented as B </w:t>
      </w:r>
      <w:r>
        <w:rPr>
          <w:rFonts w:ascii="Cambria Math" w:hAnsi="Cambria Math" w:cs="Cambria Math"/>
          <w:sz w:val="24"/>
          <w:szCs w:val="24"/>
        </w:rPr>
        <w:t>∈</w:t>
      </w:r>
      <w:r>
        <w:rPr>
          <w:rFonts w:ascii="Times New Roman" w:hAnsi="Times New Roman" w:cs="Times New Roman"/>
          <w:sz w:val="24"/>
          <w:szCs w:val="24"/>
        </w:rPr>
        <w:t xml:space="preserve"> [0, 1]. E</w:t>
      </w:r>
      <w:r>
        <w:rPr>
          <w:rFonts w:ascii="Times New Roman" w:hAnsi="Times New Roman" w:cs="Times New Roman"/>
          <w:sz w:val="24"/>
          <w:szCs w:val="24"/>
        </w:rPr>
        <w:t xml:space="preserve">xpected government revenue per firm under adoption </w:t>
      </w:r>
      <w:r>
        <w:rPr>
          <w:rFonts w:ascii="Times New Roman" w:hAnsi="Times New Roman" w:cs="Times New Roman"/>
          <w:i/>
          <w:iCs/>
          <w:sz w:val="24"/>
          <w:szCs w:val="24"/>
        </w:rPr>
        <w:t>level B is defined as:</w:t>
      </w:r>
      <w:r>
        <w:rPr>
          <w:rFonts w:ascii="Times New Roman" w:hAnsi="Times New Roman" w:cs="Times New Roman"/>
          <w:i/>
          <w:iCs/>
          <w:sz w:val="24"/>
          <w:szCs w:val="24"/>
        </w:rPr>
        <w:br/>
        <w:t>E[</w:t>
      </w:r>
      <w:proofErr w:type="spellStart"/>
      <w:r>
        <w:rPr>
          <w:rFonts w:ascii="Times New Roman" w:hAnsi="Times New Roman" w:cs="Times New Roman"/>
          <w:i/>
          <w:iCs/>
          <w:sz w:val="24"/>
          <w:szCs w:val="24"/>
        </w:rPr>
        <w:t>R_i</w:t>
      </w:r>
      <w:proofErr w:type="spellEnd"/>
      <w:r>
        <w:rPr>
          <w:rFonts w:ascii="Times New Roman" w:hAnsi="Times New Roman" w:cs="Times New Roman"/>
          <w:i/>
          <w:iCs/>
          <w:sz w:val="24"/>
          <w:szCs w:val="24"/>
        </w:rPr>
        <w:t>(</w:t>
      </w:r>
      <w:proofErr w:type="spellStart"/>
      <w:r>
        <w:rPr>
          <w:rFonts w:ascii="Times New Roman" w:hAnsi="Times New Roman" w:cs="Times New Roman"/>
          <w:i/>
          <w:iCs/>
          <w:sz w:val="24"/>
          <w:szCs w:val="24"/>
        </w:rPr>
        <w:t>Y_i</w:t>
      </w:r>
      <w:proofErr w:type="spellEnd"/>
      <w:r>
        <w:rPr>
          <w:rFonts w:ascii="Times New Roman" w:hAnsi="Times New Roman" w:cs="Times New Roman"/>
          <w:i/>
          <w:iCs/>
          <w:sz w:val="24"/>
          <w:szCs w:val="24"/>
        </w:rPr>
        <w:t xml:space="preserve">, B)] = </w:t>
      </w:r>
      <w:proofErr w:type="spellStart"/>
      <w:r>
        <w:rPr>
          <w:rFonts w:ascii="Times New Roman" w:hAnsi="Times New Roman" w:cs="Times New Roman"/>
          <w:i/>
          <w:iCs/>
          <w:sz w:val="24"/>
          <w:szCs w:val="24"/>
        </w:rPr>
        <w:t>tY_i</w:t>
      </w:r>
      <w:proofErr w:type="spellEnd"/>
      <w:r>
        <w:rPr>
          <w:rFonts w:ascii="Times New Roman" w:hAnsi="Times New Roman" w:cs="Times New Roman"/>
          <w:i/>
          <w:iCs/>
          <w:sz w:val="24"/>
          <w:szCs w:val="24"/>
        </w:rPr>
        <w:t xml:space="preserve"> [P(B) + (1 - P(B))((1 - q(B))(1 - u(B)) + q(B)(1 + u(B)))]</w:t>
      </w:r>
      <w:r>
        <w:rPr>
          <w:rFonts w:ascii="Times New Roman" w:hAnsi="Times New Roman" w:cs="Times New Roman"/>
          <w:i/>
          <w:iCs/>
          <w:sz w:val="24"/>
          <w:szCs w:val="24"/>
        </w:rPr>
        <w:br/>
      </w:r>
      <w:r>
        <w:rPr>
          <w:rFonts w:ascii="Times New Roman" w:hAnsi="Times New Roman" w:cs="Times New Roman"/>
          <w:i/>
          <w:iCs/>
          <w:sz w:val="24"/>
          <w:szCs w:val="24"/>
        </w:rPr>
        <w:br/>
        <w:t>Where:</w:t>
      </w:r>
    </w:p>
    <w:p w14:paraId="04AE5418" w14:textId="77777777" w:rsidR="00A102D6" w:rsidRDefault="002379B8">
      <w:pPr>
        <w:pStyle w:val="ListParagraph"/>
        <w:numPr>
          <w:ilvl w:val="0"/>
          <w:numId w:val="7"/>
        </w:numPr>
        <w:rPr>
          <w:rFonts w:ascii="Times New Roman" w:hAnsi="Times New Roman" w:cs="Times New Roman"/>
          <w:sz w:val="24"/>
          <w:szCs w:val="24"/>
        </w:rPr>
      </w:pPr>
      <w:r>
        <w:rPr>
          <w:rFonts w:ascii="Times New Roman" w:hAnsi="Times New Roman" w:cs="Times New Roman"/>
          <w:i/>
          <w:iCs/>
          <w:sz w:val="24"/>
          <w:szCs w:val="24"/>
        </w:rPr>
        <w:t>P(B):</w:t>
      </w:r>
      <w:r>
        <w:rPr>
          <w:rFonts w:ascii="Times New Roman" w:hAnsi="Times New Roman" w:cs="Times New Roman"/>
          <w:sz w:val="24"/>
          <w:szCs w:val="24"/>
        </w:rPr>
        <w:t xml:space="preserve"> probability of truthful reporting,</w:t>
      </w:r>
    </w:p>
    <w:p w14:paraId="2EDCC3C2" w14:textId="77777777" w:rsidR="00A102D6" w:rsidRDefault="002379B8">
      <w:pPr>
        <w:pStyle w:val="ListParagraph"/>
        <w:numPr>
          <w:ilvl w:val="0"/>
          <w:numId w:val="7"/>
        </w:numPr>
        <w:rPr>
          <w:rFonts w:ascii="Times New Roman" w:hAnsi="Times New Roman" w:cs="Times New Roman"/>
          <w:i/>
          <w:iCs/>
          <w:sz w:val="24"/>
          <w:szCs w:val="24"/>
        </w:rPr>
      </w:pPr>
      <w:r>
        <w:rPr>
          <w:rFonts w:ascii="Times New Roman" w:hAnsi="Times New Roman" w:cs="Times New Roman"/>
          <w:i/>
          <w:iCs/>
          <w:sz w:val="24"/>
          <w:szCs w:val="24"/>
        </w:rPr>
        <w:t xml:space="preserve">u(B): </w:t>
      </w:r>
      <w:r>
        <w:rPr>
          <w:rFonts w:ascii="Times New Roman" w:hAnsi="Times New Roman" w:cs="Times New Roman"/>
          <w:sz w:val="24"/>
          <w:szCs w:val="24"/>
        </w:rPr>
        <w:t>ratio of unreported transactions</w:t>
      </w:r>
      <w:r>
        <w:rPr>
          <w:rFonts w:ascii="Times New Roman" w:hAnsi="Times New Roman" w:cs="Times New Roman"/>
          <w:i/>
          <w:iCs/>
          <w:sz w:val="24"/>
          <w:szCs w:val="24"/>
        </w:rPr>
        <w:t>,</w:t>
      </w:r>
    </w:p>
    <w:p w14:paraId="664EB54D" w14:textId="77777777" w:rsidR="00A102D6" w:rsidRDefault="002379B8">
      <w:pPr>
        <w:pStyle w:val="ListParagraph"/>
        <w:numPr>
          <w:ilvl w:val="0"/>
          <w:numId w:val="7"/>
        </w:numPr>
        <w:rPr>
          <w:rFonts w:ascii="Times New Roman" w:hAnsi="Times New Roman" w:cs="Times New Roman"/>
          <w:i/>
          <w:iCs/>
          <w:sz w:val="24"/>
          <w:szCs w:val="24"/>
        </w:rPr>
      </w:pPr>
      <w:r>
        <w:rPr>
          <w:rFonts w:ascii="Times New Roman" w:hAnsi="Times New Roman" w:cs="Times New Roman"/>
          <w:i/>
          <w:iCs/>
          <w:sz w:val="24"/>
          <w:szCs w:val="24"/>
        </w:rPr>
        <w:t xml:space="preserve">q(B): </w:t>
      </w:r>
      <w:r>
        <w:rPr>
          <w:rFonts w:ascii="Times New Roman" w:hAnsi="Times New Roman" w:cs="Times New Roman"/>
          <w:sz w:val="24"/>
          <w:szCs w:val="24"/>
        </w:rPr>
        <w:t>detect</w:t>
      </w:r>
      <w:r>
        <w:rPr>
          <w:rFonts w:ascii="Times New Roman" w:hAnsi="Times New Roman" w:cs="Times New Roman"/>
          <w:sz w:val="24"/>
          <w:szCs w:val="24"/>
        </w:rPr>
        <w:t>ion probability</w:t>
      </w:r>
      <w:r>
        <w:rPr>
          <w:rFonts w:ascii="Times New Roman" w:hAnsi="Times New Roman" w:cs="Times New Roman"/>
          <w:i/>
          <w:iCs/>
          <w:sz w:val="24"/>
          <w:szCs w:val="24"/>
        </w:rPr>
        <w:t>,</w:t>
      </w:r>
    </w:p>
    <w:p w14:paraId="748E4447" w14:textId="77777777" w:rsidR="00A102D6" w:rsidRDefault="002379B8">
      <w:pPr>
        <w:pStyle w:val="ListParagraph"/>
        <w:numPr>
          <w:ilvl w:val="0"/>
          <w:numId w:val="7"/>
        </w:numPr>
        <w:rPr>
          <w:rFonts w:ascii="Times New Roman" w:hAnsi="Times New Roman" w:cs="Times New Roman"/>
          <w:sz w:val="24"/>
          <w:szCs w:val="24"/>
        </w:rPr>
      </w:pPr>
      <w:r>
        <w:rPr>
          <w:rFonts w:ascii="Times New Roman" w:hAnsi="Times New Roman" w:cs="Times New Roman"/>
          <w:i/>
          <w:iCs/>
          <w:sz w:val="24"/>
          <w:szCs w:val="24"/>
        </w:rPr>
        <w:t xml:space="preserve">q(B) </w:t>
      </w:r>
      <w:r>
        <w:rPr>
          <w:rFonts w:ascii="Times New Roman" w:hAnsi="Times New Roman" w:cs="Times New Roman"/>
          <w:sz w:val="24"/>
          <w:szCs w:val="24"/>
        </w:rPr>
        <w:t>and P(B) rise with B,</w:t>
      </w:r>
    </w:p>
    <w:p w14:paraId="10DE5AEC" w14:textId="77777777" w:rsidR="00A102D6" w:rsidRDefault="002379B8">
      <w:pPr>
        <w:pStyle w:val="ListParagraph"/>
        <w:numPr>
          <w:ilvl w:val="0"/>
          <w:numId w:val="7"/>
        </w:numPr>
        <w:rPr>
          <w:rFonts w:ascii="Times New Roman" w:hAnsi="Times New Roman" w:cs="Times New Roman"/>
          <w:sz w:val="24"/>
          <w:szCs w:val="24"/>
        </w:rPr>
      </w:pPr>
      <w:proofErr w:type="gramStart"/>
      <w:r>
        <w:rPr>
          <w:rFonts w:ascii="Times New Roman" w:hAnsi="Times New Roman" w:cs="Times New Roman"/>
          <w:i/>
          <w:iCs/>
          <w:sz w:val="24"/>
          <w:szCs w:val="24"/>
        </w:rPr>
        <w:t>u(</w:t>
      </w:r>
      <w:proofErr w:type="gramEnd"/>
      <w:r>
        <w:rPr>
          <w:rFonts w:ascii="Times New Roman" w:hAnsi="Times New Roman" w:cs="Times New Roman"/>
          <w:i/>
          <w:iCs/>
          <w:sz w:val="24"/>
          <w:szCs w:val="24"/>
        </w:rPr>
        <w:t xml:space="preserve">B) </w:t>
      </w:r>
      <w:r>
        <w:rPr>
          <w:rFonts w:ascii="Times New Roman" w:hAnsi="Times New Roman" w:cs="Times New Roman"/>
          <w:sz w:val="24"/>
          <w:szCs w:val="24"/>
        </w:rPr>
        <w:t>falls with B.</w:t>
      </w:r>
    </w:p>
    <w:p w14:paraId="3D52BE6A"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Aggregate expected revenue is given as:</w:t>
      </w:r>
    </w:p>
    <w:p w14:paraId="2A5FC891" w14:textId="77777777" w:rsidR="00A102D6" w:rsidRDefault="002379B8">
      <w:pPr>
        <w:pStyle w:val="ListParagraph"/>
        <w:numPr>
          <w:ilvl w:val="0"/>
          <w:numId w:val="8"/>
        </w:numPr>
        <w:rPr>
          <w:rFonts w:ascii="Times New Roman" w:hAnsi="Times New Roman" w:cs="Times New Roman"/>
          <w:sz w:val="24"/>
          <w:szCs w:val="24"/>
        </w:rPr>
      </w:pPr>
      <w:proofErr w:type="spellStart"/>
      <w:r>
        <w:rPr>
          <w:rFonts w:ascii="Times New Roman" w:hAnsi="Times New Roman" w:cs="Times New Roman"/>
          <w:i/>
          <w:iCs/>
          <w:sz w:val="24"/>
          <w:szCs w:val="24"/>
        </w:rPr>
        <w:t>R_</w:t>
      </w:r>
      <w:proofErr w:type="gramStart"/>
      <w:r>
        <w:rPr>
          <w:rFonts w:ascii="Times New Roman" w:hAnsi="Times New Roman" w:cs="Times New Roman"/>
          <w:i/>
          <w:iCs/>
          <w:sz w:val="24"/>
          <w:szCs w:val="24"/>
        </w:rPr>
        <w:t>tot</w:t>
      </w:r>
      <w:proofErr w:type="spellEnd"/>
      <w:r>
        <w:rPr>
          <w:rFonts w:ascii="Times New Roman" w:hAnsi="Times New Roman" w:cs="Times New Roman"/>
          <w:i/>
          <w:iCs/>
          <w:sz w:val="24"/>
          <w:szCs w:val="24"/>
        </w:rPr>
        <w:t>(</w:t>
      </w:r>
      <w:proofErr w:type="gramEnd"/>
      <w:r>
        <w:rPr>
          <w:rFonts w:ascii="Times New Roman" w:hAnsi="Times New Roman" w:cs="Times New Roman"/>
          <w:i/>
          <w:iCs/>
          <w:sz w:val="24"/>
          <w:szCs w:val="24"/>
        </w:rPr>
        <w:t xml:space="preserve">B) = </w:t>
      </w:r>
      <w:proofErr w:type="spellStart"/>
      <w:r>
        <w:rPr>
          <w:rFonts w:ascii="Times New Roman" w:hAnsi="Times New Roman" w:cs="Times New Roman"/>
          <w:i/>
          <w:iCs/>
          <w:sz w:val="24"/>
          <w:szCs w:val="24"/>
        </w:rPr>
        <w:t>NtE</w:t>
      </w:r>
      <w:proofErr w:type="spellEnd"/>
      <w:r>
        <w:rPr>
          <w:rFonts w:ascii="Times New Roman" w:hAnsi="Times New Roman" w:cs="Times New Roman"/>
          <w:i/>
          <w:iCs/>
          <w:sz w:val="24"/>
          <w:szCs w:val="24"/>
        </w:rPr>
        <w:t xml:space="preserve">[Y]F(B), where F(B) </w:t>
      </w:r>
      <w:r>
        <w:rPr>
          <w:rFonts w:ascii="Times New Roman" w:hAnsi="Times New Roman" w:cs="Times New Roman"/>
          <w:sz w:val="24"/>
          <w:szCs w:val="24"/>
        </w:rPr>
        <w:t>summarizes compliance effects</w:t>
      </w:r>
      <w:r>
        <w:rPr>
          <w:rFonts w:ascii="Times New Roman" w:hAnsi="Times New Roman" w:cs="Times New Roman"/>
          <w:i/>
          <w:iCs/>
          <w:sz w:val="24"/>
          <w:szCs w:val="24"/>
        </w:rPr>
        <w:t>.</w:t>
      </w:r>
    </w:p>
    <w:p w14:paraId="379E3745" w14:textId="77777777" w:rsidR="00A102D6" w:rsidRDefault="00A102D6">
      <w:pPr>
        <w:pStyle w:val="ListParagraph"/>
        <w:rPr>
          <w:rFonts w:ascii="Times New Roman" w:hAnsi="Times New Roman" w:cs="Times New Roman"/>
          <w:sz w:val="24"/>
          <w:szCs w:val="24"/>
        </w:rPr>
      </w:pPr>
    </w:p>
    <w:p w14:paraId="4BBB2EAD" w14:textId="77777777" w:rsidR="00A102D6" w:rsidRDefault="002379B8">
      <w:pPr>
        <w:pStyle w:val="ListParagraph"/>
        <w:rPr>
          <w:rFonts w:ascii="Times New Roman" w:hAnsi="Times New Roman" w:cs="Times New Roman"/>
          <w:sz w:val="24"/>
          <w:szCs w:val="24"/>
        </w:rPr>
      </w:pPr>
      <w:r>
        <w:rPr>
          <w:rFonts w:ascii="Times New Roman" w:hAnsi="Times New Roman" w:cs="Times New Roman"/>
          <w:sz w:val="24"/>
          <w:szCs w:val="24"/>
        </w:rPr>
        <w:t>Calibration</w:t>
      </w:r>
    </w:p>
    <w:p w14:paraId="66FA902A" w14:textId="77777777" w:rsidR="00A102D6" w:rsidRDefault="00A102D6">
      <w:pPr>
        <w:pStyle w:val="ListParagraph"/>
        <w:rPr>
          <w:rFonts w:ascii="Times New Roman" w:hAnsi="Times New Roman" w:cs="Times New Roman"/>
          <w:sz w:val="24"/>
          <w:szCs w:val="24"/>
        </w:rPr>
      </w:pPr>
    </w:p>
    <w:p w14:paraId="35799BFC" w14:textId="77777777" w:rsidR="00A102D6" w:rsidRDefault="002379B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Parameters were calibrated based on data from:</w:t>
      </w:r>
    </w:p>
    <w:p w14:paraId="1561EEA3" w14:textId="77777777" w:rsidR="00A102D6" w:rsidRDefault="002379B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Federal Inland Revenue </w:t>
      </w:r>
      <w:r>
        <w:rPr>
          <w:rFonts w:ascii="Times New Roman" w:hAnsi="Times New Roman" w:cs="Times New Roman"/>
          <w:sz w:val="24"/>
          <w:szCs w:val="24"/>
        </w:rPr>
        <w:t>Service (FIRS) Annual Reports (2019–2023),</w:t>
      </w:r>
    </w:p>
    <w:p w14:paraId="690C9FC1" w14:textId="77777777" w:rsidR="00A102D6" w:rsidRDefault="002379B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National Bureau of Statistics (NBS) enterprise data,</w:t>
      </w:r>
    </w:p>
    <w:p w14:paraId="2459A654"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OECD (2022) digital readiness benchmarks</w:t>
      </w:r>
    </w:p>
    <w:p w14:paraId="1E4E979E" w14:textId="77777777" w:rsidR="00A102D6" w:rsidRDefault="00A102D6">
      <w:pPr>
        <w:rPr>
          <w:rFonts w:ascii="Times New Roman" w:hAnsi="Times New Roman" w:cs="Times New Roman"/>
          <w:sz w:val="24"/>
          <w:szCs w:val="24"/>
        </w:rPr>
      </w:pPr>
    </w:p>
    <w:p w14:paraId="481B5D97"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 xml:space="preserve">List 1- </w:t>
      </w:r>
      <w:r>
        <w:rPr>
          <w:rFonts w:ascii="Times New Roman" w:hAnsi="Times New Roman" w:cs="Times New Roman"/>
          <w:b/>
          <w:bCs/>
          <w:sz w:val="24"/>
          <w:szCs w:val="24"/>
        </w:rPr>
        <w:t xml:space="preserve">Baseline Parameters for VAT Compliance and </w:t>
      </w:r>
      <w:proofErr w:type="spellStart"/>
      <w:r>
        <w:rPr>
          <w:rFonts w:ascii="Times New Roman" w:hAnsi="Times New Roman" w:cs="Times New Roman"/>
          <w:b/>
          <w:bCs/>
          <w:sz w:val="24"/>
          <w:szCs w:val="24"/>
        </w:rPr>
        <w:t>Digitalisation</w:t>
      </w:r>
      <w:proofErr w:type="spellEnd"/>
      <w:r>
        <w:rPr>
          <w:rFonts w:ascii="Times New Roman" w:hAnsi="Times New Roman" w:cs="Times New Roman"/>
          <w:b/>
          <w:bCs/>
          <w:sz w:val="24"/>
          <w:szCs w:val="24"/>
        </w:rPr>
        <w:t xml:space="preserve"> Impact Modelling in Nigeria</w:t>
      </w:r>
      <w:r>
        <w:rPr>
          <w:rFonts w:ascii="Times New Roman" w:hAnsi="Times New Roman" w:cs="Times New Roman"/>
          <w:sz w:val="24"/>
          <w:szCs w:val="24"/>
        </w:rPr>
        <w:br/>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76"/>
        <w:gridCol w:w="1247"/>
        <w:gridCol w:w="4401"/>
      </w:tblGrid>
      <w:tr w:rsidR="00A102D6" w14:paraId="0661E4C6" w14:textId="77777777">
        <w:trPr>
          <w:tblHeader/>
          <w:tblCellSpacing w:w="15" w:type="dxa"/>
        </w:trPr>
        <w:tc>
          <w:tcPr>
            <w:tcW w:w="0" w:type="auto"/>
            <w:vAlign w:val="center"/>
          </w:tcPr>
          <w:p w14:paraId="5CE257D9" w14:textId="77777777" w:rsidR="00A102D6" w:rsidRDefault="002379B8">
            <w:pPr>
              <w:rPr>
                <w:rFonts w:ascii="Times New Roman" w:hAnsi="Times New Roman" w:cs="Times New Roman"/>
                <w:b/>
                <w:bCs/>
                <w:sz w:val="24"/>
                <w:szCs w:val="24"/>
              </w:rPr>
            </w:pPr>
            <w:r>
              <w:rPr>
                <w:rFonts w:ascii="Times New Roman" w:hAnsi="Times New Roman" w:cs="Times New Roman"/>
                <w:b/>
                <w:bCs/>
                <w:sz w:val="24"/>
                <w:szCs w:val="24"/>
              </w:rPr>
              <w:lastRenderedPageBreak/>
              <w:t>Parameter</w:t>
            </w:r>
          </w:p>
        </w:tc>
        <w:tc>
          <w:tcPr>
            <w:tcW w:w="0" w:type="auto"/>
            <w:vAlign w:val="center"/>
          </w:tcPr>
          <w:p w14:paraId="7251128B" w14:textId="77777777" w:rsidR="00A102D6" w:rsidRDefault="002379B8">
            <w:pPr>
              <w:rPr>
                <w:rFonts w:ascii="Times New Roman" w:hAnsi="Times New Roman" w:cs="Times New Roman"/>
                <w:b/>
                <w:bCs/>
                <w:sz w:val="24"/>
                <w:szCs w:val="24"/>
              </w:rPr>
            </w:pPr>
            <w:r>
              <w:rPr>
                <w:rFonts w:ascii="Times New Roman" w:hAnsi="Times New Roman" w:cs="Times New Roman"/>
                <w:b/>
                <w:bCs/>
                <w:sz w:val="24"/>
                <w:szCs w:val="24"/>
              </w:rPr>
              <w:t>Value</w:t>
            </w:r>
          </w:p>
        </w:tc>
        <w:tc>
          <w:tcPr>
            <w:tcW w:w="0" w:type="auto"/>
            <w:vAlign w:val="center"/>
          </w:tcPr>
          <w:p w14:paraId="2B416239" w14:textId="77777777" w:rsidR="00A102D6" w:rsidRDefault="002379B8">
            <w:pPr>
              <w:rPr>
                <w:rFonts w:ascii="Times New Roman" w:hAnsi="Times New Roman" w:cs="Times New Roman"/>
                <w:b/>
                <w:bCs/>
                <w:sz w:val="24"/>
                <w:szCs w:val="24"/>
              </w:rPr>
            </w:pPr>
            <w:r>
              <w:rPr>
                <w:rFonts w:ascii="Times New Roman" w:hAnsi="Times New Roman" w:cs="Times New Roman"/>
                <w:b/>
                <w:bCs/>
                <w:sz w:val="24"/>
                <w:szCs w:val="24"/>
              </w:rPr>
              <w:t>Rationale</w:t>
            </w:r>
          </w:p>
        </w:tc>
      </w:tr>
      <w:tr w:rsidR="00A102D6" w14:paraId="1320EBEF" w14:textId="77777777">
        <w:trPr>
          <w:tblCellSpacing w:w="15" w:type="dxa"/>
        </w:trPr>
        <w:tc>
          <w:tcPr>
            <w:tcW w:w="0" w:type="auto"/>
            <w:vAlign w:val="center"/>
          </w:tcPr>
          <w:p w14:paraId="74923F04"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VAT rate (t)</w:t>
            </w:r>
          </w:p>
        </w:tc>
        <w:tc>
          <w:tcPr>
            <w:tcW w:w="0" w:type="auto"/>
            <w:vAlign w:val="center"/>
          </w:tcPr>
          <w:p w14:paraId="29887A69"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7.5%</w:t>
            </w:r>
          </w:p>
        </w:tc>
        <w:tc>
          <w:tcPr>
            <w:tcW w:w="0" w:type="auto"/>
            <w:vAlign w:val="center"/>
          </w:tcPr>
          <w:p w14:paraId="73CCCEA8"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Official statutory rate</w:t>
            </w:r>
          </w:p>
        </w:tc>
      </w:tr>
      <w:tr w:rsidR="00A102D6" w14:paraId="1EB532AB" w14:textId="77777777">
        <w:trPr>
          <w:tblCellSpacing w:w="15" w:type="dxa"/>
        </w:trPr>
        <w:tc>
          <w:tcPr>
            <w:tcW w:w="0" w:type="auto"/>
            <w:vAlign w:val="center"/>
          </w:tcPr>
          <w:p w14:paraId="7107EEB0"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Mean firm sales (E[Y])</w:t>
            </w:r>
          </w:p>
        </w:tc>
        <w:tc>
          <w:tcPr>
            <w:tcW w:w="0" w:type="auto"/>
            <w:vAlign w:val="center"/>
          </w:tcPr>
          <w:p w14:paraId="585CBEFC"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50 million</w:t>
            </w:r>
          </w:p>
        </w:tc>
        <w:tc>
          <w:tcPr>
            <w:tcW w:w="0" w:type="auto"/>
            <w:vAlign w:val="center"/>
          </w:tcPr>
          <w:p w14:paraId="7917BCDC"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Medium enterprise benchmark</w:t>
            </w:r>
          </w:p>
        </w:tc>
      </w:tr>
      <w:tr w:rsidR="00A102D6" w14:paraId="32EE6841" w14:textId="77777777">
        <w:trPr>
          <w:tblCellSpacing w:w="15" w:type="dxa"/>
        </w:trPr>
        <w:tc>
          <w:tcPr>
            <w:tcW w:w="0" w:type="auto"/>
            <w:vAlign w:val="center"/>
          </w:tcPr>
          <w:p w14:paraId="28658F95"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Base compliance (p₀)</w:t>
            </w:r>
          </w:p>
        </w:tc>
        <w:tc>
          <w:tcPr>
            <w:tcW w:w="0" w:type="auto"/>
            <w:vAlign w:val="center"/>
          </w:tcPr>
          <w:p w14:paraId="5B420937"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0.55</w:t>
            </w:r>
          </w:p>
        </w:tc>
        <w:tc>
          <w:tcPr>
            <w:tcW w:w="0" w:type="auto"/>
            <w:vAlign w:val="center"/>
          </w:tcPr>
          <w:p w14:paraId="0F6864C4"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Derived from FIRS compliance ratios</w:t>
            </w:r>
          </w:p>
        </w:tc>
      </w:tr>
      <w:tr w:rsidR="00A102D6" w14:paraId="283D8F3F" w14:textId="77777777">
        <w:trPr>
          <w:tblCellSpacing w:w="15" w:type="dxa"/>
        </w:trPr>
        <w:tc>
          <w:tcPr>
            <w:tcW w:w="0" w:type="auto"/>
            <w:vAlign w:val="center"/>
          </w:tcPr>
          <w:p w14:paraId="7F22502A"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Base detection (q₀)</w:t>
            </w:r>
          </w:p>
        </w:tc>
        <w:tc>
          <w:tcPr>
            <w:tcW w:w="0" w:type="auto"/>
            <w:vAlign w:val="center"/>
          </w:tcPr>
          <w:p w14:paraId="626A5131"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0.07</w:t>
            </w:r>
          </w:p>
        </w:tc>
        <w:tc>
          <w:tcPr>
            <w:tcW w:w="0" w:type="auto"/>
            <w:vAlign w:val="center"/>
          </w:tcPr>
          <w:p w14:paraId="23B9C169"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Audit coverage in Nigeria</w:t>
            </w:r>
          </w:p>
        </w:tc>
      </w:tr>
      <w:tr w:rsidR="00A102D6" w14:paraId="7185877E" w14:textId="77777777">
        <w:trPr>
          <w:tblCellSpacing w:w="15" w:type="dxa"/>
        </w:trPr>
        <w:tc>
          <w:tcPr>
            <w:tcW w:w="0" w:type="auto"/>
            <w:vAlign w:val="center"/>
          </w:tcPr>
          <w:p w14:paraId="5CAD1CE8"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Under-reporting (u₀)</w:t>
            </w:r>
          </w:p>
        </w:tc>
        <w:tc>
          <w:tcPr>
            <w:tcW w:w="0" w:type="auto"/>
            <w:vAlign w:val="center"/>
          </w:tcPr>
          <w:p w14:paraId="783AD2E2"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0.35</w:t>
            </w:r>
          </w:p>
        </w:tc>
        <w:tc>
          <w:tcPr>
            <w:tcW w:w="0" w:type="auto"/>
            <w:vAlign w:val="center"/>
          </w:tcPr>
          <w:p w14:paraId="03B929CE"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Based on OECD (2022)</w:t>
            </w:r>
          </w:p>
        </w:tc>
      </w:tr>
      <w:tr w:rsidR="00A102D6" w14:paraId="078E7280" w14:textId="77777777">
        <w:trPr>
          <w:tblCellSpacing w:w="15" w:type="dxa"/>
        </w:trPr>
        <w:tc>
          <w:tcPr>
            <w:tcW w:w="0" w:type="auto"/>
            <w:vAlign w:val="center"/>
          </w:tcPr>
          <w:p w14:paraId="2AABEDCD" w14:textId="77777777" w:rsidR="00A102D6" w:rsidRDefault="002379B8">
            <w:pPr>
              <w:rPr>
                <w:rFonts w:ascii="Times New Roman" w:hAnsi="Times New Roman" w:cs="Times New Roman"/>
                <w:sz w:val="24"/>
                <w:szCs w:val="24"/>
              </w:rPr>
            </w:pP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response (α, β)</w:t>
            </w:r>
          </w:p>
        </w:tc>
        <w:tc>
          <w:tcPr>
            <w:tcW w:w="0" w:type="auto"/>
            <w:vAlign w:val="center"/>
          </w:tcPr>
          <w:p w14:paraId="20CEA339"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0.25, 0.80</w:t>
            </w:r>
          </w:p>
        </w:tc>
        <w:tc>
          <w:tcPr>
            <w:tcW w:w="0" w:type="auto"/>
            <w:vAlign w:val="center"/>
          </w:tcPr>
          <w:p w14:paraId="32587BB4"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Calibrated from prior digitalization literature</w:t>
            </w:r>
          </w:p>
        </w:tc>
      </w:tr>
    </w:tbl>
    <w:p w14:paraId="7ECB3E43" w14:textId="77777777" w:rsidR="00A102D6" w:rsidRDefault="00A102D6">
      <w:pPr>
        <w:rPr>
          <w:rFonts w:ascii="Times New Roman" w:hAnsi="Times New Roman" w:cs="Times New Roman"/>
          <w:sz w:val="24"/>
          <w:szCs w:val="24"/>
        </w:rPr>
      </w:pPr>
    </w:p>
    <w:p w14:paraId="56207F28"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3.4 Simulation and Scenarios</w:t>
      </w:r>
    </w:p>
    <w:p w14:paraId="37BB143F"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 xml:space="preserve">Simulations were run for B = {0, 0.25, 0.50, 0.75, 1.00}, representing adoption levels of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from </w:t>
      </w:r>
      <w:r>
        <w:rPr>
          <w:rFonts w:ascii="Times New Roman" w:hAnsi="Times New Roman" w:cs="Times New Roman"/>
          <w:sz w:val="24"/>
          <w:szCs w:val="24"/>
        </w:rPr>
        <w:t>baseline to complete national adoption. Each scenario calculated:</w:t>
      </w:r>
    </w:p>
    <w:p w14:paraId="1F049240"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 Rate of effective compliance,</w:t>
      </w:r>
    </w:p>
    <w:p w14:paraId="0D6B612B"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 Overall VAT revenue,</w:t>
      </w:r>
    </w:p>
    <w:p w14:paraId="6B7B5FC6"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 Reduction in tax gap,</w:t>
      </w:r>
    </w:p>
    <w:p w14:paraId="77160EC3"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 Net fiscal gain (revenue - implementation cost),</w:t>
      </w:r>
    </w:p>
    <w:p w14:paraId="244134F8"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 Return on Investment (ROI).</w:t>
      </w:r>
    </w:p>
    <w:p w14:paraId="7499D7BF" w14:textId="77777777" w:rsidR="00A102D6" w:rsidRDefault="00A102D6">
      <w:pPr>
        <w:rPr>
          <w:rFonts w:ascii="Times New Roman" w:hAnsi="Times New Roman" w:cs="Times New Roman"/>
          <w:sz w:val="24"/>
          <w:szCs w:val="24"/>
        </w:rPr>
      </w:pPr>
    </w:p>
    <w:p w14:paraId="4CF6A96E"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A Monte Carlo simulation (10,</w:t>
      </w:r>
      <w:r>
        <w:rPr>
          <w:rFonts w:ascii="Times New Roman" w:hAnsi="Times New Roman" w:cs="Times New Roman"/>
          <w:sz w:val="24"/>
          <w:szCs w:val="24"/>
        </w:rPr>
        <w:t>000 iterations) added heterogeneity in revenues of companies (lognormal distribution, σ = 0.9).</w:t>
      </w:r>
    </w:p>
    <w:p w14:paraId="2DCEC24B" w14:textId="77777777" w:rsidR="00A102D6" w:rsidRDefault="00A102D6">
      <w:pPr>
        <w:rPr>
          <w:rFonts w:ascii="Times New Roman" w:hAnsi="Times New Roman" w:cs="Times New Roman"/>
          <w:sz w:val="24"/>
          <w:szCs w:val="24"/>
        </w:rPr>
      </w:pPr>
    </w:p>
    <w:p w14:paraId="70008F36"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3.5 Statistical Validation</w:t>
      </w:r>
    </w:p>
    <w:p w14:paraId="6082EDE5"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Paired-samples t-tests between simulated revenues when there is baseline (B=0) and full (B=1) compliance were used to determine stat</w:t>
      </w:r>
      <w:r>
        <w:rPr>
          <w:rFonts w:ascii="Times New Roman" w:hAnsi="Times New Roman" w:cs="Times New Roman"/>
          <w:sz w:val="24"/>
          <w:szCs w:val="24"/>
        </w:rPr>
        <w:t xml:space="preserve">istical significance. Sensitivity analysis considered compliance responsiveness (α </w:t>
      </w:r>
      <w:r>
        <w:rPr>
          <w:rFonts w:ascii="Cambria Math" w:hAnsi="Cambria Math" w:cs="Cambria Math"/>
          <w:sz w:val="24"/>
          <w:szCs w:val="24"/>
        </w:rPr>
        <w:t>∈</w:t>
      </w:r>
      <w:r>
        <w:rPr>
          <w:rFonts w:ascii="Times New Roman" w:hAnsi="Times New Roman" w:cs="Times New Roman"/>
          <w:sz w:val="24"/>
          <w:szCs w:val="24"/>
        </w:rPr>
        <w:t xml:space="preserve"> [0.1, 0.4]) and fixed cost (Fₑ </w:t>
      </w:r>
      <w:r>
        <w:rPr>
          <w:rFonts w:ascii="Cambria Math" w:hAnsi="Cambria Math" w:cs="Cambria Math"/>
          <w:sz w:val="24"/>
          <w:szCs w:val="24"/>
        </w:rPr>
        <w:t>∈</w:t>
      </w:r>
      <w:r>
        <w:rPr>
          <w:rFonts w:ascii="Times New Roman" w:hAnsi="Times New Roman" w:cs="Times New Roman"/>
          <w:sz w:val="24"/>
          <w:szCs w:val="24"/>
        </w:rPr>
        <w:t xml:space="preserve"> [₦10B, ₦40B]) to subject net fiscal outcomes to a test of robustness.</w:t>
      </w:r>
    </w:p>
    <w:p w14:paraId="19ED5DF5" w14:textId="77777777" w:rsidR="00A102D6" w:rsidRDefault="002379B8">
      <w:pPr>
        <w:pStyle w:val="Heading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4. Results</w:t>
      </w:r>
    </w:p>
    <w:p w14:paraId="423A4BD5"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br/>
        <w:t>4.1 Aggregate Fiscal Impacts</w:t>
      </w:r>
    </w:p>
    <w:p w14:paraId="517BFD53"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 xml:space="preserve">The model also predicts </w:t>
      </w:r>
      <w:r>
        <w:rPr>
          <w:rFonts w:ascii="Times New Roman" w:hAnsi="Times New Roman" w:cs="Times New Roman"/>
          <w:sz w:val="24"/>
          <w:szCs w:val="24"/>
        </w:rPr>
        <w:t xml:space="preserve">significant fiscal benefits arising from the use of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Compliance rate increases from 55% baseline to 80% in full adoption. Aggregate VAT revenue increases from ₦1.95 trillion to ₦2.48 trillion, or a 25% rise in effective collection of tax.</w:t>
      </w:r>
    </w:p>
    <w:p w14:paraId="1CB235EB"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At 50%</w:t>
      </w:r>
      <w:r>
        <w:rPr>
          <w:rFonts w:ascii="Times New Roman" w:hAnsi="Times New Roman" w:cs="Times New Roman"/>
          <w:sz w:val="24"/>
          <w:szCs w:val="24"/>
        </w:rPr>
        <w:t xml:space="preserve"> take-up, ROI is highest at 16.7, i.e., ₦1 invested earns ₦16.7 in new tax revenue. Gains diminish after 75% take-up as recruitment cost increases and marginal taxpayers yield decreasing returns.</w:t>
      </w:r>
    </w:p>
    <w:p w14:paraId="7BCB26E6" w14:textId="77777777" w:rsidR="00A102D6" w:rsidRDefault="002379B8">
      <w:pPr>
        <w:rPr>
          <w:rFonts w:ascii="Times New Roman" w:hAnsi="Times New Roman" w:cs="Times New Roman"/>
          <w:b/>
          <w:bCs/>
          <w:sz w:val="24"/>
          <w:szCs w:val="24"/>
        </w:rPr>
      </w:pPr>
      <w:r>
        <w:rPr>
          <w:rFonts w:ascii="Times New Roman" w:hAnsi="Times New Roman" w:cs="Times New Roman"/>
          <w:sz w:val="24"/>
          <w:szCs w:val="24"/>
        </w:rPr>
        <w:t xml:space="preserve">List 2- </w:t>
      </w:r>
      <w:r>
        <w:rPr>
          <w:rFonts w:ascii="Times New Roman" w:hAnsi="Times New Roman" w:cs="Times New Roman"/>
          <w:b/>
          <w:bCs/>
          <w:sz w:val="24"/>
          <w:szCs w:val="24"/>
        </w:rPr>
        <w:t xml:space="preserve">Projected Impact of </w:t>
      </w:r>
      <w:proofErr w:type="spellStart"/>
      <w:r>
        <w:rPr>
          <w:rFonts w:ascii="Times New Roman" w:hAnsi="Times New Roman" w:cs="Times New Roman"/>
          <w:b/>
          <w:bCs/>
          <w:sz w:val="24"/>
          <w:szCs w:val="24"/>
        </w:rPr>
        <w:t>Blockchain</w:t>
      </w:r>
      <w:proofErr w:type="spellEnd"/>
      <w:r>
        <w:rPr>
          <w:rFonts w:ascii="Times New Roman" w:hAnsi="Times New Roman" w:cs="Times New Roman"/>
          <w:b/>
          <w:bCs/>
          <w:sz w:val="24"/>
          <w:szCs w:val="24"/>
        </w:rPr>
        <w:t xml:space="preserve"> Adoption on VAT Compl</w:t>
      </w:r>
      <w:r>
        <w:rPr>
          <w:rFonts w:ascii="Times New Roman" w:hAnsi="Times New Roman" w:cs="Times New Roman"/>
          <w:b/>
          <w:bCs/>
          <w:sz w:val="24"/>
          <w:szCs w:val="24"/>
        </w:rPr>
        <w:t>iance and Revenue in Nigeria</w:t>
      </w:r>
      <w:r>
        <w:commentReference w:id="21"/>
      </w:r>
    </w:p>
    <w:tbl>
      <w:tblPr>
        <w:tblW w:w="7940" w:type="dxa"/>
        <w:tblInd w:w="113" w:type="dxa"/>
        <w:tblLook w:val="04A0" w:firstRow="1" w:lastRow="0" w:firstColumn="1" w:lastColumn="0" w:noHBand="0" w:noVBand="1"/>
      </w:tblPr>
      <w:tblGrid>
        <w:gridCol w:w="1384"/>
        <w:gridCol w:w="1452"/>
        <w:gridCol w:w="1256"/>
        <w:gridCol w:w="1377"/>
        <w:gridCol w:w="1269"/>
        <w:gridCol w:w="1202"/>
      </w:tblGrid>
      <w:tr w:rsidR="00A102D6" w14:paraId="64E0EB55" w14:textId="77777777">
        <w:trPr>
          <w:trHeight w:val="1450"/>
        </w:trPr>
        <w:tc>
          <w:tcPr>
            <w:tcW w:w="1540" w:type="dxa"/>
            <w:tcBorders>
              <w:top w:val="single" w:sz="4" w:space="0" w:color="8EA9DB"/>
              <w:left w:val="single" w:sz="4" w:space="0" w:color="8EA9DB"/>
              <w:bottom w:val="single" w:sz="4" w:space="0" w:color="8EA9DB"/>
              <w:right w:val="nil"/>
            </w:tcBorders>
            <w:shd w:val="clear" w:color="4472C4" w:fill="4472C4"/>
            <w:vAlign w:val="center"/>
          </w:tcPr>
          <w:p w14:paraId="0D78E279" w14:textId="77777777" w:rsidR="00A102D6" w:rsidRDefault="002379B8">
            <w:pPr>
              <w:spacing w:after="0" w:line="240" w:lineRule="auto"/>
              <w:jc w:val="right"/>
              <w:rPr>
                <w:rFonts w:ascii="Times New Roman" w:eastAsia="Times New Roman" w:hAnsi="Times New Roman" w:cs="Times New Roman"/>
                <w:b/>
                <w:bCs/>
                <w:color w:val="FFFFFF"/>
                <w:sz w:val="24"/>
                <w:szCs w:val="24"/>
              </w:rPr>
            </w:pPr>
            <w:r>
              <w:rPr>
                <w:rFonts w:ascii="Times New Roman" w:eastAsia="Times New Roman" w:hAnsi="Times New Roman" w:cs="Times New Roman"/>
                <w:b/>
                <w:bCs/>
                <w:color w:val="FFFFFF"/>
                <w:sz w:val="24"/>
                <w:szCs w:val="24"/>
              </w:rPr>
              <w:t>Adoption Level (B)</w:t>
            </w:r>
          </w:p>
        </w:tc>
        <w:tc>
          <w:tcPr>
            <w:tcW w:w="1460" w:type="dxa"/>
            <w:tcBorders>
              <w:top w:val="single" w:sz="4" w:space="0" w:color="8EA9DB"/>
              <w:left w:val="nil"/>
              <w:bottom w:val="single" w:sz="4" w:space="0" w:color="8EA9DB"/>
              <w:right w:val="nil"/>
            </w:tcBorders>
            <w:shd w:val="clear" w:color="4472C4" w:fill="4472C4"/>
            <w:vAlign w:val="center"/>
          </w:tcPr>
          <w:p w14:paraId="7194F174" w14:textId="77777777" w:rsidR="00A102D6" w:rsidRDefault="002379B8">
            <w:pPr>
              <w:spacing w:after="0" w:line="240" w:lineRule="auto"/>
              <w:jc w:val="right"/>
              <w:rPr>
                <w:rFonts w:ascii="Times New Roman" w:eastAsia="Times New Roman" w:hAnsi="Times New Roman" w:cs="Times New Roman"/>
                <w:b/>
                <w:bCs/>
                <w:color w:val="FFFFFF"/>
                <w:sz w:val="24"/>
                <w:szCs w:val="24"/>
              </w:rPr>
            </w:pPr>
            <w:r>
              <w:rPr>
                <w:rFonts w:ascii="Times New Roman" w:eastAsia="Times New Roman" w:hAnsi="Times New Roman" w:cs="Times New Roman"/>
                <w:b/>
                <w:bCs/>
                <w:color w:val="FFFFFF"/>
                <w:sz w:val="24"/>
                <w:szCs w:val="24"/>
              </w:rPr>
              <w:t>Compliance Rate (%)</w:t>
            </w:r>
          </w:p>
        </w:tc>
        <w:tc>
          <w:tcPr>
            <w:tcW w:w="1180" w:type="dxa"/>
            <w:tcBorders>
              <w:top w:val="single" w:sz="4" w:space="0" w:color="8EA9DB"/>
              <w:left w:val="nil"/>
              <w:bottom w:val="single" w:sz="4" w:space="0" w:color="8EA9DB"/>
              <w:right w:val="nil"/>
            </w:tcBorders>
            <w:shd w:val="clear" w:color="4472C4" w:fill="4472C4"/>
            <w:vAlign w:val="center"/>
          </w:tcPr>
          <w:p w14:paraId="79FFE380" w14:textId="77777777" w:rsidR="00A102D6" w:rsidRDefault="002379B8">
            <w:pPr>
              <w:spacing w:after="0" w:line="240" w:lineRule="auto"/>
              <w:jc w:val="right"/>
              <w:rPr>
                <w:rFonts w:ascii="Times New Roman" w:eastAsia="Times New Roman" w:hAnsi="Times New Roman" w:cs="Times New Roman"/>
                <w:b/>
                <w:bCs/>
                <w:color w:val="FFFFFF"/>
                <w:sz w:val="24"/>
                <w:szCs w:val="24"/>
              </w:rPr>
            </w:pPr>
            <w:r>
              <w:rPr>
                <w:rFonts w:ascii="Times New Roman" w:eastAsia="Times New Roman" w:hAnsi="Times New Roman" w:cs="Times New Roman"/>
                <w:b/>
                <w:bCs/>
                <w:color w:val="FFFFFF"/>
                <w:sz w:val="24"/>
                <w:szCs w:val="24"/>
              </w:rPr>
              <w:t>Under-Reporting (%)</w:t>
            </w:r>
          </w:p>
        </w:tc>
        <w:tc>
          <w:tcPr>
            <w:tcW w:w="1300" w:type="dxa"/>
            <w:tcBorders>
              <w:top w:val="single" w:sz="4" w:space="0" w:color="8EA9DB"/>
              <w:left w:val="nil"/>
              <w:bottom w:val="single" w:sz="4" w:space="0" w:color="8EA9DB"/>
              <w:right w:val="nil"/>
            </w:tcBorders>
            <w:shd w:val="clear" w:color="4472C4" w:fill="4472C4"/>
            <w:vAlign w:val="center"/>
          </w:tcPr>
          <w:p w14:paraId="68C7A926" w14:textId="77777777" w:rsidR="00A102D6" w:rsidRDefault="002379B8">
            <w:pPr>
              <w:spacing w:after="0" w:line="240" w:lineRule="auto"/>
              <w:jc w:val="right"/>
              <w:rPr>
                <w:rFonts w:ascii="Times New Roman" w:eastAsia="Times New Roman" w:hAnsi="Times New Roman" w:cs="Times New Roman"/>
                <w:b/>
                <w:bCs/>
                <w:color w:val="FFFFFF"/>
                <w:sz w:val="24"/>
                <w:szCs w:val="24"/>
              </w:rPr>
            </w:pPr>
            <w:r>
              <w:rPr>
                <w:rFonts w:ascii="Times New Roman" w:eastAsia="Times New Roman" w:hAnsi="Times New Roman" w:cs="Times New Roman"/>
                <w:b/>
                <w:bCs/>
                <w:color w:val="FFFFFF"/>
                <w:sz w:val="24"/>
                <w:szCs w:val="24"/>
              </w:rPr>
              <w:t>Detection Probability (%)</w:t>
            </w:r>
          </w:p>
        </w:tc>
        <w:tc>
          <w:tcPr>
            <w:tcW w:w="1040" w:type="dxa"/>
            <w:tcBorders>
              <w:top w:val="single" w:sz="4" w:space="0" w:color="8EA9DB"/>
              <w:left w:val="nil"/>
              <w:bottom w:val="single" w:sz="4" w:space="0" w:color="8EA9DB"/>
              <w:right w:val="nil"/>
            </w:tcBorders>
            <w:shd w:val="clear" w:color="4472C4" w:fill="4472C4"/>
            <w:vAlign w:val="center"/>
          </w:tcPr>
          <w:p w14:paraId="4EB0F630" w14:textId="77777777" w:rsidR="00A102D6" w:rsidRDefault="002379B8">
            <w:pPr>
              <w:spacing w:after="0" w:line="240" w:lineRule="auto"/>
              <w:jc w:val="right"/>
              <w:rPr>
                <w:rFonts w:ascii="Times New Roman" w:eastAsia="Times New Roman" w:hAnsi="Times New Roman" w:cs="Times New Roman"/>
                <w:b/>
                <w:bCs/>
                <w:color w:val="FFFFFF"/>
                <w:sz w:val="24"/>
                <w:szCs w:val="24"/>
              </w:rPr>
            </w:pPr>
            <w:r>
              <w:rPr>
                <w:rFonts w:ascii="Times New Roman" w:eastAsia="Times New Roman" w:hAnsi="Times New Roman" w:cs="Times New Roman"/>
                <w:b/>
                <w:bCs/>
                <w:color w:val="FFFFFF"/>
                <w:sz w:val="24"/>
                <w:szCs w:val="24"/>
              </w:rPr>
              <w:t>Aggregate Revenue (₦ billion)</w:t>
            </w:r>
          </w:p>
        </w:tc>
        <w:tc>
          <w:tcPr>
            <w:tcW w:w="1420" w:type="dxa"/>
            <w:tcBorders>
              <w:top w:val="single" w:sz="4" w:space="0" w:color="8EA9DB"/>
              <w:left w:val="nil"/>
              <w:bottom w:val="single" w:sz="4" w:space="0" w:color="8EA9DB"/>
              <w:right w:val="single" w:sz="4" w:space="0" w:color="8EA9DB"/>
            </w:tcBorders>
            <w:shd w:val="clear" w:color="4472C4" w:fill="4472C4"/>
            <w:vAlign w:val="center"/>
          </w:tcPr>
          <w:p w14:paraId="75E1720A" w14:textId="77777777" w:rsidR="00A102D6" w:rsidRDefault="002379B8">
            <w:pPr>
              <w:spacing w:after="0" w:line="240" w:lineRule="auto"/>
              <w:jc w:val="right"/>
              <w:rPr>
                <w:rFonts w:ascii="Times New Roman" w:eastAsia="Times New Roman" w:hAnsi="Times New Roman" w:cs="Times New Roman"/>
                <w:b/>
                <w:bCs/>
                <w:color w:val="FFFFFF"/>
                <w:sz w:val="24"/>
                <w:szCs w:val="24"/>
              </w:rPr>
            </w:pPr>
            <w:r>
              <w:rPr>
                <w:rFonts w:ascii="Times New Roman" w:eastAsia="Times New Roman" w:hAnsi="Times New Roman" w:cs="Times New Roman"/>
                <w:b/>
                <w:bCs/>
                <w:color w:val="FFFFFF"/>
                <w:sz w:val="24"/>
                <w:szCs w:val="24"/>
              </w:rPr>
              <w:t>Tax Gap (₦ billion)</w:t>
            </w:r>
          </w:p>
        </w:tc>
      </w:tr>
      <w:tr w:rsidR="00A102D6" w14:paraId="11DAA895" w14:textId="77777777">
        <w:trPr>
          <w:trHeight w:val="870"/>
        </w:trPr>
        <w:tc>
          <w:tcPr>
            <w:tcW w:w="1540" w:type="dxa"/>
            <w:tcBorders>
              <w:top w:val="single" w:sz="4" w:space="0" w:color="8EA9DB"/>
              <w:left w:val="single" w:sz="4" w:space="0" w:color="8EA9DB"/>
              <w:bottom w:val="single" w:sz="4" w:space="0" w:color="8EA9DB"/>
              <w:right w:val="nil"/>
            </w:tcBorders>
            <w:shd w:val="clear" w:color="D9E1F2" w:fill="D9E1F2"/>
            <w:vAlign w:val="center"/>
          </w:tcPr>
          <w:p w14:paraId="23B105E8"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(Baseline)</w:t>
            </w:r>
          </w:p>
        </w:tc>
        <w:tc>
          <w:tcPr>
            <w:tcW w:w="1460" w:type="dxa"/>
            <w:tcBorders>
              <w:top w:val="single" w:sz="4" w:space="0" w:color="8EA9DB"/>
              <w:left w:val="nil"/>
              <w:bottom w:val="single" w:sz="4" w:space="0" w:color="8EA9DB"/>
              <w:right w:val="nil"/>
            </w:tcBorders>
            <w:shd w:val="clear" w:color="D9E1F2" w:fill="D9E1F2"/>
            <w:vAlign w:val="center"/>
          </w:tcPr>
          <w:p w14:paraId="593C4994"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1180" w:type="dxa"/>
            <w:tcBorders>
              <w:top w:val="single" w:sz="4" w:space="0" w:color="8EA9DB"/>
              <w:left w:val="nil"/>
              <w:bottom w:val="single" w:sz="4" w:space="0" w:color="8EA9DB"/>
              <w:right w:val="nil"/>
            </w:tcBorders>
            <w:shd w:val="clear" w:color="D9E1F2" w:fill="D9E1F2"/>
            <w:vAlign w:val="center"/>
          </w:tcPr>
          <w:p w14:paraId="78DFAAB9"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1300" w:type="dxa"/>
            <w:tcBorders>
              <w:top w:val="single" w:sz="4" w:space="0" w:color="8EA9DB"/>
              <w:left w:val="nil"/>
              <w:bottom w:val="single" w:sz="4" w:space="0" w:color="8EA9DB"/>
              <w:right w:val="nil"/>
            </w:tcBorders>
            <w:shd w:val="clear" w:color="D9E1F2" w:fill="D9E1F2"/>
            <w:vAlign w:val="center"/>
          </w:tcPr>
          <w:p w14:paraId="37A573FE"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40" w:type="dxa"/>
            <w:tcBorders>
              <w:top w:val="single" w:sz="4" w:space="0" w:color="8EA9DB"/>
              <w:left w:val="nil"/>
              <w:bottom w:val="single" w:sz="4" w:space="0" w:color="8EA9DB"/>
              <w:right w:val="nil"/>
            </w:tcBorders>
            <w:shd w:val="clear" w:color="D9E1F2" w:fill="D9E1F2"/>
            <w:vAlign w:val="center"/>
          </w:tcPr>
          <w:p w14:paraId="615FA99E"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1,950</w:t>
            </w:r>
          </w:p>
        </w:tc>
        <w:tc>
          <w:tcPr>
            <w:tcW w:w="1420" w:type="dxa"/>
            <w:tcBorders>
              <w:top w:val="single" w:sz="4" w:space="0" w:color="8EA9DB"/>
              <w:left w:val="nil"/>
              <w:bottom w:val="single" w:sz="4" w:space="0" w:color="8EA9DB"/>
              <w:right w:val="single" w:sz="4" w:space="0" w:color="8EA9DB"/>
            </w:tcBorders>
            <w:shd w:val="clear" w:color="D9E1F2" w:fill="D9E1F2"/>
            <w:vAlign w:val="center"/>
          </w:tcPr>
          <w:p w14:paraId="2DFB0424"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w:t>
            </w:r>
          </w:p>
        </w:tc>
      </w:tr>
      <w:tr w:rsidR="00A102D6" w14:paraId="76C28870" w14:textId="77777777">
        <w:trPr>
          <w:trHeight w:val="290"/>
        </w:trPr>
        <w:tc>
          <w:tcPr>
            <w:tcW w:w="1540" w:type="dxa"/>
            <w:tcBorders>
              <w:top w:val="single" w:sz="4" w:space="0" w:color="8EA9DB"/>
              <w:left w:val="single" w:sz="4" w:space="0" w:color="8EA9DB"/>
              <w:bottom w:val="single" w:sz="4" w:space="0" w:color="8EA9DB"/>
              <w:right w:val="nil"/>
            </w:tcBorders>
            <w:vAlign w:val="center"/>
          </w:tcPr>
          <w:p w14:paraId="0C8204E5"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c>
          <w:tcPr>
            <w:tcW w:w="1460" w:type="dxa"/>
            <w:tcBorders>
              <w:top w:val="single" w:sz="4" w:space="0" w:color="8EA9DB"/>
              <w:left w:val="nil"/>
              <w:bottom w:val="single" w:sz="4" w:space="0" w:color="8EA9DB"/>
              <w:right w:val="nil"/>
            </w:tcBorders>
            <w:vAlign w:val="center"/>
          </w:tcPr>
          <w:p w14:paraId="73027179"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w:t>
            </w:r>
          </w:p>
        </w:tc>
        <w:tc>
          <w:tcPr>
            <w:tcW w:w="1180" w:type="dxa"/>
            <w:tcBorders>
              <w:top w:val="single" w:sz="4" w:space="0" w:color="8EA9DB"/>
              <w:left w:val="nil"/>
              <w:bottom w:val="single" w:sz="4" w:space="0" w:color="8EA9DB"/>
              <w:right w:val="nil"/>
            </w:tcBorders>
            <w:vAlign w:val="center"/>
          </w:tcPr>
          <w:p w14:paraId="3FC81635"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1300" w:type="dxa"/>
            <w:tcBorders>
              <w:top w:val="single" w:sz="4" w:space="0" w:color="8EA9DB"/>
              <w:left w:val="nil"/>
              <w:bottom w:val="single" w:sz="4" w:space="0" w:color="8EA9DB"/>
              <w:right w:val="nil"/>
            </w:tcBorders>
            <w:vAlign w:val="center"/>
          </w:tcPr>
          <w:p w14:paraId="7A08D4C7"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1040" w:type="dxa"/>
            <w:tcBorders>
              <w:top w:val="single" w:sz="4" w:space="0" w:color="8EA9DB"/>
              <w:left w:val="nil"/>
              <w:bottom w:val="single" w:sz="4" w:space="0" w:color="8EA9DB"/>
              <w:right w:val="nil"/>
            </w:tcBorders>
            <w:vAlign w:val="center"/>
          </w:tcPr>
          <w:p w14:paraId="3FD7DB37"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2,250</w:t>
            </w:r>
          </w:p>
        </w:tc>
        <w:tc>
          <w:tcPr>
            <w:tcW w:w="1420" w:type="dxa"/>
            <w:tcBorders>
              <w:top w:val="single" w:sz="4" w:space="0" w:color="8EA9DB"/>
              <w:left w:val="nil"/>
              <w:bottom w:val="single" w:sz="4" w:space="0" w:color="8EA9DB"/>
              <w:right w:val="single" w:sz="4" w:space="0" w:color="8EA9DB"/>
            </w:tcBorders>
            <w:vAlign w:val="center"/>
          </w:tcPr>
          <w:p w14:paraId="5701AFCF"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r>
      <w:tr w:rsidR="00A102D6" w14:paraId="2BC9D924" w14:textId="77777777">
        <w:trPr>
          <w:trHeight w:val="290"/>
        </w:trPr>
        <w:tc>
          <w:tcPr>
            <w:tcW w:w="1540" w:type="dxa"/>
            <w:tcBorders>
              <w:top w:val="single" w:sz="4" w:space="0" w:color="8EA9DB"/>
              <w:left w:val="single" w:sz="4" w:space="0" w:color="8EA9DB"/>
              <w:bottom w:val="single" w:sz="4" w:space="0" w:color="8EA9DB"/>
              <w:right w:val="nil"/>
            </w:tcBorders>
            <w:shd w:val="clear" w:color="D9E1F2" w:fill="D9E1F2"/>
            <w:vAlign w:val="center"/>
          </w:tcPr>
          <w:p w14:paraId="1FF934A3"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1460" w:type="dxa"/>
            <w:tcBorders>
              <w:top w:val="single" w:sz="4" w:space="0" w:color="8EA9DB"/>
              <w:left w:val="nil"/>
              <w:bottom w:val="single" w:sz="4" w:space="0" w:color="8EA9DB"/>
              <w:right w:val="nil"/>
            </w:tcBorders>
            <w:shd w:val="clear" w:color="D9E1F2" w:fill="D9E1F2"/>
            <w:vAlign w:val="center"/>
          </w:tcPr>
          <w:p w14:paraId="3665261C"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p>
        </w:tc>
        <w:tc>
          <w:tcPr>
            <w:tcW w:w="1180" w:type="dxa"/>
            <w:tcBorders>
              <w:top w:val="single" w:sz="4" w:space="0" w:color="8EA9DB"/>
              <w:left w:val="nil"/>
              <w:bottom w:val="single" w:sz="4" w:space="0" w:color="8EA9DB"/>
              <w:right w:val="nil"/>
            </w:tcBorders>
            <w:shd w:val="clear" w:color="D9E1F2" w:fill="D9E1F2"/>
            <w:vAlign w:val="center"/>
          </w:tcPr>
          <w:p w14:paraId="6173D24B"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1300" w:type="dxa"/>
            <w:tcBorders>
              <w:top w:val="single" w:sz="4" w:space="0" w:color="8EA9DB"/>
              <w:left w:val="nil"/>
              <w:bottom w:val="single" w:sz="4" w:space="0" w:color="8EA9DB"/>
              <w:right w:val="nil"/>
            </w:tcBorders>
            <w:shd w:val="clear" w:color="D9E1F2" w:fill="D9E1F2"/>
            <w:vAlign w:val="center"/>
          </w:tcPr>
          <w:p w14:paraId="33576415"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1040" w:type="dxa"/>
            <w:tcBorders>
              <w:top w:val="single" w:sz="4" w:space="0" w:color="8EA9DB"/>
              <w:left w:val="nil"/>
              <w:bottom w:val="single" w:sz="4" w:space="0" w:color="8EA9DB"/>
              <w:right w:val="nil"/>
            </w:tcBorders>
            <w:shd w:val="clear" w:color="D9E1F2" w:fill="D9E1F2"/>
            <w:vAlign w:val="center"/>
          </w:tcPr>
          <w:p w14:paraId="3AA7557E"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2,450</w:t>
            </w:r>
          </w:p>
        </w:tc>
        <w:tc>
          <w:tcPr>
            <w:tcW w:w="1420" w:type="dxa"/>
            <w:tcBorders>
              <w:top w:val="single" w:sz="4" w:space="0" w:color="8EA9DB"/>
              <w:left w:val="nil"/>
              <w:bottom w:val="single" w:sz="4" w:space="0" w:color="8EA9DB"/>
              <w:right w:val="nil"/>
            </w:tcBorders>
            <w:shd w:val="clear" w:color="D9E1F2" w:fill="D9E1F2"/>
            <w:vAlign w:val="center"/>
          </w:tcPr>
          <w:p w14:paraId="408790C6"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r>
      <w:tr w:rsidR="00A102D6" w14:paraId="6C45E60B" w14:textId="77777777">
        <w:trPr>
          <w:trHeight w:val="290"/>
        </w:trPr>
        <w:tc>
          <w:tcPr>
            <w:tcW w:w="1540" w:type="dxa"/>
            <w:tcBorders>
              <w:top w:val="single" w:sz="4" w:space="0" w:color="8EA9DB"/>
              <w:left w:val="single" w:sz="4" w:space="0" w:color="8EA9DB"/>
              <w:bottom w:val="single" w:sz="4" w:space="0" w:color="8EA9DB"/>
              <w:right w:val="nil"/>
            </w:tcBorders>
            <w:vAlign w:val="center"/>
          </w:tcPr>
          <w:p w14:paraId="799C126A"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0.75</w:t>
            </w:r>
          </w:p>
        </w:tc>
        <w:tc>
          <w:tcPr>
            <w:tcW w:w="1460" w:type="dxa"/>
            <w:tcBorders>
              <w:top w:val="single" w:sz="4" w:space="0" w:color="8EA9DB"/>
              <w:left w:val="nil"/>
              <w:bottom w:val="single" w:sz="4" w:space="0" w:color="8EA9DB"/>
              <w:right w:val="nil"/>
            </w:tcBorders>
            <w:vAlign w:val="center"/>
          </w:tcPr>
          <w:p w14:paraId="737B72A0"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p>
        </w:tc>
        <w:tc>
          <w:tcPr>
            <w:tcW w:w="1180" w:type="dxa"/>
            <w:tcBorders>
              <w:top w:val="single" w:sz="4" w:space="0" w:color="8EA9DB"/>
              <w:left w:val="nil"/>
              <w:bottom w:val="single" w:sz="4" w:space="0" w:color="8EA9DB"/>
              <w:right w:val="nil"/>
            </w:tcBorders>
            <w:vAlign w:val="center"/>
          </w:tcPr>
          <w:p w14:paraId="61E969B8"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300" w:type="dxa"/>
            <w:tcBorders>
              <w:top w:val="single" w:sz="4" w:space="0" w:color="8EA9DB"/>
              <w:left w:val="nil"/>
              <w:bottom w:val="single" w:sz="4" w:space="0" w:color="8EA9DB"/>
              <w:right w:val="nil"/>
            </w:tcBorders>
            <w:vAlign w:val="center"/>
          </w:tcPr>
          <w:p w14:paraId="5289B2F3"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c>
          <w:tcPr>
            <w:tcW w:w="1040" w:type="dxa"/>
            <w:tcBorders>
              <w:top w:val="single" w:sz="4" w:space="0" w:color="8EA9DB"/>
              <w:left w:val="nil"/>
              <w:bottom w:val="single" w:sz="4" w:space="0" w:color="8EA9DB"/>
              <w:right w:val="nil"/>
            </w:tcBorders>
            <w:vAlign w:val="center"/>
          </w:tcPr>
          <w:p w14:paraId="07A2FED4"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2,500</w:t>
            </w:r>
          </w:p>
        </w:tc>
        <w:tc>
          <w:tcPr>
            <w:tcW w:w="1420" w:type="dxa"/>
            <w:tcBorders>
              <w:top w:val="single" w:sz="4" w:space="0" w:color="8EA9DB"/>
              <w:left w:val="nil"/>
              <w:bottom w:val="single" w:sz="4" w:space="0" w:color="8EA9DB"/>
              <w:right w:val="nil"/>
            </w:tcBorders>
            <w:vAlign w:val="center"/>
          </w:tcPr>
          <w:p w14:paraId="1316C9BC"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A102D6" w14:paraId="2AB5CA40" w14:textId="77777777">
        <w:trPr>
          <w:trHeight w:val="290"/>
        </w:trPr>
        <w:tc>
          <w:tcPr>
            <w:tcW w:w="1540" w:type="dxa"/>
            <w:tcBorders>
              <w:top w:val="single" w:sz="4" w:space="0" w:color="8EA9DB"/>
              <w:left w:val="single" w:sz="4" w:space="0" w:color="8EA9DB"/>
              <w:bottom w:val="single" w:sz="4" w:space="0" w:color="8EA9DB"/>
              <w:right w:val="nil"/>
            </w:tcBorders>
            <w:shd w:val="clear" w:color="D9E1F2" w:fill="D9E1F2"/>
            <w:vAlign w:val="center"/>
          </w:tcPr>
          <w:p w14:paraId="50972F67"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60" w:type="dxa"/>
            <w:tcBorders>
              <w:top w:val="single" w:sz="4" w:space="0" w:color="8EA9DB"/>
              <w:left w:val="nil"/>
              <w:bottom w:val="single" w:sz="4" w:space="0" w:color="8EA9DB"/>
              <w:right w:val="nil"/>
            </w:tcBorders>
            <w:shd w:val="clear" w:color="D9E1F2" w:fill="D9E1F2"/>
            <w:vAlign w:val="center"/>
          </w:tcPr>
          <w:p w14:paraId="5302628D"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1180" w:type="dxa"/>
            <w:tcBorders>
              <w:top w:val="single" w:sz="4" w:space="0" w:color="8EA9DB"/>
              <w:left w:val="nil"/>
              <w:bottom w:val="single" w:sz="4" w:space="0" w:color="8EA9DB"/>
              <w:right w:val="nil"/>
            </w:tcBorders>
            <w:shd w:val="clear" w:color="D9E1F2" w:fill="D9E1F2"/>
            <w:vAlign w:val="center"/>
          </w:tcPr>
          <w:p w14:paraId="1D8B96CA"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300" w:type="dxa"/>
            <w:tcBorders>
              <w:top w:val="single" w:sz="4" w:space="0" w:color="8EA9DB"/>
              <w:left w:val="nil"/>
              <w:bottom w:val="single" w:sz="4" w:space="0" w:color="8EA9DB"/>
              <w:right w:val="nil"/>
            </w:tcBorders>
            <w:shd w:val="clear" w:color="D9E1F2" w:fill="D9E1F2"/>
            <w:vAlign w:val="center"/>
          </w:tcPr>
          <w:p w14:paraId="0F247583"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w:t>
            </w:r>
          </w:p>
        </w:tc>
        <w:tc>
          <w:tcPr>
            <w:tcW w:w="1040" w:type="dxa"/>
            <w:tcBorders>
              <w:top w:val="single" w:sz="4" w:space="0" w:color="8EA9DB"/>
              <w:left w:val="nil"/>
              <w:bottom w:val="single" w:sz="4" w:space="0" w:color="8EA9DB"/>
              <w:right w:val="nil"/>
            </w:tcBorders>
            <w:shd w:val="clear" w:color="D9E1F2" w:fill="D9E1F2"/>
            <w:vAlign w:val="center"/>
          </w:tcPr>
          <w:p w14:paraId="04BCE9ED"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2,480</w:t>
            </w:r>
          </w:p>
        </w:tc>
        <w:tc>
          <w:tcPr>
            <w:tcW w:w="1420" w:type="dxa"/>
            <w:tcBorders>
              <w:top w:val="single" w:sz="4" w:space="0" w:color="8EA9DB"/>
              <w:left w:val="nil"/>
              <w:bottom w:val="single" w:sz="4" w:space="0" w:color="8EA9DB"/>
              <w:right w:val="nil"/>
            </w:tcBorders>
            <w:shd w:val="clear" w:color="D9E1F2" w:fill="D9E1F2"/>
            <w:vAlign w:val="center"/>
          </w:tcPr>
          <w:p w14:paraId="5E66D993"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bl>
    <w:p w14:paraId="1B1CB7AB" w14:textId="77777777" w:rsidR="00A102D6" w:rsidRDefault="00A102D6">
      <w:pPr>
        <w:rPr>
          <w:rFonts w:ascii="Times New Roman" w:hAnsi="Times New Roman" w:cs="Times New Roman"/>
          <w:sz w:val="24"/>
          <w:szCs w:val="24"/>
        </w:rPr>
      </w:pPr>
    </w:p>
    <w:p w14:paraId="37BEDA5D" w14:textId="77777777" w:rsidR="00A102D6" w:rsidRDefault="00A102D6">
      <w:pPr>
        <w:rPr>
          <w:rFonts w:ascii="Times New Roman" w:hAnsi="Times New Roman" w:cs="Times New Roman"/>
          <w:sz w:val="24"/>
          <w:szCs w:val="24"/>
        </w:rPr>
      </w:pPr>
    </w:p>
    <w:p w14:paraId="2FCBE0F3" w14:textId="77777777" w:rsidR="00A102D6" w:rsidRDefault="002379B8">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4572000" cy="2743200"/>
            <wp:effectExtent l="0" t="0" r="0" b="0"/>
            <wp:docPr id="131238692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B81A8D6"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Fig 1- Aggregate Revenue Outcomes</w:t>
      </w:r>
    </w:p>
    <w:p w14:paraId="7836FC6B"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Decline in Tax Gap</w:t>
      </w:r>
    </w:p>
    <w:p w14:paraId="707E9D8A"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 xml:space="preserve">Country tax gap falls by ₦450 billion (90%) at medium take-up, fully eroded at 75% take-up. First 25% take-up captures 60% of potential fall, reflecting </w:t>
      </w:r>
      <w:r>
        <w:rPr>
          <w:rFonts w:ascii="Times New Roman" w:hAnsi="Times New Roman" w:cs="Times New Roman"/>
          <w:sz w:val="24"/>
          <w:szCs w:val="24"/>
        </w:rPr>
        <w:t>substantial early-stage efficiency.</w:t>
      </w:r>
    </w:p>
    <w:p w14:paraId="446E9CF6"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Sectoral Impacts</w:t>
      </w:r>
    </w:p>
    <w:p w14:paraId="62885D83"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The retail and trade sector participates at 30% incremental revenue share because of a highly prevalent rate of informal cash transactions. This is followed by the telecommunications and manufacturing in</w:t>
      </w:r>
      <w:r>
        <w:rPr>
          <w:rFonts w:ascii="Times New Roman" w:hAnsi="Times New Roman" w:cs="Times New Roman"/>
          <w:sz w:val="24"/>
          <w:szCs w:val="24"/>
        </w:rPr>
        <w:t xml:space="preserve">dustries (26% and 23% increments respectively) because of established digitalized networks. The oil &amp; gas and financial industries have lower increments, which shows that there are lower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returns on already digitized ventures.</w:t>
      </w:r>
    </w:p>
    <w:p w14:paraId="247843C2" w14:textId="77777777" w:rsidR="00A102D6" w:rsidRDefault="002379B8">
      <w:pPr>
        <w:rPr>
          <w:rFonts w:ascii="Times New Roman" w:hAnsi="Times New Roman" w:cs="Times New Roman"/>
          <w:b/>
          <w:bCs/>
          <w:sz w:val="24"/>
          <w:szCs w:val="24"/>
        </w:rPr>
      </w:pPr>
      <w:r>
        <w:rPr>
          <w:rFonts w:ascii="Times New Roman" w:hAnsi="Times New Roman" w:cs="Times New Roman"/>
          <w:b/>
          <w:bCs/>
          <w:sz w:val="24"/>
          <w:szCs w:val="24"/>
        </w:rPr>
        <w:t>Table 1. Sectoral S</w:t>
      </w:r>
      <w:r>
        <w:rPr>
          <w:rFonts w:ascii="Times New Roman" w:hAnsi="Times New Roman" w:cs="Times New Roman"/>
          <w:b/>
          <w:bCs/>
          <w:sz w:val="24"/>
          <w:szCs w:val="24"/>
        </w:rPr>
        <w:t>imulation Results</w:t>
      </w:r>
      <w:r>
        <w:commentReference w:id="22"/>
      </w:r>
    </w:p>
    <w:tbl>
      <w:tblPr>
        <w:tblW w:w="6440" w:type="dxa"/>
        <w:tblInd w:w="113" w:type="dxa"/>
        <w:tblLook w:val="04A0" w:firstRow="1" w:lastRow="0" w:firstColumn="1" w:lastColumn="0" w:noHBand="0" w:noVBand="1"/>
      </w:tblPr>
      <w:tblGrid>
        <w:gridCol w:w="2229"/>
        <w:gridCol w:w="1096"/>
        <w:gridCol w:w="1363"/>
        <w:gridCol w:w="950"/>
        <w:gridCol w:w="1083"/>
      </w:tblGrid>
      <w:tr w:rsidR="00A102D6" w14:paraId="02EB7BE8" w14:textId="77777777">
        <w:trPr>
          <w:trHeight w:val="1450"/>
        </w:trPr>
        <w:tc>
          <w:tcPr>
            <w:tcW w:w="1890" w:type="dxa"/>
            <w:tcBorders>
              <w:top w:val="single" w:sz="4" w:space="0" w:color="8EA9DB"/>
              <w:left w:val="single" w:sz="4" w:space="0" w:color="8EA9DB"/>
              <w:bottom w:val="single" w:sz="4" w:space="0" w:color="8EA9DB"/>
              <w:right w:val="nil"/>
            </w:tcBorders>
            <w:shd w:val="clear" w:color="4472C4" w:fill="4472C4"/>
            <w:vAlign w:val="center"/>
          </w:tcPr>
          <w:p w14:paraId="165FC43A" w14:textId="77777777" w:rsidR="00A102D6" w:rsidRDefault="002379B8">
            <w:pPr>
              <w:spacing w:after="0" w:line="240" w:lineRule="auto"/>
              <w:jc w:val="center"/>
              <w:rPr>
                <w:rFonts w:ascii="Times New Roman" w:eastAsia="Times New Roman" w:hAnsi="Times New Roman" w:cs="Times New Roman"/>
                <w:b/>
                <w:bCs/>
                <w:color w:val="FFFFFF"/>
                <w:sz w:val="24"/>
                <w:szCs w:val="24"/>
              </w:rPr>
            </w:pPr>
            <w:r>
              <w:rPr>
                <w:rFonts w:ascii="Times New Roman" w:eastAsia="Times New Roman" w:hAnsi="Times New Roman" w:cs="Times New Roman"/>
                <w:b/>
                <w:bCs/>
                <w:color w:val="FFFFFF"/>
                <w:sz w:val="24"/>
                <w:szCs w:val="24"/>
              </w:rPr>
              <w:t>Sector</w:t>
            </w:r>
          </w:p>
        </w:tc>
        <w:tc>
          <w:tcPr>
            <w:tcW w:w="1212" w:type="dxa"/>
            <w:tcBorders>
              <w:top w:val="single" w:sz="4" w:space="0" w:color="8EA9DB"/>
              <w:left w:val="nil"/>
              <w:bottom w:val="single" w:sz="4" w:space="0" w:color="8EA9DB"/>
              <w:right w:val="nil"/>
            </w:tcBorders>
            <w:shd w:val="clear" w:color="4472C4" w:fill="4472C4"/>
            <w:vAlign w:val="center"/>
          </w:tcPr>
          <w:p w14:paraId="72F7AFEC" w14:textId="77777777" w:rsidR="00A102D6" w:rsidRDefault="002379B8">
            <w:pPr>
              <w:spacing w:after="0" w:line="240" w:lineRule="auto"/>
              <w:jc w:val="right"/>
              <w:rPr>
                <w:rFonts w:ascii="Times New Roman" w:eastAsia="Times New Roman" w:hAnsi="Times New Roman" w:cs="Times New Roman"/>
                <w:b/>
                <w:bCs/>
                <w:color w:val="FFFFFF"/>
                <w:sz w:val="24"/>
                <w:szCs w:val="24"/>
              </w:rPr>
            </w:pPr>
            <w:r>
              <w:rPr>
                <w:rFonts w:ascii="Times New Roman" w:eastAsia="Times New Roman" w:hAnsi="Times New Roman" w:cs="Times New Roman"/>
                <w:b/>
                <w:bCs/>
                <w:color w:val="FFFFFF"/>
                <w:sz w:val="24"/>
                <w:szCs w:val="24"/>
              </w:rPr>
              <w:t>Baseline Revenue (₦ billion)</w:t>
            </w:r>
          </w:p>
        </w:tc>
        <w:tc>
          <w:tcPr>
            <w:tcW w:w="1235" w:type="dxa"/>
            <w:tcBorders>
              <w:top w:val="single" w:sz="4" w:space="0" w:color="8EA9DB"/>
              <w:left w:val="nil"/>
              <w:bottom w:val="single" w:sz="4" w:space="0" w:color="8EA9DB"/>
              <w:right w:val="nil"/>
            </w:tcBorders>
            <w:shd w:val="clear" w:color="4472C4" w:fill="4472C4"/>
            <w:vAlign w:val="center"/>
          </w:tcPr>
          <w:p w14:paraId="2324DC2F" w14:textId="77777777" w:rsidR="00A102D6" w:rsidRDefault="002379B8">
            <w:pPr>
              <w:spacing w:after="0" w:line="240" w:lineRule="auto"/>
              <w:jc w:val="right"/>
              <w:rPr>
                <w:rFonts w:ascii="Times New Roman" w:eastAsia="Times New Roman" w:hAnsi="Times New Roman" w:cs="Times New Roman"/>
                <w:b/>
                <w:bCs/>
                <w:color w:val="FFFFFF"/>
                <w:sz w:val="24"/>
                <w:szCs w:val="24"/>
              </w:rPr>
            </w:pPr>
            <w:proofErr w:type="spellStart"/>
            <w:r>
              <w:rPr>
                <w:rFonts w:ascii="Times New Roman" w:eastAsia="Times New Roman" w:hAnsi="Times New Roman" w:cs="Times New Roman"/>
                <w:b/>
                <w:bCs/>
                <w:color w:val="FFFFFF"/>
                <w:sz w:val="24"/>
                <w:szCs w:val="24"/>
              </w:rPr>
              <w:t>Blockchain</w:t>
            </w:r>
            <w:proofErr w:type="spellEnd"/>
            <w:r>
              <w:rPr>
                <w:rFonts w:ascii="Times New Roman" w:eastAsia="Times New Roman" w:hAnsi="Times New Roman" w:cs="Times New Roman"/>
                <w:b/>
                <w:bCs/>
                <w:color w:val="FFFFFF"/>
                <w:sz w:val="24"/>
                <w:szCs w:val="24"/>
              </w:rPr>
              <w:t xml:space="preserve"> Revenue (₦ billion)</w:t>
            </w:r>
          </w:p>
        </w:tc>
        <w:tc>
          <w:tcPr>
            <w:tcW w:w="1019" w:type="dxa"/>
            <w:tcBorders>
              <w:top w:val="single" w:sz="4" w:space="0" w:color="8EA9DB"/>
              <w:left w:val="nil"/>
              <w:bottom w:val="single" w:sz="4" w:space="0" w:color="8EA9DB"/>
              <w:right w:val="nil"/>
            </w:tcBorders>
            <w:shd w:val="clear" w:color="4472C4" w:fill="4472C4"/>
            <w:vAlign w:val="center"/>
          </w:tcPr>
          <w:p w14:paraId="581FBCD5" w14:textId="77777777" w:rsidR="00A102D6" w:rsidRDefault="002379B8">
            <w:pPr>
              <w:spacing w:after="0" w:line="240" w:lineRule="auto"/>
              <w:jc w:val="right"/>
              <w:rPr>
                <w:rFonts w:ascii="Times New Roman" w:eastAsia="Times New Roman" w:hAnsi="Times New Roman" w:cs="Times New Roman"/>
                <w:b/>
                <w:bCs/>
                <w:color w:val="FFFFFF"/>
                <w:sz w:val="24"/>
                <w:szCs w:val="24"/>
              </w:rPr>
            </w:pPr>
            <w:r>
              <w:rPr>
                <w:rFonts w:ascii="Times New Roman" w:eastAsia="Times New Roman" w:hAnsi="Times New Roman" w:cs="Times New Roman"/>
                <w:b/>
                <w:bCs/>
                <w:color w:val="FFFFFF"/>
                <w:sz w:val="24"/>
                <w:szCs w:val="24"/>
              </w:rPr>
              <w:t>Gain (₦ billion)</w:t>
            </w:r>
          </w:p>
        </w:tc>
        <w:tc>
          <w:tcPr>
            <w:tcW w:w="1084" w:type="dxa"/>
            <w:tcBorders>
              <w:top w:val="single" w:sz="4" w:space="0" w:color="8EA9DB"/>
              <w:left w:val="nil"/>
              <w:bottom w:val="single" w:sz="4" w:space="0" w:color="8EA9DB"/>
              <w:right w:val="single" w:sz="4" w:space="0" w:color="8EA9DB"/>
            </w:tcBorders>
            <w:shd w:val="clear" w:color="4472C4" w:fill="4472C4"/>
            <w:vAlign w:val="center"/>
          </w:tcPr>
          <w:p w14:paraId="549C1557" w14:textId="77777777" w:rsidR="00A102D6" w:rsidRDefault="002379B8">
            <w:pPr>
              <w:spacing w:after="0" w:line="240" w:lineRule="auto"/>
              <w:jc w:val="right"/>
              <w:rPr>
                <w:rFonts w:ascii="Times New Roman" w:eastAsia="Times New Roman" w:hAnsi="Times New Roman" w:cs="Times New Roman"/>
                <w:b/>
                <w:bCs/>
                <w:color w:val="FFFFFF"/>
                <w:sz w:val="24"/>
                <w:szCs w:val="24"/>
              </w:rPr>
            </w:pPr>
            <w:r>
              <w:rPr>
                <w:rFonts w:ascii="Times New Roman" w:eastAsia="Times New Roman" w:hAnsi="Times New Roman" w:cs="Times New Roman"/>
                <w:b/>
                <w:bCs/>
                <w:color w:val="FFFFFF"/>
                <w:sz w:val="24"/>
                <w:szCs w:val="24"/>
              </w:rPr>
              <w:t>% Increase</w:t>
            </w:r>
          </w:p>
        </w:tc>
      </w:tr>
      <w:tr w:rsidR="00A102D6" w14:paraId="0B397DC9" w14:textId="77777777">
        <w:trPr>
          <w:trHeight w:val="290"/>
        </w:trPr>
        <w:tc>
          <w:tcPr>
            <w:tcW w:w="1890" w:type="dxa"/>
            <w:tcBorders>
              <w:top w:val="single" w:sz="4" w:space="0" w:color="8EA9DB"/>
              <w:left w:val="single" w:sz="4" w:space="0" w:color="8EA9DB"/>
              <w:bottom w:val="single" w:sz="4" w:space="0" w:color="8EA9DB"/>
              <w:right w:val="nil"/>
            </w:tcBorders>
            <w:shd w:val="clear" w:color="D9E1F2" w:fill="D9E1F2"/>
            <w:vAlign w:val="center"/>
          </w:tcPr>
          <w:p w14:paraId="1EFD29D5" w14:textId="77777777" w:rsidR="00A102D6" w:rsidRDefault="002379B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Oil &amp; Gas</w:t>
            </w:r>
          </w:p>
        </w:tc>
        <w:tc>
          <w:tcPr>
            <w:tcW w:w="1212" w:type="dxa"/>
            <w:tcBorders>
              <w:top w:val="single" w:sz="4" w:space="0" w:color="8EA9DB"/>
              <w:left w:val="nil"/>
              <w:bottom w:val="single" w:sz="4" w:space="0" w:color="8EA9DB"/>
              <w:right w:val="nil"/>
            </w:tcBorders>
            <w:shd w:val="clear" w:color="D9E1F2" w:fill="D9E1F2"/>
            <w:vAlign w:val="center"/>
          </w:tcPr>
          <w:p w14:paraId="713A8CD9"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w:t>
            </w:r>
          </w:p>
        </w:tc>
        <w:tc>
          <w:tcPr>
            <w:tcW w:w="1235" w:type="dxa"/>
            <w:tcBorders>
              <w:top w:val="single" w:sz="4" w:space="0" w:color="8EA9DB"/>
              <w:left w:val="nil"/>
              <w:bottom w:val="single" w:sz="4" w:space="0" w:color="8EA9DB"/>
              <w:right w:val="nil"/>
            </w:tcBorders>
            <w:shd w:val="clear" w:color="D9E1F2" w:fill="D9E1F2"/>
            <w:vAlign w:val="center"/>
          </w:tcPr>
          <w:p w14:paraId="6E3A41B6"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575</w:t>
            </w:r>
          </w:p>
        </w:tc>
        <w:tc>
          <w:tcPr>
            <w:tcW w:w="1019" w:type="dxa"/>
            <w:tcBorders>
              <w:top w:val="single" w:sz="4" w:space="0" w:color="8EA9DB"/>
              <w:left w:val="nil"/>
              <w:bottom w:val="single" w:sz="4" w:space="0" w:color="8EA9DB"/>
              <w:right w:val="nil"/>
            </w:tcBorders>
            <w:shd w:val="clear" w:color="D9E1F2" w:fill="D9E1F2"/>
            <w:vAlign w:val="center"/>
          </w:tcPr>
          <w:p w14:paraId="4BF7DE13"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c>
          <w:tcPr>
            <w:tcW w:w="1084" w:type="dxa"/>
            <w:tcBorders>
              <w:top w:val="single" w:sz="4" w:space="0" w:color="8EA9DB"/>
              <w:left w:val="nil"/>
              <w:bottom w:val="single" w:sz="4" w:space="0" w:color="8EA9DB"/>
              <w:right w:val="single" w:sz="4" w:space="0" w:color="8EA9DB"/>
            </w:tcBorders>
            <w:shd w:val="clear" w:color="D9E1F2" w:fill="D9E1F2"/>
            <w:vAlign w:val="center"/>
          </w:tcPr>
          <w:p w14:paraId="7F0F5B96"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A102D6" w14:paraId="73E8C211" w14:textId="77777777">
        <w:trPr>
          <w:trHeight w:val="580"/>
        </w:trPr>
        <w:tc>
          <w:tcPr>
            <w:tcW w:w="1890" w:type="dxa"/>
            <w:tcBorders>
              <w:top w:val="single" w:sz="4" w:space="0" w:color="8EA9DB"/>
              <w:left w:val="single" w:sz="4" w:space="0" w:color="8EA9DB"/>
              <w:bottom w:val="single" w:sz="4" w:space="0" w:color="8EA9DB"/>
              <w:right w:val="nil"/>
            </w:tcBorders>
            <w:vAlign w:val="center"/>
          </w:tcPr>
          <w:p w14:paraId="379B37E6" w14:textId="77777777" w:rsidR="00A102D6" w:rsidRDefault="002379B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Manufacturing</w:t>
            </w:r>
          </w:p>
        </w:tc>
        <w:tc>
          <w:tcPr>
            <w:tcW w:w="1212" w:type="dxa"/>
            <w:tcBorders>
              <w:top w:val="single" w:sz="4" w:space="0" w:color="8EA9DB"/>
              <w:left w:val="nil"/>
              <w:bottom w:val="single" w:sz="4" w:space="0" w:color="8EA9DB"/>
              <w:right w:val="nil"/>
            </w:tcBorders>
            <w:vAlign w:val="center"/>
          </w:tcPr>
          <w:p w14:paraId="58BC4F04"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1235" w:type="dxa"/>
            <w:tcBorders>
              <w:top w:val="single" w:sz="4" w:space="0" w:color="8EA9DB"/>
              <w:left w:val="nil"/>
              <w:bottom w:val="single" w:sz="4" w:space="0" w:color="8EA9DB"/>
              <w:right w:val="nil"/>
            </w:tcBorders>
            <w:vAlign w:val="center"/>
          </w:tcPr>
          <w:p w14:paraId="4B302BD6"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370</w:t>
            </w:r>
          </w:p>
        </w:tc>
        <w:tc>
          <w:tcPr>
            <w:tcW w:w="1019" w:type="dxa"/>
            <w:tcBorders>
              <w:top w:val="single" w:sz="4" w:space="0" w:color="8EA9DB"/>
              <w:left w:val="nil"/>
              <w:bottom w:val="single" w:sz="4" w:space="0" w:color="8EA9DB"/>
              <w:right w:val="nil"/>
            </w:tcBorders>
            <w:vAlign w:val="center"/>
          </w:tcPr>
          <w:p w14:paraId="120E935A"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w:t>
            </w:r>
          </w:p>
        </w:tc>
        <w:tc>
          <w:tcPr>
            <w:tcW w:w="1084" w:type="dxa"/>
            <w:tcBorders>
              <w:top w:val="single" w:sz="4" w:space="0" w:color="8EA9DB"/>
              <w:left w:val="nil"/>
              <w:bottom w:val="single" w:sz="4" w:space="0" w:color="8EA9DB"/>
              <w:right w:val="single" w:sz="4" w:space="0" w:color="8EA9DB"/>
            </w:tcBorders>
            <w:vAlign w:val="center"/>
          </w:tcPr>
          <w:p w14:paraId="543798AB"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r>
      <w:tr w:rsidR="00A102D6" w14:paraId="700081D8" w14:textId="77777777">
        <w:trPr>
          <w:trHeight w:val="870"/>
        </w:trPr>
        <w:tc>
          <w:tcPr>
            <w:tcW w:w="1890" w:type="dxa"/>
            <w:tcBorders>
              <w:top w:val="single" w:sz="4" w:space="0" w:color="8EA9DB"/>
              <w:left w:val="single" w:sz="4" w:space="0" w:color="8EA9DB"/>
              <w:bottom w:val="single" w:sz="4" w:space="0" w:color="8EA9DB"/>
              <w:right w:val="nil"/>
            </w:tcBorders>
            <w:shd w:val="clear" w:color="D9E1F2" w:fill="D9E1F2"/>
            <w:vAlign w:val="center"/>
          </w:tcPr>
          <w:p w14:paraId="436A003C" w14:textId="77777777" w:rsidR="00A102D6" w:rsidRDefault="002379B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Telecommunications</w:t>
            </w:r>
          </w:p>
        </w:tc>
        <w:tc>
          <w:tcPr>
            <w:tcW w:w="1212" w:type="dxa"/>
            <w:tcBorders>
              <w:top w:val="single" w:sz="4" w:space="0" w:color="8EA9DB"/>
              <w:left w:val="nil"/>
              <w:bottom w:val="single" w:sz="4" w:space="0" w:color="8EA9DB"/>
              <w:right w:val="nil"/>
            </w:tcBorders>
            <w:shd w:val="clear" w:color="D9E1F2" w:fill="D9E1F2"/>
            <w:vAlign w:val="center"/>
          </w:tcPr>
          <w:p w14:paraId="5497D397"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w:t>
            </w:r>
          </w:p>
        </w:tc>
        <w:tc>
          <w:tcPr>
            <w:tcW w:w="1235" w:type="dxa"/>
            <w:tcBorders>
              <w:top w:val="single" w:sz="4" w:space="0" w:color="8EA9DB"/>
              <w:left w:val="nil"/>
              <w:bottom w:val="single" w:sz="4" w:space="0" w:color="8EA9DB"/>
              <w:right w:val="nil"/>
            </w:tcBorders>
            <w:shd w:val="clear" w:color="D9E1F2" w:fill="D9E1F2"/>
            <w:vAlign w:val="center"/>
          </w:tcPr>
          <w:p w14:paraId="5F9D20DE"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315</w:t>
            </w:r>
          </w:p>
        </w:tc>
        <w:tc>
          <w:tcPr>
            <w:tcW w:w="1019" w:type="dxa"/>
            <w:tcBorders>
              <w:top w:val="single" w:sz="4" w:space="0" w:color="8EA9DB"/>
              <w:left w:val="nil"/>
              <w:bottom w:val="single" w:sz="4" w:space="0" w:color="8EA9DB"/>
              <w:right w:val="nil"/>
            </w:tcBorders>
            <w:shd w:val="clear" w:color="D9E1F2" w:fill="D9E1F2"/>
            <w:vAlign w:val="center"/>
          </w:tcPr>
          <w:p w14:paraId="2A02DCC3"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1084" w:type="dxa"/>
            <w:tcBorders>
              <w:top w:val="single" w:sz="4" w:space="0" w:color="8EA9DB"/>
              <w:left w:val="nil"/>
              <w:bottom w:val="single" w:sz="4" w:space="0" w:color="8EA9DB"/>
              <w:right w:val="single" w:sz="4" w:space="0" w:color="8EA9DB"/>
            </w:tcBorders>
            <w:shd w:val="clear" w:color="D9E1F2" w:fill="D9E1F2"/>
            <w:vAlign w:val="center"/>
          </w:tcPr>
          <w:p w14:paraId="4ADBDED6"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r>
      <w:tr w:rsidR="00A102D6" w14:paraId="798DAF5B" w14:textId="77777777">
        <w:trPr>
          <w:trHeight w:val="580"/>
        </w:trPr>
        <w:tc>
          <w:tcPr>
            <w:tcW w:w="1890" w:type="dxa"/>
            <w:tcBorders>
              <w:top w:val="single" w:sz="4" w:space="0" w:color="8EA9DB"/>
              <w:left w:val="single" w:sz="4" w:space="0" w:color="8EA9DB"/>
              <w:bottom w:val="single" w:sz="4" w:space="0" w:color="8EA9DB"/>
              <w:right w:val="nil"/>
            </w:tcBorders>
            <w:vAlign w:val="center"/>
          </w:tcPr>
          <w:p w14:paraId="5E822DF5" w14:textId="77777777" w:rsidR="00A102D6" w:rsidRDefault="002379B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Retail &amp; Trade</w:t>
            </w:r>
          </w:p>
        </w:tc>
        <w:tc>
          <w:tcPr>
            <w:tcW w:w="1212" w:type="dxa"/>
            <w:tcBorders>
              <w:top w:val="single" w:sz="4" w:space="0" w:color="8EA9DB"/>
              <w:left w:val="nil"/>
              <w:bottom w:val="single" w:sz="4" w:space="0" w:color="8EA9DB"/>
              <w:right w:val="nil"/>
            </w:tcBorders>
            <w:vAlign w:val="center"/>
          </w:tcPr>
          <w:p w14:paraId="4329FED3"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c>
          <w:tcPr>
            <w:tcW w:w="1235" w:type="dxa"/>
            <w:tcBorders>
              <w:top w:val="single" w:sz="4" w:space="0" w:color="8EA9DB"/>
              <w:left w:val="nil"/>
              <w:bottom w:val="single" w:sz="4" w:space="0" w:color="8EA9DB"/>
              <w:right w:val="nil"/>
            </w:tcBorders>
            <w:vAlign w:val="center"/>
          </w:tcPr>
          <w:p w14:paraId="3D21B0EE"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520</w:t>
            </w:r>
          </w:p>
        </w:tc>
        <w:tc>
          <w:tcPr>
            <w:tcW w:w="1019" w:type="dxa"/>
            <w:tcBorders>
              <w:top w:val="single" w:sz="4" w:space="0" w:color="8EA9DB"/>
              <w:left w:val="nil"/>
              <w:bottom w:val="single" w:sz="4" w:space="0" w:color="8EA9DB"/>
              <w:right w:val="nil"/>
            </w:tcBorders>
            <w:vAlign w:val="center"/>
          </w:tcPr>
          <w:p w14:paraId="508D70DA"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c>
          <w:tcPr>
            <w:tcW w:w="1084" w:type="dxa"/>
            <w:tcBorders>
              <w:top w:val="single" w:sz="4" w:space="0" w:color="8EA9DB"/>
              <w:left w:val="nil"/>
              <w:bottom w:val="single" w:sz="4" w:space="0" w:color="8EA9DB"/>
              <w:right w:val="single" w:sz="4" w:space="0" w:color="8EA9DB"/>
            </w:tcBorders>
            <w:vAlign w:val="center"/>
          </w:tcPr>
          <w:p w14:paraId="5D2F4598"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r w:rsidR="00A102D6" w14:paraId="5F7744E3" w14:textId="77777777">
        <w:trPr>
          <w:trHeight w:val="580"/>
        </w:trPr>
        <w:tc>
          <w:tcPr>
            <w:tcW w:w="1890" w:type="dxa"/>
            <w:tcBorders>
              <w:top w:val="single" w:sz="4" w:space="0" w:color="8EA9DB"/>
              <w:left w:val="single" w:sz="4" w:space="0" w:color="8EA9DB"/>
              <w:bottom w:val="single" w:sz="4" w:space="0" w:color="8EA9DB"/>
              <w:right w:val="nil"/>
            </w:tcBorders>
            <w:shd w:val="clear" w:color="D9E1F2" w:fill="D9E1F2"/>
            <w:vAlign w:val="center"/>
          </w:tcPr>
          <w:p w14:paraId="4B8D3FC7" w14:textId="77777777" w:rsidR="00A102D6" w:rsidRDefault="002379B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Financial Services</w:t>
            </w:r>
          </w:p>
        </w:tc>
        <w:tc>
          <w:tcPr>
            <w:tcW w:w="1212" w:type="dxa"/>
            <w:tcBorders>
              <w:top w:val="single" w:sz="4" w:space="0" w:color="8EA9DB"/>
              <w:left w:val="nil"/>
              <w:bottom w:val="single" w:sz="4" w:space="0" w:color="8EA9DB"/>
              <w:right w:val="nil"/>
            </w:tcBorders>
            <w:shd w:val="clear" w:color="D9E1F2" w:fill="D9E1F2"/>
            <w:vAlign w:val="center"/>
          </w:tcPr>
          <w:p w14:paraId="04D489BE"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235" w:type="dxa"/>
            <w:tcBorders>
              <w:top w:val="single" w:sz="4" w:space="0" w:color="8EA9DB"/>
              <w:left w:val="nil"/>
              <w:bottom w:val="single" w:sz="4" w:space="0" w:color="8EA9DB"/>
              <w:right w:val="nil"/>
            </w:tcBorders>
            <w:shd w:val="clear" w:color="D9E1F2" w:fill="D9E1F2"/>
            <w:vAlign w:val="center"/>
          </w:tcPr>
          <w:p w14:paraId="68B4E655"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235</w:t>
            </w:r>
          </w:p>
        </w:tc>
        <w:tc>
          <w:tcPr>
            <w:tcW w:w="1019" w:type="dxa"/>
            <w:tcBorders>
              <w:top w:val="single" w:sz="4" w:space="0" w:color="8EA9DB"/>
              <w:left w:val="nil"/>
              <w:bottom w:val="single" w:sz="4" w:space="0" w:color="8EA9DB"/>
              <w:right w:val="nil"/>
            </w:tcBorders>
            <w:shd w:val="clear" w:color="D9E1F2" w:fill="D9E1F2"/>
            <w:vAlign w:val="center"/>
          </w:tcPr>
          <w:p w14:paraId="7EF54070"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1084" w:type="dxa"/>
            <w:tcBorders>
              <w:top w:val="single" w:sz="4" w:space="0" w:color="8EA9DB"/>
              <w:left w:val="nil"/>
              <w:bottom w:val="single" w:sz="4" w:space="0" w:color="8EA9DB"/>
              <w:right w:val="single" w:sz="4" w:space="0" w:color="8EA9DB"/>
            </w:tcBorders>
            <w:shd w:val="clear" w:color="D9E1F2" w:fill="D9E1F2"/>
            <w:vAlign w:val="center"/>
          </w:tcPr>
          <w:p w14:paraId="21B608AB"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w:t>
            </w:r>
          </w:p>
        </w:tc>
      </w:tr>
      <w:tr w:rsidR="00A102D6" w14:paraId="62BA8D8A" w14:textId="77777777">
        <w:trPr>
          <w:trHeight w:val="290"/>
        </w:trPr>
        <w:tc>
          <w:tcPr>
            <w:tcW w:w="1890" w:type="dxa"/>
            <w:tcBorders>
              <w:top w:val="single" w:sz="4" w:space="0" w:color="8EA9DB"/>
              <w:left w:val="single" w:sz="4" w:space="0" w:color="8EA9DB"/>
              <w:bottom w:val="single" w:sz="4" w:space="0" w:color="8EA9DB"/>
              <w:right w:val="nil"/>
            </w:tcBorders>
            <w:vAlign w:val="center"/>
          </w:tcPr>
          <w:p w14:paraId="7D9A9E37" w14:textId="77777777" w:rsidR="00A102D6" w:rsidRDefault="002379B8">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Total</w:t>
            </w:r>
          </w:p>
        </w:tc>
        <w:tc>
          <w:tcPr>
            <w:tcW w:w="1212" w:type="dxa"/>
            <w:tcBorders>
              <w:top w:val="single" w:sz="4" w:space="0" w:color="8EA9DB"/>
              <w:left w:val="nil"/>
              <w:bottom w:val="single" w:sz="4" w:space="0" w:color="8EA9DB"/>
              <w:right w:val="nil"/>
            </w:tcBorders>
            <w:vAlign w:val="center"/>
          </w:tcPr>
          <w:p w14:paraId="2FB49772" w14:textId="77777777" w:rsidR="00A102D6" w:rsidRDefault="002379B8">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1,650</w:t>
            </w:r>
          </w:p>
        </w:tc>
        <w:tc>
          <w:tcPr>
            <w:tcW w:w="1235" w:type="dxa"/>
            <w:tcBorders>
              <w:top w:val="single" w:sz="4" w:space="0" w:color="8EA9DB"/>
              <w:left w:val="nil"/>
              <w:bottom w:val="single" w:sz="4" w:space="0" w:color="8EA9DB"/>
              <w:right w:val="nil"/>
            </w:tcBorders>
            <w:vAlign w:val="center"/>
          </w:tcPr>
          <w:p w14:paraId="3E22C6CF" w14:textId="77777777" w:rsidR="00A102D6" w:rsidRDefault="002379B8">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2,015</w:t>
            </w:r>
          </w:p>
        </w:tc>
        <w:tc>
          <w:tcPr>
            <w:tcW w:w="1019" w:type="dxa"/>
            <w:tcBorders>
              <w:top w:val="single" w:sz="4" w:space="0" w:color="8EA9DB"/>
              <w:left w:val="nil"/>
              <w:bottom w:val="single" w:sz="4" w:space="0" w:color="8EA9DB"/>
              <w:right w:val="nil"/>
            </w:tcBorders>
            <w:vAlign w:val="center"/>
          </w:tcPr>
          <w:p w14:paraId="5731B73C" w14:textId="77777777" w:rsidR="00A102D6" w:rsidRDefault="002379B8">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365</w:t>
            </w:r>
          </w:p>
        </w:tc>
        <w:tc>
          <w:tcPr>
            <w:tcW w:w="1084" w:type="dxa"/>
            <w:tcBorders>
              <w:top w:val="single" w:sz="4" w:space="0" w:color="8EA9DB"/>
              <w:left w:val="nil"/>
              <w:bottom w:val="single" w:sz="4" w:space="0" w:color="8EA9DB"/>
              <w:right w:val="single" w:sz="4" w:space="0" w:color="8EA9DB"/>
            </w:tcBorders>
            <w:vAlign w:val="center"/>
          </w:tcPr>
          <w:p w14:paraId="294F4FF1" w14:textId="77777777" w:rsidR="00A102D6" w:rsidRDefault="002379B8">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22</w:t>
            </w:r>
          </w:p>
        </w:tc>
      </w:tr>
    </w:tbl>
    <w:p w14:paraId="29D4E1CB" w14:textId="77777777" w:rsidR="00A102D6" w:rsidRDefault="00A102D6">
      <w:pPr>
        <w:rPr>
          <w:rFonts w:ascii="Times New Roman" w:hAnsi="Times New Roman" w:cs="Times New Roman"/>
          <w:sz w:val="24"/>
          <w:szCs w:val="24"/>
        </w:rPr>
      </w:pPr>
    </w:p>
    <w:p w14:paraId="66E6E97B" w14:textId="77777777" w:rsidR="00A102D6" w:rsidRDefault="002379B8">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572000" cy="2743200"/>
            <wp:effectExtent l="0" t="0" r="0" b="0"/>
            <wp:docPr id="9408724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398117D"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Fig 2- Sectoral Simulation</w:t>
      </w:r>
    </w:p>
    <w:p w14:paraId="3BE3C147"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Regional Effects</w:t>
      </w:r>
    </w:p>
    <w:p w14:paraId="2B7A849B"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 xml:space="preserve">Regional modeling indicates that Lagos, Abuja, and Rivers as a group generate 53% to additional revenue in line with enhanced transaction density and ICT </w:t>
      </w:r>
      <w:r>
        <w:rPr>
          <w:rFonts w:ascii="Times New Roman" w:hAnsi="Times New Roman" w:cs="Times New Roman"/>
          <w:sz w:val="24"/>
          <w:szCs w:val="24"/>
        </w:rPr>
        <w:t>infrastructure. Regional ROI is worthy of phased rollout starting from states that are technologically advanced.</w:t>
      </w:r>
    </w:p>
    <w:p w14:paraId="163DF08C" w14:textId="77777777" w:rsidR="00A102D6" w:rsidRDefault="002379B8">
      <w:pPr>
        <w:rPr>
          <w:rFonts w:ascii="Times New Roman" w:hAnsi="Times New Roman" w:cs="Times New Roman"/>
          <w:b/>
          <w:bCs/>
          <w:sz w:val="24"/>
          <w:szCs w:val="24"/>
        </w:rPr>
      </w:pPr>
      <w:r>
        <w:rPr>
          <w:rFonts w:ascii="Times New Roman" w:hAnsi="Times New Roman" w:cs="Times New Roman"/>
          <w:b/>
          <w:bCs/>
          <w:sz w:val="24"/>
          <w:szCs w:val="24"/>
        </w:rPr>
        <w:t>Table 2. Sensitivity Analysis</w:t>
      </w:r>
      <w:r>
        <w:commentReference w:id="23"/>
      </w:r>
    </w:p>
    <w:tbl>
      <w:tblPr>
        <w:tblW w:w="8020" w:type="dxa"/>
        <w:tblInd w:w="113" w:type="dxa"/>
        <w:tblLook w:val="04A0" w:firstRow="1" w:lastRow="0" w:firstColumn="1" w:lastColumn="0" w:noHBand="0" w:noVBand="1"/>
      </w:tblPr>
      <w:tblGrid>
        <w:gridCol w:w="1136"/>
        <w:gridCol w:w="1523"/>
        <w:gridCol w:w="1230"/>
        <w:gridCol w:w="1588"/>
        <w:gridCol w:w="1430"/>
        <w:gridCol w:w="1113"/>
      </w:tblGrid>
      <w:tr w:rsidR="00A102D6" w14:paraId="36D53202" w14:textId="77777777">
        <w:trPr>
          <w:trHeight w:val="1450"/>
        </w:trPr>
        <w:tc>
          <w:tcPr>
            <w:tcW w:w="1100" w:type="dxa"/>
            <w:tcBorders>
              <w:top w:val="single" w:sz="4" w:space="0" w:color="8EA9DB"/>
              <w:left w:val="single" w:sz="4" w:space="0" w:color="8EA9DB"/>
              <w:bottom w:val="single" w:sz="4" w:space="0" w:color="8EA9DB"/>
              <w:right w:val="nil"/>
            </w:tcBorders>
            <w:shd w:val="clear" w:color="4472C4" w:fill="4472C4"/>
            <w:vAlign w:val="center"/>
          </w:tcPr>
          <w:p w14:paraId="3A42B527" w14:textId="77777777" w:rsidR="00A102D6" w:rsidRDefault="002379B8">
            <w:pPr>
              <w:spacing w:after="0" w:line="240" w:lineRule="auto"/>
              <w:jc w:val="center"/>
              <w:rPr>
                <w:rFonts w:ascii="Times New Roman" w:eastAsia="Times New Roman" w:hAnsi="Times New Roman" w:cs="Times New Roman"/>
                <w:b/>
                <w:bCs/>
                <w:color w:val="FFFFFF"/>
                <w:sz w:val="24"/>
                <w:szCs w:val="24"/>
              </w:rPr>
            </w:pPr>
            <w:r>
              <w:rPr>
                <w:rFonts w:ascii="Times New Roman" w:eastAsia="Times New Roman" w:hAnsi="Times New Roman" w:cs="Times New Roman"/>
                <w:b/>
                <w:bCs/>
                <w:color w:val="FFFFFF"/>
                <w:sz w:val="24"/>
                <w:szCs w:val="24"/>
              </w:rPr>
              <w:t>Scenario</w:t>
            </w:r>
          </w:p>
        </w:tc>
        <w:tc>
          <w:tcPr>
            <w:tcW w:w="1420" w:type="dxa"/>
            <w:tcBorders>
              <w:top w:val="single" w:sz="4" w:space="0" w:color="8EA9DB"/>
              <w:left w:val="nil"/>
              <w:bottom w:val="single" w:sz="4" w:space="0" w:color="8EA9DB"/>
              <w:right w:val="nil"/>
            </w:tcBorders>
            <w:shd w:val="clear" w:color="4472C4" w:fill="4472C4"/>
            <w:vAlign w:val="center"/>
          </w:tcPr>
          <w:p w14:paraId="2C2C6479" w14:textId="77777777" w:rsidR="00A102D6" w:rsidRDefault="002379B8">
            <w:pPr>
              <w:spacing w:after="0" w:line="240" w:lineRule="auto"/>
              <w:jc w:val="right"/>
              <w:rPr>
                <w:rFonts w:ascii="Times New Roman" w:eastAsia="Times New Roman" w:hAnsi="Times New Roman" w:cs="Times New Roman"/>
                <w:b/>
                <w:bCs/>
                <w:color w:val="FFFFFF"/>
                <w:sz w:val="24"/>
                <w:szCs w:val="24"/>
              </w:rPr>
            </w:pPr>
            <w:r>
              <w:rPr>
                <w:rFonts w:ascii="Times New Roman" w:eastAsia="Times New Roman" w:hAnsi="Times New Roman" w:cs="Times New Roman"/>
                <w:b/>
                <w:bCs/>
                <w:color w:val="FFFFFF"/>
                <w:sz w:val="24"/>
                <w:szCs w:val="24"/>
              </w:rPr>
              <w:t>α (Compliance Response)</w:t>
            </w:r>
          </w:p>
        </w:tc>
        <w:tc>
          <w:tcPr>
            <w:tcW w:w="1260" w:type="dxa"/>
            <w:tcBorders>
              <w:top w:val="single" w:sz="4" w:space="0" w:color="8EA9DB"/>
              <w:left w:val="nil"/>
              <w:bottom w:val="single" w:sz="4" w:space="0" w:color="8EA9DB"/>
              <w:right w:val="nil"/>
            </w:tcBorders>
            <w:shd w:val="clear" w:color="4472C4" w:fill="4472C4"/>
            <w:vAlign w:val="center"/>
          </w:tcPr>
          <w:p w14:paraId="3E173E7D" w14:textId="77777777" w:rsidR="00A102D6" w:rsidRDefault="002379B8">
            <w:pPr>
              <w:spacing w:after="0" w:line="240" w:lineRule="auto"/>
              <w:jc w:val="right"/>
              <w:rPr>
                <w:rFonts w:ascii="Times New Roman" w:eastAsia="Times New Roman" w:hAnsi="Times New Roman" w:cs="Times New Roman"/>
                <w:b/>
                <w:bCs/>
                <w:color w:val="FFFFFF"/>
                <w:sz w:val="24"/>
                <w:szCs w:val="24"/>
              </w:rPr>
            </w:pPr>
            <w:r>
              <w:rPr>
                <w:rFonts w:ascii="Times New Roman" w:eastAsia="Times New Roman" w:hAnsi="Times New Roman" w:cs="Times New Roman"/>
                <w:b/>
                <w:bCs/>
                <w:color w:val="FFFFFF"/>
                <w:sz w:val="24"/>
                <w:szCs w:val="24"/>
              </w:rPr>
              <w:t>Fixed Cost (₦ billion)</w:t>
            </w:r>
          </w:p>
        </w:tc>
        <w:tc>
          <w:tcPr>
            <w:tcW w:w="1600" w:type="dxa"/>
            <w:tcBorders>
              <w:top w:val="single" w:sz="4" w:space="0" w:color="8EA9DB"/>
              <w:left w:val="nil"/>
              <w:bottom w:val="single" w:sz="4" w:space="0" w:color="8EA9DB"/>
              <w:right w:val="nil"/>
            </w:tcBorders>
            <w:shd w:val="clear" w:color="4472C4" w:fill="4472C4"/>
            <w:vAlign w:val="center"/>
          </w:tcPr>
          <w:p w14:paraId="1CC514A8" w14:textId="77777777" w:rsidR="00A102D6" w:rsidRDefault="002379B8">
            <w:pPr>
              <w:spacing w:after="0" w:line="240" w:lineRule="auto"/>
              <w:jc w:val="right"/>
              <w:rPr>
                <w:rFonts w:ascii="Times New Roman" w:eastAsia="Times New Roman" w:hAnsi="Times New Roman" w:cs="Times New Roman"/>
                <w:b/>
                <w:bCs/>
                <w:color w:val="FFFFFF"/>
                <w:sz w:val="24"/>
                <w:szCs w:val="24"/>
              </w:rPr>
            </w:pPr>
            <w:r>
              <w:rPr>
                <w:rFonts w:ascii="Times New Roman" w:eastAsia="Times New Roman" w:hAnsi="Times New Roman" w:cs="Times New Roman"/>
                <w:b/>
                <w:bCs/>
                <w:color w:val="FFFFFF"/>
                <w:sz w:val="24"/>
                <w:szCs w:val="24"/>
              </w:rPr>
              <w:t>Incremental Revenue (₦ billion)</w:t>
            </w:r>
          </w:p>
        </w:tc>
        <w:tc>
          <w:tcPr>
            <w:tcW w:w="1480" w:type="dxa"/>
            <w:tcBorders>
              <w:top w:val="single" w:sz="4" w:space="0" w:color="8EA9DB"/>
              <w:left w:val="nil"/>
              <w:bottom w:val="single" w:sz="4" w:space="0" w:color="8EA9DB"/>
              <w:right w:val="nil"/>
            </w:tcBorders>
            <w:shd w:val="clear" w:color="4472C4" w:fill="4472C4"/>
            <w:vAlign w:val="center"/>
          </w:tcPr>
          <w:p w14:paraId="4FB6434D" w14:textId="77777777" w:rsidR="00A102D6" w:rsidRDefault="002379B8">
            <w:pPr>
              <w:spacing w:after="0" w:line="240" w:lineRule="auto"/>
              <w:jc w:val="right"/>
              <w:rPr>
                <w:rFonts w:ascii="Times New Roman" w:eastAsia="Times New Roman" w:hAnsi="Times New Roman" w:cs="Times New Roman"/>
                <w:b/>
                <w:bCs/>
                <w:color w:val="FFFFFF"/>
                <w:sz w:val="24"/>
                <w:szCs w:val="24"/>
              </w:rPr>
            </w:pPr>
            <w:r>
              <w:rPr>
                <w:rFonts w:ascii="Times New Roman" w:eastAsia="Times New Roman" w:hAnsi="Times New Roman" w:cs="Times New Roman"/>
                <w:b/>
                <w:bCs/>
                <w:color w:val="FFFFFF"/>
                <w:sz w:val="24"/>
                <w:szCs w:val="24"/>
              </w:rPr>
              <w:t xml:space="preserve">Net Benefit (₦ </w:t>
            </w:r>
            <w:r>
              <w:rPr>
                <w:rFonts w:ascii="Times New Roman" w:eastAsia="Times New Roman" w:hAnsi="Times New Roman" w:cs="Times New Roman"/>
                <w:b/>
                <w:bCs/>
                <w:color w:val="FFFFFF"/>
                <w:sz w:val="24"/>
                <w:szCs w:val="24"/>
              </w:rPr>
              <w:t>billion)</w:t>
            </w:r>
          </w:p>
        </w:tc>
        <w:tc>
          <w:tcPr>
            <w:tcW w:w="1160" w:type="dxa"/>
            <w:tcBorders>
              <w:top w:val="single" w:sz="4" w:space="0" w:color="8EA9DB"/>
              <w:left w:val="nil"/>
              <w:bottom w:val="single" w:sz="4" w:space="0" w:color="8EA9DB"/>
              <w:right w:val="single" w:sz="4" w:space="0" w:color="8EA9DB"/>
            </w:tcBorders>
            <w:shd w:val="clear" w:color="4472C4" w:fill="4472C4"/>
            <w:vAlign w:val="center"/>
          </w:tcPr>
          <w:p w14:paraId="1E40CBBF" w14:textId="77777777" w:rsidR="00A102D6" w:rsidRDefault="002379B8">
            <w:pPr>
              <w:spacing w:after="0" w:line="240" w:lineRule="auto"/>
              <w:jc w:val="right"/>
              <w:rPr>
                <w:rFonts w:ascii="Times New Roman" w:eastAsia="Times New Roman" w:hAnsi="Times New Roman" w:cs="Times New Roman"/>
                <w:b/>
                <w:bCs/>
                <w:color w:val="FFFFFF"/>
                <w:sz w:val="24"/>
                <w:szCs w:val="24"/>
              </w:rPr>
            </w:pPr>
            <w:r>
              <w:rPr>
                <w:rFonts w:ascii="Times New Roman" w:eastAsia="Times New Roman" w:hAnsi="Times New Roman" w:cs="Times New Roman"/>
                <w:b/>
                <w:bCs/>
                <w:color w:val="FFFFFF"/>
                <w:sz w:val="24"/>
                <w:szCs w:val="24"/>
              </w:rPr>
              <w:t>ROI</w:t>
            </w:r>
          </w:p>
        </w:tc>
      </w:tr>
      <w:tr w:rsidR="00A102D6" w14:paraId="36B29F8C" w14:textId="77777777">
        <w:trPr>
          <w:trHeight w:val="290"/>
        </w:trPr>
        <w:tc>
          <w:tcPr>
            <w:tcW w:w="1100" w:type="dxa"/>
            <w:tcBorders>
              <w:top w:val="single" w:sz="4" w:space="0" w:color="8EA9DB"/>
              <w:left w:val="single" w:sz="4" w:space="0" w:color="8EA9DB"/>
              <w:bottom w:val="single" w:sz="4" w:space="0" w:color="8EA9DB"/>
              <w:right w:val="nil"/>
            </w:tcBorders>
            <w:shd w:val="clear" w:color="D9E1F2" w:fill="D9E1F2"/>
            <w:vAlign w:val="center"/>
          </w:tcPr>
          <w:p w14:paraId="2BEC457A" w14:textId="77777777" w:rsidR="00A102D6" w:rsidRDefault="002379B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Baseline</w:t>
            </w:r>
          </w:p>
        </w:tc>
        <w:tc>
          <w:tcPr>
            <w:tcW w:w="1420" w:type="dxa"/>
            <w:tcBorders>
              <w:top w:val="single" w:sz="4" w:space="0" w:color="8EA9DB"/>
              <w:left w:val="nil"/>
              <w:bottom w:val="single" w:sz="4" w:space="0" w:color="8EA9DB"/>
              <w:right w:val="nil"/>
            </w:tcBorders>
            <w:shd w:val="clear" w:color="D9E1F2" w:fill="D9E1F2"/>
            <w:vAlign w:val="center"/>
          </w:tcPr>
          <w:p w14:paraId="22322F7D"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c>
          <w:tcPr>
            <w:tcW w:w="1260" w:type="dxa"/>
            <w:tcBorders>
              <w:top w:val="single" w:sz="4" w:space="0" w:color="8EA9DB"/>
              <w:left w:val="nil"/>
              <w:bottom w:val="single" w:sz="4" w:space="0" w:color="8EA9DB"/>
              <w:right w:val="nil"/>
            </w:tcBorders>
            <w:shd w:val="clear" w:color="D9E1F2" w:fill="D9E1F2"/>
            <w:vAlign w:val="center"/>
          </w:tcPr>
          <w:p w14:paraId="7A54A3E6"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600" w:type="dxa"/>
            <w:tcBorders>
              <w:top w:val="single" w:sz="4" w:space="0" w:color="8EA9DB"/>
              <w:left w:val="nil"/>
              <w:bottom w:val="single" w:sz="4" w:space="0" w:color="8EA9DB"/>
              <w:right w:val="nil"/>
            </w:tcBorders>
            <w:shd w:val="clear" w:color="D9E1F2" w:fill="D9E1F2"/>
            <w:vAlign w:val="center"/>
          </w:tcPr>
          <w:p w14:paraId="1C20B86D"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530</w:t>
            </w:r>
          </w:p>
        </w:tc>
        <w:tc>
          <w:tcPr>
            <w:tcW w:w="1480" w:type="dxa"/>
            <w:tcBorders>
              <w:top w:val="single" w:sz="4" w:space="0" w:color="8EA9DB"/>
              <w:left w:val="nil"/>
              <w:bottom w:val="single" w:sz="4" w:space="0" w:color="8EA9DB"/>
              <w:right w:val="nil"/>
            </w:tcBorders>
            <w:shd w:val="clear" w:color="D9E1F2" w:fill="D9E1F2"/>
            <w:vAlign w:val="center"/>
          </w:tcPr>
          <w:p w14:paraId="2E4FE977"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490</w:t>
            </w:r>
          </w:p>
        </w:tc>
        <w:tc>
          <w:tcPr>
            <w:tcW w:w="1160" w:type="dxa"/>
            <w:tcBorders>
              <w:top w:val="single" w:sz="4" w:space="0" w:color="8EA9DB"/>
              <w:left w:val="nil"/>
              <w:bottom w:val="single" w:sz="4" w:space="0" w:color="8EA9DB"/>
              <w:right w:val="single" w:sz="4" w:space="0" w:color="8EA9DB"/>
            </w:tcBorders>
            <w:shd w:val="clear" w:color="D9E1F2" w:fill="D9E1F2"/>
            <w:vAlign w:val="center"/>
          </w:tcPr>
          <w:p w14:paraId="4ABC5917"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r>
      <w:tr w:rsidR="00A102D6" w14:paraId="27EA1FC6" w14:textId="77777777">
        <w:trPr>
          <w:trHeight w:val="870"/>
        </w:trPr>
        <w:tc>
          <w:tcPr>
            <w:tcW w:w="1100" w:type="dxa"/>
            <w:tcBorders>
              <w:top w:val="single" w:sz="4" w:space="0" w:color="8EA9DB"/>
              <w:left w:val="single" w:sz="4" w:space="0" w:color="8EA9DB"/>
              <w:bottom w:val="single" w:sz="4" w:space="0" w:color="8EA9DB"/>
              <w:right w:val="nil"/>
            </w:tcBorders>
            <w:vAlign w:val="center"/>
          </w:tcPr>
          <w:p w14:paraId="7D9F8FAD" w14:textId="77777777" w:rsidR="00A102D6" w:rsidRDefault="002379B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Higher Response</w:t>
            </w:r>
          </w:p>
        </w:tc>
        <w:tc>
          <w:tcPr>
            <w:tcW w:w="1420" w:type="dxa"/>
            <w:tcBorders>
              <w:top w:val="single" w:sz="4" w:space="0" w:color="8EA9DB"/>
              <w:left w:val="nil"/>
              <w:bottom w:val="single" w:sz="4" w:space="0" w:color="8EA9DB"/>
              <w:right w:val="nil"/>
            </w:tcBorders>
            <w:vAlign w:val="center"/>
          </w:tcPr>
          <w:p w14:paraId="6D57ED89"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w:t>
            </w:r>
          </w:p>
        </w:tc>
        <w:tc>
          <w:tcPr>
            <w:tcW w:w="1260" w:type="dxa"/>
            <w:tcBorders>
              <w:top w:val="single" w:sz="4" w:space="0" w:color="8EA9DB"/>
              <w:left w:val="nil"/>
              <w:bottom w:val="single" w:sz="4" w:space="0" w:color="8EA9DB"/>
              <w:right w:val="nil"/>
            </w:tcBorders>
            <w:vAlign w:val="center"/>
          </w:tcPr>
          <w:p w14:paraId="61408D30"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600" w:type="dxa"/>
            <w:tcBorders>
              <w:top w:val="single" w:sz="4" w:space="0" w:color="8EA9DB"/>
              <w:left w:val="nil"/>
              <w:bottom w:val="single" w:sz="4" w:space="0" w:color="8EA9DB"/>
              <w:right w:val="nil"/>
            </w:tcBorders>
            <w:vAlign w:val="center"/>
          </w:tcPr>
          <w:p w14:paraId="0475645A"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650</w:t>
            </w:r>
          </w:p>
        </w:tc>
        <w:tc>
          <w:tcPr>
            <w:tcW w:w="1480" w:type="dxa"/>
            <w:tcBorders>
              <w:top w:val="single" w:sz="4" w:space="0" w:color="8EA9DB"/>
              <w:left w:val="nil"/>
              <w:bottom w:val="single" w:sz="4" w:space="0" w:color="8EA9DB"/>
              <w:right w:val="nil"/>
            </w:tcBorders>
            <w:vAlign w:val="center"/>
          </w:tcPr>
          <w:p w14:paraId="2697721D"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610</w:t>
            </w:r>
          </w:p>
        </w:tc>
        <w:tc>
          <w:tcPr>
            <w:tcW w:w="1160" w:type="dxa"/>
            <w:tcBorders>
              <w:top w:val="single" w:sz="4" w:space="0" w:color="8EA9DB"/>
              <w:left w:val="nil"/>
              <w:bottom w:val="single" w:sz="4" w:space="0" w:color="8EA9DB"/>
              <w:right w:val="single" w:sz="4" w:space="0" w:color="8EA9DB"/>
            </w:tcBorders>
            <w:vAlign w:val="center"/>
          </w:tcPr>
          <w:p w14:paraId="1B019CD4"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16.3</w:t>
            </w:r>
          </w:p>
        </w:tc>
      </w:tr>
      <w:tr w:rsidR="00A102D6" w14:paraId="558C7F96" w14:textId="77777777">
        <w:trPr>
          <w:trHeight w:val="870"/>
        </w:trPr>
        <w:tc>
          <w:tcPr>
            <w:tcW w:w="1100" w:type="dxa"/>
            <w:tcBorders>
              <w:top w:val="single" w:sz="4" w:space="0" w:color="8EA9DB"/>
              <w:left w:val="single" w:sz="4" w:space="0" w:color="8EA9DB"/>
              <w:bottom w:val="single" w:sz="4" w:space="0" w:color="8EA9DB"/>
              <w:right w:val="nil"/>
            </w:tcBorders>
            <w:shd w:val="clear" w:color="D9E1F2" w:fill="D9E1F2"/>
            <w:vAlign w:val="center"/>
          </w:tcPr>
          <w:p w14:paraId="5BD1AF97" w14:textId="77777777" w:rsidR="00A102D6" w:rsidRDefault="002379B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Lower Response</w:t>
            </w:r>
          </w:p>
        </w:tc>
        <w:tc>
          <w:tcPr>
            <w:tcW w:w="1420" w:type="dxa"/>
            <w:tcBorders>
              <w:top w:val="single" w:sz="4" w:space="0" w:color="8EA9DB"/>
              <w:left w:val="nil"/>
              <w:bottom w:val="single" w:sz="4" w:space="0" w:color="8EA9DB"/>
              <w:right w:val="nil"/>
            </w:tcBorders>
            <w:shd w:val="clear" w:color="D9E1F2" w:fill="D9E1F2"/>
            <w:vAlign w:val="center"/>
          </w:tcPr>
          <w:p w14:paraId="164A2AB2"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1260" w:type="dxa"/>
            <w:tcBorders>
              <w:top w:val="single" w:sz="4" w:space="0" w:color="8EA9DB"/>
              <w:left w:val="nil"/>
              <w:bottom w:val="single" w:sz="4" w:space="0" w:color="8EA9DB"/>
              <w:right w:val="nil"/>
            </w:tcBorders>
            <w:shd w:val="clear" w:color="D9E1F2" w:fill="D9E1F2"/>
            <w:vAlign w:val="center"/>
          </w:tcPr>
          <w:p w14:paraId="3654A54A"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600" w:type="dxa"/>
            <w:tcBorders>
              <w:top w:val="single" w:sz="4" w:space="0" w:color="8EA9DB"/>
              <w:left w:val="nil"/>
              <w:bottom w:val="single" w:sz="4" w:space="0" w:color="8EA9DB"/>
              <w:right w:val="nil"/>
            </w:tcBorders>
            <w:shd w:val="clear" w:color="D9E1F2" w:fill="D9E1F2"/>
            <w:vAlign w:val="center"/>
          </w:tcPr>
          <w:p w14:paraId="6855CB51"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w:t>
            </w:r>
          </w:p>
        </w:tc>
        <w:tc>
          <w:tcPr>
            <w:tcW w:w="1480" w:type="dxa"/>
            <w:tcBorders>
              <w:top w:val="single" w:sz="4" w:space="0" w:color="8EA9DB"/>
              <w:left w:val="nil"/>
              <w:bottom w:val="single" w:sz="4" w:space="0" w:color="8EA9DB"/>
              <w:right w:val="nil"/>
            </w:tcBorders>
            <w:shd w:val="clear" w:color="D9E1F2" w:fill="D9E1F2"/>
            <w:vAlign w:val="center"/>
          </w:tcPr>
          <w:p w14:paraId="3E65CE8C"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w:t>
            </w:r>
          </w:p>
        </w:tc>
        <w:tc>
          <w:tcPr>
            <w:tcW w:w="1160" w:type="dxa"/>
            <w:tcBorders>
              <w:top w:val="single" w:sz="4" w:space="0" w:color="8EA9DB"/>
              <w:left w:val="nil"/>
              <w:bottom w:val="single" w:sz="4" w:space="0" w:color="8EA9DB"/>
              <w:right w:val="single" w:sz="4" w:space="0" w:color="8EA9DB"/>
            </w:tcBorders>
            <w:shd w:val="clear" w:color="D9E1F2" w:fill="D9E1F2"/>
            <w:vAlign w:val="center"/>
          </w:tcPr>
          <w:p w14:paraId="62B1AED1"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r>
      <w:tr w:rsidR="00A102D6" w14:paraId="28FE85F5" w14:textId="77777777">
        <w:trPr>
          <w:trHeight w:val="870"/>
        </w:trPr>
        <w:tc>
          <w:tcPr>
            <w:tcW w:w="1100" w:type="dxa"/>
            <w:tcBorders>
              <w:top w:val="single" w:sz="4" w:space="0" w:color="8EA9DB"/>
              <w:left w:val="single" w:sz="4" w:space="0" w:color="8EA9DB"/>
              <w:bottom w:val="single" w:sz="4" w:space="0" w:color="8EA9DB"/>
              <w:right w:val="nil"/>
            </w:tcBorders>
            <w:vAlign w:val="center"/>
          </w:tcPr>
          <w:p w14:paraId="0A077A68" w14:textId="77777777" w:rsidR="00A102D6" w:rsidRDefault="002379B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Higher Fixed Cost</w:t>
            </w:r>
          </w:p>
        </w:tc>
        <w:tc>
          <w:tcPr>
            <w:tcW w:w="1420" w:type="dxa"/>
            <w:tcBorders>
              <w:top w:val="single" w:sz="4" w:space="0" w:color="8EA9DB"/>
              <w:left w:val="nil"/>
              <w:bottom w:val="single" w:sz="4" w:space="0" w:color="8EA9DB"/>
              <w:right w:val="nil"/>
            </w:tcBorders>
            <w:vAlign w:val="center"/>
          </w:tcPr>
          <w:p w14:paraId="5BEFA43F"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c>
          <w:tcPr>
            <w:tcW w:w="1260" w:type="dxa"/>
            <w:tcBorders>
              <w:top w:val="single" w:sz="4" w:space="0" w:color="8EA9DB"/>
              <w:left w:val="nil"/>
              <w:bottom w:val="single" w:sz="4" w:space="0" w:color="8EA9DB"/>
              <w:right w:val="nil"/>
            </w:tcBorders>
            <w:vAlign w:val="center"/>
          </w:tcPr>
          <w:p w14:paraId="137CF522"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600" w:type="dxa"/>
            <w:tcBorders>
              <w:top w:val="single" w:sz="4" w:space="0" w:color="8EA9DB"/>
              <w:left w:val="nil"/>
              <w:bottom w:val="single" w:sz="4" w:space="0" w:color="8EA9DB"/>
              <w:right w:val="nil"/>
            </w:tcBorders>
            <w:vAlign w:val="center"/>
          </w:tcPr>
          <w:p w14:paraId="3BD4D093"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530</w:t>
            </w:r>
          </w:p>
        </w:tc>
        <w:tc>
          <w:tcPr>
            <w:tcW w:w="1480" w:type="dxa"/>
            <w:tcBorders>
              <w:top w:val="single" w:sz="4" w:space="0" w:color="8EA9DB"/>
              <w:left w:val="nil"/>
              <w:bottom w:val="single" w:sz="4" w:space="0" w:color="8EA9DB"/>
              <w:right w:val="nil"/>
            </w:tcBorders>
            <w:vAlign w:val="center"/>
          </w:tcPr>
          <w:p w14:paraId="6E526C38"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470</w:t>
            </w:r>
          </w:p>
        </w:tc>
        <w:tc>
          <w:tcPr>
            <w:tcW w:w="1160" w:type="dxa"/>
            <w:tcBorders>
              <w:top w:val="single" w:sz="4" w:space="0" w:color="8EA9DB"/>
              <w:left w:val="nil"/>
              <w:bottom w:val="single" w:sz="4" w:space="0" w:color="8EA9DB"/>
              <w:right w:val="single" w:sz="4" w:space="0" w:color="8EA9DB"/>
            </w:tcBorders>
            <w:vAlign w:val="center"/>
          </w:tcPr>
          <w:p w14:paraId="6B0E91DC"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w:t>
            </w:r>
          </w:p>
        </w:tc>
      </w:tr>
      <w:tr w:rsidR="00A102D6" w14:paraId="7D67390B" w14:textId="77777777">
        <w:trPr>
          <w:trHeight w:val="870"/>
        </w:trPr>
        <w:tc>
          <w:tcPr>
            <w:tcW w:w="1100" w:type="dxa"/>
            <w:tcBorders>
              <w:top w:val="single" w:sz="4" w:space="0" w:color="8EA9DB"/>
              <w:left w:val="single" w:sz="4" w:space="0" w:color="8EA9DB"/>
              <w:bottom w:val="single" w:sz="4" w:space="0" w:color="8EA9DB"/>
              <w:right w:val="nil"/>
            </w:tcBorders>
            <w:shd w:val="clear" w:color="D9E1F2" w:fill="D9E1F2"/>
            <w:vAlign w:val="center"/>
          </w:tcPr>
          <w:p w14:paraId="4765C42C" w14:textId="77777777" w:rsidR="00A102D6" w:rsidRDefault="002379B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Lower Fixed Cost</w:t>
            </w:r>
          </w:p>
        </w:tc>
        <w:tc>
          <w:tcPr>
            <w:tcW w:w="1420" w:type="dxa"/>
            <w:tcBorders>
              <w:top w:val="single" w:sz="4" w:space="0" w:color="8EA9DB"/>
              <w:left w:val="nil"/>
              <w:bottom w:val="single" w:sz="4" w:space="0" w:color="8EA9DB"/>
              <w:right w:val="nil"/>
            </w:tcBorders>
            <w:shd w:val="clear" w:color="D9E1F2" w:fill="D9E1F2"/>
            <w:vAlign w:val="center"/>
          </w:tcPr>
          <w:p w14:paraId="2623A05B"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c>
          <w:tcPr>
            <w:tcW w:w="1260" w:type="dxa"/>
            <w:tcBorders>
              <w:top w:val="single" w:sz="4" w:space="0" w:color="8EA9DB"/>
              <w:left w:val="nil"/>
              <w:bottom w:val="single" w:sz="4" w:space="0" w:color="8EA9DB"/>
              <w:right w:val="nil"/>
            </w:tcBorders>
            <w:shd w:val="clear" w:color="D9E1F2" w:fill="D9E1F2"/>
            <w:vAlign w:val="center"/>
          </w:tcPr>
          <w:p w14:paraId="3FCB8AC4"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600" w:type="dxa"/>
            <w:tcBorders>
              <w:top w:val="single" w:sz="4" w:space="0" w:color="8EA9DB"/>
              <w:left w:val="nil"/>
              <w:bottom w:val="single" w:sz="4" w:space="0" w:color="8EA9DB"/>
              <w:right w:val="nil"/>
            </w:tcBorders>
            <w:shd w:val="clear" w:color="D9E1F2" w:fill="D9E1F2"/>
            <w:vAlign w:val="center"/>
          </w:tcPr>
          <w:p w14:paraId="7E975485"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530</w:t>
            </w:r>
          </w:p>
        </w:tc>
        <w:tc>
          <w:tcPr>
            <w:tcW w:w="1480" w:type="dxa"/>
            <w:tcBorders>
              <w:top w:val="single" w:sz="4" w:space="0" w:color="8EA9DB"/>
              <w:left w:val="nil"/>
              <w:bottom w:val="single" w:sz="4" w:space="0" w:color="8EA9DB"/>
              <w:right w:val="nil"/>
            </w:tcBorders>
            <w:shd w:val="clear" w:color="D9E1F2" w:fill="D9E1F2"/>
            <w:vAlign w:val="center"/>
          </w:tcPr>
          <w:p w14:paraId="0E9271EC"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w:t>
            </w:r>
          </w:p>
        </w:tc>
        <w:tc>
          <w:tcPr>
            <w:tcW w:w="1160" w:type="dxa"/>
            <w:tcBorders>
              <w:top w:val="single" w:sz="4" w:space="0" w:color="8EA9DB"/>
              <w:left w:val="nil"/>
              <w:bottom w:val="single" w:sz="4" w:space="0" w:color="8EA9DB"/>
              <w:right w:val="single" w:sz="4" w:space="0" w:color="8EA9DB"/>
            </w:tcBorders>
            <w:shd w:val="clear" w:color="D9E1F2" w:fill="D9E1F2"/>
            <w:vAlign w:val="center"/>
          </w:tcPr>
          <w:p w14:paraId="23292B1A" w14:textId="77777777" w:rsidR="00A102D6" w:rsidRDefault="002379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17.7</w:t>
            </w:r>
          </w:p>
        </w:tc>
      </w:tr>
    </w:tbl>
    <w:p w14:paraId="7C044877" w14:textId="77777777" w:rsidR="00A102D6" w:rsidRDefault="00A102D6">
      <w:pPr>
        <w:rPr>
          <w:rFonts w:ascii="Times New Roman" w:hAnsi="Times New Roman" w:cs="Times New Roman"/>
          <w:sz w:val="24"/>
          <w:szCs w:val="24"/>
        </w:rPr>
      </w:pPr>
    </w:p>
    <w:p w14:paraId="4B5CE59B" w14:textId="77777777" w:rsidR="00A102D6" w:rsidRDefault="002379B8">
      <w:pPr>
        <w:rPr>
          <w:rFonts w:ascii="Times New Roman" w:hAnsi="Times New Roman" w:cs="Times New Roman"/>
          <w:sz w:val="24"/>
          <w:szCs w:val="24"/>
        </w:rPr>
      </w:pPr>
      <w:bookmarkStart w:id="24" w:name="_GoBack"/>
      <w:r>
        <w:rPr>
          <w:rFonts w:ascii="Times New Roman" w:hAnsi="Times New Roman" w:cs="Times New Roman"/>
          <w:noProof/>
          <w:sz w:val="24"/>
          <w:szCs w:val="24"/>
        </w:rPr>
        <w:drawing>
          <wp:inline distT="0" distB="0" distL="0" distR="0">
            <wp:extent cx="4572000" cy="2743200"/>
            <wp:effectExtent l="0" t="0" r="0" b="0"/>
            <wp:docPr id="45651167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End w:id="24"/>
    </w:p>
    <w:p w14:paraId="45E14632"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Fig 3- Sensitivity Analysis</w:t>
      </w:r>
    </w:p>
    <w:p w14:paraId="6E4ED2AA"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 xml:space="preserve">4.5 Statistical and </w:t>
      </w:r>
      <w:r>
        <w:rPr>
          <w:rFonts w:ascii="Times New Roman" w:hAnsi="Times New Roman" w:cs="Times New Roman"/>
          <w:sz w:val="24"/>
          <w:szCs w:val="24"/>
        </w:rPr>
        <w:t>Sensitivity Findings</w:t>
      </w:r>
    </w:p>
    <w:p w14:paraId="60F4B02D"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 xml:space="preserve">Paired t-test outcomes suggest substantial differences between baseline and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adoption cases (t = 7.42, p &lt; 0.001), affirming robustness. Sensitivity analysis affirms that ROI is positive when responsiveness to compliance (α) </w:t>
      </w:r>
      <w:r>
        <w:rPr>
          <w:rFonts w:ascii="Times New Roman" w:hAnsi="Times New Roman" w:cs="Times New Roman"/>
          <w:sz w:val="24"/>
          <w:szCs w:val="24"/>
        </w:rPr>
        <w:t>&gt; 0.15, ROI decreases below 10 when fixed cost &gt; ₦40 billion, and policy focus on adaptive behavior generates greater fiscal return compared to capital expenditure alone.</w:t>
      </w:r>
    </w:p>
    <w:p w14:paraId="2617A842" w14:textId="77777777" w:rsidR="00A102D6" w:rsidRDefault="002379B8">
      <w:pPr>
        <w:rPr>
          <w:rFonts w:ascii="Times New Roman" w:hAnsi="Times New Roman" w:cs="Times New Roman"/>
          <w:b/>
          <w:bCs/>
          <w:sz w:val="24"/>
          <w:szCs w:val="24"/>
        </w:rPr>
      </w:pPr>
      <w:r>
        <w:rPr>
          <w:rFonts w:ascii="Times New Roman" w:hAnsi="Times New Roman" w:cs="Times New Roman"/>
          <w:b/>
          <w:bCs/>
          <w:sz w:val="24"/>
          <w:szCs w:val="24"/>
        </w:rPr>
        <w:t>Table 3</w:t>
      </w:r>
      <w:r>
        <w:commentReference w:id="25"/>
      </w:r>
      <w:r>
        <w:rPr>
          <w:rFonts w:ascii="Times New Roman" w:hAnsi="Times New Roman" w:cs="Times New Roman"/>
          <w:b/>
          <w:bCs/>
          <w:sz w:val="24"/>
          <w:szCs w:val="24"/>
        </w:rPr>
        <w:t>. Statistical Validation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19"/>
        <w:gridCol w:w="2532"/>
        <w:gridCol w:w="832"/>
        <w:gridCol w:w="883"/>
        <w:gridCol w:w="2064"/>
      </w:tblGrid>
      <w:tr w:rsidR="00A102D6" w14:paraId="09BB1BCE" w14:textId="77777777">
        <w:trPr>
          <w:tblHeader/>
          <w:tblCellSpacing w:w="15" w:type="dxa"/>
        </w:trPr>
        <w:tc>
          <w:tcPr>
            <w:tcW w:w="0" w:type="auto"/>
            <w:vAlign w:val="center"/>
          </w:tcPr>
          <w:p w14:paraId="0762F3C5" w14:textId="77777777" w:rsidR="00A102D6" w:rsidRDefault="002379B8">
            <w:pPr>
              <w:rPr>
                <w:rFonts w:ascii="Times New Roman" w:hAnsi="Times New Roman" w:cs="Times New Roman"/>
                <w:b/>
                <w:bCs/>
                <w:sz w:val="24"/>
                <w:szCs w:val="24"/>
              </w:rPr>
            </w:pPr>
            <w:r>
              <w:rPr>
                <w:rFonts w:ascii="Times New Roman" w:hAnsi="Times New Roman" w:cs="Times New Roman"/>
                <w:b/>
                <w:bCs/>
                <w:sz w:val="24"/>
                <w:szCs w:val="24"/>
              </w:rPr>
              <w:lastRenderedPageBreak/>
              <w:t>Test</w:t>
            </w:r>
          </w:p>
        </w:tc>
        <w:tc>
          <w:tcPr>
            <w:tcW w:w="0" w:type="auto"/>
            <w:vAlign w:val="center"/>
          </w:tcPr>
          <w:p w14:paraId="7A2E7B65" w14:textId="77777777" w:rsidR="00A102D6" w:rsidRDefault="002379B8">
            <w:pPr>
              <w:rPr>
                <w:rFonts w:ascii="Times New Roman" w:hAnsi="Times New Roman" w:cs="Times New Roman"/>
                <w:b/>
                <w:bCs/>
                <w:sz w:val="24"/>
                <w:szCs w:val="24"/>
              </w:rPr>
            </w:pPr>
            <w:r>
              <w:rPr>
                <w:rFonts w:ascii="Times New Roman" w:hAnsi="Times New Roman" w:cs="Times New Roman"/>
                <w:b/>
                <w:bCs/>
                <w:sz w:val="24"/>
                <w:szCs w:val="24"/>
              </w:rPr>
              <w:t>Comparison</w:t>
            </w:r>
          </w:p>
        </w:tc>
        <w:tc>
          <w:tcPr>
            <w:tcW w:w="0" w:type="auto"/>
            <w:vAlign w:val="center"/>
          </w:tcPr>
          <w:p w14:paraId="6440BFAF" w14:textId="77777777" w:rsidR="00A102D6" w:rsidRDefault="002379B8">
            <w:pPr>
              <w:rPr>
                <w:rFonts w:ascii="Times New Roman" w:hAnsi="Times New Roman" w:cs="Times New Roman"/>
                <w:b/>
                <w:bCs/>
                <w:sz w:val="24"/>
                <w:szCs w:val="24"/>
              </w:rPr>
            </w:pPr>
            <w:r>
              <w:rPr>
                <w:rFonts w:ascii="Times New Roman" w:hAnsi="Times New Roman" w:cs="Times New Roman"/>
                <w:b/>
                <w:bCs/>
                <w:sz w:val="24"/>
                <w:szCs w:val="24"/>
              </w:rPr>
              <w:t>t-Value</w:t>
            </w:r>
          </w:p>
        </w:tc>
        <w:tc>
          <w:tcPr>
            <w:tcW w:w="0" w:type="auto"/>
            <w:vAlign w:val="center"/>
          </w:tcPr>
          <w:p w14:paraId="23068F4B" w14:textId="77777777" w:rsidR="00A102D6" w:rsidRDefault="002379B8">
            <w:pPr>
              <w:rPr>
                <w:rFonts w:ascii="Times New Roman" w:hAnsi="Times New Roman" w:cs="Times New Roman"/>
                <w:b/>
                <w:bCs/>
                <w:sz w:val="24"/>
                <w:szCs w:val="24"/>
              </w:rPr>
            </w:pPr>
            <w:r>
              <w:rPr>
                <w:rFonts w:ascii="Times New Roman" w:hAnsi="Times New Roman" w:cs="Times New Roman"/>
                <w:b/>
                <w:bCs/>
                <w:sz w:val="24"/>
                <w:szCs w:val="24"/>
              </w:rPr>
              <w:t>p-Value</w:t>
            </w:r>
          </w:p>
        </w:tc>
        <w:tc>
          <w:tcPr>
            <w:tcW w:w="0" w:type="auto"/>
            <w:vAlign w:val="center"/>
          </w:tcPr>
          <w:p w14:paraId="4DB3E73E" w14:textId="77777777" w:rsidR="00A102D6" w:rsidRDefault="002379B8">
            <w:pPr>
              <w:rPr>
                <w:rFonts w:ascii="Times New Roman" w:hAnsi="Times New Roman" w:cs="Times New Roman"/>
                <w:b/>
                <w:bCs/>
                <w:sz w:val="24"/>
                <w:szCs w:val="24"/>
              </w:rPr>
            </w:pPr>
            <w:r>
              <w:rPr>
                <w:rFonts w:ascii="Times New Roman" w:hAnsi="Times New Roman" w:cs="Times New Roman"/>
                <w:b/>
                <w:bCs/>
                <w:sz w:val="24"/>
                <w:szCs w:val="24"/>
              </w:rPr>
              <w:t>Significance</w:t>
            </w:r>
          </w:p>
        </w:tc>
      </w:tr>
      <w:tr w:rsidR="00A102D6" w14:paraId="0258B1F9" w14:textId="77777777">
        <w:trPr>
          <w:tblCellSpacing w:w="15" w:type="dxa"/>
        </w:trPr>
        <w:tc>
          <w:tcPr>
            <w:tcW w:w="0" w:type="auto"/>
            <w:vAlign w:val="center"/>
          </w:tcPr>
          <w:p w14:paraId="6A265EFD"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Paired t-test</w:t>
            </w:r>
          </w:p>
        </w:tc>
        <w:tc>
          <w:tcPr>
            <w:tcW w:w="0" w:type="auto"/>
            <w:vAlign w:val="center"/>
          </w:tcPr>
          <w:p w14:paraId="5D16EFBE"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Baseline vs Full Adoption</w:t>
            </w:r>
          </w:p>
        </w:tc>
        <w:tc>
          <w:tcPr>
            <w:tcW w:w="0" w:type="auto"/>
            <w:vAlign w:val="center"/>
          </w:tcPr>
          <w:p w14:paraId="53F83213"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7.42</w:t>
            </w:r>
          </w:p>
        </w:tc>
        <w:tc>
          <w:tcPr>
            <w:tcW w:w="0" w:type="auto"/>
            <w:vAlign w:val="center"/>
          </w:tcPr>
          <w:p w14:paraId="73A5EBE0"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&lt; 0.001</w:t>
            </w:r>
          </w:p>
        </w:tc>
        <w:tc>
          <w:tcPr>
            <w:tcW w:w="0" w:type="auto"/>
            <w:vAlign w:val="center"/>
          </w:tcPr>
          <w:p w14:paraId="3F56DC92"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Significant</w:t>
            </w:r>
          </w:p>
        </w:tc>
      </w:tr>
      <w:tr w:rsidR="00A102D6" w14:paraId="097A6968" w14:textId="77777777">
        <w:trPr>
          <w:tblCellSpacing w:w="15" w:type="dxa"/>
        </w:trPr>
        <w:tc>
          <w:tcPr>
            <w:tcW w:w="0" w:type="auto"/>
            <w:vAlign w:val="center"/>
          </w:tcPr>
          <w:p w14:paraId="1FB04446"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Sensitivity (α variation)</w:t>
            </w:r>
          </w:p>
        </w:tc>
        <w:tc>
          <w:tcPr>
            <w:tcW w:w="0" w:type="auto"/>
            <w:vAlign w:val="center"/>
          </w:tcPr>
          <w:p w14:paraId="4837E85B"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0.10–0.40</w:t>
            </w:r>
          </w:p>
        </w:tc>
        <w:tc>
          <w:tcPr>
            <w:tcW w:w="0" w:type="auto"/>
            <w:vAlign w:val="center"/>
          </w:tcPr>
          <w:p w14:paraId="23D9BB02"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72E80E4B"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4B7959E4"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ROI remains &gt; 0</w:t>
            </w:r>
          </w:p>
        </w:tc>
      </w:tr>
      <w:tr w:rsidR="00A102D6" w14:paraId="527D5A61" w14:textId="77777777">
        <w:trPr>
          <w:tblCellSpacing w:w="15" w:type="dxa"/>
        </w:trPr>
        <w:tc>
          <w:tcPr>
            <w:tcW w:w="0" w:type="auto"/>
            <w:vAlign w:val="center"/>
          </w:tcPr>
          <w:p w14:paraId="382A6BA3"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Cost Variation</w:t>
            </w:r>
          </w:p>
        </w:tc>
        <w:tc>
          <w:tcPr>
            <w:tcW w:w="0" w:type="auto"/>
            <w:vAlign w:val="center"/>
          </w:tcPr>
          <w:p w14:paraId="4E70102D"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10B–₦ 40B</w:t>
            </w:r>
          </w:p>
        </w:tc>
        <w:tc>
          <w:tcPr>
            <w:tcW w:w="0" w:type="auto"/>
            <w:vAlign w:val="center"/>
          </w:tcPr>
          <w:p w14:paraId="3C295E86"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1A1BFBCC"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3E976EAB"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ROI sensitive to cost</w:t>
            </w:r>
          </w:p>
        </w:tc>
      </w:tr>
    </w:tbl>
    <w:p w14:paraId="2E012749" w14:textId="77777777" w:rsidR="00A102D6" w:rsidRDefault="00A102D6">
      <w:pPr>
        <w:rPr>
          <w:rFonts w:ascii="Times New Roman" w:hAnsi="Times New Roman" w:cs="Times New Roman"/>
          <w:sz w:val="24"/>
          <w:szCs w:val="24"/>
        </w:rPr>
      </w:pPr>
    </w:p>
    <w:p w14:paraId="7D4CF282" w14:textId="77777777" w:rsidR="00A102D6" w:rsidRDefault="002379B8">
      <w:pPr>
        <w:pStyle w:val="Heading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Discussion</w:t>
      </w:r>
    </w:p>
    <w:p w14:paraId="0C006103"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t xml:space="preserve">This study's findings have demonstrated the potential of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uptake to revolutionize Nigeria's tax revenue collection by enhancing visibility of compliance, automating audit, and eliminating fraud. The 25% revenue growth and 90% close-out of tax-gap</w:t>
      </w:r>
      <w:r>
        <w:rPr>
          <w:rFonts w:ascii="Times New Roman" w:hAnsi="Times New Roman" w:cs="Times New Roman"/>
          <w:sz w:val="24"/>
          <w:szCs w:val="24"/>
        </w:rPr>
        <w:t xml:space="preserve"> reflect the capability of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as a compliance revolution technology, consistent with </w:t>
      </w:r>
      <w:commentRangeStart w:id="26"/>
      <w:r>
        <w:rPr>
          <w:rFonts w:ascii="Times New Roman" w:hAnsi="Times New Roman" w:cs="Times New Roman"/>
          <w:sz w:val="24"/>
          <w:szCs w:val="24"/>
        </w:rPr>
        <w:t>empirical global experiences in China, Estonia, and Thailand</w:t>
      </w:r>
      <w:commentRangeEnd w:id="26"/>
      <w:r>
        <w:commentReference w:id="26"/>
      </w:r>
      <w:r>
        <w:rPr>
          <w:rFonts w:ascii="Times New Roman" w:hAnsi="Times New Roman" w:cs="Times New Roman"/>
          <w:sz w:val="24"/>
          <w:szCs w:val="24"/>
        </w:rPr>
        <w:t>.</w:t>
      </w:r>
    </w:p>
    <w:p w14:paraId="75DDFEB0"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 xml:space="preserve">Over money incentives, mechanisms of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that build trust real-time transparency, smart con</w:t>
      </w:r>
      <w:r>
        <w:rPr>
          <w:rFonts w:ascii="Times New Roman" w:hAnsi="Times New Roman" w:cs="Times New Roman"/>
          <w:sz w:val="24"/>
          <w:szCs w:val="24"/>
        </w:rPr>
        <w:t>tracts, and inalterability are narrowing the taxpayers vs. government credibility gap. To do this, these mechanisms also minimize the tax evader's incentive and maximize voluntary compliance. But scale and cost-effectiveness are important. Though pilot-sca</w:t>
      </w:r>
      <w:r>
        <w:rPr>
          <w:rFonts w:ascii="Times New Roman" w:hAnsi="Times New Roman" w:cs="Times New Roman"/>
          <w:sz w:val="24"/>
          <w:szCs w:val="24"/>
        </w:rPr>
        <w:t xml:space="preserve">le implementation means dramatic ROI, mass implementation can load public budgets without pre-infrastructure and human capital preparedness. This is consistent with research outcomes of Owens &amp; </w:t>
      </w:r>
      <w:proofErr w:type="spellStart"/>
      <w:r>
        <w:rPr>
          <w:rFonts w:ascii="Times New Roman" w:hAnsi="Times New Roman" w:cs="Times New Roman"/>
          <w:sz w:val="24"/>
          <w:szCs w:val="24"/>
        </w:rPr>
        <w:t>Hodžić</w:t>
      </w:r>
      <w:proofErr w:type="spellEnd"/>
      <w:r>
        <w:rPr>
          <w:rFonts w:ascii="Times New Roman" w:hAnsi="Times New Roman" w:cs="Times New Roman"/>
          <w:sz w:val="24"/>
          <w:szCs w:val="24"/>
        </w:rPr>
        <w:t xml:space="preserve"> (2022) and Rodríguez-</w:t>
      </w:r>
      <w:proofErr w:type="spellStart"/>
      <w:r>
        <w:rPr>
          <w:rFonts w:ascii="Times New Roman" w:hAnsi="Times New Roman" w:cs="Times New Roman"/>
          <w:sz w:val="24"/>
          <w:szCs w:val="24"/>
        </w:rPr>
        <w:t>Aros</w:t>
      </w:r>
      <w:proofErr w:type="spellEnd"/>
      <w:r>
        <w:rPr>
          <w:rFonts w:ascii="Times New Roman" w:hAnsi="Times New Roman" w:cs="Times New Roman"/>
          <w:sz w:val="24"/>
          <w:szCs w:val="24"/>
        </w:rPr>
        <w:t xml:space="preserve"> (2023), which also suggest th</w:t>
      </w:r>
      <w:r>
        <w:rPr>
          <w:rFonts w:ascii="Times New Roman" w:hAnsi="Times New Roman" w:cs="Times New Roman"/>
          <w:sz w:val="24"/>
          <w:szCs w:val="24"/>
        </w:rPr>
        <w:t xml:space="preserve">at </w:t>
      </w:r>
      <w:proofErr w:type="spellStart"/>
      <w:r>
        <w:rPr>
          <w:rFonts w:ascii="Times New Roman" w:hAnsi="Times New Roman" w:cs="Times New Roman"/>
          <w:sz w:val="24"/>
          <w:szCs w:val="24"/>
        </w:rPr>
        <w:t>blockchain's</w:t>
      </w:r>
      <w:proofErr w:type="spellEnd"/>
      <w:r>
        <w:rPr>
          <w:rFonts w:ascii="Times New Roman" w:hAnsi="Times New Roman" w:cs="Times New Roman"/>
          <w:sz w:val="24"/>
          <w:szCs w:val="24"/>
        </w:rPr>
        <w:t xml:space="preserve"> fiscal potential is reliant on governance maturity. Institutional preparedness is the most significant challenge facing Nigeria. Disintegrated tax bases, narrow broadband, and low digital capacity hinder mass rollout. The technology will th</w:t>
      </w:r>
      <w:r>
        <w:rPr>
          <w:rFonts w:ascii="Times New Roman" w:hAnsi="Times New Roman" w:cs="Times New Roman"/>
          <w:sz w:val="24"/>
          <w:szCs w:val="24"/>
        </w:rPr>
        <w:t xml:space="preserve">erefore have to be placed within a wider vision of fiscal modernization—connecting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with national identification (NIN/BVN) and interoperability reforms. The outcomes also have behavioral consequences. By allowing taxpayers and authorities to acce</w:t>
      </w:r>
      <w:r>
        <w:rPr>
          <w:rFonts w:ascii="Times New Roman" w:hAnsi="Times New Roman" w:cs="Times New Roman"/>
          <w:sz w:val="24"/>
          <w:szCs w:val="24"/>
        </w:rPr>
        <w:t xml:space="preserve">ss audit trails,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can redirect compliance standards from enforcement-oriented to transparent-based, the required shift for sustainable digital taxation.</w:t>
      </w:r>
    </w:p>
    <w:p w14:paraId="302D93B5" w14:textId="77777777" w:rsidR="003A4D91" w:rsidRDefault="003A4D91">
      <w:pPr>
        <w:rPr>
          <w:rFonts w:ascii="Times New Roman" w:hAnsi="Times New Roman" w:cs="Times New Roman"/>
          <w:b/>
          <w:bCs/>
          <w:sz w:val="24"/>
          <w:szCs w:val="24"/>
        </w:rPr>
      </w:pPr>
    </w:p>
    <w:p w14:paraId="5F88665C" w14:textId="77777777" w:rsidR="003A4D91" w:rsidRDefault="003A4D91">
      <w:pPr>
        <w:rPr>
          <w:rFonts w:ascii="Times New Roman" w:hAnsi="Times New Roman" w:cs="Times New Roman"/>
          <w:b/>
          <w:bCs/>
          <w:sz w:val="24"/>
          <w:szCs w:val="24"/>
        </w:rPr>
      </w:pPr>
    </w:p>
    <w:p w14:paraId="0ECBCEF0" w14:textId="77777777" w:rsidR="003A4D91" w:rsidRDefault="003A4D91">
      <w:pPr>
        <w:rPr>
          <w:rFonts w:ascii="Times New Roman" w:hAnsi="Times New Roman" w:cs="Times New Roman"/>
          <w:b/>
          <w:bCs/>
          <w:sz w:val="24"/>
          <w:szCs w:val="24"/>
        </w:rPr>
      </w:pPr>
      <w:r>
        <w:rPr>
          <w:rStyle w:val="CommentReference"/>
        </w:rPr>
        <w:commentReference w:id="27"/>
      </w:r>
    </w:p>
    <w:p w14:paraId="4CD38977" w14:textId="77777777" w:rsidR="003F272C" w:rsidRDefault="003F272C">
      <w:pPr>
        <w:rPr>
          <w:rFonts w:ascii="Times New Roman" w:hAnsi="Times New Roman" w:cs="Times New Roman"/>
          <w:b/>
          <w:bCs/>
          <w:sz w:val="24"/>
          <w:szCs w:val="24"/>
        </w:rPr>
      </w:pPr>
      <w:r>
        <w:rPr>
          <w:rStyle w:val="CommentReference"/>
        </w:rPr>
        <w:lastRenderedPageBreak/>
        <w:commentReference w:id="28"/>
      </w:r>
    </w:p>
    <w:p w14:paraId="6080AAC9" w14:textId="005258E1" w:rsidR="00A102D6" w:rsidRDefault="003F272C">
      <w:pPr>
        <w:rPr>
          <w:rFonts w:ascii="Times New Roman" w:hAnsi="Times New Roman" w:cs="Times New Roman"/>
          <w:b/>
          <w:bCs/>
          <w:sz w:val="24"/>
          <w:szCs w:val="24"/>
        </w:rPr>
      </w:pPr>
      <w:r>
        <w:rPr>
          <w:rFonts w:ascii="Times New Roman" w:hAnsi="Times New Roman" w:cs="Times New Roman"/>
          <w:b/>
          <w:bCs/>
          <w:sz w:val="24"/>
          <w:szCs w:val="24"/>
        </w:rPr>
        <w:t xml:space="preserve">5.1 </w:t>
      </w:r>
      <w:r w:rsidR="002379B8">
        <w:rPr>
          <w:rFonts w:ascii="Times New Roman" w:hAnsi="Times New Roman" w:cs="Times New Roman"/>
          <w:b/>
          <w:bCs/>
          <w:sz w:val="24"/>
          <w:szCs w:val="24"/>
        </w:rPr>
        <w:t>Conclusion</w:t>
      </w:r>
    </w:p>
    <w:p w14:paraId="4324BCCF"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 xml:space="preserve">The research explored whether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technology can be an agent of change for </w:t>
      </w:r>
      <w:r>
        <w:rPr>
          <w:rFonts w:ascii="Times New Roman" w:hAnsi="Times New Roman" w:cs="Times New Roman"/>
          <w:sz w:val="24"/>
          <w:szCs w:val="24"/>
        </w:rPr>
        <w:t xml:space="preserve">the enhancement of tax administration and revenue collection in Nigeria. By employing a parameterized behavioral simulation model with data on the Nigerian fiscal, the research quantified the impact of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adoption on the degree of compliance, under</w:t>
      </w:r>
      <w:r>
        <w:rPr>
          <w:rFonts w:ascii="Times New Roman" w:hAnsi="Times New Roman" w:cs="Times New Roman"/>
          <w:sz w:val="24"/>
          <w:szCs w:val="24"/>
        </w:rPr>
        <w:t xml:space="preserve">-reporting, and total tax collections. The findings point unequivocally to the use of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in tax activities having a profound impact on constraining evasion, raising voluntary compliance, and enhancing the effectiveness of tax collection systems.</w:t>
      </w:r>
    </w:p>
    <w:p w14:paraId="736C183A"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At</w:t>
      </w:r>
      <w:r>
        <w:rPr>
          <w:rFonts w:ascii="Times New Roman" w:hAnsi="Times New Roman" w:cs="Times New Roman"/>
          <w:sz w:val="24"/>
          <w:szCs w:val="24"/>
        </w:rPr>
        <w:t xml:space="preserve"> moderate adoption levels, the model approximates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would increase compliance from 55% to effectively 70%, close the tax gap by more than 90%, and achieve a return on investment of over 16 times that of implementation cost. All this has much to do</w:t>
      </w:r>
      <w:r>
        <w:rPr>
          <w:rFonts w:ascii="Times New Roman" w:hAnsi="Times New Roman" w:cs="Times New Roman"/>
          <w:sz w:val="24"/>
          <w:szCs w:val="24"/>
        </w:rPr>
        <w:t xml:space="preserve"> with </w:t>
      </w:r>
      <w:proofErr w:type="spellStart"/>
      <w:r>
        <w:rPr>
          <w:rFonts w:ascii="Times New Roman" w:hAnsi="Times New Roman" w:cs="Times New Roman"/>
          <w:sz w:val="24"/>
          <w:szCs w:val="24"/>
        </w:rPr>
        <w:t>blockchain's</w:t>
      </w:r>
      <w:proofErr w:type="spellEnd"/>
      <w:r>
        <w:rPr>
          <w:rFonts w:ascii="Times New Roman" w:hAnsi="Times New Roman" w:cs="Times New Roman"/>
          <w:sz w:val="24"/>
          <w:szCs w:val="24"/>
        </w:rPr>
        <w:t xml:space="preserve"> inherent properties—immutability, transparency, and automation—which collectively eliminate room for record tampering and yield a trustworthy digital audit trail.</w:t>
      </w:r>
    </w:p>
    <w:p w14:paraId="14EA70C5"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At the same time, however, the evidence suggests that technology is not su</w:t>
      </w:r>
      <w:r>
        <w:rPr>
          <w:rFonts w:ascii="Times New Roman" w:hAnsi="Times New Roman" w:cs="Times New Roman"/>
          <w:sz w:val="24"/>
          <w:szCs w:val="24"/>
        </w:rPr>
        <w:t xml:space="preserve">fficient in and of itself to achieve enduring fiscal reform.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adoption ultimately relies on institutional preparedness, digital literacy, and facilitating governance systems. To the extent that the model does yield significant fiscal dividends, h</w:t>
      </w:r>
      <w:r>
        <w:rPr>
          <w:rFonts w:ascii="Times New Roman" w:hAnsi="Times New Roman" w:cs="Times New Roman"/>
          <w:sz w:val="24"/>
          <w:szCs w:val="24"/>
        </w:rPr>
        <w:t xml:space="preserve">owever, these de facto must be supported by complementary policy adjustment, capacity development, and mass citizen engagement. In the absence of such baselines, even the most sophisticated digital systems are likely to remain underused or ill-implemented </w:t>
      </w:r>
      <w:r>
        <w:rPr>
          <w:rFonts w:ascii="Times New Roman" w:hAnsi="Times New Roman" w:cs="Times New Roman"/>
          <w:sz w:val="24"/>
          <w:szCs w:val="24"/>
        </w:rPr>
        <w:t>within prevailing administrative systems.</w:t>
      </w:r>
    </w:p>
    <w:p w14:paraId="00F4E73F"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 xml:space="preserve">Technically,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can then be viewed not as an alternative to the current systems but as a strategic superstructure that adds credibility, accountability, and efficiency to Nigeria's value chain in taxation. </w:t>
      </w:r>
      <w:r>
        <w:rPr>
          <w:rFonts w:ascii="Times New Roman" w:hAnsi="Times New Roman" w:cs="Times New Roman"/>
          <w:sz w:val="24"/>
          <w:szCs w:val="24"/>
        </w:rPr>
        <w:t xml:space="preserve">In the proper application, it can serve to assist the Federal Inland Revenue Service (FIRS) and other institutions to minimize administrative bottlenecks, plug revenue leakages, and enhance increased trust between taxpayers and government. </w:t>
      </w:r>
    </w:p>
    <w:p w14:paraId="4E581FC5" w14:textId="722853A0" w:rsidR="00A102D6" w:rsidRDefault="002379B8">
      <w:pPr>
        <w:rPr>
          <w:rFonts w:ascii="Times New Roman" w:hAnsi="Times New Roman" w:cs="Times New Roman"/>
          <w:b/>
          <w:bCs/>
          <w:sz w:val="24"/>
          <w:szCs w:val="24"/>
        </w:rPr>
      </w:pPr>
      <w:r>
        <w:rPr>
          <w:rFonts w:ascii="Times New Roman" w:hAnsi="Times New Roman" w:cs="Times New Roman"/>
          <w:b/>
          <w:bCs/>
          <w:sz w:val="24"/>
          <w:szCs w:val="24"/>
        </w:rPr>
        <w:t xml:space="preserve"> </w:t>
      </w:r>
      <w:r w:rsidR="003F272C">
        <w:rPr>
          <w:rFonts w:ascii="Times New Roman" w:hAnsi="Times New Roman" w:cs="Times New Roman"/>
          <w:b/>
          <w:bCs/>
          <w:sz w:val="24"/>
          <w:szCs w:val="24"/>
        </w:rPr>
        <w:t xml:space="preserve">5.2 </w:t>
      </w:r>
      <w:commentRangeStart w:id="29"/>
      <w:r>
        <w:rPr>
          <w:rFonts w:ascii="Times New Roman" w:hAnsi="Times New Roman" w:cs="Times New Roman"/>
          <w:b/>
          <w:bCs/>
          <w:sz w:val="24"/>
          <w:szCs w:val="24"/>
        </w:rPr>
        <w:t>Recommendation</w:t>
      </w:r>
      <w:r>
        <w:rPr>
          <w:rFonts w:ascii="Times New Roman" w:hAnsi="Times New Roman" w:cs="Times New Roman"/>
          <w:b/>
          <w:bCs/>
          <w:sz w:val="24"/>
          <w:szCs w:val="24"/>
        </w:rPr>
        <w:t>s</w:t>
      </w:r>
      <w:commentRangeEnd w:id="29"/>
      <w:r w:rsidR="003F272C">
        <w:rPr>
          <w:rStyle w:val="CommentReference"/>
        </w:rPr>
        <w:commentReference w:id="29"/>
      </w:r>
    </w:p>
    <w:p w14:paraId="25C7B823"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Based on policy learning and evidence of this study, the following are prescribed to inform implementation as well as further research:</w:t>
      </w:r>
    </w:p>
    <w:p w14:paraId="79EFE769"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Pilot Implementation Prior to Full Rollout</w:t>
      </w:r>
    </w:p>
    <w:p w14:paraId="038D990A"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The Federal Inland Revenue Service (FIRS) should initiate pilot schemes und</w:t>
      </w:r>
      <w:r>
        <w:rPr>
          <w:rFonts w:ascii="Times New Roman" w:hAnsi="Times New Roman" w:cs="Times New Roman"/>
          <w:sz w:val="24"/>
          <w:szCs w:val="24"/>
        </w:rPr>
        <w:t xml:space="preserve">er experimental conditions on VAT administration in high-value, high-leakage sectors like </w:t>
      </w:r>
      <w:r>
        <w:rPr>
          <w:rFonts w:ascii="Times New Roman" w:hAnsi="Times New Roman" w:cs="Times New Roman"/>
          <w:sz w:val="24"/>
          <w:szCs w:val="24"/>
        </w:rPr>
        <w:lastRenderedPageBreak/>
        <w:t xml:space="preserve">retail, telecommunications, and manufacturing. Initial pilots can be utilized to fine-tune the technical design and avoid potential risks prior to full-scale rollout </w:t>
      </w:r>
      <w:r>
        <w:rPr>
          <w:rFonts w:ascii="Times New Roman" w:hAnsi="Times New Roman" w:cs="Times New Roman"/>
          <w:sz w:val="24"/>
          <w:szCs w:val="24"/>
        </w:rPr>
        <w:t>nationwide.</w:t>
      </w:r>
    </w:p>
    <w:p w14:paraId="6A34CBB4"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Integration with National Digital Systems</w:t>
      </w:r>
    </w:p>
    <w:p w14:paraId="0677A5A4" w14:textId="77777777" w:rsidR="00A102D6" w:rsidRDefault="002379B8">
      <w:pPr>
        <w:rPr>
          <w:rFonts w:ascii="Times New Roman" w:hAnsi="Times New Roman" w:cs="Times New Roman"/>
          <w:sz w:val="24"/>
          <w:szCs w:val="24"/>
        </w:rPr>
      </w:pP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systems will have to integrate into current identification and financial records like the National Identification Number (NIN), Bank Verification Number (BVN), and Corporate Affairs Commissio</w:t>
      </w:r>
      <w:r>
        <w:rPr>
          <w:rFonts w:ascii="Times New Roman" w:hAnsi="Times New Roman" w:cs="Times New Roman"/>
          <w:sz w:val="24"/>
          <w:szCs w:val="24"/>
        </w:rPr>
        <w:t>n (CAC) registry. Integration will allow for effortless verification of taxpayers, avoid duplication, and improve monitoring.</w:t>
      </w:r>
    </w:p>
    <w:p w14:paraId="371A319C"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Capacity Building and Digital Training</w:t>
      </w:r>
    </w:p>
    <w:p w14:paraId="02EE0DE2"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Ongoing professional training of tax administrators is necessary. FIRS officials must be tr</w:t>
      </w:r>
      <w:r>
        <w:rPr>
          <w:rFonts w:ascii="Times New Roman" w:hAnsi="Times New Roman" w:cs="Times New Roman"/>
          <w:sz w:val="24"/>
          <w:szCs w:val="24"/>
        </w:rPr>
        <w:t xml:space="preserve">ained on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system administration, auditing of smart contracts, and data analytics. Taxpayers should also be educated by way of outreach on how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enhances transparency and minimizes controversies.</w:t>
      </w:r>
    </w:p>
    <w:p w14:paraId="01975346"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Legislative and Regulatory Reforms</w:t>
      </w:r>
    </w:p>
    <w:p w14:paraId="25625271" w14:textId="77777777" w:rsidR="00A102D6" w:rsidRDefault="002379B8">
      <w:pPr>
        <w:rPr>
          <w:rFonts w:ascii="Times New Roman" w:hAnsi="Times New Roman" w:cs="Times New Roman"/>
          <w:sz w:val="24"/>
          <w:szCs w:val="24"/>
        </w:rPr>
      </w:pPr>
      <w:r>
        <w:rPr>
          <w:rFonts w:ascii="Times New Roman" w:hAnsi="Times New Roman" w:cs="Times New Roman"/>
          <w:sz w:val="24"/>
          <w:szCs w:val="24"/>
        </w:rPr>
        <w:t>There s</w:t>
      </w:r>
      <w:r>
        <w:rPr>
          <w:rFonts w:ascii="Times New Roman" w:hAnsi="Times New Roman" w:cs="Times New Roman"/>
          <w:sz w:val="24"/>
          <w:szCs w:val="24"/>
        </w:rPr>
        <w:t xml:space="preserve">hould be a well-defined legal framework for the </w:t>
      </w:r>
      <w:proofErr w:type="spellStart"/>
      <w:r>
        <w:rPr>
          <w:rFonts w:ascii="Times New Roman" w:hAnsi="Times New Roman" w:cs="Times New Roman"/>
          <w:sz w:val="24"/>
          <w:szCs w:val="24"/>
        </w:rPr>
        <w:t>utilisation</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technology in tax management to be put in place by the National Assembly. This would include provisions addressing issues of electronic audit trails, smart contracts, data privacy, a</w:t>
      </w:r>
      <w:r>
        <w:rPr>
          <w:rFonts w:ascii="Times New Roman" w:hAnsi="Times New Roman" w:cs="Times New Roman"/>
          <w:sz w:val="24"/>
          <w:szCs w:val="24"/>
        </w:rPr>
        <w:t xml:space="preserve">nd admissibility of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evidence as legal evidence in tax proceedings.</w:t>
      </w:r>
    </w:p>
    <w:p w14:paraId="48017164" w14:textId="77777777" w:rsidR="00A102D6" w:rsidRDefault="00A102D6">
      <w:pPr>
        <w:rPr>
          <w:rFonts w:ascii="Times New Roman" w:hAnsi="Times New Roman" w:cs="Times New Roman"/>
          <w:b/>
          <w:bCs/>
          <w:sz w:val="24"/>
          <w:szCs w:val="24"/>
        </w:rPr>
      </w:pPr>
    </w:p>
    <w:p w14:paraId="7A67E6CC" w14:textId="77777777" w:rsidR="00A102D6" w:rsidRDefault="002379B8">
      <w:pPr>
        <w:rPr>
          <w:rFonts w:ascii="Times New Roman" w:hAnsi="Times New Roman" w:cs="Times New Roman"/>
          <w:b/>
          <w:bCs/>
          <w:sz w:val="24"/>
          <w:szCs w:val="24"/>
        </w:rPr>
      </w:pPr>
      <w:commentRangeStart w:id="30"/>
      <w:r>
        <w:rPr>
          <w:rFonts w:ascii="Times New Roman" w:hAnsi="Times New Roman" w:cs="Times New Roman"/>
          <w:b/>
          <w:bCs/>
          <w:sz w:val="24"/>
          <w:szCs w:val="24"/>
        </w:rPr>
        <w:t>References</w:t>
      </w:r>
      <w:commentRangeEnd w:id="30"/>
      <w:r w:rsidR="00E17670">
        <w:rPr>
          <w:rStyle w:val="CommentReference"/>
        </w:rPr>
        <w:commentReference w:id="30"/>
      </w:r>
    </w:p>
    <w:p w14:paraId="7F0E23FB" w14:textId="77777777" w:rsidR="00A102D6" w:rsidRDefault="002379B8">
      <w:pPr>
        <w:ind w:left="360"/>
        <w:rPr>
          <w:rFonts w:ascii="Times New Roman" w:hAnsi="Times New Roman" w:cs="Times New Roman"/>
          <w:sz w:val="24"/>
          <w:szCs w:val="24"/>
        </w:rPr>
      </w:pPr>
      <w:r>
        <w:rPr>
          <w:rFonts w:ascii="Times New Roman" w:hAnsi="Times New Roman" w:cs="Times New Roman"/>
          <w:sz w:val="24"/>
          <w:szCs w:val="24"/>
        </w:rPr>
        <w:t xml:space="preserve">Accounting Efficiency and Transformation. </w:t>
      </w:r>
      <w:proofErr w:type="spellStart"/>
      <w:proofErr w:type="gramStart"/>
      <w:r>
        <w:rPr>
          <w:rFonts w:ascii="Times New Roman" w:hAnsi="Times New Roman" w:cs="Times New Roman"/>
          <w:sz w:val="24"/>
          <w:szCs w:val="24"/>
        </w:rPr>
        <w:t>arXiv</w:t>
      </w:r>
      <w:proofErr w:type="spellEnd"/>
      <w:proofErr w:type="gramEnd"/>
      <w:r>
        <w:rPr>
          <w:rFonts w:ascii="Times New Roman" w:hAnsi="Times New Roman" w:cs="Times New Roman"/>
          <w:sz w:val="24"/>
          <w:szCs w:val="24"/>
        </w:rPr>
        <w:t xml:space="preserve"> preprint arXiv:2401.15715</w:t>
      </w:r>
    </w:p>
    <w:p w14:paraId="5C874865" w14:textId="77777777" w:rsidR="00A102D6" w:rsidRDefault="002379B8">
      <w:pPr>
        <w:ind w:left="360"/>
        <w:rPr>
          <w:rFonts w:ascii="Times New Roman" w:hAnsi="Times New Roman" w:cs="Times New Roman"/>
          <w:sz w:val="24"/>
          <w:szCs w:val="24"/>
        </w:rPr>
      </w:pPr>
      <w:proofErr w:type="spellStart"/>
      <w:r>
        <w:rPr>
          <w:rFonts w:ascii="Times New Roman" w:hAnsi="Times New Roman" w:cs="Times New Roman"/>
          <w:sz w:val="24"/>
          <w:szCs w:val="24"/>
        </w:rPr>
        <w:t>Adelakun</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Fatogun</w:t>
      </w:r>
      <w:proofErr w:type="spellEnd"/>
      <w:r>
        <w:rPr>
          <w:rFonts w:ascii="Times New Roman" w:hAnsi="Times New Roman" w:cs="Times New Roman"/>
          <w:sz w:val="24"/>
          <w:szCs w:val="24"/>
        </w:rPr>
        <w:t xml:space="preserve">, D. T., </w:t>
      </w:r>
      <w:proofErr w:type="spellStart"/>
      <w:r>
        <w:rPr>
          <w:rFonts w:ascii="Times New Roman" w:hAnsi="Times New Roman" w:cs="Times New Roman"/>
          <w:sz w:val="24"/>
          <w:szCs w:val="24"/>
        </w:rPr>
        <w:t>Majekodunmi</w:t>
      </w:r>
      <w:proofErr w:type="spellEnd"/>
      <w:r>
        <w:rPr>
          <w:rFonts w:ascii="Times New Roman" w:hAnsi="Times New Roman" w:cs="Times New Roman"/>
          <w:sz w:val="24"/>
          <w:szCs w:val="24"/>
        </w:rPr>
        <w:t xml:space="preserve">, T. G., &amp; </w:t>
      </w:r>
      <w:proofErr w:type="spellStart"/>
      <w:r>
        <w:rPr>
          <w:rFonts w:ascii="Times New Roman" w:hAnsi="Times New Roman" w:cs="Times New Roman"/>
          <w:sz w:val="24"/>
          <w:szCs w:val="24"/>
        </w:rPr>
        <w:t>Adediran</w:t>
      </w:r>
      <w:proofErr w:type="spellEnd"/>
      <w:r>
        <w:rPr>
          <w:rFonts w:ascii="Times New Roman" w:hAnsi="Times New Roman" w:cs="Times New Roman"/>
          <w:sz w:val="24"/>
          <w:szCs w:val="24"/>
        </w:rPr>
        <w:t>, G. A. (2024). Integrating mach</w:t>
      </w:r>
      <w:r>
        <w:rPr>
          <w:rFonts w:ascii="Times New Roman" w:hAnsi="Times New Roman" w:cs="Times New Roman"/>
          <w:sz w:val="24"/>
          <w:szCs w:val="24"/>
        </w:rPr>
        <w:t>ine learning algorithms into audit processes: Benefits and challenges. Finance &amp; Accounting Research Journal, 6(6), 1000–1016. https://doi.org/10.51594/farj.v6i6.1233</w:t>
      </w:r>
    </w:p>
    <w:p w14:paraId="4CF14067" w14:textId="77777777" w:rsidR="00A102D6" w:rsidRDefault="002379B8">
      <w:pPr>
        <w:ind w:left="360"/>
        <w:rPr>
          <w:rFonts w:ascii="Times New Roman" w:hAnsi="Times New Roman" w:cs="Times New Roman"/>
          <w:sz w:val="24"/>
          <w:szCs w:val="24"/>
        </w:rPr>
      </w:pPr>
      <w:proofErr w:type="spellStart"/>
      <w:r>
        <w:rPr>
          <w:rFonts w:ascii="Times New Roman" w:hAnsi="Times New Roman" w:cs="Times New Roman"/>
          <w:sz w:val="24"/>
          <w:szCs w:val="24"/>
        </w:rPr>
        <w:t>Alm</w:t>
      </w:r>
      <w:proofErr w:type="spellEnd"/>
      <w:r>
        <w:rPr>
          <w:rFonts w:ascii="Times New Roman" w:hAnsi="Times New Roman" w:cs="Times New Roman"/>
          <w:sz w:val="24"/>
          <w:szCs w:val="24"/>
        </w:rPr>
        <w:t xml:space="preserve">, J., &amp; </w:t>
      </w:r>
      <w:proofErr w:type="spellStart"/>
      <w:r>
        <w:rPr>
          <w:rFonts w:ascii="Times New Roman" w:hAnsi="Times New Roman" w:cs="Times New Roman"/>
          <w:sz w:val="24"/>
          <w:szCs w:val="24"/>
        </w:rPr>
        <w:t>Torgler</w:t>
      </w:r>
      <w:proofErr w:type="spellEnd"/>
      <w:r>
        <w:rPr>
          <w:rFonts w:ascii="Times New Roman" w:hAnsi="Times New Roman" w:cs="Times New Roman"/>
          <w:sz w:val="24"/>
          <w:szCs w:val="24"/>
        </w:rPr>
        <w:t xml:space="preserve">, B. (2011). Do ethics matter? Tax compliance and morality. Journal of </w:t>
      </w:r>
      <w:r>
        <w:rPr>
          <w:rFonts w:ascii="Times New Roman" w:hAnsi="Times New Roman" w:cs="Times New Roman"/>
          <w:sz w:val="24"/>
          <w:szCs w:val="24"/>
        </w:rPr>
        <w:t>Business Ethics, 101(4), 635–651. https://doi.org/10.1007/s10551-011-0761-9</w:t>
      </w:r>
    </w:p>
    <w:p w14:paraId="5E4096F8" w14:textId="77777777" w:rsidR="00A102D6" w:rsidRDefault="002379B8">
      <w:pPr>
        <w:ind w:left="360"/>
        <w:rPr>
          <w:rFonts w:ascii="Times New Roman" w:hAnsi="Times New Roman" w:cs="Times New Roman"/>
          <w:sz w:val="24"/>
          <w:szCs w:val="24"/>
        </w:rPr>
      </w:pPr>
      <w:proofErr w:type="spellStart"/>
      <w:r>
        <w:rPr>
          <w:rFonts w:ascii="Times New Roman" w:hAnsi="Times New Roman" w:cs="Times New Roman"/>
          <w:sz w:val="24"/>
          <w:szCs w:val="24"/>
        </w:rPr>
        <w:t>Ayodeji</w:t>
      </w:r>
      <w:proofErr w:type="spellEnd"/>
      <w:r>
        <w:rPr>
          <w:rFonts w:ascii="Times New Roman" w:hAnsi="Times New Roman" w:cs="Times New Roman"/>
          <w:sz w:val="24"/>
          <w:szCs w:val="24"/>
        </w:rPr>
        <w:t xml:space="preserve">, A. (2024). Artificial intelligence in enhancing regulatory compliance and risk management. [Unpublished manuscript]. University of Gloucestershire. </w:t>
      </w:r>
      <w:hyperlink r:id="rId14" w:history="1">
        <w:r>
          <w:rPr>
            <w:rStyle w:val="Hyperlink"/>
            <w:rFonts w:ascii="Times New Roman" w:hAnsi="Times New Roman" w:cs="Times New Roman"/>
            <w:sz w:val="24"/>
            <w:szCs w:val="24"/>
          </w:rPr>
          <w:t>https://doi.org/10.13140/RG.2.2.20915.44326</w:t>
        </w:r>
      </w:hyperlink>
    </w:p>
    <w:p w14:paraId="6EEC82FB" w14:textId="77777777" w:rsidR="00A102D6" w:rsidRDefault="002379B8">
      <w:pPr>
        <w:ind w:left="360"/>
        <w:rPr>
          <w:rFonts w:ascii="Times New Roman" w:hAnsi="Times New Roman" w:cs="Times New Roman"/>
          <w:sz w:val="24"/>
          <w:szCs w:val="24"/>
        </w:rPr>
      </w:pPr>
      <w:r>
        <w:rPr>
          <w:rFonts w:ascii="Times New Roman" w:hAnsi="Times New Roman" w:cs="Times New Roman"/>
          <w:sz w:val="24"/>
          <w:szCs w:val="24"/>
        </w:rPr>
        <w:lastRenderedPageBreak/>
        <w:t xml:space="preserve">Beck, R., Müller-Bloch, C., &amp; King, J. L. (2018). Governance in the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economy: A framework and research agenda. Journal of the Association for Information Systems, </w:t>
      </w:r>
      <w:r>
        <w:rPr>
          <w:rFonts w:ascii="Times New Roman" w:hAnsi="Times New Roman" w:cs="Times New Roman"/>
          <w:sz w:val="24"/>
          <w:szCs w:val="24"/>
        </w:rPr>
        <w:t>19(10), 1020–1034. https://doi.org/10.17705/1jais.00518</w:t>
      </w:r>
    </w:p>
    <w:p w14:paraId="0269BDB1" w14:textId="77777777" w:rsidR="00A102D6" w:rsidRDefault="002379B8">
      <w:pPr>
        <w:ind w:left="360"/>
        <w:rPr>
          <w:rFonts w:ascii="Times New Roman" w:hAnsi="Times New Roman" w:cs="Times New Roman"/>
          <w:sz w:val="24"/>
          <w:szCs w:val="24"/>
        </w:rPr>
      </w:pPr>
      <w:r>
        <w:rPr>
          <w:rFonts w:ascii="Times New Roman" w:hAnsi="Times New Roman" w:cs="Times New Roman"/>
          <w:sz w:val="24"/>
          <w:szCs w:val="24"/>
        </w:rPr>
        <w:t xml:space="preserve">Dai, J., &amp; </w:t>
      </w:r>
      <w:proofErr w:type="spellStart"/>
      <w:r>
        <w:rPr>
          <w:rFonts w:ascii="Times New Roman" w:hAnsi="Times New Roman" w:cs="Times New Roman"/>
          <w:sz w:val="24"/>
          <w:szCs w:val="24"/>
        </w:rPr>
        <w:t>Vasarhelyi</w:t>
      </w:r>
      <w:proofErr w:type="spellEnd"/>
      <w:r>
        <w:rPr>
          <w:rFonts w:ascii="Times New Roman" w:hAnsi="Times New Roman" w:cs="Times New Roman"/>
          <w:sz w:val="24"/>
          <w:szCs w:val="24"/>
        </w:rPr>
        <w:t xml:space="preserve">, M. A. (2017). Toward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-based accounting and assurance. Journal of Information Systems, 31(3), 5–21. https://doi.org/10.2308/isys-51804</w:t>
      </w:r>
    </w:p>
    <w:p w14:paraId="2D9ECEFF" w14:textId="77777777" w:rsidR="00A102D6" w:rsidRDefault="002379B8">
      <w:pPr>
        <w:ind w:left="360"/>
        <w:rPr>
          <w:rFonts w:ascii="Times New Roman" w:hAnsi="Times New Roman" w:cs="Times New Roman"/>
          <w:sz w:val="24"/>
          <w:szCs w:val="24"/>
        </w:rPr>
      </w:pPr>
      <w:commentRangeStart w:id="31"/>
      <w:proofErr w:type="gramStart"/>
      <w:r>
        <w:rPr>
          <w:rFonts w:ascii="Times New Roman" w:hAnsi="Times New Roman" w:cs="Times New Roman"/>
          <w:sz w:val="24"/>
          <w:szCs w:val="24"/>
        </w:rPr>
        <w:t>expectation</w:t>
      </w:r>
      <w:commentRangeEnd w:id="31"/>
      <w:proofErr w:type="gramEnd"/>
      <w:r w:rsidR="003A4D91">
        <w:rPr>
          <w:rStyle w:val="CommentReference"/>
        </w:rPr>
        <w:commentReference w:id="31"/>
      </w:r>
      <w:r>
        <w:rPr>
          <w:rFonts w:ascii="Times New Roman" w:hAnsi="Times New Roman" w:cs="Times New Roman"/>
          <w:sz w:val="24"/>
          <w:szCs w:val="24"/>
        </w:rPr>
        <w:t xml:space="preserve"> gap: A critical persp</w:t>
      </w:r>
      <w:r>
        <w:rPr>
          <w:rFonts w:ascii="Times New Roman" w:hAnsi="Times New Roman" w:cs="Times New Roman"/>
          <w:sz w:val="24"/>
          <w:szCs w:val="24"/>
        </w:rPr>
        <w:t xml:space="preserve">ective. Accounting Horizons, 37(1), 43-69. </w:t>
      </w:r>
    </w:p>
    <w:p w14:paraId="4077E01C" w14:textId="77777777" w:rsidR="00A102D6" w:rsidRDefault="002379B8">
      <w:pPr>
        <w:ind w:left="360"/>
        <w:rPr>
          <w:rFonts w:ascii="Times New Roman" w:hAnsi="Times New Roman" w:cs="Times New Roman"/>
          <w:sz w:val="24"/>
          <w:szCs w:val="24"/>
        </w:rPr>
      </w:pPr>
      <w:proofErr w:type="spellStart"/>
      <w:r>
        <w:rPr>
          <w:rFonts w:ascii="Times New Roman" w:hAnsi="Times New Roman" w:cs="Times New Roman"/>
          <w:sz w:val="24"/>
          <w:szCs w:val="24"/>
        </w:rPr>
        <w:t>Fotoh</w:t>
      </w:r>
      <w:proofErr w:type="spellEnd"/>
      <w:r>
        <w:rPr>
          <w:rFonts w:ascii="Times New Roman" w:hAnsi="Times New Roman" w:cs="Times New Roman"/>
          <w:sz w:val="24"/>
          <w:szCs w:val="24"/>
        </w:rPr>
        <w:t xml:space="preserve">, L. E., &amp; </w:t>
      </w:r>
      <w:proofErr w:type="spellStart"/>
      <w:r>
        <w:rPr>
          <w:rFonts w:ascii="Times New Roman" w:hAnsi="Times New Roman" w:cs="Times New Roman"/>
          <w:sz w:val="24"/>
          <w:szCs w:val="24"/>
        </w:rPr>
        <w:t>Lorentzon</w:t>
      </w:r>
      <w:proofErr w:type="spellEnd"/>
      <w:r>
        <w:rPr>
          <w:rFonts w:ascii="Times New Roman" w:hAnsi="Times New Roman" w:cs="Times New Roman"/>
          <w:sz w:val="24"/>
          <w:szCs w:val="24"/>
        </w:rPr>
        <w:t xml:space="preserve">, J. I. (2023). Audit digitalization and its consequences on the audit </w:t>
      </w:r>
    </w:p>
    <w:p w14:paraId="51DD69FD" w14:textId="77777777" w:rsidR="00A102D6" w:rsidRDefault="002379B8">
      <w:pPr>
        <w:ind w:left="360"/>
        <w:rPr>
          <w:rFonts w:ascii="Times New Roman" w:hAnsi="Times New Roman" w:cs="Times New Roman"/>
          <w:sz w:val="24"/>
          <w:szCs w:val="24"/>
        </w:rPr>
      </w:pPr>
      <w:r>
        <w:rPr>
          <w:rFonts w:ascii="Times New Roman" w:hAnsi="Times New Roman" w:cs="Times New Roman"/>
          <w:sz w:val="24"/>
          <w:szCs w:val="24"/>
        </w:rPr>
        <w:t xml:space="preserve">Georgiou, I., </w:t>
      </w:r>
      <w:proofErr w:type="spellStart"/>
      <w:r>
        <w:rPr>
          <w:rFonts w:ascii="Times New Roman" w:hAnsi="Times New Roman" w:cs="Times New Roman"/>
          <w:sz w:val="24"/>
          <w:szCs w:val="24"/>
        </w:rPr>
        <w:t>Sapuric</w:t>
      </w:r>
      <w:proofErr w:type="spellEnd"/>
      <w:r>
        <w:rPr>
          <w:rFonts w:ascii="Times New Roman" w:hAnsi="Times New Roman" w:cs="Times New Roman"/>
          <w:sz w:val="24"/>
          <w:szCs w:val="24"/>
        </w:rPr>
        <w:t xml:space="preserve">, S., Lois, P., </w:t>
      </w:r>
      <w:proofErr w:type="spellStart"/>
      <w:r>
        <w:rPr>
          <w:rFonts w:ascii="Times New Roman" w:hAnsi="Times New Roman" w:cs="Times New Roman"/>
          <w:sz w:val="24"/>
          <w:szCs w:val="24"/>
        </w:rPr>
        <w:t>Thrassou</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Vrontis</w:t>
      </w:r>
      <w:proofErr w:type="spellEnd"/>
      <w:r>
        <w:rPr>
          <w:rFonts w:ascii="Times New Roman" w:hAnsi="Times New Roman" w:cs="Times New Roman"/>
          <w:sz w:val="24"/>
          <w:szCs w:val="24"/>
        </w:rPr>
        <w:t xml:space="preserve">, D. (2024).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for accounting and auditing Acc</w:t>
      </w:r>
      <w:r>
        <w:rPr>
          <w:rFonts w:ascii="Times New Roman" w:hAnsi="Times New Roman" w:cs="Times New Roman"/>
          <w:sz w:val="24"/>
          <w:szCs w:val="24"/>
        </w:rPr>
        <w:t>ounting and auditing for cryptocurrencies: A systematic literature review and future research directions. Journal of Risk and Financial Management, 17(7), 276. https://doi.org/10.3390/jrfm17070276</w:t>
      </w:r>
    </w:p>
    <w:p w14:paraId="3637E441" w14:textId="77777777" w:rsidR="00A102D6" w:rsidRDefault="002379B8">
      <w:pPr>
        <w:ind w:left="360"/>
        <w:rPr>
          <w:rFonts w:ascii="Times New Roman" w:hAnsi="Times New Roman" w:cs="Times New Roman"/>
          <w:sz w:val="24"/>
          <w:szCs w:val="24"/>
        </w:rPr>
      </w:pPr>
      <w:proofErr w:type="spellStart"/>
      <w:r>
        <w:rPr>
          <w:rFonts w:ascii="Times New Roman" w:hAnsi="Times New Roman" w:cs="Times New Roman"/>
          <w:sz w:val="24"/>
          <w:szCs w:val="24"/>
        </w:rPr>
        <w:t>Gwaindepi</w:t>
      </w:r>
      <w:proofErr w:type="spellEnd"/>
      <w:r>
        <w:rPr>
          <w:rFonts w:ascii="Times New Roman" w:hAnsi="Times New Roman" w:cs="Times New Roman"/>
          <w:sz w:val="24"/>
          <w:szCs w:val="24"/>
        </w:rPr>
        <w:t>, A. (2024). Taxation in the context of high infor</w:t>
      </w:r>
      <w:r>
        <w:rPr>
          <w:rFonts w:ascii="Times New Roman" w:hAnsi="Times New Roman" w:cs="Times New Roman"/>
          <w:sz w:val="24"/>
          <w:szCs w:val="24"/>
        </w:rPr>
        <w:t xml:space="preserve">mality: Conceptual challenges and evidence from Sub-Saharan Africa. Review of Development Economics, 28(4), 1635–1651. </w:t>
      </w:r>
      <w:hyperlink r:id="rId15" w:tgtFrame="_new" w:history="1">
        <w:r>
          <w:rPr>
            <w:rStyle w:val="Hyperlink"/>
            <w:rFonts w:ascii="Times New Roman" w:hAnsi="Times New Roman" w:cs="Times New Roman"/>
            <w:sz w:val="24"/>
            <w:szCs w:val="24"/>
          </w:rPr>
          <w:t>https://doi.org/10.1111/rode.13163</w:t>
        </w:r>
      </w:hyperlink>
    </w:p>
    <w:p w14:paraId="193C672F" w14:textId="77777777" w:rsidR="00A102D6" w:rsidRDefault="002379B8">
      <w:pPr>
        <w:ind w:left="360"/>
        <w:rPr>
          <w:rFonts w:ascii="Times New Roman" w:hAnsi="Times New Roman" w:cs="Times New Roman"/>
          <w:sz w:val="24"/>
          <w:szCs w:val="24"/>
        </w:rPr>
      </w:pPr>
      <w:r>
        <w:rPr>
          <w:rFonts w:ascii="Times New Roman" w:hAnsi="Times New Roman" w:cs="Times New Roman"/>
          <w:sz w:val="24"/>
          <w:szCs w:val="24"/>
        </w:rPr>
        <w:t>Habib, G., Sharma, S., Ibrahim, S., Ahmad</w:t>
      </w:r>
      <w:r>
        <w:rPr>
          <w:rFonts w:ascii="Times New Roman" w:hAnsi="Times New Roman" w:cs="Times New Roman"/>
          <w:sz w:val="24"/>
          <w:szCs w:val="24"/>
        </w:rPr>
        <w:t xml:space="preserve">, I., Qureshi, S., &amp; </w:t>
      </w:r>
      <w:proofErr w:type="spellStart"/>
      <w:r>
        <w:rPr>
          <w:rFonts w:ascii="Times New Roman" w:hAnsi="Times New Roman" w:cs="Times New Roman"/>
          <w:sz w:val="24"/>
          <w:szCs w:val="24"/>
        </w:rPr>
        <w:t>Ishfaq</w:t>
      </w:r>
      <w:proofErr w:type="spellEnd"/>
      <w:r>
        <w:rPr>
          <w:rFonts w:ascii="Times New Roman" w:hAnsi="Times New Roman" w:cs="Times New Roman"/>
          <w:sz w:val="24"/>
          <w:szCs w:val="24"/>
        </w:rPr>
        <w:t xml:space="preserve">, M. (2022).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technology: Benefits, challenges, applications, and integration of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technology with cloud computing. Future Internet, 14(11), 341. </w:t>
      </w:r>
      <w:hyperlink r:id="rId16" w:tgtFrame="_new" w:history="1">
        <w:r>
          <w:rPr>
            <w:rStyle w:val="Hyperlink"/>
            <w:rFonts w:ascii="Times New Roman" w:hAnsi="Times New Roman" w:cs="Times New Roman"/>
            <w:sz w:val="24"/>
            <w:szCs w:val="24"/>
          </w:rPr>
          <w:t>https:</w:t>
        </w:r>
        <w:r>
          <w:rPr>
            <w:rStyle w:val="Hyperlink"/>
            <w:rFonts w:ascii="Times New Roman" w:hAnsi="Times New Roman" w:cs="Times New Roman"/>
            <w:sz w:val="24"/>
            <w:szCs w:val="24"/>
          </w:rPr>
          <w:t>//doi.org/10.3390/fi14110341</w:t>
        </w:r>
      </w:hyperlink>
    </w:p>
    <w:p w14:paraId="3D4F3A2F" w14:textId="77777777" w:rsidR="00A102D6" w:rsidRDefault="002379B8">
      <w:pPr>
        <w:ind w:left="360"/>
        <w:rPr>
          <w:rFonts w:ascii="Times New Roman" w:hAnsi="Times New Roman" w:cs="Times New Roman"/>
          <w:sz w:val="24"/>
          <w:szCs w:val="24"/>
        </w:rPr>
      </w:pPr>
      <w:r>
        <w:rPr>
          <w:rFonts w:ascii="Times New Roman" w:hAnsi="Times New Roman" w:cs="Times New Roman"/>
          <w:sz w:val="24"/>
          <w:szCs w:val="24"/>
        </w:rPr>
        <w:t xml:space="preserve">Han, H., </w:t>
      </w:r>
      <w:proofErr w:type="spellStart"/>
      <w:r>
        <w:rPr>
          <w:rFonts w:ascii="Times New Roman" w:hAnsi="Times New Roman" w:cs="Times New Roman"/>
          <w:sz w:val="24"/>
          <w:szCs w:val="24"/>
        </w:rPr>
        <w:t>Shiwakoti</w:t>
      </w:r>
      <w:proofErr w:type="spellEnd"/>
      <w:r>
        <w:rPr>
          <w:rFonts w:ascii="Times New Roman" w:hAnsi="Times New Roman" w:cs="Times New Roman"/>
          <w:sz w:val="24"/>
          <w:szCs w:val="24"/>
        </w:rPr>
        <w:t xml:space="preserve">, R. K., Jarvis, R., </w:t>
      </w:r>
      <w:proofErr w:type="spellStart"/>
      <w:r>
        <w:rPr>
          <w:rFonts w:ascii="Times New Roman" w:hAnsi="Times New Roman" w:cs="Times New Roman"/>
          <w:sz w:val="24"/>
          <w:szCs w:val="24"/>
        </w:rPr>
        <w:t>Mordi</w:t>
      </w:r>
      <w:proofErr w:type="spellEnd"/>
      <w:r>
        <w:rPr>
          <w:rFonts w:ascii="Times New Roman" w:hAnsi="Times New Roman" w:cs="Times New Roman"/>
          <w:sz w:val="24"/>
          <w:szCs w:val="24"/>
        </w:rPr>
        <w:t>, C., &amp;</w:t>
      </w:r>
      <w:r>
        <w:rPr>
          <w:rFonts w:ascii="Times New Roman" w:hAnsi="Times New Roman" w:cs="Times New Roman"/>
          <w:sz w:val="24"/>
          <w:szCs w:val="24"/>
        </w:rPr>
        <w:t xml:space="preserve"> </w:t>
      </w:r>
      <w:proofErr w:type="spellStart"/>
      <w:r>
        <w:rPr>
          <w:rFonts w:ascii="Times New Roman" w:hAnsi="Times New Roman" w:cs="Times New Roman"/>
          <w:sz w:val="24"/>
          <w:szCs w:val="24"/>
        </w:rPr>
        <w:t>Botchie</w:t>
      </w:r>
      <w:proofErr w:type="spellEnd"/>
      <w:r>
        <w:rPr>
          <w:rFonts w:ascii="Times New Roman" w:hAnsi="Times New Roman" w:cs="Times New Roman"/>
          <w:sz w:val="24"/>
          <w:szCs w:val="24"/>
        </w:rPr>
        <w:t xml:space="preserve">, D. (2022). Accounting and auditing with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technology and artificial Intelligence: A literature review. International Journal of Accounting Information Systems, 48, Article 100598. </w:t>
      </w:r>
      <w:hyperlink r:id="rId17" w:tgtFrame="_new" w:history="1">
        <w:r>
          <w:rPr>
            <w:rStyle w:val="Hyperlink"/>
            <w:rFonts w:ascii="Times New Roman" w:hAnsi="Times New Roman" w:cs="Times New Roman"/>
            <w:sz w:val="24"/>
            <w:szCs w:val="24"/>
          </w:rPr>
          <w:t>https://doi.org/10.1016/j.accinf.2022.100598</w:t>
        </w:r>
      </w:hyperlink>
    </w:p>
    <w:p w14:paraId="2377FB30" w14:textId="77777777" w:rsidR="00A102D6" w:rsidRDefault="002379B8">
      <w:pPr>
        <w:ind w:left="360"/>
        <w:rPr>
          <w:rFonts w:ascii="Times New Roman" w:hAnsi="Times New Roman" w:cs="Times New Roman"/>
          <w:sz w:val="24"/>
          <w:szCs w:val="24"/>
        </w:rPr>
      </w:pPr>
      <w:r>
        <w:rPr>
          <w:rFonts w:ascii="Times New Roman" w:hAnsi="Times New Roman" w:cs="Times New Roman"/>
          <w:sz w:val="24"/>
          <w:szCs w:val="24"/>
        </w:rPr>
        <w:t xml:space="preserve">Hussain, M. T. A. (2020). How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-based smart-contracts can improve invoicing accuracy (Master’s thesis). University of Applied Sciences Europe.</w:t>
      </w:r>
    </w:p>
    <w:p w14:paraId="4CEC194F" w14:textId="77777777" w:rsidR="00A102D6" w:rsidRDefault="002379B8">
      <w:pPr>
        <w:ind w:left="360"/>
        <w:rPr>
          <w:rFonts w:ascii="Times New Roman" w:hAnsi="Times New Roman" w:cs="Times New Roman"/>
          <w:sz w:val="24"/>
          <w:szCs w:val="24"/>
        </w:rPr>
      </w:pPr>
      <w:proofErr w:type="spellStart"/>
      <w:r>
        <w:rPr>
          <w:rFonts w:ascii="Times New Roman" w:hAnsi="Times New Roman" w:cs="Times New Roman"/>
          <w:sz w:val="24"/>
          <w:szCs w:val="24"/>
        </w:rPr>
        <w:t>Imoniana</w:t>
      </w:r>
      <w:proofErr w:type="spellEnd"/>
      <w:r>
        <w:rPr>
          <w:rFonts w:ascii="Times New Roman" w:hAnsi="Times New Roman" w:cs="Times New Roman"/>
          <w:sz w:val="24"/>
          <w:szCs w:val="24"/>
        </w:rPr>
        <w:t xml:space="preserve">, J. O., </w:t>
      </w:r>
      <w:proofErr w:type="spellStart"/>
      <w:r>
        <w:rPr>
          <w:rFonts w:ascii="Times New Roman" w:hAnsi="Times New Roman" w:cs="Times New Roman"/>
          <w:sz w:val="24"/>
          <w:szCs w:val="24"/>
        </w:rPr>
        <w:t>Cornacchione</w:t>
      </w:r>
      <w:proofErr w:type="spellEnd"/>
      <w:r>
        <w:rPr>
          <w:rFonts w:ascii="Times New Roman" w:hAnsi="Times New Roman" w:cs="Times New Roman"/>
          <w:sz w:val="24"/>
          <w:szCs w:val="24"/>
        </w:rPr>
        <w:t xml:space="preserve">, E.  B., </w:t>
      </w:r>
      <w:proofErr w:type="spellStart"/>
      <w:r>
        <w:rPr>
          <w:rFonts w:ascii="Times New Roman" w:hAnsi="Times New Roman" w:cs="Times New Roman"/>
          <w:sz w:val="24"/>
          <w:szCs w:val="24"/>
        </w:rPr>
        <w:t>Regina</w:t>
      </w:r>
      <w:r>
        <w:rPr>
          <w:rFonts w:ascii="Times New Roman" w:hAnsi="Times New Roman" w:cs="Times New Roman"/>
          <w:sz w:val="24"/>
          <w:szCs w:val="24"/>
        </w:rPr>
        <w:t>to</w:t>
      </w:r>
      <w:proofErr w:type="spellEnd"/>
      <w:r>
        <w:rPr>
          <w:rFonts w:ascii="Times New Roman" w:hAnsi="Times New Roman" w:cs="Times New Roman"/>
          <w:sz w:val="24"/>
          <w:szCs w:val="24"/>
        </w:rPr>
        <w:t xml:space="preserve">, L., &amp; </w:t>
      </w:r>
      <w:proofErr w:type="spellStart"/>
      <w:r>
        <w:rPr>
          <w:rFonts w:ascii="Times New Roman" w:hAnsi="Times New Roman" w:cs="Times New Roman"/>
          <w:sz w:val="24"/>
          <w:szCs w:val="24"/>
        </w:rPr>
        <w:t>Benetti</w:t>
      </w:r>
      <w:proofErr w:type="spellEnd"/>
      <w:r>
        <w:rPr>
          <w:rFonts w:ascii="Times New Roman" w:hAnsi="Times New Roman" w:cs="Times New Roman"/>
          <w:sz w:val="24"/>
          <w:szCs w:val="24"/>
        </w:rPr>
        <w:t>, C.  (2023)</w:t>
      </w:r>
      <w:proofErr w:type="gramStart"/>
      <w:r>
        <w:rPr>
          <w:rFonts w:ascii="Times New Roman" w:hAnsi="Times New Roman" w:cs="Times New Roman"/>
          <w:sz w:val="24"/>
          <w:szCs w:val="24"/>
        </w:rPr>
        <w:t>.  Impact</w:t>
      </w:r>
      <w:proofErr w:type="gramEnd"/>
      <w:r>
        <w:rPr>
          <w:rFonts w:ascii="Times New Roman" w:hAnsi="Times New Roman" w:cs="Times New Roman"/>
          <w:sz w:val="24"/>
          <w:szCs w:val="24"/>
        </w:rPr>
        <w:t xml:space="preserve"> of </w:t>
      </w:r>
    </w:p>
    <w:p w14:paraId="1893C05F" w14:textId="77777777" w:rsidR="00A102D6" w:rsidRDefault="002379B8">
      <w:pPr>
        <w:ind w:left="360"/>
        <w:rPr>
          <w:rFonts w:ascii="Times New Roman" w:hAnsi="Times New Roman" w:cs="Times New Roman"/>
          <w:sz w:val="24"/>
          <w:szCs w:val="24"/>
        </w:rPr>
      </w:pPr>
      <w:proofErr w:type="spellStart"/>
      <w:r>
        <w:rPr>
          <w:rFonts w:ascii="Times New Roman" w:hAnsi="Times New Roman" w:cs="Times New Roman"/>
          <w:sz w:val="24"/>
          <w:szCs w:val="24"/>
        </w:rPr>
        <w:t>Kanaparthi</w:t>
      </w:r>
      <w:proofErr w:type="spellEnd"/>
      <w:r>
        <w:rPr>
          <w:rFonts w:ascii="Times New Roman" w:hAnsi="Times New Roman" w:cs="Times New Roman"/>
          <w:sz w:val="24"/>
          <w:szCs w:val="24"/>
        </w:rPr>
        <w:t xml:space="preserve">, V.  (2024). Exploring the Impact of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AI, and ML on Financial </w:t>
      </w:r>
    </w:p>
    <w:p w14:paraId="7747B9BA" w14:textId="77777777" w:rsidR="00A102D6" w:rsidRDefault="002379B8">
      <w:pPr>
        <w:ind w:left="360"/>
        <w:rPr>
          <w:rFonts w:ascii="Times New Roman" w:hAnsi="Times New Roman" w:cs="Times New Roman"/>
          <w:sz w:val="24"/>
          <w:szCs w:val="24"/>
        </w:rPr>
      </w:pPr>
      <w:commentRangeStart w:id="32"/>
      <w:r>
        <w:rPr>
          <w:rFonts w:ascii="Times New Roman" w:hAnsi="Times New Roman" w:cs="Times New Roman"/>
          <w:sz w:val="24"/>
          <w:szCs w:val="24"/>
        </w:rPr>
        <w:t>Khan</w:t>
      </w:r>
      <w:commentRangeEnd w:id="32"/>
      <w:r w:rsidR="003A4D91">
        <w:rPr>
          <w:rStyle w:val="CommentReference"/>
        </w:rPr>
        <w:commentReference w:id="32"/>
      </w:r>
      <w:r>
        <w:rPr>
          <w:rFonts w:ascii="Times New Roman" w:hAnsi="Times New Roman" w:cs="Times New Roman"/>
          <w:sz w:val="24"/>
          <w:szCs w:val="24"/>
        </w:rPr>
        <w:t xml:space="preserve">, B., &amp; Syed, T. Q. (2019, November). Recent progress in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in public finance and taxation. In 2019 8th Internationa</w:t>
      </w:r>
      <w:r>
        <w:rPr>
          <w:rFonts w:ascii="Times New Roman" w:hAnsi="Times New Roman" w:cs="Times New Roman"/>
          <w:sz w:val="24"/>
          <w:szCs w:val="24"/>
        </w:rPr>
        <w:t xml:space="preserve">l Conference on Information and Communication Technologies (ICICT) (pp. 1–6). IEEE. </w:t>
      </w:r>
      <w:hyperlink r:id="rId18" w:history="1">
        <w:r>
          <w:rPr>
            <w:rStyle w:val="Hyperlink"/>
            <w:rFonts w:ascii="Times New Roman" w:hAnsi="Times New Roman" w:cs="Times New Roman"/>
            <w:sz w:val="24"/>
            <w:szCs w:val="24"/>
          </w:rPr>
          <w:t>https://doi.org/10.1109/ICICT47744.2019.9001998</w:t>
        </w:r>
      </w:hyperlink>
    </w:p>
    <w:p w14:paraId="15ACFDC6" w14:textId="77777777" w:rsidR="00A102D6" w:rsidRDefault="002379B8">
      <w:pPr>
        <w:pStyle w:val="NormalWeb"/>
        <w:ind w:left="360"/>
      </w:pPr>
      <w:commentRangeStart w:id="33"/>
      <w:r>
        <w:lastRenderedPageBreak/>
        <w:t>Li</w:t>
      </w:r>
      <w:commentRangeEnd w:id="33"/>
      <w:r w:rsidR="002070D0">
        <w:rPr>
          <w:rStyle w:val="CommentReference"/>
          <w:rFonts w:asciiTheme="minorHAnsi" w:eastAsiaTheme="minorEastAsia" w:hAnsiTheme="minorHAnsi" w:cstheme="minorBidi"/>
        </w:rPr>
        <w:commentReference w:id="33"/>
      </w:r>
      <w:r>
        <w:t xml:space="preserve">, J., Wang, S., &amp; Chen, X. (2019). </w:t>
      </w:r>
      <w:proofErr w:type="spellStart"/>
      <w:r>
        <w:t>Blockchain</w:t>
      </w:r>
      <w:proofErr w:type="spellEnd"/>
      <w:r>
        <w:t xml:space="preserve"> in public fi</w:t>
      </w:r>
      <w:r>
        <w:t xml:space="preserve">nance: A case study of China’s </w:t>
      </w:r>
      <w:proofErr w:type="spellStart"/>
      <w:r>
        <w:t>blockchain</w:t>
      </w:r>
      <w:proofErr w:type="spellEnd"/>
      <w:r>
        <w:t xml:space="preserve">-based tax invoices. </w:t>
      </w:r>
      <w:r>
        <w:rPr>
          <w:rStyle w:val="Emphasis"/>
          <w:rFonts w:eastAsiaTheme="majorEastAsia"/>
          <w:i w:val="0"/>
          <w:iCs w:val="0"/>
        </w:rPr>
        <w:t>Government Information Quarterly, 36</w:t>
      </w:r>
      <w:r>
        <w:t>(4), 101410. https://doi.org/10.1016/j.giq.2019.05.010</w:t>
      </w:r>
    </w:p>
    <w:p w14:paraId="2890494E" w14:textId="77777777" w:rsidR="00A102D6" w:rsidRDefault="002379B8">
      <w:pPr>
        <w:ind w:left="360"/>
        <w:rPr>
          <w:rFonts w:ascii="Times New Roman" w:hAnsi="Times New Roman" w:cs="Times New Roman"/>
          <w:sz w:val="24"/>
          <w:szCs w:val="24"/>
        </w:rPr>
      </w:pPr>
      <w:r>
        <w:rPr>
          <w:rFonts w:ascii="Times New Roman" w:hAnsi="Times New Roman" w:cs="Times New Roman"/>
          <w:sz w:val="24"/>
          <w:szCs w:val="24"/>
        </w:rPr>
        <w:t>Martinez-Vazquez, J., &amp; Bird, R. M. (2014). Taxation and development: The weakest link? Essays in honor</w:t>
      </w:r>
      <w:r>
        <w:rPr>
          <w:rFonts w:ascii="Times New Roman" w:hAnsi="Times New Roman" w:cs="Times New Roman"/>
          <w:sz w:val="24"/>
          <w:szCs w:val="24"/>
        </w:rPr>
        <w:t xml:space="preserve"> of Roy </w:t>
      </w:r>
      <w:proofErr w:type="spellStart"/>
      <w:r>
        <w:rPr>
          <w:rFonts w:ascii="Times New Roman" w:hAnsi="Times New Roman" w:cs="Times New Roman"/>
          <w:sz w:val="24"/>
          <w:szCs w:val="24"/>
        </w:rPr>
        <w:t>Bahl</w:t>
      </w:r>
      <w:proofErr w:type="spellEnd"/>
      <w:r>
        <w:rPr>
          <w:rFonts w:ascii="Times New Roman" w:hAnsi="Times New Roman" w:cs="Times New Roman"/>
          <w:sz w:val="24"/>
          <w:szCs w:val="24"/>
        </w:rPr>
        <w:t xml:space="preserve">. Edward Elgar Publishing. </w:t>
      </w:r>
      <w:hyperlink r:id="rId19" w:history="1">
        <w:r>
          <w:rPr>
            <w:rStyle w:val="Hyperlink"/>
            <w:rFonts w:ascii="Times New Roman" w:hAnsi="Times New Roman" w:cs="Times New Roman"/>
            <w:sz w:val="24"/>
            <w:szCs w:val="24"/>
          </w:rPr>
          <w:t>https://doi.org/10.4337/9781783474332</w:t>
        </w:r>
      </w:hyperlink>
    </w:p>
    <w:p w14:paraId="42590DE7" w14:textId="77777777" w:rsidR="00A102D6" w:rsidRDefault="002379B8">
      <w:pPr>
        <w:ind w:left="360"/>
        <w:rPr>
          <w:rFonts w:ascii="Times New Roman" w:hAnsi="Times New Roman" w:cs="Times New Roman"/>
          <w:sz w:val="24"/>
          <w:szCs w:val="24"/>
        </w:rPr>
      </w:pPr>
      <w:r>
        <w:rPr>
          <w:rFonts w:ascii="Times New Roman" w:hAnsi="Times New Roman" w:cs="Times New Roman"/>
          <w:sz w:val="24"/>
          <w:szCs w:val="24"/>
        </w:rPr>
        <w:t>Mascagni, G. (2017). From the lab to the field: A review of tax experiments. Journal of Economic Surveys, 32(2), 273–301. htt</w:t>
      </w:r>
      <w:r>
        <w:rPr>
          <w:rFonts w:ascii="Times New Roman" w:hAnsi="Times New Roman" w:cs="Times New Roman"/>
          <w:sz w:val="24"/>
          <w:szCs w:val="24"/>
        </w:rPr>
        <w:t>ps://doi.org/10.1111/joes.12201</w:t>
      </w:r>
    </w:p>
    <w:p w14:paraId="6D772537" w14:textId="77777777" w:rsidR="00A102D6" w:rsidRDefault="002379B8">
      <w:pPr>
        <w:ind w:left="360"/>
        <w:rPr>
          <w:rFonts w:ascii="Times New Roman" w:hAnsi="Times New Roman" w:cs="Times New Roman"/>
          <w:sz w:val="24"/>
          <w:szCs w:val="24"/>
        </w:rPr>
      </w:pPr>
      <w:r>
        <w:rPr>
          <w:rFonts w:ascii="Times New Roman" w:hAnsi="Times New Roman" w:cs="Times New Roman"/>
          <w:sz w:val="24"/>
          <w:szCs w:val="24"/>
        </w:rPr>
        <w:t>Moore, M. (2020). What is wrong with African tax administration? ICTD Working Paper 111. Institute of Development Studies. https://doi.org/10.19088/ICTD.2020.002</w:t>
      </w:r>
    </w:p>
    <w:p w14:paraId="0EDBA811" w14:textId="77777777" w:rsidR="00A102D6" w:rsidRDefault="002379B8">
      <w:pPr>
        <w:ind w:left="360"/>
        <w:rPr>
          <w:rFonts w:ascii="Times New Roman" w:hAnsi="Times New Roman" w:cs="Times New Roman"/>
          <w:sz w:val="24"/>
          <w:szCs w:val="24"/>
        </w:rPr>
      </w:pPr>
      <w:r>
        <w:rPr>
          <w:rFonts w:ascii="Times New Roman" w:hAnsi="Times New Roman" w:cs="Times New Roman"/>
          <w:sz w:val="24"/>
          <w:szCs w:val="24"/>
        </w:rPr>
        <w:t xml:space="preserve">Nose, M., &amp; </w:t>
      </w:r>
      <w:proofErr w:type="spellStart"/>
      <w:r>
        <w:rPr>
          <w:rFonts w:ascii="Times New Roman" w:hAnsi="Times New Roman" w:cs="Times New Roman"/>
          <w:sz w:val="24"/>
          <w:szCs w:val="24"/>
        </w:rPr>
        <w:t>Mengistu</w:t>
      </w:r>
      <w:proofErr w:type="spellEnd"/>
      <w:r>
        <w:rPr>
          <w:rFonts w:ascii="Times New Roman" w:hAnsi="Times New Roman" w:cs="Times New Roman"/>
          <w:sz w:val="24"/>
          <w:szCs w:val="24"/>
        </w:rPr>
        <w:t>, A. (2023, December 11). Exploring the ad</w:t>
      </w:r>
      <w:r>
        <w:rPr>
          <w:rFonts w:ascii="Times New Roman" w:hAnsi="Times New Roman" w:cs="Times New Roman"/>
          <w:sz w:val="24"/>
          <w:szCs w:val="24"/>
        </w:rPr>
        <w:t xml:space="preserve">option of selected digital technologies in tax administration: A cross-country perspective. </w:t>
      </w:r>
    </w:p>
    <w:p w14:paraId="1BCB5C09" w14:textId="77777777" w:rsidR="00A102D6" w:rsidRDefault="002379B8">
      <w:pPr>
        <w:ind w:left="360"/>
        <w:rPr>
          <w:rFonts w:ascii="Times New Roman" w:hAnsi="Times New Roman" w:cs="Times New Roman"/>
          <w:sz w:val="24"/>
          <w:szCs w:val="24"/>
        </w:rPr>
      </w:pPr>
      <w:proofErr w:type="spellStart"/>
      <w:r>
        <w:rPr>
          <w:rFonts w:ascii="Times New Roman" w:hAnsi="Times New Roman" w:cs="Times New Roman"/>
          <w:sz w:val="24"/>
          <w:szCs w:val="24"/>
        </w:rPr>
        <w:t>Nwariaku</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Fadojutimi</w:t>
      </w:r>
      <w:proofErr w:type="spellEnd"/>
      <w:r>
        <w:rPr>
          <w:rFonts w:ascii="Times New Roman" w:hAnsi="Times New Roman" w:cs="Times New Roman"/>
          <w:sz w:val="24"/>
          <w:szCs w:val="24"/>
        </w:rPr>
        <w:t xml:space="preserve">, B., Gertrude, L., Lawson, L., </w:t>
      </w:r>
      <w:proofErr w:type="spellStart"/>
      <w:r>
        <w:rPr>
          <w:rFonts w:ascii="Times New Roman" w:hAnsi="Times New Roman" w:cs="Times New Roman"/>
          <w:sz w:val="24"/>
          <w:szCs w:val="24"/>
        </w:rPr>
        <w:t>Agbelusi</w:t>
      </w:r>
      <w:proofErr w:type="spellEnd"/>
      <w:r>
        <w:rPr>
          <w:rFonts w:ascii="Times New Roman" w:hAnsi="Times New Roman" w:cs="Times New Roman"/>
          <w:sz w:val="24"/>
          <w:szCs w:val="24"/>
        </w:rPr>
        <w:t xml:space="preserve">, J., Adigun, O. A., &amp; </w:t>
      </w:r>
      <w:proofErr w:type="spellStart"/>
      <w:r>
        <w:rPr>
          <w:rFonts w:ascii="Times New Roman" w:hAnsi="Times New Roman" w:cs="Times New Roman"/>
          <w:sz w:val="24"/>
          <w:szCs w:val="24"/>
        </w:rPr>
        <w:t>Udom</w:t>
      </w:r>
      <w:proofErr w:type="spellEnd"/>
      <w:r>
        <w:rPr>
          <w:rFonts w:ascii="Times New Roman" w:hAnsi="Times New Roman" w:cs="Times New Roman"/>
          <w:sz w:val="24"/>
          <w:szCs w:val="24"/>
        </w:rPr>
        <w:t xml:space="preserve">, J. A. (2024, August).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technology as an enabler of transpare</w:t>
      </w:r>
      <w:r>
        <w:rPr>
          <w:rFonts w:ascii="Times New Roman" w:hAnsi="Times New Roman" w:cs="Times New Roman"/>
          <w:sz w:val="24"/>
          <w:szCs w:val="24"/>
        </w:rPr>
        <w:t xml:space="preserve">ncy and efficiency in sustainable supply chains. Electronic Research Archive, 12(2), Article 1454. </w:t>
      </w:r>
      <w:hyperlink r:id="rId20" w:history="1">
        <w:r>
          <w:rPr>
            <w:rStyle w:val="Hyperlink"/>
            <w:rFonts w:ascii="Times New Roman" w:hAnsi="Times New Roman" w:cs="Times New Roman"/>
            <w:sz w:val="24"/>
            <w:szCs w:val="24"/>
          </w:rPr>
          <w:t>https://doi.org/10.30574/ijsra.2024.12.2.1454</w:t>
        </w:r>
      </w:hyperlink>
    </w:p>
    <w:p w14:paraId="63968029" w14:textId="77777777" w:rsidR="00A102D6" w:rsidRDefault="002379B8">
      <w:pPr>
        <w:ind w:left="360"/>
        <w:rPr>
          <w:rFonts w:ascii="Times New Roman" w:hAnsi="Times New Roman" w:cs="Times New Roman"/>
          <w:sz w:val="24"/>
          <w:szCs w:val="24"/>
        </w:rPr>
      </w:pPr>
      <w:r>
        <w:rPr>
          <w:rFonts w:ascii="Times New Roman" w:hAnsi="Times New Roman" w:cs="Times New Roman"/>
          <w:sz w:val="24"/>
          <w:szCs w:val="24"/>
        </w:rPr>
        <w:t xml:space="preserve">OECD. (2022). Revenue Statistics in Africa 2022. </w:t>
      </w:r>
      <w:r>
        <w:rPr>
          <w:rFonts w:ascii="Times New Roman" w:hAnsi="Times New Roman" w:cs="Times New Roman"/>
          <w:sz w:val="24"/>
          <w:szCs w:val="24"/>
        </w:rPr>
        <w:t>OECD Publishing. https://doi.org/10.1787/1a99f4e3-en</w:t>
      </w:r>
    </w:p>
    <w:p w14:paraId="1FBF9C42" w14:textId="77777777" w:rsidR="00A102D6" w:rsidRDefault="002379B8">
      <w:pPr>
        <w:ind w:left="360"/>
        <w:rPr>
          <w:rFonts w:ascii="Times New Roman" w:hAnsi="Times New Roman" w:cs="Times New Roman"/>
          <w:sz w:val="24"/>
          <w:szCs w:val="24"/>
        </w:rPr>
      </w:pPr>
      <w:proofErr w:type="spellStart"/>
      <w:r>
        <w:rPr>
          <w:rFonts w:ascii="Times New Roman" w:hAnsi="Times New Roman" w:cs="Times New Roman"/>
          <w:sz w:val="24"/>
          <w:szCs w:val="24"/>
        </w:rPr>
        <w:t>Ohemeng</w:t>
      </w:r>
      <w:proofErr w:type="spellEnd"/>
      <w:r>
        <w:rPr>
          <w:rFonts w:ascii="Times New Roman" w:hAnsi="Times New Roman" w:cs="Times New Roman"/>
          <w:sz w:val="24"/>
          <w:szCs w:val="24"/>
        </w:rPr>
        <w:t xml:space="preserve">, F., &amp; </w:t>
      </w:r>
      <w:proofErr w:type="spellStart"/>
      <w:r>
        <w:rPr>
          <w:rFonts w:ascii="Times New Roman" w:hAnsi="Times New Roman" w:cs="Times New Roman"/>
          <w:sz w:val="24"/>
          <w:szCs w:val="24"/>
        </w:rPr>
        <w:t>Mohiuddin</w:t>
      </w:r>
      <w:proofErr w:type="spellEnd"/>
      <w:r>
        <w:rPr>
          <w:rFonts w:ascii="Times New Roman" w:hAnsi="Times New Roman" w:cs="Times New Roman"/>
          <w:sz w:val="24"/>
          <w:szCs w:val="24"/>
        </w:rPr>
        <w:t xml:space="preserve">, F. (2022). The enigma of the central–local government relationship and its impact on property tax administration in developing countries. Institute of Development Studies. </w:t>
      </w:r>
      <w:hyperlink r:id="rId21" w:history="1">
        <w:r>
          <w:rPr>
            <w:rStyle w:val="Hyperlink"/>
            <w:rFonts w:ascii="Times New Roman" w:hAnsi="Times New Roman" w:cs="Times New Roman"/>
            <w:sz w:val="24"/>
            <w:szCs w:val="24"/>
          </w:rPr>
          <w:t>https://doi.org/10.19088/ICTD.2022.018</w:t>
        </w:r>
      </w:hyperlink>
    </w:p>
    <w:p w14:paraId="14DA5104" w14:textId="77777777" w:rsidR="00A102D6" w:rsidRDefault="002379B8">
      <w:pPr>
        <w:ind w:left="360"/>
        <w:rPr>
          <w:rFonts w:ascii="Times New Roman" w:hAnsi="Times New Roman" w:cs="Times New Roman"/>
          <w:sz w:val="24"/>
          <w:szCs w:val="24"/>
        </w:rPr>
      </w:pPr>
      <w:r>
        <w:rPr>
          <w:rFonts w:ascii="Times New Roman" w:hAnsi="Times New Roman" w:cs="Times New Roman"/>
          <w:sz w:val="24"/>
          <w:szCs w:val="24"/>
        </w:rPr>
        <w:t xml:space="preserve">Owens, P., &amp; </w:t>
      </w:r>
      <w:proofErr w:type="spellStart"/>
      <w:r>
        <w:rPr>
          <w:rFonts w:ascii="Times New Roman" w:hAnsi="Times New Roman" w:cs="Times New Roman"/>
          <w:sz w:val="24"/>
          <w:szCs w:val="24"/>
        </w:rPr>
        <w:t>Hodžić</w:t>
      </w:r>
      <w:proofErr w:type="spellEnd"/>
      <w:r>
        <w:rPr>
          <w:rFonts w:ascii="Times New Roman" w:hAnsi="Times New Roman" w:cs="Times New Roman"/>
          <w:sz w:val="24"/>
          <w:szCs w:val="24"/>
        </w:rPr>
        <w:t xml:space="preserve">, A. (2022).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technology: Potential for digital tax administration. </w:t>
      </w:r>
      <w:proofErr w:type="spellStart"/>
      <w:r>
        <w:rPr>
          <w:rFonts w:ascii="Times New Roman" w:hAnsi="Times New Roman" w:cs="Times New Roman"/>
          <w:sz w:val="24"/>
          <w:szCs w:val="24"/>
        </w:rPr>
        <w:t>Intertax</w:t>
      </w:r>
      <w:proofErr w:type="spellEnd"/>
      <w:r>
        <w:rPr>
          <w:rFonts w:ascii="Times New Roman" w:hAnsi="Times New Roman" w:cs="Times New Roman"/>
          <w:sz w:val="24"/>
          <w:szCs w:val="24"/>
        </w:rPr>
        <w:t>, 50(11), 907–915. https://doi.org/10.54648/taxi2022056</w:t>
      </w:r>
    </w:p>
    <w:p w14:paraId="1662D368" w14:textId="77777777" w:rsidR="00A102D6" w:rsidRDefault="002379B8">
      <w:pPr>
        <w:ind w:left="360"/>
        <w:rPr>
          <w:rFonts w:ascii="Times New Roman" w:hAnsi="Times New Roman" w:cs="Times New Roman"/>
          <w:sz w:val="24"/>
          <w:szCs w:val="24"/>
        </w:rPr>
      </w:pPr>
      <w:r>
        <w:rPr>
          <w:rFonts w:ascii="Times New Roman" w:hAnsi="Times New Roman" w:cs="Times New Roman"/>
          <w:sz w:val="24"/>
          <w:szCs w:val="24"/>
        </w:rPr>
        <w:t>Rodríg</w:t>
      </w:r>
      <w:r>
        <w:rPr>
          <w:rFonts w:ascii="Times New Roman" w:hAnsi="Times New Roman" w:cs="Times New Roman"/>
          <w:sz w:val="24"/>
          <w:szCs w:val="24"/>
        </w:rPr>
        <w:t>uez-</w:t>
      </w:r>
      <w:proofErr w:type="spellStart"/>
      <w:r>
        <w:rPr>
          <w:rFonts w:ascii="Times New Roman" w:hAnsi="Times New Roman" w:cs="Times New Roman"/>
          <w:sz w:val="24"/>
          <w:szCs w:val="24"/>
        </w:rPr>
        <w:t>Aros</w:t>
      </w:r>
      <w:proofErr w:type="spellEnd"/>
      <w:r>
        <w:rPr>
          <w:rFonts w:ascii="Times New Roman" w:hAnsi="Times New Roman" w:cs="Times New Roman"/>
          <w:sz w:val="24"/>
          <w:szCs w:val="24"/>
        </w:rPr>
        <w:t xml:space="preserve">, M. L. (2023).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implementation in taxation: A case study of EU VAT. Journal of Enterprise Information Management, 36(5), 1120–1137. </w:t>
      </w:r>
    </w:p>
    <w:p w14:paraId="68550529" w14:textId="77777777" w:rsidR="00A102D6" w:rsidRDefault="002379B8">
      <w:pPr>
        <w:ind w:left="360"/>
        <w:rPr>
          <w:rFonts w:ascii="Times New Roman" w:hAnsi="Times New Roman" w:cs="Times New Roman"/>
          <w:sz w:val="24"/>
          <w:szCs w:val="24"/>
        </w:rPr>
      </w:pPr>
      <w:proofErr w:type="spellStart"/>
      <w:r>
        <w:rPr>
          <w:rFonts w:ascii="Times New Roman" w:hAnsi="Times New Roman" w:cs="Times New Roman"/>
          <w:sz w:val="24"/>
          <w:szCs w:val="24"/>
        </w:rPr>
        <w:t>Saptono</w:t>
      </w:r>
      <w:proofErr w:type="spellEnd"/>
      <w:r>
        <w:rPr>
          <w:rFonts w:ascii="Times New Roman" w:hAnsi="Times New Roman" w:cs="Times New Roman"/>
          <w:sz w:val="24"/>
          <w:szCs w:val="24"/>
        </w:rPr>
        <w:t xml:space="preserve">, P. B., Mahmud, G., </w:t>
      </w:r>
      <w:proofErr w:type="spellStart"/>
      <w:r>
        <w:rPr>
          <w:rFonts w:ascii="Times New Roman" w:hAnsi="Times New Roman" w:cs="Times New Roman"/>
          <w:sz w:val="24"/>
          <w:szCs w:val="24"/>
        </w:rPr>
        <w:t>Salleh</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Pratiwi</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Purwanto</w:t>
      </w:r>
      <w:proofErr w:type="spellEnd"/>
      <w:r>
        <w:rPr>
          <w:rFonts w:ascii="Times New Roman" w:hAnsi="Times New Roman" w:cs="Times New Roman"/>
          <w:sz w:val="24"/>
          <w:szCs w:val="24"/>
        </w:rPr>
        <w:t xml:space="preserve">, D., &amp; </w:t>
      </w:r>
      <w:proofErr w:type="spellStart"/>
      <w:r>
        <w:rPr>
          <w:rFonts w:ascii="Times New Roman" w:hAnsi="Times New Roman" w:cs="Times New Roman"/>
          <w:sz w:val="24"/>
          <w:szCs w:val="24"/>
        </w:rPr>
        <w:t>Khozen</w:t>
      </w:r>
      <w:proofErr w:type="spellEnd"/>
      <w:r>
        <w:rPr>
          <w:rFonts w:ascii="Times New Roman" w:hAnsi="Times New Roman" w:cs="Times New Roman"/>
          <w:sz w:val="24"/>
          <w:szCs w:val="24"/>
        </w:rPr>
        <w:t>, I. (2024). Tax complexity a</w:t>
      </w:r>
      <w:r>
        <w:rPr>
          <w:rFonts w:ascii="Times New Roman" w:hAnsi="Times New Roman" w:cs="Times New Roman"/>
          <w:sz w:val="24"/>
          <w:szCs w:val="24"/>
        </w:rPr>
        <w:t xml:space="preserve">nd firm tax evasion: A cross-country investigation. Economies, 12(5), 97. </w:t>
      </w:r>
      <w:hyperlink r:id="rId22" w:tgtFrame="_new" w:history="1">
        <w:r>
          <w:rPr>
            <w:rStyle w:val="Hyperlink"/>
            <w:rFonts w:ascii="Times New Roman" w:hAnsi="Times New Roman" w:cs="Times New Roman"/>
            <w:sz w:val="24"/>
            <w:szCs w:val="24"/>
          </w:rPr>
          <w:t>https://doi.org/10.3390/economies12050097</w:t>
        </w:r>
      </w:hyperlink>
    </w:p>
    <w:p w14:paraId="20B3E192" w14:textId="77777777" w:rsidR="00A102D6" w:rsidRDefault="002379B8">
      <w:pPr>
        <w:ind w:left="360"/>
        <w:rPr>
          <w:rFonts w:ascii="Times New Roman" w:hAnsi="Times New Roman" w:cs="Times New Roman"/>
          <w:sz w:val="24"/>
          <w:szCs w:val="24"/>
        </w:rPr>
      </w:pPr>
      <w:proofErr w:type="spellStart"/>
      <w:r>
        <w:rPr>
          <w:rFonts w:ascii="Times New Roman" w:hAnsi="Times New Roman" w:cs="Times New Roman"/>
          <w:sz w:val="24"/>
          <w:szCs w:val="24"/>
        </w:rPr>
        <w:t>Schletz</w:t>
      </w:r>
      <w:proofErr w:type="spellEnd"/>
      <w:r>
        <w:rPr>
          <w:rFonts w:ascii="Times New Roman" w:hAnsi="Times New Roman" w:cs="Times New Roman"/>
          <w:sz w:val="24"/>
          <w:szCs w:val="24"/>
        </w:rPr>
        <w:t xml:space="preserve">, M. C. (2021). Radical innovation for the Paris Agreement – A </w:t>
      </w:r>
      <w:proofErr w:type="spellStart"/>
      <w:r>
        <w:rPr>
          <w:rFonts w:ascii="Times New Roman" w:hAnsi="Times New Roman" w:cs="Times New Roman"/>
          <w:sz w:val="24"/>
          <w:szCs w:val="24"/>
        </w:rPr>
        <w:t>bl</w:t>
      </w:r>
      <w:r>
        <w:rPr>
          <w:rFonts w:ascii="Times New Roman" w:hAnsi="Times New Roman" w:cs="Times New Roman"/>
          <w:sz w:val="24"/>
          <w:szCs w:val="24"/>
        </w:rPr>
        <w:t>ockchain</w:t>
      </w:r>
      <w:proofErr w:type="spellEnd"/>
      <w:r>
        <w:rPr>
          <w:rFonts w:ascii="Times New Roman" w:hAnsi="Times New Roman" w:cs="Times New Roman"/>
          <w:sz w:val="24"/>
          <w:szCs w:val="24"/>
        </w:rPr>
        <w:t xml:space="preserve"> technology adoption perspective.</w:t>
      </w:r>
    </w:p>
    <w:p w14:paraId="2FE15231" w14:textId="77777777" w:rsidR="00A102D6" w:rsidRDefault="002379B8">
      <w:pPr>
        <w:ind w:left="360"/>
        <w:rPr>
          <w:rFonts w:ascii="Times New Roman" w:hAnsi="Times New Roman" w:cs="Times New Roman"/>
          <w:sz w:val="24"/>
          <w:szCs w:val="24"/>
        </w:rPr>
      </w:pPr>
      <w:r>
        <w:rPr>
          <w:rFonts w:ascii="Times New Roman" w:hAnsi="Times New Roman" w:cs="Times New Roman"/>
          <w:sz w:val="24"/>
          <w:szCs w:val="24"/>
        </w:rPr>
        <w:t xml:space="preserve">Schmitz, J., &amp; Leoni, G. (2019). Accounting and auditing at the time of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technology: A research agenda. Australian Accounting Review, 29(2), 331–342. https://doi.org/10.1111/auar.12286</w:t>
      </w:r>
    </w:p>
    <w:p w14:paraId="721AE575" w14:textId="77777777" w:rsidR="00A102D6" w:rsidRDefault="002379B8">
      <w:pPr>
        <w:ind w:left="360"/>
        <w:rPr>
          <w:rFonts w:ascii="Times New Roman" w:hAnsi="Times New Roman" w:cs="Times New Roman"/>
          <w:sz w:val="24"/>
          <w:szCs w:val="24"/>
        </w:rPr>
      </w:pPr>
      <w:proofErr w:type="spellStart"/>
      <w:r>
        <w:rPr>
          <w:rFonts w:ascii="Times New Roman" w:hAnsi="Times New Roman" w:cs="Times New Roman"/>
          <w:sz w:val="24"/>
          <w:szCs w:val="24"/>
        </w:rPr>
        <w:lastRenderedPageBreak/>
        <w:t>Semenzin</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Rozas</w:t>
      </w:r>
      <w:proofErr w:type="spellEnd"/>
      <w:r>
        <w:rPr>
          <w:rFonts w:ascii="Times New Roman" w:hAnsi="Times New Roman" w:cs="Times New Roman"/>
          <w:sz w:val="24"/>
          <w:szCs w:val="24"/>
        </w:rPr>
        <w:t xml:space="preserve">, D., &amp; Hassan, S. (2022).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-based application at a governmental level: Disruption or illusion? The case of Estonia. Policy &amp; Society, 41(4), 540–555. https://doi.org/10.1093/polsoc/puac014</w:t>
      </w:r>
    </w:p>
    <w:p w14:paraId="0CE1BA89" w14:textId="77777777" w:rsidR="00A102D6" w:rsidRDefault="002379B8">
      <w:pPr>
        <w:ind w:left="360"/>
        <w:rPr>
          <w:rFonts w:ascii="Times New Roman" w:hAnsi="Times New Roman" w:cs="Times New Roman"/>
          <w:sz w:val="24"/>
          <w:szCs w:val="24"/>
        </w:rPr>
      </w:pPr>
      <w:proofErr w:type="spellStart"/>
      <w:r>
        <w:rPr>
          <w:rFonts w:ascii="Times New Roman" w:hAnsi="Times New Roman" w:cs="Times New Roman"/>
          <w:sz w:val="24"/>
          <w:szCs w:val="24"/>
        </w:rPr>
        <w:t>Slemrod</w:t>
      </w:r>
      <w:proofErr w:type="spellEnd"/>
      <w:r>
        <w:rPr>
          <w:rFonts w:ascii="Times New Roman" w:hAnsi="Times New Roman" w:cs="Times New Roman"/>
          <w:sz w:val="24"/>
          <w:szCs w:val="24"/>
        </w:rPr>
        <w:t xml:space="preserve">, J. (2019). Tax compliance and enforcement. </w:t>
      </w:r>
      <w:r>
        <w:rPr>
          <w:rFonts w:ascii="Times New Roman" w:hAnsi="Times New Roman" w:cs="Times New Roman"/>
          <w:sz w:val="24"/>
          <w:szCs w:val="24"/>
        </w:rPr>
        <w:t>Journal of Economic Literature, 57(4), 904–954. https://doi.org/10.1257/jel.20181437</w:t>
      </w:r>
    </w:p>
    <w:p w14:paraId="4ABDC527" w14:textId="77777777" w:rsidR="00A102D6" w:rsidRDefault="002379B8">
      <w:pPr>
        <w:ind w:left="360"/>
        <w:rPr>
          <w:rFonts w:ascii="Times New Roman" w:hAnsi="Times New Roman" w:cs="Times New Roman"/>
          <w:sz w:val="24"/>
          <w:szCs w:val="24"/>
        </w:rPr>
      </w:pPr>
      <w:commentRangeStart w:id="34"/>
      <w:proofErr w:type="spellStart"/>
      <w:r>
        <w:rPr>
          <w:rFonts w:ascii="Times New Roman" w:hAnsi="Times New Roman" w:cs="Times New Roman"/>
          <w:sz w:val="24"/>
          <w:szCs w:val="24"/>
        </w:rPr>
        <w:t>Slemrod</w:t>
      </w:r>
      <w:proofErr w:type="spellEnd"/>
      <w:r>
        <w:rPr>
          <w:rFonts w:ascii="Times New Roman" w:hAnsi="Times New Roman" w:cs="Times New Roman"/>
          <w:sz w:val="24"/>
          <w:szCs w:val="24"/>
        </w:rPr>
        <w:t>, J. (2019). Tax compliance and enforcement. Journal of Economic Literature, 57(4), 904–954. https://doi.org/10.1257/jel.20181437</w:t>
      </w:r>
      <w:commentRangeEnd w:id="34"/>
      <w:r w:rsidR="0024401B">
        <w:rPr>
          <w:rStyle w:val="CommentReference"/>
        </w:rPr>
        <w:commentReference w:id="34"/>
      </w:r>
    </w:p>
    <w:p w14:paraId="6D414986" w14:textId="77777777" w:rsidR="00A102D6" w:rsidRDefault="002379B8">
      <w:pPr>
        <w:ind w:left="360"/>
        <w:rPr>
          <w:rFonts w:ascii="Times New Roman" w:hAnsi="Times New Roman" w:cs="Times New Roman"/>
          <w:sz w:val="24"/>
          <w:szCs w:val="24"/>
        </w:rPr>
      </w:pPr>
      <w:commentRangeStart w:id="35"/>
      <w:proofErr w:type="gramStart"/>
      <w:r>
        <w:rPr>
          <w:rFonts w:ascii="Times New Roman" w:hAnsi="Times New Roman" w:cs="Times New Roman"/>
          <w:sz w:val="24"/>
          <w:szCs w:val="24"/>
        </w:rPr>
        <w:t>technological</w:t>
      </w:r>
      <w:commentRangeEnd w:id="35"/>
      <w:proofErr w:type="gramEnd"/>
      <w:r w:rsidR="0024401B">
        <w:rPr>
          <w:rStyle w:val="CommentReference"/>
        </w:rPr>
        <w:commentReference w:id="35"/>
      </w:r>
      <w:r>
        <w:rPr>
          <w:rFonts w:ascii="Times New Roman" w:hAnsi="Times New Roman" w:cs="Times New Roman"/>
          <w:sz w:val="24"/>
          <w:szCs w:val="24"/>
        </w:rPr>
        <w:t xml:space="preserve"> advancements on audi</w:t>
      </w:r>
      <w:r>
        <w:rPr>
          <w:rFonts w:ascii="Times New Roman" w:hAnsi="Times New Roman" w:cs="Times New Roman"/>
          <w:sz w:val="24"/>
          <w:szCs w:val="24"/>
        </w:rPr>
        <w:t xml:space="preserve">ting of financial statements. </w:t>
      </w:r>
    </w:p>
    <w:p w14:paraId="7CAE8A25" w14:textId="77777777" w:rsidR="00A102D6" w:rsidRDefault="002379B8">
      <w:pPr>
        <w:ind w:left="360"/>
        <w:rPr>
          <w:rFonts w:ascii="Times New Roman" w:hAnsi="Times New Roman" w:cs="Times New Roman"/>
          <w:sz w:val="24"/>
          <w:szCs w:val="24"/>
        </w:rPr>
      </w:pPr>
      <w:proofErr w:type="spellStart"/>
      <w:r>
        <w:rPr>
          <w:rFonts w:ascii="Times New Roman" w:hAnsi="Times New Roman" w:cs="Times New Roman"/>
          <w:sz w:val="24"/>
          <w:szCs w:val="24"/>
        </w:rPr>
        <w:t>Wołowiec</w:t>
      </w:r>
      <w:proofErr w:type="spellEnd"/>
      <w:r>
        <w:rPr>
          <w:rFonts w:ascii="Times New Roman" w:hAnsi="Times New Roman" w:cs="Times New Roman"/>
          <w:sz w:val="24"/>
          <w:szCs w:val="24"/>
        </w:rPr>
        <w:t xml:space="preserve">, T. (2018). The concept of real estate taxation based on the ad valorem principle. International Journal of New Economics and Social Sciences, 8(2), 81-108. </w:t>
      </w:r>
      <w:hyperlink r:id="rId23" w:tgtFrame="_blank" w:history="1">
        <w:r>
          <w:rPr>
            <w:rStyle w:val="Hyperlink"/>
            <w:rFonts w:ascii="Times New Roman" w:hAnsi="Times New Roman" w:cs="Times New Roman"/>
            <w:sz w:val="24"/>
            <w:szCs w:val="24"/>
          </w:rPr>
          <w:t>CEJSH</w:t>
        </w:r>
      </w:hyperlink>
    </w:p>
    <w:p w14:paraId="4EF6A002" w14:textId="77777777" w:rsidR="00A102D6" w:rsidRDefault="002379B8">
      <w:pPr>
        <w:ind w:left="360"/>
        <w:rPr>
          <w:rFonts w:ascii="Times New Roman" w:hAnsi="Times New Roman" w:cs="Times New Roman"/>
          <w:sz w:val="24"/>
          <w:szCs w:val="24"/>
        </w:rPr>
      </w:pPr>
      <w:r>
        <w:rPr>
          <w:rFonts w:ascii="Times New Roman" w:hAnsi="Times New Roman" w:cs="Times New Roman"/>
          <w:sz w:val="24"/>
          <w:szCs w:val="24"/>
        </w:rPr>
        <w:t xml:space="preserve">Xu, M., Chen, X., &amp; Kou, G. (2019). A systematic review of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Financial Innovation, 5(27), 1–14. https://doi.org/10.1186/s40854-019-0147-z</w:t>
      </w:r>
    </w:p>
    <w:p w14:paraId="66653C39" w14:textId="77777777" w:rsidR="00A102D6" w:rsidRDefault="002379B8">
      <w:pPr>
        <w:ind w:left="360"/>
        <w:rPr>
          <w:rFonts w:ascii="Times New Roman" w:hAnsi="Times New Roman" w:cs="Times New Roman"/>
          <w:sz w:val="24"/>
          <w:szCs w:val="24"/>
        </w:rPr>
      </w:pPr>
      <w:r>
        <w:rPr>
          <w:rFonts w:ascii="Times New Roman" w:hAnsi="Times New Roman" w:cs="Times New Roman"/>
          <w:sz w:val="24"/>
          <w:szCs w:val="24"/>
        </w:rPr>
        <w:t xml:space="preserve">Xu, Y., </w:t>
      </w:r>
      <w:r>
        <w:rPr>
          <w:rFonts w:ascii="Times New Roman" w:hAnsi="Times New Roman" w:cs="Times New Roman"/>
          <w:sz w:val="24"/>
          <w:szCs w:val="24"/>
        </w:rPr>
        <w:t xml:space="preserve">&amp; Zhang, Z. (2022).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and its implications for tax administration in the People’s Republic of China. In G. M. </w:t>
      </w:r>
      <w:proofErr w:type="spellStart"/>
      <w:r>
        <w:rPr>
          <w:rFonts w:ascii="Times New Roman" w:hAnsi="Times New Roman" w:cs="Times New Roman"/>
          <w:sz w:val="24"/>
          <w:szCs w:val="24"/>
        </w:rPr>
        <w:t>Mintz</w:t>
      </w:r>
      <w:proofErr w:type="spellEnd"/>
      <w:r>
        <w:rPr>
          <w:rFonts w:ascii="Times New Roman" w:hAnsi="Times New Roman" w:cs="Times New Roman"/>
          <w:sz w:val="24"/>
          <w:szCs w:val="24"/>
        </w:rPr>
        <w:t xml:space="preserve"> &amp; P. J. Melville (Eds.), Taxation in the digital economy (pp. 128–149). Routledge. https://doi.org/10.4324/9781003196020-9</w:t>
      </w:r>
    </w:p>
    <w:p w14:paraId="54C44C32" w14:textId="77777777" w:rsidR="00A102D6" w:rsidRDefault="002379B8">
      <w:pPr>
        <w:ind w:left="360"/>
        <w:rPr>
          <w:rFonts w:ascii="Times New Roman" w:hAnsi="Times New Roman" w:cs="Times New Roman"/>
          <w:sz w:val="24"/>
          <w:szCs w:val="24"/>
        </w:rPr>
      </w:pPr>
      <w:proofErr w:type="spellStart"/>
      <w:r>
        <w:rPr>
          <w:rFonts w:ascii="Times New Roman" w:hAnsi="Times New Roman" w:cs="Times New Roman"/>
          <w:sz w:val="24"/>
          <w:szCs w:val="24"/>
        </w:rPr>
        <w:t>Yermack</w:t>
      </w:r>
      <w:proofErr w:type="spellEnd"/>
      <w:r>
        <w:rPr>
          <w:rFonts w:ascii="Times New Roman" w:hAnsi="Times New Roman" w:cs="Times New Roman"/>
          <w:sz w:val="24"/>
          <w:szCs w:val="24"/>
        </w:rPr>
        <w:t>,</w:t>
      </w:r>
      <w:r>
        <w:rPr>
          <w:rFonts w:ascii="Times New Roman" w:hAnsi="Times New Roman" w:cs="Times New Roman"/>
          <w:sz w:val="24"/>
          <w:szCs w:val="24"/>
        </w:rPr>
        <w:t xml:space="preserve"> D. (2017). Corporate governance and </w:t>
      </w:r>
      <w:proofErr w:type="spellStart"/>
      <w:r>
        <w:rPr>
          <w:rFonts w:ascii="Times New Roman" w:hAnsi="Times New Roman" w:cs="Times New Roman"/>
          <w:sz w:val="24"/>
          <w:szCs w:val="24"/>
        </w:rPr>
        <w:t>blockchains</w:t>
      </w:r>
      <w:proofErr w:type="spellEnd"/>
      <w:r>
        <w:rPr>
          <w:rFonts w:ascii="Times New Roman" w:hAnsi="Times New Roman" w:cs="Times New Roman"/>
          <w:sz w:val="24"/>
          <w:szCs w:val="24"/>
        </w:rPr>
        <w:t>. Review of Finance, 21(1), 7–31. https://doi.org/10.1093/rof/rfw074</w:t>
      </w:r>
    </w:p>
    <w:p w14:paraId="09ABECD0" w14:textId="77777777" w:rsidR="00A102D6" w:rsidRDefault="002379B8">
      <w:pPr>
        <w:pStyle w:val="NormalWeb"/>
        <w:ind w:left="360"/>
      </w:pPr>
      <w:commentRangeStart w:id="36"/>
      <w:r>
        <w:t xml:space="preserve">Georgiou, I., </w:t>
      </w:r>
      <w:proofErr w:type="spellStart"/>
      <w:r>
        <w:t>Sapuric</w:t>
      </w:r>
      <w:proofErr w:type="spellEnd"/>
      <w:r>
        <w:t xml:space="preserve">, S., Lois, P., </w:t>
      </w:r>
      <w:proofErr w:type="spellStart"/>
      <w:r>
        <w:t>Thrassou</w:t>
      </w:r>
      <w:proofErr w:type="spellEnd"/>
      <w:r>
        <w:t xml:space="preserve">, A., &amp; </w:t>
      </w:r>
      <w:proofErr w:type="spellStart"/>
      <w:r>
        <w:t>Vrontis</w:t>
      </w:r>
      <w:proofErr w:type="spellEnd"/>
      <w:r>
        <w:t xml:space="preserve">, D. (2024). </w:t>
      </w:r>
      <w:proofErr w:type="spellStart"/>
      <w:r>
        <w:t>Blockchain</w:t>
      </w:r>
      <w:proofErr w:type="spellEnd"/>
      <w:r>
        <w:t xml:space="preserve"> for accounting and auditing Accounting and auditing for</w:t>
      </w:r>
      <w:r>
        <w:t xml:space="preserve"> cryptocurrencies: A systematic literature review and future research directions. </w:t>
      </w:r>
      <w:r>
        <w:rPr>
          <w:rStyle w:val="Emphasis"/>
          <w:rFonts w:eastAsiaTheme="majorEastAsia"/>
          <w:i w:val="0"/>
          <w:iCs w:val="0"/>
        </w:rPr>
        <w:t>Journal of Risk and Financial Management, 17</w:t>
      </w:r>
      <w:r>
        <w:t>(7), 276. https://doi.org/10.3390/jrfm17070276</w:t>
      </w:r>
      <w:commentRangeEnd w:id="36"/>
      <w:r w:rsidR="00E17670">
        <w:rPr>
          <w:rStyle w:val="CommentReference"/>
          <w:rFonts w:asciiTheme="minorHAnsi" w:eastAsiaTheme="minorEastAsia" w:hAnsiTheme="minorHAnsi" w:cstheme="minorBidi"/>
        </w:rPr>
        <w:commentReference w:id="36"/>
      </w:r>
    </w:p>
    <w:p w14:paraId="23A8A874" w14:textId="77777777" w:rsidR="00A102D6" w:rsidRDefault="002379B8">
      <w:pPr>
        <w:pStyle w:val="NormalWeb"/>
        <w:ind w:left="360"/>
      </w:pPr>
      <w:proofErr w:type="spellStart"/>
      <w:r>
        <w:t>Nakamoto</w:t>
      </w:r>
      <w:proofErr w:type="spellEnd"/>
      <w:r>
        <w:t>, S. (2008). Bitcoin: A peer-to-peer electronic cash system. Retrieved from</w:t>
      </w:r>
      <w:r>
        <w:t xml:space="preserve"> https://bitcoin.org/bitcoin.pdf</w:t>
      </w:r>
    </w:p>
    <w:p w14:paraId="18532928" w14:textId="77777777" w:rsidR="00A102D6" w:rsidRDefault="002379B8">
      <w:pPr>
        <w:pStyle w:val="NormalWeb"/>
        <w:ind w:left="360"/>
      </w:pPr>
      <w:r>
        <w:t xml:space="preserve">Pimentel, E., &amp; </w:t>
      </w:r>
      <w:proofErr w:type="spellStart"/>
      <w:r>
        <w:t>Boulianne</w:t>
      </w:r>
      <w:proofErr w:type="spellEnd"/>
      <w:r>
        <w:t xml:space="preserve">, E. (2020). </w:t>
      </w:r>
      <w:proofErr w:type="spellStart"/>
      <w:r>
        <w:t>Blockchain</w:t>
      </w:r>
      <w:proofErr w:type="spellEnd"/>
      <w:r>
        <w:t xml:space="preserve"> in accounting research: Current trends and emerging topics. </w:t>
      </w:r>
      <w:r>
        <w:rPr>
          <w:rStyle w:val="Emphasis"/>
          <w:rFonts w:eastAsiaTheme="majorEastAsia"/>
          <w:i w:val="0"/>
          <w:iCs w:val="0"/>
        </w:rPr>
        <w:t>Accounting Perspectives, 19</w:t>
      </w:r>
      <w:r>
        <w:t>(3), 325–361. https://doi.org/10.1111/1911-3838.12239</w:t>
      </w:r>
    </w:p>
    <w:p w14:paraId="495EB427" w14:textId="77777777" w:rsidR="00A102D6" w:rsidRDefault="002379B8">
      <w:pPr>
        <w:pStyle w:val="NormalWeb"/>
        <w:ind w:left="360"/>
      </w:pPr>
      <w:commentRangeStart w:id="37"/>
      <w:r>
        <w:t>Rodríguez-</w:t>
      </w:r>
      <w:proofErr w:type="spellStart"/>
      <w:r>
        <w:t>Aros</w:t>
      </w:r>
      <w:proofErr w:type="spellEnd"/>
      <w:r>
        <w:t xml:space="preserve">, M. L. (2023). </w:t>
      </w:r>
      <w:proofErr w:type="spellStart"/>
      <w:r>
        <w:t>Blockchain</w:t>
      </w:r>
      <w:proofErr w:type="spellEnd"/>
      <w:r>
        <w:t xml:space="preserve"> implementation in taxation: A case study of EU VAT. </w:t>
      </w:r>
      <w:r>
        <w:rPr>
          <w:rStyle w:val="Emphasis"/>
          <w:rFonts w:eastAsiaTheme="majorEastAsia"/>
          <w:i w:val="0"/>
          <w:iCs w:val="0"/>
        </w:rPr>
        <w:t>Journal of Enterprise Information Management, 36</w:t>
      </w:r>
      <w:r>
        <w:t xml:space="preserve">(5), 1120–1137. </w:t>
      </w:r>
      <w:commentRangeEnd w:id="37"/>
      <w:r w:rsidR="00E17670">
        <w:rPr>
          <w:rStyle w:val="CommentReference"/>
          <w:rFonts w:asciiTheme="minorHAnsi" w:eastAsiaTheme="minorEastAsia" w:hAnsiTheme="minorHAnsi" w:cstheme="minorBidi"/>
        </w:rPr>
        <w:commentReference w:id="37"/>
      </w:r>
    </w:p>
    <w:p w14:paraId="51322717" w14:textId="77777777" w:rsidR="00A102D6" w:rsidRDefault="002379B8">
      <w:pPr>
        <w:pStyle w:val="NormalWeb"/>
        <w:ind w:left="360"/>
      </w:pPr>
      <w:commentRangeStart w:id="38"/>
      <w:proofErr w:type="spellStart"/>
      <w:r>
        <w:t>Semenzin</w:t>
      </w:r>
      <w:proofErr w:type="spellEnd"/>
      <w:r>
        <w:t xml:space="preserve">, S., </w:t>
      </w:r>
      <w:proofErr w:type="spellStart"/>
      <w:r>
        <w:t>Rozas</w:t>
      </w:r>
      <w:proofErr w:type="spellEnd"/>
      <w:r>
        <w:t xml:space="preserve">, D., &amp; Hassan, S. (2022). </w:t>
      </w:r>
      <w:proofErr w:type="spellStart"/>
      <w:r>
        <w:t>Blockchain</w:t>
      </w:r>
      <w:proofErr w:type="spellEnd"/>
      <w:r>
        <w:t>-based application at a governmental level</w:t>
      </w:r>
      <w:r>
        <w:t xml:space="preserve">: Disruption or illusion? The case of Estonia. </w:t>
      </w:r>
      <w:r>
        <w:rPr>
          <w:rStyle w:val="Emphasis"/>
          <w:rFonts w:eastAsiaTheme="majorEastAsia"/>
          <w:i w:val="0"/>
          <w:iCs w:val="0"/>
        </w:rPr>
        <w:t>Policy &amp; Society, 41</w:t>
      </w:r>
      <w:r>
        <w:t>(4), 540–555. https://doi.org/10.1093/polsoc/puac014</w:t>
      </w:r>
      <w:commentRangeEnd w:id="38"/>
      <w:r w:rsidR="00E17670">
        <w:rPr>
          <w:rStyle w:val="CommentReference"/>
          <w:rFonts w:asciiTheme="minorHAnsi" w:eastAsiaTheme="minorEastAsia" w:hAnsiTheme="minorHAnsi" w:cstheme="minorBidi"/>
        </w:rPr>
        <w:commentReference w:id="38"/>
      </w:r>
    </w:p>
    <w:p w14:paraId="0C127EEA" w14:textId="77777777" w:rsidR="00A102D6" w:rsidRDefault="002379B8">
      <w:pPr>
        <w:pStyle w:val="NormalWeb"/>
        <w:ind w:left="360"/>
      </w:pPr>
      <w:proofErr w:type="spellStart"/>
      <w:r>
        <w:lastRenderedPageBreak/>
        <w:t>Tapscott</w:t>
      </w:r>
      <w:proofErr w:type="spellEnd"/>
      <w:r>
        <w:t xml:space="preserve">, D., &amp; </w:t>
      </w:r>
      <w:proofErr w:type="spellStart"/>
      <w:r>
        <w:t>Tapscott</w:t>
      </w:r>
      <w:proofErr w:type="spellEnd"/>
      <w:r>
        <w:t xml:space="preserve">, A. (2016). </w:t>
      </w:r>
      <w:proofErr w:type="spellStart"/>
      <w:r>
        <w:rPr>
          <w:rStyle w:val="Emphasis"/>
          <w:rFonts w:eastAsiaTheme="majorEastAsia"/>
          <w:i w:val="0"/>
          <w:iCs w:val="0"/>
        </w:rPr>
        <w:t>Blockchain</w:t>
      </w:r>
      <w:proofErr w:type="spellEnd"/>
      <w:r>
        <w:rPr>
          <w:rStyle w:val="Emphasis"/>
          <w:rFonts w:eastAsiaTheme="majorEastAsia"/>
          <w:i w:val="0"/>
          <w:iCs w:val="0"/>
        </w:rPr>
        <w:t xml:space="preserve"> revolution: How the technology behind bitcoin and other cryptocurrencies is changing the</w:t>
      </w:r>
      <w:r>
        <w:rPr>
          <w:rStyle w:val="Emphasis"/>
          <w:rFonts w:eastAsiaTheme="majorEastAsia"/>
          <w:i w:val="0"/>
          <w:iCs w:val="0"/>
        </w:rPr>
        <w:t xml:space="preserve"> world.</w:t>
      </w:r>
      <w:r>
        <w:t xml:space="preserve"> New York: Penguin.</w:t>
      </w:r>
    </w:p>
    <w:p w14:paraId="3C9B9D84" w14:textId="77777777" w:rsidR="00A102D6" w:rsidRDefault="002379B8">
      <w:pPr>
        <w:pStyle w:val="NormalWeb"/>
        <w:ind w:left="360"/>
      </w:pPr>
      <w:proofErr w:type="spellStart"/>
      <w:r>
        <w:t>Treleaven</w:t>
      </w:r>
      <w:proofErr w:type="spellEnd"/>
      <w:r>
        <w:t xml:space="preserve">, P., Brown, R. G., &amp; Yang, D. (2017). </w:t>
      </w:r>
      <w:proofErr w:type="spellStart"/>
      <w:r>
        <w:t>Blockchain</w:t>
      </w:r>
      <w:proofErr w:type="spellEnd"/>
      <w:r>
        <w:t xml:space="preserve"> technology in finance: The risk and opportunities. </w:t>
      </w:r>
      <w:r>
        <w:rPr>
          <w:rStyle w:val="Emphasis"/>
          <w:rFonts w:eastAsiaTheme="majorEastAsia"/>
          <w:i w:val="0"/>
          <w:iCs w:val="0"/>
        </w:rPr>
        <w:t>Computer, 50</w:t>
      </w:r>
      <w:r>
        <w:t>(9), 14–17. https://doi.org/10.1109/MC.2017.3571047</w:t>
      </w:r>
    </w:p>
    <w:p w14:paraId="38F6A7DF" w14:textId="77777777" w:rsidR="00A102D6" w:rsidRDefault="002379B8">
      <w:pPr>
        <w:pStyle w:val="NormalWeb"/>
        <w:ind w:left="360"/>
      </w:pPr>
      <w:commentRangeStart w:id="39"/>
      <w:proofErr w:type="spellStart"/>
      <w:r>
        <w:t>Yermack</w:t>
      </w:r>
      <w:proofErr w:type="spellEnd"/>
      <w:r>
        <w:t xml:space="preserve">, D. (2017). Corporate governance and </w:t>
      </w:r>
      <w:proofErr w:type="spellStart"/>
      <w:r>
        <w:t>blockchain</w:t>
      </w:r>
      <w:r>
        <w:t>s</w:t>
      </w:r>
      <w:proofErr w:type="spellEnd"/>
      <w:r>
        <w:t xml:space="preserve">. </w:t>
      </w:r>
      <w:r>
        <w:rPr>
          <w:rStyle w:val="Emphasis"/>
          <w:rFonts w:eastAsiaTheme="majorEastAsia"/>
          <w:i w:val="0"/>
          <w:iCs w:val="0"/>
        </w:rPr>
        <w:t>Review of Finance, 21</w:t>
      </w:r>
      <w:r>
        <w:t>(1), 7–31. https://doi.org/10.1093/rof/rfw074</w:t>
      </w:r>
      <w:commentRangeEnd w:id="39"/>
      <w:r w:rsidR="00E17670">
        <w:rPr>
          <w:rStyle w:val="CommentReference"/>
          <w:rFonts w:asciiTheme="minorHAnsi" w:eastAsiaTheme="minorEastAsia" w:hAnsiTheme="minorHAnsi" w:cstheme="minorBidi"/>
        </w:rPr>
        <w:commentReference w:id="39"/>
      </w:r>
    </w:p>
    <w:p w14:paraId="6992E476" w14:textId="77777777" w:rsidR="00A102D6" w:rsidRDefault="00A102D6">
      <w:pPr>
        <w:rPr>
          <w:rFonts w:ascii="Times New Roman" w:hAnsi="Times New Roman" w:cs="Times New Roman"/>
          <w:sz w:val="24"/>
          <w:szCs w:val="24"/>
        </w:rPr>
      </w:pPr>
    </w:p>
    <w:sectPr w:rsidR="00A102D6">
      <w:headerReference w:type="even" r:id="rId24"/>
      <w:headerReference w:type="default" r:id="rId25"/>
      <w:footerReference w:type="even" r:id="rId26"/>
      <w:footerReference w:type="default" r:id="rId27"/>
      <w:headerReference w:type="first" r:id="rId28"/>
      <w:footerReference w:type="first" r:id="rId29"/>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R KOLA FIJABI" w:date="2025-10-15T15:37:00Z" w:initials="M">
    <w:p w14:paraId="232A20C6" w14:textId="77777777" w:rsidR="00A102D6" w:rsidRDefault="002379B8">
      <w:pPr>
        <w:pStyle w:val="CommentText"/>
      </w:pPr>
      <w:r>
        <w:t>An abstract is written in past tense</w:t>
      </w:r>
    </w:p>
    <w:p w14:paraId="40436314" w14:textId="77777777" w:rsidR="00A102D6" w:rsidRDefault="00A102D6">
      <w:pPr>
        <w:pStyle w:val="CommentText"/>
      </w:pPr>
    </w:p>
    <w:p w14:paraId="15A83B64" w14:textId="77777777" w:rsidR="00A102D6" w:rsidRDefault="002379B8">
      <w:pPr>
        <w:pStyle w:val="CommentText"/>
      </w:pPr>
      <w:r>
        <w:t>The authors did not follow an abstract format which should include the following:</w:t>
      </w:r>
    </w:p>
    <w:p w14:paraId="3AA058D2" w14:textId="77777777" w:rsidR="00A102D6" w:rsidRDefault="002379B8">
      <w:pPr>
        <w:pStyle w:val="CommentText"/>
      </w:pPr>
      <w:r>
        <w:t>Objective of the study</w:t>
      </w:r>
    </w:p>
    <w:p w14:paraId="6B6A6FC2" w14:textId="77777777" w:rsidR="00A102D6" w:rsidRDefault="002379B8">
      <w:pPr>
        <w:pStyle w:val="CommentText"/>
      </w:pPr>
      <w:r>
        <w:t>Methodology</w:t>
      </w:r>
    </w:p>
    <w:p w14:paraId="27BA6736" w14:textId="77777777" w:rsidR="00A102D6" w:rsidRDefault="002379B8">
      <w:pPr>
        <w:pStyle w:val="CommentText"/>
      </w:pPr>
      <w:r>
        <w:t>Findings</w:t>
      </w:r>
    </w:p>
    <w:p w14:paraId="79FC09E2" w14:textId="77777777" w:rsidR="00A102D6" w:rsidRDefault="002379B8">
      <w:pPr>
        <w:pStyle w:val="CommentText"/>
      </w:pPr>
      <w:r>
        <w:t>Recommendation</w:t>
      </w:r>
    </w:p>
    <w:p w14:paraId="55A320E9" w14:textId="77777777" w:rsidR="00A102D6" w:rsidRDefault="00A102D6">
      <w:pPr>
        <w:pStyle w:val="CommentText"/>
      </w:pPr>
    </w:p>
    <w:p w14:paraId="2D194D60" w14:textId="3E939BF5" w:rsidR="00A102D6" w:rsidRDefault="002379B8">
      <w:pPr>
        <w:pStyle w:val="CommentText"/>
      </w:pPr>
      <w:r>
        <w:t>The authors</w:t>
      </w:r>
      <w:r w:rsidR="003A4D91">
        <w:t xml:space="preserve"> did not include</w:t>
      </w:r>
      <w:r>
        <w:t xml:space="preserve"> recommendation in this abstract</w:t>
      </w:r>
    </w:p>
    <w:p w14:paraId="240C5F0C" w14:textId="77777777" w:rsidR="00A102D6" w:rsidRDefault="00A102D6">
      <w:pPr>
        <w:pStyle w:val="CommentText"/>
      </w:pPr>
    </w:p>
  </w:comment>
  <w:comment w:id="1" w:author="MR KOLA FIJABI" w:date="2025-10-15T15:33:00Z" w:initials="M">
    <w:p w14:paraId="291F19F8" w14:textId="77777777" w:rsidR="00A102D6" w:rsidRDefault="002379B8">
      <w:pPr>
        <w:pStyle w:val="CommentText"/>
      </w:pPr>
      <w:proofErr w:type="gramStart"/>
      <w:r>
        <w:t>d</w:t>
      </w:r>
      <w:proofErr w:type="gramEnd"/>
    </w:p>
  </w:comment>
  <w:comment w:id="2" w:author="MR KOLA FIJABI" w:date="2025-10-15T15:33:00Z" w:initials="M">
    <w:p w14:paraId="5A5A29D6" w14:textId="77777777" w:rsidR="00A102D6" w:rsidRDefault="002379B8">
      <w:pPr>
        <w:pStyle w:val="CommentText"/>
      </w:pPr>
      <w:proofErr w:type="gramStart"/>
      <w:r>
        <w:t>could</w:t>
      </w:r>
      <w:proofErr w:type="gramEnd"/>
    </w:p>
  </w:comment>
  <w:comment w:id="3" w:author="MR KOLA FIJABI" w:date="2025-10-15T15:34:00Z" w:initials="M">
    <w:p w14:paraId="71C13947" w14:textId="77777777" w:rsidR="00A102D6" w:rsidRDefault="002379B8">
      <w:pPr>
        <w:pStyle w:val="CommentText"/>
      </w:pPr>
      <w:proofErr w:type="gramStart"/>
      <w:r>
        <w:t>evaluated</w:t>
      </w:r>
      <w:proofErr w:type="gramEnd"/>
    </w:p>
  </w:comment>
  <w:comment w:id="4" w:author="MR KOLA FIJABI" w:date="2025-10-15T15:35:00Z" w:initials="M">
    <w:p w14:paraId="23FC147E" w14:textId="77777777" w:rsidR="00A102D6" w:rsidRDefault="002379B8">
      <w:pPr>
        <w:pStyle w:val="CommentText"/>
      </w:pPr>
      <w:proofErr w:type="gramStart"/>
      <w:r>
        <w:t>quantified</w:t>
      </w:r>
      <w:proofErr w:type="gramEnd"/>
    </w:p>
  </w:comment>
  <w:comment w:id="5" w:author="MR KOLA FIJABI" w:date="2025-10-15T15:36:00Z" w:initials="M">
    <w:p w14:paraId="68FC39D6" w14:textId="77777777" w:rsidR="00A102D6" w:rsidRDefault="002379B8">
      <w:pPr>
        <w:pStyle w:val="CommentText"/>
      </w:pPr>
      <w:proofErr w:type="gramStart"/>
      <w:r>
        <w:t>found</w:t>
      </w:r>
      <w:proofErr w:type="gramEnd"/>
    </w:p>
  </w:comment>
  <w:comment w:id="6" w:author="MR KOLA FIJABI" w:date="2025-10-15T15:37:00Z" w:initials="M">
    <w:p w14:paraId="26FB105B" w14:textId="77777777" w:rsidR="00A102D6" w:rsidRDefault="002379B8">
      <w:pPr>
        <w:pStyle w:val="CommentText"/>
      </w:pPr>
      <w:proofErr w:type="spellStart"/>
      <w:proofErr w:type="gramStart"/>
      <w:r>
        <w:t>xoncluded</w:t>
      </w:r>
      <w:proofErr w:type="spellEnd"/>
      <w:proofErr w:type="gramEnd"/>
    </w:p>
  </w:comment>
  <w:comment w:id="7" w:author="MR KOLA FIJABI" w:date="2025-10-15T15:32:00Z" w:initials="M">
    <w:p w14:paraId="3A4C7B54" w14:textId="77777777" w:rsidR="00A102D6" w:rsidRDefault="002379B8">
      <w:pPr>
        <w:pStyle w:val="CommentText"/>
      </w:pPr>
      <w:r>
        <w:t>Arrange them alphabetically</w:t>
      </w:r>
    </w:p>
  </w:comment>
  <w:comment w:id="8" w:author="MR KOLA FIJABI" w:date="2025-10-15T15:43:00Z" w:initials="M">
    <w:p w14:paraId="68D27B4A" w14:textId="77777777" w:rsidR="00A102D6" w:rsidRDefault="002379B8">
      <w:pPr>
        <w:pStyle w:val="CommentText"/>
      </w:pPr>
      <w:r>
        <w:t>Take to the end of the statement</w:t>
      </w:r>
    </w:p>
  </w:comment>
  <w:comment w:id="9" w:author="MR KOLA FIJABI" w:date="2025-10-15T15:59:00Z" w:initials="M">
    <w:p w14:paraId="061F5023" w14:textId="77777777" w:rsidR="00A102D6" w:rsidRDefault="002379B8">
      <w:pPr>
        <w:pStyle w:val="CommentText"/>
      </w:pPr>
      <w:r>
        <w:t>This should include:</w:t>
      </w:r>
    </w:p>
    <w:p w14:paraId="75816D50" w14:textId="77777777" w:rsidR="00A102D6" w:rsidRDefault="002379B8">
      <w:pPr>
        <w:pStyle w:val="CommentText"/>
      </w:pPr>
      <w:r>
        <w:t>Conceptual review</w:t>
      </w:r>
    </w:p>
    <w:p w14:paraId="618A5817" w14:textId="77777777" w:rsidR="00A102D6" w:rsidRDefault="002379B8">
      <w:pPr>
        <w:pStyle w:val="CommentText"/>
      </w:pPr>
      <w:r>
        <w:t>Theoretical review</w:t>
      </w:r>
    </w:p>
    <w:p w14:paraId="7CDD0980" w14:textId="77777777" w:rsidR="00A102D6" w:rsidRDefault="002379B8">
      <w:pPr>
        <w:pStyle w:val="CommentText"/>
      </w:pPr>
      <w:r>
        <w:t>Theoretical framework</w:t>
      </w:r>
    </w:p>
    <w:p w14:paraId="7E3B787A" w14:textId="77777777" w:rsidR="00A102D6" w:rsidRDefault="002379B8">
      <w:pPr>
        <w:pStyle w:val="CommentText"/>
      </w:pPr>
      <w:r>
        <w:t>Empirical review</w:t>
      </w:r>
    </w:p>
  </w:comment>
  <w:comment w:id="10" w:author="MR KOLA FIJABI" w:date="2025-10-15T16:01:00Z" w:initials="M">
    <w:p w14:paraId="5A2A561F" w14:textId="77777777" w:rsidR="00A102D6" w:rsidRDefault="002379B8">
      <w:pPr>
        <w:pStyle w:val="CommentText"/>
      </w:pPr>
      <w:r>
        <w:t>What are the theories reviewed? In reviewing theories, the author should include the following:</w:t>
      </w:r>
    </w:p>
    <w:p w14:paraId="0EAF1553" w14:textId="77777777" w:rsidR="00A102D6" w:rsidRDefault="002379B8">
      <w:pPr>
        <w:pStyle w:val="CommentText"/>
      </w:pPr>
      <w:r>
        <w:t>The proponent of the theory</w:t>
      </w:r>
    </w:p>
    <w:p w14:paraId="39EB6007" w14:textId="77777777" w:rsidR="00A102D6" w:rsidRDefault="002379B8">
      <w:pPr>
        <w:pStyle w:val="CommentText"/>
      </w:pPr>
      <w:r>
        <w:t>Assumptions of the theory</w:t>
      </w:r>
    </w:p>
    <w:p w14:paraId="3AA56FE7" w14:textId="77777777" w:rsidR="00A102D6" w:rsidRDefault="002379B8">
      <w:pPr>
        <w:pStyle w:val="CommentText"/>
      </w:pPr>
      <w:r>
        <w:t>Supporters and critics of the theory</w:t>
      </w:r>
    </w:p>
    <w:p w14:paraId="51F92D49" w14:textId="77777777" w:rsidR="00A102D6" w:rsidRDefault="002379B8">
      <w:pPr>
        <w:pStyle w:val="CommentText"/>
      </w:pPr>
      <w:r>
        <w:t>Relevance of the theory to th</w:t>
      </w:r>
      <w:r>
        <w:t>e study</w:t>
      </w:r>
    </w:p>
  </w:comment>
  <w:comment w:id="11" w:author="Microsoft account" w:date="2025-10-15T16:43:00Z" w:initials="Ma">
    <w:p w14:paraId="5EF9C75F" w14:textId="6EF80BF0" w:rsidR="002070D0" w:rsidRDefault="002070D0">
      <w:pPr>
        <w:pStyle w:val="CommentText"/>
      </w:pPr>
      <w:r>
        <w:rPr>
          <w:rStyle w:val="CommentReference"/>
        </w:rPr>
        <w:annotationRef/>
      </w:r>
      <w:r>
        <w:t>2017 is in the reference. Reconcile the year</w:t>
      </w:r>
    </w:p>
  </w:comment>
  <w:comment w:id="12" w:author="Microsoft account" w:date="2025-10-15T16:39:00Z" w:initials="Ma">
    <w:p w14:paraId="026ABEF6" w14:textId="2A424DC2" w:rsidR="003A4D91" w:rsidRDefault="003A4D91">
      <w:pPr>
        <w:pStyle w:val="CommentText"/>
      </w:pPr>
      <w:r>
        <w:rPr>
          <w:rStyle w:val="CommentReference"/>
        </w:rPr>
        <w:annotationRef/>
      </w:r>
      <w:r>
        <w:t>Check the item in the reference</w:t>
      </w:r>
    </w:p>
  </w:comment>
  <w:comment w:id="13" w:author="Microsoft account" w:date="2025-10-15T16:40:00Z" w:initials="Ma">
    <w:p w14:paraId="4CADC5FF" w14:textId="2A537C98" w:rsidR="003A4D91" w:rsidRDefault="003A4D91">
      <w:pPr>
        <w:pStyle w:val="CommentText"/>
      </w:pPr>
      <w:r>
        <w:rPr>
          <w:rStyle w:val="CommentReference"/>
        </w:rPr>
        <w:annotationRef/>
      </w:r>
      <w:r>
        <w:t>They are two authors in the reference</w:t>
      </w:r>
    </w:p>
  </w:comment>
  <w:comment w:id="14" w:author="Microsoft account" w:date="2025-10-15T16:48:00Z" w:initials="Ma">
    <w:p w14:paraId="112B0BC5" w14:textId="5D4A4769" w:rsidR="0024401B" w:rsidRDefault="0024401B">
      <w:pPr>
        <w:pStyle w:val="CommentText"/>
      </w:pPr>
      <w:r>
        <w:rPr>
          <w:rStyle w:val="CommentReference"/>
        </w:rPr>
        <w:annotationRef/>
      </w:r>
      <w:proofErr w:type="spellStart"/>
      <w:r>
        <w:rPr>
          <w:rFonts w:ascii="Times New Roman" w:hAnsi="Times New Roman" w:cs="Times New Roman"/>
          <w:sz w:val="24"/>
          <w:szCs w:val="24"/>
        </w:rPr>
        <w:t>Semenzin</w:t>
      </w:r>
      <w:proofErr w:type="spellEnd"/>
      <w:r>
        <w:rPr>
          <w:rFonts w:ascii="Times New Roman" w:hAnsi="Times New Roman" w:cs="Times New Roman"/>
          <w:sz w:val="24"/>
          <w:szCs w:val="24"/>
        </w:rPr>
        <w:t xml:space="preserve"> et al. 2022</w:t>
      </w:r>
    </w:p>
  </w:comment>
  <w:comment w:id="15" w:author="MR KOLA FIJABI" w:date="2025-10-15T16:03:00Z" w:initials="M">
    <w:p w14:paraId="37D24E81" w14:textId="77777777" w:rsidR="00A102D6" w:rsidRDefault="002379B8">
      <w:pPr>
        <w:pStyle w:val="CommentText"/>
      </w:pPr>
      <w:proofErr w:type="spellStart"/>
      <w:r>
        <w:t>Empricial</w:t>
      </w:r>
      <w:proofErr w:type="spellEnd"/>
      <w:r>
        <w:t xml:space="preserve"> review should be done according to the objectives of the study</w:t>
      </w:r>
    </w:p>
  </w:comment>
  <w:comment w:id="16" w:author="Microsoft account" w:date="2025-10-15T16:45:00Z" w:initials="Ma">
    <w:p w14:paraId="1FC5967C" w14:textId="01C4F940" w:rsidR="0024401B" w:rsidRDefault="0024401B">
      <w:pPr>
        <w:pStyle w:val="CommentText"/>
      </w:pPr>
      <w:r>
        <w:rPr>
          <w:rStyle w:val="CommentReference"/>
        </w:rPr>
        <w:annotationRef/>
      </w:r>
      <w:r>
        <w:t>They are two authors in the reference. Check the reference</w:t>
      </w:r>
    </w:p>
  </w:comment>
  <w:comment w:id="17" w:author="Microsoft account" w:date="2025-10-15T16:54:00Z" w:initials="Ma">
    <w:p w14:paraId="1F37ECBD" w14:textId="4AC8EE68" w:rsidR="00E17670" w:rsidRDefault="00E17670">
      <w:pPr>
        <w:pStyle w:val="CommentText"/>
      </w:pPr>
      <w:r>
        <w:rPr>
          <w:rStyle w:val="CommentReference"/>
        </w:rPr>
        <w:annotationRef/>
      </w:r>
      <w:proofErr w:type="spellStart"/>
      <w:r>
        <w:rPr>
          <w:rFonts w:ascii="Times New Roman" w:hAnsi="Times New Roman" w:cs="Times New Roman"/>
          <w:sz w:val="24"/>
          <w:szCs w:val="24"/>
        </w:rPr>
        <w:t>Treleaven</w:t>
      </w:r>
      <w:proofErr w:type="spellEnd"/>
      <w:r>
        <w:rPr>
          <w:rFonts w:ascii="Times New Roman" w:hAnsi="Times New Roman" w:cs="Times New Roman"/>
          <w:sz w:val="24"/>
          <w:szCs w:val="24"/>
        </w:rPr>
        <w:t xml:space="preserve"> et al. 2017</w:t>
      </w:r>
    </w:p>
  </w:comment>
  <w:comment w:id="18" w:author="Microsoft account" w:date="2025-10-15T16:49:00Z" w:initials="Ma">
    <w:p w14:paraId="6D1E49DF" w14:textId="77777777" w:rsidR="0024401B" w:rsidRDefault="0024401B" w:rsidP="0024401B">
      <w:pPr>
        <w:pStyle w:val="CommentText"/>
      </w:pPr>
      <w:r>
        <w:rPr>
          <w:rStyle w:val="CommentReference"/>
        </w:rPr>
        <w:annotationRef/>
      </w:r>
      <w:r>
        <w:rPr>
          <w:rStyle w:val="CommentReference"/>
        </w:rPr>
        <w:annotationRef/>
      </w:r>
      <w:proofErr w:type="spellStart"/>
      <w:r>
        <w:rPr>
          <w:rFonts w:ascii="Times New Roman" w:hAnsi="Times New Roman" w:cs="Times New Roman"/>
          <w:sz w:val="24"/>
          <w:szCs w:val="24"/>
        </w:rPr>
        <w:t>Semenzin</w:t>
      </w:r>
      <w:proofErr w:type="spellEnd"/>
      <w:r>
        <w:rPr>
          <w:rFonts w:ascii="Times New Roman" w:hAnsi="Times New Roman" w:cs="Times New Roman"/>
          <w:sz w:val="24"/>
          <w:szCs w:val="24"/>
        </w:rPr>
        <w:t xml:space="preserve"> et al. 2022</w:t>
      </w:r>
    </w:p>
    <w:p w14:paraId="175CD288" w14:textId="5F0565C6" w:rsidR="0024401B" w:rsidRDefault="0024401B">
      <w:pPr>
        <w:pStyle w:val="CommentText"/>
      </w:pPr>
    </w:p>
  </w:comment>
  <w:comment w:id="19" w:author="Microsoft account" w:date="2025-10-15T16:44:00Z" w:initials="Ma">
    <w:p w14:paraId="0FB90A14" w14:textId="2CE1176D" w:rsidR="0024401B" w:rsidRDefault="0024401B">
      <w:pPr>
        <w:pStyle w:val="CommentText"/>
      </w:pPr>
      <w:r>
        <w:rPr>
          <w:rStyle w:val="CommentReference"/>
        </w:rPr>
        <w:annotationRef/>
      </w:r>
      <w:r>
        <w:t>A single author in the reference</w:t>
      </w:r>
    </w:p>
    <w:p w14:paraId="524C69C4" w14:textId="588274BF" w:rsidR="0024401B" w:rsidRDefault="0024401B">
      <w:pPr>
        <w:pStyle w:val="CommentText"/>
      </w:pPr>
      <w:r>
        <w:t>Reconcile the publication year</w:t>
      </w:r>
    </w:p>
  </w:comment>
  <w:comment w:id="20" w:author="Microsoft account" w:date="2025-10-15T16:31:00Z" w:initials="Ma">
    <w:p w14:paraId="3FD2DC2C" w14:textId="519900E2" w:rsidR="003A4D91" w:rsidRDefault="003A4D91">
      <w:pPr>
        <w:pStyle w:val="CommentText"/>
      </w:pPr>
      <w:r>
        <w:rPr>
          <w:rStyle w:val="CommentReference"/>
        </w:rPr>
        <w:annotationRef/>
      </w:r>
      <w:r>
        <w:t>The section should include</w:t>
      </w:r>
    </w:p>
    <w:p w14:paraId="405680D3" w14:textId="3D2118F0" w:rsidR="003A4D91" w:rsidRDefault="003A4D91">
      <w:pPr>
        <w:pStyle w:val="CommentText"/>
      </w:pPr>
      <w:r>
        <w:t>Research design</w:t>
      </w:r>
    </w:p>
    <w:p w14:paraId="4F52F8D6" w14:textId="15785DD2" w:rsidR="003A4D91" w:rsidRDefault="003A4D91">
      <w:pPr>
        <w:pStyle w:val="CommentText"/>
      </w:pPr>
      <w:r>
        <w:t>Population</w:t>
      </w:r>
    </w:p>
    <w:p w14:paraId="39C677F2" w14:textId="08504A07" w:rsidR="003A4D91" w:rsidRDefault="003A4D91">
      <w:pPr>
        <w:pStyle w:val="CommentText"/>
      </w:pPr>
      <w:r>
        <w:t>Sample size and sampling technique</w:t>
      </w:r>
    </w:p>
    <w:p w14:paraId="768FDE4E" w14:textId="3062A542" w:rsidR="003A4D91" w:rsidRDefault="003A4D91">
      <w:pPr>
        <w:pStyle w:val="CommentText"/>
      </w:pPr>
      <w:r>
        <w:t>Method of data collection</w:t>
      </w:r>
    </w:p>
    <w:p w14:paraId="700FFCD0" w14:textId="78417790" w:rsidR="003A4D91" w:rsidRDefault="003A4D91">
      <w:pPr>
        <w:pStyle w:val="CommentText"/>
      </w:pPr>
      <w:r>
        <w:t>Method of data analysis</w:t>
      </w:r>
    </w:p>
    <w:p w14:paraId="2E2C6593" w14:textId="361A247C" w:rsidR="003A4D91" w:rsidRDefault="003A4D91">
      <w:pPr>
        <w:pStyle w:val="CommentText"/>
      </w:pPr>
      <w:r>
        <w:t>Validity and reliability of the instrument</w:t>
      </w:r>
    </w:p>
    <w:p w14:paraId="596FEE69" w14:textId="5B5D9518" w:rsidR="003A4D91" w:rsidRDefault="003A4D91">
      <w:pPr>
        <w:pStyle w:val="CommentText"/>
      </w:pPr>
      <w:r>
        <w:t>Model specification</w:t>
      </w:r>
    </w:p>
  </w:comment>
  <w:comment w:id="21" w:author="MR KOLA FIJABI" w:date="2025-10-15T16:16:00Z" w:initials="M">
    <w:p w14:paraId="5FD34316" w14:textId="77777777" w:rsidR="00A102D6" w:rsidRDefault="002379B8">
      <w:pPr>
        <w:pStyle w:val="CommentText"/>
      </w:pPr>
      <w:r>
        <w:t>The table below is not numbered and no source for the table</w:t>
      </w:r>
    </w:p>
  </w:comment>
  <w:comment w:id="22" w:author="MR KOLA FIJABI" w:date="2025-10-15T16:17:00Z" w:initials="M">
    <w:p w14:paraId="5AD6516F" w14:textId="77777777" w:rsidR="00A102D6" w:rsidRDefault="002379B8">
      <w:pPr>
        <w:pStyle w:val="CommentText"/>
      </w:pPr>
      <w:r>
        <w:t>This should be Table 2</w:t>
      </w:r>
    </w:p>
  </w:comment>
  <w:comment w:id="23" w:author="MR KOLA FIJABI" w:date="2025-10-15T16:17:00Z" w:initials="M">
    <w:p w14:paraId="613542E0" w14:textId="77777777" w:rsidR="00A102D6" w:rsidRDefault="002379B8">
      <w:pPr>
        <w:pStyle w:val="CommentText"/>
      </w:pPr>
      <w:r>
        <w:t>This should be Table 3</w:t>
      </w:r>
    </w:p>
  </w:comment>
  <w:comment w:id="25" w:author="MR KOLA FIJABI" w:date="2025-10-15T16:18:00Z" w:initials="M">
    <w:p w14:paraId="346F194D" w14:textId="77777777" w:rsidR="00A102D6" w:rsidRDefault="002379B8">
      <w:pPr>
        <w:pStyle w:val="CommentText"/>
      </w:pPr>
      <w:r>
        <w:t>4</w:t>
      </w:r>
    </w:p>
  </w:comment>
  <w:comment w:id="26" w:author="MR KOLA FIJABI" w:date="2025-10-15T16:19:00Z" w:initials="M">
    <w:p w14:paraId="3AEC62BC" w14:textId="77777777" w:rsidR="00A102D6" w:rsidRDefault="002379B8">
      <w:pPr>
        <w:pStyle w:val="CommentText"/>
      </w:pPr>
      <w:r>
        <w:t>Provide a citation</w:t>
      </w:r>
    </w:p>
  </w:comment>
  <w:comment w:id="27" w:author="Microsoft account" w:date="2025-10-15T16:33:00Z" w:initials="Ma">
    <w:p w14:paraId="3BCE75CD" w14:textId="1AE91A35" w:rsidR="003A4D91" w:rsidRDefault="003A4D91">
      <w:pPr>
        <w:pStyle w:val="CommentText"/>
      </w:pPr>
      <w:r>
        <w:rPr>
          <w:rStyle w:val="CommentReference"/>
        </w:rPr>
        <w:annotationRef/>
      </w:r>
      <w:r>
        <w:t>Implication of the findings should be provided</w:t>
      </w:r>
    </w:p>
  </w:comment>
  <w:comment w:id="28" w:author="Microsoft account" w:date="2025-10-15T17:02:00Z" w:initials="Ma">
    <w:p w14:paraId="6A4D775D" w14:textId="62DE2C32" w:rsidR="003F272C" w:rsidRDefault="003F272C">
      <w:pPr>
        <w:pStyle w:val="CommentText"/>
      </w:pPr>
      <w:r>
        <w:rPr>
          <w:rStyle w:val="CommentReference"/>
        </w:rPr>
        <w:annotationRef/>
      </w:r>
      <w:r>
        <w:t>5.0 Conclusion and Recommendation</w:t>
      </w:r>
    </w:p>
  </w:comment>
  <w:comment w:id="29" w:author="Microsoft account" w:date="2025-10-15T17:01:00Z" w:initials="Ma">
    <w:p w14:paraId="01A4049E" w14:textId="687432F3" w:rsidR="003F272C" w:rsidRDefault="003F272C">
      <w:pPr>
        <w:pStyle w:val="CommentText"/>
      </w:pPr>
      <w:r>
        <w:rPr>
          <w:rStyle w:val="CommentReference"/>
        </w:rPr>
        <w:annotationRef/>
      </w:r>
      <w:r>
        <w:t>It should be in line with the objectives and findings of the study</w:t>
      </w:r>
    </w:p>
  </w:comment>
  <w:comment w:id="30" w:author="Microsoft account" w:date="2025-10-15T16:59:00Z" w:initials="Ma">
    <w:p w14:paraId="6C42E611" w14:textId="2811F7E0" w:rsidR="00E17670" w:rsidRDefault="00E17670">
      <w:pPr>
        <w:pStyle w:val="CommentText"/>
      </w:pPr>
      <w:r>
        <w:rPr>
          <w:rStyle w:val="CommentReference"/>
        </w:rPr>
        <w:annotationRef/>
      </w:r>
      <w:r>
        <w:t>The authors should review the alphabetical arrangement of the references.</w:t>
      </w:r>
    </w:p>
    <w:p w14:paraId="6CDAFC67" w14:textId="545F1AF9" w:rsidR="00E17670" w:rsidRDefault="00E17670">
      <w:pPr>
        <w:pStyle w:val="CommentText"/>
      </w:pPr>
      <w:r>
        <w:t>Some references were duplicated</w:t>
      </w:r>
    </w:p>
    <w:p w14:paraId="5F9AB10D" w14:textId="7681F442" w:rsidR="00E17670" w:rsidRDefault="00E17670">
      <w:pPr>
        <w:pStyle w:val="CommentText"/>
      </w:pPr>
      <w:r>
        <w:t>Some citations do not have the same date with the references</w:t>
      </w:r>
    </w:p>
  </w:comment>
  <w:comment w:id="31" w:author="Microsoft account" w:date="2025-10-15T16:36:00Z" w:initials="Ma">
    <w:p w14:paraId="7B9F2184" w14:textId="7975C944" w:rsidR="003A4D91" w:rsidRDefault="003A4D91">
      <w:pPr>
        <w:pStyle w:val="CommentText"/>
      </w:pPr>
      <w:r>
        <w:rPr>
          <w:rStyle w:val="CommentReference"/>
        </w:rPr>
        <w:annotationRef/>
      </w:r>
      <w:r>
        <w:t>Author, year, and journal are missing</w:t>
      </w:r>
    </w:p>
  </w:comment>
  <w:comment w:id="32" w:author="Microsoft account" w:date="2025-10-15T16:39:00Z" w:initials="Ma">
    <w:p w14:paraId="36B72AE4" w14:textId="0989B17D" w:rsidR="003A4D91" w:rsidRDefault="003A4D91">
      <w:pPr>
        <w:pStyle w:val="CommentText"/>
      </w:pPr>
      <w:r>
        <w:rPr>
          <w:rStyle w:val="CommentReference"/>
        </w:rPr>
        <w:annotationRef/>
      </w:r>
      <w:r>
        <w:t>Not in line with citations in the body of the work</w:t>
      </w:r>
    </w:p>
  </w:comment>
  <w:comment w:id="33" w:author="Microsoft account" w:date="2025-10-15T16:42:00Z" w:initials="Ma">
    <w:p w14:paraId="2EA2DDDF" w14:textId="410103C1" w:rsidR="002070D0" w:rsidRDefault="002070D0">
      <w:pPr>
        <w:pStyle w:val="CommentText"/>
      </w:pPr>
      <w:r>
        <w:rPr>
          <w:rStyle w:val="CommentReference"/>
        </w:rPr>
        <w:annotationRef/>
      </w:r>
      <w:r>
        <w:t>Not in the work</w:t>
      </w:r>
    </w:p>
  </w:comment>
  <w:comment w:id="34" w:author="Microsoft account" w:date="2025-10-15T16:50:00Z" w:initials="Ma">
    <w:p w14:paraId="3E04F443" w14:textId="70EBB03D" w:rsidR="0024401B" w:rsidRDefault="0024401B">
      <w:pPr>
        <w:pStyle w:val="CommentText"/>
      </w:pPr>
      <w:r>
        <w:rPr>
          <w:rStyle w:val="CommentReference"/>
        </w:rPr>
        <w:annotationRef/>
      </w:r>
      <w:r>
        <w:t xml:space="preserve">Duplication of above paper. </w:t>
      </w:r>
      <w:proofErr w:type="gramStart"/>
      <w:r>
        <w:t>remove</w:t>
      </w:r>
      <w:proofErr w:type="gramEnd"/>
    </w:p>
  </w:comment>
  <w:comment w:id="35" w:author="Microsoft account" w:date="2025-10-15T16:51:00Z" w:initials="Ma">
    <w:p w14:paraId="22E4AEC9" w14:textId="02374AB8" w:rsidR="0024401B" w:rsidRDefault="0024401B">
      <w:pPr>
        <w:pStyle w:val="CommentText"/>
      </w:pPr>
      <w:r>
        <w:rPr>
          <w:rStyle w:val="CommentReference"/>
        </w:rPr>
        <w:annotationRef/>
      </w:r>
      <w:r>
        <w:t>Incomplete</w:t>
      </w:r>
    </w:p>
    <w:p w14:paraId="1CD4F8F1" w14:textId="1E3A1FB5" w:rsidR="0024401B" w:rsidRDefault="0024401B">
      <w:pPr>
        <w:pStyle w:val="CommentText"/>
      </w:pPr>
      <w:proofErr w:type="gramStart"/>
      <w:r>
        <w:t>remove</w:t>
      </w:r>
      <w:proofErr w:type="gramEnd"/>
    </w:p>
  </w:comment>
  <w:comment w:id="36" w:author="Microsoft account" w:date="2025-10-15T16:58:00Z" w:initials="Ma">
    <w:p w14:paraId="1826F2B8" w14:textId="79CB0889" w:rsidR="00E17670" w:rsidRDefault="00E17670">
      <w:pPr>
        <w:pStyle w:val="CommentText"/>
      </w:pPr>
      <w:r>
        <w:rPr>
          <w:rStyle w:val="CommentReference"/>
        </w:rPr>
        <w:annotationRef/>
      </w:r>
      <w:proofErr w:type="gramStart"/>
      <w:r>
        <w:t>duplication</w:t>
      </w:r>
      <w:proofErr w:type="gramEnd"/>
    </w:p>
    <w:p w14:paraId="690B83C5" w14:textId="7D136627" w:rsidR="00E17670" w:rsidRDefault="00E17670">
      <w:pPr>
        <w:pStyle w:val="CommentText"/>
      </w:pPr>
      <w:proofErr w:type="gramStart"/>
      <w:r>
        <w:t>remove</w:t>
      </w:r>
      <w:proofErr w:type="gramEnd"/>
    </w:p>
  </w:comment>
  <w:comment w:id="37" w:author="Microsoft account" w:date="2025-10-15T16:56:00Z" w:initials="Ma">
    <w:p w14:paraId="55DD8719" w14:textId="5AFF4796" w:rsidR="00E17670" w:rsidRDefault="00E17670">
      <w:pPr>
        <w:pStyle w:val="CommentText"/>
      </w:pPr>
      <w:r>
        <w:rPr>
          <w:rStyle w:val="CommentReference"/>
        </w:rPr>
        <w:annotationRef/>
      </w:r>
      <w:proofErr w:type="gramStart"/>
      <w:r>
        <w:t>duplication</w:t>
      </w:r>
      <w:proofErr w:type="gramEnd"/>
    </w:p>
    <w:p w14:paraId="1A020826" w14:textId="0E6A1EA9" w:rsidR="00E17670" w:rsidRDefault="00E17670">
      <w:pPr>
        <w:pStyle w:val="CommentText"/>
      </w:pPr>
      <w:proofErr w:type="gramStart"/>
      <w:r>
        <w:t>remove</w:t>
      </w:r>
      <w:proofErr w:type="gramEnd"/>
    </w:p>
  </w:comment>
  <w:comment w:id="38" w:author="Microsoft account" w:date="2025-10-15T16:55:00Z" w:initials="Ma">
    <w:p w14:paraId="196EEDB7" w14:textId="12FAC59C" w:rsidR="00E17670" w:rsidRDefault="00E17670">
      <w:pPr>
        <w:pStyle w:val="CommentText"/>
      </w:pPr>
      <w:r>
        <w:rPr>
          <w:rStyle w:val="CommentReference"/>
        </w:rPr>
        <w:annotationRef/>
      </w:r>
      <w:proofErr w:type="gramStart"/>
      <w:r>
        <w:t>duplication</w:t>
      </w:r>
      <w:proofErr w:type="gramEnd"/>
    </w:p>
    <w:p w14:paraId="1FC2E5E8" w14:textId="397B9A5C" w:rsidR="00E17670" w:rsidRDefault="00E17670">
      <w:pPr>
        <w:pStyle w:val="CommentText"/>
      </w:pPr>
      <w:proofErr w:type="gramStart"/>
      <w:r>
        <w:t>remove</w:t>
      </w:r>
      <w:proofErr w:type="gramEnd"/>
    </w:p>
  </w:comment>
  <w:comment w:id="39" w:author="Microsoft account" w:date="2025-10-15T16:53:00Z" w:initials="Ma">
    <w:p w14:paraId="1FC7BAE3" w14:textId="18DDEF92" w:rsidR="00E17670" w:rsidRDefault="00E17670">
      <w:pPr>
        <w:pStyle w:val="CommentText"/>
      </w:pPr>
      <w:r>
        <w:rPr>
          <w:rStyle w:val="CommentReference"/>
        </w:rPr>
        <w:annotationRef/>
      </w:r>
      <w:proofErr w:type="gramStart"/>
      <w:r>
        <w:t>duplication</w:t>
      </w:r>
      <w:proofErr w:type="gram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0C5F0C" w15:done="0"/>
  <w15:commentEx w15:paraId="291F19F8" w15:done="0"/>
  <w15:commentEx w15:paraId="5A5A29D6" w15:done="0"/>
  <w15:commentEx w15:paraId="71C13947" w15:done="0"/>
  <w15:commentEx w15:paraId="23FC147E" w15:done="0"/>
  <w15:commentEx w15:paraId="68FC39D6" w15:done="0"/>
  <w15:commentEx w15:paraId="26FB105B" w15:done="0"/>
  <w15:commentEx w15:paraId="3A4C7B54" w15:done="0"/>
  <w15:commentEx w15:paraId="68D27B4A" w15:done="0"/>
  <w15:commentEx w15:paraId="7E3B787A" w15:done="0"/>
  <w15:commentEx w15:paraId="51F92D49" w15:done="0"/>
  <w15:commentEx w15:paraId="5EF9C75F" w15:done="0"/>
  <w15:commentEx w15:paraId="026ABEF6" w15:done="0"/>
  <w15:commentEx w15:paraId="4CADC5FF" w15:done="0"/>
  <w15:commentEx w15:paraId="112B0BC5" w15:done="0"/>
  <w15:commentEx w15:paraId="37D24E81" w15:done="0"/>
  <w15:commentEx w15:paraId="1FC5967C" w15:done="0"/>
  <w15:commentEx w15:paraId="1F37ECBD" w15:done="0"/>
  <w15:commentEx w15:paraId="175CD288" w15:done="0"/>
  <w15:commentEx w15:paraId="524C69C4" w15:done="0"/>
  <w15:commentEx w15:paraId="596FEE69" w15:done="0"/>
  <w15:commentEx w15:paraId="5FD34316" w15:done="0"/>
  <w15:commentEx w15:paraId="5AD6516F" w15:done="0"/>
  <w15:commentEx w15:paraId="613542E0" w15:done="0"/>
  <w15:commentEx w15:paraId="346F194D" w15:done="0"/>
  <w15:commentEx w15:paraId="3AEC62BC" w15:done="0"/>
  <w15:commentEx w15:paraId="3BCE75CD" w15:done="0"/>
  <w15:commentEx w15:paraId="6A4D775D" w15:done="0"/>
  <w15:commentEx w15:paraId="01A4049E" w15:done="0"/>
  <w15:commentEx w15:paraId="5F9AB10D" w15:done="0"/>
  <w15:commentEx w15:paraId="7B9F2184" w15:done="0"/>
  <w15:commentEx w15:paraId="36B72AE4" w15:done="0"/>
  <w15:commentEx w15:paraId="2EA2DDDF" w15:done="0"/>
  <w15:commentEx w15:paraId="3E04F443" w15:done="0"/>
  <w15:commentEx w15:paraId="1CD4F8F1" w15:done="0"/>
  <w15:commentEx w15:paraId="690B83C5" w15:done="0"/>
  <w15:commentEx w15:paraId="1A020826" w15:done="0"/>
  <w15:commentEx w15:paraId="1FC2E5E8" w15:done="0"/>
  <w15:commentEx w15:paraId="1FC7BAE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1D867" w14:textId="77777777" w:rsidR="002379B8" w:rsidRDefault="002379B8">
      <w:pPr>
        <w:spacing w:line="240" w:lineRule="auto"/>
      </w:pPr>
      <w:r>
        <w:separator/>
      </w:r>
    </w:p>
  </w:endnote>
  <w:endnote w:type="continuationSeparator" w:id="0">
    <w:p w14:paraId="766164CF" w14:textId="77777777" w:rsidR="002379B8" w:rsidRDefault="002379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44855" w14:textId="77777777" w:rsidR="00A102D6" w:rsidRDefault="00A102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CC3A1" w14:textId="77777777" w:rsidR="00A102D6" w:rsidRDefault="00A102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C600B" w14:textId="77777777" w:rsidR="00A102D6" w:rsidRDefault="00A102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3F7F2" w14:textId="77777777" w:rsidR="002379B8" w:rsidRDefault="002379B8">
      <w:pPr>
        <w:spacing w:after="0"/>
      </w:pPr>
      <w:r>
        <w:separator/>
      </w:r>
    </w:p>
  </w:footnote>
  <w:footnote w:type="continuationSeparator" w:id="0">
    <w:p w14:paraId="7B87FCE1" w14:textId="77777777" w:rsidR="002379B8" w:rsidRDefault="002379B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D840D" w14:textId="77777777" w:rsidR="00A102D6" w:rsidRDefault="002379B8">
    <w:pPr>
      <w:pStyle w:val="Header"/>
    </w:pPr>
    <w:r>
      <w:pict w14:anchorId="6C2F8F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987454" o:spid="_x0000_s2050" type="#_x0000_t136" style="position:absolute;margin-left:0;margin-top:0;width:541.4pt;height:67.65pt;rotation:315;z-index:-251656192;mso-position-horizontal:center;mso-position-horizontal-relative:margin;mso-position-vertical:center;mso-position-vertical-relative:margin;mso-width-relative:page;mso-height-relative:page" o:allowincell="f" fillcolor="silver" stroked="f">
          <v:fill opacity=".5"/>
          <v:textpath style="font-family:&quot;Cambria&quot;;font-size:1pt" fitpath="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373FB" w14:textId="77777777" w:rsidR="00A102D6" w:rsidRDefault="002379B8">
    <w:pPr>
      <w:pStyle w:val="Header"/>
    </w:pPr>
    <w:r>
      <w:pict w14:anchorId="1F751B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987455" o:spid="_x0000_s2051" type="#_x0000_t136" style="position:absolute;margin-left:0;margin-top:0;width:541.4pt;height:67.65pt;rotation:315;z-index:-251655168;mso-position-horizontal:center;mso-position-horizontal-relative:margin;mso-position-vertical:center;mso-position-vertical-relative:margin;mso-width-relative:page;mso-height-relative:page" o:allowincell="f" fillcolor="silver" stroked="f">
          <v:fill opacity=".5"/>
          <v:textpath style="font-family:&quot;Cambria&quot;;font-size:1pt" fitpath="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DF1A8" w14:textId="77777777" w:rsidR="00A102D6" w:rsidRDefault="002379B8">
    <w:pPr>
      <w:pStyle w:val="Header"/>
    </w:pPr>
    <w:r>
      <w:pict w14:anchorId="24CC9C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987453" o:spid="_x0000_s2049" type="#_x0000_t136" style="position:absolute;margin-left:0;margin-top:0;width:541.4pt;height:67.65pt;rotation:315;z-index:-251657216;mso-position-horizontal:center;mso-position-horizontal-relative:margin;mso-position-vertical:center;mso-position-vertical-relative:margin;mso-width-relative:page;mso-height-relative:page" o:allowincell="f" fillcolor="silver" stroked="f">
          <v:fill opacity=".5"/>
          <v:textpath style="font-family:&quot;Cambria&quot;;font-size:1pt" fitpath="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6" w15:restartNumberingAfterBreak="0">
    <w:nsid w:val="2C062A6D"/>
    <w:multiLevelType w:val="multilevel"/>
    <w:tmpl w:val="2C062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1F6605A"/>
    <w:multiLevelType w:val="multilevel"/>
    <w:tmpl w:val="61F660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7"/>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R KOLA FIJABI">
    <w15:presenceInfo w15:providerId="None" w15:userId="MR KOLA FIJABI"/>
  </w15:person>
  <w15:person w15:author="Microsoft account">
    <w15:presenceInfo w15:providerId="Windows Live" w15:userId="bae6b6f90f99ce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LE0NLK0NDI2sbQwMjdR0lEKTi0uzszPAykwrAUA2OxTaywAAAA="/>
  </w:docVars>
  <w:rsids>
    <w:rsidRoot w:val="00B47730"/>
    <w:rsid w:val="00034616"/>
    <w:rsid w:val="0006063C"/>
    <w:rsid w:val="000725C2"/>
    <w:rsid w:val="00091DED"/>
    <w:rsid w:val="0015074B"/>
    <w:rsid w:val="00203F6C"/>
    <w:rsid w:val="002070D0"/>
    <w:rsid w:val="002379B8"/>
    <w:rsid w:val="0024401B"/>
    <w:rsid w:val="0024586C"/>
    <w:rsid w:val="0029639D"/>
    <w:rsid w:val="002E1EC8"/>
    <w:rsid w:val="00326F90"/>
    <w:rsid w:val="003A4D91"/>
    <w:rsid w:val="003F272C"/>
    <w:rsid w:val="00413AFF"/>
    <w:rsid w:val="0045513A"/>
    <w:rsid w:val="00602220"/>
    <w:rsid w:val="00A102D6"/>
    <w:rsid w:val="00AA1D8D"/>
    <w:rsid w:val="00B25836"/>
    <w:rsid w:val="00B47730"/>
    <w:rsid w:val="00CB0664"/>
    <w:rsid w:val="00E04374"/>
    <w:rsid w:val="00E17670"/>
    <w:rsid w:val="00F8518D"/>
    <w:rsid w:val="00FC693F"/>
    <w:rsid w:val="1AEC2FAD"/>
    <w:rsid w:val="4C847F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efaultImageDpi w14:val="300"/>
  <w15:docId w15:val="{06922B95-7E0B-4D2A-8347-7B757809E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lsdException w:name="toa heading" w:semiHidden="1" w:unhideWhenUsed="1"/>
    <w:lsdException w:name="List" w:unhideWhenUsed="1"/>
    <w:lsdException w:name="List Bullet" w:unhideWhenUsed="1"/>
    <w:lsdException w:name="List Number"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unhideWhenUsed="1"/>
    <w:lsdException w:name="List Bullet 4" w:semiHidden="1" w:unhideWhenUsed="1"/>
    <w:lsdException w:name="List Bullet 5" w:semiHidden="1" w:unhideWhenUsed="1"/>
    <w:lsdException w:name="List Number 2" w:unhideWhenUsed="1"/>
    <w:lsdException w:name="List Number 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unhideWhenUsed="1"/>
    <w:lsdException w:name="List Continue 2" w:unhideWhenUsed="1"/>
    <w:lsdException w:name="List Continue 3"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BodyText2">
    <w:name w:val="Body Text 2"/>
    <w:basedOn w:val="Normal"/>
    <w:link w:val="BodyText2Char"/>
    <w:uiPriority w:val="99"/>
    <w:unhideWhenUsed/>
    <w:pPr>
      <w:spacing w:after="120" w:line="480" w:lineRule="auto"/>
    </w:pPr>
  </w:style>
  <w:style w:type="paragraph" w:styleId="BodyText3">
    <w:name w:val="Body Text 3"/>
    <w:basedOn w:val="Normal"/>
    <w:link w:val="BodyText3Char"/>
    <w:uiPriority w:val="99"/>
    <w:unhideWhenUsed/>
    <w:pPr>
      <w:spacing w:after="120"/>
    </w:pPr>
    <w:rPr>
      <w:sz w:val="16"/>
      <w:szCs w:val="16"/>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paragraph" w:styleId="CommentText">
    <w:name w:val="annotation text"/>
    <w:basedOn w:val="Normal"/>
    <w:link w:val="CommentTextChar"/>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paragraph" w:styleId="List">
    <w:name w:val="List"/>
    <w:basedOn w:val="Normal"/>
    <w:uiPriority w:val="99"/>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ListNumber">
    <w:name w:val="List Number"/>
    <w:basedOn w:val="Normal"/>
    <w:uiPriority w:val="99"/>
    <w:unhideWhenUsed/>
    <w:pPr>
      <w:numPr>
        <w:numId w:val="4"/>
      </w:numPr>
      <w:contextualSpacing/>
    </w:pPr>
  </w:style>
  <w:style w:type="paragraph" w:styleId="ListNumber2">
    <w:name w:val="List Number 2"/>
    <w:basedOn w:val="Normal"/>
    <w:uiPriority w:val="99"/>
    <w:unhideWhenUsed/>
    <w:pPr>
      <w:numPr>
        <w:numId w:val="5"/>
      </w:numPr>
      <w:contextualSpacing/>
    </w:pPr>
  </w:style>
  <w:style w:type="paragraph" w:styleId="ListNumber3">
    <w:name w:val="List Number 3"/>
    <w:basedOn w:val="Normal"/>
    <w:uiPriority w:val="99"/>
    <w:unhideWhenUsed/>
    <w:pPr>
      <w:numPr>
        <w:numId w:val="6"/>
      </w:numPr>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NoSpacing">
    <w:name w:val="No Spacing"/>
    <w:uiPriority w:val="1"/>
    <w:qFormat/>
    <w:rPr>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style>
  <w:style w:type="character" w:customStyle="1" w:styleId="BodyText2Char">
    <w:name w:val="Body Text 2 Char"/>
    <w:basedOn w:val="DefaultParagraphFont"/>
    <w:link w:val="BodyText2"/>
    <w:uiPriority w:val="99"/>
  </w:style>
  <w:style w:type="character" w:customStyle="1" w:styleId="BodyText3Char">
    <w:name w:val="Body Text 3 Char"/>
    <w:basedOn w:val="DefaultParagraphFont"/>
    <w:link w:val="BodyText3"/>
    <w:uiPriority w:val="99"/>
    <w:rPr>
      <w:sz w:val="16"/>
      <w:szCs w:val="16"/>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outlineLvl w:val="9"/>
    </w:pPr>
  </w:style>
  <w:style w:type="character" w:customStyle="1" w:styleId="UnresolvedMention">
    <w:name w:val="Unresolved Mention"/>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A4D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D9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A4D91"/>
    <w:pPr>
      <w:spacing w:line="240" w:lineRule="auto"/>
    </w:pPr>
    <w:rPr>
      <w:b/>
      <w:bCs/>
      <w:sz w:val="20"/>
      <w:szCs w:val="20"/>
    </w:rPr>
  </w:style>
  <w:style w:type="character" w:customStyle="1" w:styleId="CommentTextChar">
    <w:name w:val="Comment Text Char"/>
    <w:basedOn w:val="DefaultParagraphFont"/>
    <w:link w:val="CommentText"/>
    <w:uiPriority w:val="99"/>
    <w:semiHidden/>
    <w:rsid w:val="003A4D91"/>
    <w:rPr>
      <w:sz w:val="22"/>
      <w:szCs w:val="22"/>
    </w:rPr>
  </w:style>
  <w:style w:type="character" w:customStyle="1" w:styleId="CommentSubjectChar">
    <w:name w:val="Comment Subject Char"/>
    <w:basedOn w:val="CommentTextChar"/>
    <w:link w:val="CommentSubject"/>
    <w:uiPriority w:val="99"/>
    <w:semiHidden/>
    <w:rsid w:val="003A4D91"/>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hyperlink" Target="https://doi.org/10.1109/ICICT47744.2019.9001998"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doi.org/10.19088/ICTD.2022.018" TargetMode="Externa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yperlink" Target="https://doi.org/10.1016/j.accinf.2022.100598"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doi.org/10.3390/fi14110341" TargetMode="External"/><Relationship Id="rId20" Type="http://schemas.openxmlformats.org/officeDocument/2006/relationships/hyperlink" Target="https://doi.org/10.30574/ijsra.2024.12.2.1454"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1111/rode.13163" TargetMode="External"/><Relationship Id="rId23" Type="http://schemas.openxmlformats.org/officeDocument/2006/relationships/hyperlink" Target="https://cejsh.icm.edu.pl/cejsh/element/bwmeta1.element.desklight-ddd87304-6692-4ff6-8eb7-481cd4db616a?utm_source=chatgpt.com" TargetMode="External"/><Relationship Id="rId28"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hyperlink" Target="https://doi.org/10.4337/9781783474332" TargetMode="Externa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doi.org/10.13140/RG.2.2.20915.44326" TargetMode="External"/><Relationship Id="rId22" Type="http://schemas.openxmlformats.org/officeDocument/2006/relationships/hyperlink" Target="https://doi.org/10.3390/economies12050097"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4"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4"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4"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1" i="0" u="none" strike="noStrike" kern="1200" cap="none" baseline="0">
                <a:solidFill>
                  <a:schemeClr val="lt1">
                    <a:lumMod val="85000"/>
                  </a:schemeClr>
                </a:solidFill>
                <a:latin typeface="+mn-lt"/>
                <a:ea typeface="+mn-ea"/>
                <a:cs typeface="+mn-cs"/>
              </a:defRPr>
            </a:pPr>
            <a:r>
              <a:rPr lang="en-US"/>
              <a:t> Aggregate Revenue Outcomes</a:t>
            </a:r>
          </a:p>
        </c:rich>
      </c:tx>
      <c:overlay val="0"/>
      <c:spPr>
        <a:noFill/>
        <a:ln>
          <a:solidFill>
            <a:schemeClr val="bg1"/>
          </a:solidFill>
        </a:ln>
        <a:effectLst/>
      </c:spPr>
      <c:txPr>
        <a:bodyPr rot="0" spcFirstLastPara="1" vertOverflow="ellipsis" vert="horz" wrap="square" anchor="ctr" anchorCtr="1"/>
        <a:lstStyle/>
        <a:p>
          <a:pPr>
            <a:defRPr lang="en-US" sz="1400" b="1" i="0" u="none" strike="noStrike" kern="1200" cap="none" baseline="0">
              <a:solidFill>
                <a:schemeClr val="lt1">
                  <a:lumMod val="85000"/>
                </a:schemeClr>
              </a:solidFill>
              <a:latin typeface="+mn-lt"/>
              <a:ea typeface="+mn-ea"/>
              <a:cs typeface="+mn-cs"/>
            </a:defRPr>
          </a:pPr>
          <a:endParaRPr lang="en-US"/>
        </a:p>
      </c:txPr>
    </c:title>
    <c:autoTitleDeleted val="0"/>
    <c:plotArea>
      <c:layout/>
      <c:scatterChart>
        <c:scatterStyle val="lineMarker"/>
        <c:varyColors val="0"/>
        <c:ser>
          <c:idx val="0"/>
          <c:order val="0"/>
          <c:tx>
            <c:strRef>
              <c:f>Sheet1!$A$2</c:f>
              <c:strCache>
                <c:ptCount val="1"/>
                <c:pt idx="0">
                  <c:v>Adoption Level (B)</c:v>
                </c:pt>
              </c:strCache>
            </c:strRef>
          </c:tx>
          <c:spPr>
            <a:ln w="22225" cap="rnd">
              <a:solidFill>
                <a:schemeClr val="accent1"/>
              </a:solidFill>
            </a:ln>
            <a:effectLst>
              <a:glow rad="139700">
                <a:schemeClr val="accent1">
                  <a:satMod val="175000"/>
                  <a:alpha val="14000"/>
                </a:schemeClr>
              </a:glow>
            </a:effectLst>
          </c:spPr>
          <c:marker>
            <c:symbol val="circle"/>
            <c:size val="3"/>
            <c:spPr>
              <a:solidFill>
                <a:schemeClr val="accent1">
                  <a:lumMod val="60000"/>
                  <a:lumOff val="40000"/>
                </a:schemeClr>
              </a:solidFill>
              <a:ln>
                <a:noFill/>
              </a:ln>
              <a:effectLst>
                <a:glow rad="63500">
                  <a:schemeClr val="accent1">
                    <a:satMod val="175000"/>
                    <a:alpha val="25000"/>
                  </a:schemeClr>
                </a:glow>
              </a:effectLst>
            </c:spPr>
          </c:marker>
          <c:yVal>
            <c:numRef>
              <c:f>Sheet1!$A$3:$A$7</c:f>
              <c:numCache>
                <c:formatCode>General</c:formatCode>
                <c:ptCount val="5"/>
                <c:pt idx="0">
                  <c:v>0</c:v>
                </c:pt>
                <c:pt idx="1">
                  <c:v>0.25</c:v>
                </c:pt>
                <c:pt idx="2">
                  <c:v>0.5</c:v>
                </c:pt>
                <c:pt idx="3">
                  <c:v>0.75</c:v>
                </c:pt>
                <c:pt idx="4">
                  <c:v>1</c:v>
                </c:pt>
              </c:numCache>
            </c:numRef>
          </c:yVal>
          <c:smooth val="0"/>
        </c:ser>
        <c:ser>
          <c:idx val="1"/>
          <c:order val="1"/>
          <c:tx>
            <c:strRef>
              <c:f>Sheet1!$B$2</c:f>
              <c:strCache>
                <c:ptCount val="1"/>
                <c:pt idx="0">
                  <c:v>Compliance Rate (%)</c:v>
                </c:pt>
              </c:strCache>
            </c:strRef>
          </c:tx>
          <c:spPr>
            <a:ln w="22225" cap="rnd">
              <a:solidFill>
                <a:schemeClr val="accent2"/>
              </a:solidFill>
            </a:ln>
            <a:effectLst>
              <a:glow rad="139700">
                <a:schemeClr val="accent2">
                  <a:satMod val="175000"/>
                  <a:alpha val="14000"/>
                </a:schemeClr>
              </a:glow>
            </a:effectLst>
          </c:spPr>
          <c:marker>
            <c:symbol val="circle"/>
            <c:size val="3"/>
            <c:spPr>
              <a:solidFill>
                <a:schemeClr val="accent2">
                  <a:lumMod val="60000"/>
                  <a:lumOff val="40000"/>
                </a:schemeClr>
              </a:solidFill>
              <a:ln>
                <a:noFill/>
              </a:ln>
              <a:effectLst>
                <a:glow rad="63500">
                  <a:schemeClr val="accent2">
                    <a:satMod val="175000"/>
                    <a:alpha val="25000"/>
                  </a:schemeClr>
                </a:glow>
              </a:effectLst>
            </c:spPr>
          </c:marker>
          <c:yVal>
            <c:numRef>
              <c:f>Sheet1!$B$3:$B$7</c:f>
              <c:numCache>
                <c:formatCode>General</c:formatCode>
                <c:ptCount val="5"/>
                <c:pt idx="0">
                  <c:v>55</c:v>
                </c:pt>
                <c:pt idx="1">
                  <c:v>61</c:v>
                </c:pt>
                <c:pt idx="2">
                  <c:v>68</c:v>
                </c:pt>
                <c:pt idx="3">
                  <c:v>74</c:v>
                </c:pt>
                <c:pt idx="4">
                  <c:v>80</c:v>
                </c:pt>
              </c:numCache>
            </c:numRef>
          </c:yVal>
          <c:smooth val="0"/>
        </c:ser>
        <c:ser>
          <c:idx val="2"/>
          <c:order val="2"/>
          <c:tx>
            <c:strRef>
              <c:f>Sheet1!$C$2</c:f>
              <c:strCache>
                <c:ptCount val="1"/>
                <c:pt idx="0">
                  <c:v>Under-Reporting (%)</c:v>
                </c:pt>
              </c:strCache>
            </c:strRef>
          </c:tx>
          <c:spPr>
            <a:ln w="22225" cap="rnd">
              <a:solidFill>
                <a:schemeClr val="accent3"/>
              </a:solidFill>
            </a:ln>
            <a:effectLst>
              <a:glow rad="139700">
                <a:schemeClr val="accent3">
                  <a:satMod val="175000"/>
                  <a:alpha val="14000"/>
                </a:schemeClr>
              </a:glow>
            </a:effectLst>
          </c:spPr>
          <c:marker>
            <c:symbol val="circle"/>
            <c:size val="3"/>
            <c:spPr>
              <a:solidFill>
                <a:schemeClr val="accent3">
                  <a:lumMod val="60000"/>
                  <a:lumOff val="40000"/>
                </a:schemeClr>
              </a:solidFill>
              <a:ln>
                <a:noFill/>
              </a:ln>
              <a:effectLst>
                <a:glow rad="63500">
                  <a:schemeClr val="accent3">
                    <a:satMod val="175000"/>
                    <a:alpha val="25000"/>
                  </a:schemeClr>
                </a:glow>
              </a:effectLst>
            </c:spPr>
          </c:marker>
          <c:yVal>
            <c:numRef>
              <c:f>Sheet1!$C$3:$C$7</c:f>
              <c:numCache>
                <c:formatCode>General</c:formatCode>
                <c:ptCount val="5"/>
                <c:pt idx="0">
                  <c:v>35</c:v>
                </c:pt>
                <c:pt idx="1">
                  <c:v>26</c:v>
                </c:pt>
                <c:pt idx="2">
                  <c:v>18</c:v>
                </c:pt>
                <c:pt idx="3">
                  <c:v>9</c:v>
                </c:pt>
                <c:pt idx="4">
                  <c:v>0</c:v>
                </c:pt>
              </c:numCache>
            </c:numRef>
          </c:yVal>
          <c:smooth val="0"/>
        </c:ser>
        <c:ser>
          <c:idx val="3"/>
          <c:order val="3"/>
          <c:tx>
            <c:strRef>
              <c:f>Sheet1!$D$2</c:f>
              <c:strCache>
                <c:ptCount val="1"/>
                <c:pt idx="0">
                  <c:v>Detection Probability (%)</c:v>
                </c:pt>
              </c:strCache>
            </c:strRef>
          </c:tx>
          <c:spPr>
            <a:ln w="22225" cap="rnd">
              <a:solidFill>
                <a:schemeClr val="accent4"/>
              </a:solidFill>
            </a:ln>
            <a:effectLst>
              <a:glow rad="139700">
                <a:schemeClr val="accent4">
                  <a:satMod val="175000"/>
                  <a:alpha val="14000"/>
                </a:schemeClr>
              </a:glow>
            </a:effectLst>
          </c:spPr>
          <c:marker>
            <c:symbol val="circle"/>
            <c:size val="3"/>
            <c:spPr>
              <a:solidFill>
                <a:schemeClr val="accent4">
                  <a:lumMod val="60000"/>
                  <a:lumOff val="40000"/>
                </a:schemeClr>
              </a:solidFill>
              <a:ln>
                <a:noFill/>
              </a:ln>
              <a:effectLst>
                <a:glow rad="63500">
                  <a:schemeClr val="accent4">
                    <a:satMod val="175000"/>
                    <a:alpha val="25000"/>
                  </a:schemeClr>
                </a:glow>
              </a:effectLst>
            </c:spPr>
          </c:marker>
          <c:yVal>
            <c:numRef>
              <c:f>Sheet1!$D$3:$D$7</c:f>
              <c:numCache>
                <c:formatCode>General</c:formatCode>
                <c:ptCount val="5"/>
                <c:pt idx="0">
                  <c:v>7</c:v>
                </c:pt>
                <c:pt idx="1">
                  <c:v>26</c:v>
                </c:pt>
                <c:pt idx="2">
                  <c:v>45</c:v>
                </c:pt>
                <c:pt idx="3">
                  <c:v>63</c:v>
                </c:pt>
                <c:pt idx="4">
                  <c:v>82</c:v>
                </c:pt>
              </c:numCache>
            </c:numRef>
          </c:yVal>
          <c:smooth val="0"/>
        </c:ser>
        <c:ser>
          <c:idx val="4"/>
          <c:order val="4"/>
          <c:tx>
            <c:strRef>
              <c:f>Sheet1!$E$2</c:f>
              <c:strCache>
                <c:ptCount val="1"/>
                <c:pt idx="0">
                  <c:v>Aggregate Revenue (₦ billion)</c:v>
                </c:pt>
              </c:strCache>
            </c:strRef>
          </c:tx>
          <c:spPr>
            <a:ln w="22225" cap="rnd">
              <a:solidFill>
                <a:schemeClr val="accent5"/>
              </a:solidFill>
            </a:ln>
            <a:effectLst>
              <a:glow rad="139700">
                <a:schemeClr val="accent5">
                  <a:satMod val="175000"/>
                  <a:alpha val="14000"/>
                </a:schemeClr>
              </a:glow>
            </a:effectLst>
          </c:spPr>
          <c:marker>
            <c:symbol val="circle"/>
            <c:size val="3"/>
            <c:spPr>
              <a:solidFill>
                <a:schemeClr val="accent5">
                  <a:lumMod val="60000"/>
                  <a:lumOff val="40000"/>
                </a:schemeClr>
              </a:solidFill>
              <a:ln>
                <a:noFill/>
              </a:ln>
              <a:effectLst>
                <a:glow rad="63500">
                  <a:schemeClr val="accent5">
                    <a:satMod val="175000"/>
                    <a:alpha val="25000"/>
                  </a:schemeClr>
                </a:glow>
              </a:effectLst>
            </c:spPr>
          </c:marker>
          <c:yVal>
            <c:numRef>
              <c:f>Sheet1!$E$3:$E$7</c:f>
              <c:numCache>
                <c:formatCode>#,##0</c:formatCode>
                <c:ptCount val="5"/>
                <c:pt idx="0">
                  <c:v>1950</c:v>
                </c:pt>
                <c:pt idx="1">
                  <c:v>2250</c:v>
                </c:pt>
                <c:pt idx="2">
                  <c:v>2450</c:v>
                </c:pt>
                <c:pt idx="3">
                  <c:v>2500</c:v>
                </c:pt>
                <c:pt idx="4">
                  <c:v>2480</c:v>
                </c:pt>
              </c:numCache>
            </c:numRef>
          </c:yVal>
          <c:smooth val="0"/>
        </c:ser>
        <c:ser>
          <c:idx val="5"/>
          <c:order val="5"/>
          <c:tx>
            <c:strRef>
              <c:f>Sheet1!$F$2</c:f>
              <c:strCache>
                <c:ptCount val="1"/>
                <c:pt idx="0">
                  <c:v>Tax Gap (₦ billion)</c:v>
                </c:pt>
              </c:strCache>
            </c:strRef>
          </c:tx>
          <c:spPr>
            <a:ln w="22225" cap="rnd">
              <a:solidFill>
                <a:schemeClr val="accent6"/>
              </a:solidFill>
            </a:ln>
            <a:effectLst>
              <a:glow rad="139700">
                <a:schemeClr val="accent6">
                  <a:satMod val="175000"/>
                  <a:alpha val="14000"/>
                </a:schemeClr>
              </a:glow>
            </a:effectLst>
          </c:spPr>
          <c:marker>
            <c:symbol val="circle"/>
            <c:size val="3"/>
            <c:spPr>
              <a:solidFill>
                <a:schemeClr val="accent6">
                  <a:lumMod val="60000"/>
                  <a:lumOff val="40000"/>
                </a:schemeClr>
              </a:solidFill>
              <a:ln>
                <a:noFill/>
              </a:ln>
              <a:effectLst>
                <a:glow rad="63500">
                  <a:schemeClr val="accent6">
                    <a:satMod val="175000"/>
                    <a:alpha val="25000"/>
                  </a:schemeClr>
                </a:glow>
              </a:effectLst>
            </c:spPr>
          </c:marker>
          <c:yVal>
            <c:numRef>
              <c:f>Sheet1!$F$3:$F$7</c:f>
              <c:numCache>
                <c:formatCode>General</c:formatCode>
                <c:ptCount val="5"/>
                <c:pt idx="0">
                  <c:v>500</c:v>
                </c:pt>
                <c:pt idx="1">
                  <c:v>200</c:v>
                </c:pt>
                <c:pt idx="2">
                  <c:v>50</c:v>
                </c:pt>
                <c:pt idx="3">
                  <c:v>0</c:v>
                </c:pt>
                <c:pt idx="4">
                  <c:v>0</c:v>
                </c:pt>
              </c:numCache>
            </c:numRef>
          </c:yVal>
          <c:smooth val="0"/>
        </c:ser>
        <c:dLbls>
          <c:showLegendKey val="0"/>
          <c:showVal val="0"/>
          <c:showCatName val="0"/>
          <c:showSerName val="0"/>
          <c:showPercent val="0"/>
          <c:showBubbleSize val="0"/>
        </c:dLbls>
        <c:axId val="584237368"/>
        <c:axId val="584236192"/>
      </c:scatterChart>
      <c:valAx>
        <c:axId val="584237368"/>
        <c:scaling>
          <c:orientation val="minMax"/>
        </c:scaling>
        <c:delete val="0"/>
        <c:axPos val="b"/>
        <c:majorGridlines>
          <c:spPr>
            <a:ln w="9525" cap="flat" cmpd="sng" algn="ctr">
              <a:solidFill>
                <a:schemeClr val="dk1">
                  <a:lumMod val="65000"/>
                  <a:lumOff val="35000"/>
                  <a:alpha val="75000"/>
                </a:schemeClr>
              </a:solidFill>
              <a:round/>
            </a:ln>
            <a:effectLst/>
          </c:spPr>
        </c:majorGridlines>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lang="en-US" sz="900" b="0" i="0" u="none" strike="noStrike" kern="1200" baseline="0">
                <a:solidFill>
                  <a:schemeClr val="lt1">
                    <a:lumMod val="75000"/>
                  </a:schemeClr>
                </a:solidFill>
                <a:latin typeface="+mn-lt"/>
                <a:ea typeface="+mn-ea"/>
                <a:cs typeface="+mn-cs"/>
              </a:defRPr>
            </a:pPr>
            <a:endParaRPr lang="en-US"/>
          </a:p>
        </c:txPr>
        <c:crossAx val="584236192"/>
        <c:crosses val="autoZero"/>
        <c:crossBetween val="midCat"/>
      </c:valAx>
      <c:valAx>
        <c:axId val="584236192"/>
        <c:scaling>
          <c:orientation val="minMax"/>
        </c:scaling>
        <c:delete val="0"/>
        <c:axPos val="l"/>
        <c:majorGridlines>
          <c:spPr>
            <a:ln w="9525" cap="flat" cmpd="sng" algn="ctr">
              <a:solidFill>
                <a:schemeClr val="dk1">
                  <a:lumMod val="65000"/>
                  <a:lumOff val="35000"/>
                  <a:alpha val="75000"/>
                </a:schemeClr>
              </a:solidFill>
              <a:round/>
            </a:ln>
            <a:effectLst/>
          </c:spPr>
        </c:majorGridlines>
        <c:numFmt formatCode="General" sourceLinked="1"/>
        <c:majorTickMark val="none"/>
        <c:minorTickMark val="none"/>
        <c:tickLblPos val="nextTo"/>
        <c:spPr>
          <a:noFill/>
          <a:ln w="9525" cap="flat" cmpd="sng" algn="ctr">
            <a:solidFill>
              <a:schemeClr val="lt1">
                <a:lumMod val="50000"/>
              </a:schemeClr>
            </a:solidFill>
            <a:round/>
          </a:ln>
          <a:effectLst/>
        </c:spPr>
        <c:txPr>
          <a:bodyPr rot="-60000000" spcFirstLastPara="1" vertOverflow="ellipsis" vert="horz" wrap="square" anchor="ctr" anchorCtr="1"/>
          <a:lstStyle/>
          <a:p>
            <a:pPr>
              <a:defRPr lang="en-US" sz="900" b="0" i="0" u="none" strike="noStrike" kern="1200" baseline="0">
                <a:solidFill>
                  <a:schemeClr val="lt1">
                    <a:lumMod val="75000"/>
                  </a:schemeClr>
                </a:solidFill>
                <a:latin typeface="+mn-lt"/>
                <a:ea typeface="+mn-ea"/>
                <a:cs typeface="+mn-cs"/>
              </a:defRPr>
            </a:pPr>
            <a:endParaRPr lang="en-US"/>
          </a:p>
        </c:txPr>
        <c:crossAx val="584237368"/>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lt1">
                  <a:lumMod val="75000"/>
                </a:schemeClr>
              </a:solidFill>
              <a:latin typeface="+mn-lt"/>
              <a:ea typeface="+mn-ea"/>
              <a:cs typeface="+mn-cs"/>
            </a:defRPr>
          </a:pPr>
          <a:endParaRPr lang="en-US"/>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sz="1600" b="1" i="0" u="none" strike="noStrike" baseline="0">
                <a:effectLst>
                  <a:outerShdw blurRad="50800" dist="38100" dir="5400000" algn="t" rotWithShape="0">
                    <a:prstClr val="black">
                      <a:alpha val="40000"/>
                    </a:prstClr>
                  </a:outerShdw>
                </a:effectLst>
              </a:rPr>
              <a:t>Sectoral Simulation</a:t>
            </a:r>
            <a:endParaRPr lang="en-US"/>
          </a:p>
        </c:rich>
      </c:tx>
      <c:overlay val="0"/>
      <c:spPr>
        <a:noFill/>
        <a:ln>
          <a:noFill/>
        </a:ln>
        <a:effectLst/>
      </c:spPr>
      <c:txPr>
        <a:bodyPr rot="0" spcFirstLastPara="1" vertOverflow="ellipsis" vert="horz" wrap="square" anchor="ctr" anchorCtr="1"/>
        <a:lstStyle/>
        <a:p>
          <a:pPr>
            <a:defRPr lang="en-US"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bar"/>
        <c:grouping val="stack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Sheet2!$A$2:$A$7</c:f>
              <c:strCache>
                <c:ptCount val="6"/>
                <c:pt idx="0">
                  <c:v>Oil &amp; Gas</c:v>
                </c:pt>
                <c:pt idx="1">
                  <c:v>Manufacturing</c:v>
                </c:pt>
                <c:pt idx="2">
                  <c:v>Telecommunications</c:v>
                </c:pt>
                <c:pt idx="3">
                  <c:v>Retail &amp; Trade</c:v>
                </c:pt>
                <c:pt idx="4">
                  <c:v>Financial Services</c:v>
                </c:pt>
                <c:pt idx="5">
                  <c:v>Total</c:v>
                </c:pt>
              </c:strCache>
            </c:strRef>
          </c:cat>
          <c:val>
            <c:numRef>
              <c:f>Sheet2!$B$2:$B$7</c:f>
              <c:numCache>
                <c:formatCode>General</c:formatCode>
                <c:ptCount val="6"/>
                <c:pt idx="0">
                  <c:v>500</c:v>
                </c:pt>
                <c:pt idx="1">
                  <c:v>300</c:v>
                </c:pt>
                <c:pt idx="2">
                  <c:v>250</c:v>
                </c:pt>
                <c:pt idx="3">
                  <c:v>400</c:v>
                </c:pt>
                <c:pt idx="4">
                  <c:v>200</c:v>
                </c:pt>
                <c:pt idx="5" formatCode="#,##0">
                  <c:v>1650</c:v>
                </c:pt>
              </c:numCache>
            </c:numRef>
          </c:val>
        </c:ser>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Sheet2!$A$2:$A$7</c:f>
              <c:strCache>
                <c:ptCount val="6"/>
                <c:pt idx="0">
                  <c:v>Oil &amp; Gas</c:v>
                </c:pt>
                <c:pt idx="1">
                  <c:v>Manufacturing</c:v>
                </c:pt>
                <c:pt idx="2">
                  <c:v>Telecommunications</c:v>
                </c:pt>
                <c:pt idx="3">
                  <c:v>Retail &amp; Trade</c:v>
                </c:pt>
                <c:pt idx="4">
                  <c:v>Financial Services</c:v>
                </c:pt>
                <c:pt idx="5">
                  <c:v>Total</c:v>
                </c:pt>
              </c:strCache>
            </c:strRef>
          </c:cat>
          <c:val>
            <c:numRef>
              <c:f>Sheet2!$C$2:$C$7</c:f>
              <c:numCache>
                <c:formatCode>General</c:formatCode>
                <c:ptCount val="6"/>
                <c:pt idx="0">
                  <c:v>575</c:v>
                </c:pt>
                <c:pt idx="1">
                  <c:v>370</c:v>
                </c:pt>
                <c:pt idx="2">
                  <c:v>315</c:v>
                </c:pt>
                <c:pt idx="3">
                  <c:v>520</c:v>
                </c:pt>
                <c:pt idx="4">
                  <c:v>235</c:v>
                </c:pt>
                <c:pt idx="5" formatCode="#,##0">
                  <c:v>2015</c:v>
                </c:pt>
              </c:numCache>
            </c:numRef>
          </c:val>
        </c:ser>
        <c:ser>
          <c:idx val="2"/>
          <c:order val="2"/>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Sheet2!$A$2:$A$7</c:f>
              <c:strCache>
                <c:ptCount val="6"/>
                <c:pt idx="0">
                  <c:v>Oil &amp; Gas</c:v>
                </c:pt>
                <c:pt idx="1">
                  <c:v>Manufacturing</c:v>
                </c:pt>
                <c:pt idx="2">
                  <c:v>Telecommunications</c:v>
                </c:pt>
                <c:pt idx="3">
                  <c:v>Retail &amp; Trade</c:v>
                </c:pt>
                <c:pt idx="4">
                  <c:v>Financial Services</c:v>
                </c:pt>
                <c:pt idx="5">
                  <c:v>Total</c:v>
                </c:pt>
              </c:strCache>
            </c:strRef>
          </c:cat>
          <c:val>
            <c:numRef>
              <c:f>Sheet2!$D$2:$D$7</c:f>
              <c:numCache>
                <c:formatCode>General</c:formatCode>
                <c:ptCount val="6"/>
                <c:pt idx="0">
                  <c:v>75</c:v>
                </c:pt>
                <c:pt idx="1">
                  <c:v>70</c:v>
                </c:pt>
                <c:pt idx="2">
                  <c:v>65</c:v>
                </c:pt>
                <c:pt idx="3">
                  <c:v>120</c:v>
                </c:pt>
                <c:pt idx="4">
                  <c:v>35</c:v>
                </c:pt>
                <c:pt idx="5">
                  <c:v>365</c:v>
                </c:pt>
              </c:numCache>
            </c:numRef>
          </c:val>
        </c:ser>
        <c:ser>
          <c:idx val="3"/>
          <c:order val="3"/>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Sheet2!$A$2:$A$7</c:f>
              <c:strCache>
                <c:ptCount val="6"/>
                <c:pt idx="0">
                  <c:v>Oil &amp; Gas</c:v>
                </c:pt>
                <c:pt idx="1">
                  <c:v>Manufacturing</c:v>
                </c:pt>
                <c:pt idx="2">
                  <c:v>Telecommunications</c:v>
                </c:pt>
                <c:pt idx="3">
                  <c:v>Retail &amp; Trade</c:v>
                </c:pt>
                <c:pt idx="4">
                  <c:v>Financial Services</c:v>
                </c:pt>
                <c:pt idx="5">
                  <c:v>Total</c:v>
                </c:pt>
              </c:strCache>
            </c:strRef>
          </c:cat>
          <c:val>
            <c:numRef>
              <c:f>Sheet2!$E$2:$E$7</c:f>
              <c:numCache>
                <c:formatCode>General</c:formatCode>
                <c:ptCount val="6"/>
                <c:pt idx="0">
                  <c:v>15</c:v>
                </c:pt>
                <c:pt idx="1">
                  <c:v>23</c:v>
                </c:pt>
                <c:pt idx="2">
                  <c:v>26</c:v>
                </c:pt>
                <c:pt idx="3">
                  <c:v>30</c:v>
                </c:pt>
                <c:pt idx="4">
                  <c:v>17.5</c:v>
                </c:pt>
                <c:pt idx="5">
                  <c:v>22</c:v>
                </c:pt>
              </c:numCache>
            </c:numRef>
          </c:val>
        </c:ser>
        <c:dLbls>
          <c:showLegendKey val="0"/>
          <c:showVal val="0"/>
          <c:showCatName val="0"/>
          <c:showSerName val="0"/>
          <c:showPercent val="0"/>
          <c:showBubbleSize val="0"/>
        </c:dLbls>
        <c:gapWidth val="150"/>
        <c:overlap val="100"/>
        <c:axId val="583568640"/>
        <c:axId val="583569816"/>
      </c:barChart>
      <c:catAx>
        <c:axId val="583568640"/>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lang="en-US" sz="900" b="0" i="0" u="none" strike="noStrike" kern="1200" baseline="0">
                <a:solidFill>
                  <a:schemeClr val="lt1">
                    <a:lumMod val="85000"/>
                  </a:schemeClr>
                </a:solidFill>
                <a:latin typeface="+mn-lt"/>
                <a:ea typeface="+mn-ea"/>
                <a:cs typeface="+mn-cs"/>
              </a:defRPr>
            </a:pPr>
            <a:endParaRPr lang="en-US"/>
          </a:p>
        </c:txPr>
        <c:crossAx val="583569816"/>
        <c:crosses val="autoZero"/>
        <c:auto val="1"/>
        <c:lblAlgn val="ctr"/>
        <c:lblOffset val="100"/>
        <c:noMultiLvlLbl val="0"/>
      </c:catAx>
      <c:valAx>
        <c:axId val="5835698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lt1">
                    <a:lumMod val="85000"/>
                  </a:schemeClr>
                </a:solidFill>
                <a:latin typeface="+mn-lt"/>
                <a:ea typeface="+mn-ea"/>
                <a:cs typeface="+mn-cs"/>
              </a:defRPr>
            </a:pPr>
            <a:endParaRPr lang="en-US"/>
          </a:p>
        </c:txPr>
        <c:crossAx val="583568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1" i="0" u="none" strike="noStrike" kern="1200" cap="none" baseline="0">
                <a:solidFill>
                  <a:schemeClr val="lt1">
                    <a:lumMod val="85000"/>
                  </a:schemeClr>
                </a:solidFill>
                <a:latin typeface="+mn-lt"/>
                <a:ea typeface="+mn-ea"/>
                <a:cs typeface="+mn-cs"/>
              </a:defRPr>
            </a:pPr>
            <a:r>
              <a:rPr lang="en-US" sz="1400" b="1" i="0" u="none" strike="noStrike" cap="none" baseline="0"/>
              <a:t>Sensitivity Analysis</a:t>
            </a:r>
            <a:endParaRPr lang="en-US"/>
          </a:p>
        </c:rich>
      </c:tx>
      <c:overlay val="0"/>
      <c:spPr>
        <a:noFill/>
        <a:ln>
          <a:noFill/>
        </a:ln>
        <a:effectLst/>
      </c:spPr>
      <c:txPr>
        <a:bodyPr rot="0" spcFirstLastPara="1" vertOverflow="ellipsis" vert="horz" wrap="square" anchor="ctr" anchorCtr="1"/>
        <a:lstStyle/>
        <a:p>
          <a:pPr>
            <a:defRPr lang="en-US" sz="1400" b="1" i="0" u="none" strike="noStrike" kern="1200" cap="none" baseline="0">
              <a:solidFill>
                <a:schemeClr val="lt1">
                  <a:lumMod val="85000"/>
                </a:schemeClr>
              </a:solidFill>
              <a:latin typeface="+mn-lt"/>
              <a:ea typeface="+mn-ea"/>
              <a:cs typeface="+mn-cs"/>
            </a:defRPr>
          </a:pPr>
          <a:endParaRPr lang="en-US"/>
        </a:p>
      </c:txPr>
    </c:title>
    <c:autoTitleDeleted val="0"/>
    <c:plotArea>
      <c:layout/>
      <c:lineChart>
        <c:grouping val="standard"/>
        <c:varyColors val="0"/>
        <c:ser>
          <c:idx val="0"/>
          <c:order val="0"/>
          <c:tx>
            <c:strRef>
              <c:f>Sheet3!$B$1</c:f>
              <c:strCache>
                <c:ptCount val="1"/>
                <c:pt idx="0">
                  <c:v>α (Compliance Response)</c:v>
                </c:pt>
              </c:strCache>
            </c:strRef>
          </c:tx>
          <c:spPr>
            <a:ln w="22225" cap="rnd">
              <a:solidFill>
                <a:schemeClr val="accent1"/>
              </a:solidFill>
            </a:ln>
            <a:effectLst>
              <a:glow rad="139700">
                <a:schemeClr val="accent1">
                  <a:satMod val="175000"/>
                  <a:alpha val="14000"/>
                </a:schemeClr>
              </a:glow>
            </a:effectLst>
          </c:spPr>
          <c:marker>
            <c:symbol val="none"/>
          </c:marker>
          <c:cat>
            <c:strRef>
              <c:f>Sheet3!$A$2:$A$6</c:f>
              <c:strCache>
                <c:ptCount val="5"/>
                <c:pt idx="0">
                  <c:v>Baseline</c:v>
                </c:pt>
                <c:pt idx="1">
                  <c:v>Higher Response</c:v>
                </c:pt>
                <c:pt idx="2">
                  <c:v>Lower Response</c:v>
                </c:pt>
                <c:pt idx="3">
                  <c:v>Higher Fixed Cost</c:v>
                </c:pt>
                <c:pt idx="4">
                  <c:v>Lower Fixed Cost</c:v>
                </c:pt>
              </c:strCache>
            </c:strRef>
          </c:cat>
          <c:val>
            <c:numRef>
              <c:f>Sheet3!$B$2:$B$6</c:f>
              <c:numCache>
                <c:formatCode>General</c:formatCode>
                <c:ptCount val="5"/>
                <c:pt idx="0">
                  <c:v>0.25</c:v>
                </c:pt>
                <c:pt idx="1">
                  <c:v>0.4</c:v>
                </c:pt>
                <c:pt idx="2">
                  <c:v>0.1</c:v>
                </c:pt>
                <c:pt idx="3">
                  <c:v>0.25</c:v>
                </c:pt>
                <c:pt idx="4">
                  <c:v>0.25</c:v>
                </c:pt>
              </c:numCache>
            </c:numRef>
          </c:val>
          <c:smooth val="0"/>
        </c:ser>
        <c:ser>
          <c:idx val="1"/>
          <c:order val="1"/>
          <c:tx>
            <c:strRef>
              <c:f>Sheet3!$C$1</c:f>
              <c:strCache>
                <c:ptCount val="1"/>
                <c:pt idx="0">
                  <c:v>Fixed Cost (₦ billion)</c:v>
                </c:pt>
              </c:strCache>
            </c:strRef>
          </c:tx>
          <c:spPr>
            <a:ln w="22225" cap="rnd">
              <a:solidFill>
                <a:schemeClr val="accent2"/>
              </a:solidFill>
            </a:ln>
            <a:effectLst>
              <a:glow rad="139700">
                <a:schemeClr val="accent2">
                  <a:satMod val="175000"/>
                  <a:alpha val="14000"/>
                </a:schemeClr>
              </a:glow>
            </a:effectLst>
          </c:spPr>
          <c:marker>
            <c:symbol val="none"/>
          </c:marker>
          <c:cat>
            <c:strRef>
              <c:f>Sheet3!$A$2:$A$6</c:f>
              <c:strCache>
                <c:ptCount val="5"/>
                <c:pt idx="0">
                  <c:v>Baseline</c:v>
                </c:pt>
                <c:pt idx="1">
                  <c:v>Higher Response</c:v>
                </c:pt>
                <c:pt idx="2">
                  <c:v>Lower Response</c:v>
                </c:pt>
                <c:pt idx="3">
                  <c:v>Higher Fixed Cost</c:v>
                </c:pt>
                <c:pt idx="4">
                  <c:v>Lower Fixed Cost</c:v>
                </c:pt>
              </c:strCache>
            </c:strRef>
          </c:cat>
          <c:val>
            <c:numRef>
              <c:f>Sheet3!$C$2:$C$6</c:f>
              <c:numCache>
                <c:formatCode>General</c:formatCode>
                <c:ptCount val="5"/>
                <c:pt idx="0">
                  <c:v>20</c:v>
                </c:pt>
                <c:pt idx="1">
                  <c:v>20</c:v>
                </c:pt>
                <c:pt idx="2">
                  <c:v>20</c:v>
                </c:pt>
                <c:pt idx="3">
                  <c:v>40</c:v>
                </c:pt>
                <c:pt idx="4">
                  <c:v>10</c:v>
                </c:pt>
              </c:numCache>
            </c:numRef>
          </c:val>
          <c:smooth val="0"/>
        </c:ser>
        <c:ser>
          <c:idx val="2"/>
          <c:order val="2"/>
          <c:tx>
            <c:strRef>
              <c:f>Sheet3!$D$1</c:f>
              <c:strCache>
                <c:ptCount val="1"/>
                <c:pt idx="0">
                  <c:v>Incremental Revenue (₦ billion)</c:v>
                </c:pt>
              </c:strCache>
            </c:strRef>
          </c:tx>
          <c:spPr>
            <a:ln w="22225" cap="rnd">
              <a:solidFill>
                <a:schemeClr val="accent3"/>
              </a:solidFill>
            </a:ln>
            <a:effectLst>
              <a:glow rad="139700">
                <a:schemeClr val="accent3">
                  <a:satMod val="175000"/>
                  <a:alpha val="14000"/>
                </a:schemeClr>
              </a:glow>
            </a:effectLst>
          </c:spPr>
          <c:marker>
            <c:symbol val="none"/>
          </c:marker>
          <c:cat>
            <c:strRef>
              <c:f>Sheet3!$A$2:$A$6</c:f>
              <c:strCache>
                <c:ptCount val="5"/>
                <c:pt idx="0">
                  <c:v>Baseline</c:v>
                </c:pt>
                <c:pt idx="1">
                  <c:v>Higher Response</c:v>
                </c:pt>
                <c:pt idx="2">
                  <c:v>Lower Response</c:v>
                </c:pt>
                <c:pt idx="3">
                  <c:v>Higher Fixed Cost</c:v>
                </c:pt>
                <c:pt idx="4">
                  <c:v>Lower Fixed Cost</c:v>
                </c:pt>
              </c:strCache>
            </c:strRef>
          </c:cat>
          <c:val>
            <c:numRef>
              <c:f>Sheet3!$D$2:$D$6</c:f>
              <c:numCache>
                <c:formatCode>General</c:formatCode>
                <c:ptCount val="5"/>
                <c:pt idx="0">
                  <c:v>530</c:v>
                </c:pt>
                <c:pt idx="1">
                  <c:v>650</c:v>
                </c:pt>
                <c:pt idx="2">
                  <c:v>250</c:v>
                </c:pt>
                <c:pt idx="3">
                  <c:v>530</c:v>
                </c:pt>
                <c:pt idx="4">
                  <c:v>530</c:v>
                </c:pt>
              </c:numCache>
            </c:numRef>
          </c:val>
          <c:smooth val="0"/>
        </c:ser>
        <c:ser>
          <c:idx val="3"/>
          <c:order val="3"/>
          <c:tx>
            <c:strRef>
              <c:f>Sheet3!$E$1</c:f>
              <c:strCache>
                <c:ptCount val="1"/>
                <c:pt idx="0">
                  <c:v>Net Benefit (₦ billion)</c:v>
                </c:pt>
              </c:strCache>
            </c:strRef>
          </c:tx>
          <c:spPr>
            <a:ln w="22225" cap="rnd">
              <a:solidFill>
                <a:schemeClr val="accent4"/>
              </a:solidFill>
            </a:ln>
            <a:effectLst>
              <a:glow rad="139700">
                <a:schemeClr val="accent4">
                  <a:satMod val="175000"/>
                  <a:alpha val="14000"/>
                </a:schemeClr>
              </a:glow>
            </a:effectLst>
          </c:spPr>
          <c:marker>
            <c:symbol val="none"/>
          </c:marker>
          <c:cat>
            <c:strRef>
              <c:f>Sheet3!$A$2:$A$6</c:f>
              <c:strCache>
                <c:ptCount val="5"/>
                <c:pt idx="0">
                  <c:v>Baseline</c:v>
                </c:pt>
                <c:pt idx="1">
                  <c:v>Higher Response</c:v>
                </c:pt>
                <c:pt idx="2">
                  <c:v>Lower Response</c:v>
                </c:pt>
                <c:pt idx="3">
                  <c:v>Higher Fixed Cost</c:v>
                </c:pt>
                <c:pt idx="4">
                  <c:v>Lower Fixed Cost</c:v>
                </c:pt>
              </c:strCache>
            </c:strRef>
          </c:cat>
          <c:val>
            <c:numRef>
              <c:f>Sheet3!$E$2:$E$6</c:f>
              <c:numCache>
                <c:formatCode>General</c:formatCode>
                <c:ptCount val="5"/>
                <c:pt idx="0">
                  <c:v>490</c:v>
                </c:pt>
                <c:pt idx="1">
                  <c:v>610</c:v>
                </c:pt>
                <c:pt idx="2">
                  <c:v>210</c:v>
                </c:pt>
                <c:pt idx="3">
                  <c:v>470</c:v>
                </c:pt>
                <c:pt idx="4">
                  <c:v>500</c:v>
                </c:pt>
              </c:numCache>
            </c:numRef>
          </c:val>
          <c:smooth val="0"/>
        </c:ser>
        <c:ser>
          <c:idx val="4"/>
          <c:order val="4"/>
          <c:tx>
            <c:strRef>
              <c:f>Sheet3!$F$1</c:f>
              <c:strCache>
                <c:ptCount val="1"/>
                <c:pt idx="0">
                  <c:v>ROI</c:v>
                </c:pt>
              </c:strCache>
            </c:strRef>
          </c:tx>
          <c:spPr>
            <a:ln w="22225" cap="rnd">
              <a:solidFill>
                <a:schemeClr val="accent5"/>
              </a:solidFill>
            </a:ln>
            <a:effectLst>
              <a:glow rad="139700">
                <a:schemeClr val="accent5">
                  <a:satMod val="175000"/>
                  <a:alpha val="14000"/>
                </a:schemeClr>
              </a:glow>
            </a:effectLst>
          </c:spPr>
          <c:marker>
            <c:symbol val="none"/>
          </c:marker>
          <c:cat>
            <c:strRef>
              <c:f>Sheet3!$A$2:$A$6</c:f>
              <c:strCache>
                <c:ptCount val="5"/>
                <c:pt idx="0">
                  <c:v>Baseline</c:v>
                </c:pt>
                <c:pt idx="1">
                  <c:v>Higher Response</c:v>
                </c:pt>
                <c:pt idx="2">
                  <c:v>Lower Response</c:v>
                </c:pt>
                <c:pt idx="3">
                  <c:v>Higher Fixed Cost</c:v>
                </c:pt>
                <c:pt idx="4">
                  <c:v>Lower Fixed Cost</c:v>
                </c:pt>
              </c:strCache>
            </c:strRef>
          </c:cat>
          <c:val>
            <c:numRef>
              <c:f>Sheet3!$F$2:$F$6</c:f>
              <c:numCache>
                <c:formatCode>General</c:formatCode>
                <c:ptCount val="5"/>
                <c:pt idx="0">
                  <c:v>13.3</c:v>
                </c:pt>
                <c:pt idx="1">
                  <c:v>16.3</c:v>
                </c:pt>
                <c:pt idx="2">
                  <c:v>6.3</c:v>
                </c:pt>
                <c:pt idx="3">
                  <c:v>8.8000000000000007</c:v>
                </c:pt>
                <c:pt idx="4">
                  <c:v>17.7</c:v>
                </c:pt>
              </c:numCache>
            </c:numRef>
          </c:val>
          <c:smooth val="0"/>
        </c:ser>
        <c:dLbls>
          <c:showLegendKey val="0"/>
          <c:showVal val="0"/>
          <c:showCatName val="0"/>
          <c:showSerName val="0"/>
          <c:showPercent val="0"/>
          <c:showBubbleSize val="0"/>
        </c:dLbls>
        <c:smooth val="0"/>
        <c:axId val="583570208"/>
        <c:axId val="583564328"/>
      </c:lineChart>
      <c:catAx>
        <c:axId val="5835702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lt1">
                    <a:lumMod val="75000"/>
                  </a:schemeClr>
                </a:solidFill>
                <a:latin typeface="+mn-lt"/>
                <a:ea typeface="+mn-ea"/>
                <a:cs typeface="+mn-cs"/>
              </a:defRPr>
            </a:pPr>
            <a:endParaRPr lang="en-US"/>
          </a:p>
        </c:txPr>
        <c:crossAx val="583564328"/>
        <c:crosses val="autoZero"/>
        <c:auto val="1"/>
        <c:lblAlgn val="ctr"/>
        <c:lblOffset val="100"/>
        <c:noMultiLvlLbl val="0"/>
      </c:catAx>
      <c:valAx>
        <c:axId val="5835643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lt1">
                    <a:lumMod val="75000"/>
                  </a:schemeClr>
                </a:solidFill>
                <a:latin typeface="+mn-lt"/>
                <a:ea typeface="+mn-ea"/>
                <a:cs typeface="+mn-cs"/>
              </a:defRPr>
            </a:pPr>
            <a:endParaRPr lang="en-US"/>
          </a:p>
        </c:txPr>
        <c:crossAx val="58357020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lt1">
                  <a:lumMod val="75000"/>
                </a:schemeClr>
              </a:solidFill>
              <a:latin typeface="+mn-lt"/>
              <a:ea typeface="+mn-ea"/>
              <a:cs typeface="+mn-cs"/>
            </a:defRPr>
          </a:pPr>
          <a:endParaRPr lang="en-US"/>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5">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3"/>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dk1">
            <a:lumMod val="65000"/>
            <a:lumOff val="35000"/>
            <a:alpha val="75000"/>
          </a:schemeClr>
        </a:solidFill>
        <a:round/>
      </a:ln>
    </cs:spPr>
  </cs:gridlineMajor>
  <cs:gridlineMinor>
    <cs:lnRef idx="0"/>
    <cs:fillRef idx="0"/>
    <cs:effectRef idx="0"/>
    <cs:fontRef idx="minor">
      <a:schemeClr val="tx1"/>
    </cs:fontRef>
    <cs:spPr>
      <a:ln w="9525" cap="flat" cmpd="sng" algn="ctr">
        <a:solidFill>
          <a:schemeClr val="dk1">
            <a:lumMod val="65000"/>
            <a:lumOff val="35000"/>
            <a:alpha val="25000"/>
          </a:schemeClr>
        </a:soli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spPr>
      <a:ln w="9525" cap="flat" cmpd="sng" algn="ctr">
        <a:solidFill>
          <a:schemeClr val="lt1">
            <a:lumMod val="50000"/>
          </a:schemeClr>
        </a:solidFill>
        <a:round/>
      </a:ln>
    </cs:spPr>
    <cs:defRPr sz="900" kern="1200"/>
    <cs:bodyPr/>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0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36">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587F5B-6AFA-4D72-92C8-87C0B201F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20</Pages>
  <Words>5789</Words>
  <Characters>33003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38715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Microsoft account</cp:lastModifiedBy>
  <cp:revision>9</cp:revision>
  <dcterms:created xsi:type="dcterms:W3CDTF">2025-10-13T16:36:00Z</dcterms:created>
  <dcterms:modified xsi:type="dcterms:W3CDTF">2025-10-15T16:03:00Z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2ac5c2ef-c4cc-4338-af8c-e51d73a91c4c</vt:lpwstr>
  </property>
  <property fmtid="{D5CDD505-2E9C-101B-9397-08002B2CF9AE}" pid="3" name="KSOProductBuildVer">
    <vt:lpwstr>1033-11.2.0.10426</vt:lpwstr>
  </property>
  <property fmtid="{D5CDD505-2E9C-101B-9397-08002B2CF9AE}" pid="4" name="ICV">
    <vt:lpwstr>50C3613DEF414FA6A67A81E235E55319</vt:lpwstr>
  </property>
</Properties>
</file>