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39AD" w14:textId="196F5FB4" w:rsidR="00754C9A" w:rsidRPr="00E22389" w:rsidRDefault="00E22389" w:rsidP="00E22389">
      <w:pPr>
        <w:pStyle w:val="Title"/>
        <w:spacing w:after="0"/>
        <w:jc w:val="left"/>
        <w:rPr>
          <w:rFonts w:ascii="Arial" w:hAnsi="Arial" w:cs="Arial"/>
          <w:u w:val="single"/>
        </w:rPr>
      </w:pPr>
      <w:r w:rsidRPr="00E22389">
        <w:rPr>
          <w:rFonts w:ascii="Arial" w:hAnsi="Arial" w:cs="Arial"/>
          <w:u w:val="single"/>
        </w:rPr>
        <w:t>Original Research Article</w:t>
      </w:r>
    </w:p>
    <w:p w14:paraId="286D8AE6" w14:textId="2E62E8C6" w:rsidR="00163BC4" w:rsidRPr="00163BC4" w:rsidRDefault="00D74C3B" w:rsidP="00441B6F">
      <w:pPr>
        <w:pStyle w:val="Author"/>
        <w:spacing w:line="240" w:lineRule="auto"/>
        <w:rPr>
          <w:rFonts w:ascii="Arial" w:hAnsi="Arial" w:cs="Arial"/>
          <w:bCs/>
          <w:iCs/>
          <w:kern w:val="28"/>
          <w:sz w:val="36"/>
        </w:rPr>
      </w:pPr>
      <w:r w:rsidRPr="00D74C3B">
        <w:rPr>
          <w:rFonts w:ascii="Arial" w:hAnsi="Arial" w:cs="Arial"/>
          <w:bCs/>
          <w:iCs/>
          <w:kern w:val="28"/>
          <w:sz w:val="36"/>
        </w:rPr>
        <w:t xml:space="preserve">Online vs Blended Learning for Digital Literacy Training: A Quasi-Experimental Study with </w:t>
      </w:r>
      <w:r w:rsidR="0032012B">
        <w:rPr>
          <w:rFonts w:ascii="Arial" w:hAnsi="Arial" w:cs="Arial"/>
          <w:bCs/>
          <w:iCs/>
          <w:kern w:val="28"/>
          <w:sz w:val="36"/>
        </w:rPr>
        <w:t>Agricultural Extension Workers</w:t>
      </w:r>
    </w:p>
    <w:p w14:paraId="0D76665C" w14:textId="77777777" w:rsidR="00A258C3" w:rsidRPr="00790ADA" w:rsidRDefault="00A258C3" w:rsidP="00441B6F">
      <w:pPr>
        <w:pStyle w:val="Author"/>
        <w:spacing w:line="240" w:lineRule="auto"/>
        <w:jc w:val="both"/>
        <w:rPr>
          <w:rFonts w:ascii="Arial" w:hAnsi="Arial" w:cs="Arial"/>
          <w:sz w:val="36"/>
        </w:rPr>
      </w:pPr>
    </w:p>
    <w:p w14:paraId="0184C23D" w14:textId="77777777" w:rsidR="00790ADA" w:rsidRDefault="00790ADA" w:rsidP="00441B6F">
      <w:pPr>
        <w:pStyle w:val="Affiliation"/>
        <w:spacing w:after="0" w:line="240" w:lineRule="auto"/>
        <w:jc w:val="both"/>
        <w:rPr>
          <w:rFonts w:ascii="Arial" w:hAnsi="Arial" w:cs="Arial"/>
        </w:rPr>
      </w:pPr>
    </w:p>
    <w:p w14:paraId="5D1C4712" w14:textId="77777777" w:rsidR="002C57D2" w:rsidRPr="00FB3A86" w:rsidRDefault="002C57D2" w:rsidP="00441B6F">
      <w:pPr>
        <w:pStyle w:val="Affiliation"/>
        <w:spacing w:after="0" w:line="240" w:lineRule="auto"/>
        <w:jc w:val="both"/>
        <w:rPr>
          <w:rFonts w:ascii="Arial" w:hAnsi="Arial" w:cs="Arial"/>
        </w:rPr>
      </w:pPr>
    </w:p>
    <w:p w14:paraId="20DF5E20" w14:textId="77777777" w:rsidR="00B01FCD" w:rsidRPr="00FB3A86" w:rsidRDefault="00000000" w:rsidP="00441B6F">
      <w:pPr>
        <w:pStyle w:val="Copyright"/>
        <w:spacing w:after="0" w:line="240" w:lineRule="auto"/>
        <w:jc w:val="both"/>
        <w:rPr>
          <w:rFonts w:ascii="Arial" w:hAnsi="Arial" w:cs="Arial"/>
        </w:rPr>
        <w:sectPr w:rsidR="00B01FCD" w:rsidRPr="00FB3A86" w:rsidSect="009D17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181935">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42AB5BC" w14:textId="3A6330CC" w:rsidR="00B01FCD" w:rsidRDefault="00B01FCD" w:rsidP="00441B6F">
      <w:pPr>
        <w:pStyle w:val="AbstHead"/>
        <w:spacing w:after="0"/>
        <w:jc w:val="both"/>
        <w:rPr>
          <w:rFonts w:ascii="Arial" w:hAnsi="Arial" w:cs="Arial"/>
        </w:rPr>
      </w:pPr>
      <w:r w:rsidRPr="00FB3A86">
        <w:rPr>
          <w:rFonts w:ascii="Arial" w:hAnsi="Arial" w:cs="Arial"/>
        </w:rPr>
        <w:t>ABSTRACT</w:t>
      </w:r>
    </w:p>
    <w:p w14:paraId="658ACB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3D274D" w14:textId="77777777" w:rsidTr="001E44FE">
        <w:tc>
          <w:tcPr>
            <w:tcW w:w="9576" w:type="dxa"/>
            <w:shd w:val="clear" w:color="auto" w:fill="F2F2F2"/>
          </w:tcPr>
          <w:p w14:paraId="3D8C6CB5"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Aims:</w:t>
            </w:r>
          </w:p>
          <w:p w14:paraId="771262A0" w14:textId="115D554A"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To evaluate and compare the effectiveness of online-only and blended learning interventions in enhancing the digital literacy of agricultural extension workers, particularly in the context of agricultural digital transformation.</w:t>
            </w:r>
          </w:p>
          <w:p w14:paraId="175E8DA9"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Study design:</w:t>
            </w:r>
          </w:p>
          <w:p w14:paraId="7ACA368E" w14:textId="345E26E3"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A quasi-experimental, pre-test-post-test control group design.</w:t>
            </w:r>
          </w:p>
          <w:p w14:paraId="3A9BDF32"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Place and Duration of Study:</w:t>
            </w:r>
          </w:p>
          <w:p w14:paraId="6E6693F7" w14:textId="69109986"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Special Region of Yogyakarta, Indonesia, between February 2025 and July 202</w:t>
            </w:r>
            <w:r>
              <w:rPr>
                <w:rFonts w:ascii="Arial" w:eastAsia="Calibri" w:hAnsi="Arial" w:cs="Arial"/>
                <w:szCs w:val="22"/>
              </w:rPr>
              <w:t>5</w:t>
            </w:r>
          </w:p>
          <w:p w14:paraId="70476097"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Methodology:</w:t>
            </w:r>
          </w:p>
          <w:p w14:paraId="3938C090" w14:textId="01A53B45"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A total of 158 agricultural extension workers were recruited and systematically assigned to one of three groups: an online-only training group (n=49), a blended learning group (n=54), or a control group (n=55). Participants in the intervention groups received structured training designed to improve essential digital competencies. Digital literacy competency was rigorously measured using a validated assessment tool administered both before and after the interventions. Data analysis was performed using a mixed-design ANOVA</w:t>
            </w:r>
            <w:r>
              <w:rPr>
                <w:rFonts w:ascii="Arial" w:eastAsia="Calibri" w:hAnsi="Arial" w:cs="Arial"/>
                <w:szCs w:val="22"/>
              </w:rPr>
              <w:t>.</w:t>
            </w:r>
          </w:p>
          <w:p w14:paraId="5140181F"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Results:</w:t>
            </w:r>
          </w:p>
          <w:p w14:paraId="1086F8A5" w14:textId="39B79C22"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The analysis revealed a statistically significant interaction effect between time and group (</w:t>
            </w:r>
            <w:proofErr w:type="gramStart"/>
            <w:r w:rsidRPr="003C1AFF">
              <w:rPr>
                <w:rFonts w:ascii="Arial" w:eastAsia="Calibri" w:hAnsi="Arial" w:cs="Arial"/>
                <w:szCs w:val="22"/>
              </w:rPr>
              <w:t>F(</w:t>
            </w:r>
            <w:proofErr w:type="gramEnd"/>
            <w:r w:rsidRPr="003C1AFF">
              <w:rPr>
                <w:rFonts w:ascii="Arial" w:eastAsia="Calibri" w:hAnsi="Arial" w:cs="Arial"/>
                <w:szCs w:val="22"/>
              </w:rPr>
              <w:t xml:space="preserve">2, 148) = 10.71, </w:t>
            </w:r>
            <w:r w:rsidR="004D7345" w:rsidRPr="004D7345">
              <w:rPr>
                <w:rFonts w:ascii="Arial" w:eastAsia="Calibri" w:hAnsi="Arial" w:cs="Arial"/>
                <w:b/>
                <w:bCs/>
                <w:i/>
                <w:iCs/>
                <w:szCs w:val="22"/>
              </w:rPr>
              <w:t>P</w:t>
            </w:r>
            <w:r w:rsidRPr="003C1AFF">
              <w:rPr>
                <w:rFonts w:ascii="Arial" w:eastAsia="Calibri" w:hAnsi="Arial" w:cs="Arial"/>
                <w:szCs w:val="22"/>
              </w:rPr>
              <w:t xml:space="preserve"> .001), indicating that the training interventions successfully increased digital literacy scores. Post-hoc tests showed that both the online-only group (mean improvement = 15.15) and the blended learning group (mean improvement = 11.07) significantly outperformed the control group (</w:t>
            </w:r>
            <w:r w:rsidR="004D7345" w:rsidRPr="004D7345">
              <w:rPr>
                <w:rFonts w:ascii="Arial" w:eastAsia="Calibri" w:hAnsi="Arial" w:cs="Arial"/>
                <w:b/>
                <w:bCs/>
                <w:i/>
                <w:iCs/>
                <w:szCs w:val="22"/>
              </w:rPr>
              <w:t>P</w:t>
            </w:r>
            <w:r w:rsidRPr="003C1AFF">
              <w:rPr>
                <w:rFonts w:ascii="Arial" w:eastAsia="Calibri" w:hAnsi="Arial" w:cs="Arial"/>
                <w:szCs w:val="22"/>
              </w:rPr>
              <w:t xml:space="preserve"> .001 and </w:t>
            </w:r>
            <w:r w:rsidR="004D7345" w:rsidRPr="004D7345">
              <w:rPr>
                <w:rFonts w:ascii="Arial" w:eastAsia="Calibri" w:hAnsi="Arial" w:cs="Arial"/>
                <w:b/>
                <w:bCs/>
                <w:i/>
                <w:iCs/>
                <w:szCs w:val="22"/>
              </w:rPr>
              <w:t>P</w:t>
            </w:r>
            <w:r w:rsidRPr="003C1AFF">
              <w:rPr>
                <w:rFonts w:ascii="Arial" w:eastAsia="Calibri" w:hAnsi="Arial" w:cs="Arial"/>
                <w:szCs w:val="22"/>
              </w:rPr>
              <w:t xml:space="preserve"> = .004, respectively). Crucially, no statistically significant difference in score improvement was found between the online-only and blended learning groups (</w:t>
            </w:r>
            <w:r w:rsidR="004D7345" w:rsidRPr="004D7345">
              <w:rPr>
                <w:rFonts w:ascii="Arial" w:eastAsia="Calibri" w:hAnsi="Arial" w:cs="Arial"/>
                <w:b/>
                <w:bCs/>
                <w:i/>
                <w:iCs/>
                <w:szCs w:val="22"/>
              </w:rPr>
              <w:t>P</w:t>
            </w:r>
            <w:r w:rsidRPr="003C1AFF">
              <w:rPr>
                <w:rFonts w:ascii="Arial" w:eastAsia="Calibri" w:hAnsi="Arial" w:cs="Arial"/>
                <w:szCs w:val="22"/>
              </w:rPr>
              <w:t xml:space="preserve"> = .47).</w:t>
            </w:r>
          </w:p>
          <w:p w14:paraId="24FD7EC0"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Conclusion:</w:t>
            </w:r>
          </w:p>
          <w:p w14:paraId="717E4C2C" w14:textId="2BF4570E" w:rsidR="00505F06"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Both online-only and blended learning are equally effective modalities for significantly enhancing the digital literacy of agricultural extension workers. These findings suggest that resource-efficient, scalable online training can be as impactful as more resource-intensive blended models, offering important strategic implications for the design of future capacity-building programs in the agricultural sector.</w:t>
            </w:r>
          </w:p>
        </w:tc>
      </w:tr>
    </w:tbl>
    <w:p w14:paraId="66197D6D" w14:textId="77777777" w:rsidR="00636EB2" w:rsidRDefault="00636EB2" w:rsidP="00441B6F">
      <w:pPr>
        <w:pStyle w:val="Body"/>
        <w:spacing w:after="0"/>
        <w:rPr>
          <w:rFonts w:ascii="Arial" w:hAnsi="Arial" w:cs="Arial"/>
          <w:i/>
        </w:rPr>
      </w:pPr>
    </w:p>
    <w:p w14:paraId="5ADFB32A" w14:textId="3687621A" w:rsidR="00B52896" w:rsidRPr="006040A3" w:rsidRDefault="00A24E7E" w:rsidP="006040A3">
      <w:pPr>
        <w:pStyle w:val="Body"/>
        <w:spacing w:after="0"/>
        <w:rPr>
          <w:rFonts w:ascii="Arial" w:hAnsi="Arial" w:cs="Arial"/>
          <w:i/>
        </w:rPr>
      </w:pPr>
      <w:r>
        <w:rPr>
          <w:rFonts w:ascii="Arial" w:hAnsi="Arial" w:cs="Arial"/>
          <w:i/>
        </w:rPr>
        <w:t xml:space="preserve">Keywords: </w:t>
      </w:r>
      <w:r w:rsidR="00AE245A" w:rsidRPr="00AE245A">
        <w:rPr>
          <w:rFonts w:ascii="Arial" w:hAnsi="Arial" w:cs="Arial"/>
          <w:i/>
        </w:rPr>
        <w:t>Digital Literacy, Agricultural Extension, Blended Learning, Quasi-Experimental Design.</w:t>
      </w:r>
    </w:p>
    <w:p w14:paraId="558735AD" w14:textId="77777777" w:rsidR="00505F06" w:rsidRPr="00A24E7E" w:rsidRDefault="00505F06" w:rsidP="00441B6F">
      <w:pPr>
        <w:pStyle w:val="Body"/>
        <w:spacing w:after="0"/>
        <w:rPr>
          <w:rFonts w:ascii="Arial" w:hAnsi="Arial" w:cs="Arial"/>
          <w:i/>
        </w:rPr>
      </w:pPr>
    </w:p>
    <w:p w14:paraId="3F23170C" w14:textId="1CB91F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380219" w14:textId="77777777" w:rsidR="00790ADA" w:rsidRPr="00FB3A86" w:rsidRDefault="00790ADA" w:rsidP="00441B6F">
      <w:pPr>
        <w:pStyle w:val="AbstHead"/>
        <w:spacing w:after="0"/>
        <w:jc w:val="both"/>
        <w:rPr>
          <w:rFonts w:ascii="Arial" w:hAnsi="Arial" w:cs="Arial"/>
        </w:rPr>
      </w:pPr>
    </w:p>
    <w:p w14:paraId="6DF2E6C3" w14:textId="6D6A48E0" w:rsidR="00790ADA" w:rsidRDefault="00B8563E" w:rsidP="00441B6F">
      <w:pPr>
        <w:pStyle w:val="Body"/>
        <w:spacing w:after="0"/>
        <w:rPr>
          <w:rFonts w:ascii="Arial" w:hAnsi="Arial" w:cs="Arial"/>
        </w:rPr>
      </w:pPr>
      <w:r w:rsidRPr="00B8563E">
        <w:rPr>
          <w:rFonts w:ascii="Arial" w:hAnsi="Arial" w:cs="Arial"/>
        </w:rPr>
        <w:t xml:space="preserve">The agricultural sector is undergoing a significant digital transformation, often referred to as Agriculture 4.0 </w:t>
      </w:r>
      <w:sdt>
        <w:sdtPr>
          <w:rPr>
            <w:rFonts w:ascii="Arial" w:hAnsi="Arial" w:cs="Arial"/>
            <w:color w:val="000000"/>
          </w:rPr>
          <w:tag w:val="MENDELEY_CITATION_v3_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I1NiIsIklTU04iOiIwMTY4MTY5OSIsImlzc3VlZCI6eyJkYXRlLXBhcnRzIjpbWzIwMjAsM11dfSwicGFnZSI6IjEwNTI1NiIsInZvbHVtZSI6IjE3MCJ9LCJpc1RlbXBvcmFyeSI6ZmFsc2V9XX0="/>
          <w:id w:val="-1564174896"/>
          <w:placeholder>
            <w:docPart w:val="DefaultPlaceholder_-1854013440"/>
          </w:placeholder>
        </w:sdtPr>
        <w:sdtContent>
          <w:r w:rsidR="005906FD" w:rsidRPr="005906FD">
            <w:rPr>
              <w:rFonts w:ascii="Arial" w:hAnsi="Arial" w:cs="Arial"/>
              <w:color w:val="000000"/>
            </w:rPr>
            <w:t>(Zhai et al., 2020)</w:t>
          </w:r>
        </w:sdtContent>
      </w:sdt>
      <w:r w:rsidRPr="00B8563E">
        <w:rPr>
          <w:rFonts w:ascii="Arial" w:hAnsi="Arial" w:cs="Arial"/>
        </w:rPr>
        <w:t xml:space="preserve">. The integration of digital technologies—from mobile applications to data analytics and smart farming tools—offers unprecedented opportunities to enhance productivity, improve resource management, and increase sustainability </w:t>
      </w:r>
      <w:sdt>
        <w:sdtPr>
          <w:rPr>
            <w:rFonts w:ascii="Arial" w:hAnsi="Arial" w:cs="Arial"/>
            <w:color w:val="000000"/>
          </w:rPr>
          <w:tag w:val="MENDELEY_CITATION_v3_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"/>
          <w:id w:val="614029445"/>
          <w:placeholder>
            <w:docPart w:val="DefaultPlaceholder_-1854013440"/>
          </w:placeholder>
        </w:sdtPr>
        <w:sdtContent>
          <w:r w:rsidR="005906FD" w:rsidRPr="005906FD">
            <w:rPr>
              <w:color w:val="000000"/>
            </w:rPr>
            <w:t xml:space="preserve">(Rose &amp; </w:t>
          </w:r>
          <w:r w:rsidR="005906FD" w:rsidRPr="005906FD">
            <w:rPr>
              <w:color w:val="000000"/>
            </w:rPr>
            <w:lastRenderedPageBreak/>
            <w:t>Chilvers, 2018)</w:t>
          </w:r>
        </w:sdtContent>
      </w:sdt>
      <w:r w:rsidRPr="00B8563E">
        <w:rPr>
          <w:rFonts w:ascii="Arial" w:hAnsi="Arial" w:cs="Arial"/>
        </w:rPr>
        <w:t>. However, research has consistently shown that the success of this transformation is not solely dependent on the technology itself, but on the ability of agricultural professionals to effectively adopt and utilize these new tools</w:t>
      </w:r>
      <w:r w:rsidR="006040A3">
        <w:rPr>
          <w:rFonts w:ascii="Arial" w:hAnsi="Arial" w:cs="Arial"/>
        </w:rPr>
        <w:t xml:space="preserve"> </w:t>
      </w:r>
      <w:sdt>
        <w:sdtPr>
          <w:rPr>
            <w:rFonts w:ascii="Arial" w:hAnsi="Arial" w:cs="Arial"/>
            <w:color w:val="000000"/>
          </w:rPr>
          <w:tag w:val="MENDELEY_CITATION_v3_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"/>
          <w:id w:val="1333257520"/>
          <w:placeholder>
            <w:docPart w:val="DefaultPlaceholder_-1854013440"/>
          </w:placeholder>
        </w:sdtPr>
        <w:sdtContent>
          <w:r w:rsidR="005906FD" w:rsidRPr="005906FD">
            <w:rPr>
              <w:rFonts w:ascii="Arial" w:hAnsi="Arial" w:cs="Arial"/>
              <w:color w:val="000000"/>
            </w:rPr>
            <w:t>(</w:t>
          </w:r>
          <w:proofErr w:type="spellStart"/>
          <w:r w:rsidR="005906FD" w:rsidRPr="005906FD">
            <w:rPr>
              <w:rFonts w:ascii="Arial" w:hAnsi="Arial" w:cs="Arial"/>
              <w:color w:val="000000"/>
            </w:rPr>
            <w:t>Ruzzante</w:t>
          </w:r>
          <w:proofErr w:type="spellEnd"/>
          <w:r w:rsidR="005906FD" w:rsidRPr="005906FD">
            <w:rPr>
              <w:rFonts w:ascii="Arial" w:hAnsi="Arial" w:cs="Arial"/>
              <w:color w:val="000000"/>
            </w:rPr>
            <w:t xml:space="preserve"> et al., 2021)</w:t>
          </w:r>
        </w:sdtContent>
      </w:sdt>
      <w:r w:rsidRPr="00B8563E">
        <w:rPr>
          <w:rFonts w:ascii="Arial" w:hAnsi="Arial" w:cs="Arial"/>
        </w:rPr>
        <w:t>.</w:t>
      </w:r>
    </w:p>
    <w:p w14:paraId="49D25EE3" w14:textId="77777777" w:rsidR="0023221A" w:rsidRDefault="0023221A" w:rsidP="00441B6F">
      <w:pPr>
        <w:pStyle w:val="Body"/>
        <w:spacing w:after="0"/>
        <w:rPr>
          <w:rFonts w:ascii="Arial" w:hAnsi="Arial" w:cs="Arial"/>
        </w:rPr>
      </w:pPr>
    </w:p>
    <w:p w14:paraId="1789EF29" w14:textId="4EA7AF69" w:rsidR="0023221A" w:rsidRDefault="0023221A" w:rsidP="00441B6F">
      <w:pPr>
        <w:pStyle w:val="Body"/>
        <w:spacing w:after="0"/>
        <w:rPr>
          <w:rFonts w:ascii="Arial" w:hAnsi="Arial" w:cs="Arial"/>
        </w:rPr>
      </w:pPr>
      <w:r w:rsidRPr="0023221A">
        <w:rPr>
          <w:rFonts w:ascii="Arial" w:hAnsi="Arial" w:cs="Arial"/>
        </w:rPr>
        <w:t xml:space="preserve">At the forefront of this transition are agricultural extension workers, who play a pivotal role as intermediaries between technological innovation and farming communities </w:t>
      </w:r>
      <w:sdt>
        <w:sdtPr>
          <w:rPr>
            <w:rFonts w:ascii="Arial" w:hAnsi="Arial" w:cs="Arial"/>
            <w:color w:val="000000"/>
          </w:rPr>
          <w:tag w:val="MENDELEY_CITATION_v3_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"/>
          <w:id w:val="-1481994156"/>
          <w:placeholder>
            <w:docPart w:val="DefaultPlaceholder_-1854013440"/>
          </w:placeholder>
        </w:sdtPr>
        <w:sdtContent>
          <w:r w:rsidR="005906FD" w:rsidRPr="005906FD">
            <w:rPr>
              <w:color w:val="000000"/>
            </w:rPr>
            <w:t>(Anderson &amp; Feder, 2007)</w:t>
          </w:r>
        </w:sdtContent>
      </w:sdt>
      <w:r w:rsidRPr="0023221A">
        <w:rPr>
          <w:rFonts w:ascii="Arial" w:hAnsi="Arial" w:cs="Arial"/>
        </w:rPr>
        <w:t xml:space="preserve">. They are the primary agents responsible for disseminating new knowledge, facilitating the adoption of best practices, and providing technical support to farmers. Consequently, the digital literacy of these extension workers is a critical determinant for the successful digitalization of the agricultural sector </w:t>
      </w:r>
      <w:sdt>
        <w:sdtPr>
          <w:rPr>
            <w:rFonts w:ascii="Arial" w:hAnsi="Arial" w:cs="Arial"/>
            <w:color w:val="000000"/>
          </w:rPr>
          <w:tag w:val="MENDELEY_CITATION_v3_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"/>
          <w:id w:val="1429543400"/>
          <w:placeholder>
            <w:docPart w:val="DefaultPlaceholder_-1854013440"/>
          </w:placeholder>
        </w:sdtPr>
        <w:sdtContent>
          <w:r w:rsidR="005906FD" w:rsidRPr="005906FD">
            <w:rPr>
              <w:color w:val="000000"/>
            </w:rPr>
            <w:t>(Mittal &amp; Mehar, 2016)</w:t>
          </w:r>
        </w:sdtContent>
      </w:sdt>
      <w:r w:rsidRPr="0023221A">
        <w:rPr>
          <w:rFonts w:ascii="Arial" w:hAnsi="Arial" w:cs="Arial"/>
        </w:rPr>
        <w:t xml:space="preserve">. A lack of digital competence among these professionals can create a significant bottleneck, </w:t>
      </w:r>
      <w:r w:rsidR="002A2EF6" w:rsidRPr="0023221A">
        <w:rPr>
          <w:rFonts w:ascii="Arial" w:hAnsi="Arial" w:cs="Arial"/>
        </w:rPr>
        <w:t>hinder</w:t>
      </w:r>
      <w:r w:rsidRPr="0023221A">
        <w:rPr>
          <w:rFonts w:ascii="Arial" w:hAnsi="Arial" w:cs="Arial"/>
        </w:rPr>
        <w:t xml:space="preserve"> the flow of vital information</w:t>
      </w:r>
      <w:r w:rsidR="002A2EF6">
        <w:rPr>
          <w:rFonts w:ascii="Arial" w:hAnsi="Arial" w:cs="Arial"/>
        </w:rPr>
        <w:t>, and slow</w:t>
      </w:r>
      <w:r w:rsidRPr="0023221A">
        <w:rPr>
          <w:rFonts w:ascii="Arial" w:hAnsi="Arial" w:cs="Arial"/>
        </w:rPr>
        <w:t xml:space="preserve"> the adoption of beneficial technologies at the farm level </w:t>
      </w:r>
      <w:sdt>
        <w:sdtPr>
          <w:rPr>
            <w:rFonts w:ascii="Arial" w:hAnsi="Arial" w:cs="Arial"/>
            <w:color w:val="000000"/>
          </w:rPr>
          <w:tag w:val="MENDELEY_CITATION_v3_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"/>
          <w:id w:val="1158497621"/>
          <w:placeholder>
            <w:docPart w:val="DefaultPlaceholder_-1854013440"/>
          </w:placeholder>
        </w:sdtPr>
        <w:sdtContent>
          <w:r w:rsidR="005906FD" w:rsidRPr="005906FD">
            <w:rPr>
              <w:rFonts w:ascii="Arial" w:hAnsi="Arial" w:cs="Arial"/>
              <w:color w:val="000000"/>
            </w:rPr>
            <w:t>(Sasmita et al., 2024)</w:t>
          </w:r>
        </w:sdtContent>
      </w:sdt>
      <w:r w:rsidRPr="0023221A">
        <w:rPr>
          <w:rFonts w:ascii="Arial" w:hAnsi="Arial" w:cs="Arial"/>
        </w:rPr>
        <w:t>.</w:t>
      </w:r>
    </w:p>
    <w:p w14:paraId="6CEF37E1" w14:textId="77777777" w:rsidR="00B8563E" w:rsidRDefault="00B8563E" w:rsidP="00441B6F">
      <w:pPr>
        <w:pStyle w:val="Body"/>
        <w:spacing w:after="0"/>
        <w:rPr>
          <w:rFonts w:ascii="Arial" w:hAnsi="Arial" w:cs="Arial"/>
        </w:rPr>
      </w:pPr>
    </w:p>
    <w:p w14:paraId="2D67B00A" w14:textId="57F39DA3" w:rsidR="002A2EF6" w:rsidRDefault="002A2EF6" w:rsidP="00441B6F">
      <w:pPr>
        <w:pStyle w:val="Body"/>
        <w:spacing w:after="0"/>
        <w:rPr>
          <w:rFonts w:ascii="Arial" w:hAnsi="Arial" w:cs="Arial"/>
        </w:rPr>
      </w:pPr>
      <w:r w:rsidRPr="002A2EF6">
        <w:rPr>
          <w:rFonts w:ascii="Arial" w:hAnsi="Arial" w:cs="Arial"/>
        </w:rPr>
        <w:t xml:space="preserve">Digital literacy encompasses the ability to use digital devices and the cognitive and social skills necessary for effective engagement with digital resources </w:t>
      </w:r>
      <w:sdt>
        <w:sdtPr>
          <w:rPr>
            <w:rFonts w:ascii="Arial" w:hAnsi="Arial" w:cs="Arial"/>
            <w:color w:val="000000"/>
          </w:rPr>
          <w:tag w:val="MENDELEY_CITATION_v3_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"/>
          <w:id w:val="-1377082852"/>
          <w:placeholder>
            <w:docPart w:val="DefaultPlaceholder_-1854013440"/>
          </w:placeholder>
        </w:sdtPr>
        <w:sdtContent>
          <w:r w:rsidR="005906FD" w:rsidRPr="005906FD">
            <w:rPr>
              <w:color w:val="000000"/>
            </w:rPr>
            <w:t>(Jia &amp; Huang, 2023)</w:t>
          </w:r>
        </w:sdtContent>
      </w:sdt>
      <w:r w:rsidRPr="002A2EF6">
        <w:rPr>
          <w:rFonts w:ascii="Arial" w:hAnsi="Arial" w:cs="Arial"/>
        </w:rPr>
        <w:t>.</w:t>
      </w:r>
      <w:r>
        <w:rPr>
          <w:rFonts w:ascii="Arial" w:hAnsi="Arial" w:cs="Arial"/>
        </w:rPr>
        <w:t xml:space="preserve"> </w:t>
      </w:r>
      <w:r w:rsidRPr="002A2EF6">
        <w:rPr>
          <w:rFonts w:ascii="Arial" w:hAnsi="Arial" w:cs="Arial"/>
        </w:rPr>
        <w:t xml:space="preserve">One significant challenge is the existing gap in digital literacy among extension workers, which can hinder their ability to utilize digital tools effectively. Research indicates that many agricultural extension personnel need more digital skills, which can be attributed to a deficient educational system that often portrays technological innovations as complex and challenging </w:t>
      </w:r>
      <w:sdt>
        <w:sdtPr>
          <w:rPr>
            <w:rFonts w:ascii="Arial" w:hAnsi="Arial" w:cs="Arial"/>
            <w:color w:val="000000"/>
          </w:rPr>
          <w:tag w:val="MENDELEY_CITATION_v3_eyJjaXRhdGlvbklEIjoiTUVOREVMRVlfQ0lUQVRJT05fYzQ2NzIxMmQtMjNkOS00YjQ0LTliZTktMWUzZDYyYzA3YTU4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
          <w:id w:val="-1714570588"/>
          <w:placeholder>
            <w:docPart w:val="DefaultPlaceholder_-1854013440"/>
          </w:placeholder>
        </w:sdtPr>
        <w:sdtContent>
          <w:r w:rsidR="005906FD" w:rsidRPr="005906FD">
            <w:rPr>
              <w:rFonts w:ascii="Arial" w:hAnsi="Arial" w:cs="Arial"/>
              <w:color w:val="000000"/>
            </w:rPr>
            <w:t>(Aja, 2024)</w:t>
          </w:r>
        </w:sdtContent>
      </w:sdt>
      <w:r w:rsidRPr="002A2EF6">
        <w:rPr>
          <w:rFonts w:ascii="Arial" w:hAnsi="Arial" w:cs="Arial"/>
        </w:rPr>
        <w:t xml:space="preserve">. This lack of proficiency affects their personal career development and limits their capacity to facilitate the adoption of digital technologies among farmers </w:t>
      </w:r>
      <w:sdt>
        <w:sdtPr>
          <w:rPr>
            <w:rFonts w:ascii="Arial" w:hAnsi="Arial" w:cs="Arial"/>
            <w:color w:val="000000"/>
          </w:rPr>
          <w:tag w:val="MENDELEY_CITATION_v3_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"/>
          <w:id w:val="-1961018663"/>
          <w:placeholder>
            <w:docPart w:val="DefaultPlaceholder_-1854013440"/>
          </w:placeholder>
        </w:sdtPr>
        <w:sdtContent>
          <w:r w:rsidR="005906FD" w:rsidRPr="005906FD">
            <w:rPr>
              <w:rFonts w:ascii="Arial" w:hAnsi="Arial" w:cs="Arial"/>
              <w:color w:val="000000"/>
            </w:rPr>
            <w:t>(</w:t>
          </w:r>
          <w:proofErr w:type="spellStart"/>
          <w:r w:rsidR="005906FD" w:rsidRPr="005906FD">
            <w:rPr>
              <w:rFonts w:ascii="Arial" w:hAnsi="Arial" w:cs="Arial"/>
              <w:color w:val="000000"/>
            </w:rPr>
            <w:t>Magesa</w:t>
          </w:r>
          <w:proofErr w:type="spellEnd"/>
          <w:r w:rsidR="005906FD" w:rsidRPr="005906FD">
            <w:rPr>
              <w:rFonts w:ascii="Arial" w:hAnsi="Arial" w:cs="Arial"/>
              <w:color w:val="000000"/>
            </w:rPr>
            <w:t>, 2023)</w:t>
          </w:r>
        </w:sdtContent>
      </w:sdt>
      <w:r w:rsidRPr="002A2EF6">
        <w:rPr>
          <w:rFonts w:ascii="Arial" w:hAnsi="Arial" w:cs="Arial"/>
        </w:rPr>
        <w:t>.</w:t>
      </w:r>
    </w:p>
    <w:p w14:paraId="10C60367" w14:textId="77777777" w:rsidR="002A2EF6" w:rsidRDefault="002A2EF6" w:rsidP="00441B6F">
      <w:pPr>
        <w:pStyle w:val="Body"/>
        <w:spacing w:after="0"/>
        <w:rPr>
          <w:rFonts w:ascii="Arial" w:hAnsi="Arial" w:cs="Arial"/>
        </w:rPr>
      </w:pPr>
    </w:p>
    <w:p w14:paraId="60012F87" w14:textId="4A92E7A6" w:rsidR="002731D5" w:rsidRDefault="002731D5" w:rsidP="00441B6F">
      <w:pPr>
        <w:pStyle w:val="Body"/>
        <w:spacing w:after="0"/>
        <w:rPr>
          <w:rFonts w:ascii="Arial" w:hAnsi="Arial" w:cs="Arial"/>
        </w:rPr>
      </w:pPr>
      <w:r w:rsidRPr="002731D5">
        <w:rPr>
          <w:rFonts w:ascii="Arial" w:hAnsi="Arial" w:cs="Arial"/>
        </w:rPr>
        <w:t xml:space="preserve">Recognizing this need, capacity-building programs aimed at enhancing the digital literacy of extension workers are becoming increasingly vital. A central question for policymakers and training institutions, however, is how to deliver this training most effectively. Blended learning, which combines face-to-face interaction with online components, is often praised for its ability to foster high engagement and create a strong learning community </w:t>
      </w:r>
      <w:sdt>
        <w:sdtPr>
          <w:rPr>
            <w:rFonts w:ascii="Arial" w:hAnsi="Arial" w:cs="Arial"/>
            <w:color w:val="000000"/>
          </w:rPr>
          <w:tag w:val="MENDELEY_CITATION_v3_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"/>
          <w:id w:val="-1432197514"/>
          <w:placeholder>
            <w:docPart w:val="DefaultPlaceholder_-1854013440"/>
          </w:placeholder>
        </w:sdtPr>
        <w:sdtContent>
          <w:r w:rsidR="005906FD" w:rsidRPr="005906FD">
            <w:rPr>
              <w:color w:val="000000"/>
            </w:rPr>
            <w:t>(</w:t>
          </w:r>
          <w:commentRangeStart w:id="0"/>
          <w:r w:rsidR="005906FD" w:rsidRPr="005906FD">
            <w:rPr>
              <w:color w:val="000000"/>
            </w:rPr>
            <w:t>Garrison &amp; Kanuka, 2004</w:t>
          </w:r>
          <w:commentRangeEnd w:id="0"/>
          <w:r w:rsidR="00BC1C37">
            <w:rPr>
              <w:rStyle w:val="CommentReference"/>
              <w:rFonts w:ascii="Times New Roman" w:hAnsi="Times New Roman"/>
              <w:lang w:val="nb-NO" w:eastAsia="nb-NO"/>
            </w:rPr>
            <w:commentReference w:id="0"/>
          </w:r>
          <w:r w:rsidR="005906FD" w:rsidRPr="005906FD">
            <w:rPr>
              <w:color w:val="000000"/>
            </w:rPr>
            <w:t>)</w:t>
          </w:r>
        </w:sdtContent>
      </w:sdt>
      <w:r w:rsidRPr="002731D5">
        <w:rPr>
          <w:rFonts w:ascii="Arial" w:hAnsi="Arial" w:cs="Arial"/>
        </w:rPr>
        <w:t xml:space="preserve">. Conversely, fully online learning offers unparalleled scalability and cost-effectiveness, a crucial consideration for training large and geographically dispersed workforces </w:t>
      </w:r>
      <w:sdt>
        <w:sdtPr>
          <w:rPr>
            <w:rFonts w:ascii="Arial" w:hAnsi="Arial" w:cs="Arial"/>
            <w:color w:val="000000"/>
          </w:rPr>
          <w:tag w:val="MENDELEY_CITATION_v3_eyJjaXRhdGlvbklEIjoiTUVOREVMRVlfQ0lUQVRJT05fMTlmMjIzNjYtYWRiMi00NWI5LWJlZjctMGMzNjdmYzIwZDk0IiwicHJvcGVydGllcyI6eyJub3RlSW5kZXgiOjB9LCJpc0VkaXRlZCI6ZmFsc2UsIm1hbnVhbE92ZXJyaWRlIjp7ImlzTWFudWFsbHlPdmVycmlkZGVuIjpmYWxzZSwiY2l0ZXByb2NUZXh0IjoiKERoYXdhbiwgMjAyMGEpIiwibWFudWFsT3ZlcnJpZGVUZXh0IjoiIn0sImNpdGF0aW9uSXRlbXMiOlt7ImlkIjoiMGY4OTg0MGMtNTJhMy0zZDE1LThmY2YtNTJjMWU5ZDkxYmJlIiwiaXRlbURhdGEiOnsidHlwZSI6ImFydGljbGUtam91cm5hbCIsImlkIjoiMGY4OTg0MGMtNTJhMy0zZDE1LThmY2YtNTJjMWU5ZDkxYmJl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
          <w:id w:val="1619182917"/>
          <w:placeholder>
            <w:docPart w:val="DefaultPlaceholder_-1854013440"/>
          </w:placeholder>
        </w:sdtPr>
        <w:sdtContent>
          <w:r w:rsidR="005906FD" w:rsidRPr="005906FD">
            <w:rPr>
              <w:rFonts w:ascii="Arial" w:hAnsi="Arial" w:cs="Arial"/>
              <w:color w:val="000000"/>
            </w:rPr>
            <w:t>(Dhawan, 2020a)</w:t>
          </w:r>
        </w:sdtContent>
      </w:sdt>
      <w:r w:rsidRPr="002731D5">
        <w:rPr>
          <w:rFonts w:ascii="Arial" w:hAnsi="Arial" w:cs="Arial"/>
        </w:rPr>
        <w:t xml:space="preserve">. While the comparison between these two modalities has been extensively studied in traditional academic settings </w:t>
      </w:r>
      <w:sdt>
        <w:sdtPr>
          <w:rPr>
            <w:rFonts w:ascii="Arial" w:hAnsi="Arial" w:cs="Arial"/>
            <w:color w:val="000000"/>
          </w:rPr>
          <w:tag w:val="MENDELEY_CITATION_v3_eyJjaXRhdGlvbklEIjoiTUVOREVMRVlfQ0lUQVRJT05fMTY1NTRjMDAtM2M2MS00ZDY5LTljNWYtYTM4YjI4MDgxOGViIiwicHJvcGVydGllcyI6eyJub3RlSW5kZXgiOjB9LCJpc0VkaXRlZCI6ZmFsc2UsIm1hbnVhbE92ZXJyaWRlIjp7ImlzTWFudWFsbHlPdmVycmlkZGVuIjpmYWxzZSwiY2l0ZXByb2NUZXh0IjoiKE1lYW5zIGV0IGFsLiwgMjAxMykiLCJtYW51YWxPdmVycmlkZVRleHQiOiIifSwiY2l0YXRpb25JdGVtcyI6W3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Swic3VwcHJlc3MtYXV0aG9yIjpmYWxzZSwiY29tcG9zaXRlIjpmYWxzZSwiYXV0aG9yLW9ubHkiOmZhbHNlfV19"/>
          <w:id w:val="-822351021"/>
          <w:placeholder>
            <w:docPart w:val="DefaultPlaceholder_-1854013440"/>
          </w:placeholder>
        </w:sdtPr>
        <w:sdtContent>
          <w:r w:rsidR="005906FD" w:rsidRPr="005906FD">
            <w:rPr>
              <w:rFonts w:ascii="Arial" w:hAnsi="Arial" w:cs="Arial"/>
              <w:color w:val="000000"/>
            </w:rPr>
            <w:t>(Means et al., 2013)</w:t>
          </w:r>
        </w:sdtContent>
      </w:sdt>
      <w:r w:rsidRPr="002731D5">
        <w:rPr>
          <w:rFonts w:ascii="Arial" w:hAnsi="Arial" w:cs="Arial"/>
        </w:rPr>
        <w:t xml:space="preserve">, there remains a scarcity of empirical evidence comparing their effectiveness specifically for the professional development of agricultural extension workers, a gap noted in recent reviews </w:t>
      </w:r>
      <w:sdt>
        <w:sdtPr>
          <w:rPr>
            <w:rFonts w:ascii="Arial" w:hAnsi="Arial" w:cs="Arial"/>
            <w:color w:val="000000"/>
          </w:rPr>
          <w:tag w:val="MENDELEY_CITATION_v3_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"/>
          <w:id w:val="975563783"/>
          <w:placeholder>
            <w:docPart w:val="DefaultPlaceholder_-1854013440"/>
          </w:placeholder>
        </w:sdtPr>
        <w:sdtContent>
          <w:r w:rsidR="005906FD" w:rsidRPr="005906FD">
            <w:rPr>
              <w:rFonts w:ascii="Arial" w:hAnsi="Arial" w:cs="Arial"/>
              <w:color w:val="000000"/>
            </w:rPr>
            <w:t>(Olagunju et al., 2021)</w:t>
          </w:r>
        </w:sdtContent>
      </w:sdt>
      <w:r w:rsidRPr="002731D5">
        <w:rPr>
          <w:rFonts w:ascii="Arial" w:hAnsi="Arial" w:cs="Arial"/>
        </w:rPr>
        <w:t>.</w:t>
      </w:r>
    </w:p>
    <w:p w14:paraId="1EE5E806" w14:textId="77777777" w:rsidR="00855417" w:rsidRDefault="00855417" w:rsidP="00441B6F">
      <w:pPr>
        <w:pStyle w:val="Body"/>
        <w:spacing w:after="0"/>
        <w:rPr>
          <w:rFonts w:ascii="Arial" w:hAnsi="Arial" w:cs="Arial"/>
        </w:rPr>
      </w:pPr>
    </w:p>
    <w:p w14:paraId="54C84C31" w14:textId="4B9B48BB" w:rsidR="00855417" w:rsidRPr="00855417" w:rsidRDefault="00855417" w:rsidP="00855417">
      <w:pPr>
        <w:pStyle w:val="Body"/>
        <w:rPr>
          <w:rFonts w:ascii="Arial" w:hAnsi="Arial" w:cs="Arial"/>
        </w:rPr>
      </w:pPr>
      <w:r w:rsidRPr="00855417">
        <w:rPr>
          <w:rFonts w:ascii="Arial" w:hAnsi="Arial" w:cs="Arial"/>
        </w:rPr>
        <w:t>This study aims to address this critical gap by providing a direct, empirical comparison of these two training modalities. The primary objective is to evaluate the effectiveness of an online-only training intervention versus a blended learning intervention on the digital literacy levels of agricultural extension workers in the Special Region of Yogyakarta, Indonesia. Using a quasi-experimental, pre-test-post-test control group design with 158 participants, this study measures the change in digital literacy competency to determine if one training method yields significantly better outcomes than the other, or if they are equally effective.</w:t>
      </w:r>
    </w:p>
    <w:p w14:paraId="1C0AF59D" w14:textId="51EC896B" w:rsidR="00855417" w:rsidRDefault="00855417" w:rsidP="00855417">
      <w:pPr>
        <w:pStyle w:val="Body"/>
        <w:spacing w:after="0"/>
        <w:rPr>
          <w:rFonts w:ascii="Arial" w:hAnsi="Arial" w:cs="Arial"/>
        </w:rPr>
      </w:pPr>
      <w:r w:rsidRPr="00855417">
        <w:rPr>
          <w:rFonts w:ascii="Arial" w:hAnsi="Arial" w:cs="Arial"/>
        </w:rPr>
        <w:t xml:space="preserve">The findings of this research offer valuable, evidence-based insights for agricultural organizations, government agencies, and educational institutions in designing and implementing scalable and effective digital literacy training programs. By understanding the relative impact of online and blended approaches, stakeholders can make more informed decisions about how to </w:t>
      </w:r>
      <w:r w:rsidR="002A2EF6">
        <w:rPr>
          <w:rFonts w:ascii="Arial" w:hAnsi="Arial" w:cs="Arial"/>
        </w:rPr>
        <w:t>invest resources best</w:t>
      </w:r>
      <w:r w:rsidRPr="00855417">
        <w:rPr>
          <w:rFonts w:ascii="Arial" w:hAnsi="Arial" w:cs="Arial"/>
        </w:rPr>
        <w:t xml:space="preserve"> to build a digitally competent extension workforce ready for the future of agriculture.</w:t>
      </w:r>
    </w:p>
    <w:p w14:paraId="2D6A5337" w14:textId="5083502A" w:rsidR="00687A62" w:rsidRDefault="00687A62">
      <w:pPr>
        <w:rPr>
          <w:rFonts w:ascii="Arial" w:hAnsi="Arial" w:cs="Arial"/>
          <w:b/>
          <w:caps/>
          <w:sz w:val="22"/>
        </w:rPr>
      </w:pPr>
    </w:p>
    <w:p w14:paraId="1A8BA819" w14:textId="65DEBFA0"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195926B5" w14:textId="77777777" w:rsidR="00790ADA" w:rsidRPr="00FB3A86" w:rsidRDefault="00790ADA" w:rsidP="00441B6F">
      <w:pPr>
        <w:pStyle w:val="Body"/>
        <w:spacing w:after="0"/>
        <w:rPr>
          <w:rFonts w:ascii="Arial" w:hAnsi="Arial" w:cs="Arial"/>
        </w:rPr>
      </w:pPr>
    </w:p>
    <w:p w14:paraId="0C2E9E76" w14:textId="7C7E126C"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687A62" w:rsidRPr="00687A62">
        <w:rPr>
          <w:rFonts w:ascii="Arial" w:hAnsi="Arial" w:cs="Arial"/>
          <w:b/>
          <w:sz w:val="22"/>
        </w:rPr>
        <w:t xml:space="preserve">Study Design </w:t>
      </w:r>
      <w:r w:rsidR="00687A62">
        <w:rPr>
          <w:rFonts w:ascii="Arial" w:hAnsi="Arial" w:cs="Arial"/>
          <w:b/>
          <w:sz w:val="22"/>
        </w:rPr>
        <w:t>a</w:t>
      </w:r>
      <w:r w:rsidR="00687A62" w:rsidRPr="00687A62">
        <w:rPr>
          <w:rFonts w:ascii="Arial" w:hAnsi="Arial" w:cs="Arial"/>
          <w:b/>
          <w:sz w:val="22"/>
        </w:rPr>
        <w:t>nd Participants</w:t>
      </w:r>
    </w:p>
    <w:p w14:paraId="170E91E3" w14:textId="080CF0AA" w:rsidR="00687A62" w:rsidRDefault="00687A62" w:rsidP="00687A62">
      <w:pPr>
        <w:pStyle w:val="Body"/>
        <w:spacing w:after="0"/>
        <w:rPr>
          <w:rFonts w:ascii="Arial" w:hAnsi="Arial" w:cs="Arial"/>
        </w:rPr>
      </w:pPr>
      <w:r w:rsidRPr="00687A62">
        <w:rPr>
          <w:rFonts w:ascii="Arial" w:hAnsi="Arial" w:cs="Arial"/>
        </w:rPr>
        <w:t>This study employed a quasi-experimental, pre-test-post-test control group design</w:t>
      </w:r>
      <w:r w:rsidR="006F2896">
        <w:rPr>
          <w:rFonts w:ascii="Arial" w:hAnsi="Arial" w:cs="Arial"/>
        </w:rPr>
        <w:t xml:space="preserve"> </w:t>
      </w:r>
      <w:sdt>
        <w:sdtPr>
          <w:rPr>
            <w:rFonts w:ascii="Arial" w:hAnsi="Arial" w:cs="Arial"/>
            <w:color w:val="000000"/>
          </w:rPr>
          <w:tag w:val="MENDELEY_CITATION_v3_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"/>
          <w:id w:val="-2074501153"/>
          <w:placeholder>
            <w:docPart w:val="DefaultPlaceholder_-1854013440"/>
          </w:placeholder>
        </w:sdtPr>
        <w:sdtContent>
          <w:r w:rsidR="005906FD" w:rsidRPr="005906FD">
            <w:rPr>
              <w:rFonts w:ascii="Arial" w:hAnsi="Arial" w:cs="Arial"/>
              <w:color w:val="000000"/>
            </w:rPr>
            <w:t>(</w:t>
          </w:r>
          <w:proofErr w:type="spellStart"/>
          <w:r w:rsidR="005906FD" w:rsidRPr="005906FD">
            <w:rPr>
              <w:rFonts w:ascii="Arial" w:hAnsi="Arial" w:cs="Arial"/>
              <w:color w:val="000000"/>
            </w:rPr>
            <w:t>Shadish</w:t>
          </w:r>
          <w:proofErr w:type="spellEnd"/>
          <w:r w:rsidR="005906FD" w:rsidRPr="005906FD">
            <w:rPr>
              <w:rFonts w:ascii="Arial" w:hAnsi="Arial" w:cs="Arial"/>
              <w:color w:val="000000"/>
            </w:rPr>
            <w:t xml:space="preserve"> et al., 2003)</w:t>
          </w:r>
        </w:sdtContent>
      </w:sdt>
      <w:r w:rsidRPr="00687A62">
        <w:rPr>
          <w:rFonts w:ascii="Arial" w:hAnsi="Arial" w:cs="Arial"/>
        </w:rPr>
        <w:t xml:space="preserve"> to evaluate the impact of two different training interventions on digital literacy. The research was conducted with agricultural extension workers from Agricultural Extension Centers (BPP) across the Special Region of Yogyakarta, Indonesia. From an initial pool, a final sample of 158 extension workers participated and were assigned to one of three conditions: an online-only training group (T1; n = 49), a blended learning group (T2; n = 54), or a no-intervention control group (C; n = 55). </w:t>
      </w:r>
      <w:r w:rsidR="003E2A26" w:rsidRPr="003E2A26">
        <w:rPr>
          <w:rFonts w:ascii="Arial" w:hAnsi="Arial" w:cs="Arial"/>
        </w:rPr>
        <w:t xml:space="preserve">The demographic profile of the participants is detailed in Table 1. </w:t>
      </w:r>
      <w:r w:rsidRPr="00687A62">
        <w:rPr>
          <w:rFonts w:ascii="Arial" w:hAnsi="Arial" w:cs="Arial"/>
        </w:rPr>
        <w:t>The participants were predominantly male (58.9%) and represented an experienced workforce, with an average age of 44.3 years and an average of 13.5 years of service.</w:t>
      </w:r>
    </w:p>
    <w:p w14:paraId="5E737148" w14:textId="77777777" w:rsidR="003E2A26" w:rsidRDefault="003E2A26" w:rsidP="00687A62">
      <w:pPr>
        <w:pStyle w:val="Body"/>
        <w:spacing w:after="0"/>
        <w:rPr>
          <w:rFonts w:ascii="Arial" w:hAnsi="Arial" w:cs="Arial"/>
        </w:rPr>
      </w:pPr>
    </w:p>
    <w:p w14:paraId="15E35BB2" w14:textId="6C56B84D" w:rsidR="003E2A26" w:rsidRDefault="003E2A26" w:rsidP="00687A62">
      <w:pPr>
        <w:pStyle w:val="Body"/>
        <w:spacing w:after="0"/>
        <w:rPr>
          <w:rFonts w:ascii="Arial" w:hAnsi="Arial" w:cs="Arial"/>
          <w:b/>
          <w:bCs/>
        </w:rPr>
      </w:pPr>
      <w:r w:rsidRPr="00687A62">
        <w:rPr>
          <w:rFonts w:ascii="Arial" w:hAnsi="Arial" w:cs="Arial"/>
          <w:b/>
          <w:bCs/>
        </w:rPr>
        <w:t>Tab</w:t>
      </w:r>
      <w:r w:rsidR="002A2EF6">
        <w:rPr>
          <w:rFonts w:ascii="Arial" w:hAnsi="Arial" w:cs="Arial"/>
          <w:b/>
          <w:bCs/>
        </w:rPr>
        <w:t>le</w:t>
      </w:r>
      <w:r w:rsidRPr="00687A62">
        <w:rPr>
          <w:rFonts w:ascii="Arial" w:hAnsi="Arial" w:cs="Arial"/>
          <w:b/>
          <w:bCs/>
        </w:rPr>
        <w:t xml:space="preserve"> </w:t>
      </w:r>
      <w:r>
        <w:rPr>
          <w:rFonts w:ascii="Arial" w:hAnsi="Arial" w:cs="Arial"/>
          <w:b/>
          <w:bCs/>
        </w:rPr>
        <w:t>1</w:t>
      </w:r>
      <w:r w:rsidRPr="00687A62">
        <w:rPr>
          <w:rFonts w:ascii="Arial" w:hAnsi="Arial" w:cs="Arial"/>
          <w:b/>
          <w:bCs/>
        </w:rPr>
        <w:t>.</w:t>
      </w:r>
      <w:r>
        <w:rPr>
          <w:rFonts w:ascii="Arial" w:hAnsi="Arial" w:cs="Arial"/>
          <w:b/>
          <w:bCs/>
        </w:rPr>
        <w:t xml:space="preserve"> </w:t>
      </w:r>
      <w:r w:rsidRPr="003E2A26">
        <w:rPr>
          <w:rFonts w:ascii="Arial" w:hAnsi="Arial" w:cs="Arial"/>
          <w:b/>
          <w:bCs/>
        </w:rPr>
        <w:t>Demographic profile of all participants</w:t>
      </w:r>
    </w:p>
    <w:p w14:paraId="102F6A6A" w14:textId="77777777" w:rsidR="003E2A26" w:rsidRDefault="003E2A26" w:rsidP="00687A62">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2373"/>
        <w:gridCol w:w="2600"/>
        <w:gridCol w:w="1561"/>
        <w:gridCol w:w="1661"/>
      </w:tblGrid>
      <w:tr w:rsidR="003E2A26" w:rsidRPr="003E2A26" w14:paraId="0C628C49" w14:textId="77777777" w:rsidTr="00666F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F5CD14" w14:textId="77777777" w:rsidR="003E2A26" w:rsidRPr="003E2A26" w:rsidRDefault="003E2A26" w:rsidP="00666F65">
            <w:pPr>
              <w:jc w:val="center"/>
              <w:rPr>
                <w:rFonts w:ascii="Arial" w:hAnsi="Arial" w:cs="Arial"/>
              </w:rPr>
            </w:pPr>
            <w:r w:rsidRPr="003E2A26">
              <w:rPr>
                <w:rFonts w:ascii="Arial" w:hAnsi="Arial" w:cs="Arial"/>
              </w:rPr>
              <w:t>Demographic Variable</w:t>
            </w:r>
          </w:p>
        </w:tc>
        <w:tc>
          <w:tcPr>
            <w:tcW w:w="0" w:type="auto"/>
            <w:hideMark/>
          </w:tcPr>
          <w:p w14:paraId="6FC933E8" w14:textId="77777777" w:rsidR="003E2A26" w:rsidRPr="003E2A26" w:rsidRDefault="003E2A26"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Category</w:t>
            </w:r>
          </w:p>
        </w:tc>
        <w:tc>
          <w:tcPr>
            <w:tcW w:w="0" w:type="auto"/>
            <w:hideMark/>
          </w:tcPr>
          <w:p w14:paraId="14D93B9A" w14:textId="77777777" w:rsidR="003E2A26" w:rsidRPr="003E2A26" w:rsidRDefault="003E2A26"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Frequency (N)</w:t>
            </w:r>
          </w:p>
        </w:tc>
        <w:tc>
          <w:tcPr>
            <w:tcW w:w="0" w:type="auto"/>
            <w:hideMark/>
          </w:tcPr>
          <w:p w14:paraId="6CD04135" w14:textId="77777777" w:rsidR="003E2A26" w:rsidRPr="003E2A26" w:rsidRDefault="003E2A26"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Percentage (%)</w:t>
            </w:r>
          </w:p>
        </w:tc>
      </w:tr>
      <w:tr w:rsidR="003E2A26" w:rsidRPr="003E2A26" w14:paraId="0A282F0A"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AC93ED" w14:textId="77777777" w:rsidR="003E2A26" w:rsidRPr="00034D86" w:rsidRDefault="003E2A26" w:rsidP="00666F65">
            <w:pPr>
              <w:rPr>
                <w:rFonts w:ascii="Arial" w:hAnsi="Arial" w:cs="Arial"/>
                <w:b w:val="0"/>
                <w:bCs w:val="0"/>
              </w:rPr>
            </w:pPr>
            <w:r w:rsidRPr="00034D86">
              <w:rPr>
                <w:rFonts w:ascii="Arial" w:hAnsi="Arial" w:cs="Arial"/>
                <w:b w:val="0"/>
                <w:bCs w:val="0"/>
              </w:rPr>
              <w:t>Gender</w:t>
            </w:r>
          </w:p>
        </w:tc>
        <w:tc>
          <w:tcPr>
            <w:tcW w:w="0" w:type="auto"/>
            <w:hideMark/>
          </w:tcPr>
          <w:p w14:paraId="66B3C8E8"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Male</w:t>
            </w:r>
          </w:p>
        </w:tc>
        <w:tc>
          <w:tcPr>
            <w:tcW w:w="0" w:type="auto"/>
            <w:vAlign w:val="center"/>
            <w:hideMark/>
          </w:tcPr>
          <w:p w14:paraId="1A2F5602"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93</w:t>
            </w:r>
          </w:p>
        </w:tc>
        <w:tc>
          <w:tcPr>
            <w:tcW w:w="0" w:type="auto"/>
            <w:hideMark/>
          </w:tcPr>
          <w:p w14:paraId="25034985"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58.9</w:t>
            </w:r>
          </w:p>
        </w:tc>
      </w:tr>
      <w:tr w:rsidR="003E2A26" w:rsidRPr="003E2A26" w14:paraId="45EFB2A6"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A13D31" w14:textId="77777777" w:rsidR="003E2A26" w:rsidRPr="00034D86" w:rsidRDefault="003E2A26" w:rsidP="00666F65">
            <w:pPr>
              <w:rPr>
                <w:rFonts w:ascii="Arial" w:hAnsi="Arial" w:cs="Arial"/>
                <w:b w:val="0"/>
                <w:bCs w:val="0"/>
              </w:rPr>
            </w:pPr>
          </w:p>
        </w:tc>
        <w:tc>
          <w:tcPr>
            <w:tcW w:w="0" w:type="auto"/>
            <w:hideMark/>
          </w:tcPr>
          <w:p w14:paraId="3EB5613C"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Female</w:t>
            </w:r>
          </w:p>
        </w:tc>
        <w:tc>
          <w:tcPr>
            <w:tcW w:w="0" w:type="auto"/>
            <w:vAlign w:val="center"/>
            <w:hideMark/>
          </w:tcPr>
          <w:p w14:paraId="4F600BDE"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65</w:t>
            </w:r>
          </w:p>
        </w:tc>
        <w:tc>
          <w:tcPr>
            <w:tcW w:w="0" w:type="auto"/>
            <w:hideMark/>
          </w:tcPr>
          <w:p w14:paraId="32B43205"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41.1</w:t>
            </w:r>
          </w:p>
        </w:tc>
      </w:tr>
      <w:tr w:rsidR="003E2A26" w:rsidRPr="003E2A26" w14:paraId="218623C7"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A55310" w14:textId="77777777" w:rsidR="003E2A26" w:rsidRPr="00034D86" w:rsidRDefault="003E2A26" w:rsidP="00666F65">
            <w:pPr>
              <w:rPr>
                <w:rFonts w:ascii="Arial" w:hAnsi="Arial" w:cs="Arial"/>
                <w:b w:val="0"/>
                <w:bCs w:val="0"/>
              </w:rPr>
            </w:pPr>
            <w:r w:rsidRPr="00034D86">
              <w:rPr>
                <w:rFonts w:ascii="Arial" w:hAnsi="Arial" w:cs="Arial"/>
                <w:b w:val="0"/>
                <w:bCs w:val="0"/>
              </w:rPr>
              <w:t>Age Group (Years)</w:t>
            </w:r>
          </w:p>
        </w:tc>
        <w:tc>
          <w:tcPr>
            <w:tcW w:w="0" w:type="auto"/>
            <w:hideMark/>
          </w:tcPr>
          <w:p w14:paraId="3C704E9A"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25–34</w:t>
            </w:r>
          </w:p>
        </w:tc>
        <w:tc>
          <w:tcPr>
            <w:tcW w:w="0" w:type="auto"/>
            <w:vAlign w:val="center"/>
            <w:hideMark/>
          </w:tcPr>
          <w:p w14:paraId="3B842FDB"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12</w:t>
            </w:r>
          </w:p>
        </w:tc>
        <w:tc>
          <w:tcPr>
            <w:tcW w:w="0" w:type="auto"/>
            <w:hideMark/>
          </w:tcPr>
          <w:p w14:paraId="592CAA17"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1.86</w:t>
            </w:r>
          </w:p>
        </w:tc>
      </w:tr>
      <w:tr w:rsidR="003E2A26" w:rsidRPr="003E2A26" w14:paraId="23EB166D"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174097" w14:textId="77777777" w:rsidR="003E2A26" w:rsidRPr="00034D86" w:rsidRDefault="003E2A26" w:rsidP="00666F65">
            <w:pPr>
              <w:rPr>
                <w:rFonts w:ascii="Arial" w:hAnsi="Arial" w:cs="Arial"/>
                <w:b w:val="0"/>
                <w:bCs w:val="0"/>
              </w:rPr>
            </w:pPr>
          </w:p>
        </w:tc>
        <w:tc>
          <w:tcPr>
            <w:tcW w:w="0" w:type="auto"/>
            <w:hideMark/>
          </w:tcPr>
          <w:p w14:paraId="4115BCA5"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35–44</w:t>
            </w:r>
          </w:p>
        </w:tc>
        <w:tc>
          <w:tcPr>
            <w:tcW w:w="0" w:type="auto"/>
            <w:vAlign w:val="center"/>
            <w:hideMark/>
          </w:tcPr>
          <w:p w14:paraId="79F2CCF8"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79</w:t>
            </w:r>
          </w:p>
        </w:tc>
        <w:tc>
          <w:tcPr>
            <w:tcW w:w="0" w:type="auto"/>
            <w:hideMark/>
          </w:tcPr>
          <w:p w14:paraId="72AE4DC9"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12.27</w:t>
            </w:r>
          </w:p>
        </w:tc>
      </w:tr>
      <w:tr w:rsidR="003E2A26" w:rsidRPr="003E2A26" w14:paraId="7096AF55"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C81790" w14:textId="77777777" w:rsidR="003E2A26" w:rsidRPr="00034D86" w:rsidRDefault="003E2A26" w:rsidP="00666F65">
            <w:pPr>
              <w:rPr>
                <w:rFonts w:ascii="Arial" w:hAnsi="Arial" w:cs="Arial"/>
                <w:b w:val="0"/>
                <w:bCs w:val="0"/>
              </w:rPr>
            </w:pPr>
          </w:p>
        </w:tc>
        <w:tc>
          <w:tcPr>
            <w:tcW w:w="0" w:type="auto"/>
            <w:hideMark/>
          </w:tcPr>
          <w:p w14:paraId="733C991F"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45–54</w:t>
            </w:r>
          </w:p>
        </w:tc>
        <w:tc>
          <w:tcPr>
            <w:tcW w:w="0" w:type="auto"/>
            <w:vAlign w:val="center"/>
            <w:hideMark/>
          </w:tcPr>
          <w:p w14:paraId="76CB21BC"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62</w:t>
            </w:r>
          </w:p>
        </w:tc>
        <w:tc>
          <w:tcPr>
            <w:tcW w:w="0" w:type="auto"/>
            <w:hideMark/>
          </w:tcPr>
          <w:p w14:paraId="69DA23A7"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9.63</w:t>
            </w:r>
          </w:p>
        </w:tc>
      </w:tr>
      <w:tr w:rsidR="003E2A26" w:rsidRPr="003E2A26" w14:paraId="1B6CCC9B"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D13EC5" w14:textId="77777777" w:rsidR="003E2A26" w:rsidRPr="00034D86" w:rsidRDefault="003E2A26" w:rsidP="00666F65">
            <w:pPr>
              <w:rPr>
                <w:rFonts w:ascii="Arial" w:hAnsi="Arial" w:cs="Arial"/>
                <w:b w:val="0"/>
                <w:bCs w:val="0"/>
              </w:rPr>
            </w:pPr>
          </w:p>
        </w:tc>
        <w:tc>
          <w:tcPr>
            <w:tcW w:w="0" w:type="auto"/>
            <w:hideMark/>
          </w:tcPr>
          <w:p w14:paraId="7962052C"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55–60</w:t>
            </w:r>
          </w:p>
        </w:tc>
        <w:tc>
          <w:tcPr>
            <w:tcW w:w="0" w:type="auto"/>
            <w:vAlign w:val="center"/>
            <w:hideMark/>
          </w:tcPr>
          <w:p w14:paraId="406D619F"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17</w:t>
            </w:r>
          </w:p>
        </w:tc>
        <w:tc>
          <w:tcPr>
            <w:tcW w:w="0" w:type="auto"/>
            <w:hideMark/>
          </w:tcPr>
          <w:p w14:paraId="3F46D52C"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2.64</w:t>
            </w:r>
          </w:p>
        </w:tc>
      </w:tr>
      <w:tr w:rsidR="003E2A26" w:rsidRPr="003E2A26" w14:paraId="1130651D"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F2250F" w14:textId="77777777" w:rsidR="003E2A26" w:rsidRPr="00034D86" w:rsidRDefault="003E2A26" w:rsidP="00666F65">
            <w:pPr>
              <w:rPr>
                <w:rFonts w:ascii="Arial" w:hAnsi="Arial" w:cs="Arial"/>
                <w:b w:val="0"/>
                <w:bCs w:val="0"/>
              </w:rPr>
            </w:pPr>
            <w:r w:rsidRPr="00034D86">
              <w:rPr>
                <w:rFonts w:ascii="Arial" w:hAnsi="Arial" w:cs="Arial"/>
                <w:b w:val="0"/>
                <w:bCs w:val="0"/>
              </w:rPr>
              <w:t>Highest Education Level</w:t>
            </w:r>
          </w:p>
        </w:tc>
        <w:tc>
          <w:tcPr>
            <w:tcW w:w="0" w:type="auto"/>
            <w:hideMark/>
          </w:tcPr>
          <w:p w14:paraId="5F84869D"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Vocational High School</w:t>
            </w:r>
          </w:p>
        </w:tc>
        <w:tc>
          <w:tcPr>
            <w:tcW w:w="0" w:type="auto"/>
            <w:vAlign w:val="center"/>
            <w:hideMark/>
          </w:tcPr>
          <w:p w14:paraId="7A2D30E3"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26</w:t>
            </w:r>
          </w:p>
        </w:tc>
        <w:tc>
          <w:tcPr>
            <w:tcW w:w="0" w:type="auto"/>
            <w:hideMark/>
          </w:tcPr>
          <w:p w14:paraId="32B97E56"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4.04</w:t>
            </w:r>
          </w:p>
        </w:tc>
      </w:tr>
      <w:tr w:rsidR="003E2A26" w:rsidRPr="003E2A26" w14:paraId="350630F2"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A3C209" w14:textId="77777777" w:rsidR="003E2A26" w:rsidRPr="00034D86" w:rsidRDefault="003E2A26" w:rsidP="00666F65">
            <w:pPr>
              <w:rPr>
                <w:rFonts w:ascii="Arial" w:hAnsi="Arial" w:cs="Arial"/>
                <w:b w:val="0"/>
                <w:bCs w:val="0"/>
              </w:rPr>
            </w:pPr>
          </w:p>
        </w:tc>
        <w:tc>
          <w:tcPr>
            <w:tcW w:w="0" w:type="auto"/>
            <w:hideMark/>
          </w:tcPr>
          <w:p w14:paraId="0D57851A"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Senior High School</w:t>
            </w:r>
          </w:p>
        </w:tc>
        <w:tc>
          <w:tcPr>
            <w:tcW w:w="0" w:type="auto"/>
            <w:vAlign w:val="center"/>
            <w:hideMark/>
          </w:tcPr>
          <w:p w14:paraId="7199E1E7"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96</w:t>
            </w:r>
          </w:p>
        </w:tc>
        <w:tc>
          <w:tcPr>
            <w:tcW w:w="0" w:type="auto"/>
            <w:hideMark/>
          </w:tcPr>
          <w:p w14:paraId="377C423F"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14.91</w:t>
            </w:r>
          </w:p>
        </w:tc>
      </w:tr>
      <w:tr w:rsidR="003E2A26" w:rsidRPr="003E2A26" w14:paraId="55992DE6"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08762" w14:textId="77777777" w:rsidR="003E2A26" w:rsidRPr="00034D86" w:rsidRDefault="003E2A26" w:rsidP="00666F65">
            <w:pPr>
              <w:rPr>
                <w:rFonts w:ascii="Arial" w:hAnsi="Arial" w:cs="Arial"/>
                <w:b w:val="0"/>
                <w:bCs w:val="0"/>
              </w:rPr>
            </w:pPr>
          </w:p>
        </w:tc>
        <w:tc>
          <w:tcPr>
            <w:tcW w:w="0" w:type="auto"/>
            <w:hideMark/>
          </w:tcPr>
          <w:p w14:paraId="48A6A1C7"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Diploma 3 (D3)</w:t>
            </w:r>
          </w:p>
        </w:tc>
        <w:tc>
          <w:tcPr>
            <w:tcW w:w="0" w:type="auto"/>
            <w:vAlign w:val="center"/>
            <w:hideMark/>
          </w:tcPr>
          <w:p w14:paraId="3B992DB4"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18</w:t>
            </w:r>
          </w:p>
        </w:tc>
        <w:tc>
          <w:tcPr>
            <w:tcW w:w="0" w:type="auto"/>
            <w:hideMark/>
          </w:tcPr>
          <w:p w14:paraId="7E7B2722"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2.80</w:t>
            </w:r>
          </w:p>
        </w:tc>
      </w:tr>
      <w:tr w:rsidR="003E2A26" w:rsidRPr="003E2A26" w14:paraId="66EE3F81"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82B5A1" w14:textId="77777777" w:rsidR="003E2A26" w:rsidRPr="00034D86" w:rsidRDefault="003E2A26" w:rsidP="00666F65">
            <w:pPr>
              <w:rPr>
                <w:rFonts w:ascii="Arial" w:hAnsi="Arial" w:cs="Arial"/>
                <w:b w:val="0"/>
                <w:bCs w:val="0"/>
              </w:rPr>
            </w:pPr>
          </w:p>
        </w:tc>
        <w:tc>
          <w:tcPr>
            <w:tcW w:w="0" w:type="auto"/>
            <w:hideMark/>
          </w:tcPr>
          <w:p w14:paraId="617EE2F6"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Bachelor's Degree (D4/S1)</w:t>
            </w:r>
          </w:p>
        </w:tc>
        <w:tc>
          <w:tcPr>
            <w:tcW w:w="0" w:type="auto"/>
            <w:vAlign w:val="center"/>
            <w:hideMark/>
          </w:tcPr>
          <w:p w14:paraId="5BD5F2C6"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13</w:t>
            </w:r>
          </w:p>
        </w:tc>
        <w:tc>
          <w:tcPr>
            <w:tcW w:w="0" w:type="auto"/>
            <w:hideMark/>
          </w:tcPr>
          <w:p w14:paraId="39CF75FD"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2.02</w:t>
            </w:r>
          </w:p>
        </w:tc>
      </w:tr>
      <w:tr w:rsidR="003E2A26" w:rsidRPr="003E2A26" w14:paraId="50F84F4E"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071479" w14:textId="77777777" w:rsidR="003E2A26" w:rsidRPr="00034D86" w:rsidRDefault="003E2A26" w:rsidP="00666F65">
            <w:pPr>
              <w:rPr>
                <w:rFonts w:ascii="Arial" w:hAnsi="Arial" w:cs="Arial"/>
                <w:b w:val="0"/>
                <w:bCs w:val="0"/>
              </w:rPr>
            </w:pPr>
          </w:p>
        </w:tc>
        <w:tc>
          <w:tcPr>
            <w:tcW w:w="0" w:type="auto"/>
            <w:hideMark/>
          </w:tcPr>
          <w:p w14:paraId="73A95346"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Postgraduate (S2/S3)</w:t>
            </w:r>
          </w:p>
        </w:tc>
        <w:tc>
          <w:tcPr>
            <w:tcW w:w="0" w:type="auto"/>
            <w:vAlign w:val="center"/>
            <w:hideMark/>
          </w:tcPr>
          <w:p w14:paraId="41ECA528"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5</w:t>
            </w:r>
          </w:p>
        </w:tc>
        <w:tc>
          <w:tcPr>
            <w:tcW w:w="0" w:type="auto"/>
            <w:hideMark/>
          </w:tcPr>
          <w:p w14:paraId="2E88CB9F"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0.78</w:t>
            </w:r>
          </w:p>
        </w:tc>
      </w:tr>
      <w:tr w:rsidR="003E2A26" w:rsidRPr="003E2A26" w14:paraId="19984708"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07342F" w14:textId="77777777" w:rsidR="003E2A26" w:rsidRPr="00034D86" w:rsidRDefault="003E2A26" w:rsidP="00666F65">
            <w:pPr>
              <w:rPr>
                <w:rFonts w:ascii="Arial" w:hAnsi="Arial" w:cs="Arial"/>
                <w:b w:val="0"/>
                <w:bCs w:val="0"/>
              </w:rPr>
            </w:pPr>
            <w:r w:rsidRPr="00034D86">
              <w:rPr>
                <w:rFonts w:ascii="Arial" w:hAnsi="Arial" w:cs="Arial"/>
                <w:b w:val="0"/>
                <w:bCs w:val="0"/>
              </w:rPr>
              <w:t>Experience (Years)</w:t>
            </w:r>
          </w:p>
        </w:tc>
        <w:tc>
          <w:tcPr>
            <w:tcW w:w="0" w:type="auto"/>
            <w:hideMark/>
          </w:tcPr>
          <w:p w14:paraId="6C69C889"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1–5</w:t>
            </w:r>
          </w:p>
        </w:tc>
        <w:tc>
          <w:tcPr>
            <w:tcW w:w="0" w:type="auto"/>
            <w:vAlign w:val="center"/>
            <w:hideMark/>
          </w:tcPr>
          <w:p w14:paraId="313F2B54"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43</w:t>
            </w:r>
          </w:p>
        </w:tc>
        <w:tc>
          <w:tcPr>
            <w:tcW w:w="0" w:type="auto"/>
            <w:hideMark/>
          </w:tcPr>
          <w:p w14:paraId="5F6DFD38"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6.68</w:t>
            </w:r>
          </w:p>
        </w:tc>
      </w:tr>
      <w:tr w:rsidR="003E2A26" w:rsidRPr="003E2A26" w14:paraId="12284B0E"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E9B0C9" w14:textId="77777777" w:rsidR="003E2A26" w:rsidRPr="003E2A26" w:rsidRDefault="003E2A26" w:rsidP="00666F65">
            <w:pPr>
              <w:rPr>
                <w:rFonts w:ascii="Arial" w:hAnsi="Arial" w:cs="Arial"/>
              </w:rPr>
            </w:pPr>
          </w:p>
        </w:tc>
        <w:tc>
          <w:tcPr>
            <w:tcW w:w="0" w:type="auto"/>
            <w:hideMark/>
          </w:tcPr>
          <w:p w14:paraId="7D2FCF4E"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6–10</w:t>
            </w:r>
          </w:p>
        </w:tc>
        <w:tc>
          <w:tcPr>
            <w:tcW w:w="0" w:type="auto"/>
            <w:vAlign w:val="center"/>
            <w:hideMark/>
          </w:tcPr>
          <w:p w14:paraId="2E30DDB3"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w:t>
            </w:r>
          </w:p>
        </w:tc>
        <w:tc>
          <w:tcPr>
            <w:tcW w:w="0" w:type="auto"/>
            <w:hideMark/>
          </w:tcPr>
          <w:p w14:paraId="23B5D7E6"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0.16</w:t>
            </w:r>
          </w:p>
        </w:tc>
      </w:tr>
      <w:tr w:rsidR="003E2A26" w:rsidRPr="003E2A26" w14:paraId="54462D24"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D409EA" w14:textId="77777777" w:rsidR="003E2A26" w:rsidRPr="003E2A26" w:rsidRDefault="003E2A26" w:rsidP="00666F65">
            <w:pPr>
              <w:rPr>
                <w:rFonts w:ascii="Arial" w:hAnsi="Arial" w:cs="Arial"/>
              </w:rPr>
            </w:pPr>
          </w:p>
        </w:tc>
        <w:tc>
          <w:tcPr>
            <w:tcW w:w="0" w:type="auto"/>
            <w:hideMark/>
          </w:tcPr>
          <w:p w14:paraId="178D27D5"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11–15</w:t>
            </w:r>
          </w:p>
        </w:tc>
        <w:tc>
          <w:tcPr>
            <w:tcW w:w="0" w:type="auto"/>
            <w:vAlign w:val="center"/>
            <w:hideMark/>
          </w:tcPr>
          <w:p w14:paraId="1D3DD758"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12</w:t>
            </w:r>
          </w:p>
        </w:tc>
        <w:tc>
          <w:tcPr>
            <w:tcW w:w="0" w:type="auto"/>
            <w:hideMark/>
          </w:tcPr>
          <w:p w14:paraId="687B10F3"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1.86</w:t>
            </w:r>
          </w:p>
        </w:tc>
      </w:tr>
      <w:tr w:rsidR="003E2A26" w:rsidRPr="003E2A26" w14:paraId="18D1E788"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3EA961" w14:textId="77777777" w:rsidR="003E2A26" w:rsidRPr="003E2A26" w:rsidRDefault="003E2A26" w:rsidP="00666F65">
            <w:pPr>
              <w:rPr>
                <w:rFonts w:ascii="Arial" w:hAnsi="Arial" w:cs="Arial"/>
              </w:rPr>
            </w:pPr>
          </w:p>
        </w:tc>
        <w:tc>
          <w:tcPr>
            <w:tcW w:w="0" w:type="auto"/>
            <w:hideMark/>
          </w:tcPr>
          <w:p w14:paraId="35F4A5E9"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16–20</w:t>
            </w:r>
          </w:p>
        </w:tc>
        <w:tc>
          <w:tcPr>
            <w:tcW w:w="0" w:type="auto"/>
            <w:vAlign w:val="center"/>
            <w:hideMark/>
          </w:tcPr>
          <w:p w14:paraId="058DB3EA"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99</w:t>
            </w:r>
          </w:p>
        </w:tc>
        <w:tc>
          <w:tcPr>
            <w:tcW w:w="0" w:type="auto"/>
            <w:hideMark/>
          </w:tcPr>
          <w:p w14:paraId="283BCA70"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15.37</w:t>
            </w:r>
          </w:p>
        </w:tc>
      </w:tr>
      <w:tr w:rsidR="003E2A26" w:rsidRPr="003E2A26" w14:paraId="7B482530"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AC12C4" w14:textId="77777777" w:rsidR="003E2A26" w:rsidRPr="003E2A26" w:rsidRDefault="003E2A26" w:rsidP="00666F65">
            <w:pPr>
              <w:rPr>
                <w:rFonts w:ascii="Arial" w:hAnsi="Arial" w:cs="Arial"/>
              </w:rPr>
            </w:pPr>
          </w:p>
        </w:tc>
        <w:tc>
          <w:tcPr>
            <w:tcW w:w="0" w:type="auto"/>
            <w:hideMark/>
          </w:tcPr>
          <w:p w14:paraId="2F58B22F"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21+</w:t>
            </w:r>
          </w:p>
        </w:tc>
        <w:tc>
          <w:tcPr>
            <w:tcW w:w="0" w:type="auto"/>
            <w:vAlign w:val="center"/>
            <w:hideMark/>
          </w:tcPr>
          <w:p w14:paraId="78B88BC3"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3</w:t>
            </w:r>
          </w:p>
        </w:tc>
        <w:tc>
          <w:tcPr>
            <w:tcW w:w="0" w:type="auto"/>
            <w:hideMark/>
          </w:tcPr>
          <w:p w14:paraId="5AD6BE1C"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0.47</w:t>
            </w:r>
          </w:p>
        </w:tc>
      </w:tr>
    </w:tbl>
    <w:p w14:paraId="3BBB5BEA" w14:textId="77777777" w:rsidR="003E2A26" w:rsidRDefault="003E2A26" w:rsidP="00441B6F">
      <w:pPr>
        <w:pStyle w:val="Body"/>
        <w:spacing w:after="0"/>
        <w:rPr>
          <w:rFonts w:ascii="Arial" w:hAnsi="Arial" w:cs="Arial"/>
        </w:rPr>
      </w:pPr>
    </w:p>
    <w:p w14:paraId="7A587C33" w14:textId="482430D0" w:rsidR="00687A62" w:rsidRDefault="00687A62" w:rsidP="00687A62">
      <w:pPr>
        <w:pStyle w:val="Body"/>
        <w:spacing w:after="0"/>
        <w:rPr>
          <w:rFonts w:ascii="Arial" w:hAnsi="Arial" w:cs="Arial"/>
          <w:b/>
          <w:sz w:val="22"/>
        </w:rPr>
      </w:pPr>
      <w:r w:rsidRPr="00C30A0F">
        <w:rPr>
          <w:rFonts w:ascii="Arial" w:hAnsi="Arial" w:cs="Arial"/>
          <w:b/>
          <w:caps/>
          <w:sz w:val="22"/>
        </w:rPr>
        <w:t>2.</w:t>
      </w:r>
      <w:r w:rsidR="00CD0242">
        <w:rPr>
          <w:rFonts w:ascii="Arial" w:hAnsi="Arial" w:cs="Arial"/>
          <w:b/>
          <w:caps/>
          <w:sz w:val="22"/>
        </w:rPr>
        <w:t>2</w:t>
      </w:r>
      <w:r w:rsidRPr="00C30A0F">
        <w:rPr>
          <w:rFonts w:ascii="Arial" w:hAnsi="Arial" w:cs="Arial"/>
          <w:b/>
          <w:caps/>
          <w:sz w:val="22"/>
        </w:rPr>
        <w:t xml:space="preserve"> </w:t>
      </w:r>
      <w:r w:rsidRPr="00687A62">
        <w:rPr>
          <w:rFonts w:ascii="Arial" w:hAnsi="Arial" w:cs="Arial"/>
          <w:b/>
          <w:sz w:val="22"/>
        </w:rPr>
        <w:t>Training Interventions</w:t>
      </w:r>
    </w:p>
    <w:p w14:paraId="500FAB35" w14:textId="5717801B" w:rsidR="00687A62" w:rsidRPr="0098358D" w:rsidRDefault="00687A62" w:rsidP="00687A62">
      <w:pPr>
        <w:pStyle w:val="Body"/>
        <w:spacing w:after="0"/>
        <w:rPr>
          <w:rFonts w:ascii="Arial" w:hAnsi="Arial" w:cs="Arial"/>
          <w:bCs/>
          <w:szCs w:val="16"/>
        </w:rPr>
      </w:pPr>
      <w:r w:rsidRPr="0098358D">
        <w:rPr>
          <w:rFonts w:ascii="Arial" w:hAnsi="Arial" w:cs="Arial"/>
          <w:bCs/>
          <w:szCs w:val="16"/>
        </w:rPr>
        <w:t>Participants in the two experimental groups received a 10-day training program designed to enhance digital literacy based on the European Digital Competence Framework (</w:t>
      </w:r>
      <w:proofErr w:type="spellStart"/>
      <w:r w:rsidRPr="0098358D">
        <w:rPr>
          <w:rFonts w:ascii="Arial" w:hAnsi="Arial" w:cs="Arial"/>
          <w:bCs/>
          <w:szCs w:val="16"/>
        </w:rPr>
        <w:t>DigComp</w:t>
      </w:r>
      <w:proofErr w:type="spellEnd"/>
      <w:r w:rsidRPr="0098358D">
        <w:rPr>
          <w:rFonts w:ascii="Arial" w:hAnsi="Arial" w:cs="Arial"/>
          <w:bCs/>
          <w:szCs w:val="16"/>
        </w:rPr>
        <w:t xml:space="preserve"> 2.0). The curriculum, delivered via the </w:t>
      </w:r>
      <w:proofErr w:type="spellStart"/>
      <w:r w:rsidRPr="0098358D">
        <w:rPr>
          <w:rFonts w:ascii="Arial" w:hAnsi="Arial" w:cs="Arial"/>
          <w:bCs/>
          <w:szCs w:val="16"/>
        </w:rPr>
        <w:t>Lentera</w:t>
      </w:r>
      <w:proofErr w:type="spellEnd"/>
      <w:r w:rsidRPr="0098358D">
        <w:rPr>
          <w:rFonts w:ascii="Arial" w:hAnsi="Arial" w:cs="Arial"/>
          <w:bCs/>
          <w:szCs w:val="16"/>
        </w:rPr>
        <w:t xml:space="preserve"> DESA online platform, consisted of four modules covering topics from data literacy to </w:t>
      </w:r>
      <w:r w:rsidR="00CD0242" w:rsidRPr="0098358D">
        <w:rPr>
          <w:rFonts w:ascii="Arial" w:hAnsi="Arial" w:cs="Arial"/>
          <w:bCs/>
          <w:szCs w:val="16"/>
        </w:rPr>
        <w:t>problem solving</w:t>
      </w:r>
      <w:r w:rsidRPr="0098358D">
        <w:rPr>
          <w:rFonts w:ascii="Arial" w:hAnsi="Arial" w:cs="Arial"/>
          <w:bCs/>
          <w:szCs w:val="16"/>
        </w:rPr>
        <w:t>. The delivery method for each group was the key independent variable:</w:t>
      </w:r>
    </w:p>
    <w:p w14:paraId="513A9925" w14:textId="2B3996F4"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 xml:space="preserve">Online-Only Group (T1): The intervention began with a single three-hour introductory session conducted synchronously via Zoom. All subsequent learning was conducted asynchronously through the </w:t>
      </w:r>
      <w:proofErr w:type="spellStart"/>
      <w:r w:rsidR="00783D73" w:rsidRPr="0098358D">
        <w:rPr>
          <w:rFonts w:ascii="Arial" w:hAnsi="Arial" w:cs="Arial"/>
          <w:bCs/>
          <w:szCs w:val="16"/>
        </w:rPr>
        <w:t>Lentera</w:t>
      </w:r>
      <w:proofErr w:type="spellEnd"/>
      <w:r w:rsidR="00783D73" w:rsidRPr="0098358D">
        <w:rPr>
          <w:rFonts w:ascii="Arial" w:hAnsi="Arial" w:cs="Arial"/>
          <w:bCs/>
          <w:szCs w:val="16"/>
        </w:rPr>
        <w:t xml:space="preserve"> DESA </w:t>
      </w:r>
      <w:r w:rsidRPr="0098358D">
        <w:rPr>
          <w:rFonts w:ascii="Arial" w:hAnsi="Arial" w:cs="Arial"/>
          <w:bCs/>
          <w:szCs w:val="16"/>
        </w:rPr>
        <w:t>online platform.</w:t>
      </w:r>
    </w:p>
    <w:p w14:paraId="5011EF1E" w14:textId="08F81ABF"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Blended Learning Group (T2): The intervention began with a full-day, in-person training session that included hands-on workshops. This was followed by the same 10-day period of asynchronous online learning as Group T1</w:t>
      </w:r>
      <w:r w:rsidR="00783D73">
        <w:rPr>
          <w:rFonts w:ascii="Arial" w:hAnsi="Arial" w:cs="Arial"/>
          <w:bCs/>
          <w:szCs w:val="16"/>
        </w:rPr>
        <w:t xml:space="preserve"> through the </w:t>
      </w:r>
      <w:proofErr w:type="spellStart"/>
      <w:r w:rsidR="00783D73" w:rsidRPr="0098358D">
        <w:rPr>
          <w:rFonts w:ascii="Arial" w:hAnsi="Arial" w:cs="Arial"/>
          <w:bCs/>
          <w:szCs w:val="16"/>
        </w:rPr>
        <w:t>Lentera</w:t>
      </w:r>
      <w:proofErr w:type="spellEnd"/>
      <w:r w:rsidR="00783D73" w:rsidRPr="0098358D">
        <w:rPr>
          <w:rFonts w:ascii="Arial" w:hAnsi="Arial" w:cs="Arial"/>
          <w:bCs/>
          <w:szCs w:val="16"/>
        </w:rPr>
        <w:t xml:space="preserve"> DESA</w:t>
      </w:r>
      <w:r w:rsidR="00783D73">
        <w:rPr>
          <w:rFonts w:ascii="Arial" w:hAnsi="Arial" w:cs="Arial"/>
          <w:bCs/>
          <w:szCs w:val="16"/>
        </w:rPr>
        <w:t xml:space="preserve"> platform</w:t>
      </w:r>
      <w:r w:rsidRPr="0098358D">
        <w:rPr>
          <w:rFonts w:ascii="Arial" w:hAnsi="Arial" w:cs="Arial"/>
          <w:bCs/>
          <w:szCs w:val="16"/>
        </w:rPr>
        <w:t>.</w:t>
      </w:r>
    </w:p>
    <w:p w14:paraId="7578F45F" w14:textId="2ACF4EBD"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The control group (C) received no training intervention during the study period.</w:t>
      </w:r>
    </w:p>
    <w:p w14:paraId="04773C58" w14:textId="77777777" w:rsidR="00CD0242" w:rsidRPr="00687A62" w:rsidRDefault="00CD0242" w:rsidP="00687A62">
      <w:pPr>
        <w:pStyle w:val="Body"/>
        <w:spacing w:after="0"/>
        <w:rPr>
          <w:rFonts w:ascii="Arial" w:hAnsi="Arial" w:cs="Arial"/>
          <w:bCs/>
          <w:sz w:val="22"/>
        </w:rPr>
      </w:pPr>
    </w:p>
    <w:p w14:paraId="15F06308" w14:textId="43C19F88" w:rsidR="00CD0242" w:rsidRDefault="00CD0242" w:rsidP="00CD024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CD0242">
        <w:rPr>
          <w:rFonts w:ascii="Arial" w:hAnsi="Arial" w:cs="Arial"/>
          <w:b/>
          <w:sz w:val="22"/>
        </w:rPr>
        <w:t>Measures and Procedure</w:t>
      </w:r>
    </w:p>
    <w:p w14:paraId="5FBD468C" w14:textId="3D72BDB8" w:rsidR="00CD0242" w:rsidRPr="0098358D" w:rsidRDefault="00CD0242" w:rsidP="00CD0242">
      <w:pPr>
        <w:pStyle w:val="Body"/>
        <w:spacing w:after="0"/>
        <w:rPr>
          <w:rFonts w:ascii="Arial" w:hAnsi="Arial" w:cs="Arial"/>
          <w:bCs/>
          <w:szCs w:val="16"/>
        </w:rPr>
      </w:pPr>
      <w:r w:rsidRPr="0098358D">
        <w:rPr>
          <w:rFonts w:ascii="Arial" w:hAnsi="Arial" w:cs="Arial"/>
          <w:bCs/>
          <w:szCs w:val="16"/>
        </w:rPr>
        <w:t xml:space="preserve">Digital literacy competency was the primary dependent variable, measured using a questionnaire developed based on the </w:t>
      </w:r>
      <w:proofErr w:type="spellStart"/>
      <w:r w:rsidRPr="0098358D">
        <w:rPr>
          <w:rFonts w:ascii="Arial" w:hAnsi="Arial" w:cs="Arial"/>
          <w:bCs/>
          <w:szCs w:val="16"/>
        </w:rPr>
        <w:t>DigComp</w:t>
      </w:r>
      <w:proofErr w:type="spellEnd"/>
      <w:r w:rsidRPr="0098358D">
        <w:rPr>
          <w:rFonts w:ascii="Arial" w:hAnsi="Arial" w:cs="Arial"/>
          <w:bCs/>
          <w:szCs w:val="16"/>
        </w:rPr>
        <w:t xml:space="preserve"> 2.0 framework </w:t>
      </w:r>
      <w:sdt>
        <w:sdtPr>
          <w:rPr>
            <w:rFonts w:ascii="Arial" w:hAnsi="Arial" w:cs="Arial"/>
            <w:bCs/>
            <w:color w:val="000000"/>
            <w:szCs w:val="16"/>
          </w:rPr>
          <w:tag w:val="MENDELEY_CITATION_v3_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"/>
          <w:id w:val="-1605952029"/>
          <w:placeholder>
            <w:docPart w:val="DefaultPlaceholder_-1854013440"/>
          </w:placeholder>
        </w:sdtPr>
        <w:sdtContent>
          <w:r w:rsidR="005906FD" w:rsidRPr="005906FD">
            <w:rPr>
              <w:rFonts w:ascii="Arial" w:hAnsi="Arial" w:cs="Arial"/>
              <w:bCs/>
              <w:color w:val="000000"/>
              <w:szCs w:val="16"/>
            </w:rPr>
            <w:t>(</w:t>
          </w:r>
          <w:proofErr w:type="spellStart"/>
          <w:r w:rsidR="005906FD" w:rsidRPr="005906FD">
            <w:rPr>
              <w:rFonts w:ascii="Arial" w:hAnsi="Arial" w:cs="Arial"/>
              <w:bCs/>
              <w:color w:val="000000"/>
              <w:szCs w:val="16"/>
            </w:rPr>
            <w:t>Vuorikari</w:t>
          </w:r>
          <w:proofErr w:type="spellEnd"/>
          <w:r w:rsidR="005906FD" w:rsidRPr="005906FD">
            <w:rPr>
              <w:rFonts w:ascii="Arial" w:hAnsi="Arial" w:cs="Arial"/>
              <w:bCs/>
              <w:color w:val="000000"/>
              <w:szCs w:val="16"/>
            </w:rPr>
            <w:t xml:space="preserve"> et al., 2016)</w:t>
          </w:r>
        </w:sdtContent>
      </w:sdt>
      <w:r w:rsidRPr="0098358D">
        <w:rPr>
          <w:rFonts w:ascii="Arial" w:hAnsi="Arial" w:cs="Arial"/>
          <w:bCs/>
          <w:szCs w:val="16"/>
        </w:rPr>
        <w:t xml:space="preserve">. The </w:t>
      </w:r>
      <w:r w:rsidRPr="0098358D">
        <w:rPr>
          <w:rFonts w:ascii="Arial" w:hAnsi="Arial" w:cs="Arial"/>
          <w:bCs/>
          <w:szCs w:val="16"/>
        </w:rPr>
        <w:lastRenderedPageBreak/>
        <w:t xml:space="preserve">instrument consisted of </w:t>
      </w:r>
      <w:r w:rsidR="00034D86">
        <w:rPr>
          <w:rFonts w:ascii="Arial" w:hAnsi="Arial" w:cs="Arial"/>
          <w:bCs/>
          <w:szCs w:val="16"/>
        </w:rPr>
        <w:t>20</w:t>
      </w:r>
      <w:r w:rsidRPr="0098358D">
        <w:rPr>
          <w:rFonts w:ascii="Arial" w:hAnsi="Arial" w:cs="Arial"/>
          <w:bCs/>
          <w:szCs w:val="16"/>
        </w:rPr>
        <w:t xml:space="preserve"> items measuring five core competencies: Information and Data Literacy, Communication and Collaboration, Digital Content Creation, Safety, and Problem Solving. The questionnaire was administered to all participants as a pre-test before the intervention and as a post-test immediately after its conclusion.</w:t>
      </w:r>
    </w:p>
    <w:p w14:paraId="2C0556A5" w14:textId="77777777" w:rsidR="00CD0242" w:rsidRDefault="00CD0242" w:rsidP="00CD0242">
      <w:pPr>
        <w:pStyle w:val="Body"/>
        <w:spacing w:after="0"/>
        <w:rPr>
          <w:rFonts w:ascii="Arial" w:hAnsi="Arial" w:cs="Arial"/>
          <w:b/>
          <w:sz w:val="22"/>
        </w:rPr>
      </w:pPr>
    </w:p>
    <w:p w14:paraId="60D19025" w14:textId="3F826EE7" w:rsidR="00CD0242" w:rsidRDefault="00CD0242" w:rsidP="00CD0242">
      <w:pPr>
        <w:pStyle w:val="Body"/>
        <w:spacing w:after="0"/>
        <w:rPr>
          <w:rFonts w:ascii="Arial" w:hAnsi="Arial" w:cs="Arial"/>
          <w:b/>
          <w:sz w:val="22"/>
        </w:rPr>
      </w:pPr>
      <w:r>
        <w:rPr>
          <w:rFonts w:ascii="Arial" w:hAnsi="Arial" w:cs="Arial"/>
          <w:b/>
          <w:sz w:val="22"/>
        </w:rPr>
        <w:t xml:space="preserve">2.4 </w:t>
      </w:r>
      <w:r w:rsidRPr="00CD0242">
        <w:rPr>
          <w:rFonts w:ascii="Arial" w:hAnsi="Arial" w:cs="Arial"/>
          <w:b/>
          <w:sz w:val="22"/>
        </w:rPr>
        <w:t>Data Analysis</w:t>
      </w:r>
    </w:p>
    <w:p w14:paraId="1B12213C" w14:textId="1EA41A1F" w:rsidR="0098358D" w:rsidRPr="0098358D" w:rsidRDefault="00BF7E09" w:rsidP="0098358D">
      <w:pPr>
        <w:pStyle w:val="Body"/>
        <w:spacing w:after="0"/>
        <w:rPr>
          <w:rFonts w:ascii="Arial" w:hAnsi="Arial" w:cs="Arial"/>
          <w:bCs/>
          <w:szCs w:val="16"/>
        </w:rPr>
      </w:pPr>
      <w:r w:rsidRPr="0098358D">
        <w:rPr>
          <w:rFonts w:ascii="Arial" w:hAnsi="Arial" w:cs="Arial"/>
          <w:bCs/>
          <w:szCs w:val="16"/>
        </w:rPr>
        <w:t xml:space="preserve">The collected data were analyzed using SPSS (Version 27). First, descriptive statistics were calculated for all variables. To test the primary hypothesis, </w:t>
      </w:r>
      <w:commentRangeStart w:id="1"/>
      <w:r w:rsidRPr="0098358D">
        <w:rPr>
          <w:rFonts w:ascii="Arial" w:hAnsi="Arial" w:cs="Arial"/>
          <w:bCs/>
          <w:szCs w:val="16"/>
        </w:rPr>
        <w:t>a mixed-design Analysis of Variance (ANOVA)</w:t>
      </w:r>
      <w:commentRangeEnd w:id="1"/>
      <w:r w:rsidR="00561244">
        <w:rPr>
          <w:rStyle w:val="CommentReference"/>
          <w:rFonts w:ascii="Times New Roman" w:hAnsi="Times New Roman"/>
          <w:lang w:val="nb-NO" w:eastAsia="nb-NO"/>
        </w:rPr>
        <w:commentReference w:id="1"/>
      </w:r>
      <w:r w:rsidRPr="0098358D">
        <w:rPr>
          <w:rFonts w:ascii="Arial" w:hAnsi="Arial" w:cs="Arial"/>
          <w:bCs/>
          <w:szCs w:val="16"/>
        </w:rPr>
        <w:t xml:space="preserve"> was conducted to examine the interaction effect between time (pre-test, post-test) and group (Control, T1, T2) on digital literacy scores. Statistical assumptions for the analysis, including normality, homogeneity of variances, and sphericity, were checked and met. Where a significant interaction was found, a one-way ANOVA on the score improvement (gain scores) followed by a Tukey HSD post-hoc test was used to identify specific differences between the groups. The significance level was set at α = 0.05 for all statistical tests.</w:t>
      </w:r>
    </w:p>
    <w:p w14:paraId="7D40E116" w14:textId="77777777" w:rsidR="00790ADA" w:rsidRDefault="00790ADA" w:rsidP="00441B6F">
      <w:pPr>
        <w:pStyle w:val="Body"/>
        <w:spacing w:after="0"/>
        <w:rPr>
          <w:rFonts w:ascii="Arial" w:hAnsi="Arial" w:cs="Arial"/>
        </w:rPr>
      </w:pPr>
    </w:p>
    <w:p w14:paraId="1E7CBD88" w14:textId="77777777" w:rsidR="00BA4624" w:rsidRPr="00FB3A86" w:rsidRDefault="00BA4624" w:rsidP="00441B6F">
      <w:pPr>
        <w:pStyle w:val="Body"/>
        <w:spacing w:after="0"/>
        <w:rPr>
          <w:rFonts w:ascii="Arial" w:hAnsi="Arial" w:cs="Arial"/>
        </w:rPr>
      </w:pPr>
    </w:p>
    <w:p w14:paraId="3D07F1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915559" w14:textId="77777777" w:rsidR="00751494" w:rsidRDefault="00751494" w:rsidP="00441B6F">
      <w:pPr>
        <w:pStyle w:val="Head1"/>
        <w:spacing w:after="0"/>
        <w:jc w:val="both"/>
        <w:rPr>
          <w:rFonts w:ascii="Arial" w:hAnsi="Arial" w:cs="Arial"/>
        </w:rPr>
      </w:pPr>
    </w:p>
    <w:p w14:paraId="56123121" w14:textId="7DC8C51E" w:rsidR="00B901CA" w:rsidRPr="00B901CA" w:rsidRDefault="00B901CA" w:rsidP="00B901CA">
      <w:pPr>
        <w:jc w:val="both"/>
        <w:rPr>
          <w:rFonts w:ascii="Arial" w:hAnsi="Arial" w:cs="Arial"/>
        </w:rPr>
      </w:pPr>
      <w:r w:rsidRPr="00B901CA">
        <w:rPr>
          <w:rFonts w:ascii="Arial" w:hAnsi="Arial" w:cs="Arial"/>
        </w:rPr>
        <w:t>The modernization of agriculture is increasingly dependent on the capacity of its frontline professionals—particularly agricultural extension workers—to effectively leverage digital tool</w:t>
      </w:r>
      <w:r w:rsidR="00751494">
        <w:rPr>
          <w:rFonts w:ascii="Arial" w:hAnsi="Arial" w:cs="Arial"/>
        </w:rPr>
        <w:t>s</w:t>
      </w:r>
      <w:r w:rsidR="00761DBA">
        <w:rPr>
          <w:rFonts w:ascii="Arial" w:hAnsi="Arial" w:cs="Arial"/>
        </w:rPr>
        <w:t xml:space="preserve"> </w:t>
      </w:r>
      <w:sdt>
        <w:sdtPr>
          <w:rPr>
            <w:rFonts w:ascii="Arial" w:hAnsi="Arial" w:cs="Arial"/>
            <w:color w:val="000000"/>
          </w:rPr>
          <w:tag w:val="MENDELEY_CITATION_v3_eyJjaXRhdGlvbklEIjoiTUVOREVMRVlfQ0lUQVRJT05fMDgzOGU2MTgtYTYzZi00MGRkLWI3ZGMtYzRlMDQ5YTA1NDI3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
          <w:id w:val="-1225755642"/>
          <w:placeholder>
            <w:docPart w:val="DefaultPlaceholder_-1854013440"/>
          </w:placeholder>
        </w:sdtPr>
        <w:sdtContent>
          <w:r w:rsidR="005906FD" w:rsidRPr="005906FD">
            <w:rPr>
              <w:rFonts w:ascii="Arial" w:hAnsi="Arial" w:cs="Arial"/>
              <w:color w:val="000000"/>
            </w:rPr>
            <w:t>(Klerkx et al., 2019)</w:t>
          </w:r>
        </w:sdtContent>
      </w:sdt>
      <w:r w:rsidR="00751494">
        <w:rPr>
          <w:rFonts w:ascii="Arial" w:hAnsi="Arial" w:cs="Arial"/>
        </w:rPr>
        <w:t xml:space="preserve">. </w:t>
      </w:r>
      <w:r w:rsidRPr="00B901CA">
        <w:rPr>
          <w:rFonts w:ascii="Arial" w:hAnsi="Arial" w:cs="Arial"/>
        </w:rPr>
        <w:t>In this context, digital literacy transcends basic operational skills; it encompasses the competencies required to critically find, evaluate, create, and communicate digital information to support farming communities</w:t>
      </w:r>
      <w:r w:rsidR="005869C3">
        <w:rPr>
          <w:rFonts w:ascii="Arial" w:hAnsi="Arial" w:cs="Arial"/>
        </w:rPr>
        <w:t xml:space="preserve"> </w:t>
      </w:r>
      <w:sdt>
        <w:sdtPr>
          <w:rPr>
            <w:rFonts w:ascii="Arial" w:hAnsi="Arial" w:cs="Arial"/>
            <w:color w:val="000000"/>
          </w:rPr>
          <w:tag w:val="MENDELEY_CITATION_v3_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"/>
          <w:id w:val="-570658978"/>
          <w:placeholder>
            <w:docPart w:val="DefaultPlaceholder_-1854013440"/>
          </w:placeholder>
        </w:sdtPr>
        <w:sdtContent>
          <w:r w:rsidR="005906FD" w:rsidRPr="005906FD">
            <w:rPr>
              <w:rFonts w:ascii="Arial" w:hAnsi="Arial" w:cs="Arial"/>
              <w:color w:val="000000"/>
            </w:rPr>
            <w:t>(Carretero et al., 2017)</w:t>
          </w:r>
        </w:sdtContent>
      </w:sdt>
      <w:r w:rsidR="00761DBA">
        <w:rPr>
          <w:rFonts w:ascii="Arial" w:hAnsi="Arial" w:cs="Arial"/>
        </w:rPr>
        <w:t xml:space="preserve">. </w:t>
      </w:r>
      <w:r w:rsidRPr="00B901CA">
        <w:rPr>
          <w:rFonts w:ascii="Arial" w:hAnsi="Arial" w:cs="Arial"/>
        </w:rPr>
        <w:t xml:space="preserve">The importance of digital literacy for extension workers cannot be overstated. </w:t>
      </w:r>
      <w:r w:rsidR="002A2EF6" w:rsidRPr="002A2EF6">
        <w:rPr>
          <w:rFonts w:ascii="Arial" w:hAnsi="Arial" w:cs="Arial"/>
        </w:rPr>
        <w:t xml:space="preserve">Studies have shown that the relationship between digital literacy and socioeconomic variables is critical, as these factors influence the capacity of extension workers to engage with digital tools and resources. Integrating digital literacy training into professional development programs for extension workers is essential to address these challenges and enhance their effectiveness in supporting farmers </w:t>
      </w:r>
      <w:sdt>
        <w:sdtPr>
          <w:rPr>
            <w:rFonts w:ascii="Arial" w:hAnsi="Arial" w:cs="Arial"/>
            <w:color w:val="000000"/>
          </w:rPr>
          <w:tag w:val="MENDELEY_CITATION_v3_eyJjaXRhdGlvbklEIjoiTUVOREVMRVlfQ0lUQVRJT05fNWVjM2FlYmYtZTE4OS00MWM4LWJkZTQtZDNjNDFhZDA4MTVl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
          <w:id w:val="658042325"/>
          <w:placeholder>
            <w:docPart w:val="DefaultPlaceholder_-1854013440"/>
          </w:placeholder>
        </w:sdtPr>
        <w:sdtContent>
          <w:r w:rsidR="005906FD" w:rsidRPr="005906FD">
            <w:rPr>
              <w:rFonts w:ascii="Arial" w:hAnsi="Arial" w:cs="Arial"/>
              <w:color w:val="000000"/>
            </w:rPr>
            <w:t>(Aja, 2024)</w:t>
          </w:r>
        </w:sdtContent>
      </w:sdt>
      <w:r w:rsidR="002A2EF6" w:rsidRPr="002A2EF6">
        <w:rPr>
          <w:rFonts w:ascii="Arial" w:hAnsi="Arial" w:cs="Arial"/>
        </w:rPr>
        <w:t>.</w:t>
      </w:r>
      <w:r w:rsidR="002A2EF6">
        <w:rPr>
          <w:rFonts w:ascii="Arial" w:hAnsi="Arial" w:cs="Arial"/>
        </w:rPr>
        <w:t xml:space="preserve"> </w:t>
      </w:r>
      <w:r w:rsidR="002A2EF6" w:rsidRPr="00B901CA">
        <w:rPr>
          <w:rFonts w:ascii="Arial" w:hAnsi="Arial" w:cs="Arial"/>
        </w:rPr>
        <w:t>Given the urgent need to build these competencies, a central challenge for agricultural organizations is identifying the most effective and scalable training modalities to upskill their workforce.</w:t>
      </w:r>
    </w:p>
    <w:p w14:paraId="6113505D" w14:textId="77777777" w:rsidR="00B901CA" w:rsidRDefault="00B901CA" w:rsidP="00B901CA">
      <w:pPr>
        <w:jc w:val="both"/>
      </w:pPr>
    </w:p>
    <w:p w14:paraId="74C09E17" w14:textId="79D621EF" w:rsidR="00790ADA" w:rsidRPr="00FB3A86" w:rsidRDefault="00CB73FB" w:rsidP="00441B6F">
      <w:pPr>
        <w:pStyle w:val="Head1"/>
        <w:spacing w:after="0"/>
        <w:jc w:val="both"/>
        <w:rPr>
          <w:rFonts w:ascii="Arial" w:hAnsi="Arial" w:cs="Arial"/>
        </w:rPr>
      </w:pPr>
      <w:r>
        <w:rPr>
          <w:rFonts w:ascii="Arial" w:hAnsi="Arial" w:cs="Arial"/>
        </w:rPr>
        <w:t xml:space="preserve">3.1 </w:t>
      </w:r>
      <w:r w:rsidRPr="00CB73FB">
        <w:rPr>
          <w:rFonts w:ascii="Arial" w:hAnsi="Arial" w:cs="Arial"/>
          <w:caps w:val="0"/>
        </w:rPr>
        <w:t xml:space="preserve">Participant Profile </w:t>
      </w:r>
      <w:r>
        <w:rPr>
          <w:rFonts w:ascii="Arial" w:hAnsi="Arial" w:cs="Arial"/>
          <w:caps w:val="0"/>
        </w:rPr>
        <w:t>a</w:t>
      </w:r>
      <w:r w:rsidRPr="00CB73FB">
        <w:rPr>
          <w:rFonts w:ascii="Arial" w:hAnsi="Arial" w:cs="Arial"/>
          <w:caps w:val="0"/>
        </w:rPr>
        <w:t>nd Baseline Comparability</w:t>
      </w:r>
    </w:p>
    <w:p w14:paraId="69331CDB" w14:textId="4EF51882" w:rsidR="00502516" w:rsidRDefault="00CB73FB" w:rsidP="00441B6F">
      <w:pPr>
        <w:pStyle w:val="Body"/>
        <w:spacing w:after="0"/>
        <w:rPr>
          <w:rFonts w:ascii="Arial" w:hAnsi="Arial" w:cs="Arial"/>
        </w:rPr>
      </w:pPr>
      <w:r w:rsidRPr="00CB73FB">
        <w:rPr>
          <w:rFonts w:ascii="Arial" w:hAnsi="Arial" w:cs="Arial"/>
        </w:rPr>
        <w:t xml:space="preserve">This study was designed to compare the effectiveness of online-only and blended </w:t>
      </w:r>
      <w:r w:rsidR="002A2EF6">
        <w:rPr>
          <w:rFonts w:ascii="Arial" w:hAnsi="Arial" w:cs="Arial"/>
        </w:rPr>
        <w:t>training</w:t>
      </w:r>
      <w:r w:rsidRPr="00CB73FB">
        <w:rPr>
          <w:rFonts w:ascii="Arial" w:hAnsi="Arial" w:cs="Arial"/>
        </w:rPr>
        <w:t xml:space="preserve"> interventions for enhancing the digital literacy of agricultural extension workers, a professional group critical to the success of agricultural modernization </w:t>
      </w:r>
      <w:sdt>
        <w:sdtPr>
          <w:rPr>
            <w:rFonts w:ascii="Arial" w:hAnsi="Arial" w:cs="Arial"/>
            <w:color w:val="000000"/>
          </w:rPr>
          <w:tag w:val="MENDELEY_CITATION_v3_eyJjaXRhdGlvbklEIjoiTUVOREVMRVlfQ0lUQVRJT05fMmJhYmZlNGMtNDBlMy00ZmUxLThlYzItMDNhYzY0NGEwMDJi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
          <w:id w:val="1395777945"/>
          <w:placeholder>
            <w:docPart w:val="DefaultPlaceholder_-1854013440"/>
          </w:placeholder>
        </w:sdtPr>
        <w:sdtContent>
          <w:r w:rsidR="005906FD" w:rsidRPr="005906FD">
            <w:rPr>
              <w:rFonts w:ascii="Arial" w:hAnsi="Arial" w:cs="Arial"/>
              <w:color w:val="000000"/>
            </w:rPr>
            <w:t>(Klerkx et al., 2019)</w:t>
          </w:r>
        </w:sdtContent>
      </w:sdt>
      <w:r w:rsidRPr="00CB73FB">
        <w:rPr>
          <w:rFonts w:ascii="Arial" w:hAnsi="Arial" w:cs="Arial"/>
        </w:rPr>
        <w:t>.</w:t>
      </w:r>
      <w:r>
        <w:rPr>
          <w:rFonts w:ascii="Arial" w:hAnsi="Arial" w:cs="Arial"/>
        </w:rPr>
        <w:t xml:space="preserve"> </w:t>
      </w:r>
      <w:r w:rsidRPr="00CB73FB">
        <w:rPr>
          <w:rFonts w:ascii="Arial" w:hAnsi="Arial" w:cs="Arial"/>
        </w:rPr>
        <w:t>The study involved 158 agricultural extension workers from the Special Region of Yogyakarta, Indonesia. The participants were predominantly male (58.9%) and represented an experienced workforce, with an average age of 44.3 years and over 13 years of service. A baseline equivalence check confirmed that the three study groups (online-only, blended, and control) were comparable at the outset, with no statistically significant demographic differences found (</w:t>
      </w:r>
      <w:r w:rsidRPr="00486F93">
        <w:rPr>
          <w:rFonts w:ascii="Arial" w:hAnsi="Arial" w:cs="Arial"/>
          <w:b/>
          <w:bCs/>
          <w:i/>
          <w:iCs/>
        </w:rPr>
        <w:t>P</w:t>
      </w:r>
      <w:r w:rsidRPr="00CB73FB">
        <w:rPr>
          <w:rFonts w:ascii="Arial" w:hAnsi="Arial" w:cs="Arial"/>
        </w:rPr>
        <w:t xml:space="preserve"> &gt; .05 for all variables). A </w:t>
      </w:r>
      <w:r w:rsidR="002A2EF6">
        <w:rPr>
          <w:rFonts w:ascii="Arial" w:hAnsi="Arial" w:cs="Arial"/>
        </w:rPr>
        <w:t>complete</w:t>
      </w:r>
      <w:r w:rsidRPr="00CB73FB">
        <w:rPr>
          <w:rFonts w:ascii="Arial" w:hAnsi="Arial" w:cs="Arial"/>
        </w:rPr>
        <w:t xml:space="preserve"> demographic profile is presented in Table </w:t>
      </w:r>
      <w:r>
        <w:rPr>
          <w:rFonts w:ascii="Arial" w:hAnsi="Arial" w:cs="Arial"/>
        </w:rPr>
        <w:t>2</w:t>
      </w:r>
      <w:r w:rsidRPr="00CB73FB">
        <w:rPr>
          <w:rFonts w:ascii="Arial" w:hAnsi="Arial" w:cs="Arial"/>
        </w:rPr>
        <w:t>.</w:t>
      </w:r>
    </w:p>
    <w:p w14:paraId="2124D883" w14:textId="77777777" w:rsidR="00BA4624" w:rsidRDefault="00BA4624" w:rsidP="00441B6F">
      <w:pPr>
        <w:pStyle w:val="Body"/>
        <w:spacing w:after="0"/>
        <w:rPr>
          <w:rFonts w:ascii="Arial" w:hAnsi="Arial" w:cs="Arial"/>
        </w:rPr>
      </w:pPr>
    </w:p>
    <w:p w14:paraId="4D6648ED" w14:textId="77777777" w:rsidR="00CB73FB" w:rsidRDefault="00CB73FB" w:rsidP="00CB73FB">
      <w:pPr>
        <w:pStyle w:val="Body"/>
        <w:spacing w:after="0"/>
        <w:rPr>
          <w:rFonts w:ascii="Arial" w:hAnsi="Arial" w:cs="Arial"/>
        </w:rPr>
      </w:pPr>
    </w:p>
    <w:p w14:paraId="68089897" w14:textId="397501A7" w:rsidR="00CB73FB" w:rsidRDefault="00CB73FB" w:rsidP="00CB73FB">
      <w:pPr>
        <w:pStyle w:val="Body"/>
        <w:spacing w:after="0"/>
        <w:rPr>
          <w:rFonts w:ascii="Arial" w:hAnsi="Arial" w:cs="Arial"/>
          <w:b/>
          <w:bCs/>
        </w:rPr>
      </w:pPr>
      <w:r w:rsidRPr="00687A62">
        <w:rPr>
          <w:rFonts w:ascii="Arial" w:hAnsi="Arial" w:cs="Arial"/>
          <w:b/>
          <w:bCs/>
        </w:rPr>
        <w:t>Tab</w:t>
      </w:r>
      <w:r w:rsidR="002A2EF6">
        <w:rPr>
          <w:rFonts w:ascii="Arial" w:hAnsi="Arial" w:cs="Arial"/>
          <w:b/>
          <w:bCs/>
        </w:rPr>
        <w:t>le</w:t>
      </w:r>
      <w:r w:rsidRPr="00687A62">
        <w:rPr>
          <w:rFonts w:ascii="Arial" w:hAnsi="Arial" w:cs="Arial"/>
          <w:b/>
          <w:bCs/>
        </w:rPr>
        <w:t xml:space="preserve"> </w:t>
      </w:r>
      <w:r>
        <w:rPr>
          <w:rFonts w:ascii="Arial" w:hAnsi="Arial" w:cs="Arial"/>
          <w:b/>
          <w:bCs/>
        </w:rPr>
        <w:t>2</w:t>
      </w:r>
      <w:r w:rsidRPr="00687A62">
        <w:rPr>
          <w:rFonts w:ascii="Arial" w:hAnsi="Arial" w:cs="Arial"/>
          <w:b/>
          <w:bCs/>
        </w:rPr>
        <w:t>. Baseline demographic comparison across study groups.</w:t>
      </w:r>
    </w:p>
    <w:p w14:paraId="2CD2D9A9" w14:textId="77777777" w:rsidR="00CB73FB" w:rsidRPr="00687A62" w:rsidRDefault="00CB73FB" w:rsidP="00CB73FB">
      <w:pPr>
        <w:pStyle w:val="Body"/>
        <w:spacing w:after="0"/>
        <w:rPr>
          <w:rFonts w:ascii="Arial" w:hAnsi="Arial" w:cs="Arial"/>
          <w:b/>
          <w:bCs/>
        </w:rPr>
      </w:pPr>
    </w:p>
    <w:tbl>
      <w:tblPr>
        <w:tblStyle w:val="PlainTable2"/>
        <w:tblW w:w="8185" w:type="dxa"/>
        <w:tblLook w:val="04A0" w:firstRow="1" w:lastRow="0" w:firstColumn="1" w:lastColumn="0" w:noHBand="0" w:noVBand="1"/>
      </w:tblPr>
      <w:tblGrid>
        <w:gridCol w:w="1919"/>
        <w:gridCol w:w="1450"/>
        <w:gridCol w:w="1134"/>
        <w:gridCol w:w="1275"/>
        <w:gridCol w:w="1276"/>
        <w:gridCol w:w="1131"/>
      </w:tblGrid>
      <w:tr w:rsidR="00CB73FB" w:rsidRPr="00687A62" w14:paraId="5F350405" w14:textId="77777777" w:rsidTr="00666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hideMark/>
          </w:tcPr>
          <w:p w14:paraId="2FF4E516" w14:textId="77777777" w:rsidR="00CB73FB" w:rsidRPr="00687A62" w:rsidRDefault="00CB73FB" w:rsidP="00666F65">
            <w:pPr>
              <w:jc w:val="center"/>
              <w:rPr>
                <w:rFonts w:ascii="Arial" w:hAnsi="Arial" w:cs="Arial"/>
                <w:caps/>
                <w:color w:val="000000" w:themeColor="text1"/>
                <w:lang w:val="en-ID"/>
              </w:rPr>
            </w:pPr>
            <w:r w:rsidRPr="00687A62">
              <w:rPr>
                <w:rFonts w:ascii="Arial" w:hAnsi="Arial" w:cs="Arial"/>
                <w:color w:val="000000" w:themeColor="text1"/>
                <w:lang w:val="en-ID"/>
              </w:rPr>
              <w:t>Characteristic</w:t>
            </w:r>
          </w:p>
        </w:tc>
        <w:tc>
          <w:tcPr>
            <w:tcW w:w="1450" w:type="dxa"/>
            <w:hideMark/>
          </w:tcPr>
          <w:p w14:paraId="61055BC6" w14:textId="77777777" w:rsidR="00CB73FB" w:rsidRPr="00687A62"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687A62">
              <w:rPr>
                <w:rFonts w:ascii="Arial" w:hAnsi="Arial" w:cs="Arial"/>
                <w:color w:val="000000" w:themeColor="text1"/>
                <w:lang w:val="en-ID"/>
              </w:rPr>
              <w:t>Group C (Control)</w:t>
            </w:r>
          </w:p>
        </w:tc>
        <w:tc>
          <w:tcPr>
            <w:tcW w:w="1134" w:type="dxa"/>
            <w:hideMark/>
          </w:tcPr>
          <w:p w14:paraId="259EB284" w14:textId="77777777" w:rsidR="00CB73FB" w:rsidRPr="00687A62"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687A62">
              <w:rPr>
                <w:rFonts w:ascii="Arial" w:hAnsi="Arial" w:cs="Arial"/>
                <w:color w:val="000000" w:themeColor="text1"/>
                <w:lang w:val="en-ID"/>
              </w:rPr>
              <w:t>Group T1 (Online)</w:t>
            </w:r>
          </w:p>
        </w:tc>
        <w:tc>
          <w:tcPr>
            <w:tcW w:w="1275" w:type="dxa"/>
            <w:hideMark/>
          </w:tcPr>
          <w:p w14:paraId="543347E5" w14:textId="77777777" w:rsidR="00CB73FB" w:rsidRPr="00687A62"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687A62">
              <w:rPr>
                <w:rFonts w:ascii="Arial" w:hAnsi="Arial" w:cs="Arial"/>
                <w:color w:val="000000" w:themeColor="text1"/>
                <w:lang w:val="en-ID"/>
              </w:rPr>
              <w:t>Group T2 (Blended)</w:t>
            </w:r>
          </w:p>
        </w:tc>
        <w:tc>
          <w:tcPr>
            <w:tcW w:w="1276" w:type="dxa"/>
            <w:hideMark/>
          </w:tcPr>
          <w:p w14:paraId="4E5A0324" w14:textId="77777777" w:rsidR="00CB73FB" w:rsidRPr="00687A62"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687A62">
              <w:rPr>
                <w:rFonts w:ascii="Arial" w:hAnsi="Arial" w:cs="Arial"/>
                <w:color w:val="000000" w:themeColor="text1"/>
                <w:lang w:val="en-ID"/>
              </w:rPr>
              <w:t>Test Statistic</w:t>
            </w:r>
          </w:p>
        </w:tc>
        <w:tc>
          <w:tcPr>
            <w:tcW w:w="1131" w:type="dxa"/>
            <w:hideMark/>
          </w:tcPr>
          <w:p w14:paraId="6E376BF2" w14:textId="15EEBB8E" w:rsidR="00CB73FB" w:rsidRPr="00687A62" w:rsidRDefault="002E2F36"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486F93">
              <w:rPr>
                <w:rFonts w:ascii="Arial" w:hAnsi="Arial" w:cs="Arial"/>
                <w:i/>
                <w:iCs/>
                <w:color w:val="000000" w:themeColor="text1"/>
              </w:rPr>
              <w:t>P</w:t>
            </w:r>
            <w:r w:rsidRPr="00486F93">
              <w:rPr>
                <w:rFonts w:ascii="Arial" w:hAnsi="Arial" w:cs="Arial"/>
                <w:color w:val="000000" w:themeColor="text1"/>
              </w:rPr>
              <w:t>-Value</w:t>
            </w:r>
          </w:p>
        </w:tc>
      </w:tr>
      <w:tr w:rsidR="00CB73FB" w:rsidRPr="00687A62" w14:paraId="3DB8FDC8" w14:textId="77777777" w:rsidTr="00666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vAlign w:val="center"/>
            <w:hideMark/>
          </w:tcPr>
          <w:p w14:paraId="0FE81D3E" w14:textId="77777777" w:rsidR="00CB73FB" w:rsidRPr="00034D86" w:rsidRDefault="00CB73FB" w:rsidP="00666F65">
            <w:pPr>
              <w:rPr>
                <w:rFonts w:ascii="Arial" w:hAnsi="Arial" w:cs="Arial"/>
                <w:b w:val="0"/>
                <w:bCs w:val="0"/>
                <w:color w:val="000000" w:themeColor="text1"/>
                <w:lang w:val="en-ID"/>
              </w:rPr>
            </w:pPr>
            <w:r w:rsidRPr="00034D86">
              <w:rPr>
                <w:rFonts w:ascii="Arial" w:hAnsi="Arial" w:cs="Arial"/>
                <w:b w:val="0"/>
                <w:bCs w:val="0"/>
                <w:color w:val="000000" w:themeColor="text1"/>
                <w:lang w:val="en-ID"/>
              </w:rPr>
              <w:t>Age (Mean, SD)</w:t>
            </w:r>
          </w:p>
        </w:tc>
        <w:tc>
          <w:tcPr>
            <w:tcW w:w="1450" w:type="dxa"/>
            <w:vAlign w:val="center"/>
            <w:hideMark/>
          </w:tcPr>
          <w:p w14:paraId="56B69CCD"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45.3 (7.1)</w:t>
            </w:r>
          </w:p>
        </w:tc>
        <w:tc>
          <w:tcPr>
            <w:tcW w:w="1134" w:type="dxa"/>
            <w:vAlign w:val="center"/>
            <w:hideMark/>
          </w:tcPr>
          <w:p w14:paraId="36AA570A"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43.7 (7.0)</w:t>
            </w:r>
          </w:p>
        </w:tc>
        <w:tc>
          <w:tcPr>
            <w:tcW w:w="1275" w:type="dxa"/>
            <w:vAlign w:val="center"/>
            <w:hideMark/>
          </w:tcPr>
          <w:p w14:paraId="3FD9EA0F"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43.9 (7.2)</w:t>
            </w:r>
          </w:p>
        </w:tc>
        <w:tc>
          <w:tcPr>
            <w:tcW w:w="1276" w:type="dxa"/>
            <w:vAlign w:val="center"/>
            <w:hideMark/>
          </w:tcPr>
          <w:p w14:paraId="25F5099B"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F = 0.545</w:t>
            </w:r>
          </w:p>
        </w:tc>
        <w:tc>
          <w:tcPr>
            <w:tcW w:w="1131" w:type="dxa"/>
            <w:vAlign w:val="center"/>
            <w:hideMark/>
          </w:tcPr>
          <w:p w14:paraId="447E5613" w14:textId="77777777" w:rsidR="00CB73FB" w:rsidRPr="00687A62" w:rsidRDefault="00CB73FB" w:rsidP="002E2F3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.58</w:t>
            </w:r>
          </w:p>
        </w:tc>
      </w:tr>
      <w:tr w:rsidR="00CB73FB" w:rsidRPr="00687A62" w14:paraId="54AEEEFB" w14:textId="77777777" w:rsidTr="00666F65">
        <w:tc>
          <w:tcPr>
            <w:cnfStyle w:val="001000000000" w:firstRow="0" w:lastRow="0" w:firstColumn="1" w:lastColumn="0" w:oddVBand="0" w:evenVBand="0" w:oddHBand="0" w:evenHBand="0" w:firstRowFirstColumn="0" w:firstRowLastColumn="0" w:lastRowFirstColumn="0" w:lastRowLastColumn="0"/>
            <w:tcW w:w="1919" w:type="dxa"/>
            <w:vAlign w:val="center"/>
            <w:hideMark/>
          </w:tcPr>
          <w:p w14:paraId="7CECA430" w14:textId="77777777" w:rsidR="00CB73FB" w:rsidRPr="00034D86" w:rsidRDefault="00CB73FB" w:rsidP="00666F65">
            <w:pPr>
              <w:rPr>
                <w:rFonts w:ascii="Arial" w:hAnsi="Arial" w:cs="Arial"/>
                <w:b w:val="0"/>
                <w:bCs w:val="0"/>
                <w:color w:val="000000" w:themeColor="text1"/>
                <w:lang w:val="en-ID"/>
              </w:rPr>
            </w:pPr>
            <w:r w:rsidRPr="00034D86">
              <w:rPr>
                <w:rFonts w:ascii="Arial" w:hAnsi="Arial" w:cs="Arial"/>
                <w:b w:val="0"/>
                <w:bCs w:val="0"/>
                <w:color w:val="000000" w:themeColor="text1"/>
                <w:lang w:val="en-ID"/>
              </w:rPr>
              <w:t>Experience (Mean, SD)</w:t>
            </w:r>
          </w:p>
        </w:tc>
        <w:tc>
          <w:tcPr>
            <w:tcW w:w="1450" w:type="dxa"/>
            <w:vAlign w:val="center"/>
            <w:hideMark/>
          </w:tcPr>
          <w:p w14:paraId="1D63D108"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14.6 (5.8)</w:t>
            </w:r>
          </w:p>
        </w:tc>
        <w:tc>
          <w:tcPr>
            <w:tcW w:w="1134" w:type="dxa"/>
            <w:vAlign w:val="center"/>
            <w:hideMark/>
          </w:tcPr>
          <w:p w14:paraId="1956E2AC"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12.8 (7.6)</w:t>
            </w:r>
          </w:p>
        </w:tc>
        <w:tc>
          <w:tcPr>
            <w:tcW w:w="1275" w:type="dxa"/>
            <w:vAlign w:val="center"/>
            <w:hideMark/>
          </w:tcPr>
          <w:p w14:paraId="35428DE4"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13.0 (8.1)</w:t>
            </w:r>
          </w:p>
        </w:tc>
        <w:tc>
          <w:tcPr>
            <w:tcW w:w="1276" w:type="dxa"/>
            <w:vAlign w:val="center"/>
            <w:hideMark/>
          </w:tcPr>
          <w:p w14:paraId="554A4083"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F = 1.408</w:t>
            </w:r>
          </w:p>
        </w:tc>
        <w:tc>
          <w:tcPr>
            <w:tcW w:w="1131" w:type="dxa"/>
            <w:vAlign w:val="center"/>
            <w:hideMark/>
          </w:tcPr>
          <w:p w14:paraId="1C99D5E2" w14:textId="77777777" w:rsidR="00CB73FB" w:rsidRPr="00687A62" w:rsidRDefault="00CB73FB" w:rsidP="002E2F3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.2</w:t>
            </w:r>
            <w:r>
              <w:rPr>
                <w:rFonts w:ascii="Arial" w:hAnsi="Arial" w:cs="Arial"/>
                <w:color w:val="000000" w:themeColor="text1"/>
                <w:lang w:val="en-ID"/>
              </w:rPr>
              <w:t>5</w:t>
            </w:r>
          </w:p>
        </w:tc>
      </w:tr>
      <w:tr w:rsidR="00CB73FB" w:rsidRPr="00687A62" w14:paraId="227BBD21" w14:textId="77777777" w:rsidTr="00666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vAlign w:val="center"/>
            <w:hideMark/>
          </w:tcPr>
          <w:p w14:paraId="5612EFA5" w14:textId="77777777" w:rsidR="00CB73FB" w:rsidRPr="00034D86" w:rsidRDefault="00CB73FB" w:rsidP="00666F65">
            <w:pPr>
              <w:rPr>
                <w:rFonts w:ascii="Arial" w:hAnsi="Arial" w:cs="Arial"/>
                <w:b w:val="0"/>
                <w:bCs w:val="0"/>
                <w:color w:val="000000" w:themeColor="text1"/>
                <w:lang w:val="en-ID"/>
              </w:rPr>
            </w:pPr>
            <w:r w:rsidRPr="00034D86">
              <w:rPr>
                <w:rFonts w:ascii="Arial" w:hAnsi="Arial" w:cs="Arial"/>
                <w:b w:val="0"/>
                <w:bCs w:val="0"/>
                <w:color w:val="000000" w:themeColor="text1"/>
                <w:lang w:val="en-ID"/>
              </w:rPr>
              <w:lastRenderedPageBreak/>
              <w:t>Gender (% Male)</w:t>
            </w:r>
          </w:p>
        </w:tc>
        <w:tc>
          <w:tcPr>
            <w:tcW w:w="1450" w:type="dxa"/>
            <w:vAlign w:val="center"/>
            <w:hideMark/>
          </w:tcPr>
          <w:p w14:paraId="2F806C54"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60.0%</w:t>
            </w:r>
          </w:p>
        </w:tc>
        <w:tc>
          <w:tcPr>
            <w:tcW w:w="1134" w:type="dxa"/>
            <w:vAlign w:val="center"/>
            <w:hideMark/>
          </w:tcPr>
          <w:p w14:paraId="6CC88EC1"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51.0%</w:t>
            </w:r>
          </w:p>
        </w:tc>
        <w:tc>
          <w:tcPr>
            <w:tcW w:w="1275" w:type="dxa"/>
            <w:vAlign w:val="center"/>
            <w:hideMark/>
          </w:tcPr>
          <w:p w14:paraId="651983D0"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64.8%</w:t>
            </w:r>
          </w:p>
        </w:tc>
        <w:tc>
          <w:tcPr>
            <w:tcW w:w="1276" w:type="dxa"/>
            <w:vAlign w:val="center"/>
            <w:hideMark/>
          </w:tcPr>
          <w:p w14:paraId="1EE2AC97"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χ² = 2.064</w:t>
            </w:r>
          </w:p>
        </w:tc>
        <w:tc>
          <w:tcPr>
            <w:tcW w:w="1131" w:type="dxa"/>
            <w:vAlign w:val="center"/>
            <w:hideMark/>
          </w:tcPr>
          <w:p w14:paraId="7903D127" w14:textId="77777777" w:rsidR="00CB73FB" w:rsidRPr="00687A62" w:rsidRDefault="00CB73FB" w:rsidP="002E2F3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.3</w:t>
            </w:r>
            <w:r>
              <w:rPr>
                <w:rFonts w:ascii="Arial" w:hAnsi="Arial" w:cs="Arial"/>
                <w:color w:val="000000" w:themeColor="text1"/>
                <w:lang w:val="en-ID"/>
              </w:rPr>
              <w:t>6</w:t>
            </w:r>
          </w:p>
        </w:tc>
      </w:tr>
      <w:tr w:rsidR="00CB73FB" w:rsidRPr="00687A62" w14:paraId="5E5AABC2" w14:textId="77777777" w:rsidTr="00666F65">
        <w:tc>
          <w:tcPr>
            <w:cnfStyle w:val="001000000000" w:firstRow="0" w:lastRow="0" w:firstColumn="1" w:lastColumn="0" w:oddVBand="0" w:evenVBand="0" w:oddHBand="0" w:evenHBand="0" w:firstRowFirstColumn="0" w:firstRowLastColumn="0" w:lastRowFirstColumn="0" w:lastRowLastColumn="0"/>
            <w:tcW w:w="1919" w:type="dxa"/>
            <w:vAlign w:val="center"/>
            <w:hideMark/>
          </w:tcPr>
          <w:p w14:paraId="00136D7D" w14:textId="77777777" w:rsidR="00CB73FB" w:rsidRPr="00034D86" w:rsidRDefault="00CB73FB" w:rsidP="00666F65">
            <w:pPr>
              <w:rPr>
                <w:rFonts w:ascii="Arial" w:hAnsi="Arial" w:cs="Arial"/>
                <w:b w:val="0"/>
                <w:bCs w:val="0"/>
                <w:color w:val="000000" w:themeColor="text1"/>
                <w:lang w:val="en-ID"/>
              </w:rPr>
            </w:pPr>
            <w:r w:rsidRPr="00034D86">
              <w:rPr>
                <w:rFonts w:ascii="Arial" w:hAnsi="Arial" w:cs="Arial"/>
                <w:b w:val="0"/>
                <w:bCs w:val="0"/>
                <w:color w:val="000000" w:themeColor="text1"/>
                <w:lang w:val="en-ID"/>
              </w:rPr>
              <w:t>Education (% Bachelor's or higher)</w:t>
            </w:r>
          </w:p>
        </w:tc>
        <w:tc>
          <w:tcPr>
            <w:tcW w:w="1450" w:type="dxa"/>
            <w:vAlign w:val="center"/>
            <w:hideMark/>
          </w:tcPr>
          <w:p w14:paraId="045C075E"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63.6%</w:t>
            </w:r>
          </w:p>
        </w:tc>
        <w:tc>
          <w:tcPr>
            <w:tcW w:w="1134" w:type="dxa"/>
            <w:vAlign w:val="center"/>
            <w:hideMark/>
          </w:tcPr>
          <w:p w14:paraId="5993420B"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81.6%</w:t>
            </w:r>
          </w:p>
        </w:tc>
        <w:tc>
          <w:tcPr>
            <w:tcW w:w="1275" w:type="dxa"/>
            <w:vAlign w:val="center"/>
            <w:hideMark/>
          </w:tcPr>
          <w:p w14:paraId="01597D88"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72.2%</w:t>
            </w:r>
          </w:p>
        </w:tc>
        <w:tc>
          <w:tcPr>
            <w:tcW w:w="1276" w:type="dxa"/>
            <w:vAlign w:val="center"/>
            <w:hideMark/>
          </w:tcPr>
          <w:p w14:paraId="61316A06"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χ² = 10.003</w:t>
            </w:r>
          </w:p>
        </w:tc>
        <w:tc>
          <w:tcPr>
            <w:tcW w:w="1131" w:type="dxa"/>
            <w:vAlign w:val="center"/>
            <w:hideMark/>
          </w:tcPr>
          <w:p w14:paraId="3FBD5B0C" w14:textId="77777777" w:rsidR="00CB73FB" w:rsidRPr="00687A62" w:rsidRDefault="00CB73FB" w:rsidP="002E2F3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.26</w:t>
            </w:r>
          </w:p>
        </w:tc>
      </w:tr>
    </w:tbl>
    <w:p w14:paraId="6690ED13" w14:textId="77777777" w:rsidR="00CB73FB" w:rsidRDefault="00CB73FB" w:rsidP="00441B6F">
      <w:pPr>
        <w:pStyle w:val="Body"/>
        <w:spacing w:after="0"/>
        <w:rPr>
          <w:rFonts w:ascii="Arial" w:hAnsi="Arial" w:cs="Arial"/>
        </w:rPr>
      </w:pPr>
    </w:p>
    <w:p w14:paraId="2AA37851" w14:textId="604B7DF7" w:rsidR="00CB73FB" w:rsidRDefault="00D867B1" w:rsidP="00441B6F">
      <w:pPr>
        <w:pStyle w:val="Body"/>
        <w:spacing w:after="0"/>
        <w:rPr>
          <w:rFonts w:ascii="Arial" w:hAnsi="Arial" w:cs="Arial"/>
        </w:rPr>
      </w:pPr>
      <w:r w:rsidRPr="00D867B1">
        <w:rPr>
          <w:rFonts w:ascii="Arial" w:hAnsi="Arial" w:cs="Arial"/>
        </w:rPr>
        <w:t xml:space="preserve">The demographic profile of the participants, as detailed in Table </w:t>
      </w:r>
      <w:r w:rsidR="005906FD">
        <w:rPr>
          <w:rFonts w:ascii="Arial" w:hAnsi="Arial" w:cs="Arial"/>
        </w:rPr>
        <w:t>2</w:t>
      </w:r>
      <w:r w:rsidRPr="00D867B1">
        <w:rPr>
          <w:rFonts w:ascii="Arial" w:hAnsi="Arial" w:cs="Arial"/>
        </w:rPr>
        <w:t xml:space="preserve">, is typical for the agricultural extension sector in many developing nations, highlighting a mature and experienced workforce. With an average age of 44.3 years, most of these extension workers can be characterized as "digital immigrants," meaning they did not grow up natively with digital technology but have had to adapt to it during their professional careers </w:t>
      </w:r>
      <w:sdt>
        <w:sdtPr>
          <w:rPr>
            <w:rFonts w:ascii="Arial" w:hAnsi="Arial" w:cs="Arial"/>
            <w:color w:val="000000"/>
          </w:rPr>
          <w:tag w:val="MENDELEY_CITATION_v3_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"/>
          <w:id w:val="2143922876"/>
          <w:placeholder>
            <w:docPart w:val="DefaultPlaceholder_-1854013440"/>
          </w:placeholder>
        </w:sdtPr>
        <w:sdtContent>
          <w:r w:rsidR="005906FD" w:rsidRPr="005906FD">
            <w:rPr>
              <w:rFonts w:ascii="Arial" w:hAnsi="Arial" w:cs="Arial"/>
              <w:color w:val="000000"/>
            </w:rPr>
            <w:t xml:space="preserve">(Prensky, </w:t>
          </w:r>
          <w:commentRangeStart w:id="2"/>
          <w:r w:rsidR="005906FD" w:rsidRPr="005906FD">
            <w:rPr>
              <w:rFonts w:ascii="Arial" w:hAnsi="Arial" w:cs="Arial"/>
              <w:color w:val="000000"/>
            </w:rPr>
            <w:t>2001</w:t>
          </w:r>
          <w:commentRangeEnd w:id="2"/>
          <w:r w:rsidR="00CB070A">
            <w:rPr>
              <w:rStyle w:val="CommentReference"/>
              <w:rFonts w:ascii="Times New Roman" w:hAnsi="Times New Roman"/>
              <w:lang w:val="nb-NO" w:eastAsia="nb-NO"/>
            </w:rPr>
            <w:commentReference w:id="2"/>
          </w:r>
          <w:r w:rsidR="005906FD" w:rsidRPr="005906FD">
            <w:rPr>
              <w:rFonts w:ascii="Arial" w:hAnsi="Arial" w:cs="Arial"/>
              <w:color w:val="000000"/>
            </w:rPr>
            <w:t>)</w:t>
          </w:r>
        </w:sdtContent>
      </w:sdt>
      <w:r w:rsidRPr="00D867B1">
        <w:rPr>
          <w:rFonts w:ascii="Arial" w:hAnsi="Arial" w:cs="Arial"/>
        </w:rPr>
        <w:t>. This demographic context is crucial, as it suggests that any digital literacy intervention must be designed to accommodate a different learning curve compared to a younger, "digital native" audience.</w:t>
      </w:r>
      <w:r>
        <w:rPr>
          <w:rFonts w:ascii="Arial" w:hAnsi="Arial" w:cs="Arial"/>
        </w:rPr>
        <w:t xml:space="preserve"> </w:t>
      </w:r>
    </w:p>
    <w:p w14:paraId="4A2C16A7" w14:textId="77777777" w:rsidR="00D867B1" w:rsidRDefault="00D867B1" w:rsidP="00441B6F">
      <w:pPr>
        <w:pStyle w:val="Body"/>
        <w:spacing w:after="0"/>
        <w:rPr>
          <w:rFonts w:ascii="Arial" w:hAnsi="Arial" w:cs="Arial"/>
        </w:rPr>
      </w:pPr>
    </w:p>
    <w:p w14:paraId="0D02EE10" w14:textId="474F45BD" w:rsidR="00D867B1" w:rsidRDefault="00D867B1" w:rsidP="00441B6F">
      <w:pPr>
        <w:pStyle w:val="Body"/>
        <w:spacing w:after="0"/>
        <w:rPr>
          <w:rFonts w:ascii="Arial" w:hAnsi="Arial" w:cs="Arial"/>
        </w:rPr>
      </w:pPr>
      <w:r w:rsidRPr="00D867B1">
        <w:rPr>
          <w:rFonts w:ascii="Arial" w:hAnsi="Arial" w:cs="Arial"/>
        </w:rPr>
        <w:t xml:space="preserve">Furthermore, the extensive average professional experience of 13.5 years indicates a workforce with deeply established routines and extension methodologies. While this experience is invaluable, it can also create a form of professional "inertia" or resistance to changes that disrupt familiar workflows, a common challenge noted in technology adoption literature </w:t>
      </w:r>
      <w:commentRangeStart w:id="3"/>
      <w:sdt>
        <w:sdtPr>
          <w:rPr>
            <w:rFonts w:ascii="Arial" w:hAnsi="Arial" w:cs="Arial"/>
            <w:color w:val="000000"/>
          </w:rPr>
          <w:tag w:val="MENDELEY_CITATION_v3_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LSBjYWxseSBjb21wYXJlIHRoZSBlaWdodCBtb2RlbHMgYW5kIHRoZWlyIGV4dGVuLSBzaW9ucywgKDMpIGZvcm11bGF0ZSBhIHVuaWZpZWQgbW9kZWwgdGhhdCBpbnRlZ3JhdGVzIGVsZW1lbnRzIGFjcm9zcyB0aGUgZWlnaHQgbW9kZWxzLCBhbmQgKDQpIGVtcGlyaS0g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"/>
          <w:id w:val="1280380386"/>
          <w:placeholder>
            <w:docPart w:val="DefaultPlaceholder_-1854013440"/>
          </w:placeholder>
        </w:sdtPr>
        <w:sdtContent>
          <w:r w:rsidR="005906FD" w:rsidRPr="005906FD">
            <w:rPr>
              <w:rFonts w:ascii="Arial" w:hAnsi="Arial" w:cs="Arial"/>
              <w:color w:val="000000"/>
            </w:rPr>
            <w:t>(Venkatesh et al., 2003)</w:t>
          </w:r>
        </w:sdtContent>
      </w:sdt>
      <w:commentRangeEnd w:id="3"/>
      <w:r w:rsidR="00CB070A">
        <w:rPr>
          <w:rStyle w:val="CommentReference"/>
          <w:rFonts w:ascii="Times New Roman" w:hAnsi="Times New Roman"/>
          <w:lang w:val="nb-NO" w:eastAsia="nb-NO"/>
        </w:rPr>
        <w:commentReference w:id="3"/>
      </w:r>
      <w:r w:rsidRPr="00D867B1">
        <w:rPr>
          <w:rFonts w:ascii="Arial" w:hAnsi="Arial" w:cs="Arial"/>
        </w:rPr>
        <w:t xml:space="preserve">. However, this potential barrier is counterbalanced by the high level of formal education within the sample, with a majority holding at least a </w:t>
      </w:r>
      <w:r w:rsidR="00D61A91" w:rsidRPr="00D867B1">
        <w:rPr>
          <w:rFonts w:ascii="Arial" w:hAnsi="Arial" w:cs="Arial"/>
        </w:rPr>
        <w:t>bachelor’s</w:t>
      </w:r>
      <w:r w:rsidRPr="00D867B1">
        <w:rPr>
          <w:rFonts w:ascii="Arial" w:hAnsi="Arial" w:cs="Arial"/>
        </w:rPr>
        <w:t xml:space="preserve"> degree. A strong educational foundation is widely recognized as a key factor that enhances an individual's "absorptive capacity"—their ability to recognize the value of new information, assimilate it, and apply it to new ends </w:t>
      </w:r>
      <w:sdt>
        <w:sdtPr>
          <w:rPr>
            <w:rFonts w:ascii="Arial" w:hAnsi="Arial" w:cs="Arial"/>
            <w:color w:val="000000"/>
          </w:rPr>
          <w:tag w:val="MENDELEY_CITATION_v3_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"/>
          <w:id w:val="-1248266760"/>
          <w:placeholder>
            <w:docPart w:val="DefaultPlaceholder_-1854013440"/>
          </w:placeholder>
        </w:sdtPr>
        <w:sdtContent>
          <w:r w:rsidR="005906FD" w:rsidRPr="005906FD">
            <w:rPr>
              <w:color w:val="000000"/>
            </w:rPr>
            <w:t>(</w:t>
          </w:r>
          <w:commentRangeStart w:id="4"/>
          <w:r w:rsidR="005906FD" w:rsidRPr="005906FD">
            <w:rPr>
              <w:color w:val="000000"/>
            </w:rPr>
            <w:t>Cohen &amp; Levinthal, 1990</w:t>
          </w:r>
          <w:commentRangeEnd w:id="4"/>
          <w:r w:rsidR="00CB070A">
            <w:rPr>
              <w:rStyle w:val="CommentReference"/>
              <w:rFonts w:ascii="Times New Roman" w:hAnsi="Times New Roman"/>
              <w:lang w:val="nb-NO" w:eastAsia="nb-NO"/>
            </w:rPr>
            <w:commentReference w:id="4"/>
          </w:r>
          <w:r w:rsidR="005906FD" w:rsidRPr="005906FD">
            <w:rPr>
              <w:color w:val="000000"/>
            </w:rPr>
            <w:t>)</w:t>
          </w:r>
        </w:sdtContent>
      </w:sdt>
      <w:r w:rsidR="00D61A91">
        <w:rPr>
          <w:rFonts w:ascii="Arial" w:hAnsi="Arial" w:cs="Arial"/>
        </w:rPr>
        <w:t xml:space="preserve">. </w:t>
      </w:r>
      <w:r w:rsidRPr="00D867B1">
        <w:rPr>
          <w:rFonts w:ascii="Arial" w:hAnsi="Arial" w:cs="Arial"/>
        </w:rPr>
        <w:t>Therefore, it is plausible that the participants' high level of education provided them with the cognitive capacity to engage effectively with the training materials, overcoming the potential resistance from established habits.</w:t>
      </w:r>
    </w:p>
    <w:p w14:paraId="07128D3D" w14:textId="77777777" w:rsidR="00D867B1" w:rsidRDefault="00D867B1" w:rsidP="00441B6F">
      <w:pPr>
        <w:pStyle w:val="Body"/>
        <w:spacing w:after="0"/>
        <w:rPr>
          <w:rFonts w:ascii="Arial" w:hAnsi="Arial" w:cs="Arial"/>
        </w:rPr>
      </w:pPr>
    </w:p>
    <w:p w14:paraId="078EFE39" w14:textId="09CF20C5" w:rsidR="00CB73FB" w:rsidRPr="00CB73FB" w:rsidRDefault="00CB73FB" w:rsidP="00CB73FB">
      <w:pPr>
        <w:pStyle w:val="Body"/>
        <w:rPr>
          <w:rFonts w:ascii="Arial" w:hAnsi="Arial" w:cs="Arial"/>
          <w:b/>
          <w:bCs/>
          <w:sz w:val="22"/>
          <w:szCs w:val="22"/>
        </w:rPr>
      </w:pPr>
      <w:r>
        <w:rPr>
          <w:rFonts w:ascii="Arial" w:hAnsi="Arial" w:cs="Arial"/>
          <w:b/>
          <w:bCs/>
          <w:sz w:val="22"/>
          <w:szCs w:val="22"/>
        </w:rPr>
        <w:t xml:space="preserve">3.2 </w:t>
      </w:r>
      <w:r w:rsidRPr="00CB73FB">
        <w:rPr>
          <w:rFonts w:ascii="Arial" w:hAnsi="Arial" w:cs="Arial"/>
          <w:b/>
          <w:bCs/>
          <w:sz w:val="22"/>
          <w:szCs w:val="22"/>
        </w:rPr>
        <w:t>Effectiveness of the Training Interventions</w:t>
      </w:r>
    </w:p>
    <w:p w14:paraId="1C0CEDC6" w14:textId="34D947E1" w:rsidR="00CB73FB" w:rsidRDefault="00CB73FB" w:rsidP="00CB73FB">
      <w:pPr>
        <w:pStyle w:val="Body"/>
        <w:spacing w:after="0"/>
        <w:rPr>
          <w:rFonts w:ascii="Arial" w:hAnsi="Arial" w:cs="Arial"/>
        </w:rPr>
      </w:pPr>
      <w:r w:rsidRPr="00CB73FB">
        <w:rPr>
          <w:rFonts w:ascii="Arial" w:hAnsi="Arial" w:cs="Arial"/>
        </w:rPr>
        <w:t xml:space="preserve">The primary objective of this study was to compare the effectiveness of the online and blended training models. The digital literacy scores for each group, measured at pre-test and post-test, are presented in Table </w:t>
      </w:r>
      <w:r>
        <w:rPr>
          <w:rFonts w:ascii="Arial" w:hAnsi="Arial" w:cs="Arial"/>
        </w:rPr>
        <w:t>3</w:t>
      </w:r>
      <w:r w:rsidRPr="00CB73FB">
        <w:rPr>
          <w:rFonts w:ascii="Arial" w:hAnsi="Arial" w:cs="Arial"/>
        </w:rPr>
        <w:t>.</w:t>
      </w:r>
    </w:p>
    <w:p w14:paraId="03192983" w14:textId="77777777" w:rsidR="00CB73FB" w:rsidRPr="00CB73FB" w:rsidRDefault="00CB73FB" w:rsidP="00CB73FB">
      <w:pPr>
        <w:pStyle w:val="Body"/>
        <w:spacing w:after="0"/>
        <w:rPr>
          <w:rFonts w:ascii="Arial" w:hAnsi="Arial" w:cs="Arial"/>
        </w:rPr>
      </w:pPr>
    </w:p>
    <w:p w14:paraId="4FC82676" w14:textId="10FFE0B9" w:rsidR="00CB73FB" w:rsidRDefault="00CB73FB" w:rsidP="00CB73FB">
      <w:pPr>
        <w:tabs>
          <w:tab w:val="left" w:pos="906"/>
        </w:tabs>
        <w:jc w:val="both"/>
        <w:rPr>
          <w:rFonts w:ascii="Arial" w:hAnsi="Arial" w:cs="Arial"/>
          <w:b/>
          <w:bCs/>
          <w:iCs/>
        </w:rPr>
      </w:pPr>
      <w:r w:rsidRPr="00CB73FB">
        <w:rPr>
          <w:rFonts w:ascii="Arial" w:hAnsi="Arial" w:cs="Arial"/>
          <w:b/>
          <w:bCs/>
          <w:iCs/>
        </w:rPr>
        <w:t>Table</w:t>
      </w:r>
      <w:r>
        <w:rPr>
          <w:rFonts w:ascii="Arial" w:hAnsi="Arial" w:cs="Arial"/>
          <w:b/>
          <w:bCs/>
          <w:iCs/>
        </w:rPr>
        <w:t xml:space="preserve"> 3.</w:t>
      </w:r>
      <w:r w:rsidRPr="00CB73FB">
        <w:rPr>
          <w:rFonts w:ascii="Arial" w:hAnsi="Arial" w:cs="Arial"/>
          <w:b/>
          <w:bCs/>
          <w:iCs/>
        </w:rPr>
        <w:t xml:space="preserve"> Descriptive </w:t>
      </w:r>
      <w:r w:rsidR="00BD2D23" w:rsidRPr="00CB73FB">
        <w:rPr>
          <w:rFonts w:ascii="Arial" w:hAnsi="Arial" w:cs="Arial"/>
          <w:b/>
          <w:bCs/>
          <w:iCs/>
        </w:rPr>
        <w:t>statistics of digital literacy scores by group</w:t>
      </w:r>
    </w:p>
    <w:p w14:paraId="557B1CDF" w14:textId="77777777" w:rsidR="00CB73FB" w:rsidRPr="00CB73FB" w:rsidRDefault="00CB73FB" w:rsidP="00CB73FB">
      <w:pPr>
        <w:tabs>
          <w:tab w:val="left" w:pos="906"/>
        </w:tabs>
        <w:jc w:val="both"/>
        <w:rPr>
          <w:rFonts w:ascii="Arial" w:hAnsi="Arial" w:cs="Arial"/>
          <w:b/>
          <w:bCs/>
          <w:iCs/>
        </w:rPr>
      </w:pPr>
    </w:p>
    <w:tbl>
      <w:tblPr>
        <w:tblStyle w:val="PlainTable2"/>
        <w:tblW w:w="8330" w:type="dxa"/>
        <w:tblLayout w:type="fixed"/>
        <w:tblLook w:val="04A0" w:firstRow="1" w:lastRow="0" w:firstColumn="1" w:lastColumn="0" w:noHBand="0" w:noVBand="1"/>
      </w:tblPr>
      <w:tblGrid>
        <w:gridCol w:w="1809"/>
        <w:gridCol w:w="709"/>
        <w:gridCol w:w="2835"/>
        <w:gridCol w:w="2977"/>
      </w:tblGrid>
      <w:tr w:rsidR="00CB73FB" w:rsidRPr="00CB73FB" w14:paraId="654F208F" w14:textId="77777777" w:rsidTr="003828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4C785BCD" w14:textId="1CF5CFF2" w:rsidR="00CB73FB" w:rsidRPr="00CB73FB" w:rsidRDefault="00CB73FB" w:rsidP="00666F65">
            <w:pPr>
              <w:jc w:val="center"/>
              <w:rPr>
                <w:rFonts w:ascii="Arial" w:hAnsi="Arial" w:cs="Arial"/>
                <w:caps/>
                <w:color w:val="000000" w:themeColor="text1"/>
              </w:rPr>
            </w:pPr>
            <w:r w:rsidRPr="00CB73FB">
              <w:rPr>
                <w:rFonts w:ascii="Arial" w:hAnsi="Arial" w:cs="Arial"/>
                <w:color w:val="000000" w:themeColor="text1"/>
              </w:rPr>
              <w:t>Group</w:t>
            </w:r>
          </w:p>
        </w:tc>
        <w:tc>
          <w:tcPr>
            <w:tcW w:w="709" w:type="dxa"/>
            <w:hideMark/>
          </w:tcPr>
          <w:p w14:paraId="4066A6A2" w14:textId="691A07B9"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N</w:t>
            </w:r>
          </w:p>
        </w:tc>
        <w:tc>
          <w:tcPr>
            <w:tcW w:w="2835" w:type="dxa"/>
            <w:hideMark/>
          </w:tcPr>
          <w:p w14:paraId="3D13628D" w14:textId="4DF4C670"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Pre-Test Score Mean</w:t>
            </w:r>
            <w:r w:rsidR="006B6951">
              <w:rPr>
                <w:rFonts w:ascii="Arial" w:hAnsi="Arial" w:cs="Arial"/>
                <w:color w:val="000000" w:themeColor="text1"/>
              </w:rPr>
              <w:t xml:space="preserve"> (</w:t>
            </w:r>
            <w:r w:rsidRPr="00CB73FB">
              <w:rPr>
                <w:rFonts w:ascii="Arial" w:hAnsi="Arial" w:cs="Arial"/>
                <w:color w:val="000000" w:themeColor="text1"/>
              </w:rPr>
              <w:t>S</w:t>
            </w:r>
            <w:r>
              <w:rPr>
                <w:rFonts w:ascii="Arial" w:hAnsi="Arial" w:cs="Arial"/>
                <w:color w:val="000000" w:themeColor="text1"/>
              </w:rPr>
              <w:t>D</w:t>
            </w:r>
            <w:r w:rsidRPr="00CB73FB">
              <w:rPr>
                <w:rFonts w:ascii="Arial" w:hAnsi="Arial" w:cs="Arial"/>
                <w:color w:val="000000" w:themeColor="text1"/>
              </w:rPr>
              <w:t>)</w:t>
            </w:r>
          </w:p>
        </w:tc>
        <w:tc>
          <w:tcPr>
            <w:tcW w:w="2977" w:type="dxa"/>
            <w:hideMark/>
          </w:tcPr>
          <w:p w14:paraId="2BB8A2ED" w14:textId="5C0AD22F"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 xml:space="preserve">Post-Test Score Mean </w:t>
            </w:r>
            <w:r w:rsidR="006B6951">
              <w:rPr>
                <w:rFonts w:ascii="Arial" w:hAnsi="Arial" w:cs="Arial"/>
                <w:color w:val="000000" w:themeColor="text1"/>
              </w:rPr>
              <w:t>(</w:t>
            </w:r>
            <w:r w:rsidRPr="00CB73FB">
              <w:rPr>
                <w:rFonts w:ascii="Arial" w:hAnsi="Arial" w:cs="Arial"/>
                <w:color w:val="000000" w:themeColor="text1"/>
              </w:rPr>
              <w:t>S</w:t>
            </w:r>
            <w:r>
              <w:rPr>
                <w:rFonts w:ascii="Arial" w:hAnsi="Arial" w:cs="Arial"/>
                <w:color w:val="000000" w:themeColor="text1"/>
              </w:rPr>
              <w:t>D</w:t>
            </w:r>
            <w:r w:rsidRPr="00CB73FB">
              <w:rPr>
                <w:rFonts w:ascii="Arial" w:hAnsi="Arial" w:cs="Arial"/>
                <w:color w:val="000000" w:themeColor="text1"/>
              </w:rPr>
              <w:t>)</w:t>
            </w:r>
          </w:p>
        </w:tc>
      </w:tr>
      <w:tr w:rsidR="00CB73FB" w:rsidRPr="00CB73FB" w14:paraId="0D457363" w14:textId="77777777" w:rsidTr="0038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27A0EC36"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Control (C)</w:t>
            </w:r>
          </w:p>
        </w:tc>
        <w:tc>
          <w:tcPr>
            <w:tcW w:w="709" w:type="dxa"/>
            <w:hideMark/>
          </w:tcPr>
          <w:p w14:paraId="63929A6C"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55</w:t>
            </w:r>
          </w:p>
        </w:tc>
        <w:tc>
          <w:tcPr>
            <w:tcW w:w="2835" w:type="dxa"/>
            <w:hideMark/>
          </w:tcPr>
          <w:p w14:paraId="0A3B1407"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72.45 (16.88)</w:t>
            </w:r>
          </w:p>
        </w:tc>
        <w:tc>
          <w:tcPr>
            <w:tcW w:w="2977" w:type="dxa"/>
            <w:hideMark/>
          </w:tcPr>
          <w:p w14:paraId="177C0E83"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75.55 (15.39)</w:t>
            </w:r>
          </w:p>
        </w:tc>
      </w:tr>
      <w:tr w:rsidR="00CB73FB" w:rsidRPr="00CB73FB" w14:paraId="1C25925C" w14:textId="77777777" w:rsidTr="00382860">
        <w:tc>
          <w:tcPr>
            <w:cnfStyle w:val="001000000000" w:firstRow="0" w:lastRow="0" w:firstColumn="1" w:lastColumn="0" w:oddVBand="0" w:evenVBand="0" w:oddHBand="0" w:evenHBand="0" w:firstRowFirstColumn="0" w:firstRowLastColumn="0" w:lastRowFirstColumn="0" w:lastRowLastColumn="0"/>
            <w:tcW w:w="1809" w:type="dxa"/>
            <w:hideMark/>
          </w:tcPr>
          <w:p w14:paraId="3C684E7E"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Online-Only (T1)</w:t>
            </w:r>
          </w:p>
        </w:tc>
        <w:tc>
          <w:tcPr>
            <w:tcW w:w="709" w:type="dxa"/>
            <w:hideMark/>
          </w:tcPr>
          <w:p w14:paraId="08981417"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49</w:t>
            </w:r>
          </w:p>
        </w:tc>
        <w:tc>
          <w:tcPr>
            <w:tcW w:w="2835" w:type="dxa"/>
            <w:hideMark/>
          </w:tcPr>
          <w:p w14:paraId="4D476170"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65.00 (25.80)</w:t>
            </w:r>
          </w:p>
        </w:tc>
        <w:tc>
          <w:tcPr>
            <w:tcW w:w="2977" w:type="dxa"/>
            <w:hideMark/>
          </w:tcPr>
          <w:p w14:paraId="4671F089"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82.04 (11.08)</w:t>
            </w:r>
          </w:p>
        </w:tc>
      </w:tr>
      <w:tr w:rsidR="00CB73FB" w:rsidRPr="00CB73FB" w14:paraId="6B18EF7D" w14:textId="77777777" w:rsidTr="0038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686C9E0C"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Blended (T2)</w:t>
            </w:r>
          </w:p>
        </w:tc>
        <w:tc>
          <w:tcPr>
            <w:tcW w:w="709" w:type="dxa"/>
            <w:hideMark/>
          </w:tcPr>
          <w:p w14:paraId="29F82F44"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54</w:t>
            </w:r>
          </w:p>
        </w:tc>
        <w:tc>
          <w:tcPr>
            <w:tcW w:w="2835" w:type="dxa"/>
            <w:hideMark/>
          </w:tcPr>
          <w:p w14:paraId="313A15AD"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65.09 (19.77)</w:t>
            </w:r>
          </w:p>
        </w:tc>
        <w:tc>
          <w:tcPr>
            <w:tcW w:w="2977" w:type="dxa"/>
            <w:hideMark/>
          </w:tcPr>
          <w:p w14:paraId="1C5E5CC0"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78.89 (15.07)</w:t>
            </w:r>
          </w:p>
        </w:tc>
      </w:tr>
    </w:tbl>
    <w:p w14:paraId="2AB3BD2F" w14:textId="77777777" w:rsidR="00CB73FB" w:rsidRPr="00CB73FB" w:rsidRDefault="00CB73FB" w:rsidP="00CB73FB">
      <w:pPr>
        <w:pStyle w:val="Body"/>
        <w:spacing w:after="0"/>
        <w:rPr>
          <w:rFonts w:ascii="Arial" w:hAnsi="Arial" w:cs="Arial"/>
        </w:rPr>
      </w:pPr>
    </w:p>
    <w:p w14:paraId="33050F7E" w14:textId="189F2950" w:rsidR="00CB73FB" w:rsidRDefault="003A058A" w:rsidP="00CB73FB">
      <w:pPr>
        <w:pStyle w:val="Body"/>
        <w:rPr>
          <w:rFonts w:ascii="Arial" w:hAnsi="Arial" w:cs="Arial"/>
        </w:rPr>
      </w:pPr>
      <w:r>
        <w:rPr>
          <w:rFonts w:ascii="Arial" w:hAnsi="Arial" w:cs="Arial"/>
        </w:rPr>
        <w:t>The data, which is also visualized in Fig. 1, reveal a clear pattern</w:t>
      </w:r>
      <w:r w:rsidR="00CB73FB" w:rsidRPr="00CB73FB">
        <w:rPr>
          <w:rFonts w:ascii="Arial" w:hAnsi="Arial" w:cs="Arial"/>
        </w:rPr>
        <w:t>. Both the online-only (T1) and blended learning (T2) groups demonstrated a substantial increase in mean scores</w:t>
      </w:r>
      <w:r w:rsidR="002A2EF6">
        <w:rPr>
          <w:rFonts w:ascii="Arial" w:hAnsi="Arial" w:cs="Arial"/>
        </w:rPr>
        <w:t>. In contrast,</w:t>
      </w:r>
      <w:r w:rsidR="00CB73FB" w:rsidRPr="00CB73FB">
        <w:rPr>
          <w:rFonts w:ascii="Arial" w:hAnsi="Arial" w:cs="Arial"/>
        </w:rPr>
        <w:t xml:space="preserve"> the control group's performance remained relatively static.</w:t>
      </w:r>
    </w:p>
    <w:p w14:paraId="620954F4" w14:textId="6C7F0722" w:rsidR="006B6951" w:rsidRDefault="004D07BA" w:rsidP="006B6951">
      <w:pPr>
        <w:tabs>
          <w:tab w:val="left" w:pos="906"/>
        </w:tabs>
        <w:jc w:val="center"/>
        <w:rPr>
          <w:iCs/>
          <w:sz w:val="21"/>
          <w:szCs w:val="21"/>
        </w:rPr>
      </w:pPr>
      <w:r>
        <w:rPr>
          <w:noProof/>
        </w:rPr>
        <w:lastRenderedPageBreak/>
        <w:drawing>
          <wp:inline distT="0" distB="0" distL="0" distR="0" wp14:anchorId="6041A14E" wp14:editId="4CDBBA00">
            <wp:extent cx="3692236" cy="1894027"/>
            <wp:effectExtent l="0" t="0" r="3810" b="0"/>
            <wp:docPr id="317045795" name="Chart 1">
              <a:extLst xmlns:a="http://schemas.openxmlformats.org/drawingml/2006/main">
                <a:ext uri="{FF2B5EF4-FFF2-40B4-BE49-F238E27FC236}">
                  <a16:creationId xmlns:a16="http://schemas.microsoft.com/office/drawing/2014/main" id="{9B0EAE0A-7FCA-34C8-8600-536538C9F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478DF0" w14:textId="77777777" w:rsidR="006B6951" w:rsidRPr="006B6951" w:rsidRDefault="006B6951" w:rsidP="006B6951">
      <w:pPr>
        <w:tabs>
          <w:tab w:val="left" w:pos="906"/>
        </w:tabs>
        <w:jc w:val="center"/>
        <w:rPr>
          <w:iCs/>
          <w:sz w:val="21"/>
          <w:szCs w:val="21"/>
        </w:rPr>
      </w:pPr>
    </w:p>
    <w:p w14:paraId="1B0D058F" w14:textId="7AF9E7D6" w:rsidR="006B6951" w:rsidRDefault="006B6951" w:rsidP="006B6951">
      <w:pPr>
        <w:tabs>
          <w:tab w:val="left" w:pos="906"/>
        </w:tabs>
        <w:rPr>
          <w:rFonts w:ascii="Arial" w:hAnsi="Arial" w:cs="Arial"/>
          <w:b/>
          <w:bCs/>
          <w:iCs/>
        </w:rPr>
      </w:pPr>
      <w:r w:rsidRPr="006B6951">
        <w:rPr>
          <w:rFonts w:ascii="Arial" w:hAnsi="Arial" w:cs="Arial"/>
          <w:b/>
          <w:bCs/>
          <w:iCs/>
        </w:rPr>
        <w:t>Fig. 1. Mean Digital Literacy Scores at Pre-Test and Post-Test by Study Group</w:t>
      </w:r>
    </w:p>
    <w:p w14:paraId="33078F47" w14:textId="76D0D8CA" w:rsidR="004D07BA" w:rsidRPr="004D07BA" w:rsidRDefault="004D07BA" w:rsidP="006B6951">
      <w:pPr>
        <w:tabs>
          <w:tab w:val="left" w:pos="906"/>
        </w:tabs>
        <w:rPr>
          <w:rFonts w:ascii="Arial" w:hAnsi="Arial" w:cs="Arial"/>
          <w:i/>
          <w:sz w:val="18"/>
          <w:szCs w:val="18"/>
        </w:rPr>
      </w:pPr>
      <w:r w:rsidRPr="004D07BA">
        <w:rPr>
          <w:rFonts w:ascii="Arial" w:hAnsi="Arial" w:cs="Arial"/>
          <w:i/>
          <w:sz w:val="18"/>
          <w:szCs w:val="18"/>
        </w:rPr>
        <w:t>Note: On the horizontal axis, '1' represents the pre-test and '2' represents the post-test.</w:t>
      </w:r>
    </w:p>
    <w:p w14:paraId="44D2D14F" w14:textId="77777777" w:rsidR="004D07BA" w:rsidRPr="00CB73FB" w:rsidRDefault="004D07BA" w:rsidP="006B6951">
      <w:pPr>
        <w:pStyle w:val="Body"/>
        <w:spacing w:after="0"/>
        <w:rPr>
          <w:rFonts w:ascii="Arial" w:hAnsi="Arial" w:cs="Arial"/>
        </w:rPr>
      </w:pPr>
    </w:p>
    <w:p w14:paraId="47011771" w14:textId="32BCAD61" w:rsidR="00CB73FB" w:rsidRDefault="002A2EF6" w:rsidP="00CB73FB">
      <w:pPr>
        <w:pStyle w:val="Body"/>
        <w:spacing w:after="0"/>
        <w:rPr>
          <w:rFonts w:ascii="Arial" w:hAnsi="Arial" w:cs="Arial"/>
        </w:rPr>
      </w:pPr>
      <w:r>
        <w:rPr>
          <w:rFonts w:ascii="Arial" w:hAnsi="Arial" w:cs="Arial"/>
        </w:rPr>
        <w:t>A mixed-design ANOVA was conducted to test the significance of these observed changes</w:t>
      </w:r>
      <w:r w:rsidR="00CB73FB" w:rsidRPr="00CB73FB">
        <w:rPr>
          <w:rFonts w:ascii="Arial" w:hAnsi="Arial" w:cs="Arial"/>
        </w:rPr>
        <w:t>. The analysis revealed a statistically significant interaction effect between time and group (</w:t>
      </w:r>
      <w:proofErr w:type="gramStart"/>
      <w:r w:rsidR="00CB73FB" w:rsidRPr="00CB73FB">
        <w:rPr>
          <w:rFonts w:ascii="Arial" w:hAnsi="Arial" w:cs="Arial"/>
        </w:rPr>
        <w:t>F(</w:t>
      </w:r>
      <w:proofErr w:type="gramEnd"/>
      <w:r w:rsidR="00CB73FB" w:rsidRPr="00CB73FB">
        <w:rPr>
          <w:rFonts w:ascii="Arial" w:hAnsi="Arial" w:cs="Arial"/>
        </w:rPr>
        <w:t xml:space="preserve">2, 148) = 10.71, </w:t>
      </w:r>
      <w:r w:rsidR="00CB73FB" w:rsidRPr="00486F93">
        <w:rPr>
          <w:rFonts w:ascii="Arial" w:hAnsi="Arial" w:cs="Arial"/>
          <w:b/>
          <w:bCs/>
          <w:i/>
          <w:iCs/>
        </w:rPr>
        <w:t>P</w:t>
      </w:r>
      <w:r w:rsidR="00CB73FB" w:rsidRPr="00CB73FB">
        <w:rPr>
          <w:rFonts w:ascii="Arial" w:hAnsi="Arial" w:cs="Arial"/>
        </w:rPr>
        <w:t xml:space="preserve"> .001), confirming that the training interventions led to a significantly greater improvement in digital literacy scores compared to the control group</w:t>
      </w:r>
      <w:r w:rsidR="005906FD">
        <w:rPr>
          <w:rFonts w:ascii="Arial" w:hAnsi="Arial" w:cs="Arial"/>
        </w:rPr>
        <w:t>, as detailed in Table 4</w:t>
      </w:r>
      <w:r w:rsidR="00CB73FB" w:rsidRPr="00CB73FB">
        <w:rPr>
          <w:rFonts w:ascii="Arial" w:hAnsi="Arial" w:cs="Arial"/>
        </w:rPr>
        <w:t>. This finding underscores that digital literacy is a malleable competency that can be effectively enhanced through targeted training, even among an experienced professional cohort.</w:t>
      </w:r>
    </w:p>
    <w:p w14:paraId="49A14CDD" w14:textId="77777777" w:rsidR="00BD2D23" w:rsidRDefault="00BD2D23" w:rsidP="00CB73FB">
      <w:pPr>
        <w:pStyle w:val="Body"/>
        <w:spacing w:after="0"/>
        <w:rPr>
          <w:rFonts w:ascii="Arial" w:hAnsi="Arial" w:cs="Arial"/>
        </w:rPr>
      </w:pPr>
    </w:p>
    <w:p w14:paraId="4A6A0879" w14:textId="2860FC06" w:rsidR="004D07BA" w:rsidRPr="00BD2D23" w:rsidRDefault="00BD2D23" w:rsidP="00CB73FB">
      <w:pPr>
        <w:pStyle w:val="Body"/>
        <w:spacing w:after="0"/>
        <w:rPr>
          <w:rFonts w:ascii="Arial" w:hAnsi="Arial" w:cs="Arial"/>
          <w:b/>
          <w:bCs/>
        </w:rPr>
      </w:pPr>
      <w:r w:rsidRPr="00BD2D23">
        <w:rPr>
          <w:rFonts w:ascii="Arial" w:hAnsi="Arial" w:cs="Arial"/>
          <w:b/>
          <w:bCs/>
        </w:rPr>
        <w:t xml:space="preserve">Table 4. Results of </w:t>
      </w:r>
      <w:r w:rsidR="005869C3" w:rsidRPr="00BD2D23">
        <w:rPr>
          <w:rFonts w:ascii="Arial" w:hAnsi="Arial" w:cs="Arial"/>
          <w:b/>
          <w:bCs/>
        </w:rPr>
        <w:t>mixed design</w:t>
      </w:r>
      <w:r w:rsidRPr="00BD2D23">
        <w:rPr>
          <w:rFonts w:ascii="Arial" w:hAnsi="Arial" w:cs="Arial"/>
          <w:b/>
          <w:bCs/>
        </w:rPr>
        <w:t xml:space="preserve"> </w:t>
      </w:r>
      <w:commentRangeStart w:id="5"/>
      <w:proofErr w:type="spellStart"/>
      <w:r w:rsidRPr="00BD2D23">
        <w:rPr>
          <w:rFonts w:ascii="Arial" w:hAnsi="Arial" w:cs="Arial"/>
          <w:b/>
          <w:bCs/>
        </w:rPr>
        <w:t>anova</w:t>
      </w:r>
      <w:commentRangeEnd w:id="5"/>
      <w:proofErr w:type="spellEnd"/>
      <w:r w:rsidR="00561244">
        <w:rPr>
          <w:rStyle w:val="CommentReference"/>
          <w:rFonts w:ascii="Times New Roman" w:hAnsi="Times New Roman"/>
          <w:lang w:val="nb-NO" w:eastAsia="nb-NO"/>
        </w:rPr>
        <w:commentReference w:id="5"/>
      </w:r>
      <w:r w:rsidRPr="00BD2D23">
        <w:rPr>
          <w:rFonts w:ascii="Arial" w:hAnsi="Arial" w:cs="Arial"/>
          <w:b/>
          <w:bCs/>
        </w:rPr>
        <w:t xml:space="preserve"> for digital literacy scores</w:t>
      </w:r>
    </w:p>
    <w:tbl>
      <w:tblPr>
        <w:tblStyle w:val="PlainTable2"/>
        <w:tblW w:w="8330" w:type="dxa"/>
        <w:tblLook w:val="04A0" w:firstRow="1" w:lastRow="0" w:firstColumn="1" w:lastColumn="0" w:noHBand="0" w:noVBand="1"/>
      </w:tblPr>
      <w:tblGrid>
        <w:gridCol w:w="1701"/>
        <w:gridCol w:w="1276"/>
        <w:gridCol w:w="1384"/>
        <w:gridCol w:w="1451"/>
        <w:gridCol w:w="2518"/>
      </w:tblGrid>
      <w:tr w:rsidR="004D07BA" w:rsidRPr="00EE7C10" w14:paraId="3D2B5BD9" w14:textId="77777777" w:rsidTr="00D05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456FC9C7" w14:textId="77777777" w:rsidR="004D07BA" w:rsidRPr="00EE7C10" w:rsidRDefault="004D07BA" w:rsidP="00666F65">
            <w:pPr>
              <w:jc w:val="center"/>
              <w:rPr>
                <w:caps/>
                <w:color w:val="000000" w:themeColor="text1"/>
              </w:rPr>
            </w:pPr>
            <w:r w:rsidRPr="00EE7C10">
              <w:rPr>
                <w:color w:val="000000" w:themeColor="text1"/>
              </w:rPr>
              <w:t>Source</w:t>
            </w:r>
          </w:p>
        </w:tc>
        <w:tc>
          <w:tcPr>
            <w:tcW w:w="1276" w:type="dxa"/>
            <w:vAlign w:val="center"/>
            <w:hideMark/>
          </w:tcPr>
          <w:p w14:paraId="6C9C9FF9" w14:textId="77777777" w:rsidR="004D07BA" w:rsidRPr="00EE7C10" w:rsidRDefault="004D07BA" w:rsidP="00666F65">
            <w:pPr>
              <w:jc w:val="center"/>
              <w:cnfStyle w:val="100000000000" w:firstRow="1" w:lastRow="0" w:firstColumn="0" w:lastColumn="0" w:oddVBand="0" w:evenVBand="0" w:oddHBand="0" w:evenHBand="0" w:firstRowFirstColumn="0" w:firstRowLastColumn="0" w:lastRowFirstColumn="0" w:lastRowLastColumn="0"/>
              <w:rPr>
                <w:caps/>
                <w:color w:val="000000" w:themeColor="text1"/>
              </w:rPr>
            </w:pPr>
            <w:r>
              <w:rPr>
                <w:color w:val="000000" w:themeColor="text1"/>
              </w:rPr>
              <w:t>d</w:t>
            </w:r>
            <w:r w:rsidRPr="00EE7C10">
              <w:rPr>
                <w:color w:val="000000" w:themeColor="text1"/>
              </w:rPr>
              <w:t>f</w:t>
            </w:r>
          </w:p>
        </w:tc>
        <w:tc>
          <w:tcPr>
            <w:tcW w:w="1384" w:type="dxa"/>
            <w:vAlign w:val="center"/>
            <w:hideMark/>
          </w:tcPr>
          <w:p w14:paraId="4FB1F4A3" w14:textId="77777777" w:rsidR="004D07BA" w:rsidRPr="00EE7C10" w:rsidRDefault="004D07BA" w:rsidP="00666F65">
            <w:pPr>
              <w:jc w:val="center"/>
              <w:cnfStyle w:val="100000000000" w:firstRow="1" w:lastRow="0" w:firstColumn="0" w:lastColumn="0" w:oddVBand="0" w:evenVBand="0" w:oddHBand="0" w:evenHBand="0" w:firstRowFirstColumn="0" w:firstRowLastColumn="0" w:lastRowFirstColumn="0" w:lastRowLastColumn="0"/>
              <w:rPr>
                <w:caps/>
                <w:color w:val="000000" w:themeColor="text1"/>
              </w:rPr>
            </w:pPr>
            <w:r>
              <w:rPr>
                <w:caps/>
                <w:color w:val="000000" w:themeColor="text1"/>
              </w:rPr>
              <w:t>f</w:t>
            </w:r>
          </w:p>
        </w:tc>
        <w:tc>
          <w:tcPr>
            <w:tcW w:w="1451" w:type="dxa"/>
            <w:vAlign w:val="center"/>
            <w:hideMark/>
          </w:tcPr>
          <w:p w14:paraId="790301AE" w14:textId="55C9E5A3" w:rsidR="004D07BA" w:rsidRPr="004D07BA" w:rsidRDefault="002E2F36" w:rsidP="00666F65">
            <w:pPr>
              <w:jc w:val="center"/>
              <w:cnfStyle w:val="100000000000" w:firstRow="1" w:lastRow="0" w:firstColumn="0" w:lastColumn="0" w:oddVBand="0" w:evenVBand="0" w:oddHBand="0" w:evenHBand="0" w:firstRowFirstColumn="0" w:firstRowLastColumn="0" w:lastRowFirstColumn="0" w:lastRowLastColumn="0"/>
              <w:rPr>
                <w:i/>
                <w:iCs/>
                <w:caps/>
                <w:color w:val="000000" w:themeColor="text1"/>
              </w:rPr>
            </w:pPr>
            <w:r w:rsidRPr="00486F93">
              <w:rPr>
                <w:rFonts w:ascii="Arial" w:hAnsi="Arial" w:cs="Arial"/>
                <w:i/>
                <w:iCs/>
                <w:color w:val="000000" w:themeColor="text1"/>
              </w:rPr>
              <w:t>P</w:t>
            </w:r>
            <w:r w:rsidRPr="00486F93">
              <w:rPr>
                <w:rFonts w:ascii="Arial" w:hAnsi="Arial" w:cs="Arial"/>
                <w:color w:val="000000" w:themeColor="text1"/>
              </w:rPr>
              <w:t>-Value</w:t>
            </w:r>
          </w:p>
        </w:tc>
        <w:tc>
          <w:tcPr>
            <w:tcW w:w="2518" w:type="dxa"/>
            <w:vAlign w:val="center"/>
            <w:hideMark/>
          </w:tcPr>
          <w:p w14:paraId="036462B5" w14:textId="77777777" w:rsidR="004D07BA" w:rsidRPr="00EE7C10" w:rsidRDefault="004D07BA" w:rsidP="00666F65">
            <w:pPr>
              <w:jc w:val="center"/>
              <w:cnfStyle w:val="100000000000" w:firstRow="1" w:lastRow="0" w:firstColumn="0" w:lastColumn="0" w:oddVBand="0" w:evenVBand="0" w:oddHBand="0" w:evenHBand="0" w:firstRowFirstColumn="0" w:firstRowLastColumn="0" w:lastRowFirstColumn="0" w:lastRowLastColumn="0"/>
              <w:rPr>
                <w:caps/>
                <w:color w:val="000000" w:themeColor="text1"/>
              </w:rPr>
            </w:pPr>
            <w:r w:rsidRPr="00EE7C10">
              <w:rPr>
                <w:color w:val="000000" w:themeColor="text1"/>
              </w:rPr>
              <w:t>Partial Eta Squared</w:t>
            </w:r>
          </w:p>
        </w:tc>
      </w:tr>
      <w:tr w:rsidR="004D07BA" w:rsidRPr="00EE7C10" w14:paraId="26A97F2D" w14:textId="77777777" w:rsidTr="00D05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436F601C" w14:textId="77777777" w:rsidR="004D07BA" w:rsidRPr="00034D86" w:rsidRDefault="004D07BA" w:rsidP="00666F65">
            <w:pPr>
              <w:rPr>
                <w:b w:val="0"/>
                <w:bCs w:val="0"/>
                <w:color w:val="000000" w:themeColor="text1"/>
              </w:rPr>
            </w:pPr>
            <w:r w:rsidRPr="00034D86">
              <w:rPr>
                <w:b w:val="0"/>
                <w:bCs w:val="0"/>
                <w:color w:val="000000" w:themeColor="text1"/>
              </w:rPr>
              <w:t>Time</w:t>
            </w:r>
          </w:p>
        </w:tc>
        <w:tc>
          <w:tcPr>
            <w:tcW w:w="1276" w:type="dxa"/>
            <w:hideMark/>
          </w:tcPr>
          <w:p w14:paraId="22C6E891" w14:textId="77777777" w:rsidR="004D07BA" w:rsidRPr="00EE7C10" w:rsidRDefault="004D07BA" w:rsidP="00666F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E7C10">
              <w:rPr>
                <w:color w:val="000000" w:themeColor="text1"/>
              </w:rPr>
              <w:t>1, 148</w:t>
            </w:r>
          </w:p>
        </w:tc>
        <w:tc>
          <w:tcPr>
            <w:tcW w:w="1384" w:type="dxa"/>
            <w:hideMark/>
          </w:tcPr>
          <w:p w14:paraId="43D4C6B6" w14:textId="77777777" w:rsidR="004D07BA" w:rsidRPr="00EE7C10" w:rsidRDefault="004D07BA" w:rsidP="00666F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E7C10">
              <w:rPr>
                <w:color w:val="000000" w:themeColor="text1"/>
              </w:rPr>
              <w:t>57.69</w:t>
            </w:r>
          </w:p>
        </w:tc>
        <w:tc>
          <w:tcPr>
            <w:tcW w:w="1451" w:type="dxa"/>
            <w:hideMark/>
          </w:tcPr>
          <w:p w14:paraId="54D80B42" w14:textId="01114126" w:rsidR="004D07BA" w:rsidRPr="00EE7C10" w:rsidRDefault="004D07BA" w:rsidP="00666F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E7C10">
              <w:rPr>
                <w:color w:val="000000" w:themeColor="text1"/>
              </w:rPr>
              <w:t>.001</w:t>
            </w:r>
          </w:p>
        </w:tc>
        <w:tc>
          <w:tcPr>
            <w:tcW w:w="2518" w:type="dxa"/>
            <w:hideMark/>
          </w:tcPr>
          <w:p w14:paraId="7F34C654" w14:textId="77777777" w:rsidR="004D07BA" w:rsidRPr="00EE7C10" w:rsidRDefault="004D07BA" w:rsidP="00666F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0</w:t>
            </w:r>
            <w:r w:rsidRPr="00EE7C10">
              <w:rPr>
                <w:color w:val="000000" w:themeColor="text1"/>
              </w:rPr>
              <w:t>.280</w:t>
            </w:r>
          </w:p>
        </w:tc>
      </w:tr>
      <w:tr w:rsidR="004D07BA" w:rsidRPr="00EE7C10" w14:paraId="763535B0" w14:textId="77777777" w:rsidTr="00D05D79">
        <w:tc>
          <w:tcPr>
            <w:cnfStyle w:val="001000000000" w:firstRow="0" w:lastRow="0" w:firstColumn="1" w:lastColumn="0" w:oddVBand="0" w:evenVBand="0" w:oddHBand="0" w:evenHBand="0" w:firstRowFirstColumn="0" w:firstRowLastColumn="0" w:lastRowFirstColumn="0" w:lastRowLastColumn="0"/>
            <w:tcW w:w="1701" w:type="dxa"/>
            <w:hideMark/>
          </w:tcPr>
          <w:p w14:paraId="4F80A229" w14:textId="77777777" w:rsidR="004D07BA" w:rsidRPr="00034D86" w:rsidRDefault="004D07BA" w:rsidP="00666F65">
            <w:pPr>
              <w:rPr>
                <w:b w:val="0"/>
                <w:bCs w:val="0"/>
                <w:color w:val="000000" w:themeColor="text1"/>
              </w:rPr>
            </w:pPr>
            <w:r w:rsidRPr="00034D86">
              <w:rPr>
                <w:b w:val="0"/>
                <w:bCs w:val="0"/>
                <w:color w:val="000000" w:themeColor="text1"/>
                <w:bdr w:val="single" w:sz="2" w:space="0" w:color="FFFFFF" w:frame="1"/>
              </w:rPr>
              <w:t>Time * Group</w:t>
            </w:r>
          </w:p>
        </w:tc>
        <w:tc>
          <w:tcPr>
            <w:tcW w:w="1276" w:type="dxa"/>
            <w:hideMark/>
          </w:tcPr>
          <w:p w14:paraId="14D9DD4F" w14:textId="77777777" w:rsidR="004D07BA" w:rsidRPr="00034D86" w:rsidRDefault="004D07BA" w:rsidP="00666F6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34D86">
              <w:rPr>
                <w:color w:val="000000" w:themeColor="text1"/>
                <w:bdr w:val="single" w:sz="2" w:space="0" w:color="FFFFFF" w:frame="1"/>
              </w:rPr>
              <w:t>2, 148</w:t>
            </w:r>
          </w:p>
        </w:tc>
        <w:tc>
          <w:tcPr>
            <w:tcW w:w="1384" w:type="dxa"/>
            <w:hideMark/>
          </w:tcPr>
          <w:p w14:paraId="050BCE15" w14:textId="77777777" w:rsidR="004D07BA" w:rsidRPr="00034D86" w:rsidRDefault="004D07BA" w:rsidP="00666F6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34D86">
              <w:rPr>
                <w:color w:val="000000" w:themeColor="text1"/>
                <w:bdr w:val="single" w:sz="2" w:space="0" w:color="FFFFFF" w:frame="1"/>
              </w:rPr>
              <w:t>10.71</w:t>
            </w:r>
          </w:p>
        </w:tc>
        <w:tc>
          <w:tcPr>
            <w:tcW w:w="1451" w:type="dxa"/>
            <w:hideMark/>
          </w:tcPr>
          <w:p w14:paraId="30EDBFD1" w14:textId="42972D8C" w:rsidR="004D07BA" w:rsidRPr="00034D86" w:rsidRDefault="004D07BA" w:rsidP="00666F6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34D86">
              <w:rPr>
                <w:color w:val="000000" w:themeColor="text1"/>
                <w:bdr w:val="single" w:sz="2" w:space="0" w:color="FFFFFF" w:frame="1"/>
              </w:rPr>
              <w:t>.001</w:t>
            </w:r>
          </w:p>
        </w:tc>
        <w:tc>
          <w:tcPr>
            <w:tcW w:w="2518" w:type="dxa"/>
            <w:hideMark/>
          </w:tcPr>
          <w:p w14:paraId="2BE473A4" w14:textId="77777777" w:rsidR="004D07BA" w:rsidRPr="00034D86" w:rsidRDefault="004D07BA" w:rsidP="00666F6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34D86">
              <w:rPr>
                <w:color w:val="000000" w:themeColor="text1"/>
                <w:bdr w:val="single" w:sz="2" w:space="0" w:color="FFFFFF" w:frame="1"/>
              </w:rPr>
              <w:t>0.126</w:t>
            </w:r>
          </w:p>
        </w:tc>
      </w:tr>
    </w:tbl>
    <w:p w14:paraId="731415AE" w14:textId="77777777" w:rsidR="004D07BA" w:rsidRDefault="004D07BA" w:rsidP="00CB73FB">
      <w:pPr>
        <w:pStyle w:val="Body"/>
        <w:spacing w:after="0"/>
        <w:rPr>
          <w:rFonts w:ascii="Arial" w:hAnsi="Arial" w:cs="Arial"/>
        </w:rPr>
      </w:pPr>
    </w:p>
    <w:p w14:paraId="4C2CA60F" w14:textId="2EE9E30B" w:rsidR="00B901CA" w:rsidRDefault="00B901CA" w:rsidP="00B901CA">
      <w:pPr>
        <w:pStyle w:val="Body"/>
        <w:spacing w:after="0"/>
        <w:rPr>
          <w:rFonts w:ascii="Arial" w:hAnsi="Arial" w:cs="Arial"/>
        </w:rPr>
      </w:pPr>
      <w:r w:rsidRPr="00B901CA">
        <w:rPr>
          <w:rFonts w:ascii="Arial" w:hAnsi="Arial" w:cs="Arial"/>
        </w:rPr>
        <w:t>The significant improvement in digital literacy scores for both the online and blended learning groups, in contrast to the minimal change in the control group, confirms that these competencies are highly trainable through structured intervention. The success of the intervention can be attributed to a curriculum design that was not only aligned with core andragogical principles of adult learning</w:t>
      </w:r>
      <w:r>
        <w:rPr>
          <w:rFonts w:ascii="Arial" w:hAnsi="Arial" w:cs="Arial"/>
        </w:rPr>
        <w:t xml:space="preserve"> </w:t>
      </w:r>
      <w:r w:rsidRPr="00B901CA">
        <w:rPr>
          <w:rFonts w:ascii="Arial" w:hAnsi="Arial" w:cs="Arial"/>
        </w:rPr>
        <w:t xml:space="preserve">and </w:t>
      </w:r>
      <w:r>
        <w:rPr>
          <w:rFonts w:ascii="Arial" w:hAnsi="Arial" w:cs="Arial"/>
        </w:rPr>
        <w:t>need-</w:t>
      </w:r>
      <w:r w:rsidRPr="00B901CA">
        <w:rPr>
          <w:rFonts w:ascii="Arial" w:hAnsi="Arial" w:cs="Arial"/>
        </w:rPr>
        <w:t xml:space="preserve">problem-centered content </w:t>
      </w:r>
      <w:sdt>
        <w:sdtPr>
          <w:rPr>
            <w:rFonts w:ascii="Arial" w:hAnsi="Arial" w:cs="Arial"/>
            <w:color w:val="000000"/>
          </w:rPr>
          <w:tag w:val="MENDELEY_CITATION_v3_eyJjaXRhdGlvbklEIjoiTUVOREVMRVlfQ0lUQVRJT05fMmMyODJmMjAtZDcyNy00YTlhLWE2ZDgtMjY4ZWFhM2QyZDgz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
          <w:id w:val="635607427"/>
          <w:placeholder>
            <w:docPart w:val="DefaultPlaceholder_-1854013440"/>
          </w:placeholder>
        </w:sdtPr>
        <w:sdtContent>
          <w:r w:rsidR="005906FD" w:rsidRPr="005906FD">
            <w:rPr>
              <w:rFonts w:ascii="Arial" w:hAnsi="Arial" w:cs="Arial"/>
              <w:color w:val="000000"/>
            </w:rPr>
            <w:t>(Knowles et al., 2014)</w:t>
          </w:r>
        </w:sdtContent>
      </w:sdt>
      <w:r w:rsidRPr="00B901CA">
        <w:rPr>
          <w:rFonts w:ascii="Arial" w:hAnsi="Arial" w:cs="Arial"/>
        </w:rPr>
        <w:t xml:space="preserve"> but was also deeply rooted in the specific professional context of agricultural extension. Rather than abstract concepts, the training focused on practical skills with immediate applicability to an extension worker's daily tasks. This approach directly addresses the need to build specific digital competencies that enable modern extension workers to evolve from being mere information providers to becoming facilitators and knowledge brokers in an increasingly complex digital ecosystem </w:t>
      </w:r>
      <w:commentRangeStart w:id="6"/>
      <w:sdt>
        <w:sdtPr>
          <w:rPr>
            <w:rFonts w:ascii="Arial" w:hAnsi="Arial" w:cs="Arial"/>
            <w:color w:val="000000"/>
          </w:rPr>
          <w:tag w:val="MENDELEY_CITATION_v3_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"/>
          <w:id w:val="1285616169"/>
          <w:placeholder>
            <w:docPart w:val="DefaultPlaceholder_-1854013440"/>
          </w:placeholder>
        </w:sdtPr>
        <w:sdtContent>
          <w:r w:rsidR="005906FD" w:rsidRPr="005906FD">
            <w:rPr>
              <w:color w:val="000000"/>
            </w:rPr>
            <w:t>(Rivera &amp; Alex, 2004)</w:t>
          </w:r>
        </w:sdtContent>
      </w:sdt>
      <w:r>
        <w:rPr>
          <w:rFonts w:ascii="Arial" w:hAnsi="Arial" w:cs="Arial"/>
        </w:rPr>
        <w:t>.</w:t>
      </w:r>
      <w:commentRangeEnd w:id="6"/>
      <w:r w:rsidR="00561244">
        <w:rPr>
          <w:rStyle w:val="CommentReference"/>
          <w:rFonts w:ascii="Times New Roman" w:hAnsi="Times New Roman"/>
          <w:lang w:val="nb-NO" w:eastAsia="nb-NO"/>
        </w:rPr>
        <w:commentReference w:id="6"/>
      </w:r>
    </w:p>
    <w:p w14:paraId="688972B3" w14:textId="77777777" w:rsidR="00B901CA" w:rsidRDefault="00B901CA" w:rsidP="00B901CA">
      <w:pPr>
        <w:pStyle w:val="Body"/>
        <w:spacing w:after="0"/>
        <w:rPr>
          <w:rFonts w:ascii="Arial" w:hAnsi="Arial" w:cs="Arial"/>
        </w:rPr>
      </w:pPr>
    </w:p>
    <w:p w14:paraId="00370279" w14:textId="6D33FF15" w:rsidR="009B7C9B" w:rsidRDefault="00B901CA" w:rsidP="00B901CA">
      <w:pPr>
        <w:pStyle w:val="Body"/>
        <w:spacing w:after="0"/>
        <w:rPr>
          <w:rFonts w:ascii="Arial" w:hAnsi="Arial" w:cs="Arial"/>
        </w:rPr>
      </w:pPr>
      <w:r w:rsidRPr="00B901CA">
        <w:rPr>
          <w:rFonts w:ascii="Arial" w:hAnsi="Arial" w:cs="Arial"/>
        </w:rPr>
        <w:t xml:space="preserve">This finding is particularly significant given the experienced demographic of the participants. It provides strong evidence that digital skills can be effectively developed in a professional workforce that is often perceived as being on the lagging side of the digital adoption curve, thereby bridging the "digital divide" within organizations </w:t>
      </w:r>
      <w:sdt>
        <w:sdtPr>
          <w:rPr>
            <w:rFonts w:ascii="Arial" w:hAnsi="Arial" w:cs="Arial"/>
            <w:color w:val="000000"/>
          </w:rPr>
          <w:tag w:val="MENDELEY_CITATION_v3_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"/>
          <w:id w:val="-1188214549"/>
          <w:placeholder>
            <w:docPart w:val="DefaultPlaceholder_-1854013440"/>
          </w:placeholder>
        </w:sdtPr>
        <w:sdtContent>
          <w:r w:rsidR="005906FD" w:rsidRPr="005906FD">
            <w:rPr>
              <w:rFonts w:ascii="Arial" w:hAnsi="Arial" w:cs="Arial"/>
              <w:color w:val="000000"/>
            </w:rPr>
            <w:t>(van Laar et al., 2017)</w:t>
          </w:r>
        </w:sdtContent>
      </w:sdt>
      <w:r w:rsidRPr="00B901CA">
        <w:rPr>
          <w:rFonts w:ascii="Arial" w:hAnsi="Arial" w:cs="Arial"/>
        </w:rPr>
        <w:t xml:space="preserve">. For the agricultural sector, this is a crucial insight. It reframes digital literacy training not as a remedial action, but as a strategic investment in human capital essential for rural development </w:t>
      </w:r>
      <w:sdt>
        <w:sdtPr>
          <w:rPr>
            <w:rFonts w:ascii="Arial" w:hAnsi="Arial" w:cs="Arial"/>
            <w:color w:val="000000"/>
          </w:rPr>
          <w:tag w:val="MENDELEY_CITATION_v3_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"/>
          <w:id w:val="-1911763112"/>
          <w:placeholder>
            <w:docPart w:val="DefaultPlaceholder_-1854013440"/>
          </w:placeholder>
        </w:sdtPr>
        <w:sdtContent>
          <w:r w:rsidR="005906FD" w:rsidRPr="005906FD">
            <w:rPr>
              <w:rFonts w:ascii="Arial" w:hAnsi="Arial" w:cs="Arial"/>
              <w:color w:val="000000"/>
            </w:rPr>
            <w:t>(Shatila et al., 2025)</w:t>
          </w:r>
        </w:sdtContent>
      </w:sdt>
      <w:r w:rsidRPr="00B901CA">
        <w:rPr>
          <w:rFonts w:ascii="Arial" w:hAnsi="Arial" w:cs="Arial"/>
        </w:rPr>
        <w:t xml:space="preserve">. By enhancing their own competencies, these extension workers are better equipped to act as catalysts for digital transformation at the farm level, thereby addressing a critical bottleneck in the modernization of the agricultural sector </w:t>
      </w:r>
      <w:sdt>
        <w:sdtPr>
          <w:rPr>
            <w:rFonts w:ascii="Arial" w:hAnsi="Arial" w:cs="Arial"/>
            <w:color w:val="000000"/>
          </w:rPr>
          <w:tag w:val="MENDELEY_CITATION_v3_eyJjaXRhdGlvbklEIjoiTUVOREVMRVlfQ0lUQVRJT05fNmY4N2I3NDEtZDk1OC00NDExLWE2OGEtMDRkMGQ0OWUzNzdk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
          <w:id w:val="1113793170"/>
          <w:placeholder>
            <w:docPart w:val="DefaultPlaceholder_-1854013440"/>
          </w:placeholder>
        </w:sdtPr>
        <w:sdtContent>
          <w:r w:rsidR="005906FD" w:rsidRPr="005906FD">
            <w:rPr>
              <w:rFonts w:ascii="Arial" w:hAnsi="Arial" w:cs="Arial"/>
              <w:color w:val="000000"/>
            </w:rPr>
            <w:t>(Klerkx et al., 2019)</w:t>
          </w:r>
        </w:sdtContent>
      </w:sdt>
      <w:r w:rsidRPr="00B901CA">
        <w:rPr>
          <w:rFonts w:ascii="Arial" w:hAnsi="Arial" w:cs="Arial"/>
        </w:rPr>
        <w:t>.</w:t>
      </w:r>
    </w:p>
    <w:p w14:paraId="15BEBFCB" w14:textId="77777777" w:rsidR="00B901CA" w:rsidRDefault="00B901CA" w:rsidP="00B901CA">
      <w:pPr>
        <w:pStyle w:val="Body"/>
        <w:spacing w:after="0"/>
        <w:rPr>
          <w:rFonts w:ascii="Arial" w:hAnsi="Arial" w:cs="Arial"/>
        </w:rPr>
      </w:pPr>
    </w:p>
    <w:p w14:paraId="04B5551C" w14:textId="77777777" w:rsidR="00D05D79" w:rsidRDefault="00D05D79" w:rsidP="00B901CA">
      <w:pPr>
        <w:pStyle w:val="Body"/>
        <w:spacing w:after="0"/>
        <w:rPr>
          <w:rFonts w:ascii="Arial" w:hAnsi="Arial" w:cs="Arial"/>
        </w:rPr>
      </w:pPr>
    </w:p>
    <w:p w14:paraId="475E8A7A" w14:textId="2E80B6AE" w:rsidR="00486F93" w:rsidRPr="00486F93" w:rsidRDefault="00486F93" w:rsidP="00D05D79">
      <w:pPr>
        <w:pStyle w:val="Body"/>
        <w:spacing w:after="0"/>
        <w:rPr>
          <w:rFonts w:ascii="Arial" w:hAnsi="Arial" w:cs="Arial"/>
          <w:b/>
          <w:bCs/>
          <w:sz w:val="22"/>
          <w:szCs w:val="22"/>
        </w:rPr>
      </w:pPr>
      <w:r w:rsidRPr="00486F93">
        <w:rPr>
          <w:rFonts w:ascii="Arial" w:hAnsi="Arial" w:cs="Arial"/>
          <w:b/>
          <w:bCs/>
          <w:sz w:val="22"/>
          <w:szCs w:val="22"/>
        </w:rPr>
        <w:t>3.3 Comparison of Online vs. Blended Learning</w:t>
      </w:r>
    </w:p>
    <w:p w14:paraId="17C45824" w14:textId="52F4D8FC" w:rsidR="00486F93" w:rsidRDefault="00486F93" w:rsidP="00486F93">
      <w:pPr>
        <w:pStyle w:val="Body"/>
        <w:rPr>
          <w:rFonts w:ascii="Arial" w:hAnsi="Arial" w:cs="Arial"/>
        </w:rPr>
      </w:pPr>
      <w:r w:rsidRPr="00486F93">
        <w:rPr>
          <w:rFonts w:ascii="Arial" w:hAnsi="Arial" w:cs="Arial"/>
        </w:rPr>
        <w:t xml:space="preserve">To deconstruct the significant interaction effect and directly compare the two training methods, a post-hoc analysis was performed on the score improvements. As detailed in Table </w:t>
      </w:r>
      <w:r w:rsidR="00EA14C0">
        <w:rPr>
          <w:rFonts w:ascii="Arial" w:hAnsi="Arial" w:cs="Arial"/>
        </w:rPr>
        <w:t>5</w:t>
      </w:r>
      <w:r w:rsidRPr="00486F93">
        <w:rPr>
          <w:rFonts w:ascii="Arial" w:hAnsi="Arial" w:cs="Arial"/>
        </w:rPr>
        <w:t>, both the online-only (</w:t>
      </w:r>
      <w:r w:rsidRPr="00486F93">
        <w:rPr>
          <w:rFonts w:ascii="Arial" w:hAnsi="Arial" w:cs="Arial"/>
          <w:b/>
          <w:bCs/>
          <w:i/>
          <w:iCs/>
        </w:rPr>
        <w:t>P</w:t>
      </w:r>
      <w:r w:rsidR="00034D86">
        <w:rPr>
          <w:rFonts w:ascii="Arial" w:hAnsi="Arial" w:cs="Arial"/>
        </w:rPr>
        <w:t xml:space="preserve"> =</w:t>
      </w:r>
      <w:r w:rsidRPr="00486F93">
        <w:rPr>
          <w:rFonts w:ascii="Arial" w:hAnsi="Arial" w:cs="Arial"/>
        </w:rPr>
        <w:t xml:space="preserve"> .001) and blended learning (</w:t>
      </w:r>
      <w:r w:rsidRPr="00486F93">
        <w:rPr>
          <w:rFonts w:ascii="Arial" w:hAnsi="Arial" w:cs="Arial"/>
          <w:b/>
          <w:bCs/>
          <w:i/>
          <w:iCs/>
        </w:rPr>
        <w:t>P</w:t>
      </w:r>
      <w:r w:rsidRPr="00486F93">
        <w:rPr>
          <w:rFonts w:ascii="Arial" w:hAnsi="Arial" w:cs="Arial"/>
        </w:rPr>
        <w:t xml:space="preserve"> = .004) groups significantly outperformed the control group.</w:t>
      </w:r>
    </w:p>
    <w:p w14:paraId="68007C08" w14:textId="785CF4E4" w:rsidR="00486F93" w:rsidRPr="00486F93" w:rsidRDefault="00486F93" w:rsidP="00486F93">
      <w:pPr>
        <w:tabs>
          <w:tab w:val="left" w:pos="906"/>
        </w:tabs>
        <w:jc w:val="both"/>
        <w:rPr>
          <w:rFonts w:ascii="Arial" w:hAnsi="Arial" w:cs="Arial"/>
          <w:b/>
          <w:bCs/>
          <w:iCs/>
        </w:rPr>
      </w:pPr>
      <w:r w:rsidRPr="00486F93">
        <w:rPr>
          <w:rFonts w:ascii="Arial" w:hAnsi="Arial" w:cs="Arial"/>
          <w:b/>
          <w:bCs/>
          <w:iCs/>
        </w:rPr>
        <w:t xml:space="preserve">Table </w:t>
      </w:r>
      <w:r w:rsidR="00EA14C0">
        <w:rPr>
          <w:rFonts w:ascii="Arial" w:hAnsi="Arial" w:cs="Arial"/>
          <w:b/>
          <w:bCs/>
          <w:iCs/>
        </w:rPr>
        <w:t>5</w:t>
      </w:r>
      <w:r w:rsidRPr="00486F93">
        <w:rPr>
          <w:rFonts w:ascii="Arial" w:hAnsi="Arial" w:cs="Arial"/>
          <w:b/>
          <w:bCs/>
          <w:iCs/>
        </w:rPr>
        <w:t>. Post-Hoc comparisons of score improvement across groups</w:t>
      </w:r>
    </w:p>
    <w:tbl>
      <w:tblPr>
        <w:tblStyle w:val="PlainTable2"/>
        <w:tblW w:w="8330" w:type="dxa"/>
        <w:tblLook w:val="04A0" w:firstRow="1" w:lastRow="0" w:firstColumn="1" w:lastColumn="0" w:noHBand="0" w:noVBand="1"/>
      </w:tblPr>
      <w:tblGrid>
        <w:gridCol w:w="3085"/>
        <w:gridCol w:w="1843"/>
        <w:gridCol w:w="1559"/>
        <w:gridCol w:w="1843"/>
      </w:tblGrid>
      <w:tr w:rsidR="00486F93" w:rsidRPr="00486F93" w14:paraId="23A5DB7D" w14:textId="77777777" w:rsidTr="00486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hideMark/>
          </w:tcPr>
          <w:p w14:paraId="75A33CDC" w14:textId="57473A81" w:rsidR="00486F93" w:rsidRPr="00486F93" w:rsidRDefault="00486F93" w:rsidP="00666F65">
            <w:pPr>
              <w:jc w:val="center"/>
              <w:rPr>
                <w:rFonts w:ascii="Arial" w:hAnsi="Arial" w:cs="Arial"/>
                <w:caps/>
                <w:color w:val="000000" w:themeColor="text1"/>
              </w:rPr>
            </w:pPr>
            <w:r w:rsidRPr="00486F93">
              <w:rPr>
                <w:rFonts w:ascii="Arial" w:hAnsi="Arial" w:cs="Arial"/>
                <w:color w:val="000000" w:themeColor="text1"/>
              </w:rPr>
              <w:t>Comparison</w:t>
            </w:r>
          </w:p>
        </w:tc>
        <w:tc>
          <w:tcPr>
            <w:tcW w:w="1843" w:type="dxa"/>
            <w:hideMark/>
          </w:tcPr>
          <w:p w14:paraId="1262AABA" w14:textId="47611F90" w:rsidR="00486F93" w:rsidRPr="00486F93" w:rsidRDefault="00486F93"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486F93">
              <w:rPr>
                <w:rFonts w:ascii="Arial" w:hAnsi="Arial" w:cs="Arial"/>
                <w:color w:val="000000" w:themeColor="text1"/>
              </w:rPr>
              <w:t>Mean Difference in Improvement</w:t>
            </w:r>
          </w:p>
        </w:tc>
        <w:tc>
          <w:tcPr>
            <w:tcW w:w="1559" w:type="dxa"/>
            <w:hideMark/>
          </w:tcPr>
          <w:p w14:paraId="6E3C5D23" w14:textId="2619DA79" w:rsidR="00486F93" w:rsidRPr="00486F93" w:rsidRDefault="00486F93"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486F93">
              <w:rPr>
                <w:rFonts w:ascii="Arial" w:hAnsi="Arial" w:cs="Arial"/>
                <w:i/>
                <w:iCs/>
                <w:color w:val="000000" w:themeColor="text1"/>
              </w:rPr>
              <w:t>P</w:t>
            </w:r>
            <w:r w:rsidRPr="00486F93">
              <w:rPr>
                <w:rFonts w:ascii="Arial" w:hAnsi="Arial" w:cs="Arial"/>
                <w:color w:val="000000" w:themeColor="text1"/>
              </w:rPr>
              <w:t>-Value</w:t>
            </w:r>
          </w:p>
        </w:tc>
        <w:tc>
          <w:tcPr>
            <w:tcW w:w="1843" w:type="dxa"/>
            <w:hideMark/>
          </w:tcPr>
          <w:p w14:paraId="1CCDF111" w14:textId="71BA9C62" w:rsidR="00486F93" w:rsidRPr="00486F93" w:rsidRDefault="00486F93"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486F93">
              <w:rPr>
                <w:rFonts w:ascii="Arial" w:hAnsi="Arial" w:cs="Arial"/>
                <w:color w:val="000000" w:themeColor="text1"/>
              </w:rPr>
              <w:t>Conclusion</w:t>
            </w:r>
          </w:p>
        </w:tc>
      </w:tr>
      <w:tr w:rsidR="00486F93" w:rsidRPr="00486F93" w14:paraId="1FBECF16" w14:textId="77777777" w:rsidTr="00486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hideMark/>
          </w:tcPr>
          <w:p w14:paraId="2CE21ABC" w14:textId="0DF24D30" w:rsidR="00486F93" w:rsidRPr="00034D86" w:rsidRDefault="00486F93"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Online (T1) vs. Control (T0)</w:t>
            </w:r>
          </w:p>
        </w:tc>
        <w:tc>
          <w:tcPr>
            <w:tcW w:w="1843" w:type="dxa"/>
            <w:hideMark/>
          </w:tcPr>
          <w:p w14:paraId="79286D58" w14:textId="77777777"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15.15</w:t>
            </w:r>
          </w:p>
        </w:tc>
        <w:tc>
          <w:tcPr>
            <w:tcW w:w="1559" w:type="dxa"/>
            <w:hideMark/>
          </w:tcPr>
          <w:p w14:paraId="1EF7BB03" w14:textId="514185CC"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bdr w:val="single" w:sz="2" w:space="0" w:color="FFFFFF" w:frame="1"/>
              </w:rPr>
              <w:t>.001</w:t>
            </w:r>
          </w:p>
        </w:tc>
        <w:tc>
          <w:tcPr>
            <w:tcW w:w="1843" w:type="dxa"/>
            <w:hideMark/>
          </w:tcPr>
          <w:p w14:paraId="20CE271A" w14:textId="77777777"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bdr w:val="single" w:sz="2" w:space="0" w:color="FFFFFF" w:frame="1"/>
              </w:rPr>
              <w:t>Significant</w:t>
            </w:r>
          </w:p>
        </w:tc>
      </w:tr>
      <w:tr w:rsidR="00486F93" w:rsidRPr="00486F93" w14:paraId="12C5978D" w14:textId="77777777" w:rsidTr="00486F93">
        <w:tc>
          <w:tcPr>
            <w:cnfStyle w:val="001000000000" w:firstRow="0" w:lastRow="0" w:firstColumn="1" w:lastColumn="0" w:oddVBand="0" w:evenVBand="0" w:oddHBand="0" w:evenHBand="0" w:firstRowFirstColumn="0" w:firstRowLastColumn="0" w:lastRowFirstColumn="0" w:lastRowLastColumn="0"/>
            <w:tcW w:w="3085" w:type="dxa"/>
            <w:hideMark/>
          </w:tcPr>
          <w:p w14:paraId="761B5322" w14:textId="0AEC36CE" w:rsidR="00486F93" w:rsidRPr="00034D86" w:rsidRDefault="00486F93"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Blended (T2) vs. Control (T0)</w:t>
            </w:r>
          </w:p>
        </w:tc>
        <w:tc>
          <w:tcPr>
            <w:tcW w:w="1843" w:type="dxa"/>
            <w:hideMark/>
          </w:tcPr>
          <w:p w14:paraId="11513EE2" w14:textId="77777777" w:rsidR="00486F93" w:rsidRPr="00034D86" w:rsidRDefault="00486F93"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11.07</w:t>
            </w:r>
          </w:p>
        </w:tc>
        <w:tc>
          <w:tcPr>
            <w:tcW w:w="1559" w:type="dxa"/>
            <w:hideMark/>
          </w:tcPr>
          <w:p w14:paraId="74E61D6B" w14:textId="77777777" w:rsidR="00486F93" w:rsidRPr="00034D86" w:rsidRDefault="00486F93"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bdr w:val="single" w:sz="2" w:space="0" w:color="FFFFFF" w:frame="1"/>
              </w:rPr>
              <w:t>.004</w:t>
            </w:r>
          </w:p>
        </w:tc>
        <w:tc>
          <w:tcPr>
            <w:tcW w:w="1843" w:type="dxa"/>
            <w:hideMark/>
          </w:tcPr>
          <w:p w14:paraId="3B03905A" w14:textId="77777777" w:rsidR="00486F93" w:rsidRPr="00034D86" w:rsidRDefault="00486F93"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bdr w:val="single" w:sz="2" w:space="0" w:color="FFFFFF" w:frame="1"/>
              </w:rPr>
              <w:t>Significant</w:t>
            </w:r>
          </w:p>
        </w:tc>
      </w:tr>
      <w:tr w:rsidR="00486F93" w:rsidRPr="00486F93" w14:paraId="4EDD788C" w14:textId="77777777" w:rsidTr="00486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hideMark/>
          </w:tcPr>
          <w:p w14:paraId="4153C14F" w14:textId="77777777" w:rsidR="00486F93" w:rsidRPr="00034D86" w:rsidRDefault="00486F93"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Online (T1) vs. Blended (T2)</w:t>
            </w:r>
          </w:p>
        </w:tc>
        <w:tc>
          <w:tcPr>
            <w:tcW w:w="1843" w:type="dxa"/>
            <w:hideMark/>
          </w:tcPr>
          <w:p w14:paraId="452BB94F" w14:textId="77777777"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4.08</w:t>
            </w:r>
          </w:p>
        </w:tc>
        <w:tc>
          <w:tcPr>
            <w:tcW w:w="1559" w:type="dxa"/>
            <w:hideMark/>
          </w:tcPr>
          <w:p w14:paraId="3970DBB9" w14:textId="717D5818"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.47</w:t>
            </w:r>
          </w:p>
        </w:tc>
        <w:tc>
          <w:tcPr>
            <w:tcW w:w="1843" w:type="dxa"/>
            <w:hideMark/>
          </w:tcPr>
          <w:p w14:paraId="39AA21BF" w14:textId="77777777"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Not Significant</w:t>
            </w:r>
          </w:p>
        </w:tc>
      </w:tr>
    </w:tbl>
    <w:p w14:paraId="22900FD5" w14:textId="77777777" w:rsidR="00533F10" w:rsidRDefault="00533F10" w:rsidP="00486F93">
      <w:pPr>
        <w:pStyle w:val="Body"/>
        <w:spacing w:after="0"/>
        <w:rPr>
          <w:rFonts w:ascii="Arial" w:hAnsi="Arial" w:cs="Arial"/>
        </w:rPr>
      </w:pPr>
    </w:p>
    <w:p w14:paraId="21810CA3" w14:textId="6BF20CFB" w:rsidR="00074DB7" w:rsidRDefault="00074DB7" w:rsidP="00783D73">
      <w:pPr>
        <w:pStyle w:val="Body"/>
        <w:spacing w:after="0"/>
        <w:rPr>
          <w:rFonts w:ascii="Arial" w:hAnsi="Arial" w:cs="Arial"/>
        </w:rPr>
      </w:pPr>
      <w:r w:rsidRPr="00074DB7">
        <w:rPr>
          <w:rFonts w:ascii="Arial" w:hAnsi="Arial" w:cs="Arial"/>
        </w:rPr>
        <w:t xml:space="preserve">The central finding of this study is the lack of a statistically significant difference in learning outcomes between the online-only and blended learning groups (P = .470). </w:t>
      </w:r>
      <w:r w:rsidR="009E6539" w:rsidRPr="009E6539">
        <w:rPr>
          <w:rFonts w:ascii="Arial" w:hAnsi="Arial" w:cs="Arial"/>
        </w:rPr>
        <w:t xml:space="preserve">This result is consistent with a substantial body of educational research, often termed the "no significant difference" phenomenon, which has repeatedly demonstrated that well-designed, technology-mediated instruction can yield learning outcomes comparable to those of traditional or blended formats </w:t>
      </w:r>
      <w:sdt>
        <w:sdtPr>
          <w:rPr>
            <w:rFonts w:ascii="Arial" w:hAnsi="Arial" w:cs="Arial"/>
            <w:color w:val="000000"/>
          </w:rPr>
          <w:tag w:val="MENDELEY_CITATION_v3_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X1dfQ=="/>
          <w:id w:val="-1872602964"/>
          <w:placeholder>
            <w:docPart w:val="DefaultPlaceholder_-1854013440"/>
          </w:placeholder>
        </w:sdtPr>
        <w:sdtContent>
          <w:r w:rsidR="005906FD" w:rsidRPr="005906FD">
            <w:rPr>
              <w:rFonts w:ascii="Arial" w:hAnsi="Arial" w:cs="Arial"/>
              <w:color w:val="000000"/>
            </w:rPr>
            <w:t>(Bernard et al., 2009; Layton, 1999; Means et al., 2013)</w:t>
          </w:r>
        </w:sdtContent>
      </w:sdt>
      <w:r w:rsidRPr="00074DB7">
        <w:rPr>
          <w:rFonts w:ascii="Arial" w:hAnsi="Arial" w:cs="Arial"/>
        </w:rPr>
        <w:t xml:space="preserve"> This study provides crucial empirical evidence that this phenomenon extends to the professional development context of agricultural extension workers in a developing country, suggesting that the choice of delivery mode may be less critical than the quality of the instructional design and support provided.</w:t>
      </w:r>
    </w:p>
    <w:p w14:paraId="1B00D7D7" w14:textId="77777777" w:rsidR="00783D73" w:rsidRPr="00074DB7" w:rsidRDefault="00783D73" w:rsidP="00783D73">
      <w:pPr>
        <w:pStyle w:val="Body"/>
        <w:spacing w:after="0"/>
        <w:rPr>
          <w:rFonts w:ascii="Arial" w:hAnsi="Arial" w:cs="Arial"/>
        </w:rPr>
      </w:pPr>
    </w:p>
    <w:p w14:paraId="08F5D5D3" w14:textId="7EB7B1F3" w:rsidR="00287018" w:rsidRDefault="00287018" w:rsidP="00287018">
      <w:pPr>
        <w:pStyle w:val="Body"/>
        <w:spacing w:after="0"/>
        <w:rPr>
          <w:rFonts w:ascii="Arial" w:hAnsi="Arial" w:cs="Arial"/>
        </w:rPr>
      </w:pPr>
      <w:r w:rsidRPr="00287018">
        <w:rPr>
          <w:rFonts w:ascii="Arial" w:hAnsi="Arial" w:cs="Arial"/>
        </w:rPr>
        <w:t xml:space="preserve">Several factors, rooted in the context of adult professional learning, may explain this counterintuitive result. A primary explanation lies in the principle of learner autonomy, a cornerstone of andragogy which posits that adult learners are most effective when they have control over their own learning process </w:t>
      </w:r>
      <w:sdt>
        <w:sdtPr>
          <w:rPr>
            <w:rFonts w:ascii="Arial" w:hAnsi="Arial" w:cs="Arial"/>
            <w:color w:val="000000"/>
          </w:rPr>
          <w:tag w:val="MENDELEY_CITATION_v3_eyJjaXRhdGlvbklEIjoiTUVOREVMRVlfQ0lUQVRJT05fYjRiNGVkZTMtODdjZi00ZjY2LWJjMzYtNTRjNDE3NWYyMzA1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
          <w:id w:val="1950746038"/>
          <w:placeholder>
            <w:docPart w:val="DefaultPlaceholder_-1854013440"/>
          </w:placeholder>
        </w:sdtPr>
        <w:sdtContent>
          <w:r w:rsidR="005906FD" w:rsidRPr="005906FD">
            <w:rPr>
              <w:rFonts w:ascii="Arial" w:hAnsi="Arial" w:cs="Arial"/>
              <w:color w:val="000000"/>
            </w:rPr>
            <w:t>(Knowles et al., 2014)</w:t>
          </w:r>
        </w:sdtContent>
      </w:sdt>
      <w:r w:rsidRPr="00287018">
        <w:rPr>
          <w:rFonts w:ascii="Arial" w:hAnsi="Arial" w:cs="Arial"/>
        </w:rPr>
        <w:t xml:space="preserve">. For a self-motivated professional audience like extension workers, the flexibility to engage with high-quality learning materials at their own pace and convenience is paramount, a strength consistently attributed to asynchronous online learning </w:t>
      </w:r>
      <w:sdt>
        <w:sdtPr>
          <w:rPr>
            <w:rFonts w:ascii="Arial" w:hAnsi="Arial" w:cs="Arial"/>
            <w:color w:val="000000"/>
          </w:rPr>
          <w:tag w:val="MENDELEY_CITATION_v3_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"/>
          <w:id w:val="14967924"/>
          <w:placeholder>
            <w:docPart w:val="DefaultPlaceholder_-1854013440"/>
          </w:placeholder>
        </w:sdtPr>
        <w:sdtContent>
          <w:r w:rsidR="005906FD" w:rsidRPr="005906FD">
            <w:rPr>
              <w:rFonts w:ascii="Arial" w:hAnsi="Arial" w:cs="Arial"/>
              <w:color w:val="000000"/>
            </w:rPr>
            <w:t>(</w:t>
          </w:r>
          <w:proofErr w:type="spellStart"/>
          <w:r w:rsidR="005906FD" w:rsidRPr="005906FD">
            <w:rPr>
              <w:rFonts w:ascii="Arial" w:hAnsi="Arial" w:cs="Arial"/>
              <w:color w:val="000000"/>
            </w:rPr>
            <w:t>Hrastinski</w:t>
          </w:r>
          <w:proofErr w:type="spellEnd"/>
          <w:r w:rsidR="005906FD" w:rsidRPr="005906FD">
            <w:rPr>
              <w:rFonts w:ascii="Arial" w:hAnsi="Arial" w:cs="Arial"/>
              <w:color w:val="000000"/>
            </w:rPr>
            <w:t>, 2008)</w:t>
          </w:r>
        </w:sdtContent>
      </w:sdt>
      <w:r w:rsidRPr="00287018">
        <w:rPr>
          <w:rFonts w:ascii="Arial" w:hAnsi="Arial" w:cs="Arial"/>
        </w:rPr>
        <w:t>. The asynchronous online component, which was the core of both interventions, catered directly to this need.</w:t>
      </w:r>
    </w:p>
    <w:p w14:paraId="62A50C4B" w14:textId="77777777" w:rsidR="00287018" w:rsidRPr="00287018" w:rsidRDefault="00287018" w:rsidP="00287018">
      <w:pPr>
        <w:pStyle w:val="Body"/>
        <w:spacing w:after="0"/>
        <w:rPr>
          <w:rFonts w:ascii="Arial" w:hAnsi="Arial" w:cs="Arial"/>
        </w:rPr>
      </w:pPr>
    </w:p>
    <w:p w14:paraId="7F43529A" w14:textId="05EE6AB6" w:rsidR="00287018" w:rsidRDefault="00287018" w:rsidP="00287018">
      <w:pPr>
        <w:pStyle w:val="Body"/>
        <w:spacing w:after="0"/>
        <w:rPr>
          <w:rFonts w:ascii="Arial" w:hAnsi="Arial" w:cs="Arial"/>
        </w:rPr>
      </w:pPr>
      <w:r w:rsidRPr="00287018">
        <w:rPr>
          <w:rFonts w:ascii="Arial" w:hAnsi="Arial" w:cs="Arial"/>
        </w:rPr>
        <w:t xml:space="preserve">A second plausible explanation is the concept of 'forced immersion' experienced by the online-only group. For this cohort, the </w:t>
      </w:r>
      <w:proofErr w:type="spellStart"/>
      <w:r w:rsidRPr="00287018">
        <w:rPr>
          <w:rFonts w:ascii="Arial" w:hAnsi="Arial" w:cs="Arial"/>
        </w:rPr>
        <w:t>Lentera</w:t>
      </w:r>
      <w:proofErr w:type="spellEnd"/>
      <w:r w:rsidRPr="00287018">
        <w:rPr>
          <w:rFonts w:ascii="Arial" w:hAnsi="Arial" w:cs="Arial"/>
        </w:rPr>
        <w:t xml:space="preserve"> DESA platform was not merely a supplementary tool but the exclusive environment for all learning activities. This necessity to immediately navigate and utilize the digital learning environment may have accelerated their comfort and proficiency, a phenomenon sometimes referred to as 'learning by doing' or situated learning, where knowledge is acquired in the context of its application</w:t>
      </w:r>
      <w:r w:rsidR="005C61E8">
        <w:rPr>
          <w:rFonts w:ascii="Arial" w:hAnsi="Arial" w:cs="Arial"/>
        </w:rPr>
        <w:t xml:space="preserve"> </w:t>
      </w:r>
      <w:sdt>
        <w:sdtPr>
          <w:rPr>
            <w:rFonts w:ascii="Arial" w:hAnsi="Arial" w:cs="Arial"/>
            <w:color w:val="000000"/>
          </w:rPr>
          <w:tag w:val="MENDELEY_CITATION_v3_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"/>
          <w:id w:val="-474991097"/>
          <w:placeholder>
            <w:docPart w:val="DefaultPlaceholder_-1854013440"/>
          </w:placeholder>
        </w:sdtPr>
        <w:sdtContent>
          <w:r w:rsidR="005906FD" w:rsidRPr="005906FD">
            <w:rPr>
              <w:color w:val="000000"/>
            </w:rPr>
            <w:t>(Lave &amp; Wenger, 1991)</w:t>
          </w:r>
        </w:sdtContent>
      </w:sdt>
      <w:r w:rsidRPr="00287018">
        <w:rPr>
          <w:rFonts w:ascii="Arial" w:hAnsi="Arial" w:cs="Arial"/>
        </w:rPr>
        <w:t>. This created a more intensive and integrated learning experience compared to the blended group, for whom the platform was initially positioned as the "homework" component following a familiar offline session.</w:t>
      </w:r>
    </w:p>
    <w:p w14:paraId="3BF88A27" w14:textId="77777777" w:rsidR="00287018" w:rsidRDefault="00287018" w:rsidP="00287018">
      <w:pPr>
        <w:pStyle w:val="Body"/>
        <w:spacing w:after="0"/>
        <w:rPr>
          <w:rFonts w:ascii="Arial" w:hAnsi="Arial" w:cs="Arial"/>
        </w:rPr>
      </w:pPr>
    </w:p>
    <w:p w14:paraId="1BA95123" w14:textId="3C7E066A" w:rsidR="00790ADA" w:rsidRDefault="004B0185" w:rsidP="00441B6F">
      <w:pPr>
        <w:pStyle w:val="Body"/>
        <w:spacing w:after="0"/>
        <w:rPr>
          <w:rFonts w:ascii="Arial" w:hAnsi="Arial" w:cs="Arial"/>
        </w:rPr>
      </w:pPr>
      <w:r w:rsidRPr="004B0185">
        <w:rPr>
          <w:rFonts w:ascii="Arial" w:hAnsi="Arial" w:cs="Arial"/>
        </w:rPr>
        <w:t xml:space="preserve">This finding has profound practical and strategic implications for agricultural organizations and policymakers. Given that the online model achieved comparable outcomes, it presents a more cost-effective and scalable pathway for capacity building, a benefit of e-learning widely cited in the literature, particularly for resource-constrained contexts </w:t>
      </w:r>
      <w:sdt>
        <w:sdtPr>
          <w:rPr>
            <w:rFonts w:ascii="Arial" w:hAnsi="Arial" w:cs="Arial"/>
            <w:color w:val="000000"/>
          </w:rPr>
          <w:tag w:val="MENDELEY_CITATION_v3_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"/>
          <w:id w:val="1318835325"/>
          <w:placeholder>
            <w:docPart w:val="DefaultPlaceholder_-1854013440"/>
          </w:placeholder>
        </w:sdtPr>
        <w:sdtContent>
          <w:r w:rsidR="005906FD" w:rsidRPr="005906FD">
            <w:rPr>
              <w:rFonts w:ascii="Arial" w:hAnsi="Arial" w:cs="Arial"/>
              <w:color w:val="000000"/>
            </w:rPr>
            <w:t>(</w:t>
          </w:r>
          <w:proofErr w:type="spellStart"/>
          <w:r w:rsidR="005906FD" w:rsidRPr="005906FD">
            <w:rPr>
              <w:rFonts w:ascii="Arial" w:hAnsi="Arial" w:cs="Arial"/>
              <w:color w:val="000000"/>
            </w:rPr>
            <w:t>Arkorful</w:t>
          </w:r>
          <w:proofErr w:type="spellEnd"/>
          <w:r w:rsidR="005906FD" w:rsidRPr="005906FD">
            <w:rPr>
              <w:rFonts w:ascii="Arial" w:hAnsi="Arial" w:cs="Arial"/>
              <w:color w:val="000000"/>
            </w:rPr>
            <w:t>, 2014)</w:t>
          </w:r>
        </w:sdtContent>
      </w:sdt>
      <w:r w:rsidRPr="004B0185">
        <w:rPr>
          <w:rFonts w:ascii="Arial" w:hAnsi="Arial" w:cs="Arial"/>
        </w:rPr>
        <w:t xml:space="preserve">. Fully online training can overcome geographical barriers and reduce logistical costs associated with travel and venues, enabling a </w:t>
      </w:r>
      <w:r w:rsidR="00C056E4">
        <w:rPr>
          <w:rFonts w:ascii="Arial" w:hAnsi="Arial" w:cs="Arial"/>
        </w:rPr>
        <w:t>broa</w:t>
      </w:r>
      <w:r w:rsidRPr="004B0185">
        <w:rPr>
          <w:rFonts w:ascii="Arial" w:hAnsi="Arial" w:cs="Arial"/>
        </w:rPr>
        <w:t xml:space="preserve">der and more equitable reach to extension workers in remote areas </w:t>
      </w:r>
      <w:sdt>
        <w:sdtPr>
          <w:rPr>
            <w:rFonts w:ascii="Arial" w:hAnsi="Arial" w:cs="Arial"/>
            <w:color w:val="000000"/>
          </w:rPr>
          <w:tag w:val="MENDELEY_CITATION_v3_eyJjaXRhdGlvbklEIjoiTUVOREVMRVlfQ0lUQVRJT05fOTRjZDJkYmMtZmU0MS00NzE1LWI2YmMtOTZkZjViZWE5MDA5IiwicHJvcGVydGllcyI6eyJub3RlSW5kZXgiOjB9LCJpc0VkaXRlZCI6ZmFsc2UsIm1hbnVhbE92ZXJyaWRlIjp7ImlzTWFudWFsbHlPdmVycmlkZGVuIjpmYWxzZSwiY2l0ZXByb2NUZXh0IjoiKERoYXdhbiwgMjAyMGIpIiwibWFudWFsT3ZlcnJpZGVUZXh0IjoiIn0sImNpdGF0aW9uSXRlbXMiOlt7ImlkIjoiNzYwZGQ5ZGItNGY0MS0zYzM5LTk1Y2QtYzkwODMxOGRjMjU4IiwiaXRlbURhdGEiOnsidHlwZSI6ImFydGljbGUtam91cm5hbCIsImlkIjoiNzYwZGQ5ZGItNGY0MS0zYzM5LTk1Y2QtYzkwODMxOGRjMjU4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
          <w:id w:val="-76684020"/>
          <w:placeholder>
            <w:docPart w:val="DefaultPlaceholder_-1854013440"/>
          </w:placeholder>
        </w:sdtPr>
        <w:sdtContent>
          <w:r w:rsidR="005906FD" w:rsidRPr="005906FD">
            <w:rPr>
              <w:rFonts w:ascii="Arial" w:hAnsi="Arial" w:cs="Arial"/>
              <w:color w:val="000000"/>
            </w:rPr>
            <w:t>(Dhawan, 2020b)</w:t>
          </w:r>
        </w:sdtContent>
      </w:sdt>
      <w:r w:rsidRPr="004B0185">
        <w:rPr>
          <w:rFonts w:ascii="Arial" w:hAnsi="Arial" w:cs="Arial"/>
        </w:rPr>
        <w:t xml:space="preserve">. The results strongly suggest that institutional investment should be prioritized not on the perceived superiority of face-to-face contact, but on developing high-quality, engaging asynchronous learning materials and establishing robust </w:t>
      </w:r>
      <w:r w:rsidRPr="004B0185">
        <w:rPr>
          <w:rFonts w:ascii="Arial" w:hAnsi="Arial" w:cs="Arial"/>
        </w:rPr>
        <w:lastRenderedPageBreak/>
        <w:t xml:space="preserve">remote support systems. The use of dedicated WhatsApp groups, for instance, likely fostered a sense of social presence and provided timely support, which are well-established critical success factors in online learning environments </w:t>
      </w:r>
      <w:sdt>
        <w:sdtPr>
          <w:rPr>
            <w:rFonts w:ascii="Arial" w:hAnsi="Arial" w:cs="Arial"/>
            <w:color w:val="000000"/>
          </w:rPr>
          <w:tag w:val="MENDELEY_CITATION_v3_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"/>
          <w:id w:val="-1789189637"/>
          <w:placeholder>
            <w:docPart w:val="DefaultPlaceholder_-1854013440"/>
          </w:placeholder>
        </w:sdtPr>
        <w:sdtContent>
          <w:r w:rsidR="005906FD" w:rsidRPr="005906FD">
            <w:rPr>
              <w:rFonts w:ascii="Arial" w:hAnsi="Arial" w:cs="Arial"/>
              <w:color w:val="000000"/>
            </w:rPr>
            <w:t xml:space="preserve">(Kim et al., 2014; </w:t>
          </w:r>
          <w:proofErr w:type="spellStart"/>
          <w:r w:rsidR="005906FD" w:rsidRPr="005906FD">
            <w:rPr>
              <w:rFonts w:ascii="Arial" w:hAnsi="Arial" w:cs="Arial"/>
              <w:color w:val="000000"/>
            </w:rPr>
            <w:t>Rochmawati</w:t>
          </w:r>
          <w:proofErr w:type="spellEnd"/>
          <w:r w:rsidR="005906FD" w:rsidRPr="005906FD">
            <w:rPr>
              <w:rFonts w:ascii="Arial" w:hAnsi="Arial" w:cs="Arial"/>
              <w:color w:val="000000"/>
            </w:rPr>
            <w:t>, 2023)</w:t>
          </w:r>
        </w:sdtContent>
      </w:sdt>
      <w:r w:rsidRPr="004B0185">
        <w:rPr>
          <w:rFonts w:ascii="Arial" w:hAnsi="Arial" w:cs="Arial"/>
        </w:rPr>
        <w:t xml:space="preserve">. These elements appear to be the </w:t>
      </w:r>
      <w:r w:rsidR="00C056E4">
        <w:rPr>
          <w:rFonts w:ascii="Arial" w:hAnsi="Arial" w:cs="Arial"/>
        </w:rPr>
        <w:t>authentic</w:t>
      </w:r>
      <w:r w:rsidRPr="004B0185">
        <w:rPr>
          <w:rFonts w:ascii="Arial" w:hAnsi="Arial" w:cs="Arial"/>
        </w:rPr>
        <w:t xml:space="preserve"> "active ingredients" for successful digital literacy training in this professional setting.</w:t>
      </w:r>
    </w:p>
    <w:p w14:paraId="1A296881" w14:textId="77777777" w:rsidR="00C056E4" w:rsidRDefault="00C056E4" w:rsidP="00441B6F">
      <w:pPr>
        <w:pStyle w:val="Body"/>
        <w:spacing w:after="0"/>
        <w:rPr>
          <w:rFonts w:ascii="Arial" w:hAnsi="Arial" w:cs="Arial"/>
        </w:rPr>
      </w:pPr>
    </w:p>
    <w:p w14:paraId="05D6F5FF" w14:textId="193B5ED9" w:rsidR="00C056E4" w:rsidRPr="00C056E4" w:rsidRDefault="00C056E4" w:rsidP="00C056E4">
      <w:pPr>
        <w:pStyle w:val="Body"/>
        <w:spacing w:after="0"/>
        <w:rPr>
          <w:rFonts w:ascii="Arial" w:hAnsi="Arial" w:cs="Arial"/>
          <w:b/>
          <w:bCs/>
          <w:sz w:val="22"/>
          <w:szCs w:val="22"/>
        </w:rPr>
      </w:pPr>
      <w:r w:rsidRPr="00C056E4">
        <w:rPr>
          <w:rFonts w:ascii="Arial" w:hAnsi="Arial" w:cs="Arial"/>
          <w:b/>
          <w:bCs/>
          <w:sz w:val="22"/>
          <w:szCs w:val="22"/>
        </w:rPr>
        <w:t>3.4 Implications, Limitations, and Future Research</w:t>
      </w:r>
    </w:p>
    <w:p w14:paraId="2101918B" w14:textId="6EB6C4F0" w:rsidR="00C056E4" w:rsidRDefault="00C056E4" w:rsidP="00C056E4">
      <w:pPr>
        <w:pStyle w:val="Body"/>
        <w:spacing w:after="0"/>
        <w:rPr>
          <w:rFonts w:ascii="Arial" w:hAnsi="Arial" w:cs="Arial"/>
        </w:rPr>
      </w:pPr>
      <w:r w:rsidRPr="00C056E4">
        <w:rPr>
          <w:rFonts w:ascii="Arial" w:hAnsi="Arial" w:cs="Arial"/>
        </w:rPr>
        <w:t>The findings of this study offer significant practical implications. Given that the online model achieved comparable outcomes, it presents a more cost-effective and scalable pathway for capacity building, particularly in resource-constrained contexts. Institutions can confidently invest in high-quality asynchronous learning materials and robust remote support systems as the core components of their training strategies.</w:t>
      </w:r>
    </w:p>
    <w:p w14:paraId="0F745325" w14:textId="77777777" w:rsidR="00C056E4" w:rsidRPr="00C056E4" w:rsidRDefault="00C056E4" w:rsidP="00C056E4">
      <w:pPr>
        <w:pStyle w:val="Body"/>
        <w:spacing w:after="0"/>
        <w:rPr>
          <w:rFonts w:ascii="Arial" w:hAnsi="Arial" w:cs="Arial"/>
        </w:rPr>
      </w:pPr>
    </w:p>
    <w:p w14:paraId="3397D046" w14:textId="46F48A15" w:rsidR="00C056E4" w:rsidRDefault="00C056E4" w:rsidP="00C056E4">
      <w:pPr>
        <w:pStyle w:val="Body"/>
        <w:spacing w:after="0"/>
        <w:rPr>
          <w:rFonts w:ascii="Arial" w:hAnsi="Arial" w:cs="Arial"/>
        </w:rPr>
      </w:pPr>
      <w:r w:rsidRPr="00C056E4">
        <w:rPr>
          <w:rFonts w:ascii="Arial" w:hAnsi="Arial" w:cs="Arial"/>
        </w:rPr>
        <w:t>However, it is important to acknowledge the limitations of this study. The findings are specific to the context of agricultural extension workers in Yogyakarta, Indonesia, and may not be generalizable to other professional groups. Furthermore, this study measured the immediate impact of the training via a self-reported questionnaire; it did not assess long-term knowledge retention or observe on-the-job behavior change.</w:t>
      </w:r>
    </w:p>
    <w:p w14:paraId="4C4EBCCE" w14:textId="77777777" w:rsidR="00C056E4" w:rsidRPr="00C056E4" w:rsidRDefault="00C056E4" w:rsidP="00C056E4">
      <w:pPr>
        <w:pStyle w:val="Body"/>
        <w:spacing w:after="0"/>
        <w:rPr>
          <w:rFonts w:ascii="Arial" w:hAnsi="Arial" w:cs="Arial"/>
        </w:rPr>
      </w:pPr>
    </w:p>
    <w:p w14:paraId="2A64A468" w14:textId="7C2BF40A" w:rsidR="00C056E4" w:rsidRDefault="00C056E4" w:rsidP="00C056E4">
      <w:pPr>
        <w:pStyle w:val="Body"/>
        <w:spacing w:after="0"/>
        <w:rPr>
          <w:rFonts w:ascii="Arial" w:hAnsi="Arial" w:cs="Arial"/>
        </w:rPr>
      </w:pPr>
      <w:r w:rsidRPr="00C056E4">
        <w:rPr>
          <w:rFonts w:ascii="Arial" w:hAnsi="Arial" w:cs="Arial"/>
        </w:rPr>
        <w:t xml:space="preserve">Building on these findings, several avenues for future research emerge. A longitudinal study could track participants over a </w:t>
      </w:r>
      <w:r w:rsidR="00505A02">
        <w:rPr>
          <w:rFonts w:ascii="Arial" w:hAnsi="Arial" w:cs="Arial"/>
        </w:rPr>
        <w:t>longer</w:t>
      </w:r>
      <w:r w:rsidRPr="00C056E4">
        <w:rPr>
          <w:rFonts w:ascii="Arial" w:hAnsi="Arial" w:cs="Arial"/>
        </w:rPr>
        <w:t xml:space="preserve"> period to determine if there are differences in long-term knowledge retention. Future research could also incorporate a formal cost-effectiveness analysis to quantify the </w:t>
      </w:r>
      <w:r>
        <w:rPr>
          <w:rFonts w:ascii="Arial" w:hAnsi="Arial" w:cs="Arial"/>
        </w:rPr>
        <w:t>online model's resource advantages</w:t>
      </w:r>
      <w:r w:rsidRPr="00C056E4">
        <w:rPr>
          <w:rFonts w:ascii="Arial" w:hAnsi="Arial" w:cs="Arial"/>
        </w:rPr>
        <w:t>, and qualitative studies could provide deeper insights into the user experience within each training modality.</w:t>
      </w:r>
    </w:p>
    <w:p w14:paraId="1F992CA1" w14:textId="77777777" w:rsidR="00C056E4" w:rsidRPr="00FB3A86" w:rsidRDefault="00C056E4" w:rsidP="00441B6F">
      <w:pPr>
        <w:pStyle w:val="Body"/>
        <w:spacing w:after="0"/>
        <w:rPr>
          <w:rFonts w:ascii="Arial" w:hAnsi="Arial" w:cs="Arial"/>
        </w:rPr>
      </w:pPr>
    </w:p>
    <w:p w14:paraId="499A77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DD62F6" w14:textId="77777777" w:rsidR="00790ADA" w:rsidRPr="00FB3A86" w:rsidRDefault="00790ADA" w:rsidP="00441B6F">
      <w:pPr>
        <w:pStyle w:val="ConcHead"/>
        <w:spacing w:after="0"/>
        <w:jc w:val="both"/>
        <w:rPr>
          <w:rFonts w:ascii="Arial" w:hAnsi="Arial" w:cs="Arial"/>
        </w:rPr>
      </w:pPr>
    </w:p>
    <w:p w14:paraId="44A2F0A5" w14:textId="1EF01E29" w:rsidR="00790ADA" w:rsidRDefault="00C056E4" w:rsidP="00441B6F">
      <w:pPr>
        <w:pStyle w:val="Body"/>
        <w:spacing w:after="0"/>
        <w:rPr>
          <w:rFonts w:ascii="Arial" w:hAnsi="Arial" w:cs="Arial"/>
        </w:rPr>
      </w:pPr>
      <w:r w:rsidRPr="00C056E4">
        <w:rPr>
          <w:rFonts w:ascii="Arial" w:hAnsi="Arial" w:cs="Arial"/>
        </w:rPr>
        <w:t>This study compared the effectiveness of online-only and blended learning models for improving the digital literacy of agricultural extension workers. The findings demonstrate that both training interventions were significantly more effective than no training. Crucially, no statistically significant difference in learning outcomes was found between the online-only and blended learning groups. This suggests that well-designed, fully online training can be an equally effective, yet more scalable and cost-efficient, alternative to blended models for the professional development of agricultural extension professionals.</w:t>
      </w:r>
    </w:p>
    <w:p w14:paraId="4AA2E0A6" w14:textId="77777777" w:rsidR="00C056E4" w:rsidRPr="00FB3A86" w:rsidRDefault="00C056E4" w:rsidP="00441B6F">
      <w:pPr>
        <w:pStyle w:val="Body"/>
        <w:spacing w:after="0"/>
        <w:rPr>
          <w:rFonts w:ascii="Arial" w:hAnsi="Arial" w:cs="Arial"/>
        </w:rPr>
      </w:pPr>
    </w:p>
    <w:p w14:paraId="48CA73E8" w14:textId="77777777" w:rsidR="00315186" w:rsidRPr="00315186" w:rsidRDefault="00315186" w:rsidP="00441B6F"/>
    <w:p w14:paraId="6370E016" w14:textId="34677EBE" w:rsidR="002B685A" w:rsidRP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p>
    <w:p w14:paraId="7D32B412" w14:textId="286707EC" w:rsidR="001A29D8" w:rsidRDefault="0082122F" w:rsidP="00441B6F">
      <w:pPr>
        <w:pStyle w:val="ReferHead"/>
        <w:spacing w:after="0"/>
        <w:jc w:val="both"/>
        <w:rPr>
          <w:rFonts w:ascii="Arial" w:hAnsi="Arial" w:cs="Arial"/>
          <w:b w:val="0"/>
          <w:caps w:val="0"/>
          <w:sz w:val="20"/>
        </w:rPr>
      </w:pPr>
      <w:r w:rsidRPr="0082122F">
        <w:rPr>
          <w:rFonts w:ascii="Arial" w:hAnsi="Arial" w:cs="Arial"/>
          <w:b w:val="0"/>
          <w:caps w:val="0"/>
          <w:sz w:val="20"/>
        </w:rPr>
        <w:t xml:space="preserve">All authors declare that written informed consent was obtained from all participants for their involvement in this study and for the publication of the aggregated results. A copy of the written consent is available for review by the Editorial </w:t>
      </w:r>
      <w:r w:rsidR="00505A02">
        <w:rPr>
          <w:rFonts w:ascii="Arial" w:hAnsi="Arial" w:cs="Arial"/>
          <w:b w:val="0"/>
          <w:caps w:val="0"/>
          <w:sz w:val="20"/>
        </w:rPr>
        <w:t>O</w:t>
      </w:r>
      <w:r w:rsidRPr="0082122F">
        <w:rPr>
          <w:rFonts w:ascii="Arial" w:hAnsi="Arial" w:cs="Arial"/>
          <w:b w:val="0"/>
          <w:caps w:val="0"/>
          <w:sz w:val="20"/>
        </w:rPr>
        <w:t>ffice of this journal upon request.</w:t>
      </w:r>
    </w:p>
    <w:p w14:paraId="1D330CEE" w14:textId="77777777" w:rsidR="005C784C" w:rsidRDefault="005C784C" w:rsidP="00441B6F">
      <w:pPr>
        <w:pStyle w:val="ReferHead"/>
        <w:spacing w:after="0"/>
        <w:jc w:val="both"/>
        <w:rPr>
          <w:rFonts w:ascii="Arial" w:hAnsi="Arial" w:cs="Arial"/>
          <w:b w:val="0"/>
          <w:caps w:val="0"/>
          <w:sz w:val="20"/>
        </w:rPr>
      </w:pPr>
    </w:p>
    <w:p w14:paraId="3A757E61" w14:textId="70420D70" w:rsidR="005C784C" w:rsidRPr="002B685A" w:rsidRDefault="005C784C" w:rsidP="00441B6F">
      <w:pPr>
        <w:pStyle w:val="ReferHead"/>
        <w:spacing w:after="0"/>
        <w:jc w:val="both"/>
        <w:rPr>
          <w:rFonts w:ascii="Arial" w:hAnsi="Arial" w:cs="Arial"/>
          <w:bCs/>
        </w:rPr>
      </w:pPr>
      <w:r>
        <w:rPr>
          <w:rFonts w:ascii="Arial" w:hAnsi="Arial" w:cs="Arial"/>
          <w:bCs/>
        </w:rPr>
        <w:t>Ethical approval</w:t>
      </w:r>
    </w:p>
    <w:p w14:paraId="451C3DC5" w14:textId="69478A09" w:rsidR="00860000" w:rsidRDefault="00505A02" w:rsidP="00441B6F">
      <w:pPr>
        <w:pStyle w:val="ReferHead"/>
        <w:spacing w:after="0"/>
        <w:jc w:val="both"/>
        <w:rPr>
          <w:rFonts w:ascii="Arial" w:hAnsi="Arial" w:cs="Arial"/>
          <w:b w:val="0"/>
          <w:caps w:val="0"/>
          <w:sz w:val="20"/>
        </w:rPr>
      </w:pPr>
      <w:r w:rsidRPr="00505A02">
        <w:rPr>
          <w:rFonts w:ascii="Arial" w:hAnsi="Arial" w:cs="Arial"/>
          <w:b w:val="0"/>
          <w:caps w:val="0"/>
          <w:sz w:val="20"/>
        </w:rPr>
        <w:t>All authors hereby declare that the research protocol was examined and approved by the appropriate ethics committee, the National Research and Innovation Agency (BRIN) of Indonesia (Approval No: 12122024000015 and has therefore been performed in accordance with the ethical standards for research involving human subjects.</w:t>
      </w:r>
    </w:p>
    <w:p w14:paraId="7A4B22FC" w14:textId="77777777" w:rsidR="00D92172" w:rsidRDefault="00D92172" w:rsidP="00441B6F">
      <w:pPr>
        <w:pStyle w:val="ReferHead"/>
        <w:spacing w:after="0"/>
        <w:jc w:val="both"/>
        <w:rPr>
          <w:rFonts w:ascii="Arial" w:hAnsi="Arial" w:cs="Arial"/>
          <w:b w:val="0"/>
          <w:caps w:val="0"/>
          <w:sz w:val="20"/>
        </w:rPr>
      </w:pPr>
    </w:p>
    <w:p w14:paraId="0BDF826A" w14:textId="77777777" w:rsidR="00D92172" w:rsidRDefault="00D92172" w:rsidP="00441B6F">
      <w:pPr>
        <w:pStyle w:val="ReferHead"/>
        <w:spacing w:after="0"/>
        <w:jc w:val="both"/>
        <w:rPr>
          <w:rFonts w:ascii="Arial" w:hAnsi="Arial" w:cs="Arial"/>
          <w:b w:val="0"/>
          <w:caps w:val="0"/>
          <w:sz w:val="20"/>
        </w:rPr>
      </w:pPr>
    </w:p>
    <w:p w14:paraId="02448019" w14:textId="77777777" w:rsidR="00D92172" w:rsidRPr="00D92172" w:rsidRDefault="00D92172" w:rsidP="00D92172">
      <w:pPr>
        <w:pStyle w:val="ReferHead"/>
        <w:jc w:val="both"/>
        <w:rPr>
          <w:rFonts w:ascii="Arial" w:hAnsi="Arial" w:cs="Arial"/>
          <w:b w:val="0"/>
          <w:caps w:val="0"/>
          <w:sz w:val="20"/>
        </w:rPr>
      </w:pPr>
      <w:r w:rsidRPr="00D92172">
        <w:rPr>
          <w:rFonts w:ascii="Arial" w:hAnsi="Arial" w:cs="Arial"/>
          <w:b w:val="0"/>
          <w:caps w:val="0"/>
          <w:sz w:val="20"/>
        </w:rPr>
        <w:t>COMPETING INTERESTS DISCLAIMER:</w:t>
      </w:r>
    </w:p>
    <w:p w14:paraId="628689BA" w14:textId="18F2E9A5" w:rsidR="00D92172" w:rsidRDefault="00D92172" w:rsidP="00D92172">
      <w:pPr>
        <w:pStyle w:val="ReferHead"/>
        <w:spacing w:after="0"/>
        <w:jc w:val="both"/>
        <w:rPr>
          <w:rFonts w:ascii="Arial" w:hAnsi="Arial" w:cs="Arial"/>
          <w:b w:val="0"/>
          <w:caps w:val="0"/>
          <w:sz w:val="20"/>
        </w:rPr>
      </w:pPr>
      <w:r w:rsidRPr="00D9217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68504BD" w14:textId="77777777" w:rsidR="00505A02" w:rsidRDefault="00505A02" w:rsidP="00441B6F">
      <w:pPr>
        <w:pStyle w:val="ReferHead"/>
        <w:spacing w:after="0"/>
        <w:jc w:val="both"/>
        <w:rPr>
          <w:rFonts w:ascii="Arial" w:hAnsi="Arial" w:cs="Arial"/>
        </w:rPr>
      </w:pPr>
    </w:p>
    <w:p w14:paraId="677A843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2ED6B2" w14:textId="77777777" w:rsidR="00790ADA" w:rsidRDefault="00790ADA" w:rsidP="00441B6F">
      <w:pPr>
        <w:pStyle w:val="ReferHead"/>
        <w:spacing w:after="0"/>
        <w:jc w:val="both"/>
        <w:rPr>
          <w:rFonts w:ascii="Arial" w:hAnsi="Arial" w:cs="Arial"/>
        </w:rPr>
      </w:pPr>
    </w:p>
    <w:sdt>
      <w:sdtPr>
        <w:rPr>
          <w:rFonts w:ascii="Arial" w:hAnsi="Arial" w:cs="Arial"/>
          <w:b/>
          <w:caps/>
          <w:color w:val="000000"/>
          <w:sz w:val="22"/>
        </w:rPr>
        <w:tag w:val="MENDELEY_BIBLIOGRAPHY"/>
        <w:id w:val="-1927416871"/>
        <w:placeholder>
          <w:docPart w:val="DefaultPlaceholder_-1854013440"/>
        </w:placeholder>
      </w:sdtPr>
      <w:sdtContent>
        <w:p w14:paraId="2302E780" w14:textId="77777777" w:rsidR="005906FD" w:rsidRDefault="005906FD" w:rsidP="005906FD">
          <w:pPr>
            <w:autoSpaceDE w:val="0"/>
            <w:autoSpaceDN w:val="0"/>
            <w:ind w:hanging="480"/>
            <w:jc w:val="both"/>
            <w:divId w:val="1024786845"/>
            <w:rPr>
              <w:sz w:val="24"/>
              <w:szCs w:val="24"/>
            </w:rPr>
          </w:pPr>
          <w:r>
            <w:t xml:space="preserve">Aja, O. O. (2024). Comparative Study of the Socioeconomic Characteristics and Digital Literacy Level of Agricultural Extension Personnel in Imo and Ebonyi States, South-East, Nigeria. </w:t>
          </w:r>
          <w:r>
            <w:rPr>
              <w:i/>
              <w:iCs/>
            </w:rPr>
            <w:t>Agricultural Sciences</w:t>
          </w:r>
          <w:r>
            <w:t xml:space="preserve">, </w:t>
          </w:r>
          <w:r>
            <w:rPr>
              <w:i/>
              <w:iCs/>
            </w:rPr>
            <w:t>15</w:t>
          </w:r>
          <w:r>
            <w:t>(02), 230–245. https://doi.org/10.4236/as.2024.152013</w:t>
          </w:r>
        </w:p>
        <w:p w14:paraId="4177DDFC" w14:textId="77777777" w:rsidR="005906FD" w:rsidRDefault="005906FD" w:rsidP="005906FD">
          <w:pPr>
            <w:autoSpaceDE w:val="0"/>
            <w:autoSpaceDN w:val="0"/>
            <w:ind w:hanging="480"/>
            <w:jc w:val="both"/>
            <w:divId w:val="913473206"/>
          </w:pPr>
          <w:r>
            <w:t xml:space="preserve">Anderson, J. R., &amp; Feder, G. (2007). Chapter 44 Agricultural Extension. In </w:t>
          </w:r>
          <w:r>
            <w:rPr>
              <w:i/>
              <w:iCs/>
            </w:rPr>
            <w:t>Handbook of Agricultural Economics</w:t>
          </w:r>
          <w:r>
            <w:t xml:space="preserve"> (3rd ed., Vol. 3, pp. 2343–2378). https://doi.org/10.1016/S1574-0072(06)03044-1</w:t>
          </w:r>
        </w:p>
        <w:p w14:paraId="2E8BE723" w14:textId="77777777" w:rsidR="005906FD" w:rsidRDefault="005906FD" w:rsidP="005906FD">
          <w:pPr>
            <w:autoSpaceDE w:val="0"/>
            <w:autoSpaceDN w:val="0"/>
            <w:ind w:hanging="480"/>
            <w:jc w:val="both"/>
            <w:divId w:val="1961763161"/>
          </w:pPr>
          <w:proofErr w:type="spellStart"/>
          <w:r>
            <w:t>Arkorful</w:t>
          </w:r>
          <w:proofErr w:type="spellEnd"/>
          <w:r>
            <w:t xml:space="preserve">, V. (2014). </w:t>
          </w:r>
          <w:r>
            <w:rPr>
              <w:i/>
              <w:iCs/>
            </w:rPr>
            <w:t>The role of e-learning, advantages and disadvantages of its adoption in higher education.</w:t>
          </w:r>
          <w:r>
            <w:t xml:space="preserve"> </w:t>
          </w:r>
          <w:r>
            <w:rPr>
              <w:i/>
              <w:iCs/>
            </w:rPr>
            <w:t>2</w:t>
          </w:r>
          <w:r>
            <w:t>, 396.</w:t>
          </w:r>
        </w:p>
        <w:p w14:paraId="482EF458" w14:textId="77777777" w:rsidR="005906FD" w:rsidRDefault="005906FD" w:rsidP="005906FD">
          <w:pPr>
            <w:autoSpaceDE w:val="0"/>
            <w:autoSpaceDN w:val="0"/>
            <w:ind w:hanging="480"/>
            <w:jc w:val="both"/>
            <w:divId w:val="1056007664"/>
          </w:pPr>
          <w:r>
            <w:t xml:space="preserve">Bernard, R. M., Abrami, P. C., Borokhovski, E., Wade, C. A., Tamim, R. M., </w:t>
          </w:r>
          <w:proofErr w:type="spellStart"/>
          <w:r>
            <w:t>Surkes</w:t>
          </w:r>
          <w:proofErr w:type="spellEnd"/>
          <w:r>
            <w:t xml:space="preserve">, M. A., &amp; Bethel, E. C. (2009). A Meta-Analysis of Three Types of Interaction Treatments in Distance Education. </w:t>
          </w:r>
          <w:r>
            <w:rPr>
              <w:i/>
              <w:iCs/>
            </w:rPr>
            <w:t>Review of Educational Research</w:t>
          </w:r>
          <w:r>
            <w:t xml:space="preserve">, </w:t>
          </w:r>
          <w:r>
            <w:rPr>
              <w:i/>
              <w:iCs/>
            </w:rPr>
            <w:t>79</w:t>
          </w:r>
          <w:r>
            <w:t>(3), 1243–1289. https://doi.org/10.3102/0034654309333844</w:t>
          </w:r>
        </w:p>
        <w:p w14:paraId="4C60AA83" w14:textId="77777777" w:rsidR="005906FD" w:rsidRDefault="005906FD" w:rsidP="005906FD">
          <w:pPr>
            <w:autoSpaceDE w:val="0"/>
            <w:autoSpaceDN w:val="0"/>
            <w:ind w:hanging="480"/>
            <w:jc w:val="both"/>
            <w:divId w:val="1852448895"/>
          </w:pPr>
          <w:r>
            <w:t xml:space="preserve">Carretero, G. S., </w:t>
          </w:r>
          <w:proofErr w:type="spellStart"/>
          <w:r>
            <w:t>Vuorikari</w:t>
          </w:r>
          <w:proofErr w:type="spellEnd"/>
          <w:r>
            <w:t xml:space="preserve">, R., &amp; Punie, Y. (2017). </w:t>
          </w:r>
          <w:proofErr w:type="spellStart"/>
          <w:r>
            <w:rPr>
              <w:i/>
              <w:iCs/>
            </w:rPr>
            <w:t>DigComp</w:t>
          </w:r>
          <w:proofErr w:type="spellEnd"/>
          <w:r>
            <w:rPr>
              <w:i/>
              <w:iCs/>
            </w:rPr>
            <w:t xml:space="preserve"> 2.1: The Digital Competence Framework for Citizens with eight proficiency levels and examples of use</w:t>
          </w:r>
          <w:r>
            <w:t xml:space="preserve"> (Issue KJ-NA-28558-EN-N (online</w:t>
          </w:r>
          <w:proofErr w:type="gramStart"/>
          <w:r>
            <w:t>),KJ</w:t>
          </w:r>
          <w:proofErr w:type="gramEnd"/>
          <w:r>
            <w:t>-NA-28558-EN-C (print</w:t>
          </w:r>
          <w:proofErr w:type="gramStart"/>
          <w:r>
            <w:t>),KJ</w:t>
          </w:r>
          <w:proofErr w:type="gramEnd"/>
          <w:r>
            <w:t>-NA-28558-EN-E (</w:t>
          </w:r>
          <w:proofErr w:type="spellStart"/>
          <w:r>
            <w:t>ePub</w:t>
          </w:r>
          <w:proofErr w:type="spellEnd"/>
          <w:r>
            <w:t>)). Publications Office of the European Union. https://doi.org/10.2760/38842 (online),10.2760/836968 (print),10.2760/00963 (</w:t>
          </w:r>
          <w:proofErr w:type="spellStart"/>
          <w:r>
            <w:t>ePub</w:t>
          </w:r>
          <w:proofErr w:type="spellEnd"/>
          <w:r>
            <w:t>)</w:t>
          </w:r>
        </w:p>
        <w:p w14:paraId="337A3590" w14:textId="77777777" w:rsidR="005906FD" w:rsidRDefault="005906FD" w:rsidP="005906FD">
          <w:pPr>
            <w:autoSpaceDE w:val="0"/>
            <w:autoSpaceDN w:val="0"/>
            <w:ind w:hanging="480"/>
            <w:jc w:val="both"/>
            <w:divId w:val="974992596"/>
          </w:pPr>
          <w:r>
            <w:t xml:space="preserve">Cohen, W. M., &amp; Levinthal, D. A. (1990). Absorptive Capacity: A New Perspective on Learning and Innovation. </w:t>
          </w:r>
          <w:r>
            <w:rPr>
              <w:i/>
              <w:iCs/>
            </w:rPr>
            <w:t>Administrative Science Quarterly</w:t>
          </w:r>
          <w:r>
            <w:t xml:space="preserve">, </w:t>
          </w:r>
          <w:r>
            <w:rPr>
              <w:i/>
              <w:iCs/>
            </w:rPr>
            <w:t>35</w:t>
          </w:r>
          <w:r>
            <w:t>(1), 128. https://doi.org/10.2307/2393553</w:t>
          </w:r>
        </w:p>
        <w:p w14:paraId="7265A436" w14:textId="77777777" w:rsidR="005906FD" w:rsidRDefault="005906FD" w:rsidP="005906FD">
          <w:pPr>
            <w:autoSpaceDE w:val="0"/>
            <w:autoSpaceDN w:val="0"/>
            <w:ind w:hanging="480"/>
            <w:jc w:val="both"/>
            <w:divId w:val="299191806"/>
          </w:pPr>
          <w:r>
            <w:t xml:space="preserve">Dhawan, S. (2020a). Online Learning: A Panacea in the Time of COVID-19 Crisis. </w:t>
          </w:r>
          <w:r>
            <w:rPr>
              <w:i/>
              <w:iCs/>
            </w:rPr>
            <w:t>Journal of Educational Technology Systems</w:t>
          </w:r>
          <w:r>
            <w:t xml:space="preserve">, </w:t>
          </w:r>
          <w:r>
            <w:rPr>
              <w:i/>
              <w:iCs/>
            </w:rPr>
            <w:t>49</w:t>
          </w:r>
          <w:r>
            <w:t>(1), 5–22. https://doi.org/10.1177/0047239520934018</w:t>
          </w:r>
        </w:p>
        <w:p w14:paraId="46EB7975" w14:textId="77777777" w:rsidR="005906FD" w:rsidRDefault="005906FD" w:rsidP="005906FD">
          <w:pPr>
            <w:autoSpaceDE w:val="0"/>
            <w:autoSpaceDN w:val="0"/>
            <w:ind w:hanging="480"/>
            <w:jc w:val="both"/>
            <w:divId w:val="1010525423"/>
          </w:pPr>
          <w:r>
            <w:t xml:space="preserve">Garrison, D. R., &amp; Kanuka, H. (2004). Blended learning: Uncovering its transformative potential in higher education. </w:t>
          </w:r>
          <w:r>
            <w:rPr>
              <w:i/>
              <w:iCs/>
            </w:rPr>
            <w:t>The Internet and Higher Education</w:t>
          </w:r>
          <w:r>
            <w:t xml:space="preserve">, </w:t>
          </w:r>
          <w:r>
            <w:rPr>
              <w:i/>
              <w:iCs/>
            </w:rPr>
            <w:t>7</w:t>
          </w:r>
          <w:r>
            <w:t>(2), 95–105. https://doi.org/10.1016/j.iheduc.2004.02.001</w:t>
          </w:r>
        </w:p>
        <w:p w14:paraId="529F61C2" w14:textId="77777777" w:rsidR="005906FD" w:rsidRDefault="005906FD" w:rsidP="005906FD">
          <w:pPr>
            <w:autoSpaceDE w:val="0"/>
            <w:autoSpaceDN w:val="0"/>
            <w:ind w:hanging="480"/>
            <w:jc w:val="both"/>
            <w:divId w:val="1617907215"/>
          </w:pPr>
          <w:proofErr w:type="spellStart"/>
          <w:r>
            <w:t>Hrastinski</w:t>
          </w:r>
          <w:proofErr w:type="spellEnd"/>
          <w:r>
            <w:t xml:space="preserve">, S. (2008). Asynchronous and synchronous e-learning. </w:t>
          </w:r>
          <w:r>
            <w:rPr>
              <w:i/>
              <w:iCs/>
            </w:rPr>
            <w:t>Educause Quarterly</w:t>
          </w:r>
          <w:r>
            <w:t xml:space="preserve">, </w:t>
          </w:r>
          <w:r>
            <w:rPr>
              <w:i/>
              <w:iCs/>
            </w:rPr>
            <w:t>4</w:t>
          </w:r>
          <w:r>
            <w:t>.</w:t>
          </w:r>
        </w:p>
        <w:p w14:paraId="47762AAA" w14:textId="77777777" w:rsidR="005906FD" w:rsidRDefault="005906FD" w:rsidP="005906FD">
          <w:pPr>
            <w:autoSpaceDE w:val="0"/>
            <w:autoSpaceDN w:val="0"/>
            <w:ind w:hanging="480"/>
            <w:jc w:val="both"/>
            <w:divId w:val="898713084"/>
          </w:pPr>
          <w:r>
            <w:t xml:space="preserve">Jia, W., &amp; Huang, X. (2023). Digital Literacy and Vocational Education: Essential Skills for the Modern Workforce. </w:t>
          </w:r>
          <w:r>
            <w:rPr>
              <w:i/>
              <w:iCs/>
            </w:rPr>
            <w:t>International Journal of Academic Research in Business and Social Sciences</w:t>
          </w:r>
          <w:r>
            <w:t xml:space="preserve">, </w:t>
          </w:r>
          <w:r>
            <w:rPr>
              <w:i/>
              <w:iCs/>
            </w:rPr>
            <w:t>13</w:t>
          </w:r>
          <w:r>
            <w:t>(5). https://doi.org/10.6007/ijarbss/v13-i5/17080</w:t>
          </w:r>
        </w:p>
        <w:p w14:paraId="1B4F97C6" w14:textId="77777777" w:rsidR="005906FD" w:rsidRDefault="005906FD" w:rsidP="005906FD">
          <w:pPr>
            <w:autoSpaceDE w:val="0"/>
            <w:autoSpaceDN w:val="0"/>
            <w:ind w:hanging="480"/>
            <w:jc w:val="both"/>
            <w:divId w:val="324942533"/>
          </w:pPr>
          <w:r>
            <w:lastRenderedPageBreak/>
            <w:t xml:space="preserve">Kim, H., Lee, M., &amp; Kim, M. (2014). Effects of Mobile Instant Messaging on Collaborative Learning Processes and Outcomes: The Case of South Korea. </w:t>
          </w:r>
          <w:r>
            <w:rPr>
              <w:i/>
              <w:iCs/>
            </w:rPr>
            <w:t>Educational Technology &amp; Society</w:t>
          </w:r>
          <w:r>
            <w:t xml:space="preserve">, </w:t>
          </w:r>
          <w:r>
            <w:rPr>
              <w:i/>
              <w:iCs/>
            </w:rPr>
            <w:t>17</w:t>
          </w:r>
          <w:r>
            <w:t>, 31–42.</w:t>
          </w:r>
        </w:p>
        <w:p w14:paraId="577E3C81" w14:textId="77777777" w:rsidR="005906FD" w:rsidRDefault="005906FD" w:rsidP="005906FD">
          <w:pPr>
            <w:autoSpaceDE w:val="0"/>
            <w:autoSpaceDN w:val="0"/>
            <w:ind w:hanging="480"/>
            <w:jc w:val="both"/>
            <w:divId w:val="1999921041"/>
          </w:pPr>
          <w:r>
            <w:t xml:space="preserve">Klerkx, L., Jakku, E., &amp; Labarthe, P. (2019). A review of social science on digital agriculture, smart farming and agriculture 4.0: New contributions and a future research agenda. </w:t>
          </w:r>
          <w:r>
            <w:rPr>
              <w:i/>
              <w:iCs/>
            </w:rPr>
            <w:t>NJAS: Wageningen Journal of Life Sciences</w:t>
          </w:r>
          <w:r>
            <w:t xml:space="preserve">, </w:t>
          </w:r>
          <w:r>
            <w:rPr>
              <w:i/>
              <w:iCs/>
            </w:rPr>
            <w:t>90–91</w:t>
          </w:r>
          <w:r>
            <w:t>(1), 1–16. https://doi.org/10.1016/j.njas.2019.100315</w:t>
          </w:r>
        </w:p>
        <w:p w14:paraId="20E3F5D6" w14:textId="77777777" w:rsidR="005906FD" w:rsidRDefault="005906FD" w:rsidP="005906FD">
          <w:pPr>
            <w:autoSpaceDE w:val="0"/>
            <w:autoSpaceDN w:val="0"/>
            <w:ind w:hanging="480"/>
            <w:jc w:val="both"/>
            <w:divId w:val="1478953114"/>
          </w:pPr>
          <w:r>
            <w:t xml:space="preserve">Knowles, M. S., Holton III, E. F., &amp; Swanson, R. A. (2014). </w:t>
          </w:r>
          <w:r>
            <w:rPr>
              <w:i/>
              <w:iCs/>
            </w:rPr>
            <w:t>The Adult Learner</w:t>
          </w:r>
          <w:r>
            <w:t>. Routledge. https://doi.org/10.4324/9781315816951</w:t>
          </w:r>
        </w:p>
        <w:p w14:paraId="645AC577" w14:textId="77777777" w:rsidR="005906FD" w:rsidRDefault="005906FD" w:rsidP="005906FD">
          <w:pPr>
            <w:autoSpaceDE w:val="0"/>
            <w:autoSpaceDN w:val="0"/>
            <w:ind w:hanging="480"/>
            <w:jc w:val="both"/>
            <w:divId w:val="377321269"/>
          </w:pPr>
          <w:r>
            <w:t xml:space="preserve">Lave, J., &amp; Wenger, E. (1991). Situated Learning: Legitimate Peripheral Participation. In </w:t>
          </w:r>
          <w:r>
            <w:rPr>
              <w:i/>
              <w:iCs/>
            </w:rPr>
            <w:t>Learning in Doing: Social, Cognitive and Computational Perspectives</w:t>
          </w:r>
          <w:r>
            <w:t>. Cambridge University Press. https://doi.org/DOI: 10.1017/CBO9780511815355</w:t>
          </w:r>
        </w:p>
        <w:p w14:paraId="09566550" w14:textId="77777777" w:rsidR="005906FD" w:rsidRDefault="005906FD" w:rsidP="005906FD">
          <w:pPr>
            <w:autoSpaceDE w:val="0"/>
            <w:autoSpaceDN w:val="0"/>
            <w:ind w:hanging="480"/>
            <w:jc w:val="both"/>
            <w:divId w:val="719016247"/>
          </w:pPr>
          <w:r>
            <w:t xml:space="preserve">Layton, J. R. (1999). No Significant Difference Phenomenon. </w:t>
          </w:r>
          <w:r>
            <w:rPr>
              <w:i/>
              <w:iCs/>
            </w:rPr>
            <w:t>J. Educ. Technol. Soc.</w:t>
          </w:r>
          <w:r>
            <w:t xml:space="preserve">, </w:t>
          </w:r>
          <w:r>
            <w:rPr>
              <w:i/>
              <w:iCs/>
            </w:rPr>
            <w:t>2</w:t>
          </w:r>
          <w:r>
            <w:t>. https://api.semanticscholar.org/CorpusID:42845812</w:t>
          </w:r>
        </w:p>
        <w:p w14:paraId="527963EF" w14:textId="77777777" w:rsidR="005906FD" w:rsidRDefault="005906FD" w:rsidP="005906FD">
          <w:pPr>
            <w:autoSpaceDE w:val="0"/>
            <w:autoSpaceDN w:val="0"/>
            <w:ind w:hanging="480"/>
            <w:jc w:val="both"/>
            <w:divId w:val="776212939"/>
          </w:pPr>
          <w:proofErr w:type="spellStart"/>
          <w:r>
            <w:t>Magesa</w:t>
          </w:r>
          <w:proofErr w:type="spellEnd"/>
          <w:r>
            <w:t xml:space="preserve">, M. (2023). Digital Literacy of Smallholder Farmers in Tanzania. </w:t>
          </w:r>
          <w:r>
            <w:rPr>
              <w:i/>
              <w:iCs/>
            </w:rPr>
            <w:t>Sustainability</w:t>
          </w:r>
          <w:r>
            <w:t xml:space="preserve">, </w:t>
          </w:r>
          <w:r>
            <w:rPr>
              <w:i/>
              <w:iCs/>
            </w:rPr>
            <w:t>15</w:t>
          </w:r>
          <w:r>
            <w:t>(17), 13149. https://doi.org/10.3390/su151713149</w:t>
          </w:r>
        </w:p>
        <w:p w14:paraId="15FBB8AB" w14:textId="77777777" w:rsidR="005906FD" w:rsidRDefault="005906FD" w:rsidP="005906FD">
          <w:pPr>
            <w:autoSpaceDE w:val="0"/>
            <w:autoSpaceDN w:val="0"/>
            <w:ind w:hanging="480"/>
            <w:jc w:val="both"/>
            <w:divId w:val="1826240128"/>
          </w:pPr>
          <w:r>
            <w:t xml:space="preserve">Means, B., Toyama, Y., Murphy, R., &amp; Baki, M. (2013). The Effectiveness of Online and Blended Learning: A Meta-Analysis of the Empirical Literature. </w:t>
          </w:r>
          <w:r>
            <w:rPr>
              <w:i/>
              <w:iCs/>
            </w:rPr>
            <w:t>Teachers College Record: The Voice of Scholarship in Education</w:t>
          </w:r>
          <w:r>
            <w:t xml:space="preserve">, </w:t>
          </w:r>
          <w:r>
            <w:rPr>
              <w:i/>
              <w:iCs/>
            </w:rPr>
            <w:t>115</w:t>
          </w:r>
          <w:r>
            <w:t>(3), 1–47. https://doi.org/10.1177/016146811311500307</w:t>
          </w:r>
        </w:p>
        <w:p w14:paraId="74E840B9" w14:textId="77777777" w:rsidR="005906FD" w:rsidRDefault="005906FD" w:rsidP="005906FD">
          <w:pPr>
            <w:autoSpaceDE w:val="0"/>
            <w:autoSpaceDN w:val="0"/>
            <w:ind w:hanging="480"/>
            <w:jc w:val="both"/>
            <w:divId w:val="214898966"/>
          </w:pPr>
          <w:r>
            <w:t xml:space="preserve">Mittal, S., &amp; Mehar, M. (2016). Socio-economic Factors Affecting Adoption of Modern Information and Communication Technology by Farmers in India: Analysis Using Multivariate Probit Model. </w:t>
          </w:r>
          <w:r>
            <w:rPr>
              <w:i/>
              <w:iCs/>
            </w:rPr>
            <w:t>The Journal of Agricultural Education and Extension</w:t>
          </w:r>
          <w:r>
            <w:t xml:space="preserve">, </w:t>
          </w:r>
          <w:r>
            <w:rPr>
              <w:i/>
              <w:iCs/>
            </w:rPr>
            <w:t>22</w:t>
          </w:r>
          <w:r>
            <w:t>(2), 199–212. https://doi.org/10.1080/1389224X.2014.997255</w:t>
          </w:r>
        </w:p>
        <w:p w14:paraId="0D07F9CA" w14:textId="77777777" w:rsidR="005906FD" w:rsidRDefault="005906FD" w:rsidP="005906FD">
          <w:pPr>
            <w:autoSpaceDE w:val="0"/>
            <w:autoSpaceDN w:val="0"/>
            <w:ind w:hanging="480"/>
            <w:jc w:val="both"/>
            <w:divId w:val="742677360"/>
          </w:pPr>
          <w:r>
            <w:t xml:space="preserve">Olagunju, O., </w:t>
          </w:r>
          <w:proofErr w:type="spellStart"/>
          <w:r>
            <w:t>Adetarami</w:t>
          </w:r>
          <w:proofErr w:type="spellEnd"/>
          <w:r>
            <w:t xml:space="preserve">, O., </w:t>
          </w:r>
          <w:proofErr w:type="spellStart"/>
          <w:r>
            <w:t>Koledoye</w:t>
          </w:r>
          <w:proofErr w:type="spellEnd"/>
          <w:r>
            <w:t xml:space="preserve">, G., Festus, </w:t>
          </w:r>
          <w:proofErr w:type="spellStart"/>
          <w:r>
            <w:t>Olumoyegun</w:t>
          </w:r>
          <w:proofErr w:type="spellEnd"/>
          <w:r>
            <w:t xml:space="preserve">, A., Temidire, Shehu </w:t>
          </w:r>
          <w:proofErr w:type="spellStart"/>
          <w:r>
            <w:t>Nabara</w:t>
          </w:r>
          <w:proofErr w:type="spellEnd"/>
          <w:r>
            <w:t xml:space="preserve">, I., &amp; Shehu. (2021). Digitization of Agricultural Extension System for Effective Management of Emergency in Nigeria. </w:t>
          </w:r>
          <w:r>
            <w:rPr>
              <w:i/>
              <w:iCs/>
            </w:rPr>
            <w:t>Journal of Agricultural Extension</w:t>
          </w:r>
          <w:r>
            <w:t xml:space="preserve">, </w:t>
          </w:r>
          <w:r>
            <w:rPr>
              <w:i/>
              <w:iCs/>
            </w:rPr>
            <w:t>25</w:t>
          </w:r>
          <w:r>
            <w:t>, 81–91. https://doi.org/10.11226/v25i4</w:t>
          </w:r>
        </w:p>
        <w:p w14:paraId="0606622C" w14:textId="77777777" w:rsidR="005906FD" w:rsidRDefault="005906FD" w:rsidP="005906FD">
          <w:pPr>
            <w:autoSpaceDE w:val="0"/>
            <w:autoSpaceDN w:val="0"/>
            <w:ind w:hanging="480"/>
            <w:jc w:val="both"/>
            <w:divId w:val="5137488"/>
          </w:pPr>
          <w:r>
            <w:t xml:space="preserve">Prensky, M. (2001). Digital Natives, Digital Immigrants Part 1. </w:t>
          </w:r>
          <w:r>
            <w:rPr>
              <w:i/>
              <w:iCs/>
            </w:rPr>
            <w:t>On the Horizon</w:t>
          </w:r>
          <w:r>
            <w:t xml:space="preserve">, </w:t>
          </w:r>
          <w:r>
            <w:rPr>
              <w:i/>
              <w:iCs/>
            </w:rPr>
            <w:t>9</w:t>
          </w:r>
          <w:r>
            <w:t>, 1–6. https://doi.org/10.1108/10748120110424816</w:t>
          </w:r>
        </w:p>
        <w:p w14:paraId="3DF0F6C5" w14:textId="77777777" w:rsidR="005906FD" w:rsidRDefault="005906FD" w:rsidP="005906FD">
          <w:pPr>
            <w:autoSpaceDE w:val="0"/>
            <w:autoSpaceDN w:val="0"/>
            <w:ind w:hanging="480"/>
            <w:jc w:val="both"/>
            <w:divId w:val="1378511508"/>
          </w:pPr>
          <w:r>
            <w:t xml:space="preserve">Rivera, W. M., &amp; Alex, G. (2004). Extension system reform and the challenges ahead. </w:t>
          </w:r>
          <w:r>
            <w:rPr>
              <w:i/>
              <w:iCs/>
            </w:rPr>
            <w:t>The Journal of Agricultural Education and Extension</w:t>
          </w:r>
          <w:r>
            <w:t xml:space="preserve">, </w:t>
          </w:r>
          <w:r>
            <w:rPr>
              <w:i/>
              <w:iCs/>
            </w:rPr>
            <w:t>10</w:t>
          </w:r>
          <w:r>
            <w:t>(1), 23–36. https://doi.org/10.1080/13892240485300051</w:t>
          </w:r>
        </w:p>
        <w:p w14:paraId="6037B3AA" w14:textId="77777777" w:rsidR="005906FD" w:rsidRDefault="005906FD" w:rsidP="005906FD">
          <w:pPr>
            <w:autoSpaceDE w:val="0"/>
            <w:autoSpaceDN w:val="0"/>
            <w:ind w:hanging="480"/>
            <w:jc w:val="both"/>
            <w:divId w:val="1338312974"/>
          </w:pPr>
          <w:proofErr w:type="spellStart"/>
          <w:r>
            <w:t>Rochmawati</w:t>
          </w:r>
          <w:proofErr w:type="spellEnd"/>
          <w:r>
            <w:t xml:space="preserve">, R. (2023). </w:t>
          </w:r>
          <w:r>
            <w:rPr>
              <w:i/>
              <w:iCs/>
            </w:rPr>
            <w:t>Social Presence in Online Learning: Meta Analysis</w:t>
          </w:r>
          <w:r>
            <w:t xml:space="preserve"> (pp. 835–847). https://doi.org/10.2991/978-2-38476-022-0_93</w:t>
          </w:r>
        </w:p>
        <w:p w14:paraId="53F46144" w14:textId="77777777" w:rsidR="005906FD" w:rsidRDefault="005906FD" w:rsidP="005906FD">
          <w:pPr>
            <w:autoSpaceDE w:val="0"/>
            <w:autoSpaceDN w:val="0"/>
            <w:ind w:hanging="480"/>
            <w:jc w:val="both"/>
            <w:divId w:val="1466966558"/>
          </w:pPr>
          <w:r>
            <w:t xml:space="preserve">Rose, D. C., &amp; Chilvers, J. (2018). Agriculture 4.0: Broadening Responsible Innovation in an Era of Smart Farming. </w:t>
          </w:r>
          <w:r>
            <w:rPr>
              <w:i/>
              <w:iCs/>
            </w:rPr>
            <w:t>Frontiers in Sustainable Food Systems</w:t>
          </w:r>
          <w:r>
            <w:t xml:space="preserve">, </w:t>
          </w:r>
          <w:r>
            <w:rPr>
              <w:i/>
              <w:iCs/>
            </w:rPr>
            <w:t>2</w:t>
          </w:r>
          <w:r>
            <w:t>. https://doi.org/10.3389/fsufs.2018.00087</w:t>
          </w:r>
        </w:p>
        <w:p w14:paraId="614445BE" w14:textId="77777777" w:rsidR="005906FD" w:rsidRDefault="005906FD" w:rsidP="005906FD">
          <w:pPr>
            <w:autoSpaceDE w:val="0"/>
            <w:autoSpaceDN w:val="0"/>
            <w:ind w:hanging="480"/>
            <w:jc w:val="both"/>
            <w:divId w:val="1866946643"/>
          </w:pPr>
          <w:proofErr w:type="spellStart"/>
          <w:r>
            <w:t>Ruzzante</w:t>
          </w:r>
          <w:proofErr w:type="spellEnd"/>
          <w:r>
            <w:t xml:space="preserve">, S., Labarta, R., &amp; </w:t>
          </w:r>
          <w:proofErr w:type="spellStart"/>
          <w:r>
            <w:t>Bilton</w:t>
          </w:r>
          <w:proofErr w:type="spellEnd"/>
          <w:r>
            <w:t xml:space="preserve">, A. (2021). Adoption of agricultural technology in the developing world: A meta-analysis of the empirical literature. </w:t>
          </w:r>
          <w:r>
            <w:rPr>
              <w:i/>
              <w:iCs/>
            </w:rPr>
            <w:t>World Development</w:t>
          </w:r>
          <w:r>
            <w:t xml:space="preserve">, </w:t>
          </w:r>
          <w:r>
            <w:rPr>
              <w:i/>
              <w:iCs/>
            </w:rPr>
            <w:t>146</w:t>
          </w:r>
          <w:r>
            <w:t>, 105599. https://doi.org/10.1016/j.worlddev.2021.105599</w:t>
          </w:r>
        </w:p>
        <w:p w14:paraId="13347446" w14:textId="77777777" w:rsidR="005906FD" w:rsidRDefault="005906FD" w:rsidP="005906FD">
          <w:pPr>
            <w:autoSpaceDE w:val="0"/>
            <w:autoSpaceDN w:val="0"/>
            <w:ind w:hanging="480"/>
            <w:jc w:val="both"/>
            <w:divId w:val="2001423856"/>
          </w:pPr>
          <w:r>
            <w:t xml:space="preserve">Sasmita, H. O., Saleh, A., </w:t>
          </w:r>
          <w:proofErr w:type="spellStart"/>
          <w:r>
            <w:t>Priatna</w:t>
          </w:r>
          <w:proofErr w:type="spellEnd"/>
          <w:r>
            <w:t xml:space="preserve">, W. B., &amp; </w:t>
          </w:r>
          <w:proofErr w:type="spellStart"/>
          <w:r>
            <w:t>Muljono</w:t>
          </w:r>
          <w:proofErr w:type="spellEnd"/>
          <w:r>
            <w:t xml:space="preserve">, P. (2024). Digital communication competence and technology adoption: Drivers of performance among small-scale millennial farmers in Indonesia. </w:t>
          </w:r>
          <w:r>
            <w:rPr>
              <w:i/>
              <w:iCs/>
            </w:rPr>
            <w:t>Edelweiss Applied Science and Technology</w:t>
          </w:r>
          <w:r>
            <w:t xml:space="preserve">, </w:t>
          </w:r>
          <w:r>
            <w:rPr>
              <w:i/>
              <w:iCs/>
            </w:rPr>
            <w:t>8</w:t>
          </w:r>
          <w:r>
            <w:t>(6), 5360–5374. https://doi.org/10.55214/25768484.v8i6.3192</w:t>
          </w:r>
        </w:p>
        <w:p w14:paraId="5E5D6AA2" w14:textId="77777777" w:rsidR="005906FD" w:rsidRDefault="005906FD" w:rsidP="005906FD">
          <w:pPr>
            <w:autoSpaceDE w:val="0"/>
            <w:autoSpaceDN w:val="0"/>
            <w:ind w:hanging="480"/>
            <w:jc w:val="both"/>
            <w:divId w:val="1595745421"/>
          </w:pPr>
          <w:proofErr w:type="spellStart"/>
          <w:r>
            <w:t>Shadish</w:t>
          </w:r>
          <w:proofErr w:type="spellEnd"/>
          <w:r>
            <w:t xml:space="preserve">, W. R., Cook, T. D., &amp; Campbell, D. T. (2003). Experimental and Quasi‐Experimental Designs for Generalized Causal Inference. </w:t>
          </w:r>
          <w:r>
            <w:rPr>
              <w:i/>
              <w:iCs/>
            </w:rPr>
            <w:t>Journal of Policy Analysis and Management</w:t>
          </w:r>
          <w:r>
            <w:t xml:space="preserve">, </w:t>
          </w:r>
          <w:r>
            <w:rPr>
              <w:i/>
              <w:iCs/>
            </w:rPr>
            <w:t>22</w:t>
          </w:r>
          <w:r>
            <w:t>(2), 330–332. https://doi.org/10.1002/pam.10129</w:t>
          </w:r>
        </w:p>
        <w:p w14:paraId="40D0B473" w14:textId="77777777" w:rsidR="005906FD" w:rsidRDefault="005906FD" w:rsidP="005906FD">
          <w:pPr>
            <w:autoSpaceDE w:val="0"/>
            <w:autoSpaceDN w:val="0"/>
            <w:ind w:hanging="480"/>
            <w:jc w:val="both"/>
            <w:divId w:val="433676579"/>
          </w:pPr>
          <w:r>
            <w:t xml:space="preserve">Shatila, K., </w:t>
          </w:r>
          <w:proofErr w:type="spellStart"/>
          <w:r>
            <w:t>Aránega</w:t>
          </w:r>
          <w:proofErr w:type="spellEnd"/>
          <w:r>
            <w:t xml:space="preserve">, A. Y., Soga, L. R., &amp; Hernández-Lara, A. B. (2025). Digital literacy, digital accessibility, human capital, and entrepreneurial resilience: a case for dynamic business ecosystems. </w:t>
          </w:r>
          <w:r>
            <w:rPr>
              <w:i/>
              <w:iCs/>
            </w:rPr>
            <w:t>Journal of Innovation &amp; Knowledge</w:t>
          </w:r>
          <w:r>
            <w:t xml:space="preserve">, </w:t>
          </w:r>
          <w:r>
            <w:rPr>
              <w:i/>
              <w:iCs/>
            </w:rPr>
            <w:t>10</w:t>
          </w:r>
          <w:r>
            <w:t>(3), 100709. https://doi.org/10.1016/j.jik.2025.100709</w:t>
          </w:r>
        </w:p>
        <w:p w14:paraId="21A77353" w14:textId="77777777" w:rsidR="005906FD" w:rsidRDefault="005906FD" w:rsidP="005906FD">
          <w:pPr>
            <w:autoSpaceDE w:val="0"/>
            <w:autoSpaceDN w:val="0"/>
            <w:ind w:hanging="480"/>
            <w:jc w:val="both"/>
            <w:divId w:val="1143153345"/>
          </w:pPr>
          <w:r>
            <w:lastRenderedPageBreak/>
            <w:t xml:space="preserve">van Laar, E., van Deursen, A. J. A. M., van Dijk, J. A. G. M., &amp; de Haan, J. (2017). The relation between 21st-century skills and digital skills: A systematic literature review. </w:t>
          </w:r>
          <w:r>
            <w:rPr>
              <w:i/>
              <w:iCs/>
            </w:rPr>
            <w:t>Computers in Human Behavior</w:t>
          </w:r>
          <w:r>
            <w:t xml:space="preserve">, </w:t>
          </w:r>
          <w:r>
            <w:rPr>
              <w:i/>
              <w:iCs/>
            </w:rPr>
            <w:t>72</w:t>
          </w:r>
          <w:r>
            <w:t>, 577–588. https://doi.org/10.1016/j.chb.2017.03.010</w:t>
          </w:r>
        </w:p>
        <w:p w14:paraId="2FFFFEEF" w14:textId="77777777" w:rsidR="005906FD" w:rsidRDefault="005906FD" w:rsidP="005906FD">
          <w:pPr>
            <w:autoSpaceDE w:val="0"/>
            <w:autoSpaceDN w:val="0"/>
            <w:ind w:hanging="480"/>
            <w:jc w:val="both"/>
            <w:divId w:val="1744066629"/>
          </w:pPr>
          <w:r>
            <w:t xml:space="preserve">Venkatesh, V., Morris, M. G., Davis, G. B., &amp; Davis, F. D. (2003). User Acceptance of Information: Toward a Unified View. </w:t>
          </w:r>
          <w:r>
            <w:rPr>
              <w:i/>
              <w:iCs/>
            </w:rPr>
            <w:t>MIS Quarterly</w:t>
          </w:r>
          <w:r>
            <w:t xml:space="preserve">, </w:t>
          </w:r>
          <w:r>
            <w:rPr>
              <w:i/>
              <w:iCs/>
            </w:rPr>
            <w:t>27</w:t>
          </w:r>
          <w:r>
            <w:t>(3), 425–478. https://www.jstor.org/stable/30036540</w:t>
          </w:r>
        </w:p>
        <w:p w14:paraId="0AE3F11E" w14:textId="77777777" w:rsidR="005906FD" w:rsidRDefault="005906FD" w:rsidP="005906FD">
          <w:pPr>
            <w:autoSpaceDE w:val="0"/>
            <w:autoSpaceDN w:val="0"/>
            <w:ind w:hanging="480"/>
            <w:jc w:val="both"/>
            <w:divId w:val="820275590"/>
          </w:pPr>
          <w:proofErr w:type="spellStart"/>
          <w:r>
            <w:t>Vuorikari</w:t>
          </w:r>
          <w:proofErr w:type="spellEnd"/>
          <w:r>
            <w:t xml:space="preserve">, R., Punie, Y., Carretero, S., &amp; Van Den Brande, L. (2016). </w:t>
          </w:r>
          <w:proofErr w:type="spellStart"/>
          <w:r>
            <w:t>DigComp</w:t>
          </w:r>
          <w:proofErr w:type="spellEnd"/>
          <w:r>
            <w:t xml:space="preserve"> 2.0: The Digital Competence Framework for Citizens. In </w:t>
          </w:r>
          <w:proofErr w:type="spellStart"/>
          <w:r>
            <w:rPr>
              <w:i/>
              <w:iCs/>
            </w:rPr>
            <w:t>Jrc-Ipts</w:t>
          </w:r>
          <w:proofErr w:type="spellEnd"/>
          <w:r>
            <w:t xml:space="preserve"> (Issue June). https://doi.org/10.2791/11517</w:t>
          </w:r>
        </w:p>
        <w:p w14:paraId="65A5BAA7" w14:textId="77777777" w:rsidR="005906FD" w:rsidRDefault="005906FD" w:rsidP="005906FD">
          <w:pPr>
            <w:autoSpaceDE w:val="0"/>
            <w:autoSpaceDN w:val="0"/>
            <w:ind w:hanging="480"/>
            <w:jc w:val="both"/>
            <w:divId w:val="1202403043"/>
          </w:pPr>
          <w:r>
            <w:t xml:space="preserve">Zhai, Z., Martínez, J. F., Beltran, V., &amp; Martínez, N. L. (2020). Decision support systems for agriculture 4.0: Survey and challenges. </w:t>
          </w:r>
          <w:r>
            <w:rPr>
              <w:i/>
              <w:iCs/>
            </w:rPr>
            <w:t>Computers and Electronics in Agriculture</w:t>
          </w:r>
          <w:r>
            <w:t xml:space="preserve">, </w:t>
          </w:r>
          <w:r>
            <w:rPr>
              <w:i/>
              <w:iCs/>
            </w:rPr>
            <w:t>170</w:t>
          </w:r>
          <w:r>
            <w:t>, 105256. https://doi.org/10.1016/j.compag.2020.105256</w:t>
          </w:r>
        </w:p>
        <w:p w14:paraId="3B6D1A44" w14:textId="74BE5E08" w:rsidR="0082122F" w:rsidRPr="00FB3A86" w:rsidRDefault="005906FD" w:rsidP="005906FD">
          <w:pPr>
            <w:pStyle w:val="ReferHead"/>
            <w:spacing w:after="0"/>
            <w:jc w:val="both"/>
            <w:rPr>
              <w:rFonts w:ascii="Arial" w:hAnsi="Arial" w:cs="Arial"/>
            </w:rPr>
          </w:pPr>
          <w:r>
            <w:t> </w:t>
          </w:r>
        </w:p>
      </w:sdtContent>
    </w:sdt>
    <w:p w14:paraId="65205005" w14:textId="2EA567FD" w:rsidR="004D4277" w:rsidRPr="00FB3A86" w:rsidRDefault="004D4277" w:rsidP="00441B6F">
      <w:pPr>
        <w:pStyle w:val="Appendix"/>
        <w:spacing w:after="0"/>
        <w:jc w:val="both"/>
        <w:rPr>
          <w:rFonts w:ascii="Arial" w:hAnsi="Arial" w:cs="Arial"/>
          <w:b w:val="0"/>
        </w:rPr>
        <w:sectPr w:rsidR="004D4277" w:rsidRPr="00FB3A86" w:rsidSect="009D17FC">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23AACE99" w14:textId="77777777" w:rsidR="00B01FCD" w:rsidRPr="00FB3A86" w:rsidRDefault="00B01FCD" w:rsidP="00441B6F">
      <w:pPr>
        <w:pStyle w:val="Appendix"/>
        <w:spacing w:after="0"/>
        <w:jc w:val="both"/>
        <w:rPr>
          <w:rFonts w:ascii="Arial" w:hAnsi="Arial" w:cs="Arial"/>
          <w:b w:val="0"/>
        </w:rPr>
      </w:pPr>
    </w:p>
    <w:sectPr w:rsidR="00B01FCD" w:rsidRPr="00FB3A86" w:rsidSect="009D17F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C" w:date="2025-09-16T09:31:00Z" w:initials="P">
    <w:p w14:paraId="24FD4C10" w14:textId="13555E57" w:rsidR="00BC1C37" w:rsidRDefault="00BC1C37">
      <w:pPr>
        <w:pStyle w:val="CommentText"/>
      </w:pPr>
      <w:r>
        <w:rPr>
          <w:rStyle w:val="CommentReference"/>
        </w:rPr>
        <w:annotationRef/>
      </w:r>
      <w:r>
        <w:t>Citation is old</w:t>
      </w:r>
    </w:p>
  </w:comment>
  <w:comment w:id="1" w:author="PC" w:date="2025-09-16T09:46:00Z" w:initials="P">
    <w:p w14:paraId="1B77DB5E" w14:textId="0C292D4F" w:rsidR="00561244" w:rsidRDefault="00561244">
      <w:pPr>
        <w:pStyle w:val="CommentText"/>
      </w:pPr>
      <w:r>
        <w:rPr>
          <w:rStyle w:val="CommentReference"/>
        </w:rPr>
        <w:annotationRef/>
      </w:r>
      <w:r>
        <w:t>Analysis of Covariance ANCOVA would have been better. ANCOVA would help you control for age, educational qualification and other factors that may affect the result.</w:t>
      </w:r>
    </w:p>
  </w:comment>
  <w:comment w:id="2" w:author="PC" w:date="2025-09-16T09:42:00Z" w:initials="P">
    <w:p w14:paraId="1B16665D" w14:textId="7B1D7CB3" w:rsidR="00CB070A" w:rsidRDefault="00CB070A">
      <w:pPr>
        <w:pStyle w:val="CommentText"/>
      </w:pPr>
      <w:r>
        <w:rPr>
          <w:rStyle w:val="CommentReference"/>
        </w:rPr>
        <w:annotationRef/>
      </w:r>
      <w:r>
        <w:t>Old citation</w:t>
      </w:r>
    </w:p>
  </w:comment>
  <w:comment w:id="3" w:author="PC" w:date="2025-09-16T09:42:00Z" w:initials="P">
    <w:p w14:paraId="6FB485D1" w14:textId="53D1F1D8" w:rsidR="00CB070A" w:rsidRDefault="00CB070A">
      <w:pPr>
        <w:pStyle w:val="CommentText"/>
      </w:pPr>
      <w:r>
        <w:rPr>
          <w:rStyle w:val="CommentReference"/>
        </w:rPr>
        <w:annotationRef/>
      </w:r>
      <w:r>
        <w:t>Old citation</w:t>
      </w:r>
    </w:p>
  </w:comment>
  <w:comment w:id="4" w:author="PC" w:date="2025-09-16T09:42:00Z" w:initials="P">
    <w:p w14:paraId="46A27615" w14:textId="2EB19660" w:rsidR="00CB070A" w:rsidRDefault="00CB070A">
      <w:pPr>
        <w:pStyle w:val="CommentText"/>
      </w:pPr>
      <w:r>
        <w:rPr>
          <w:rStyle w:val="CommentReference"/>
        </w:rPr>
        <w:annotationRef/>
      </w:r>
      <w:r>
        <w:t>Old citation</w:t>
      </w:r>
    </w:p>
  </w:comment>
  <w:comment w:id="5" w:author="PC" w:date="2025-09-16T09:44:00Z" w:initials="P">
    <w:p w14:paraId="1D07CDAB" w14:textId="183F2E7F" w:rsidR="00561244" w:rsidRDefault="00561244">
      <w:pPr>
        <w:pStyle w:val="CommentText"/>
      </w:pPr>
      <w:r>
        <w:rPr>
          <w:rStyle w:val="CommentReference"/>
        </w:rPr>
        <w:annotationRef/>
      </w:r>
      <w:r>
        <w:t>ANOVA. Write in CAPS</w:t>
      </w:r>
    </w:p>
  </w:comment>
  <w:comment w:id="6" w:author="PC" w:date="2025-09-16T09:44:00Z" w:initials="P">
    <w:p w14:paraId="69C1D55F" w14:textId="76C52214" w:rsidR="00561244" w:rsidRDefault="00561244">
      <w:pPr>
        <w:pStyle w:val="CommentText"/>
      </w:pPr>
      <w:r>
        <w:rPr>
          <w:rStyle w:val="CommentReference"/>
        </w:rPr>
        <w:annotationRef/>
      </w:r>
      <w:r>
        <w:t>Old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FD4C10" w15:done="0"/>
  <w15:commentEx w15:paraId="1B77DB5E" w15:done="0"/>
  <w15:commentEx w15:paraId="1B16665D" w15:done="0"/>
  <w15:commentEx w15:paraId="6FB485D1" w15:done="0"/>
  <w15:commentEx w15:paraId="46A27615" w15:done="0"/>
  <w15:commentEx w15:paraId="1D07CDAB" w15:done="0"/>
  <w15:commentEx w15:paraId="69C1D5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0BC26D" w16cex:dateUtc="2025-09-16T08:31:00Z"/>
  <w16cex:commentExtensible w16cex:durableId="37CB6E96" w16cex:dateUtc="2025-09-16T08:46:00Z"/>
  <w16cex:commentExtensible w16cex:durableId="71CEC34D" w16cex:dateUtc="2025-09-16T08:42:00Z"/>
  <w16cex:commentExtensible w16cex:durableId="5EE12632" w16cex:dateUtc="2025-09-16T08:42:00Z"/>
  <w16cex:commentExtensible w16cex:durableId="67BDEF4E" w16cex:dateUtc="2025-09-16T08:42:00Z"/>
  <w16cex:commentExtensible w16cex:durableId="1DE179DE" w16cex:dateUtc="2025-09-16T08:44:00Z"/>
  <w16cex:commentExtensible w16cex:durableId="530C6647" w16cex:dateUtc="2025-09-16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FD4C10" w16cid:durableId="100BC26D"/>
  <w16cid:commentId w16cid:paraId="1B77DB5E" w16cid:durableId="37CB6E96"/>
  <w16cid:commentId w16cid:paraId="1B16665D" w16cid:durableId="71CEC34D"/>
  <w16cid:commentId w16cid:paraId="6FB485D1" w16cid:durableId="5EE12632"/>
  <w16cid:commentId w16cid:paraId="46A27615" w16cid:durableId="67BDEF4E"/>
  <w16cid:commentId w16cid:paraId="1D07CDAB" w16cid:durableId="1DE179DE"/>
  <w16cid:commentId w16cid:paraId="69C1D55F" w16cid:durableId="530C6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18CC" w14:textId="77777777" w:rsidR="00812A88" w:rsidRDefault="00812A88" w:rsidP="00C37E61">
      <w:r>
        <w:separator/>
      </w:r>
    </w:p>
  </w:endnote>
  <w:endnote w:type="continuationSeparator" w:id="0">
    <w:p w14:paraId="616FE35F" w14:textId="77777777" w:rsidR="00812A88" w:rsidRDefault="00812A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2311" w14:textId="77777777" w:rsidR="009D17FC" w:rsidRDefault="009D1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DA33" w14:textId="77777777" w:rsidR="009D17FC" w:rsidRDefault="009D1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262B" w14:textId="3566F6E3" w:rsidR="00754C9A" w:rsidRPr="006C0E6C" w:rsidRDefault="00754C9A" w:rsidP="006C0E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18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F7FB" w14:textId="77777777" w:rsidR="00812A88" w:rsidRDefault="00812A88" w:rsidP="00C37E61">
      <w:r>
        <w:separator/>
      </w:r>
    </w:p>
  </w:footnote>
  <w:footnote w:type="continuationSeparator" w:id="0">
    <w:p w14:paraId="69572B7A" w14:textId="77777777" w:rsidR="00812A88" w:rsidRDefault="00812A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48E0" w14:textId="4557353B" w:rsidR="009D17FC" w:rsidRDefault="00000000">
    <w:pPr>
      <w:pStyle w:val="Header"/>
    </w:pPr>
    <w:r>
      <w:rPr>
        <w:noProof/>
      </w:rPr>
      <w:pict w14:anchorId="2AD84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D70B" w14:textId="395AE727" w:rsidR="009D17FC" w:rsidRDefault="00000000">
    <w:pPr>
      <w:pStyle w:val="Header"/>
    </w:pPr>
    <w:r>
      <w:rPr>
        <w:noProof/>
      </w:rPr>
      <w:pict w14:anchorId="6C48A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4980" w14:textId="1587D5BF" w:rsidR="00296529" w:rsidRPr="00296529" w:rsidRDefault="00000000" w:rsidP="00296529">
    <w:pPr>
      <w:ind w:left="2160"/>
      <w:jc w:val="center"/>
      <w:rPr>
        <w:rFonts w:ascii="Times New Roman" w:eastAsia="Calibri" w:hAnsi="Times New Roman"/>
        <w:i/>
        <w:sz w:val="18"/>
        <w:szCs w:val="22"/>
      </w:rPr>
    </w:pPr>
    <w:r>
      <w:rPr>
        <w:noProof/>
      </w:rPr>
      <w:pict w14:anchorId="7E18B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FC84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6B43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9B4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2B24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2E60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340F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119A" w14:textId="4F267958" w:rsidR="009D17FC" w:rsidRDefault="00000000">
    <w:pPr>
      <w:pStyle w:val="Header"/>
    </w:pPr>
    <w:r>
      <w:rPr>
        <w:noProof/>
      </w:rPr>
      <w:pict w14:anchorId="27003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38EC" w14:textId="021FB3FE" w:rsidR="009D17FC" w:rsidRDefault="00000000">
    <w:pPr>
      <w:pStyle w:val="Header"/>
    </w:pPr>
    <w:r>
      <w:rPr>
        <w:noProof/>
      </w:rPr>
      <w:pict w14:anchorId="512B3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424D" w14:textId="049D659E" w:rsidR="009D17FC" w:rsidRDefault="00000000">
    <w:pPr>
      <w:pStyle w:val="Header"/>
    </w:pPr>
    <w:r>
      <w:rPr>
        <w:noProof/>
      </w:rPr>
      <w:pict w14:anchorId="2DE9F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D673E5"/>
    <w:multiLevelType w:val="hybridMultilevel"/>
    <w:tmpl w:val="DCB0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E944A0"/>
    <w:multiLevelType w:val="hybridMultilevel"/>
    <w:tmpl w:val="FA6A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5450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083123">
    <w:abstractNumId w:val="16"/>
  </w:num>
  <w:num w:numId="3" w16cid:durableId="1700273623">
    <w:abstractNumId w:val="25"/>
  </w:num>
  <w:num w:numId="4" w16cid:durableId="18180642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5870369">
    <w:abstractNumId w:val="8"/>
  </w:num>
  <w:num w:numId="6" w16cid:durableId="2036298880">
    <w:abstractNumId w:val="6"/>
  </w:num>
  <w:num w:numId="7" w16cid:durableId="72506292">
    <w:abstractNumId w:val="1"/>
  </w:num>
  <w:num w:numId="8" w16cid:durableId="1965232203">
    <w:abstractNumId w:val="13"/>
  </w:num>
  <w:num w:numId="9" w16cid:durableId="1437359333">
    <w:abstractNumId w:val="27"/>
  </w:num>
  <w:num w:numId="10" w16cid:durableId="1810055678">
    <w:abstractNumId w:val="2"/>
  </w:num>
  <w:num w:numId="11" w16cid:durableId="2023703019">
    <w:abstractNumId w:val="19"/>
  </w:num>
  <w:num w:numId="12" w16cid:durableId="320545143">
    <w:abstractNumId w:val="3"/>
  </w:num>
  <w:num w:numId="13" w16cid:durableId="117995696">
    <w:abstractNumId w:val="18"/>
  </w:num>
  <w:num w:numId="14" w16cid:durableId="1844784332">
    <w:abstractNumId w:val="9"/>
  </w:num>
  <w:num w:numId="15" w16cid:durableId="1003704816">
    <w:abstractNumId w:val="23"/>
  </w:num>
  <w:num w:numId="16" w16cid:durableId="477965638">
    <w:abstractNumId w:val="5"/>
  </w:num>
  <w:num w:numId="17" w16cid:durableId="864634736">
    <w:abstractNumId w:val="24"/>
  </w:num>
  <w:num w:numId="18" w16cid:durableId="1626539852">
    <w:abstractNumId w:val="15"/>
  </w:num>
  <w:num w:numId="19" w16cid:durableId="1831214315">
    <w:abstractNumId w:val="30"/>
  </w:num>
  <w:num w:numId="20" w16cid:durableId="405688787">
    <w:abstractNumId w:val="12"/>
  </w:num>
  <w:num w:numId="21" w16cid:durableId="1391659076">
    <w:abstractNumId w:val="10"/>
  </w:num>
  <w:num w:numId="22" w16cid:durableId="2020228493">
    <w:abstractNumId w:val="14"/>
  </w:num>
  <w:num w:numId="23" w16cid:durableId="1204949985">
    <w:abstractNumId w:val="21"/>
  </w:num>
  <w:num w:numId="24" w16cid:durableId="1393432601">
    <w:abstractNumId w:val="28"/>
  </w:num>
  <w:num w:numId="25" w16cid:durableId="1468744000">
    <w:abstractNumId w:val="4"/>
  </w:num>
  <w:num w:numId="26" w16cid:durableId="256717141">
    <w:abstractNumId w:val="17"/>
  </w:num>
  <w:num w:numId="27" w16cid:durableId="1244417580">
    <w:abstractNumId w:val="22"/>
  </w:num>
  <w:num w:numId="28" w16cid:durableId="17316287">
    <w:abstractNumId w:val="29"/>
  </w:num>
  <w:num w:numId="29" w16cid:durableId="391123738">
    <w:abstractNumId w:val="26"/>
  </w:num>
  <w:num w:numId="30" w16cid:durableId="1829245075">
    <w:abstractNumId w:val="11"/>
  </w:num>
  <w:num w:numId="31" w16cid:durableId="430319785">
    <w:abstractNumId w:val="7"/>
  </w:num>
  <w:num w:numId="32" w16cid:durableId="128780751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D86"/>
    <w:rsid w:val="0004579C"/>
    <w:rsid w:val="00074DB7"/>
    <w:rsid w:val="00081832"/>
    <w:rsid w:val="000A47FA"/>
    <w:rsid w:val="000A65D3"/>
    <w:rsid w:val="000B1E33"/>
    <w:rsid w:val="000B784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535D"/>
    <w:rsid w:val="00200595"/>
    <w:rsid w:val="00204835"/>
    <w:rsid w:val="002128E3"/>
    <w:rsid w:val="00226242"/>
    <w:rsid w:val="00231920"/>
    <w:rsid w:val="0023195C"/>
    <w:rsid w:val="0023221A"/>
    <w:rsid w:val="0024282C"/>
    <w:rsid w:val="002460DC"/>
    <w:rsid w:val="00250985"/>
    <w:rsid w:val="002556F6"/>
    <w:rsid w:val="002731D5"/>
    <w:rsid w:val="00283105"/>
    <w:rsid w:val="00284C4C"/>
    <w:rsid w:val="00287018"/>
    <w:rsid w:val="00287E68"/>
    <w:rsid w:val="00296529"/>
    <w:rsid w:val="00297121"/>
    <w:rsid w:val="002A2EF6"/>
    <w:rsid w:val="002B27FB"/>
    <w:rsid w:val="002B31C1"/>
    <w:rsid w:val="002B685A"/>
    <w:rsid w:val="002C57D2"/>
    <w:rsid w:val="002E0D56"/>
    <w:rsid w:val="002E2F36"/>
    <w:rsid w:val="00315186"/>
    <w:rsid w:val="0032012B"/>
    <w:rsid w:val="0032554D"/>
    <w:rsid w:val="0033343E"/>
    <w:rsid w:val="003512C2"/>
    <w:rsid w:val="00371FB6"/>
    <w:rsid w:val="00373CCB"/>
    <w:rsid w:val="003763C1"/>
    <w:rsid w:val="00376BBE"/>
    <w:rsid w:val="00382860"/>
    <w:rsid w:val="0039224F"/>
    <w:rsid w:val="003A058A"/>
    <w:rsid w:val="003A05D7"/>
    <w:rsid w:val="003A43A4"/>
    <w:rsid w:val="003A7E18"/>
    <w:rsid w:val="003C1AFF"/>
    <w:rsid w:val="003C4C86"/>
    <w:rsid w:val="003C6258"/>
    <w:rsid w:val="003E2904"/>
    <w:rsid w:val="003E2A26"/>
    <w:rsid w:val="00401927"/>
    <w:rsid w:val="00403D05"/>
    <w:rsid w:val="0041027F"/>
    <w:rsid w:val="00410E0C"/>
    <w:rsid w:val="00412475"/>
    <w:rsid w:val="00423789"/>
    <w:rsid w:val="00440F43"/>
    <w:rsid w:val="00441B6F"/>
    <w:rsid w:val="00446221"/>
    <w:rsid w:val="00450E62"/>
    <w:rsid w:val="004539DB"/>
    <w:rsid w:val="004706AD"/>
    <w:rsid w:val="00471A80"/>
    <w:rsid w:val="00486F93"/>
    <w:rsid w:val="004B0185"/>
    <w:rsid w:val="004D07BA"/>
    <w:rsid w:val="004D305E"/>
    <w:rsid w:val="004D4277"/>
    <w:rsid w:val="004D7345"/>
    <w:rsid w:val="00502516"/>
    <w:rsid w:val="0050409C"/>
    <w:rsid w:val="00505A02"/>
    <w:rsid w:val="00505F06"/>
    <w:rsid w:val="00506828"/>
    <w:rsid w:val="0053056E"/>
    <w:rsid w:val="00533F10"/>
    <w:rsid w:val="00553E9B"/>
    <w:rsid w:val="00554FDA"/>
    <w:rsid w:val="00561244"/>
    <w:rsid w:val="005869C3"/>
    <w:rsid w:val="005906FD"/>
    <w:rsid w:val="005C61E8"/>
    <w:rsid w:val="005C784C"/>
    <w:rsid w:val="005D17F6"/>
    <w:rsid w:val="005E2CB6"/>
    <w:rsid w:val="005E5539"/>
    <w:rsid w:val="005F013F"/>
    <w:rsid w:val="00602BF5"/>
    <w:rsid w:val="006040A3"/>
    <w:rsid w:val="00617FDD"/>
    <w:rsid w:val="00633614"/>
    <w:rsid w:val="00633F68"/>
    <w:rsid w:val="00636EB2"/>
    <w:rsid w:val="006375B8"/>
    <w:rsid w:val="0066510A"/>
    <w:rsid w:val="00673F9F"/>
    <w:rsid w:val="00677132"/>
    <w:rsid w:val="00686953"/>
    <w:rsid w:val="00687A62"/>
    <w:rsid w:val="00687DEA"/>
    <w:rsid w:val="00687E67"/>
    <w:rsid w:val="006967F7"/>
    <w:rsid w:val="006A250C"/>
    <w:rsid w:val="006B21D3"/>
    <w:rsid w:val="006B57D0"/>
    <w:rsid w:val="006B6951"/>
    <w:rsid w:val="006C0E6C"/>
    <w:rsid w:val="006D30FF"/>
    <w:rsid w:val="006D6940"/>
    <w:rsid w:val="006F11EC"/>
    <w:rsid w:val="006F144E"/>
    <w:rsid w:val="006F2896"/>
    <w:rsid w:val="0070082C"/>
    <w:rsid w:val="007369E6"/>
    <w:rsid w:val="00746E59"/>
    <w:rsid w:val="00751494"/>
    <w:rsid w:val="00754C9A"/>
    <w:rsid w:val="0075599A"/>
    <w:rsid w:val="00761D52"/>
    <w:rsid w:val="00761DBA"/>
    <w:rsid w:val="0077749E"/>
    <w:rsid w:val="00783D73"/>
    <w:rsid w:val="00790ADA"/>
    <w:rsid w:val="007B25C9"/>
    <w:rsid w:val="007C1586"/>
    <w:rsid w:val="007D2288"/>
    <w:rsid w:val="007E088F"/>
    <w:rsid w:val="007F7B32"/>
    <w:rsid w:val="00804BC2"/>
    <w:rsid w:val="00811766"/>
    <w:rsid w:val="00812A88"/>
    <w:rsid w:val="0081431A"/>
    <w:rsid w:val="0082122F"/>
    <w:rsid w:val="0083216F"/>
    <w:rsid w:val="00855417"/>
    <w:rsid w:val="00860000"/>
    <w:rsid w:val="00863BD3"/>
    <w:rsid w:val="008641ED"/>
    <w:rsid w:val="00866D66"/>
    <w:rsid w:val="008671C6"/>
    <w:rsid w:val="00875803"/>
    <w:rsid w:val="0089771C"/>
    <w:rsid w:val="008B459E"/>
    <w:rsid w:val="008E13AE"/>
    <w:rsid w:val="008E1506"/>
    <w:rsid w:val="008E710C"/>
    <w:rsid w:val="008F69D6"/>
    <w:rsid w:val="00902823"/>
    <w:rsid w:val="00915CA6"/>
    <w:rsid w:val="00927834"/>
    <w:rsid w:val="009500A6"/>
    <w:rsid w:val="00957C18"/>
    <w:rsid w:val="009659BA"/>
    <w:rsid w:val="00983040"/>
    <w:rsid w:val="0098358D"/>
    <w:rsid w:val="009B3FB9"/>
    <w:rsid w:val="009B7C9B"/>
    <w:rsid w:val="009C2465"/>
    <w:rsid w:val="009C7231"/>
    <w:rsid w:val="009D17FC"/>
    <w:rsid w:val="009D35A0"/>
    <w:rsid w:val="009D7EB7"/>
    <w:rsid w:val="009E048A"/>
    <w:rsid w:val="009E08E9"/>
    <w:rsid w:val="009E3DB9"/>
    <w:rsid w:val="009E6539"/>
    <w:rsid w:val="009E6E35"/>
    <w:rsid w:val="009F0EDA"/>
    <w:rsid w:val="00A03B96"/>
    <w:rsid w:val="00A05B19"/>
    <w:rsid w:val="00A11163"/>
    <w:rsid w:val="00A1134E"/>
    <w:rsid w:val="00A24E7E"/>
    <w:rsid w:val="00A258C3"/>
    <w:rsid w:val="00A347C0"/>
    <w:rsid w:val="00A444DC"/>
    <w:rsid w:val="00A51431"/>
    <w:rsid w:val="00A539AD"/>
    <w:rsid w:val="00A74CAA"/>
    <w:rsid w:val="00A94063"/>
    <w:rsid w:val="00AA6219"/>
    <w:rsid w:val="00AA74E0"/>
    <w:rsid w:val="00AB703F"/>
    <w:rsid w:val="00AC082B"/>
    <w:rsid w:val="00AC6BB8"/>
    <w:rsid w:val="00AE008F"/>
    <w:rsid w:val="00AE245A"/>
    <w:rsid w:val="00AF215A"/>
    <w:rsid w:val="00B015F1"/>
    <w:rsid w:val="00B01FCD"/>
    <w:rsid w:val="00B1776C"/>
    <w:rsid w:val="00B21A4C"/>
    <w:rsid w:val="00B52583"/>
    <w:rsid w:val="00B52896"/>
    <w:rsid w:val="00B841E0"/>
    <w:rsid w:val="00B8563E"/>
    <w:rsid w:val="00B901CA"/>
    <w:rsid w:val="00B95236"/>
    <w:rsid w:val="00B96BD9"/>
    <w:rsid w:val="00BA1B01"/>
    <w:rsid w:val="00BA2641"/>
    <w:rsid w:val="00BA4624"/>
    <w:rsid w:val="00BB37AA"/>
    <w:rsid w:val="00BC1C37"/>
    <w:rsid w:val="00BC53A0"/>
    <w:rsid w:val="00BD2D23"/>
    <w:rsid w:val="00BE62AD"/>
    <w:rsid w:val="00BF121F"/>
    <w:rsid w:val="00BF1F80"/>
    <w:rsid w:val="00BF7E09"/>
    <w:rsid w:val="00C056E4"/>
    <w:rsid w:val="00C166EF"/>
    <w:rsid w:val="00C17EB0"/>
    <w:rsid w:val="00C27F5F"/>
    <w:rsid w:val="00C30A0F"/>
    <w:rsid w:val="00C37E61"/>
    <w:rsid w:val="00C70F1B"/>
    <w:rsid w:val="00C71A47"/>
    <w:rsid w:val="00C7464C"/>
    <w:rsid w:val="00C85588"/>
    <w:rsid w:val="00C907F1"/>
    <w:rsid w:val="00CB070A"/>
    <w:rsid w:val="00CB67B6"/>
    <w:rsid w:val="00CB73FB"/>
    <w:rsid w:val="00CD0242"/>
    <w:rsid w:val="00CD6755"/>
    <w:rsid w:val="00CD6856"/>
    <w:rsid w:val="00CE0089"/>
    <w:rsid w:val="00CE793C"/>
    <w:rsid w:val="00CF193C"/>
    <w:rsid w:val="00D05D79"/>
    <w:rsid w:val="00D173F1"/>
    <w:rsid w:val="00D61A91"/>
    <w:rsid w:val="00D74C3B"/>
    <w:rsid w:val="00D74CB0"/>
    <w:rsid w:val="00D8295D"/>
    <w:rsid w:val="00D867B1"/>
    <w:rsid w:val="00D92172"/>
    <w:rsid w:val="00DC2A65"/>
    <w:rsid w:val="00DE15F0"/>
    <w:rsid w:val="00DE5663"/>
    <w:rsid w:val="00DE78AA"/>
    <w:rsid w:val="00E053D0"/>
    <w:rsid w:val="00E15994"/>
    <w:rsid w:val="00E22389"/>
    <w:rsid w:val="00E3114E"/>
    <w:rsid w:val="00E31A70"/>
    <w:rsid w:val="00E35B02"/>
    <w:rsid w:val="00E66496"/>
    <w:rsid w:val="00E66B35"/>
    <w:rsid w:val="00E66E10"/>
    <w:rsid w:val="00E769F6"/>
    <w:rsid w:val="00E829E9"/>
    <w:rsid w:val="00E8407C"/>
    <w:rsid w:val="00E84F3C"/>
    <w:rsid w:val="00EA012C"/>
    <w:rsid w:val="00EA14C0"/>
    <w:rsid w:val="00EC6A55"/>
    <w:rsid w:val="00ED0288"/>
    <w:rsid w:val="00ED48D6"/>
    <w:rsid w:val="00EE52CB"/>
    <w:rsid w:val="00EF581D"/>
    <w:rsid w:val="00EF7FD8"/>
    <w:rsid w:val="00F06F59"/>
    <w:rsid w:val="00F17988"/>
    <w:rsid w:val="00F253E9"/>
    <w:rsid w:val="00F469F0"/>
    <w:rsid w:val="00F53273"/>
    <w:rsid w:val="00F645D4"/>
    <w:rsid w:val="00F755E4"/>
    <w:rsid w:val="00F77D02"/>
    <w:rsid w:val="00FA473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8AA830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687A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6040A3"/>
    <w:rPr>
      <w:color w:val="666666"/>
    </w:rPr>
  </w:style>
  <w:style w:type="character" w:customStyle="1" w:styleId="Heading4Char">
    <w:name w:val="Heading 4 Char"/>
    <w:basedOn w:val="DefaultParagraphFont"/>
    <w:link w:val="Heading4"/>
    <w:semiHidden/>
    <w:rsid w:val="00687A62"/>
    <w:rPr>
      <w:rFonts w:asciiTheme="majorHAnsi" w:eastAsiaTheme="majorEastAsia" w:hAnsiTheme="majorHAnsi" w:cstheme="majorBidi"/>
      <w:i/>
      <w:iCs/>
      <w:color w:val="365F91" w:themeColor="accent1" w:themeShade="BF"/>
    </w:rPr>
  </w:style>
  <w:style w:type="table" w:styleId="PlainTable2">
    <w:name w:val="Plain Table 2"/>
    <w:basedOn w:val="TableNormal"/>
    <w:uiPriority w:val="42"/>
    <w:rsid w:val="00687A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92172"/>
    <w:pPr>
      <w:ind w:left="720"/>
      <w:contextualSpacing/>
    </w:pPr>
  </w:style>
  <w:style w:type="paragraph" w:styleId="CommentSubject">
    <w:name w:val="annotation subject"/>
    <w:basedOn w:val="CommentText"/>
    <w:next w:val="CommentText"/>
    <w:link w:val="CommentSubjectChar"/>
    <w:semiHidden/>
    <w:unhideWhenUsed/>
    <w:rsid w:val="00BC1C37"/>
    <w:rPr>
      <w:rFonts w:ascii="Helvetica" w:hAnsi="Helvetica"/>
      <w:b/>
      <w:bCs/>
      <w:lang w:val="en-US" w:eastAsia="en-US"/>
    </w:rPr>
  </w:style>
  <w:style w:type="character" w:customStyle="1" w:styleId="CommentSubjectChar">
    <w:name w:val="Comment Subject Char"/>
    <w:basedOn w:val="CommentTextChar"/>
    <w:link w:val="CommentSubject"/>
    <w:semiHidden/>
    <w:rsid w:val="00BC1C3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37488">
      <w:marLeft w:val="480"/>
      <w:marRight w:val="0"/>
      <w:marTop w:val="0"/>
      <w:marBottom w:val="0"/>
      <w:divBdr>
        <w:top w:val="none" w:sz="0" w:space="0" w:color="auto"/>
        <w:left w:val="none" w:sz="0" w:space="0" w:color="auto"/>
        <w:bottom w:val="none" w:sz="0" w:space="0" w:color="auto"/>
        <w:right w:val="none" w:sz="0" w:space="0" w:color="auto"/>
      </w:divBdr>
    </w:div>
    <w:div w:id="9721148">
      <w:marLeft w:val="480"/>
      <w:marRight w:val="0"/>
      <w:marTop w:val="0"/>
      <w:marBottom w:val="0"/>
      <w:divBdr>
        <w:top w:val="none" w:sz="0" w:space="0" w:color="auto"/>
        <w:left w:val="none" w:sz="0" w:space="0" w:color="auto"/>
        <w:bottom w:val="none" w:sz="0" w:space="0" w:color="auto"/>
        <w:right w:val="none" w:sz="0" w:space="0" w:color="auto"/>
      </w:divBdr>
    </w:div>
    <w:div w:id="35936107">
      <w:marLeft w:val="480"/>
      <w:marRight w:val="0"/>
      <w:marTop w:val="0"/>
      <w:marBottom w:val="0"/>
      <w:divBdr>
        <w:top w:val="none" w:sz="0" w:space="0" w:color="auto"/>
        <w:left w:val="none" w:sz="0" w:space="0" w:color="auto"/>
        <w:bottom w:val="none" w:sz="0" w:space="0" w:color="auto"/>
        <w:right w:val="none" w:sz="0" w:space="0" w:color="auto"/>
      </w:divBdr>
    </w:div>
    <w:div w:id="43137762">
      <w:marLeft w:val="480"/>
      <w:marRight w:val="0"/>
      <w:marTop w:val="0"/>
      <w:marBottom w:val="0"/>
      <w:divBdr>
        <w:top w:val="none" w:sz="0" w:space="0" w:color="auto"/>
        <w:left w:val="none" w:sz="0" w:space="0" w:color="auto"/>
        <w:bottom w:val="none" w:sz="0" w:space="0" w:color="auto"/>
        <w:right w:val="none" w:sz="0" w:space="0" w:color="auto"/>
      </w:divBdr>
    </w:div>
    <w:div w:id="49963791">
      <w:marLeft w:val="480"/>
      <w:marRight w:val="0"/>
      <w:marTop w:val="0"/>
      <w:marBottom w:val="0"/>
      <w:divBdr>
        <w:top w:val="none" w:sz="0" w:space="0" w:color="auto"/>
        <w:left w:val="none" w:sz="0" w:space="0" w:color="auto"/>
        <w:bottom w:val="none" w:sz="0" w:space="0" w:color="auto"/>
        <w:right w:val="none" w:sz="0" w:space="0" w:color="auto"/>
      </w:divBdr>
    </w:div>
    <w:div w:id="54133385">
      <w:marLeft w:val="480"/>
      <w:marRight w:val="0"/>
      <w:marTop w:val="0"/>
      <w:marBottom w:val="0"/>
      <w:divBdr>
        <w:top w:val="none" w:sz="0" w:space="0" w:color="auto"/>
        <w:left w:val="none" w:sz="0" w:space="0" w:color="auto"/>
        <w:bottom w:val="none" w:sz="0" w:space="0" w:color="auto"/>
        <w:right w:val="none" w:sz="0" w:space="0" w:color="auto"/>
      </w:divBdr>
    </w:div>
    <w:div w:id="55907021">
      <w:marLeft w:val="480"/>
      <w:marRight w:val="0"/>
      <w:marTop w:val="0"/>
      <w:marBottom w:val="0"/>
      <w:divBdr>
        <w:top w:val="none" w:sz="0" w:space="0" w:color="auto"/>
        <w:left w:val="none" w:sz="0" w:space="0" w:color="auto"/>
        <w:bottom w:val="none" w:sz="0" w:space="0" w:color="auto"/>
        <w:right w:val="none" w:sz="0" w:space="0" w:color="auto"/>
      </w:divBdr>
    </w:div>
    <w:div w:id="56901743">
      <w:marLeft w:val="480"/>
      <w:marRight w:val="0"/>
      <w:marTop w:val="0"/>
      <w:marBottom w:val="0"/>
      <w:divBdr>
        <w:top w:val="none" w:sz="0" w:space="0" w:color="auto"/>
        <w:left w:val="none" w:sz="0" w:space="0" w:color="auto"/>
        <w:bottom w:val="none" w:sz="0" w:space="0" w:color="auto"/>
        <w:right w:val="none" w:sz="0" w:space="0" w:color="auto"/>
      </w:divBdr>
    </w:div>
    <w:div w:id="59865171">
      <w:marLeft w:val="480"/>
      <w:marRight w:val="0"/>
      <w:marTop w:val="0"/>
      <w:marBottom w:val="0"/>
      <w:divBdr>
        <w:top w:val="none" w:sz="0" w:space="0" w:color="auto"/>
        <w:left w:val="none" w:sz="0" w:space="0" w:color="auto"/>
        <w:bottom w:val="none" w:sz="0" w:space="0" w:color="auto"/>
        <w:right w:val="none" w:sz="0" w:space="0" w:color="auto"/>
      </w:divBdr>
    </w:div>
    <w:div w:id="75058159">
      <w:marLeft w:val="480"/>
      <w:marRight w:val="0"/>
      <w:marTop w:val="0"/>
      <w:marBottom w:val="0"/>
      <w:divBdr>
        <w:top w:val="none" w:sz="0" w:space="0" w:color="auto"/>
        <w:left w:val="none" w:sz="0" w:space="0" w:color="auto"/>
        <w:bottom w:val="none" w:sz="0" w:space="0" w:color="auto"/>
        <w:right w:val="none" w:sz="0" w:space="0" w:color="auto"/>
      </w:divBdr>
    </w:div>
    <w:div w:id="104468727">
      <w:marLeft w:val="480"/>
      <w:marRight w:val="0"/>
      <w:marTop w:val="0"/>
      <w:marBottom w:val="0"/>
      <w:divBdr>
        <w:top w:val="none" w:sz="0" w:space="0" w:color="auto"/>
        <w:left w:val="none" w:sz="0" w:space="0" w:color="auto"/>
        <w:bottom w:val="none" w:sz="0" w:space="0" w:color="auto"/>
        <w:right w:val="none" w:sz="0" w:space="0" w:color="auto"/>
      </w:divBdr>
    </w:div>
    <w:div w:id="105780672">
      <w:marLeft w:val="480"/>
      <w:marRight w:val="0"/>
      <w:marTop w:val="0"/>
      <w:marBottom w:val="0"/>
      <w:divBdr>
        <w:top w:val="none" w:sz="0" w:space="0" w:color="auto"/>
        <w:left w:val="none" w:sz="0" w:space="0" w:color="auto"/>
        <w:bottom w:val="none" w:sz="0" w:space="0" w:color="auto"/>
        <w:right w:val="none" w:sz="0" w:space="0" w:color="auto"/>
      </w:divBdr>
    </w:div>
    <w:div w:id="116995133">
      <w:marLeft w:val="480"/>
      <w:marRight w:val="0"/>
      <w:marTop w:val="0"/>
      <w:marBottom w:val="0"/>
      <w:divBdr>
        <w:top w:val="none" w:sz="0" w:space="0" w:color="auto"/>
        <w:left w:val="none" w:sz="0" w:space="0" w:color="auto"/>
        <w:bottom w:val="none" w:sz="0" w:space="0" w:color="auto"/>
        <w:right w:val="none" w:sz="0" w:space="0" w:color="auto"/>
      </w:divBdr>
    </w:div>
    <w:div w:id="131557805">
      <w:marLeft w:val="480"/>
      <w:marRight w:val="0"/>
      <w:marTop w:val="0"/>
      <w:marBottom w:val="0"/>
      <w:divBdr>
        <w:top w:val="none" w:sz="0" w:space="0" w:color="auto"/>
        <w:left w:val="none" w:sz="0" w:space="0" w:color="auto"/>
        <w:bottom w:val="none" w:sz="0" w:space="0" w:color="auto"/>
        <w:right w:val="none" w:sz="0" w:space="0" w:color="auto"/>
      </w:divBdr>
    </w:div>
    <w:div w:id="153375193">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771447">
      <w:marLeft w:val="480"/>
      <w:marRight w:val="0"/>
      <w:marTop w:val="0"/>
      <w:marBottom w:val="0"/>
      <w:divBdr>
        <w:top w:val="none" w:sz="0" w:space="0" w:color="auto"/>
        <w:left w:val="none" w:sz="0" w:space="0" w:color="auto"/>
        <w:bottom w:val="none" w:sz="0" w:space="0" w:color="auto"/>
        <w:right w:val="none" w:sz="0" w:space="0" w:color="auto"/>
      </w:divBdr>
    </w:div>
    <w:div w:id="205795698">
      <w:marLeft w:val="480"/>
      <w:marRight w:val="0"/>
      <w:marTop w:val="0"/>
      <w:marBottom w:val="0"/>
      <w:divBdr>
        <w:top w:val="none" w:sz="0" w:space="0" w:color="auto"/>
        <w:left w:val="none" w:sz="0" w:space="0" w:color="auto"/>
        <w:bottom w:val="none" w:sz="0" w:space="0" w:color="auto"/>
        <w:right w:val="none" w:sz="0" w:space="0" w:color="auto"/>
      </w:divBdr>
    </w:div>
    <w:div w:id="214898966">
      <w:marLeft w:val="480"/>
      <w:marRight w:val="0"/>
      <w:marTop w:val="0"/>
      <w:marBottom w:val="0"/>
      <w:divBdr>
        <w:top w:val="none" w:sz="0" w:space="0" w:color="auto"/>
        <w:left w:val="none" w:sz="0" w:space="0" w:color="auto"/>
        <w:bottom w:val="none" w:sz="0" w:space="0" w:color="auto"/>
        <w:right w:val="none" w:sz="0" w:space="0" w:color="auto"/>
      </w:divBdr>
    </w:div>
    <w:div w:id="219026147">
      <w:marLeft w:val="480"/>
      <w:marRight w:val="0"/>
      <w:marTop w:val="0"/>
      <w:marBottom w:val="0"/>
      <w:divBdr>
        <w:top w:val="none" w:sz="0" w:space="0" w:color="auto"/>
        <w:left w:val="none" w:sz="0" w:space="0" w:color="auto"/>
        <w:bottom w:val="none" w:sz="0" w:space="0" w:color="auto"/>
        <w:right w:val="none" w:sz="0" w:space="0" w:color="auto"/>
      </w:divBdr>
    </w:div>
    <w:div w:id="233201729">
      <w:marLeft w:val="480"/>
      <w:marRight w:val="0"/>
      <w:marTop w:val="0"/>
      <w:marBottom w:val="0"/>
      <w:divBdr>
        <w:top w:val="none" w:sz="0" w:space="0" w:color="auto"/>
        <w:left w:val="none" w:sz="0" w:space="0" w:color="auto"/>
        <w:bottom w:val="none" w:sz="0" w:space="0" w:color="auto"/>
        <w:right w:val="none" w:sz="0" w:space="0" w:color="auto"/>
      </w:divBdr>
    </w:div>
    <w:div w:id="235865496">
      <w:marLeft w:val="480"/>
      <w:marRight w:val="0"/>
      <w:marTop w:val="0"/>
      <w:marBottom w:val="0"/>
      <w:divBdr>
        <w:top w:val="none" w:sz="0" w:space="0" w:color="auto"/>
        <w:left w:val="none" w:sz="0" w:space="0" w:color="auto"/>
        <w:bottom w:val="none" w:sz="0" w:space="0" w:color="auto"/>
        <w:right w:val="none" w:sz="0" w:space="0" w:color="auto"/>
      </w:divBdr>
    </w:div>
    <w:div w:id="237132005">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656852">
      <w:marLeft w:val="480"/>
      <w:marRight w:val="0"/>
      <w:marTop w:val="0"/>
      <w:marBottom w:val="0"/>
      <w:divBdr>
        <w:top w:val="none" w:sz="0" w:space="0" w:color="auto"/>
        <w:left w:val="none" w:sz="0" w:space="0" w:color="auto"/>
        <w:bottom w:val="none" w:sz="0" w:space="0" w:color="auto"/>
        <w:right w:val="none" w:sz="0" w:space="0" w:color="auto"/>
      </w:divBdr>
    </w:div>
    <w:div w:id="280452549">
      <w:marLeft w:val="480"/>
      <w:marRight w:val="0"/>
      <w:marTop w:val="0"/>
      <w:marBottom w:val="0"/>
      <w:divBdr>
        <w:top w:val="none" w:sz="0" w:space="0" w:color="auto"/>
        <w:left w:val="none" w:sz="0" w:space="0" w:color="auto"/>
        <w:bottom w:val="none" w:sz="0" w:space="0" w:color="auto"/>
        <w:right w:val="none" w:sz="0" w:space="0" w:color="auto"/>
      </w:divBdr>
    </w:div>
    <w:div w:id="282424739">
      <w:marLeft w:val="480"/>
      <w:marRight w:val="0"/>
      <w:marTop w:val="0"/>
      <w:marBottom w:val="0"/>
      <w:divBdr>
        <w:top w:val="none" w:sz="0" w:space="0" w:color="auto"/>
        <w:left w:val="none" w:sz="0" w:space="0" w:color="auto"/>
        <w:bottom w:val="none" w:sz="0" w:space="0" w:color="auto"/>
        <w:right w:val="none" w:sz="0" w:space="0" w:color="auto"/>
      </w:divBdr>
    </w:div>
    <w:div w:id="299191806">
      <w:marLeft w:val="480"/>
      <w:marRight w:val="0"/>
      <w:marTop w:val="0"/>
      <w:marBottom w:val="0"/>
      <w:divBdr>
        <w:top w:val="none" w:sz="0" w:space="0" w:color="auto"/>
        <w:left w:val="none" w:sz="0" w:space="0" w:color="auto"/>
        <w:bottom w:val="none" w:sz="0" w:space="0" w:color="auto"/>
        <w:right w:val="none" w:sz="0" w:space="0" w:color="auto"/>
      </w:divBdr>
    </w:div>
    <w:div w:id="303891565">
      <w:marLeft w:val="480"/>
      <w:marRight w:val="0"/>
      <w:marTop w:val="0"/>
      <w:marBottom w:val="0"/>
      <w:divBdr>
        <w:top w:val="none" w:sz="0" w:space="0" w:color="auto"/>
        <w:left w:val="none" w:sz="0" w:space="0" w:color="auto"/>
        <w:bottom w:val="none" w:sz="0" w:space="0" w:color="auto"/>
        <w:right w:val="none" w:sz="0" w:space="0" w:color="auto"/>
      </w:divBdr>
    </w:div>
    <w:div w:id="313609429">
      <w:marLeft w:val="480"/>
      <w:marRight w:val="0"/>
      <w:marTop w:val="0"/>
      <w:marBottom w:val="0"/>
      <w:divBdr>
        <w:top w:val="none" w:sz="0" w:space="0" w:color="auto"/>
        <w:left w:val="none" w:sz="0" w:space="0" w:color="auto"/>
        <w:bottom w:val="none" w:sz="0" w:space="0" w:color="auto"/>
        <w:right w:val="none" w:sz="0" w:space="0" w:color="auto"/>
      </w:divBdr>
    </w:div>
    <w:div w:id="315230096">
      <w:marLeft w:val="480"/>
      <w:marRight w:val="0"/>
      <w:marTop w:val="0"/>
      <w:marBottom w:val="0"/>
      <w:divBdr>
        <w:top w:val="none" w:sz="0" w:space="0" w:color="auto"/>
        <w:left w:val="none" w:sz="0" w:space="0" w:color="auto"/>
        <w:bottom w:val="none" w:sz="0" w:space="0" w:color="auto"/>
        <w:right w:val="none" w:sz="0" w:space="0" w:color="auto"/>
      </w:divBdr>
    </w:div>
    <w:div w:id="324942533">
      <w:marLeft w:val="480"/>
      <w:marRight w:val="0"/>
      <w:marTop w:val="0"/>
      <w:marBottom w:val="0"/>
      <w:divBdr>
        <w:top w:val="none" w:sz="0" w:space="0" w:color="auto"/>
        <w:left w:val="none" w:sz="0" w:space="0" w:color="auto"/>
        <w:bottom w:val="none" w:sz="0" w:space="0" w:color="auto"/>
        <w:right w:val="none" w:sz="0" w:space="0" w:color="auto"/>
      </w:divBdr>
    </w:div>
    <w:div w:id="339351091">
      <w:marLeft w:val="480"/>
      <w:marRight w:val="0"/>
      <w:marTop w:val="0"/>
      <w:marBottom w:val="0"/>
      <w:divBdr>
        <w:top w:val="none" w:sz="0" w:space="0" w:color="auto"/>
        <w:left w:val="none" w:sz="0" w:space="0" w:color="auto"/>
        <w:bottom w:val="none" w:sz="0" w:space="0" w:color="auto"/>
        <w:right w:val="none" w:sz="0" w:space="0" w:color="auto"/>
      </w:divBdr>
    </w:div>
    <w:div w:id="347490448">
      <w:marLeft w:val="480"/>
      <w:marRight w:val="0"/>
      <w:marTop w:val="0"/>
      <w:marBottom w:val="0"/>
      <w:divBdr>
        <w:top w:val="none" w:sz="0" w:space="0" w:color="auto"/>
        <w:left w:val="none" w:sz="0" w:space="0" w:color="auto"/>
        <w:bottom w:val="none" w:sz="0" w:space="0" w:color="auto"/>
        <w:right w:val="none" w:sz="0" w:space="0" w:color="auto"/>
      </w:divBdr>
    </w:div>
    <w:div w:id="377321269">
      <w:marLeft w:val="480"/>
      <w:marRight w:val="0"/>
      <w:marTop w:val="0"/>
      <w:marBottom w:val="0"/>
      <w:divBdr>
        <w:top w:val="none" w:sz="0" w:space="0" w:color="auto"/>
        <w:left w:val="none" w:sz="0" w:space="0" w:color="auto"/>
        <w:bottom w:val="none" w:sz="0" w:space="0" w:color="auto"/>
        <w:right w:val="none" w:sz="0" w:space="0" w:color="auto"/>
      </w:divBdr>
    </w:div>
    <w:div w:id="398016166">
      <w:marLeft w:val="480"/>
      <w:marRight w:val="0"/>
      <w:marTop w:val="0"/>
      <w:marBottom w:val="0"/>
      <w:divBdr>
        <w:top w:val="none" w:sz="0" w:space="0" w:color="auto"/>
        <w:left w:val="none" w:sz="0" w:space="0" w:color="auto"/>
        <w:bottom w:val="none" w:sz="0" w:space="0" w:color="auto"/>
        <w:right w:val="none" w:sz="0" w:space="0" w:color="auto"/>
      </w:divBdr>
    </w:div>
    <w:div w:id="407120322">
      <w:marLeft w:val="480"/>
      <w:marRight w:val="0"/>
      <w:marTop w:val="0"/>
      <w:marBottom w:val="0"/>
      <w:divBdr>
        <w:top w:val="none" w:sz="0" w:space="0" w:color="auto"/>
        <w:left w:val="none" w:sz="0" w:space="0" w:color="auto"/>
        <w:bottom w:val="none" w:sz="0" w:space="0" w:color="auto"/>
        <w:right w:val="none" w:sz="0" w:space="0" w:color="auto"/>
      </w:divBdr>
    </w:div>
    <w:div w:id="420491771">
      <w:marLeft w:val="480"/>
      <w:marRight w:val="0"/>
      <w:marTop w:val="0"/>
      <w:marBottom w:val="0"/>
      <w:divBdr>
        <w:top w:val="none" w:sz="0" w:space="0" w:color="auto"/>
        <w:left w:val="none" w:sz="0" w:space="0" w:color="auto"/>
        <w:bottom w:val="none" w:sz="0" w:space="0" w:color="auto"/>
        <w:right w:val="none" w:sz="0" w:space="0" w:color="auto"/>
      </w:divBdr>
    </w:div>
    <w:div w:id="433676579">
      <w:marLeft w:val="480"/>
      <w:marRight w:val="0"/>
      <w:marTop w:val="0"/>
      <w:marBottom w:val="0"/>
      <w:divBdr>
        <w:top w:val="none" w:sz="0" w:space="0" w:color="auto"/>
        <w:left w:val="none" w:sz="0" w:space="0" w:color="auto"/>
        <w:bottom w:val="none" w:sz="0" w:space="0" w:color="auto"/>
        <w:right w:val="none" w:sz="0" w:space="0" w:color="auto"/>
      </w:divBdr>
    </w:div>
    <w:div w:id="441804294">
      <w:marLeft w:val="480"/>
      <w:marRight w:val="0"/>
      <w:marTop w:val="0"/>
      <w:marBottom w:val="0"/>
      <w:divBdr>
        <w:top w:val="none" w:sz="0" w:space="0" w:color="auto"/>
        <w:left w:val="none" w:sz="0" w:space="0" w:color="auto"/>
        <w:bottom w:val="none" w:sz="0" w:space="0" w:color="auto"/>
        <w:right w:val="none" w:sz="0" w:space="0" w:color="auto"/>
      </w:divBdr>
    </w:div>
    <w:div w:id="442967896">
      <w:marLeft w:val="480"/>
      <w:marRight w:val="0"/>
      <w:marTop w:val="0"/>
      <w:marBottom w:val="0"/>
      <w:divBdr>
        <w:top w:val="none" w:sz="0" w:space="0" w:color="auto"/>
        <w:left w:val="none" w:sz="0" w:space="0" w:color="auto"/>
        <w:bottom w:val="none" w:sz="0" w:space="0" w:color="auto"/>
        <w:right w:val="none" w:sz="0" w:space="0" w:color="auto"/>
      </w:divBdr>
    </w:div>
    <w:div w:id="445274691">
      <w:marLeft w:val="480"/>
      <w:marRight w:val="0"/>
      <w:marTop w:val="0"/>
      <w:marBottom w:val="0"/>
      <w:divBdr>
        <w:top w:val="none" w:sz="0" w:space="0" w:color="auto"/>
        <w:left w:val="none" w:sz="0" w:space="0" w:color="auto"/>
        <w:bottom w:val="none" w:sz="0" w:space="0" w:color="auto"/>
        <w:right w:val="none" w:sz="0" w:space="0" w:color="auto"/>
      </w:divBdr>
    </w:div>
    <w:div w:id="448398120">
      <w:marLeft w:val="480"/>
      <w:marRight w:val="0"/>
      <w:marTop w:val="0"/>
      <w:marBottom w:val="0"/>
      <w:divBdr>
        <w:top w:val="none" w:sz="0" w:space="0" w:color="auto"/>
        <w:left w:val="none" w:sz="0" w:space="0" w:color="auto"/>
        <w:bottom w:val="none" w:sz="0" w:space="0" w:color="auto"/>
        <w:right w:val="none" w:sz="0" w:space="0" w:color="auto"/>
      </w:divBdr>
    </w:div>
    <w:div w:id="463888701">
      <w:marLeft w:val="480"/>
      <w:marRight w:val="0"/>
      <w:marTop w:val="0"/>
      <w:marBottom w:val="0"/>
      <w:divBdr>
        <w:top w:val="none" w:sz="0" w:space="0" w:color="auto"/>
        <w:left w:val="none" w:sz="0" w:space="0" w:color="auto"/>
        <w:bottom w:val="none" w:sz="0" w:space="0" w:color="auto"/>
        <w:right w:val="none" w:sz="0" w:space="0" w:color="auto"/>
      </w:divBdr>
    </w:div>
    <w:div w:id="466288811">
      <w:marLeft w:val="480"/>
      <w:marRight w:val="0"/>
      <w:marTop w:val="0"/>
      <w:marBottom w:val="0"/>
      <w:divBdr>
        <w:top w:val="none" w:sz="0" w:space="0" w:color="auto"/>
        <w:left w:val="none" w:sz="0" w:space="0" w:color="auto"/>
        <w:bottom w:val="none" w:sz="0" w:space="0" w:color="auto"/>
        <w:right w:val="none" w:sz="0" w:space="0" w:color="auto"/>
      </w:divBdr>
    </w:div>
    <w:div w:id="466776838">
      <w:marLeft w:val="480"/>
      <w:marRight w:val="0"/>
      <w:marTop w:val="0"/>
      <w:marBottom w:val="0"/>
      <w:divBdr>
        <w:top w:val="none" w:sz="0" w:space="0" w:color="auto"/>
        <w:left w:val="none" w:sz="0" w:space="0" w:color="auto"/>
        <w:bottom w:val="none" w:sz="0" w:space="0" w:color="auto"/>
        <w:right w:val="none" w:sz="0" w:space="0" w:color="auto"/>
      </w:divBdr>
    </w:div>
    <w:div w:id="467742186">
      <w:marLeft w:val="480"/>
      <w:marRight w:val="0"/>
      <w:marTop w:val="0"/>
      <w:marBottom w:val="0"/>
      <w:divBdr>
        <w:top w:val="none" w:sz="0" w:space="0" w:color="auto"/>
        <w:left w:val="none" w:sz="0" w:space="0" w:color="auto"/>
        <w:bottom w:val="none" w:sz="0" w:space="0" w:color="auto"/>
        <w:right w:val="none" w:sz="0" w:space="0" w:color="auto"/>
      </w:divBdr>
    </w:div>
    <w:div w:id="478496143">
      <w:marLeft w:val="480"/>
      <w:marRight w:val="0"/>
      <w:marTop w:val="0"/>
      <w:marBottom w:val="0"/>
      <w:divBdr>
        <w:top w:val="none" w:sz="0" w:space="0" w:color="auto"/>
        <w:left w:val="none" w:sz="0" w:space="0" w:color="auto"/>
        <w:bottom w:val="none" w:sz="0" w:space="0" w:color="auto"/>
        <w:right w:val="none" w:sz="0" w:space="0" w:color="auto"/>
      </w:divBdr>
    </w:div>
    <w:div w:id="490215440">
      <w:marLeft w:val="480"/>
      <w:marRight w:val="0"/>
      <w:marTop w:val="0"/>
      <w:marBottom w:val="0"/>
      <w:divBdr>
        <w:top w:val="none" w:sz="0" w:space="0" w:color="auto"/>
        <w:left w:val="none" w:sz="0" w:space="0" w:color="auto"/>
        <w:bottom w:val="none" w:sz="0" w:space="0" w:color="auto"/>
        <w:right w:val="none" w:sz="0" w:space="0" w:color="auto"/>
      </w:divBdr>
    </w:div>
    <w:div w:id="490411918">
      <w:marLeft w:val="480"/>
      <w:marRight w:val="0"/>
      <w:marTop w:val="0"/>
      <w:marBottom w:val="0"/>
      <w:divBdr>
        <w:top w:val="none" w:sz="0" w:space="0" w:color="auto"/>
        <w:left w:val="none" w:sz="0" w:space="0" w:color="auto"/>
        <w:bottom w:val="none" w:sz="0" w:space="0" w:color="auto"/>
        <w:right w:val="none" w:sz="0" w:space="0" w:color="auto"/>
      </w:divBdr>
    </w:div>
    <w:div w:id="491793858">
      <w:marLeft w:val="480"/>
      <w:marRight w:val="0"/>
      <w:marTop w:val="0"/>
      <w:marBottom w:val="0"/>
      <w:divBdr>
        <w:top w:val="none" w:sz="0" w:space="0" w:color="auto"/>
        <w:left w:val="none" w:sz="0" w:space="0" w:color="auto"/>
        <w:bottom w:val="none" w:sz="0" w:space="0" w:color="auto"/>
        <w:right w:val="none" w:sz="0" w:space="0" w:color="auto"/>
      </w:divBdr>
    </w:div>
    <w:div w:id="491917755">
      <w:marLeft w:val="480"/>
      <w:marRight w:val="0"/>
      <w:marTop w:val="0"/>
      <w:marBottom w:val="0"/>
      <w:divBdr>
        <w:top w:val="none" w:sz="0" w:space="0" w:color="auto"/>
        <w:left w:val="none" w:sz="0" w:space="0" w:color="auto"/>
        <w:bottom w:val="none" w:sz="0" w:space="0" w:color="auto"/>
        <w:right w:val="none" w:sz="0" w:space="0" w:color="auto"/>
      </w:divBdr>
    </w:div>
    <w:div w:id="506140658">
      <w:marLeft w:val="480"/>
      <w:marRight w:val="0"/>
      <w:marTop w:val="0"/>
      <w:marBottom w:val="0"/>
      <w:divBdr>
        <w:top w:val="none" w:sz="0" w:space="0" w:color="auto"/>
        <w:left w:val="none" w:sz="0" w:space="0" w:color="auto"/>
        <w:bottom w:val="none" w:sz="0" w:space="0" w:color="auto"/>
        <w:right w:val="none" w:sz="0" w:space="0" w:color="auto"/>
      </w:divBdr>
    </w:div>
    <w:div w:id="514344903">
      <w:marLeft w:val="480"/>
      <w:marRight w:val="0"/>
      <w:marTop w:val="0"/>
      <w:marBottom w:val="0"/>
      <w:divBdr>
        <w:top w:val="none" w:sz="0" w:space="0" w:color="auto"/>
        <w:left w:val="none" w:sz="0" w:space="0" w:color="auto"/>
        <w:bottom w:val="none" w:sz="0" w:space="0" w:color="auto"/>
        <w:right w:val="none" w:sz="0" w:space="0" w:color="auto"/>
      </w:divBdr>
    </w:div>
    <w:div w:id="540215114">
      <w:marLeft w:val="480"/>
      <w:marRight w:val="0"/>
      <w:marTop w:val="0"/>
      <w:marBottom w:val="0"/>
      <w:divBdr>
        <w:top w:val="none" w:sz="0" w:space="0" w:color="auto"/>
        <w:left w:val="none" w:sz="0" w:space="0" w:color="auto"/>
        <w:bottom w:val="none" w:sz="0" w:space="0" w:color="auto"/>
        <w:right w:val="none" w:sz="0" w:space="0" w:color="auto"/>
      </w:divBdr>
    </w:div>
    <w:div w:id="543323639">
      <w:marLeft w:val="480"/>
      <w:marRight w:val="0"/>
      <w:marTop w:val="0"/>
      <w:marBottom w:val="0"/>
      <w:divBdr>
        <w:top w:val="none" w:sz="0" w:space="0" w:color="auto"/>
        <w:left w:val="none" w:sz="0" w:space="0" w:color="auto"/>
        <w:bottom w:val="none" w:sz="0" w:space="0" w:color="auto"/>
        <w:right w:val="none" w:sz="0" w:space="0" w:color="auto"/>
      </w:divBdr>
    </w:div>
    <w:div w:id="550463447">
      <w:marLeft w:val="480"/>
      <w:marRight w:val="0"/>
      <w:marTop w:val="0"/>
      <w:marBottom w:val="0"/>
      <w:divBdr>
        <w:top w:val="none" w:sz="0" w:space="0" w:color="auto"/>
        <w:left w:val="none" w:sz="0" w:space="0" w:color="auto"/>
        <w:bottom w:val="none" w:sz="0" w:space="0" w:color="auto"/>
        <w:right w:val="none" w:sz="0" w:space="0" w:color="auto"/>
      </w:divBdr>
    </w:div>
    <w:div w:id="558636529">
      <w:marLeft w:val="480"/>
      <w:marRight w:val="0"/>
      <w:marTop w:val="0"/>
      <w:marBottom w:val="0"/>
      <w:divBdr>
        <w:top w:val="none" w:sz="0" w:space="0" w:color="auto"/>
        <w:left w:val="none" w:sz="0" w:space="0" w:color="auto"/>
        <w:bottom w:val="none" w:sz="0" w:space="0" w:color="auto"/>
        <w:right w:val="none" w:sz="0" w:space="0" w:color="auto"/>
      </w:divBdr>
    </w:div>
    <w:div w:id="565645437">
      <w:marLeft w:val="480"/>
      <w:marRight w:val="0"/>
      <w:marTop w:val="0"/>
      <w:marBottom w:val="0"/>
      <w:divBdr>
        <w:top w:val="none" w:sz="0" w:space="0" w:color="auto"/>
        <w:left w:val="none" w:sz="0" w:space="0" w:color="auto"/>
        <w:bottom w:val="none" w:sz="0" w:space="0" w:color="auto"/>
        <w:right w:val="none" w:sz="0" w:space="0" w:color="auto"/>
      </w:divBdr>
    </w:div>
    <w:div w:id="568225939">
      <w:marLeft w:val="480"/>
      <w:marRight w:val="0"/>
      <w:marTop w:val="0"/>
      <w:marBottom w:val="0"/>
      <w:divBdr>
        <w:top w:val="none" w:sz="0" w:space="0" w:color="auto"/>
        <w:left w:val="none" w:sz="0" w:space="0" w:color="auto"/>
        <w:bottom w:val="none" w:sz="0" w:space="0" w:color="auto"/>
        <w:right w:val="none" w:sz="0" w:space="0" w:color="auto"/>
      </w:divBdr>
    </w:div>
    <w:div w:id="574970841">
      <w:marLeft w:val="480"/>
      <w:marRight w:val="0"/>
      <w:marTop w:val="0"/>
      <w:marBottom w:val="0"/>
      <w:divBdr>
        <w:top w:val="none" w:sz="0" w:space="0" w:color="auto"/>
        <w:left w:val="none" w:sz="0" w:space="0" w:color="auto"/>
        <w:bottom w:val="none" w:sz="0" w:space="0" w:color="auto"/>
        <w:right w:val="none" w:sz="0" w:space="0" w:color="auto"/>
      </w:divBdr>
    </w:div>
    <w:div w:id="592861213">
      <w:marLeft w:val="480"/>
      <w:marRight w:val="0"/>
      <w:marTop w:val="0"/>
      <w:marBottom w:val="0"/>
      <w:divBdr>
        <w:top w:val="none" w:sz="0" w:space="0" w:color="auto"/>
        <w:left w:val="none" w:sz="0" w:space="0" w:color="auto"/>
        <w:bottom w:val="none" w:sz="0" w:space="0" w:color="auto"/>
        <w:right w:val="none" w:sz="0" w:space="0" w:color="auto"/>
      </w:divBdr>
    </w:div>
    <w:div w:id="607006516">
      <w:marLeft w:val="480"/>
      <w:marRight w:val="0"/>
      <w:marTop w:val="0"/>
      <w:marBottom w:val="0"/>
      <w:divBdr>
        <w:top w:val="none" w:sz="0" w:space="0" w:color="auto"/>
        <w:left w:val="none" w:sz="0" w:space="0" w:color="auto"/>
        <w:bottom w:val="none" w:sz="0" w:space="0" w:color="auto"/>
        <w:right w:val="none" w:sz="0" w:space="0" w:color="auto"/>
      </w:divBdr>
    </w:div>
    <w:div w:id="629941621">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243345">
      <w:marLeft w:val="480"/>
      <w:marRight w:val="0"/>
      <w:marTop w:val="0"/>
      <w:marBottom w:val="0"/>
      <w:divBdr>
        <w:top w:val="none" w:sz="0" w:space="0" w:color="auto"/>
        <w:left w:val="none" w:sz="0" w:space="0" w:color="auto"/>
        <w:bottom w:val="none" w:sz="0" w:space="0" w:color="auto"/>
        <w:right w:val="none" w:sz="0" w:space="0" w:color="auto"/>
      </w:divBdr>
    </w:div>
    <w:div w:id="665091915">
      <w:marLeft w:val="480"/>
      <w:marRight w:val="0"/>
      <w:marTop w:val="0"/>
      <w:marBottom w:val="0"/>
      <w:divBdr>
        <w:top w:val="none" w:sz="0" w:space="0" w:color="auto"/>
        <w:left w:val="none" w:sz="0" w:space="0" w:color="auto"/>
        <w:bottom w:val="none" w:sz="0" w:space="0" w:color="auto"/>
        <w:right w:val="none" w:sz="0" w:space="0" w:color="auto"/>
      </w:divBdr>
    </w:div>
    <w:div w:id="669135580">
      <w:marLeft w:val="480"/>
      <w:marRight w:val="0"/>
      <w:marTop w:val="0"/>
      <w:marBottom w:val="0"/>
      <w:divBdr>
        <w:top w:val="none" w:sz="0" w:space="0" w:color="auto"/>
        <w:left w:val="none" w:sz="0" w:space="0" w:color="auto"/>
        <w:bottom w:val="none" w:sz="0" w:space="0" w:color="auto"/>
        <w:right w:val="none" w:sz="0" w:space="0" w:color="auto"/>
      </w:divBdr>
    </w:div>
    <w:div w:id="696858728">
      <w:marLeft w:val="480"/>
      <w:marRight w:val="0"/>
      <w:marTop w:val="0"/>
      <w:marBottom w:val="0"/>
      <w:divBdr>
        <w:top w:val="none" w:sz="0" w:space="0" w:color="auto"/>
        <w:left w:val="none" w:sz="0" w:space="0" w:color="auto"/>
        <w:bottom w:val="none" w:sz="0" w:space="0" w:color="auto"/>
        <w:right w:val="none" w:sz="0" w:space="0" w:color="auto"/>
      </w:divBdr>
    </w:div>
    <w:div w:id="712579686">
      <w:marLeft w:val="480"/>
      <w:marRight w:val="0"/>
      <w:marTop w:val="0"/>
      <w:marBottom w:val="0"/>
      <w:divBdr>
        <w:top w:val="none" w:sz="0" w:space="0" w:color="auto"/>
        <w:left w:val="none" w:sz="0" w:space="0" w:color="auto"/>
        <w:bottom w:val="none" w:sz="0" w:space="0" w:color="auto"/>
        <w:right w:val="none" w:sz="0" w:space="0" w:color="auto"/>
      </w:divBdr>
    </w:div>
    <w:div w:id="719016247">
      <w:marLeft w:val="480"/>
      <w:marRight w:val="0"/>
      <w:marTop w:val="0"/>
      <w:marBottom w:val="0"/>
      <w:divBdr>
        <w:top w:val="none" w:sz="0" w:space="0" w:color="auto"/>
        <w:left w:val="none" w:sz="0" w:space="0" w:color="auto"/>
        <w:bottom w:val="none" w:sz="0" w:space="0" w:color="auto"/>
        <w:right w:val="none" w:sz="0" w:space="0" w:color="auto"/>
      </w:divBdr>
    </w:div>
    <w:div w:id="720788221">
      <w:marLeft w:val="480"/>
      <w:marRight w:val="0"/>
      <w:marTop w:val="0"/>
      <w:marBottom w:val="0"/>
      <w:divBdr>
        <w:top w:val="none" w:sz="0" w:space="0" w:color="auto"/>
        <w:left w:val="none" w:sz="0" w:space="0" w:color="auto"/>
        <w:bottom w:val="none" w:sz="0" w:space="0" w:color="auto"/>
        <w:right w:val="none" w:sz="0" w:space="0" w:color="auto"/>
      </w:divBdr>
    </w:div>
    <w:div w:id="729229071">
      <w:marLeft w:val="480"/>
      <w:marRight w:val="0"/>
      <w:marTop w:val="0"/>
      <w:marBottom w:val="0"/>
      <w:divBdr>
        <w:top w:val="none" w:sz="0" w:space="0" w:color="auto"/>
        <w:left w:val="none" w:sz="0" w:space="0" w:color="auto"/>
        <w:bottom w:val="none" w:sz="0" w:space="0" w:color="auto"/>
        <w:right w:val="none" w:sz="0" w:space="0" w:color="auto"/>
      </w:divBdr>
    </w:div>
    <w:div w:id="738020183">
      <w:marLeft w:val="480"/>
      <w:marRight w:val="0"/>
      <w:marTop w:val="0"/>
      <w:marBottom w:val="0"/>
      <w:divBdr>
        <w:top w:val="none" w:sz="0" w:space="0" w:color="auto"/>
        <w:left w:val="none" w:sz="0" w:space="0" w:color="auto"/>
        <w:bottom w:val="none" w:sz="0" w:space="0" w:color="auto"/>
        <w:right w:val="none" w:sz="0" w:space="0" w:color="auto"/>
      </w:divBdr>
    </w:div>
    <w:div w:id="742677360">
      <w:marLeft w:val="480"/>
      <w:marRight w:val="0"/>
      <w:marTop w:val="0"/>
      <w:marBottom w:val="0"/>
      <w:divBdr>
        <w:top w:val="none" w:sz="0" w:space="0" w:color="auto"/>
        <w:left w:val="none" w:sz="0" w:space="0" w:color="auto"/>
        <w:bottom w:val="none" w:sz="0" w:space="0" w:color="auto"/>
        <w:right w:val="none" w:sz="0" w:space="0" w:color="auto"/>
      </w:divBdr>
    </w:div>
    <w:div w:id="744835623">
      <w:marLeft w:val="480"/>
      <w:marRight w:val="0"/>
      <w:marTop w:val="0"/>
      <w:marBottom w:val="0"/>
      <w:divBdr>
        <w:top w:val="none" w:sz="0" w:space="0" w:color="auto"/>
        <w:left w:val="none" w:sz="0" w:space="0" w:color="auto"/>
        <w:bottom w:val="none" w:sz="0" w:space="0" w:color="auto"/>
        <w:right w:val="none" w:sz="0" w:space="0" w:color="auto"/>
      </w:divBdr>
    </w:div>
    <w:div w:id="752975755">
      <w:marLeft w:val="480"/>
      <w:marRight w:val="0"/>
      <w:marTop w:val="0"/>
      <w:marBottom w:val="0"/>
      <w:divBdr>
        <w:top w:val="none" w:sz="0" w:space="0" w:color="auto"/>
        <w:left w:val="none" w:sz="0" w:space="0" w:color="auto"/>
        <w:bottom w:val="none" w:sz="0" w:space="0" w:color="auto"/>
        <w:right w:val="none" w:sz="0" w:space="0" w:color="auto"/>
      </w:divBdr>
    </w:div>
    <w:div w:id="776212939">
      <w:marLeft w:val="480"/>
      <w:marRight w:val="0"/>
      <w:marTop w:val="0"/>
      <w:marBottom w:val="0"/>
      <w:divBdr>
        <w:top w:val="none" w:sz="0" w:space="0" w:color="auto"/>
        <w:left w:val="none" w:sz="0" w:space="0" w:color="auto"/>
        <w:bottom w:val="none" w:sz="0" w:space="0" w:color="auto"/>
        <w:right w:val="none" w:sz="0" w:space="0" w:color="auto"/>
      </w:divBdr>
    </w:div>
    <w:div w:id="788934539">
      <w:marLeft w:val="480"/>
      <w:marRight w:val="0"/>
      <w:marTop w:val="0"/>
      <w:marBottom w:val="0"/>
      <w:divBdr>
        <w:top w:val="none" w:sz="0" w:space="0" w:color="auto"/>
        <w:left w:val="none" w:sz="0" w:space="0" w:color="auto"/>
        <w:bottom w:val="none" w:sz="0" w:space="0" w:color="auto"/>
        <w:right w:val="none" w:sz="0" w:space="0" w:color="auto"/>
      </w:divBdr>
    </w:div>
    <w:div w:id="809903172">
      <w:marLeft w:val="480"/>
      <w:marRight w:val="0"/>
      <w:marTop w:val="0"/>
      <w:marBottom w:val="0"/>
      <w:divBdr>
        <w:top w:val="none" w:sz="0" w:space="0" w:color="auto"/>
        <w:left w:val="none" w:sz="0" w:space="0" w:color="auto"/>
        <w:bottom w:val="none" w:sz="0" w:space="0" w:color="auto"/>
        <w:right w:val="none" w:sz="0" w:space="0" w:color="auto"/>
      </w:divBdr>
    </w:div>
    <w:div w:id="820275590">
      <w:marLeft w:val="480"/>
      <w:marRight w:val="0"/>
      <w:marTop w:val="0"/>
      <w:marBottom w:val="0"/>
      <w:divBdr>
        <w:top w:val="none" w:sz="0" w:space="0" w:color="auto"/>
        <w:left w:val="none" w:sz="0" w:space="0" w:color="auto"/>
        <w:bottom w:val="none" w:sz="0" w:space="0" w:color="auto"/>
        <w:right w:val="none" w:sz="0" w:space="0" w:color="auto"/>
      </w:divBdr>
    </w:div>
    <w:div w:id="845096027">
      <w:marLeft w:val="480"/>
      <w:marRight w:val="0"/>
      <w:marTop w:val="0"/>
      <w:marBottom w:val="0"/>
      <w:divBdr>
        <w:top w:val="none" w:sz="0" w:space="0" w:color="auto"/>
        <w:left w:val="none" w:sz="0" w:space="0" w:color="auto"/>
        <w:bottom w:val="none" w:sz="0" w:space="0" w:color="auto"/>
        <w:right w:val="none" w:sz="0" w:space="0" w:color="auto"/>
      </w:divBdr>
    </w:div>
    <w:div w:id="868954643">
      <w:marLeft w:val="480"/>
      <w:marRight w:val="0"/>
      <w:marTop w:val="0"/>
      <w:marBottom w:val="0"/>
      <w:divBdr>
        <w:top w:val="none" w:sz="0" w:space="0" w:color="auto"/>
        <w:left w:val="none" w:sz="0" w:space="0" w:color="auto"/>
        <w:bottom w:val="none" w:sz="0" w:space="0" w:color="auto"/>
        <w:right w:val="none" w:sz="0" w:space="0" w:color="auto"/>
      </w:divBdr>
    </w:div>
    <w:div w:id="871185946">
      <w:marLeft w:val="480"/>
      <w:marRight w:val="0"/>
      <w:marTop w:val="0"/>
      <w:marBottom w:val="0"/>
      <w:divBdr>
        <w:top w:val="none" w:sz="0" w:space="0" w:color="auto"/>
        <w:left w:val="none" w:sz="0" w:space="0" w:color="auto"/>
        <w:bottom w:val="none" w:sz="0" w:space="0" w:color="auto"/>
        <w:right w:val="none" w:sz="0" w:space="0" w:color="auto"/>
      </w:divBdr>
    </w:div>
    <w:div w:id="879900511">
      <w:marLeft w:val="480"/>
      <w:marRight w:val="0"/>
      <w:marTop w:val="0"/>
      <w:marBottom w:val="0"/>
      <w:divBdr>
        <w:top w:val="none" w:sz="0" w:space="0" w:color="auto"/>
        <w:left w:val="none" w:sz="0" w:space="0" w:color="auto"/>
        <w:bottom w:val="none" w:sz="0" w:space="0" w:color="auto"/>
        <w:right w:val="none" w:sz="0" w:space="0" w:color="auto"/>
      </w:divBdr>
    </w:div>
    <w:div w:id="881598704">
      <w:marLeft w:val="480"/>
      <w:marRight w:val="0"/>
      <w:marTop w:val="0"/>
      <w:marBottom w:val="0"/>
      <w:divBdr>
        <w:top w:val="none" w:sz="0" w:space="0" w:color="auto"/>
        <w:left w:val="none" w:sz="0" w:space="0" w:color="auto"/>
        <w:bottom w:val="none" w:sz="0" w:space="0" w:color="auto"/>
        <w:right w:val="none" w:sz="0" w:space="0" w:color="auto"/>
      </w:divBdr>
    </w:div>
    <w:div w:id="888997842">
      <w:marLeft w:val="480"/>
      <w:marRight w:val="0"/>
      <w:marTop w:val="0"/>
      <w:marBottom w:val="0"/>
      <w:divBdr>
        <w:top w:val="none" w:sz="0" w:space="0" w:color="auto"/>
        <w:left w:val="none" w:sz="0" w:space="0" w:color="auto"/>
        <w:bottom w:val="none" w:sz="0" w:space="0" w:color="auto"/>
        <w:right w:val="none" w:sz="0" w:space="0" w:color="auto"/>
      </w:divBdr>
    </w:div>
    <w:div w:id="898713084">
      <w:marLeft w:val="480"/>
      <w:marRight w:val="0"/>
      <w:marTop w:val="0"/>
      <w:marBottom w:val="0"/>
      <w:divBdr>
        <w:top w:val="none" w:sz="0" w:space="0" w:color="auto"/>
        <w:left w:val="none" w:sz="0" w:space="0" w:color="auto"/>
        <w:bottom w:val="none" w:sz="0" w:space="0" w:color="auto"/>
        <w:right w:val="none" w:sz="0" w:space="0" w:color="auto"/>
      </w:divBdr>
    </w:div>
    <w:div w:id="913473206">
      <w:marLeft w:val="480"/>
      <w:marRight w:val="0"/>
      <w:marTop w:val="0"/>
      <w:marBottom w:val="0"/>
      <w:divBdr>
        <w:top w:val="none" w:sz="0" w:space="0" w:color="auto"/>
        <w:left w:val="none" w:sz="0" w:space="0" w:color="auto"/>
        <w:bottom w:val="none" w:sz="0" w:space="0" w:color="auto"/>
        <w:right w:val="none" w:sz="0" w:space="0" w:color="auto"/>
      </w:divBdr>
    </w:div>
    <w:div w:id="921261873">
      <w:marLeft w:val="480"/>
      <w:marRight w:val="0"/>
      <w:marTop w:val="0"/>
      <w:marBottom w:val="0"/>
      <w:divBdr>
        <w:top w:val="none" w:sz="0" w:space="0" w:color="auto"/>
        <w:left w:val="none" w:sz="0" w:space="0" w:color="auto"/>
        <w:bottom w:val="none" w:sz="0" w:space="0" w:color="auto"/>
        <w:right w:val="none" w:sz="0" w:space="0" w:color="auto"/>
      </w:divBdr>
    </w:div>
    <w:div w:id="958680243">
      <w:marLeft w:val="480"/>
      <w:marRight w:val="0"/>
      <w:marTop w:val="0"/>
      <w:marBottom w:val="0"/>
      <w:divBdr>
        <w:top w:val="none" w:sz="0" w:space="0" w:color="auto"/>
        <w:left w:val="none" w:sz="0" w:space="0" w:color="auto"/>
        <w:bottom w:val="none" w:sz="0" w:space="0" w:color="auto"/>
        <w:right w:val="none" w:sz="0" w:space="0" w:color="auto"/>
      </w:divBdr>
    </w:div>
    <w:div w:id="967319014">
      <w:marLeft w:val="480"/>
      <w:marRight w:val="0"/>
      <w:marTop w:val="0"/>
      <w:marBottom w:val="0"/>
      <w:divBdr>
        <w:top w:val="none" w:sz="0" w:space="0" w:color="auto"/>
        <w:left w:val="none" w:sz="0" w:space="0" w:color="auto"/>
        <w:bottom w:val="none" w:sz="0" w:space="0" w:color="auto"/>
        <w:right w:val="none" w:sz="0" w:space="0" w:color="auto"/>
      </w:divBdr>
    </w:div>
    <w:div w:id="967932487">
      <w:marLeft w:val="480"/>
      <w:marRight w:val="0"/>
      <w:marTop w:val="0"/>
      <w:marBottom w:val="0"/>
      <w:divBdr>
        <w:top w:val="none" w:sz="0" w:space="0" w:color="auto"/>
        <w:left w:val="none" w:sz="0" w:space="0" w:color="auto"/>
        <w:bottom w:val="none" w:sz="0" w:space="0" w:color="auto"/>
        <w:right w:val="none" w:sz="0" w:space="0" w:color="auto"/>
      </w:divBdr>
    </w:div>
    <w:div w:id="974992596">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343335">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170012">
      <w:marLeft w:val="480"/>
      <w:marRight w:val="0"/>
      <w:marTop w:val="0"/>
      <w:marBottom w:val="0"/>
      <w:divBdr>
        <w:top w:val="none" w:sz="0" w:space="0" w:color="auto"/>
        <w:left w:val="none" w:sz="0" w:space="0" w:color="auto"/>
        <w:bottom w:val="none" w:sz="0" w:space="0" w:color="auto"/>
        <w:right w:val="none" w:sz="0" w:space="0" w:color="auto"/>
      </w:divBdr>
    </w:div>
    <w:div w:id="1010525423">
      <w:marLeft w:val="480"/>
      <w:marRight w:val="0"/>
      <w:marTop w:val="0"/>
      <w:marBottom w:val="0"/>
      <w:divBdr>
        <w:top w:val="none" w:sz="0" w:space="0" w:color="auto"/>
        <w:left w:val="none" w:sz="0" w:space="0" w:color="auto"/>
        <w:bottom w:val="none" w:sz="0" w:space="0" w:color="auto"/>
        <w:right w:val="none" w:sz="0" w:space="0" w:color="auto"/>
      </w:divBdr>
    </w:div>
    <w:div w:id="1011100236">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76857">
      <w:marLeft w:val="480"/>
      <w:marRight w:val="0"/>
      <w:marTop w:val="0"/>
      <w:marBottom w:val="0"/>
      <w:divBdr>
        <w:top w:val="none" w:sz="0" w:space="0" w:color="auto"/>
        <w:left w:val="none" w:sz="0" w:space="0" w:color="auto"/>
        <w:bottom w:val="none" w:sz="0" w:space="0" w:color="auto"/>
        <w:right w:val="none" w:sz="0" w:space="0" w:color="auto"/>
      </w:divBdr>
    </w:div>
    <w:div w:id="1024786845">
      <w:marLeft w:val="480"/>
      <w:marRight w:val="0"/>
      <w:marTop w:val="0"/>
      <w:marBottom w:val="0"/>
      <w:divBdr>
        <w:top w:val="none" w:sz="0" w:space="0" w:color="auto"/>
        <w:left w:val="none" w:sz="0" w:space="0" w:color="auto"/>
        <w:bottom w:val="none" w:sz="0" w:space="0" w:color="auto"/>
        <w:right w:val="none" w:sz="0" w:space="0" w:color="auto"/>
      </w:divBdr>
    </w:div>
    <w:div w:id="1029988320">
      <w:marLeft w:val="480"/>
      <w:marRight w:val="0"/>
      <w:marTop w:val="0"/>
      <w:marBottom w:val="0"/>
      <w:divBdr>
        <w:top w:val="none" w:sz="0" w:space="0" w:color="auto"/>
        <w:left w:val="none" w:sz="0" w:space="0" w:color="auto"/>
        <w:bottom w:val="none" w:sz="0" w:space="0" w:color="auto"/>
        <w:right w:val="none" w:sz="0" w:space="0" w:color="auto"/>
      </w:divBdr>
    </w:div>
    <w:div w:id="1046182994">
      <w:marLeft w:val="480"/>
      <w:marRight w:val="0"/>
      <w:marTop w:val="0"/>
      <w:marBottom w:val="0"/>
      <w:divBdr>
        <w:top w:val="none" w:sz="0" w:space="0" w:color="auto"/>
        <w:left w:val="none" w:sz="0" w:space="0" w:color="auto"/>
        <w:bottom w:val="none" w:sz="0" w:space="0" w:color="auto"/>
        <w:right w:val="none" w:sz="0" w:space="0" w:color="auto"/>
      </w:divBdr>
    </w:div>
    <w:div w:id="1050884605">
      <w:marLeft w:val="480"/>
      <w:marRight w:val="0"/>
      <w:marTop w:val="0"/>
      <w:marBottom w:val="0"/>
      <w:divBdr>
        <w:top w:val="none" w:sz="0" w:space="0" w:color="auto"/>
        <w:left w:val="none" w:sz="0" w:space="0" w:color="auto"/>
        <w:bottom w:val="none" w:sz="0" w:space="0" w:color="auto"/>
        <w:right w:val="none" w:sz="0" w:space="0" w:color="auto"/>
      </w:divBdr>
    </w:div>
    <w:div w:id="1056007664">
      <w:marLeft w:val="480"/>
      <w:marRight w:val="0"/>
      <w:marTop w:val="0"/>
      <w:marBottom w:val="0"/>
      <w:divBdr>
        <w:top w:val="none" w:sz="0" w:space="0" w:color="auto"/>
        <w:left w:val="none" w:sz="0" w:space="0" w:color="auto"/>
        <w:bottom w:val="none" w:sz="0" w:space="0" w:color="auto"/>
        <w:right w:val="none" w:sz="0" w:space="0" w:color="auto"/>
      </w:divBdr>
    </w:div>
    <w:div w:id="1071318435">
      <w:marLeft w:val="480"/>
      <w:marRight w:val="0"/>
      <w:marTop w:val="0"/>
      <w:marBottom w:val="0"/>
      <w:divBdr>
        <w:top w:val="none" w:sz="0" w:space="0" w:color="auto"/>
        <w:left w:val="none" w:sz="0" w:space="0" w:color="auto"/>
        <w:bottom w:val="none" w:sz="0" w:space="0" w:color="auto"/>
        <w:right w:val="none" w:sz="0" w:space="0" w:color="auto"/>
      </w:divBdr>
    </w:div>
    <w:div w:id="1071660405">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0639422">
      <w:marLeft w:val="480"/>
      <w:marRight w:val="0"/>
      <w:marTop w:val="0"/>
      <w:marBottom w:val="0"/>
      <w:divBdr>
        <w:top w:val="none" w:sz="0" w:space="0" w:color="auto"/>
        <w:left w:val="none" w:sz="0" w:space="0" w:color="auto"/>
        <w:bottom w:val="none" w:sz="0" w:space="0" w:color="auto"/>
        <w:right w:val="none" w:sz="0" w:space="0" w:color="auto"/>
      </w:divBdr>
    </w:div>
    <w:div w:id="1102383713">
      <w:marLeft w:val="480"/>
      <w:marRight w:val="0"/>
      <w:marTop w:val="0"/>
      <w:marBottom w:val="0"/>
      <w:divBdr>
        <w:top w:val="none" w:sz="0" w:space="0" w:color="auto"/>
        <w:left w:val="none" w:sz="0" w:space="0" w:color="auto"/>
        <w:bottom w:val="none" w:sz="0" w:space="0" w:color="auto"/>
        <w:right w:val="none" w:sz="0" w:space="0" w:color="auto"/>
      </w:divBdr>
    </w:div>
    <w:div w:id="1111167648">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738008">
      <w:marLeft w:val="480"/>
      <w:marRight w:val="0"/>
      <w:marTop w:val="0"/>
      <w:marBottom w:val="0"/>
      <w:divBdr>
        <w:top w:val="none" w:sz="0" w:space="0" w:color="auto"/>
        <w:left w:val="none" w:sz="0" w:space="0" w:color="auto"/>
        <w:bottom w:val="none" w:sz="0" w:space="0" w:color="auto"/>
        <w:right w:val="none" w:sz="0" w:space="0" w:color="auto"/>
      </w:divBdr>
    </w:div>
    <w:div w:id="1129906630">
      <w:marLeft w:val="480"/>
      <w:marRight w:val="0"/>
      <w:marTop w:val="0"/>
      <w:marBottom w:val="0"/>
      <w:divBdr>
        <w:top w:val="none" w:sz="0" w:space="0" w:color="auto"/>
        <w:left w:val="none" w:sz="0" w:space="0" w:color="auto"/>
        <w:bottom w:val="none" w:sz="0" w:space="0" w:color="auto"/>
        <w:right w:val="none" w:sz="0" w:space="0" w:color="auto"/>
      </w:divBdr>
    </w:div>
    <w:div w:id="1131627842">
      <w:marLeft w:val="480"/>
      <w:marRight w:val="0"/>
      <w:marTop w:val="0"/>
      <w:marBottom w:val="0"/>
      <w:divBdr>
        <w:top w:val="none" w:sz="0" w:space="0" w:color="auto"/>
        <w:left w:val="none" w:sz="0" w:space="0" w:color="auto"/>
        <w:bottom w:val="none" w:sz="0" w:space="0" w:color="auto"/>
        <w:right w:val="none" w:sz="0" w:space="0" w:color="auto"/>
      </w:divBdr>
    </w:div>
    <w:div w:id="1143153345">
      <w:marLeft w:val="480"/>
      <w:marRight w:val="0"/>
      <w:marTop w:val="0"/>
      <w:marBottom w:val="0"/>
      <w:divBdr>
        <w:top w:val="none" w:sz="0" w:space="0" w:color="auto"/>
        <w:left w:val="none" w:sz="0" w:space="0" w:color="auto"/>
        <w:bottom w:val="none" w:sz="0" w:space="0" w:color="auto"/>
        <w:right w:val="none" w:sz="0" w:space="0" w:color="auto"/>
      </w:divBdr>
    </w:div>
    <w:div w:id="1149902792">
      <w:marLeft w:val="480"/>
      <w:marRight w:val="0"/>
      <w:marTop w:val="0"/>
      <w:marBottom w:val="0"/>
      <w:divBdr>
        <w:top w:val="none" w:sz="0" w:space="0" w:color="auto"/>
        <w:left w:val="none" w:sz="0" w:space="0" w:color="auto"/>
        <w:bottom w:val="none" w:sz="0" w:space="0" w:color="auto"/>
        <w:right w:val="none" w:sz="0" w:space="0" w:color="auto"/>
      </w:divBdr>
    </w:div>
    <w:div w:id="1177115997">
      <w:marLeft w:val="480"/>
      <w:marRight w:val="0"/>
      <w:marTop w:val="0"/>
      <w:marBottom w:val="0"/>
      <w:divBdr>
        <w:top w:val="none" w:sz="0" w:space="0" w:color="auto"/>
        <w:left w:val="none" w:sz="0" w:space="0" w:color="auto"/>
        <w:bottom w:val="none" w:sz="0" w:space="0" w:color="auto"/>
        <w:right w:val="none" w:sz="0" w:space="0" w:color="auto"/>
      </w:divBdr>
    </w:div>
    <w:div w:id="1180511247">
      <w:marLeft w:val="480"/>
      <w:marRight w:val="0"/>
      <w:marTop w:val="0"/>
      <w:marBottom w:val="0"/>
      <w:divBdr>
        <w:top w:val="none" w:sz="0" w:space="0" w:color="auto"/>
        <w:left w:val="none" w:sz="0" w:space="0" w:color="auto"/>
        <w:bottom w:val="none" w:sz="0" w:space="0" w:color="auto"/>
        <w:right w:val="none" w:sz="0" w:space="0" w:color="auto"/>
      </w:divBdr>
    </w:div>
    <w:div w:id="1191071926">
      <w:marLeft w:val="480"/>
      <w:marRight w:val="0"/>
      <w:marTop w:val="0"/>
      <w:marBottom w:val="0"/>
      <w:divBdr>
        <w:top w:val="none" w:sz="0" w:space="0" w:color="auto"/>
        <w:left w:val="none" w:sz="0" w:space="0" w:color="auto"/>
        <w:bottom w:val="none" w:sz="0" w:space="0" w:color="auto"/>
        <w:right w:val="none" w:sz="0" w:space="0" w:color="auto"/>
      </w:divBdr>
    </w:div>
    <w:div w:id="1202403043">
      <w:marLeft w:val="480"/>
      <w:marRight w:val="0"/>
      <w:marTop w:val="0"/>
      <w:marBottom w:val="0"/>
      <w:divBdr>
        <w:top w:val="none" w:sz="0" w:space="0" w:color="auto"/>
        <w:left w:val="none" w:sz="0" w:space="0" w:color="auto"/>
        <w:bottom w:val="none" w:sz="0" w:space="0" w:color="auto"/>
        <w:right w:val="none" w:sz="0" w:space="0" w:color="auto"/>
      </w:divBdr>
    </w:div>
    <w:div w:id="1211579168">
      <w:marLeft w:val="480"/>
      <w:marRight w:val="0"/>
      <w:marTop w:val="0"/>
      <w:marBottom w:val="0"/>
      <w:divBdr>
        <w:top w:val="none" w:sz="0" w:space="0" w:color="auto"/>
        <w:left w:val="none" w:sz="0" w:space="0" w:color="auto"/>
        <w:bottom w:val="none" w:sz="0" w:space="0" w:color="auto"/>
        <w:right w:val="none" w:sz="0" w:space="0" w:color="auto"/>
      </w:divBdr>
    </w:div>
    <w:div w:id="1216114611">
      <w:marLeft w:val="480"/>
      <w:marRight w:val="0"/>
      <w:marTop w:val="0"/>
      <w:marBottom w:val="0"/>
      <w:divBdr>
        <w:top w:val="none" w:sz="0" w:space="0" w:color="auto"/>
        <w:left w:val="none" w:sz="0" w:space="0" w:color="auto"/>
        <w:bottom w:val="none" w:sz="0" w:space="0" w:color="auto"/>
        <w:right w:val="none" w:sz="0" w:space="0" w:color="auto"/>
      </w:divBdr>
    </w:div>
    <w:div w:id="1257209204">
      <w:marLeft w:val="480"/>
      <w:marRight w:val="0"/>
      <w:marTop w:val="0"/>
      <w:marBottom w:val="0"/>
      <w:divBdr>
        <w:top w:val="none" w:sz="0" w:space="0" w:color="auto"/>
        <w:left w:val="none" w:sz="0" w:space="0" w:color="auto"/>
        <w:bottom w:val="none" w:sz="0" w:space="0" w:color="auto"/>
        <w:right w:val="none" w:sz="0" w:space="0" w:color="auto"/>
      </w:divBdr>
    </w:div>
    <w:div w:id="1297099437">
      <w:marLeft w:val="480"/>
      <w:marRight w:val="0"/>
      <w:marTop w:val="0"/>
      <w:marBottom w:val="0"/>
      <w:divBdr>
        <w:top w:val="none" w:sz="0" w:space="0" w:color="auto"/>
        <w:left w:val="none" w:sz="0" w:space="0" w:color="auto"/>
        <w:bottom w:val="none" w:sz="0" w:space="0" w:color="auto"/>
        <w:right w:val="none" w:sz="0" w:space="0" w:color="auto"/>
      </w:divBdr>
    </w:div>
    <w:div w:id="1302416361">
      <w:marLeft w:val="480"/>
      <w:marRight w:val="0"/>
      <w:marTop w:val="0"/>
      <w:marBottom w:val="0"/>
      <w:divBdr>
        <w:top w:val="none" w:sz="0" w:space="0" w:color="auto"/>
        <w:left w:val="none" w:sz="0" w:space="0" w:color="auto"/>
        <w:bottom w:val="none" w:sz="0" w:space="0" w:color="auto"/>
        <w:right w:val="none" w:sz="0" w:space="0" w:color="auto"/>
      </w:divBdr>
    </w:div>
    <w:div w:id="1306425753">
      <w:marLeft w:val="480"/>
      <w:marRight w:val="0"/>
      <w:marTop w:val="0"/>
      <w:marBottom w:val="0"/>
      <w:divBdr>
        <w:top w:val="none" w:sz="0" w:space="0" w:color="auto"/>
        <w:left w:val="none" w:sz="0" w:space="0" w:color="auto"/>
        <w:bottom w:val="none" w:sz="0" w:space="0" w:color="auto"/>
        <w:right w:val="none" w:sz="0" w:space="0" w:color="auto"/>
      </w:divBdr>
    </w:div>
    <w:div w:id="1312716959">
      <w:marLeft w:val="480"/>
      <w:marRight w:val="0"/>
      <w:marTop w:val="0"/>
      <w:marBottom w:val="0"/>
      <w:divBdr>
        <w:top w:val="none" w:sz="0" w:space="0" w:color="auto"/>
        <w:left w:val="none" w:sz="0" w:space="0" w:color="auto"/>
        <w:bottom w:val="none" w:sz="0" w:space="0" w:color="auto"/>
        <w:right w:val="none" w:sz="0" w:space="0" w:color="auto"/>
      </w:divBdr>
    </w:div>
    <w:div w:id="1324118656">
      <w:marLeft w:val="480"/>
      <w:marRight w:val="0"/>
      <w:marTop w:val="0"/>
      <w:marBottom w:val="0"/>
      <w:divBdr>
        <w:top w:val="none" w:sz="0" w:space="0" w:color="auto"/>
        <w:left w:val="none" w:sz="0" w:space="0" w:color="auto"/>
        <w:bottom w:val="none" w:sz="0" w:space="0" w:color="auto"/>
        <w:right w:val="none" w:sz="0" w:space="0" w:color="auto"/>
      </w:divBdr>
    </w:div>
    <w:div w:id="1338312974">
      <w:marLeft w:val="480"/>
      <w:marRight w:val="0"/>
      <w:marTop w:val="0"/>
      <w:marBottom w:val="0"/>
      <w:divBdr>
        <w:top w:val="none" w:sz="0" w:space="0" w:color="auto"/>
        <w:left w:val="none" w:sz="0" w:space="0" w:color="auto"/>
        <w:bottom w:val="none" w:sz="0" w:space="0" w:color="auto"/>
        <w:right w:val="none" w:sz="0" w:space="0" w:color="auto"/>
      </w:divBdr>
    </w:div>
    <w:div w:id="1376394477">
      <w:marLeft w:val="480"/>
      <w:marRight w:val="0"/>
      <w:marTop w:val="0"/>
      <w:marBottom w:val="0"/>
      <w:divBdr>
        <w:top w:val="none" w:sz="0" w:space="0" w:color="auto"/>
        <w:left w:val="none" w:sz="0" w:space="0" w:color="auto"/>
        <w:bottom w:val="none" w:sz="0" w:space="0" w:color="auto"/>
        <w:right w:val="none" w:sz="0" w:space="0" w:color="auto"/>
      </w:divBdr>
    </w:div>
    <w:div w:id="1376395163">
      <w:marLeft w:val="480"/>
      <w:marRight w:val="0"/>
      <w:marTop w:val="0"/>
      <w:marBottom w:val="0"/>
      <w:divBdr>
        <w:top w:val="none" w:sz="0" w:space="0" w:color="auto"/>
        <w:left w:val="none" w:sz="0" w:space="0" w:color="auto"/>
        <w:bottom w:val="none" w:sz="0" w:space="0" w:color="auto"/>
        <w:right w:val="none" w:sz="0" w:space="0" w:color="auto"/>
      </w:divBdr>
    </w:div>
    <w:div w:id="1378511508">
      <w:marLeft w:val="480"/>
      <w:marRight w:val="0"/>
      <w:marTop w:val="0"/>
      <w:marBottom w:val="0"/>
      <w:divBdr>
        <w:top w:val="none" w:sz="0" w:space="0" w:color="auto"/>
        <w:left w:val="none" w:sz="0" w:space="0" w:color="auto"/>
        <w:bottom w:val="none" w:sz="0" w:space="0" w:color="auto"/>
        <w:right w:val="none" w:sz="0" w:space="0" w:color="auto"/>
      </w:divBdr>
    </w:div>
    <w:div w:id="1395617286">
      <w:marLeft w:val="480"/>
      <w:marRight w:val="0"/>
      <w:marTop w:val="0"/>
      <w:marBottom w:val="0"/>
      <w:divBdr>
        <w:top w:val="none" w:sz="0" w:space="0" w:color="auto"/>
        <w:left w:val="none" w:sz="0" w:space="0" w:color="auto"/>
        <w:bottom w:val="none" w:sz="0" w:space="0" w:color="auto"/>
        <w:right w:val="none" w:sz="0" w:space="0" w:color="auto"/>
      </w:divBdr>
    </w:div>
    <w:div w:id="1466966558">
      <w:marLeft w:val="480"/>
      <w:marRight w:val="0"/>
      <w:marTop w:val="0"/>
      <w:marBottom w:val="0"/>
      <w:divBdr>
        <w:top w:val="none" w:sz="0" w:space="0" w:color="auto"/>
        <w:left w:val="none" w:sz="0" w:space="0" w:color="auto"/>
        <w:bottom w:val="none" w:sz="0" w:space="0" w:color="auto"/>
        <w:right w:val="none" w:sz="0" w:space="0" w:color="auto"/>
      </w:divBdr>
    </w:div>
    <w:div w:id="1477645889">
      <w:marLeft w:val="480"/>
      <w:marRight w:val="0"/>
      <w:marTop w:val="0"/>
      <w:marBottom w:val="0"/>
      <w:divBdr>
        <w:top w:val="none" w:sz="0" w:space="0" w:color="auto"/>
        <w:left w:val="none" w:sz="0" w:space="0" w:color="auto"/>
        <w:bottom w:val="none" w:sz="0" w:space="0" w:color="auto"/>
        <w:right w:val="none" w:sz="0" w:space="0" w:color="auto"/>
      </w:divBdr>
    </w:div>
    <w:div w:id="1478953114">
      <w:marLeft w:val="480"/>
      <w:marRight w:val="0"/>
      <w:marTop w:val="0"/>
      <w:marBottom w:val="0"/>
      <w:divBdr>
        <w:top w:val="none" w:sz="0" w:space="0" w:color="auto"/>
        <w:left w:val="none" w:sz="0" w:space="0" w:color="auto"/>
        <w:bottom w:val="none" w:sz="0" w:space="0" w:color="auto"/>
        <w:right w:val="none" w:sz="0" w:space="0" w:color="auto"/>
      </w:divBdr>
    </w:div>
    <w:div w:id="1485394493">
      <w:marLeft w:val="480"/>
      <w:marRight w:val="0"/>
      <w:marTop w:val="0"/>
      <w:marBottom w:val="0"/>
      <w:divBdr>
        <w:top w:val="none" w:sz="0" w:space="0" w:color="auto"/>
        <w:left w:val="none" w:sz="0" w:space="0" w:color="auto"/>
        <w:bottom w:val="none" w:sz="0" w:space="0" w:color="auto"/>
        <w:right w:val="none" w:sz="0" w:space="0" w:color="auto"/>
      </w:divBdr>
    </w:div>
    <w:div w:id="1487555200">
      <w:marLeft w:val="480"/>
      <w:marRight w:val="0"/>
      <w:marTop w:val="0"/>
      <w:marBottom w:val="0"/>
      <w:divBdr>
        <w:top w:val="none" w:sz="0" w:space="0" w:color="auto"/>
        <w:left w:val="none" w:sz="0" w:space="0" w:color="auto"/>
        <w:bottom w:val="none" w:sz="0" w:space="0" w:color="auto"/>
        <w:right w:val="none" w:sz="0" w:space="0" w:color="auto"/>
      </w:divBdr>
    </w:div>
    <w:div w:id="1490055425">
      <w:marLeft w:val="480"/>
      <w:marRight w:val="0"/>
      <w:marTop w:val="0"/>
      <w:marBottom w:val="0"/>
      <w:divBdr>
        <w:top w:val="none" w:sz="0" w:space="0" w:color="auto"/>
        <w:left w:val="none" w:sz="0" w:space="0" w:color="auto"/>
        <w:bottom w:val="none" w:sz="0" w:space="0" w:color="auto"/>
        <w:right w:val="none" w:sz="0" w:space="0" w:color="auto"/>
      </w:divBdr>
    </w:div>
    <w:div w:id="1490561465">
      <w:marLeft w:val="480"/>
      <w:marRight w:val="0"/>
      <w:marTop w:val="0"/>
      <w:marBottom w:val="0"/>
      <w:divBdr>
        <w:top w:val="none" w:sz="0" w:space="0" w:color="auto"/>
        <w:left w:val="none" w:sz="0" w:space="0" w:color="auto"/>
        <w:bottom w:val="none" w:sz="0" w:space="0" w:color="auto"/>
        <w:right w:val="none" w:sz="0" w:space="0" w:color="auto"/>
      </w:divBdr>
    </w:div>
    <w:div w:id="1497766493">
      <w:marLeft w:val="480"/>
      <w:marRight w:val="0"/>
      <w:marTop w:val="0"/>
      <w:marBottom w:val="0"/>
      <w:divBdr>
        <w:top w:val="none" w:sz="0" w:space="0" w:color="auto"/>
        <w:left w:val="none" w:sz="0" w:space="0" w:color="auto"/>
        <w:bottom w:val="none" w:sz="0" w:space="0" w:color="auto"/>
        <w:right w:val="none" w:sz="0" w:space="0" w:color="auto"/>
      </w:divBdr>
    </w:div>
    <w:div w:id="1501778628">
      <w:marLeft w:val="480"/>
      <w:marRight w:val="0"/>
      <w:marTop w:val="0"/>
      <w:marBottom w:val="0"/>
      <w:divBdr>
        <w:top w:val="none" w:sz="0" w:space="0" w:color="auto"/>
        <w:left w:val="none" w:sz="0" w:space="0" w:color="auto"/>
        <w:bottom w:val="none" w:sz="0" w:space="0" w:color="auto"/>
        <w:right w:val="none" w:sz="0" w:space="0" w:color="auto"/>
      </w:divBdr>
    </w:div>
    <w:div w:id="1523590997">
      <w:marLeft w:val="480"/>
      <w:marRight w:val="0"/>
      <w:marTop w:val="0"/>
      <w:marBottom w:val="0"/>
      <w:divBdr>
        <w:top w:val="none" w:sz="0" w:space="0" w:color="auto"/>
        <w:left w:val="none" w:sz="0" w:space="0" w:color="auto"/>
        <w:bottom w:val="none" w:sz="0" w:space="0" w:color="auto"/>
        <w:right w:val="none" w:sz="0" w:space="0" w:color="auto"/>
      </w:divBdr>
    </w:div>
    <w:div w:id="1527673489">
      <w:marLeft w:val="480"/>
      <w:marRight w:val="0"/>
      <w:marTop w:val="0"/>
      <w:marBottom w:val="0"/>
      <w:divBdr>
        <w:top w:val="none" w:sz="0" w:space="0" w:color="auto"/>
        <w:left w:val="none" w:sz="0" w:space="0" w:color="auto"/>
        <w:bottom w:val="none" w:sz="0" w:space="0" w:color="auto"/>
        <w:right w:val="none" w:sz="0" w:space="0" w:color="auto"/>
      </w:divBdr>
    </w:div>
    <w:div w:id="1532575055">
      <w:marLeft w:val="480"/>
      <w:marRight w:val="0"/>
      <w:marTop w:val="0"/>
      <w:marBottom w:val="0"/>
      <w:divBdr>
        <w:top w:val="none" w:sz="0" w:space="0" w:color="auto"/>
        <w:left w:val="none" w:sz="0" w:space="0" w:color="auto"/>
        <w:bottom w:val="none" w:sz="0" w:space="0" w:color="auto"/>
        <w:right w:val="none" w:sz="0" w:space="0" w:color="auto"/>
      </w:divBdr>
    </w:div>
    <w:div w:id="1541282471">
      <w:marLeft w:val="480"/>
      <w:marRight w:val="0"/>
      <w:marTop w:val="0"/>
      <w:marBottom w:val="0"/>
      <w:divBdr>
        <w:top w:val="none" w:sz="0" w:space="0" w:color="auto"/>
        <w:left w:val="none" w:sz="0" w:space="0" w:color="auto"/>
        <w:bottom w:val="none" w:sz="0" w:space="0" w:color="auto"/>
        <w:right w:val="none" w:sz="0" w:space="0" w:color="auto"/>
      </w:divBdr>
    </w:div>
    <w:div w:id="1549299011">
      <w:marLeft w:val="480"/>
      <w:marRight w:val="0"/>
      <w:marTop w:val="0"/>
      <w:marBottom w:val="0"/>
      <w:divBdr>
        <w:top w:val="none" w:sz="0" w:space="0" w:color="auto"/>
        <w:left w:val="none" w:sz="0" w:space="0" w:color="auto"/>
        <w:bottom w:val="none" w:sz="0" w:space="0" w:color="auto"/>
        <w:right w:val="none" w:sz="0" w:space="0" w:color="auto"/>
      </w:divBdr>
    </w:div>
    <w:div w:id="1556815803">
      <w:marLeft w:val="480"/>
      <w:marRight w:val="0"/>
      <w:marTop w:val="0"/>
      <w:marBottom w:val="0"/>
      <w:divBdr>
        <w:top w:val="none" w:sz="0" w:space="0" w:color="auto"/>
        <w:left w:val="none" w:sz="0" w:space="0" w:color="auto"/>
        <w:bottom w:val="none" w:sz="0" w:space="0" w:color="auto"/>
        <w:right w:val="none" w:sz="0" w:space="0" w:color="auto"/>
      </w:divBdr>
    </w:div>
    <w:div w:id="1561553389">
      <w:marLeft w:val="480"/>
      <w:marRight w:val="0"/>
      <w:marTop w:val="0"/>
      <w:marBottom w:val="0"/>
      <w:divBdr>
        <w:top w:val="none" w:sz="0" w:space="0" w:color="auto"/>
        <w:left w:val="none" w:sz="0" w:space="0" w:color="auto"/>
        <w:bottom w:val="none" w:sz="0" w:space="0" w:color="auto"/>
        <w:right w:val="none" w:sz="0" w:space="0" w:color="auto"/>
      </w:divBdr>
    </w:div>
    <w:div w:id="1576013133">
      <w:marLeft w:val="480"/>
      <w:marRight w:val="0"/>
      <w:marTop w:val="0"/>
      <w:marBottom w:val="0"/>
      <w:divBdr>
        <w:top w:val="none" w:sz="0" w:space="0" w:color="auto"/>
        <w:left w:val="none" w:sz="0" w:space="0" w:color="auto"/>
        <w:bottom w:val="none" w:sz="0" w:space="0" w:color="auto"/>
        <w:right w:val="none" w:sz="0" w:space="0" w:color="auto"/>
      </w:divBdr>
    </w:div>
    <w:div w:id="1578512441">
      <w:marLeft w:val="480"/>
      <w:marRight w:val="0"/>
      <w:marTop w:val="0"/>
      <w:marBottom w:val="0"/>
      <w:divBdr>
        <w:top w:val="none" w:sz="0" w:space="0" w:color="auto"/>
        <w:left w:val="none" w:sz="0" w:space="0" w:color="auto"/>
        <w:bottom w:val="none" w:sz="0" w:space="0" w:color="auto"/>
        <w:right w:val="none" w:sz="0" w:space="0" w:color="auto"/>
      </w:divBdr>
    </w:div>
    <w:div w:id="1595745421">
      <w:marLeft w:val="480"/>
      <w:marRight w:val="0"/>
      <w:marTop w:val="0"/>
      <w:marBottom w:val="0"/>
      <w:divBdr>
        <w:top w:val="none" w:sz="0" w:space="0" w:color="auto"/>
        <w:left w:val="none" w:sz="0" w:space="0" w:color="auto"/>
        <w:bottom w:val="none" w:sz="0" w:space="0" w:color="auto"/>
        <w:right w:val="none" w:sz="0" w:space="0" w:color="auto"/>
      </w:divBdr>
    </w:div>
    <w:div w:id="1615938505">
      <w:marLeft w:val="480"/>
      <w:marRight w:val="0"/>
      <w:marTop w:val="0"/>
      <w:marBottom w:val="0"/>
      <w:divBdr>
        <w:top w:val="none" w:sz="0" w:space="0" w:color="auto"/>
        <w:left w:val="none" w:sz="0" w:space="0" w:color="auto"/>
        <w:bottom w:val="none" w:sz="0" w:space="0" w:color="auto"/>
        <w:right w:val="none" w:sz="0" w:space="0" w:color="auto"/>
      </w:divBdr>
    </w:div>
    <w:div w:id="1617907215">
      <w:marLeft w:val="480"/>
      <w:marRight w:val="0"/>
      <w:marTop w:val="0"/>
      <w:marBottom w:val="0"/>
      <w:divBdr>
        <w:top w:val="none" w:sz="0" w:space="0" w:color="auto"/>
        <w:left w:val="none" w:sz="0" w:space="0" w:color="auto"/>
        <w:bottom w:val="none" w:sz="0" w:space="0" w:color="auto"/>
        <w:right w:val="none" w:sz="0" w:space="0" w:color="auto"/>
      </w:divBdr>
    </w:div>
    <w:div w:id="1628704525">
      <w:marLeft w:val="480"/>
      <w:marRight w:val="0"/>
      <w:marTop w:val="0"/>
      <w:marBottom w:val="0"/>
      <w:divBdr>
        <w:top w:val="none" w:sz="0" w:space="0" w:color="auto"/>
        <w:left w:val="none" w:sz="0" w:space="0" w:color="auto"/>
        <w:bottom w:val="none" w:sz="0" w:space="0" w:color="auto"/>
        <w:right w:val="none" w:sz="0" w:space="0" w:color="auto"/>
      </w:divBdr>
    </w:div>
    <w:div w:id="1628856159">
      <w:marLeft w:val="480"/>
      <w:marRight w:val="0"/>
      <w:marTop w:val="0"/>
      <w:marBottom w:val="0"/>
      <w:divBdr>
        <w:top w:val="none" w:sz="0" w:space="0" w:color="auto"/>
        <w:left w:val="none" w:sz="0" w:space="0" w:color="auto"/>
        <w:bottom w:val="none" w:sz="0" w:space="0" w:color="auto"/>
        <w:right w:val="none" w:sz="0" w:space="0" w:color="auto"/>
      </w:divBdr>
    </w:div>
    <w:div w:id="1628967753">
      <w:marLeft w:val="480"/>
      <w:marRight w:val="0"/>
      <w:marTop w:val="0"/>
      <w:marBottom w:val="0"/>
      <w:divBdr>
        <w:top w:val="none" w:sz="0" w:space="0" w:color="auto"/>
        <w:left w:val="none" w:sz="0" w:space="0" w:color="auto"/>
        <w:bottom w:val="none" w:sz="0" w:space="0" w:color="auto"/>
        <w:right w:val="none" w:sz="0" w:space="0" w:color="auto"/>
      </w:divBdr>
    </w:div>
    <w:div w:id="1634140419">
      <w:marLeft w:val="480"/>
      <w:marRight w:val="0"/>
      <w:marTop w:val="0"/>
      <w:marBottom w:val="0"/>
      <w:divBdr>
        <w:top w:val="none" w:sz="0" w:space="0" w:color="auto"/>
        <w:left w:val="none" w:sz="0" w:space="0" w:color="auto"/>
        <w:bottom w:val="none" w:sz="0" w:space="0" w:color="auto"/>
        <w:right w:val="none" w:sz="0" w:space="0" w:color="auto"/>
      </w:divBdr>
    </w:div>
    <w:div w:id="1643460478">
      <w:marLeft w:val="480"/>
      <w:marRight w:val="0"/>
      <w:marTop w:val="0"/>
      <w:marBottom w:val="0"/>
      <w:divBdr>
        <w:top w:val="none" w:sz="0" w:space="0" w:color="auto"/>
        <w:left w:val="none" w:sz="0" w:space="0" w:color="auto"/>
        <w:bottom w:val="none" w:sz="0" w:space="0" w:color="auto"/>
        <w:right w:val="none" w:sz="0" w:space="0" w:color="auto"/>
      </w:divBdr>
    </w:div>
    <w:div w:id="1652173102">
      <w:marLeft w:val="480"/>
      <w:marRight w:val="0"/>
      <w:marTop w:val="0"/>
      <w:marBottom w:val="0"/>
      <w:divBdr>
        <w:top w:val="none" w:sz="0" w:space="0" w:color="auto"/>
        <w:left w:val="none" w:sz="0" w:space="0" w:color="auto"/>
        <w:bottom w:val="none" w:sz="0" w:space="0" w:color="auto"/>
        <w:right w:val="none" w:sz="0" w:space="0" w:color="auto"/>
      </w:divBdr>
    </w:div>
    <w:div w:id="1653290912">
      <w:marLeft w:val="480"/>
      <w:marRight w:val="0"/>
      <w:marTop w:val="0"/>
      <w:marBottom w:val="0"/>
      <w:divBdr>
        <w:top w:val="none" w:sz="0" w:space="0" w:color="auto"/>
        <w:left w:val="none" w:sz="0" w:space="0" w:color="auto"/>
        <w:bottom w:val="none" w:sz="0" w:space="0" w:color="auto"/>
        <w:right w:val="none" w:sz="0" w:space="0" w:color="auto"/>
      </w:divBdr>
    </w:div>
    <w:div w:id="1667398875">
      <w:marLeft w:val="480"/>
      <w:marRight w:val="0"/>
      <w:marTop w:val="0"/>
      <w:marBottom w:val="0"/>
      <w:divBdr>
        <w:top w:val="none" w:sz="0" w:space="0" w:color="auto"/>
        <w:left w:val="none" w:sz="0" w:space="0" w:color="auto"/>
        <w:bottom w:val="none" w:sz="0" w:space="0" w:color="auto"/>
        <w:right w:val="none" w:sz="0" w:space="0" w:color="auto"/>
      </w:divBdr>
    </w:div>
    <w:div w:id="1674794414">
      <w:marLeft w:val="480"/>
      <w:marRight w:val="0"/>
      <w:marTop w:val="0"/>
      <w:marBottom w:val="0"/>
      <w:divBdr>
        <w:top w:val="none" w:sz="0" w:space="0" w:color="auto"/>
        <w:left w:val="none" w:sz="0" w:space="0" w:color="auto"/>
        <w:bottom w:val="none" w:sz="0" w:space="0" w:color="auto"/>
        <w:right w:val="none" w:sz="0" w:space="0" w:color="auto"/>
      </w:divBdr>
    </w:div>
    <w:div w:id="1680543074">
      <w:marLeft w:val="480"/>
      <w:marRight w:val="0"/>
      <w:marTop w:val="0"/>
      <w:marBottom w:val="0"/>
      <w:divBdr>
        <w:top w:val="none" w:sz="0" w:space="0" w:color="auto"/>
        <w:left w:val="none" w:sz="0" w:space="0" w:color="auto"/>
        <w:bottom w:val="none" w:sz="0" w:space="0" w:color="auto"/>
        <w:right w:val="none" w:sz="0" w:space="0" w:color="auto"/>
      </w:divBdr>
    </w:div>
    <w:div w:id="1700007331">
      <w:marLeft w:val="480"/>
      <w:marRight w:val="0"/>
      <w:marTop w:val="0"/>
      <w:marBottom w:val="0"/>
      <w:divBdr>
        <w:top w:val="none" w:sz="0" w:space="0" w:color="auto"/>
        <w:left w:val="none" w:sz="0" w:space="0" w:color="auto"/>
        <w:bottom w:val="none" w:sz="0" w:space="0" w:color="auto"/>
        <w:right w:val="none" w:sz="0" w:space="0" w:color="auto"/>
      </w:divBdr>
    </w:div>
    <w:div w:id="1701976847">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791334">
      <w:marLeft w:val="480"/>
      <w:marRight w:val="0"/>
      <w:marTop w:val="0"/>
      <w:marBottom w:val="0"/>
      <w:divBdr>
        <w:top w:val="none" w:sz="0" w:space="0" w:color="auto"/>
        <w:left w:val="none" w:sz="0" w:space="0" w:color="auto"/>
        <w:bottom w:val="none" w:sz="0" w:space="0" w:color="auto"/>
        <w:right w:val="none" w:sz="0" w:space="0" w:color="auto"/>
      </w:divBdr>
    </w:div>
    <w:div w:id="1744066629">
      <w:marLeft w:val="480"/>
      <w:marRight w:val="0"/>
      <w:marTop w:val="0"/>
      <w:marBottom w:val="0"/>
      <w:divBdr>
        <w:top w:val="none" w:sz="0" w:space="0" w:color="auto"/>
        <w:left w:val="none" w:sz="0" w:space="0" w:color="auto"/>
        <w:bottom w:val="none" w:sz="0" w:space="0" w:color="auto"/>
        <w:right w:val="none" w:sz="0" w:space="0" w:color="auto"/>
      </w:divBdr>
    </w:div>
    <w:div w:id="1753964235">
      <w:marLeft w:val="480"/>
      <w:marRight w:val="0"/>
      <w:marTop w:val="0"/>
      <w:marBottom w:val="0"/>
      <w:divBdr>
        <w:top w:val="none" w:sz="0" w:space="0" w:color="auto"/>
        <w:left w:val="none" w:sz="0" w:space="0" w:color="auto"/>
        <w:bottom w:val="none" w:sz="0" w:space="0" w:color="auto"/>
        <w:right w:val="none" w:sz="0" w:space="0" w:color="auto"/>
      </w:divBdr>
    </w:div>
    <w:div w:id="1756589449">
      <w:marLeft w:val="480"/>
      <w:marRight w:val="0"/>
      <w:marTop w:val="0"/>
      <w:marBottom w:val="0"/>
      <w:divBdr>
        <w:top w:val="none" w:sz="0" w:space="0" w:color="auto"/>
        <w:left w:val="none" w:sz="0" w:space="0" w:color="auto"/>
        <w:bottom w:val="none" w:sz="0" w:space="0" w:color="auto"/>
        <w:right w:val="none" w:sz="0" w:space="0" w:color="auto"/>
      </w:divBdr>
    </w:div>
    <w:div w:id="1757357972">
      <w:marLeft w:val="480"/>
      <w:marRight w:val="0"/>
      <w:marTop w:val="0"/>
      <w:marBottom w:val="0"/>
      <w:divBdr>
        <w:top w:val="none" w:sz="0" w:space="0" w:color="auto"/>
        <w:left w:val="none" w:sz="0" w:space="0" w:color="auto"/>
        <w:bottom w:val="none" w:sz="0" w:space="0" w:color="auto"/>
        <w:right w:val="none" w:sz="0" w:space="0" w:color="auto"/>
      </w:divBdr>
    </w:div>
    <w:div w:id="1773356955">
      <w:marLeft w:val="480"/>
      <w:marRight w:val="0"/>
      <w:marTop w:val="0"/>
      <w:marBottom w:val="0"/>
      <w:divBdr>
        <w:top w:val="none" w:sz="0" w:space="0" w:color="auto"/>
        <w:left w:val="none" w:sz="0" w:space="0" w:color="auto"/>
        <w:bottom w:val="none" w:sz="0" w:space="0" w:color="auto"/>
        <w:right w:val="none" w:sz="0" w:space="0" w:color="auto"/>
      </w:divBdr>
    </w:div>
    <w:div w:id="1780491775">
      <w:marLeft w:val="480"/>
      <w:marRight w:val="0"/>
      <w:marTop w:val="0"/>
      <w:marBottom w:val="0"/>
      <w:divBdr>
        <w:top w:val="none" w:sz="0" w:space="0" w:color="auto"/>
        <w:left w:val="none" w:sz="0" w:space="0" w:color="auto"/>
        <w:bottom w:val="none" w:sz="0" w:space="0" w:color="auto"/>
        <w:right w:val="none" w:sz="0" w:space="0" w:color="auto"/>
      </w:divBdr>
    </w:div>
    <w:div w:id="1781223387">
      <w:marLeft w:val="480"/>
      <w:marRight w:val="0"/>
      <w:marTop w:val="0"/>
      <w:marBottom w:val="0"/>
      <w:divBdr>
        <w:top w:val="none" w:sz="0" w:space="0" w:color="auto"/>
        <w:left w:val="none" w:sz="0" w:space="0" w:color="auto"/>
        <w:bottom w:val="none" w:sz="0" w:space="0" w:color="auto"/>
        <w:right w:val="none" w:sz="0" w:space="0" w:color="auto"/>
      </w:divBdr>
    </w:div>
    <w:div w:id="1785689479">
      <w:marLeft w:val="480"/>
      <w:marRight w:val="0"/>
      <w:marTop w:val="0"/>
      <w:marBottom w:val="0"/>
      <w:divBdr>
        <w:top w:val="none" w:sz="0" w:space="0" w:color="auto"/>
        <w:left w:val="none" w:sz="0" w:space="0" w:color="auto"/>
        <w:bottom w:val="none" w:sz="0" w:space="0" w:color="auto"/>
        <w:right w:val="none" w:sz="0" w:space="0" w:color="auto"/>
      </w:divBdr>
    </w:div>
    <w:div w:id="1811747252">
      <w:marLeft w:val="480"/>
      <w:marRight w:val="0"/>
      <w:marTop w:val="0"/>
      <w:marBottom w:val="0"/>
      <w:divBdr>
        <w:top w:val="none" w:sz="0" w:space="0" w:color="auto"/>
        <w:left w:val="none" w:sz="0" w:space="0" w:color="auto"/>
        <w:bottom w:val="none" w:sz="0" w:space="0" w:color="auto"/>
        <w:right w:val="none" w:sz="0" w:space="0" w:color="auto"/>
      </w:divBdr>
    </w:div>
    <w:div w:id="1824662819">
      <w:marLeft w:val="480"/>
      <w:marRight w:val="0"/>
      <w:marTop w:val="0"/>
      <w:marBottom w:val="0"/>
      <w:divBdr>
        <w:top w:val="none" w:sz="0" w:space="0" w:color="auto"/>
        <w:left w:val="none" w:sz="0" w:space="0" w:color="auto"/>
        <w:bottom w:val="none" w:sz="0" w:space="0" w:color="auto"/>
        <w:right w:val="none" w:sz="0" w:space="0" w:color="auto"/>
      </w:divBdr>
    </w:div>
    <w:div w:id="1826240128">
      <w:marLeft w:val="480"/>
      <w:marRight w:val="0"/>
      <w:marTop w:val="0"/>
      <w:marBottom w:val="0"/>
      <w:divBdr>
        <w:top w:val="none" w:sz="0" w:space="0" w:color="auto"/>
        <w:left w:val="none" w:sz="0" w:space="0" w:color="auto"/>
        <w:bottom w:val="none" w:sz="0" w:space="0" w:color="auto"/>
        <w:right w:val="none" w:sz="0" w:space="0" w:color="auto"/>
      </w:divBdr>
    </w:div>
    <w:div w:id="1852448895">
      <w:marLeft w:val="480"/>
      <w:marRight w:val="0"/>
      <w:marTop w:val="0"/>
      <w:marBottom w:val="0"/>
      <w:divBdr>
        <w:top w:val="none" w:sz="0" w:space="0" w:color="auto"/>
        <w:left w:val="none" w:sz="0" w:space="0" w:color="auto"/>
        <w:bottom w:val="none" w:sz="0" w:space="0" w:color="auto"/>
        <w:right w:val="none" w:sz="0" w:space="0" w:color="auto"/>
      </w:divBdr>
    </w:div>
    <w:div w:id="1857845149">
      <w:marLeft w:val="480"/>
      <w:marRight w:val="0"/>
      <w:marTop w:val="0"/>
      <w:marBottom w:val="0"/>
      <w:divBdr>
        <w:top w:val="none" w:sz="0" w:space="0" w:color="auto"/>
        <w:left w:val="none" w:sz="0" w:space="0" w:color="auto"/>
        <w:bottom w:val="none" w:sz="0" w:space="0" w:color="auto"/>
        <w:right w:val="none" w:sz="0" w:space="0" w:color="auto"/>
      </w:divBdr>
    </w:div>
    <w:div w:id="1866946643">
      <w:marLeft w:val="480"/>
      <w:marRight w:val="0"/>
      <w:marTop w:val="0"/>
      <w:marBottom w:val="0"/>
      <w:divBdr>
        <w:top w:val="none" w:sz="0" w:space="0" w:color="auto"/>
        <w:left w:val="none" w:sz="0" w:space="0" w:color="auto"/>
        <w:bottom w:val="none" w:sz="0" w:space="0" w:color="auto"/>
        <w:right w:val="none" w:sz="0" w:space="0" w:color="auto"/>
      </w:divBdr>
    </w:div>
    <w:div w:id="1885562722">
      <w:marLeft w:val="480"/>
      <w:marRight w:val="0"/>
      <w:marTop w:val="0"/>
      <w:marBottom w:val="0"/>
      <w:divBdr>
        <w:top w:val="none" w:sz="0" w:space="0" w:color="auto"/>
        <w:left w:val="none" w:sz="0" w:space="0" w:color="auto"/>
        <w:bottom w:val="none" w:sz="0" w:space="0" w:color="auto"/>
        <w:right w:val="none" w:sz="0" w:space="0" w:color="auto"/>
      </w:divBdr>
    </w:div>
    <w:div w:id="1897660701">
      <w:marLeft w:val="480"/>
      <w:marRight w:val="0"/>
      <w:marTop w:val="0"/>
      <w:marBottom w:val="0"/>
      <w:divBdr>
        <w:top w:val="none" w:sz="0" w:space="0" w:color="auto"/>
        <w:left w:val="none" w:sz="0" w:space="0" w:color="auto"/>
        <w:bottom w:val="none" w:sz="0" w:space="0" w:color="auto"/>
        <w:right w:val="none" w:sz="0" w:space="0" w:color="auto"/>
      </w:divBdr>
    </w:div>
    <w:div w:id="1933590870">
      <w:marLeft w:val="480"/>
      <w:marRight w:val="0"/>
      <w:marTop w:val="0"/>
      <w:marBottom w:val="0"/>
      <w:divBdr>
        <w:top w:val="none" w:sz="0" w:space="0" w:color="auto"/>
        <w:left w:val="none" w:sz="0" w:space="0" w:color="auto"/>
        <w:bottom w:val="none" w:sz="0" w:space="0" w:color="auto"/>
        <w:right w:val="none" w:sz="0" w:space="0" w:color="auto"/>
      </w:divBdr>
    </w:div>
    <w:div w:id="1945384336">
      <w:marLeft w:val="480"/>
      <w:marRight w:val="0"/>
      <w:marTop w:val="0"/>
      <w:marBottom w:val="0"/>
      <w:divBdr>
        <w:top w:val="none" w:sz="0" w:space="0" w:color="auto"/>
        <w:left w:val="none" w:sz="0" w:space="0" w:color="auto"/>
        <w:bottom w:val="none" w:sz="0" w:space="0" w:color="auto"/>
        <w:right w:val="none" w:sz="0" w:space="0" w:color="auto"/>
      </w:divBdr>
    </w:div>
    <w:div w:id="1951618167">
      <w:marLeft w:val="480"/>
      <w:marRight w:val="0"/>
      <w:marTop w:val="0"/>
      <w:marBottom w:val="0"/>
      <w:divBdr>
        <w:top w:val="none" w:sz="0" w:space="0" w:color="auto"/>
        <w:left w:val="none" w:sz="0" w:space="0" w:color="auto"/>
        <w:bottom w:val="none" w:sz="0" w:space="0" w:color="auto"/>
        <w:right w:val="none" w:sz="0" w:space="0" w:color="auto"/>
      </w:divBdr>
    </w:div>
    <w:div w:id="1961763161">
      <w:marLeft w:val="480"/>
      <w:marRight w:val="0"/>
      <w:marTop w:val="0"/>
      <w:marBottom w:val="0"/>
      <w:divBdr>
        <w:top w:val="none" w:sz="0" w:space="0" w:color="auto"/>
        <w:left w:val="none" w:sz="0" w:space="0" w:color="auto"/>
        <w:bottom w:val="none" w:sz="0" w:space="0" w:color="auto"/>
        <w:right w:val="none" w:sz="0" w:space="0" w:color="auto"/>
      </w:divBdr>
    </w:div>
    <w:div w:id="196754512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0012906">
      <w:marLeft w:val="480"/>
      <w:marRight w:val="0"/>
      <w:marTop w:val="0"/>
      <w:marBottom w:val="0"/>
      <w:divBdr>
        <w:top w:val="none" w:sz="0" w:space="0" w:color="auto"/>
        <w:left w:val="none" w:sz="0" w:space="0" w:color="auto"/>
        <w:bottom w:val="none" w:sz="0" w:space="0" w:color="auto"/>
        <w:right w:val="none" w:sz="0" w:space="0" w:color="auto"/>
      </w:divBdr>
    </w:div>
    <w:div w:id="1999921041">
      <w:marLeft w:val="480"/>
      <w:marRight w:val="0"/>
      <w:marTop w:val="0"/>
      <w:marBottom w:val="0"/>
      <w:divBdr>
        <w:top w:val="none" w:sz="0" w:space="0" w:color="auto"/>
        <w:left w:val="none" w:sz="0" w:space="0" w:color="auto"/>
        <w:bottom w:val="none" w:sz="0" w:space="0" w:color="auto"/>
        <w:right w:val="none" w:sz="0" w:space="0" w:color="auto"/>
      </w:divBdr>
    </w:div>
    <w:div w:id="2001423856">
      <w:marLeft w:val="480"/>
      <w:marRight w:val="0"/>
      <w:marTop w:val="0"/>
      <w:marBottom w:val="0"/>
      <w:divBdr>
        <w:top w:val="none" w:sz="0" w:space="0" w:color="auto"/>
        <w:left w:val="none" w:sz="0" w:space="0" w:color="auto"/>
        <w:bottom w:val="none" w:sz="0" w:space="0" w:color="auto"/>
        <w:right w:val="none" w:sz="0" w:space="0" w:color="auto"/>
      </w:divBdr>
    </w:div>
    <w:div w:id="2022388226">
      <w:marLeft w:val="480"/>
      <w:marRight w:val="0"/>
      <w:marTop w:val="0"/>
      <w:marBottom w:val="0"/>
      <w:divBdr>
        <w:top w:val="none" w:sz="0" w:space="0" w:color="auto"/>
        <w:left w:val="none" w:sz="0" w:space="0" w:color="auto"/>
        <w:bottom w:val="none" w:sz="0" w:space="0" w:color="auto"/>
        <w:right w:val="none" w:sz="0" w:space="0" w:color="auto"/>
      </w:divBdr>
    </w:div>
    <w:div w:id="2023697585">
      <w:marLeft w:val="480"/>
      <w:marRight w:val="0"/>
      <w:marTop w:val="0"/>
      <w:marBottom w:val="0"/>
      <w:divBdr>
        <w:top w:val="none" w:sz="0" w:space="0" w:color="auto"/>
        <w:left w:val="none" w:sz="0" w:space="0" w:color="auto"/>
        <w:bottom w:val="none" w:sz="0" w:space="0" w:color="auto"/>
        <w:right w:val="none" w:sz="0" w:space="0" w:color="auto"/>
      </w:divBdr>
    </w:div>
    <w:div w:id="2027323040">
      <w:marLeft w:val="480"/>
      <w:marRight w:val="0"/>
      <w:marTop w:val="0"/>
      <w:marBottom w:val="0"/>
      <w:divBdr>
        <w:top w:val="none" w:sz="0" w:space="0" w:color="auto"/>
        <w:left w:val="none" w:sz="0" w:space="0" w:color="auto"/>
        <w:bottom w:val="none" w:sz="0" w:space="0" w:color="auto"/>
        <w:right w:val="none" w:sz="0" w:space="0" w:color="auto"/>
      </w:divBdr>
    </w:div>
    <w:div w:id="2027705875">
      <w:marLeft w:val="480"/>
      <w:marRight w:val="0"/>
      <w:marTop w:val="0"/>
      <w:marBottom w:val="0"/>
      <w:divBdr>
        <w:top w:val="none" w:sz="0" w:space="0" w:color="auto"/>
        <w:left w:val="none" w:sz="0" w:space="0" w:color="auto"/>
        <w:bottom w:val="none" w:sz="0" w:space="0" w:color="auto"/>
        <w:right w:val="none" w:sz="0" w:space="0" w:color="auto"/>
      </w:divBdr>
    </w:div>
    <w:div w:id="2035426369">
      <w:marLeft w:val="480"/>
      <w:marRight w:val="0"/>
      <w:marTop w:val="0"/>
      <w:marBottom w:val="0"/>
      <w:divBdr>
        <w:top w:val="none" w:sz="0" w:space="0" w:color="auto"/>
        <w:left w:val="none" w:sz="0" w:space="0" w:color="auto"/>
        <w:bottom w:val="none" w:sz="0" w:space="0" w:color="auto"/>
        <w:right w:val="none" w:sz="0" w:space="0" w:color="auto"/>
      </w:divBdr>
    </w:div>
    <w:div w:id="210010444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glossaryDocument" Target="glossary/document.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5"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r>
              <a:rPr lang="en-ID"/>
              <a:t>Profile Plot </a:t>
            </a:r>
            <a:endParaRPr lang="en-US"/>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Sheet2!$E$2</c:f>
              <c:strCache>
                <c:ptCount val="1"/>
                <c:pt idx="0">
                  <c:v>Control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Sheet2!$F$1:$G$1</c:f>
              <c:strCache>
                <c:ptCount val="2"/>
                <c:pt idx="0">
                  <c:v>Pre-Test</c:v>
                </c:pt>
                <c:pt idx="1">
                  <c:v>Post-Test</c:v>
                </c:pt>
              </c:strCache>
            </c:strRef>
          </c:cat>
          <c:val>
            <c:numRef>
              <c:f>Sheet2!$F$2:$G$2</c:f>
              <c:numCache>
                <c:formatCode>General</c:formatCode>
                <c:ptCount val="2"/>
                <c:pt idx="0">
                  <c:v>72</c:v>
                </c:pt>
                <c:pt idx="1">
                  <c:v>73</c:v>
                </c:pt>
              </c:numCache>
            </c:numRef>
          </c:val>
          <c:smooth val="0"/>
          <c:extLst>
            <c:ext xmlns:c16="http://schemas.microsoft.com/office/drawing/2014/chart" uri="{C3380CC4-5D6E-409C-BE32-E72D297353CC}">
              <c16:uniqueId val="{00000000-D280-6E42-AA28-AEDE7FB9379C}"/>
            </c:ext>
          </c:extLst>
        </c:ser>
        <c:ser>
          <c:idx val="1"/>
          <c:order val="1"/>
          <c:tx>
            <c:strRef>
              <c:f>Sheet2!$E$3</c:f>
              <c:strCache>
                <c:ptCount val="1"/>
                <c:pt idx="0">
                  <c:v>T1</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Sheet2!$F$1:$G$1</c:f>
              <c:strCache>
                <c:ptCount val="2"/>
                <c:pt idx="0">
                  <c:v>Pre-Test</c:v>
                </c:pt>
                <c:pt idx="1">
                  <c:v>Post-Test</c:v>
                </c:pt>
              </c:strCache>
            </c:strRef>
          </c:cat>
          <c:val>
            <c:numRef>
              <c:f>Sheet2!$F$3:$G$3</c:f>
              <c:numCache>
                <c:formatCode>General</c:formatCode>
                <c:ptCount val="2"/>
                <c:pt idx="0">
                  <c:v>65</c:v>
                </c:pt>
                <c:pt idx="1">
                  <c:v>82</c:v>
                </c:pt>
              </c:numCache>
            </c:numRef>
          </c:val>
          <c:smooth val="0"/>
          <c:extLst>
            <c:ext xmlns:c16="http://schemas.microsoft.com/office/drawing/2014/chart" uri="{C3380CC4-5D6E-409C-BE32-E72D297353CC}">
              <c16:uniqueId val="{00000001-D280-6E42-AA28-AEDE7FB9379C}"/>
            </c:ext>
          </c:extLst>
        </c:ser>
        <c:ser>
          <c:idx val="2"/>
          <c:order val="2"/>
          <c:tx>
            <c:strRef>
              <c:f>Sheet2!$E$4</c:f>
              <c:strCache>
                <c:ptCount val="1"/>
                <c:pt idx="0">
                  <c:v>T2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Sheet2!$F$1:$G$1</c:f>
              <c:strCache>
                <c:ptCount val="2"/>
                <c:pt idx="0">
                  <c:v>Pre-Test</c:v>
                </c:pt>
                <c:pt idx="1">
                  <c:v>Post-Test</c:v>
                </c:pt>
              </c:strCache>
            </c:strRef>
          </c:cat>
          <c:val>
            <c:numRef>
              <c:f>Sheet2!$F$4:$G$4</c:f>
              <c:numCache>
                <c:formatCode>General</c:formatCode>
                <c:ptCount val="2"/>
                <c:pt idx="0">
                  <c:v>65</c:v>
                </c:pt>
                <c:pt idx="1">
                  <c:v>79</c:v>
                </c:pt>
              </c:numCache>
            </c:numRef>
          </c:val>
          <c:smooth val="0"/>
          <c:extLst>
            <c:ext xmlns:c16="http://schemas.microsoft.com/office/drawing/2014/chart" uri="{C3380CC4-5D6E-409C-BE32-E72D297353CC}">
              <c16:uniqueId val="{00000002-D280-6E42-AA28-AEDE7FB9379C}"/>
            </c:ext>
          </c:extLst>
        </c:ser>
        <c:dLbls>
          <c:showLegendKey val="0"/>
          <c:showVal val="0"/>
          <c:showCatName val="0"/>
          <c:showSerName val="0"/>
          <c:showPercent val="0"/>
          <c:showBubbleSize val="0"/>
        </c:dLbls>
        <c:marker val="1"/>
        <c:smooth val="0"/>
        <c:axId val="1527831664"/>
        <c:axId val="1527833376"/>
      </c:lineChart>
      <c:catAx>
        <c:axId val="152783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527833376"/>
        <c:crosses val="autoZero"/>
        <c:auto val="1"/>
        <c:lblAlgn val="ctr"/>
        <c:lblOffset val="100"/>
        <c:noMultiLvlLbl val="0"/>
      </c:catAx>
      <c:valAx>
        <c:axId val="1527833376"/>
        <c:scaling>
          <c:orientation val="minMax"/>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r>
                  <a:rPr lang="en-US"/>
                  <a:t>Digital Literacy Competency Score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278316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CD2194-8503-334D-A8E9-F863802D36D8}"/>
      </w:docPartPr>
      <w:docPartBody>
        <w:p w:rsidR="00292215" w:rsidRDefault="00D36CE4">
          <w:r w:rsidRPr="003F24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E4"/>
    <w:rsid w:val="00134318"/>
    <w:rsid w:val="00292215"/>
    <w:rsid w:val="00336A2C"/>
    <w:rsid w:val="003A05D7"/>
    <w:rsid w:val="004524C4"/>
    <w:rsid w:val="004E15E8"/>
    <w:rsid w:val="00663810"/>
    <w:rsid w:val="00677132"/>
    <w:rsid w:val="00733ED7"/>
    <w:rsid w:val="00BD7847"/>
    <w:rsid w:val="00D0266F"/>
    <w:rsid w:val="00D36CE4"/>
    <w:rsid w:val="00FA47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CE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445C19-8CF2-3A4C-AEBA-412D206D48DB}">
  <we:reference id="wa104382081" version="1.55.1.0" store="en-US" storeType="OMEX"/>
  <we:alternateReferences>
    <we:reference id="wa104382081" version="1.55.1.0" store="en-US" storeType="OMEX"/>
  </we:alternateReferences>
  <we:properties>
    <we:property name="MENDELEY_CITATIONS" value="[{&quot;citationID&quot;:&quot;MENDELEY_CITATION_ae92bced-10eb-489c-a2bb-bab265eb5c06&quot;,&quot;properties&quot;:{&quot;noteIndex&quot;:0},&quot;isEdited&quot;:false,&quot;manualOverride&quot;:{&quot;isManuallyOverridden&quot;:false,&quot;citeprocText&quot;:&quot;(Zhai et al., 2020)&quot;,&quot;manualOverrideText&quot;:&quot;&quot;},&quot;citationTag&quot;:&quot;MENDELEY_CITATION_v3_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I1NiIsIklTU04iOiIwMTY4MTY5OSIsImlzc3VlZCI6eyJkYXRlLXBhcnRzIjpbWzIwMjAsM11dfSwicGFnZSI6IjEwNTI1NiIsInZvbHVtZSI6IjE3MCJ9LCJpc1RlbXBvcmFyeSI6ZmFsc2V9XX0=&quot;,&quot;citationItems&quot;:[{&quot;id&quot;:&quot;3ccb0c0d-6f90-35d0-8cdc-aa16f4c21aed&quot;,&quot;itemData&quot;:{&quot;type&quot;:&quot;article-journal&quot;,&quot;id&quot;:&quot;3ccb0c0d-6f90-35d0-8cdc-aa16f4c21aed&quot;,&quot;title&quot;:&quot;Decision support systems for agriculture 4.0: Survey and challenges&quot;,&quot;author&quot;:[{&quot;family&quot;:&quot;Zhai&quot;,&quot;given&quot;:&quot;Zhaoyu&quot;,&quot;parse-names&quot;:false,&quot;dropping-particle&quot;:&quot;&quot;,&quot;non-dropping-particle&quot;:&quot;&quot;},{&quot;family&quot;:&quot;Martínez&quot;,&quot;given&quot;:&quot;José Fernán&quot;,&quot;parse-names&quot;:false,&quot;dropping-particle&quot;:&quot;&quot;,&quot;non-dropping-particle&quot;:&quot;&quot;},{&quot;family&quot;:&quot;Beltran&quot;,&quot;given&quot;:&quot;Victoria&quot;,&quot;parse-names&quot;:false,&quot;dropping-particle&quot;:&quot;&quot;,&quot;non-dropping-particle&quot;:&quot;&quot;},{&quot;family&quot;:&quot;Martínez&quot;,&quot;given&quot;:&quot;Néstor Lucas&quot;,&quot;parse-names&quot;:false,&quot;dropping-particle&quot;:&quot;&quot;,&quot;non-dropping-particle&quot;:&quot;&quot;}],&quot;container-title&quot;:&quot;Computers and Electronics in Agriculture&quot;,&quot;container-title-short&quot;:&quot;Comput Electron Agric&quot;,&quot;DOI&quot;:&quot;10.1016/j.compag.2020.105256&quot;,&quot;ISSN&quot;:&quot;01681699&quot;,&quot;issued&quot;:{&quot;date-parts&quot;:[[2020,3]]},&quot;page&quot;:&quot;105256&quot;,&quot;volume&quot;:&quot;170&quot;},&quot;isTemporary&quot;:false}]},{&quot;citationID&quot;:&quot;MENDELEY_CITATION_17128d60-e4b5-4456-88d4-43b2629dad3b&quot;,&quot;properties&quot;:{&quot;noteIndex&quot;:0},&quot;isEdited&quot;:false,&quot;manualOverride&quot;:{&quot;isManuallyOverridden&quot;:false,&quot;citeprocText&quot;:&quot;(Rose &amp;#38; Chilvers, 2018)&quot;,&quot;manualOverrideText&quot;:&quot;&quot;},&quot;citationTag&quot;:&quot;MENDELEY_CITATION_v3_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&quot;,&quot;citationItems&quot;:[{&quot;id&quot;:&quot;a1b67d44-2154-334e-98ec-34203430d1fe&quot;,&quot;itemData&quot;:{&quot;type&quot;:&quot;article-journal&quot;,&quot;id&quot;:&quot;a1b67d44-2154-334e-98ec-34203430d1fe&quot;,&quot;title&quot;:&quot;Agriculture 4.0: Broadening Responsible Innovation in an Era of Smart Farming&quot;,&quot;author&quot;:[{&quot;family&quot;:&quot;Rose&quot;,&quot;given&quot;:&quot;David Christian&quot;,&quot;parse-names&quot;:false,&quot;dropping-particle&quot;:&quot;&quot;,&quot;non-dropping-particle&quot;:&quot;&quot;},{&quot;family&quot;:&quot;Chilvers&quot;,&quot;given&quot;:&quot;Jason&quot;,&quot;parse-names&quot;:false,&quot;dropping-particle&quot;:&quot;&quot;,&quot;non-dropping-particle&quot;:&quot;&quot;}],&quot;container-title&quot;:&quot;Frontiers in Sustainable Food Systems&quot;,&quot;container-title-short&quot;:&quot;Front Sustain Food Syst&quot;,&quot;DOI&quot;:&quot;10.3389/fsufs.2018.00087&quot;,&quot;ISSN&quot;:&quot;2571-581X&quot;,&quot;issued&quot;:{&quot;date-parts&quot;:[[2018,12,21]]},&quot;volume&quot;:&quot;2&quot;},&quot;isTemporary&quot;:false,&quot;suppress-author&quot;:false,&quot;composite&quot;:false,&quot;author-only&quot;:false}]},{&quot;citationID&quot;:&quot;MENDELEY_CITATION_ac4b55c4-d316-42b0-9982-df3cf55dcbb0&quot;,&quot;properties&quot;:{&quot;noteIndex&quot;:0},&quot;isEdited&quot;:false,&quot;manualOverride&quot;:{&quot;isManuallyOverridden&quot;:false,&quot;citeprocText&quot;:&quot;(Ruzzante et al., 2021)&quot;,&quot;manualOverrideText&quot;:&quot;&quot;},&quot;citationTag&quot;:&quot;MENDELEY_CITATION_v3_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&quot;,&quot;citationItems&quot;:[{&quot;id&quot;:&quot;4ba68b03-33a5-3645-94fb-094f4ecff4ad&quot;,&quot;itemData&quot;:{&quot;type&quot;:&quot;article-journal&quot;,&quot;id&quot;:&quot;4ba68b03-33a5-3645-94fb-094f4ecff4ad&quot;,&quot;title&quot;:&quot;Adoption of agricultural technology in the developing world: A meta-analysis of the empirical literature&quot;,&quot;author&quot;:[{&quot;family&quot;:&quot;Ruzzante&quot;,&quot;given&quot;:&quot;Sacha&quot;,&quot;parse-names&quot;:false,&quot;dropping-particle&quot;:&quot;&quot;,&quot;non-dropping-particle&quot;:&quot;&quot;},{&quot;family&quot;:&quot;Labarta&quot;,&quot;given&quot;:&quot;Ricardo&quot;,&quot;parse-names&quot;:false,&quot;dropping-particle&quot;:&quot;&quot;,&quot;non-dropping-particle&quot;:&quot;&quot;},{&quot;family&quot;:&quot;Bilton&quot;,&quot;given&quot;:&quot;Amy&quot;,&quot;parse-names&quot;:false,&quot;dropping-particle&quot;:&quot;&quot;,&quot;non-dropping-particle&quot;:&quot;&quot;}],&quot;container-title&quot;:&quot;World Development&quot;,&quot;container-title-short&quot;:&quot;World Dev&quot;,&quot;DOI&quot;:&quot;10.1016/j.worlddev.2021.105599&quot;,&quot;ISSN&quot;:&quot;0305750X&quot;,&quot;issued&quot;:{&quot;date-parts&quot;:[[2021,10]]},&quot;page&quot;:&quot;105599&quot;,&quot;volume&quot;:&quot;146&quot;},&quot;isTemporary&quot;:false,&quot;suppress-author&quot;:false,&quot;composite&quot;:false,&quot;author-only&quot;:false}]},{&quot;citationID&quot;:&quot;MENDELEY_CITATION_9a8c420b-2847-43bf-82a3-4342c29432e7&quot;,&quot;properties&quot;:{&quot;noteIndex&quot;:0},&quot;isEdited&quot;:false,&quot;manualOverride&quot;:{&quot;isManuallyOverridden&quot;:false,&quot;citeprocText&quot;:&quot;(Anderson &amp;#38; Feder, 2007)&quot;,&quot;manualOverrideText&quot;:&quot;&quot;},&quot;citationTag&quot;:&quot;MENDELEY_CITATION_v3_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&quot;,&quot;citationItems&quot;:[{&quot;id&quot;:&quot;9d61f28f-a7d5-3124-9a11-728d01ba8840&quot;,&quot;itemData&quot;:{&quot;type&quot;:&quot;chapter&quot;,&quot;id&quot;:&quot;9d61f28f-a7d5-3124-9a11-728d01ba8840&quot;,&quot;title&quot;:&quot;Chapter 44 Agricultural Extension&quot;,&quot;author&quot;:[{&quot;family&quot;:&quot;Anderson&quot;,&quot;given&quot;:&quot;Jock R.&quot;,&quot;parse-names&quot;:false,&quot;dropping-particle&quot;:&quot;&quot;,&quot;non-dropping-particle&quot;:&quot;&quot;},{&quot;family&quot;:&quot;Feder&quot;,&quot;given&quot;:&quot;Gershon&quot;,&quot;parse-names&quot;:false,&quot;dropping-particle&quot;:&quot;&quot;,&quot;non-dropping-particle&quot;:&quot;&quot;}],&quot;container-title&quot;:&quot;Handbook of Agricultural Economics&quot;,&quot;DOI&quot;:&quot;10.1016/S1574-0072(06)03044-1&quot;,&quot;issued&quot;:{&quot;date-parts&quot;:[[2007]]},&quot;page&quot;:&quot;2343-2378&quot;,&quot;edition&quot;:&quot;3&quot;,&quot;volume&quot;:&quot;3&quot;,&quot;container-title-short&quot;:&quot;&quot;},&quot;isTemporary&quot;:false,&quot;suppress-author&quot;:false,&quot;composite&quot;:false,&quot;author-only&quot;:false}]},{&quot;citationID&quot;:&quot;MENDELEY_CITATION_6cf2bd62-095a-438e-aa46-e96845557149&quot;,&quot;properties&quot;:{&quot;noteIndex&quot;:0},&quot;isEdited&quot;:false,&quot;manualOverride&quot;:{&quot;isManuallyOverridden&quot;:false,&quot;citeprocText&quot;:&quot;(Mittal &amp;#38; Mehar, 2016)&quot;,&quot;manualOverrideText&quot;:&quot;&quot;},&quot;citationTag&quot;:&quot;MENDELEY_CITATION_v3_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&quot;,&quot;citationItems&quot;:[{&quot;id&quot;:&quot;3b708029-7ce2-3d30-aa9d-e07e5881ed39&quot;,&quot;itemData&quot;:{&quot;type&quot;:&quot;article-journal&quot;,&quot;id&quot;:&quot;3b708029-7ce2-3d30-aa9d-e07e5881ed39&quot;,&quot;title&quot;:&quot;Socio-economic Factors Affecting Adoption of Modern Information and Communication Technology by Farmers in India: Analysis Using Multivariate Probit Model&quot;,&quot;author&quot;:[{&quot;family&quot;:&quot;Mittal&quot;,&quot;given&quot;:&quot;Surabhi&quot;,&quot;parse-names&quot;:false,&quot;dropping-particle&quot;:&quot;&quot;,&quot;non-dropping-particle&quot;:&quot;&quot;},{&quot;family&quot;:&quot;Mehar&quot;,&quot;given&quot;:&quot;Mamta&quot;,&quot;parse-names&quot;:false,&quot;dropping-particle&quot;:&quot;&quot;,&quot;non-dropping-particle&quot;:&quot;&quot;}],&quot;container-title&quot;:&quot;The Journal of Agricultural Education and Extension&quot;,&quot;DOI&quot;:&quot;10.1080/1389224X.2014.997255&quot;,&quot;ISSN&quot;:&quot;1389-224X&quot;,&quot;issued&quot;:{&quot;date-parts&quot;:[[2016,3,14]]},&quot;page&quot;:&quot;199-212&quot;,&quot;issue&quot;:&quot;2&quot;,&quot;volume&quot;:&quot;22&quot;,&quot;container-title-short&quot;:&quot;&quot;},&quot;isTemporary&quot;:false,&quot;suppress-author&quot;:false,&quot;composite&quot;:false,&quot;author-only&quot;:false}]},{&quot;citationID&quot;:&quot;MENDELEY_CITATION_b26f1efe-050e-471f-bfe7-1286a58fd95c&quot;,&quot;properties&quot;:{&quot;noteIndex&quot;:0},&quot;isEdited&quot;:false,&quot;manualOverride&quot;:{&quot;isManuallyOverridden&quot;:false,&quot;citeprocText&quot;:&quot;(Sasmita et al., 2024)&quot;,&quot;manualOverrideText&quot;:&quot;&quot;},&quot;citationTag&quot;:&quot;MENDELEY_CITATION_v3_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&quot;,&quot;citationItems&quot;:[{&quot;id&quot;:&quot;120dc812-8890-334c-8c8e-2f1d52ddc17f&quot;,&quot;itemData&quot;:{&quot;type&quot;:&quot;article-journal&quot;,&quot;id&quot;:&quot;120dc812-8890-334c-8c8e-2f1d52ddc17f&quot;,&quot;title&quot;:&quot;Digital communication competence and technology adoption: Drivers of performance among small-scale millennial farmers in Indonesia&quot;,&quot;author&quot;:[{&quot;family&quot;:&quot;Sasmita&quot;,&quot;given&quot;:&quot;Hari Otang&quot;,&quot;parse-names&quot;:false,&quot;dropping-particle&quot;:&quot;&quot;,&quot;non-dropping-particle&quot;:&quot;&quot;},{&quot;family&quot;:&quot;Saleh&quot;,&quot;given&quot;:&quot;Amiruddin&quot;,&quot;parse-names&quot;:false,&quot;dropping-particle&quot;:&quot;&quot;,&quot;non-dropping-particle&quot;:&quot;&quot;},{&quot;family&quot;:&quot;Priatna&quot;,&quot;given&quot;:&quot;Wahyu Budi&quot;,&quot;parse-names&quot;:false,&quot;dropping-particle&quot;:&quot;&quot;,&quot;non-dropping-particle&quot;:&quot;&quot;},{&quot;family&quot;:&quot;Muljono&quot;,&quot;given&quot;:&quot;Pudji&quot;,&quot;parse-names&quot;:false,&quot;dropping-particle&quot;:&quot;&quot;,&quot;non-dropping-particle&quot;:&quot;&quot;}],&quot;container-title&quot;:&quot;Edelweiss Applied Science and Technology&quot;,&quot;DOI&quot;:&quot;10.55214/25768484.v8i6.3192&quot;,&quot;ISSN&quot;:&quot;2576-8484&quot;,&quot;issued&quot;:{&quot;date-parts&quot;:[[2024,11,20]]},&quot;page&quot;:&quot;5360-5374&quot;,&quot;abstract&quot;:&quot;&lt;p&gt;Digital development in rural areas has become a driving force in increasing agricultural and rural economic productivity. However, the lack of digital communication competence among farmers remains a problem, causing market information asymmetry and an inability to effectively utilize information and communication technology (ICT) in the agricultural sector to increase business profits. Therefore, it is important to examine the use of ICT in the agricultural sector in 19- to 39-year-old age groups (or millennial farmers), as this generation is considered closest to digital technology. This study used a survey method with 345 millennial farmers in Bogor, Indonesia, and data were analyzed using partial least squares-structural equation modeling (PLS-SEM). The results of this study indicate that digital communication competence, as reflected by motivation, knowledge, and digital skills, plays a crucial role in enhancing the performance of millennial farmers both directly and indirectly through ICT utilization. Farmers possessing superior digital communication competencies exhibit a greater inclination to employ technology for communication, information acquisition, idea dissemination, and marketing in their agricultural pursuits, resulting in more informed decision making and potentially improved productivity and profitability. The results contribute to the understanding of the role of digital communication competence and ICT utilization in enhancing farmers’ performance.&lt;/p&gt;&quot;,&quot;issue&quot;:&quot;6&quot;,&quot;volume&quot;:&quot;8&quot;,&quot;container-title-short&quot;:&quot;&quot;},&quot;isTemporary&quot;:false,&quot;suppress-author&quot;:false,&quot;composite&quot;:false,&quot;author-only&quot;:false}]},{&quot;citationID&quot;:&quot;MENDELEY_CITATION_2735c9a9-64ef-411b-9480-7912eb149a99&quot;,&quot;properties&quot;:{&quot;noteIndex&quot;:0},&quot;isEdited&quot;:false,&quot;manualOverride&quot;:{&quot;isManuallyOverridden&quot;:false,&quot;citeprocText&quot;:&quot;(Jia &amp;#38; Huang, 2023)&quot;,&quot;manualOverrideText&quot;:&quot;&quot;},&quot;citationTag&quot;:&quot;MENDELEY_CITATION_v3_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&quot;,&quot;citationItems&quot;:[{&quot;id&quot;:&quot;f6d1ab5a-e25e-31a3-b676-a692b4a6452f&quot;,&quot;itemData&quot;:{&quot;type&quot;:&quot;article-journal&quot;,&quot;id&quot;:&quot;f6d1ab5a-e25e-31a3-b676-a692b4a6452f&quot;,&quot;title&quot;:&quot;Digital Literacy and Vocational Education: Essential Skills for the Modern Workforce&quot;,&quot;author&quot;:[{&quot;family&quot;:&quot;Jia&quot;,&quot;given&quot;:&quot;Wei&quot;,&quot;parse-names&quot;:false,&quot;dropping-particle&quot;:&quot;&quot;,&quot;non-dropping-particle&quot;:&quot;&quot;},{&quot;family&quot;:&quot;Huang&quot;,&quot;given&quot;:&quot;Xu&quot;,&quot;parse-names&quot;:false,&quot;dropping-particle&quot;:&quot;&quot;,&quot;non-dropping-particle&quot;:&quot;&quot;}],&quot;container-title&quot;:&quot;International Journal of Academic Research in Business and Social Sciences&quot;,&quot;DOI&quot;:&quot;10.6007/ijarbss/v13-i5/17080&quot;,&quot;issued&quot;:{&quot;date-parts&quot;:[[2023]]},&quot;issue&quot;:&quot;5&quot;,&quot;volume&quot;:&quot;13&quot;,&quot;container-title-short&quot;:&quot;&quot;},&quot;isTemporary&quot;:false,&quot;suppress-author&quot;:false,&quot;composite&quot;:false,&quot;author-only&quot;:false}]},{&quot;citationID&quot;:&quot;MENDELEY_CITATION_c467212d-23d9-4b44-9be9-1e3d62c07a58&quot;,&quot;properties&quot;:{&quot;noteIndex&quot;:0},&quot;isEdited&quot;:false,&quot;manualOverride&quot;:{&quot;isManuallyOverridden&quot;:false,&quot;citeprocText&quot;:&quot;(Aja, 2024)&quot;,&quot;manualOverrideText&quot;:&quot;&quot;},&quot;citationTag&quot;:&quot;MENDELEY_CITATION_v3_eyJjaXRhdGlvbklEIjoiTUVOREVMRVlfQ0lUQVRJT05fYzQ2NzIxMmQtMjNkOS00YjQ0LTliZTktMWUzZDYyYzA3YTU4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1ecc04ff-ed57-4d2d-b906-9839e7b37b36&quot;,&quot;properties&quot;:{&quot;noteIndex&quot;:0},&quot;isEdited&quot;:false,&quot;manualOverride&quot;:{&quot;isManuallyOverridden&quot;:false,&quot;citeprocText&quot;:&quot;(Magesa, 2023)&quot;,&quot;manualOverrideText&quot;:&quot;&quot;},&quot;citationTag&quot;:&quot;MENDELEY_CITATION_v3_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&quot;,&quot;citationItems&quot;:[{&quot;id&quot;:&quot;31f36583-dc7d-3278-87cb-fbfe6124526f&quot;,&quot;itemData&quot;:{&quot;type&quot;:&quot;article-journal&quot;,&quot;id&quot;:&quot;31f36583-dc7d-3278-87cb-fbfe6124526f&quot;,&quot;title&quot;:&quot;Digital Literacy of Smallholder Farmers in Tanzania&quot;,&quot;author&quot;:[{&quot;family&quot;:&quot;Magesa&quot;,&quot;given&quot;:&quot;Mawazo&quot;,&quot;parse-names&quot;:false,&quot;dropping-particle&quot;:&quot;&quot;,&quot;non-dropping-particle&quot;:&quot;&quot;}],&quot;container-title&quot;:&quot;Sustainability&quot;,&quot;container-title-short&quot;:&quot;Sustainability&quot;,&quot;DOI&quot;:&quot;10.3390/su151713149&quot;,&quot;issued&quot;:{&quot;date-parts&quot;:[[2023]]},&quot;page&quot;:&quot;13149&quot;,&quot;issue&quot;:&quot;17&quot;,&quot;volume&quot;:&quot;15&quot;},&quot;isTemporary&quot;:false,&quot;suppress-author&quot;:false,&quot;composite&quot;:false,&quot;author-only&quot;:false}]},{&quot;citationID&quot;:&quot;MENDELEY_CITATION_793361e1-d4c3-433d-a8a8-87c69fb0b5bf&quot;,&quot;properties&quot;:{&quot;noteIndex&quot;:0},&quot;isEdited&quot;:false,&quot;manualOverride&quot;:{&quot;isManuallyOverridden&quot;:false,&quot;citeprocText&quot;:&quot;(Garrison &amp;#38; Kanuka, 2004)&quot;,&quot;manualOverrideText&quot;:&quot;&quot;},&quot;citationTag&quot;:&quot;MENDELEY_CITATION_v3_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&quot;,&quot;citationItems&quot;:[{&quot;id&quot;:&quot;e6e1d013-8b3a-305c-9634-4672f48c5505&quot;,&quot;itemData&quot;:{&quot;type&quot;:&quot;article-journal&quot;,&quot;id&quot;:&quot;e6e1d013-8b3a-305c-9634-4672f48c5505&quot;,&quot;title&quot;:&quot;Blended learning: Uncovering its transformative potential in higher education&quot;,&quot;author&quot;:[{&quot;family&quot;:&quot;Garrison&quot;,&quot;given&quot;:&quot;D.Randy&quot;,&quot;parse-names&quot;:false,&quot;dropping-particle&quot;:&quot;&quot;,&quot;non-dropping-particle&quot;:&quot;&quot;},{&quot;family&quot;:&quot;Kanuka&quot;,&quot;given&quot;:&quot;Heather&quot;,&quot;parse-names&quot;:false,&quot;dropping-particle&quot;:&quot;&quot;,&quot;non-dropping-particle&quot;:&quot;&quot;}],&quot;container-title&quot;:&quot;The Internet and Higher Education&quot;,&quot;container-title-short&quot;:&quot;Internet High Educ&quot;,&quot;DOI&quot;:&quot;10.1016/j.iheduc.2004.02.001&quot;,&quot;ISSN&quot;:&quot;10967516&quot;,&quot;issued&quot;:{&quot;date-parts&quot;:[[2004,4]]},&quot;page&quot;:&quot;95-105&quot;,&quot;issue&quot;:&quot;2&quot;,&quot;volume&quot;:&quot;7&quot;},&quot;isTemporary&quot;:false,&quot;suppress-author&quot;:false,&quot;composite&quot;:false,&quot;author-only&quot;:false}]},{&quot;citationID&quot;:&quot;MENDELEY_CITATION_19f22366-adb2-45b9-bef7-0c367fc20d94&quot;,&quot;properties&quot;:{&quot;noteIndex&quot;:0},&quot;isEdited&quot;:false,&quot;manualOverride&quot;:{&quot;isManuallyOverridden&quot;:false,&quot;citeprocText&quot;:&quot;(Dhawan, 2020a)&quot;,&quot;manualOverrideText&quot;:&quot;&quot;},&quot;citationTag&quot;:&quot;MENDELEY_CITATION_v3_eyJjaXRhdGlvbklEIjoiTUVOREVMRVlfQ0lUQVRJT05fMTlmMjIzNjYtYWRiMi00NWI5LWJlZjctMGMzNjdmYzIwZDk0IiwicHJvcGVydGllcyI6eyJub3RlSW5kZXgiOjB9LCJpc0VkaXRlZCI6ZmFsc2UsIm1hbnVhbE92ZXJyaWRlIjp7ImlzTWFudWFsbHlPdmVycmlkZGVuIjpmYWxzZSwiY2l0ZXByb2NUZXh0IjoiKERoYXdhbiwgMjAyMGEpIiwibWFudWFsT3ZlcnJpZGVUZXh0IjoiIn0sImNpdGF0aW9uSXRlbXMiOlt7ImlkIjoiMGY4OTg0MGMtNTJhMy0zZDE1LThmY2YtNTJjMWU5ZDkxYmJlIiwiaXRlbURhdGEiOnsidHlwZSI6ImFydGljbGUtam91cm5hbCIsImlkIjoiMGY4OTg0MGMtNTJhMy0zZDE1LThmY2YtNTJjMWU5ZDkxYmJl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quot;,&quot;citationItems&quot;:[{&quot;id&quot;:&quot;0f89840c-52a3-3d15-8fcf-52c1e9d91bbe&quot;,&quot;itemData&quot;:{&quot;type&quot;:&quot;article-journal&quot;,&quot;id&quot;:&quot;0f89840c-52a3-3d15-8fcf-52c1e9d91bbe&quot;,&quot;title&quot;:&quot;Online Learning: A Panacea in the Time of COVID-19 Crisis&quot;,&quot;author&quot;:[{&quot;family&quot;:&quot;Dhawan&quot;,&quot;given&quot;:&quot;Shivangi&quot;,&quot;parse-names&quot;:false,&quot;dropping-particle&quot;:&quot;&quot;,&quot;non-dropping-particle&quot;:&quot;&quot;}],&quot;container-title&quot;:&quot;Journal of Educational Technology Systems&quot;,&quot;DOI&quot;:&quot;10.1177/0047239520934018&quot;,&quot;ISSN&quot;:&quot;0047-2395&quot;,&quot;issued&quot;:{&quot;date-parts&quot;:[[2020,9,20]]},&quot;page&quot;:&quot;5-22&quot;,&quot;abstract&quot;:&quot;&lt;p&g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lt;/p&gt;&quot;,&quot;issue&quot;:&quot;1&quot;,&quot;volume&quot;:&quot;49&quot;,&quot;container-title-short&quot;:&quot;&quot;},&quot;isTemporary&quot;:false,&quot;suppress-author&quot;:false,&quot;composite&quot;:false,&quot;author-only&quot;:false}]},{&quot;citationID&quot;:&quot;MENDELEY_CITATION_16554c00-3c61-4d69-9c5f-a38b280818eb&quot;,&quot;properties&quot;:{&quot;noteIndex&quot;:0},&quot;isEdited&quot;:false,&quot;manualOverride&quot;:{&quot;isManuallyOverridden&quot;:false,&quot;citeprocText&quot;:&quot;(Means et al., 2013)&quot;,&quot;manualOverrideText&quot;:&quot;&quot;},&quot;citationTag&quot;:&quot;MENDELEY_CITATION_v3_eyJjaXRhdGlvbklEIjoiTUVOREVMRVlfQ0lUQVRJT05fMTY1NTRjMDAtM2M2MS00ZDY5LTljNWYtYTM4YjI4MDgxOGViIiwicHJvcGVydGllcyI6eyJub3RlSW5kZXgiOjB9LCJpc0VkaXRlZCI6ZmFsc2UsIm1hbnVhbE92ZXJyaWRlIjp7ImlzTWFudWFsbHlPdmVycmlkZGVuIjpmYWxzZSwiY2l0ZXByb2NUZXh0IjoiKE1lYW5zIGV0IGFsLiwgMjAxMykiLCJtYW51YWxPdmVycmlkZVRleHQiOiIifSwiY2l0YXRpb25JdGVtcyI6W3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Swic3VwcHJlc3MtYXV0aG9yIjpmYWxzZSwiY29tcG9zaXRlIjpmYWxzZSwiYXV0aG9yLW9ubHkiOmZhbHNlfV19&quot;,&quot;citationItems&quot;:[{&quot;id&quot;:&quot;31f238e6-896a-303c-8d98-a47de7256ffa&quot;,&quot;itemData&quot;:{&quot;type&quot;:&quot;article-journal&quot;,&quot;id&quot;:&quot;31f238e6-896a-303c-8d98-a47de7256ffa&quot;,&quot;title&quot;:&quot;The Effectiveness of Online and Blended Learning: A Meta-Analysis of the Empirical Literature&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quot;,&quot;given&quot;:&quot;Marianne&quot;,&quot;parse-names&quot;:false,&quot;dropping-particle&quot;:&quot;&quot;,&quot;non-dropping-particle&quot;:&quot;&quot;}],&quot;container-title&quot;:&quot;Teachers College Record: The Voice of Scholarship in Education&quot;,&quot;DOI&quot;:&quot;10.1177/016146811311500307&quot;,&quot;ISSN&quot;:&quot;0161-4681&quot;,&quot;issued&quot;:{&quot;date-parts&quot;:[[2013,3,1]]},&quot;page&quot;:&quot;1-47&quot;,&quot;issue&quot;:&quot;3&quot;,&quot;volume&quot;:&quot;115&quot;,&quot;container-title-short&quot;:&quot;&quot;},&quot;isTemporary&quot;:false,&quot;suppress-author&quot;:false,&quot;composite&quot;:false,&quot;author-only&quot;:false}]},{&quot;citationID&quot;:&quot;MENDELEY_CITATION_d068db6d-6750-4746-a431-81ca6ff4a9ec&quot;,&quot;properties&quot;:{&quot;noteIndex&quot;:0},&quot;isEdited&quot;:false,&quot;manualOverride&quot;:{&quot;isManuallyOverridden&quot;:false,&quot;citeprocText&quot;:&quot;(Olagunju et al., 2021)&quot;,&quot;manualOverrideText&quot;:&quot;&quot;},&quot;citationTag&quot;:&quot;MENDELEY_CITATION_v3_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&quot;,&quot;citationItems&quot;:[{&quot;id&quot;:&quot;f9c827be-548c-316f-ae3f-3bee693a2dbe&quot;,&quot;itemData&quot;:{&quot;type&quot;:&quot;article-journal&quot;,&quot;id&quot;:&quot;f9c827be-548c-316f-ae3f-3bee693a2dbe&quot;,&quot;title&quot;:&quot;Digitization of Agricultural Extension System for Effective Management of Emergency in Nigeria&quot;,&quot;author&quot;:[{&quot;family&quot;:&quot;Olagunju&quot;,&quot;given&quot;:&quot;Oluwatoyin&quot;,&quot;parse-names&quot;:false,&quot;dropping-particle&quot;:&quot;&quot;,&quot;non-dropping-particle&quot;:&quot;&quot;},{&quot;family&quot;:&quot;Adetarami&quot;,&quot;given&quot;:&quot;Oluwaseun&quot;,&quot;parse-names&quot;:false,&quot;dropping-particle&quot;:&quot;&quot;,&quot;non-dropping-particle&quot;:&quot;&quot;},{&quot;family&quot;:&quot;Koledoye&quot;,&quot;given&quot;:&quot;Gbenga&quot;,&quot;parse-names&quot;:false,&quot;dropping-particle&quot;:&quot;&quot;,&quot;non-dropping-particle&quot;:&quot;&quot;},{&quot;family&quot;:&quot;Festus&quot;,&quot;given&quot;:&quot;&quot;,&quot;parse-names&quot;:false,&quot;dropping-particle&quot;:&quot;&quot;,&quot;non-dropping-particle&quot;:&quot;&quot;},{&quot;family&quot;:&quot;Olumoyegun&quot;,&quot;given&quot;:&quot;Adewumi&quot;,&quot;parse-names&quot;:false,&quot;dropping-particle&quot;:&quot;&quot;,&quot;non-dropping-particle&quot;:&quot;&quot;},{&quot;family&quot;:&quot;Temidire&quot;,&quot;given&quot;:&quot;&quot;,&quot;parse-names&quot;:false,&quot;dropping-particle&quot;:&quot;&quot;,&quot;non-dropping-particle&quot;:&quot;&quot;},{&quot;family&quot;:&quot;Shehu Nabara&quot;,&quot;given&quot;:&quot;Isah&quot;,&quot;parse-names&quot;:false,&quot;dropping-particle&quot;:&quot;&quot;,&quot;non-dropping-particle&quot;:&quot;&quot;},{&quot;family&quot;:&quot;Shehu&quot;,&quot;given&quot;:&quot;&quot;,&quot;parse-names&quot;:false,&quot;dropping-particle&quot;:&quot;&quot;,&quot;non-dropping-particle&quot;:&quot;&quot;}],&quot;container-title&quot;:&quot;Journal of Agricultural Extension&quot;,&quot;DOI&quot;:&quot;10.11226/v25i4&quot;,&quot;issued&quot;:{&quot;date-parts&quot;:[[2021,9]]},&quot;page&quot;:&quot;81-91&quot;,&quot;volume&quot;:&quot;25&quot;,&quot;container-title-short&quot;:&quot;&quot;},&quot;isTemporary&quot;:false,&quot;suppress-author&quot;:false,&quot;composite&quot;:false,&quot;author-only&quot;:false}]},{&quot;citationID&quot;:&quot;MENDELEY_CITATION_c8b9beed-838a-497b-9d96-f75ac28f7ef2&quot;,&quot;properties&quot;:{&quot;noteIndex&quot;:0},&quot;isEdited&quot;:false,&quot;manualOverride&quot;:{&quot;isManuallyOverridden&quot;:false,&quot;citeprocText&quot;:&quot;(Shadish et al., 2003)&quot;,&quot;manualOverrideText&quot;:&quot;&quot;},&quot;citationTag&quot;:&quot;MENDELEY_CITATION_v3_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&quot;,&quot;citationItems&quot;:[{&quot;id&quot;:&quot;d3c4ca42-fb04-366c-9dd1-28895b307dbd&quot;,&quot;itemData&quot;:{&quot;type&quot;:&quot;article-journal&quot;,&quot;id&quot;:&quot;d3c4ca42-fb04-366c-9dd1-28895b307dbd&quot;,&quot;title&quot;:&quot;Experimental and Quasi‐Experimental Designs for Generalized Causal Inference&quot;,&quot;author&quot;:[{&quot;family&quot;:&quot;Shadish&quot;,&quot;given&quot;:&quot;William R.&quot;,&quot;parse-names&quot;:false,&quot;dropping-particle&quot;:&quot;&quot;,&quot;non-dropping-particle&quot;:&quot;&quot;},{&quot;family&quot;:&quot;Cook&quot;,&quot;given&quot;:&quot;Thomas D.&quot;,&quot;parse-names&quot;:false,&quot;dropping-particle&quot;:&quot;&quot;,&quot;non-dropping-particle&quot;:&quot;&quot;},{&quot;family&quot;:&quot;Campbell&quot;,&quot;given&quot;:&quot;Donald T.&quot;,&quot;parse-names&quot;:false,&quot;dropping-particle&quot;:&quot;&quot;,&quot;non-dropping-particle&quot;:&quot;&quot;}],&quot;container-title&quot;:&quot;Journal of Policy Analysis and Management&quot;,&quot;DOI&quot;:&quot;10.1002/pam.10129&quot;,&quot;ISSN&quot;:&quot;0276-8739&quot;,&quot;issued&quot;:{&quot;date-parts&quot;:[[2003,3,4]]},&quot;page&quot;:&quot;330-332&quot;,&quot;issue&quot;:&quot;2&quot;,&quot;volume&quot;:&quot;22&quot;,&quot;container-title-short&quot;:&quot;&quot;},&quot;isTemporary&quot;:false,&quot;suppress-author&quot;:false,&quot;composite&quot;:false,&quot;author-only&quot;:false}]},{&quot;citationID&quot;:&quot;MENDELEY_CITATION_812933d8-e4e9-4ce1-820d-ec301591780d&quot;,&quot;properties&quot;:{&quot;noteIndex&quot;:0},&quot;isEdited&quot;:false,&quot;manualOverride&quot;:{&quot;isManuallyOverridden&quot;:false,&quot;citeprocText&quot;:&quot;(Vuorikari et al., 2016)&quot;,&quot;manualOverrideText&quot;:&quot;&quot;},&quot;citationTag&quot;:&quot;MENDELEY_CITATION_v3_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&quot;,&quot;citationItems&quot;:[{&quot;id&quot;:&quot;0ffa3f35-2c79-3299-afeb-3a4dd2874814&quot;,&quot;itemData&quot;:{&quot;type&quot;:&quot;book&quot;,&quot;id&quot;:&quot;0ffa3f35-2c79-3299-afeb-3a4dd2874814&quot;,&quot;title&quot;:&quot;DigComp 2.0: The Digital Competence Framework for Citizens&quot;,&quot;author&quot;:[{&quot;family&quot;:&quot;Vuorikari&quot;,&quot;given&quot;:&quot;Riina&quot;,&quot;parse-names&quot;:false,&quot;dropping-particle&quot;:&quot;&quot;,&quot;non-dropping-particle&quot;:&quot;&quot;},{&quot;family&quot;:&quot;Punie&quot;,&quot;given&quot;:&quot;Yves&quot;,&quot;parse-names&quot;:false,&quot;dropping-particle&quot;:&quot;&quot;,&quot;non-dropping-particle&quot;:&quot;&quot;},{&quot;family&quot;:&quot;Carretero&quot;,&quot;given&quot;:&quot;Stephanie&quot;,&quot;parse-names&quot;:false,&quot;dropping-particle&quot;:&quot;&quot;,&quot;non-dropping-particle&quot;:&quot;&quot;},{&quot;family&quot;:&quot;Brande&quot;,&quot;given&quot;:&quot;Lieve&quot;,&quot;parse-names&quot;:false,&quot;dropping-particle&quot;:&quot;&quot;,&quot;non-dropping-particle&quot;:&quot;Van Den&quot;}],&quot;container-title&quot;:&quot;Jrc-Ipts&quot;,&quot;DOI&quot;:&quot;10.2791/11517&quot;,&quot;ISBN&quot;:&quot;978-92-79-58876-1&quot;,&quot;ISSN&quot;:&quot;1831-9424&quot;,&quot;URL&quot;:&quot;https://ec.europa.eu/jrc%0Ahttp://publications.jrc.ec.europa.eu/repository/bitstream/JRC101254/jrc101254_digcomp 2.0 the digital competence framework for citizens. update phase 1.pdf&quot;,&quot;issued&quot;:{&quot;date-parts&quot;:[[2016]]},&quot;number-of-pages&quot;:&quot;1-40&quot;,&quot;abstract&quot;:&quot;DigComp 2.0: The Digital Competence Framework for Citizens. The European Digital Competence Framework for Citizens, also known as DigComp, offers a tool to improve citizens’ digital competence. DigComp was first published in 2013 and has become a reference for many digital competence initiatives at both European and Member State levels. This document introduces DigComp 2.0. It constitutes phase 1 of the update of the framework which focuses on the conceptual reference model, new vocabulary and streamlined descriptors. The current document also gives examples of how DigComp is used at the European, national and regional levels.&quot;,&quot;issue&quot;:&quot;June&quot;,&quot;container-title-short&quot;:&quot;&quot;},&quot;isTemporary&quot;:false,&quot;suppress-author&quot;:false,&quot;composite&quot;:false,&quot;author-only&quot;:false}]},{&quot;citationID&quot;:&quot;MENDELEY_CITATION_0838e618-a63f-40dd-b7dc-c4e049a05427&quot;,&quot;properties&quot;:{&quot;noteIndex&quot;:0},&quot;isEdited&quot;:false,&quot;manualOverride&quot;:{&quot;isManuallyOverridden&quot;:false,&quot;citeprocText&quot;:&quot;(Klerkx et al., 2019)&quot;,&quot;manualOverrideText&quot;:&quot;&quot;},&quot;citationTag&quot;:&quot;MENDELEY_CITATION_v3_eyJjaXRhdGlvbklEIjoiTUVOREVMRVlfQ0lUQVRJT05fMDgzOGU2MTgtYTYzZi00MGRkLWI3ZGMtYzRlMDQ5YTA1NDI3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8b74d778-1d9e-4036-8d00-ff9524cf8259&quot;,&quot;properties&quot;:{&quot;noteIndex&quot;:0},&quot;isEdited&quot;:false,&quot;manualOverride&quot;:{&quot;isManuallyOverridden&quot;:false,&quot;citeprocText&quot;:&quot;(Carretero et al., 2017)&quot;,&quot;manualOverrideText&quot;:&quot;&quot;},&quot;citationTag&quot;:&quot;MENDELEY_CITATION_v3_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&quot;,&quot;citationItems&quot;:[{&quot;id&quot;:&quot;568db4c7-1098-336b-ad93-200f701fcd85&quot;,&quot;itemData&quot;:{&quot;type&quot;:&quot;report&quot;,&quot;id&quot;:&quot;568db4c7-1098-336b-ad93-200f701fcd85&quot;,&quot;title&quot;:&quot;DigComp 2.1: The Digital Competence Framework for Citizens with eight proficiency levels and examples of use&quot;,&quot;author&quot;:[{&quot;family&quot;:&quot;Carretero&quot;,&quot;given&quot;:&quot;Gomez Stephanie&quot;,&quot;parse-names&quot;:false,&quot;dropping-particle&quot;:&quot;&quot;,&quot;non-dropping-particle&quot;:&quot;&quot;},{&quot;family&quot;:&quot;Vuorikari&quot;,&quot;given&quot;:&quot;Riina&quot;,&quot;parse-names&quot;:false,&quot;dropping-particle&quot;:&quot;&quot;,&quot;non-dropping-particle&quot;:&quot;&quot;},{&quot;family&quot;:&quot;Punie&quot;,&quot;given&quot;:&quot;Yves&quot;,&quot;parse-names&quot;:false,&quot;dropping-particle&quot;:&quot;&quot;,&quot;non-dropping-particle&quot;:&quot;&quot;}],&quot;DOI&quot;:&quot;10.2760/38842 (online),10.2760/836968 (print),10.2760/00963 (ePub)&quot;,&quot;ISBN&quot;:&quot;978-92-79-68006-9 (pdf),978-92-79-68005-2 (print),978-92-79-74173-9 (ePub)&quot;,&quot;ISSN&quot;:&quot;1831-9424 (online),1018-5593 (print)&quot;,&quot;issued&quot;:{&quot;date-parts&quot;:[[2017]]},&quot;publisher-place&quot;:&quot;Luxembourg (Luxembourg)&quot;,&quot;abstract&quot;:&quot;DigComp 2.1 is a further development of the Digital Competence Framework for Citizens. Based on the reference conceptual model published in DigComp 2.0, we present now 8 proficiency levels and examples of use applied to the learning and employment field. \n&quot;,&quot;publisher&quot;:&quot;Publications Office of the European Union&quot;,&quot;issue&quot;:&quot;KJ-NA-28558-EN-N (online),KJ-NA-28558-EN-C (print),KJ-NA-28558-EN-E (ePub)&quot;,&quot;container-title-short&quot;:&quot;&quot;},&quot;isTemporary&quot;:false,&quot;suppress-author&quot;:false,&quot;composite&quot;:false,&quot;author-only&quot;:false}]},{&quot;citationID&quot;:&quot;MENDELEY_CITATION_5ec3aebf-e189-41c8-bde4-d3c41ad0815e&quot;,&quot;properties&quot;:{&quot;noteIndex&quot;:0},&quot;isEdited&quot;:false,&quot;manualOverride&quot;:{&quot;isManuallyOverridden&quot;:false,&quot;citeprocText&quot;:&quot;(Aja, 2024)&quot;,&quot;manualOverrideText&quot;:&quot;&quot;},&quot;citationTag&quot;:&quot;MENDELEY_CITATION_v3_eyJjaXRhdGlvbklEIjoiTUVOREVMRVlfQ0lUQVRJT05fNWVjM2FlYmYtZTE4OS00MWM4LWJkZTQtZDNjNDFhZDA4MTVl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2babfe4c-40e3-4fe1-8ec2-03ac644a002b&quot;,&quot;properties&quot;:{&quot;noteIndex&quot;:0},&quot;isEdited&quot;:false,&quot;manualOverride&quot;:{&quot;isManuallyOverridden&quot;:false,&quot;citeprocText&quot;:&quot;(Klerkx et al., 2019)&quot;,&quot;manualOverrideText&quot;:&quot;&quot;},&quot;citationTag&quot;:&quot;MENDELEY_CITATION_v3_eyJjaXRhdGlvbklEIjoiTUVOREVMRVlfQ0lUQVRJT05fMmJhYmZlNGMtNDBlMy00ZmUxLThlYzItMDNhYzY0NGEwMDJi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685e6fae-bdb4-4e8c-ac1b-1d13e0d24b5c&quot;,&quot;properties&quot;:{&quot;noteIndex&quot;:0},&quot;isEdited&quot;:false,&quot;manualOverride&quot;:{&quot;isManuallyOverridden&quot;:false,&quot;citeprocText&quot;:&quot;(Prensky, 2001)&quot;,&quot;manualOverrideText&quot;:&quot;&quot;},&quot;citationTag&quot;:&quot;MENDELEY_CITATION_v3_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&quot;,&quot;citationItems&quot;:[{&quot;id&quot;:&quot;ca3ac0c3-07f2-3a06-a907-fbae3f5b42c0&quot;,&quot;itemData&quot;:{&quot;type&quot;:&quot;article-journal&quot;,&quot;id&quot;:&quot;ca3ac0c3-07f2-3a06-a907-fbae3f5b42c0&quot;,&quot;title&quot;:&quot;Digital Natives, Digital Immigrants Part 1&quot;,&quot;author&quot;:[{&quot;family&quot;:&quot;Prensky&quot;,&quot;given&quot;:&quot;Marc&quot;,&quot;parse-names&quot;:false,&quot;dropping-particle&quot;:&quot;&quot;,&quot;non-dropping-particle&quot;:&quot;&quot;}],&quot;container-title&quot;:&quot;On the Horizon&quot;,&quot;DOI&quot;:&quot;10.1108/10748120110424816&quot;,&quot;issued&quot;:{&quot;date-parts&quot;:[[2001,9,1]]},&quot;page&quot;:&quot;1-6&quot;,&quot;volume&quot;:&quot;9&quot;,&quot;container-title-short&quot;:&quot;&quot;},&quot;isTemporary&quot;:false,&quot;suppress-author&quot;:false,&quot;composite&quot;:false,&quot;author-only&quot;:false}]},{&quot;citationID&quot;:&quot;MENDELEY_CITATION_992f81aa-e877-4623-bf1f-0ca2d6a124df&quot;,&quot;properties&quot;:{&quot;noteIndex&quot;:0},&quot;isEdited&quot;:false,&quot;manualOverride&quot;:{&quot;isManuallyOverridden&quot;:false,&quot;citeprocText&quot;:&quot;(Venkatesh et al., 2003)&quot;,&quot;manualOverrideText&quot;:&quot;&quot;},&quot;citationTag&quot;:&quot;MENDELEY_CITATION_v3_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LSBjYWxseSBjb21wYXJlIHRoZSBlaWdodCBtb2RlbHMgYW5kIHRoZWlyIGV4dGVuLSBzaW9ucywgKDMpIGZvcm11bGF0ZSBhIHVuaWZpZWQgbW9kZWwgdGhhdCBpbnRlZ3JhdGVzIGVsZW1lbnRzIGFjcm9zcyB0aGUgZWlnaHQgbW9kZWxzLCBhbmQgKDQpIGVtcGlyaS0g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&quot;,&quot;citationItems&quot;:[{&quot;id&quot;:&quot;a23fdfd4-fb5c-3673-8006-7b6f75ccd7f3&quot;,&quot;itemData&quot;:{&quot;type&quot;:&quot;article-journal&quot;,&quot;id&quot;:&quot;a23fdfd4-fb5c-3673-8006-7b6f75ccd7f3&quot;,&quot;title&quot;:&quot;User Acceptance of Information: Toward a Unified View&quot;,&quot;author&quot;:[{&quot;family&quot;:&quot;Venkatesh&quot;,&quot;given&quot;:&quot;Viswanath&quot;,&quot;parse-names&quot;:false,&quot;dropping-particle&quot;:&quot;&quot;,&quot;non-dropping-particle&quot;:&quot;&quot;},{&quot;family&quot;:&quot;Morris&quot;,&quot;given&quot;:&quot;Michael G&quot;,&quot;parse-names&quot;:false,&quot;dropping-particle&quot;:&quot;&quot;,&quot;non-dropping-particle&quot;:&quot;&quot;},{&quot;family&quot;:&quot;Davis&quot;,&quot;given&quot;:&quot;Gordon B&quot;,&quot;parse-names&quot;:false,&quot;dropping-particle&quot;:&quot;&quot;,&quot;non-dropping-particle&quot;:&quot;&quot;},{&quot;family&quot;:&quot;Davis&quot;,&quot;given&quot;:&quot;Fred D&quot;,&quot;parse-names&quot;:false,&quot;dropping-particle&quot;:&quot;&quot;,&quot;non-dropping-particle&quot;:&quot;&quot;}],&quot;container-title&quot;:&quot;MIS Quarterly&quot;,&quot;URL&quot;:&quot;https://www.jstor.org/stable/30036540&quot;,&quot;issued&quot;:{&quot;date-parts&quot;:[[2003]]},&quot;page&quot;:&quot;425-478&quot;,&quot;abstract&quot;:&quot;Abstract Information technology (IT) acceptance research has yielded many competing models, each with different sets of acceptance determinants. In this paper, we (1) review user acceptance literature and discuss eight prominent models, (2) empiri- cally compare the eight models and their exten- sions, (3) formulate a unified model that integrates elements across the eight models, and (4) empiri- 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 plained between 17 percent and 53 percent of the variance in user intentions to use information technology. Next, a unified model, called the Unified Theory of Acceptance and Use of Tech- 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oulations of users that may be less inclined to adopt and use new systems. The paper also makes several recommendation for future research including developing a deeper understanding of the dynamic influences studied here, refining measurement of the core constructs used in UTAUT, and understanding the organizational outcomes associated with new technology use.&quot;,&quot;issue&quot;:&quot;3&quot;,&quot;volume&quot;:&quot;27&quot;,&quot;container-title-short&quot;:&quot;&quot;},&quot;isTemporary&quot;:false,&quot;suppress-author&quot;:false,&quot;composite&quot;:false,&quot;author-only&quot;:false}]},{&quot;citationID&quot;:&quot;MENDELEY_CITATION_fe6fede0-2f6d-464e-81d7-0dc107300bba&quot;,&quot;properties&quot;:{&quot;noteIndex&quot;:0},&quot;isEdited&quot;:false,&quot;manualOverride&quot;:{&quot;isManuallyOverridden&quot;:false,&quot;citeprocText&quot;:&quot;(Cohen &amp;#38; Levinthal, 1990)&quot;,&quot;manualOverrideText&quot;:&quot;&quot;},&quot;citationTag&quot;:&quot;MENDELEY_CITATION_v3_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&quot;,&quot;citationItems&quot;:[{&quot;id&quot;:&quot;e5d83f8c-c4f4-3003-80a3-344954a196ef&quot;,&quot;itemData&quot;:{&quot;type&quot;:&quot;article-journal&quot;,&quot;id&quot;:&quot;e5d83f8c-c4f4-3003-80a3-344954a196ef&quot;,&quot;title&quot;:&quot;Absorptive Capacity: A New Perspective on Learning and Innovation&quot;,&quot;author&quot;:[{&quot;family&quot;:&quot;Cohen&quot;,&quot;given&quot;:&quot;Wesley M.&quot;,&quot;parse-names&quot;:false,&quot;dropping-particle&quot;:&quot;&quot;,&quot;non-dropping-particle&quot;:&quot;&quot;},{&quot;family&quot;:&quot;Levinthal&quot;,&quot;given&quot;:&quot;Daniel A.&quot;,&quot;parse-names&quot;:false,&quot;dropping-particle&quot;:&quot;&quot;,&quot;non-dropping-particle&quot;:&quot;&quot;}],&quot;container-title&quot;:&quot;Administrative Science Quarterly&quot;,&quot;container-title-short&quot;:&quot;Adm Sci Q&quot;,&quot;DOI&quot;:&quot;10.2307/2393553&quot;,&quot;ISSN&quot;:&quot;00018392&quot;,&quot;issued&quot;:{&quot;date-parts&quot;:[[1990,3]]},&quot;page&quot;:&quot;128&quot;,&quot;issue&quot;:&quot;1&quot;,&quot;volume&quot;:&quot;35&quot;},&quot;isTemporary&quot;:false,&quot;suppress-author&quot;:false,&quot;composite&quot;:false,&quot;author-only&quot;:false}]},{&quot;citationID&quot;:&quot;MENDELEY_CITATION_2c282f20-d727-4a9a-a6d8-268eaa3d2d83&quot;,&quot;properties&quot;:{&quot;noteIndex&quot;:0},&quot;isEdited&quot;:false,&quot;manualOverride&quot;:{&quot;isManuallyOverridden&quot;:false,&quot;citeprocText&quot;:&quot;(Knowles et al., 2014)&quot;,&quot;manualOverrideText&quot;:&quot;&quot;},&quot;citationTag&quot;:&quot;MENDELEY_CITATION_v3_eyJjaXRhdGlvbklEIjoiTUVOREVMRVlfQ0lUQVRJT05fMmMyODJmMjAtZDcyNy00YTlhLWE2ZDgtMjY4ZWFhM2QyZDgz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quot;,&quot;citationItems&quot;:[{&quot;id&quot;:&quot;92b4d9db-7836-37dc-b61e-574013050273&quot;,&quot;itemData&quot;:{&quot;type&quot;:&quot;book&quot;,&quot;id&quot;:&quot;92b4d9db-7836-37dc-b61e-574013050273&quot;,&quot;title&quot;:&quot;The Adult Learner&quot;,&quot;author&quot;:[{&quot;family&quot;:&quot;Knowles&quot;,&quot;given&quot;:&quot;Malcolm S.&quot;,&quot;parse-names&quot;:false,&quot;dropping-particle&quot;:&quot;&quot;,&quot;non-dropping-particle&quot;:&quot;&quot;},{&quot;family&quot;:&quot;Holton III&quot;,&quot;given&quot;:&quot;Elwood F.&quot;,&quot;parse-names&quot;:false,&quot;dropping-particle&quot;:&quot;&quot;,&quot;non-dropping-particle&quot;:&quot;&quot;},{&quot;family&quot;:&quot;Swanson&quot;,&quot;given&quot;:&quot;Richard A.&quot;,&quot;parse-names&quot;:false,&quot;dropping-particle&quot;:&quot;&quot;,&quot;non-dropping-particle&quot;:&quot;&quot;}],&quot;DOI&quot;:&quot;10.4324/9781315816951&quot;,&quot;ISBN&quot;:&quot;9781317812180&quot;,&quot;issued&quot;:{&quot;date-parts&quot;:[[2014,12,5]]},&quot;publisher&quot;:&quot;Routledge&quot;,&quot;container-title-short&quot;:&quot;&quot;},&quot;isTemporary&quot;:false,&quot;suppress-author&quot;:false,&quot;composite&quot;:false,&quot;author-only&quot;:false}]},{&quot;citationID&quot;:&quot;MENDELEY_CITATION_a3ad864d-70c7-47ce-a860-0fcbc50535c5&quot;,&quot;properties&quot;:{&quot;noteIndex&quot;:0},&quot;isEdited&quot;:false,&quot;manualOverride&quot;:{&quot;isManuallyOverridden&quot;:false,&quot;citeprocText&quot;:&quot;(Rivera &amp;#38; Alex, 2004)&quot;,&quot;manualOverrideText&quot;:&quot;&quot;},&quot;citationTag&quot;:&quot;MENDELEY_CITATION_v3_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&quot;,&quot;citationItems&quot;:[{&quot;id&quot;:&quot;cf5d9c24-db93-3ef4-8686-1e72f49f3158&quot;,&quot;itemData&quot;:{&quot;type&quot;:&quot;article-journal&quot;,&quot;id&quot;:&quot;cf5d9c24-db93-3ef4-8686-1e72f49f3158&quot;,&quot;title&quot;:&quot;Extension system reform and the challenges ahead&quot;,&quot;author&quot;:[{&quot;family&quot;:&quot;Rivera&quot;,&quot;given&quot;:&quot;William M.&quot;,&quot;parse-names&quot;:false,&quot;dropping-particle&quot;:&quot;&quot;,&quot;non-dropping-particle&quot;:&quot;&quot;},{&quot;family&quot;:&quot;Alex&quot;,&quot;given&quot;:&quot;Gary&quot;,&quot;parse-names&quot;:false,&quot;dropping-particle&quot;:&quot;&quot;,&quot;non-dropping-particle&quot;:&quot;&quot;}],&quot;container-title&quot;:&quot;The Journal of Agricultural Education and Extension&quot;,&quot;DOI&quot;:&quot;10.1080/13892240485300051&quot;,&quot;ISSN&quot;:&quot;1389-224X&quot;,&quot;issued&quot;:{&quot;date-parts&quot;:[[2004,3]]},&quot;page&quot;:&quot;23-36&quot;,&quot;issue&quot;:&quot;1&quot;,&quot;volume&quot;:&quot;10&quot;,&quot;container-title-short&quot;:&quot;&quot;},&quot;isTemporary&quot;:false,&quot;suppress-author&quot;:false,&quot;composite&quot;:false,&quot;author-only&quot;:false}]},{&quot;citationID&quot;:&quot;MENDELEY_CITATION_5d48a2a0-c1a2-4401-840e-8b09e3abf9af&quot;,&quot;properties&quot;:{&quot;noteIndex&quot;:0},&quot;isEdited&quot;:false,&quot;manualOverride&quot;:{&quot;isManuallyOverridden&quot;:false,&quot;citeprocText&quot;:&quot;(van Laar et al., 2017)&quot;,&quot;manualOverrideText&quot;:&quot;&quot;},&quot;citationTag&quot;:&quot;MENDELEY_CITATION_v3_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&quot;,&quot;citationItems&quot;:[{&quot;id&quot;:&quot;a8e33eb7-f427-3dd5-aaf1-bb176ab41b7a&quot;,&quot;itemData&quot;:{&quot;type&quot;:&quot;article-journal&quot;,&quot;id&quot;:&quot;a8e33eb7-f427-3dd5-aaf1-bb176ab41b7a&quot;,&quot;title&quot;:&quot;The relation between 21st-century skills and digital skills: A systematic literature review&quot;,&quot;author&quot;:[{&quot;family&quot;:&quot;Laar&quot;,&quot;given&quot;:&quot;Ester&quot;,&quot;parse-names&quot;:false,&quot;dropping-particle&quot;:&quot;&quot;,&quot;non-dropping-particle&quot;:&quot;van&quot;},{&quot;family&quot;:&quot;Deursen&quot;,&quot;given&quot;:&quot;Alexander J.A.M.&quot;,&quot;parse-names&quot;:false,&quot;dropping-particle&quot;:&quot;&quot;,&quot;non-dropping-particle&quot;:&quot;van&quot;},{&quot;family&quot;:&quot;Dijk&quot;,&quot;given&quot;:&quot;Jan A.G.M.&quot;,&quot;parse-names&quot;:false,&quot;dropping-particle&quot;:&quot;&quot;,&quot;non-dropping-particle&quot;:&quot;van&quot;},{&quot;family&quot;:&quot;Haan&quot;,&quot;given&quot;:&quot;Jos&quot;,&quot;parse-names&quot;:false,&quot;dropping-particle&quot;:&quot;&quot;,&quot;non-dropping-particle&quot;:&quot;de&quot;}],&quot;container-title&quot;:&quot;Computers in Human Behavior&quot;,&quot;container-title-short&quot;:&quot;Comput Human Behav&quot;,&quot;DOI&quot;:&quot;10.1016/j.chb.2017.03.010&quot;,&quot;ISSN&quot;:&quot;07475632&quot;,&quot;issued&quot;:{&quot;date-parts&quot;:[[2017,7]]},&quot;page&quot;:&quot;577-588&quot;,&quot;volume&quot;:&quot;72&quot;},&quot;isTemporary&quot;:false,&quot;suppress-author&quot;:false,&quot;composite&quot;:false,&quot;author-only&quot;:false}]},{&quot;citationID&quot;:&quot;MENDELEY_CITATION_b3232b4f-3ac6-4e6e-b3db-c25c68a160c0&quot;,&quot;properties&quot;:{&quot;noteIndex&quot;:0},&quot;isEdited&quot;:false,&quot;manualOverride&quot;:{&quot;isManuallyOverridden&quot;:false,&quot;citeprocText&quot;:&quot;(Shatila et al., 2025)&quot;,&quot;manualOverrideText&quot;:&quot;&quot;},&quot;citationTag&quot;:&quot;MENDELEY_CITATION_v3_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&quot;,&quot;citationItems&quot;:[{&quot;id&quot;:&quot;77acf575-584a-312e-bcaf-cf3b599d8a44&quot;,&quot;itemData&quot;:{&quot;type&quot;:&quot;article-journal&quot;,&quot;id&quot;:&quot;77acf575-584a-312e-bcaf-cf3b599d8a44&quot;,&quot;title&quot;:&quot;Digital literacy, digital accessibility, human capital, and entrepreneurial resilience: a case for dynamic business ecosystems&quot;,&quot;author&quot;:[{&quot;family&quot;:&quot;Shatila&quot;,&quot;given&quot;:&quot;Khodor&quot;,&quot;parse-names&quot;:false,&quot;dropping-particle&quot;:&quot;&quot;,&quot;non-dropping-particle&quot;:&quot;&quot;},{&quot;family&quot;:&quot;Aránega&quot;,&quot;given&quot;:&quot;Alba Yela&quot;,&quot;parse-names&quot;:false,&quot;dropping-particle&quot;:&quot;&quot;,&quot;non-dropping-particle&quot;:&quot;&quot;},{&quot;family&quot;:&quot;Soga&quot;,&quot;given&quot;:&quot;Lebene Richmond&quot;,&quot;parse-names&quot;:false,&quot;dropping-particle&quot;:&quot;&quot;,&quot;non-dropping-particle&quot;:&quot;&quot;},{&quot;family&quot;:&quot;Hernández-Lara&quot;,&quot;given&quot;:&quot;Ana Beatriz&quot;,&quot;parse-names&quot;:false,&quot;dropping-particle&quot;:&quot;&quot;,&quot;non-dropping-particle&quot;:&quot;&quot;}],&quot;container-title&quot;:&quot;Journal of Innovation &amp; Knowledge&quot;,&quot;DOI&quot;:&quot;10.1016/j.jik.2025.100709&quot;,&quot;ISSN&quot;:&quot;2444569X&quot;,&quot;issued&quot;:{&quot;date-parts&quot;:[[2025,5]]},&quot;page&quot;:&quot;100709&quot;,&quot;issue&quot;:&quot;3&quot;,&quot;volume&quot;:&quot;10&quot;,&quot;container-title-short&quot;:&quot;&quot;},&quot;isTemporary&quot;:false,&quot;suppress-author&quot;:false,&quot;composite&quot;:false,&quot;author-only&quot;:false}]},{&quot;citationID&quot;:&quot;MENDELEY_CITATION_6f87b741-d958-4411-a68a-04d0d49e377d&quot;,&quot;properties&quot;:{&quot;noteIndex&quot;:0},&quot;isEdited&quot;:false,&quot;manualOverride&quot;:{&quot;isManuallyOverridden&quot;:false,&quot;citeprocText&quot;:&quot;(Klerkx et al., 2019)&quot;,&quot;manualOverrideText&quot;:&quot;&quot;},&quot;citationTag&quot;:&quot;MENDELEY_CITATION_v3_eyJjaXRhdGlvbklEIjoiTUVOREVMRVlfQ0lUQVRJT05fNmY4N2I3NDEtZDk1OC00NDExLWE2OGEtMDRkMGQ0OWUzNzdk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6b162747-b3d0-43e6-b4a6-33d73443350b&quot;,&quot;properties&quot;:{&quot;noteIndex&quot;:0},&quot;isEdited&quot;:false,&quot;manualOverride&quot;:{&quot;isManuallyOverridden&quot;:false,&quot;citeprocText&quot;:&quot;(Bernard et al., 2009; Layton, 1999; Means et al., 2013)&quot;,&quot;manualOverrideText&quot;:&quot;&quot;},&quot;citationTag&quot;:&quot;MENDELEY_CITATION_v3_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X1dfQ==&quot;,&quot;citationItems&quot;:[{&quot;id&quot;:&quot;7ece7792-55b9-3ac5-82ce-5391b90f35cf&quot;,&quot;itemData&quot;:{&quot;type&quot;:&quot;article-journal&quot;,&quot;id&quot;:&quot;7ece7792-55b9-3ac5-82ce-5391b90f35cf&quot;,&quot;title&quot;:&quot;A Meta-Analysis of Three Types of Interaction Treatments in Distance Education&quot;,&quot;author&quot;:[{&quot;family&quot;:&quot;Bernard&quot;,&quot;given&quot;:&quot;Robert M.&quot;,&quot;parse-names&quot;:false,&quot;dropping-particle&quot;:&quot;&quot;,&quot;non-dropping-particle&quot;:&quot;&quot;},{&quot;family&quot;:&quot;Abrami&quot;,&quot;given&quot;:&quot;Philip C.&quot;,&quot;parse-names&quot;:false,&quot;dropping-particle&quot;:&quot;&quot;,&quot;non-dropping-particle&quot;:&quot;&quot;},{&quot;family&quot;:&quot;Borokhovski&quot;,&quot;given&quot;:&quot;Eugene&quot;,&quot;parse-names&quot;:false,&quot;dropping-particle&quot;:&quot;&quot;,&quot;non-dropping-particle&quot;:&quot;&quot;},{&quot;family&quot;:&quot;Wade&quot;,&quot;given&quot;:&quot;C. Anne&quot;,&quot;parse-names&quot;:false,&quot;dropping-particle&quot;:&quot;&quot;,&quot;non-dropping-particle&quot;:&quot;&quot;},{&quot;family&quot;:&quot;Tamim&quot;,&quot;given&quot;:&quot;Rana M.&quot;,&quot;parse-names&quot;:false,&quot;dropping-particle&quot;:&quot;&quot;,&quot;non-dropping-particle&quot;:&quot;&quot;},{&quot;family&quot;:&quot;Surkes&quot;,&quot;given&quot;:&quot;Michael A.&quot;,&quot;parse-names&quot;:false,&quot;dropping-particle&quot;:&quot;&quot;,&quot;non-dropping-particle&quot;:&quot;&quot;},{&quot;family&quot;:&quot;Bethel&quot;,&quot;given&quot;:&quot;Edward Clement&quot;,&quot;parse-names&quot;:false,&quot;dropping-particle&quot;:&quot;&quot;,&quot;non-dropping-particle&quot;:&quot;&quot;}],&quot;container-title&quot;:&quot;Review of Educational Research&quot;,&quot;container-title-short&quot;:&quot;Rev Educ Res&quot;,&quot;DOI&quot;:&quot;10.3102/0034654309333844&quot;,&quot;ISSN&quot;:&quot;0034-6543&quot;,&quot;issued&quot;:{&quot;date-parts&quot;:[[2009,9,1]]},&quot;page&quot;:&quot;1243-1289&quot;,&quot;abstract&quot;:&quot;&lt;p&gt;This meta-analysis of the experimental literature of distance education (DE) compares different types of interaction treatments (ITs) with other DE instructional treatments. ITs are the instructional and/or media conditions designed into DE courses, which are intended to facilitate student–student (SS), student–teacher (ST), or student–content (SC) interactions. Seventy-four DE versus DE studies that contained at least one IT are included in the meta-analysis, which yield 74 achievement effects. The effect size valences are structured so that the IT or the stronger IT (i.e., in the case of two ITs) serve as the experimental condition and the other treatment, the control condition. Effects are categorized as SS, ST, or SC. After adjustment for methodological quality, the overall weighted average effect size for achievement is 0.38 and is heterogeneous. Overall, the results support the importance of the three types of ITs and strength of ITs is found to be associated with increasing achievement outcomes. A strong association is found between strength and achievement for asynchronous DE courses compared to courses containing mediated synchronous or face-to-face interaction. The results are interpreted in terms of increased cognitive engagement that is presumed to be promoted by strengthening ITs in DE courses.&lt;/p&gt;&quot;,&quot;issue&quot;:&quot;3&quot;,&quot;volume&quot;:&quot;79&quot;},&quot;isTemporary&quot;:false},{&quot;id&quot;:&quot;d47d1319-f25f-3002-917a-bec61c624200&quot;,&quot;itemData&quot;:{&quot;type&quot;:&quot;article-journal&quot;,&quot;id&quot;:&quot;d47d1319-f25f-3002-917a-bec61c624200&quot;,&quot;title&quot;:&quot;No Significant Difference Phenomenon&quot;,&quot;author&quot;:[{&quot;family&quot;:&quot;Layton&quot;,&quot;given&quot;:&quot;James R&quot;,&quot;parse-names&quot;:false,&quot;dropping-particle&quot;:&quot;&quot;,&quot;non-dropping-particle&quot;:&quot;&quot;}],&quot;container-title&quot;:&quot;J. Educ. Technol. Soc.&quot;,&quot;URL&quot;:&quot;https://api.semanticscholar.org/CorpusID:42845812&quot;,&quot;issued&quot;:{&quot;date-parts&quot;:[[1999]]},&quot;volume&quot;:&quot;2&quot;,&quot;container-title-short&quot;:&quot;&quot;},&quot;isTemporary&quot;:false},{&quot;id&quot;:&quot;31f238e6-896a-303c-8d98-a47de7256ffa&quot;,&quot;itemData&quot;:{&quot;type&quot;:&quot;article-journal&quot;,&quot;id&quot;:&quot;31f238e6-896a-303c-8d98-a47de7256ffa&quot;,&quot;title&quot;:&quot;The Effectiveness of Online and Blended Learning: A Meta-Analysis of the Empirical Literature&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quot;,&quot;given&quot;:&quot;Marianne&quot;,&quot;parse-names&quot;:false,&quot;dropping-particle&quot;:&quot;&quot;,&quot;non-dropping-particle&quot;:&quot;&quot;}],&quot;container-title&quot;:&quot;Teachers College Record: The Voice of Scholarship in Education&quot;,&quot;DOI&quot;:&quot;10.1177/016146811311500307&quot;,&quot;ISSN&quot;:&quot;0161-4681&quot;,&quot;issued&quot;:{&quot;date-parts&quot;:[[2013,3,1]]},&quot;page&quot;:&quot;1-47&quot;,&quot;issue&quot;:&quot;3&quot;,&quot;volume&quot;:&quot;115&quot;,&quot;container-title-short&quot;:&quot;&quot;},&quot;isTemporary&quot;:false}]},{&quot;citationID&quot;:&quot;MENDELEY_CITATION_b4b4ede3-87cf-4f66-bc36-54c4175f2305&quot;,&quot;properties&quot;:{&quot;noteIndex&quot;:0},&quot;isEdited&quot;:false,&quot;manualOverride&quot;:{&quot;isManuallyOverridden&quot;:false,&quot;citeprocText&quot;:&quot;(Knowles et al., 2014)&quot;,&quot;manualOverrideText&quot;:&quot;&quot;},&quot;citationTag&quot;:&quot;MENDELEY_CITATION_v3_eyJjaXRhdGlvbklEIjoiTUVOREVMRVlfQ0lUQVRJT05fYjRiNGVkZTMtODdjZi00ZjY2LWJjMzYtNTRjNDE3NWYyMzA1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quot;,&quot;citationItems&quot;:[{&quot;id&quot;:&quot;92b4d9db-7836-37dc-b61e-574013050273&quot;,&quot;itemData&quot;:{&quot;type&quot;:&quot;book&quot;,&quot;id&quot;:&quot;92b4d9db-7836-37dc-b61e-574013050273&quot;,&quot;title&quot;:&quot;The Adult Learner&quot;,&quot;author&quot;:[{&quot;family&quot;:&quot;Knowles&quot;,&quot;given&quot;:&quot;Malcolm S.&quot;,&quot;parse-names&quot;:false,&quot;dropping-particle&quot;:&quot;&quot;,&quot;non-dropping-particle&quot;:&quot;&quot;},{&quot;family&quot;:&quot;Holton III&quot;,&quot;given&quot;:&quot;Elwood F.&quot;,&quot;parse-names&quot;:false,&quot;dropping-particle&quot;:&quot;&quot;,&quot;non-dropping-particle&quot;:&quot;&quot;},{&quot;family&quot;:&quot;Swanson&quot;,&quot;given&quot;:&quot;Richard A.&quot;,&quot;parse-names&quot;:false,&quot;dropping-particle&quot;:&quot;&quot;,&quot;non-dropping-particle&quot;:&quot;&quot;}],&quot;DOI&quot;:&quot;10.4324/9781315816951&quot;,&quot;ISBN&quot;:&quot;9781317812180&quot;,&quot;issued&quot;:{&quot;date-parts&quot;:[[2014,12,5]]},&quot;publisher&quot;:&quot;Routledge&quot;,&quot;container-title-short&quot;:&quot;&quot;},&quot;isTemporary&quot;:false,&quot;suppress-author&quot;:false,&quot;composite&quot;:false,&quot;author-only&quot;:false}]},{&quot;citationID&quot;:&quot;MENDELEY_CITATION_5eeb6a51-68ae-443f-8854-73aed6bf4835&quot;,&quot;properties&quot;:{&quot;noteIndex&quot;:0},&quot;isEdited&quot;:false,&quot;manualOverride&quot;:{&quot;isManuallyOverridden&quot;:false,&quot;citeprocText&quot;:&quot;(Hrastinski, 2008)&quot;,&quot;manualOverrideText&quot;:&quot;&quot;},&quot;citationTag&quot;:&quot;MENDELEY_CITATION_v3_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&quot;,&quot;citationItems&quot;:[{&quot;id&quot;:&quot;8e2058b1-4c4f-312d-bb8d-9625be3ba508&quot;,&quot;itemData&quot;:{&quot;type&quot;:&quot;article-journal&quot;,&quot;id&quot;:&quot;8e2058b1-4c4f-312d-bb8d-9625be3ba508&quot;,&quot;title&quot;:&quot;Asynchronous and synchronous e-learning&quot;,&quot;author&quot;:[{&quot;family&quot;:&quot;Hrastinski&quot;,&quot;given&quot;:&quot;Stefan&quot;,&quot;parse-names&quot;:false,&quot;dropping-particle&quot;:&quot;&quot;,&quot;non-dropping-particle&quot;:&quot;&quot;}],&quot;container-title&quot;:&quot;Educause Quarterly&quot;,&quot;issued&quot;:{&quot;date-parts&quot;:[[2008,1,1]]},&quot;volume&quot;:&quot;4&quot;,&quot;container-title-short&quot;:&quot;&quot;},&quot;isTemporary&quot;:false,&quot;suppress-author&quot;:false,&quot;composite&quot;:false,&quot;author-only&quot;:false}]},{&quot;citationID&quot;:&quot;MENDELEY_CITATION_69e63eb3-3790-400b-80c9-f16d2e8247e9&quot;,&quot;properties&quot;:{&quot;noteIndex&quot;:0},&quot;isEdited&quot;:false,&quot;manualOverride&quot;:{&quot;isManuallyOverridden&quot;:false,&quot;citeprocText&quot;:&quot;(Lave &amp;#38; Wenger, 1991)&quot;,&quot;manualOverrideText&quot;:&quot;&quot;},&quot;citationTag&quot;:&quot;MENDELEY_CITATION_v3_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&quot;,&quot;citationItems&quot;:[{&quot;id&quot;:&quot;022c9b15-92f6-32ad-825e-1ad44d0da0e0&quot;,&quot;itemData&quot;:{&quot;type&quot;:&quot;book&quot;,&quot;id&quot;:&quot;022c9b15-92f6-32ad-825e-1ad44d0da0e0&quot;,&quot;title&quot;:&quot;Situated Learning: Legitimate Peripheral Participation&quot;,&quot;author&quot;:[{&quot;family&quot;:&quot;Lave&quot;,&quot;given&quot;:&quot;Jean&quot;,&quot;parse-names&quot;:false,&quot;dropping-particle&quot;:&quot;&quot;,&quot;non-dropping-particle&quot;:&quot;&quot;},{&quot;family&quot;:&quot;Wenger&quot;,&quot;given&quot;:&quot;Etienne&quot;,&quot;parse-names&quot;:false,&quot;dropping-particle&quot;:&quot;&quot;,&quot;non-dropping-particle&quot;:&quot;&quot;}],&quot;container-title&quot;:&quot;Learning in Doing: Social, Cognitive and Computational Perspectives&quot;,&quot;DOI&quot;:&quot;DOI: 10.1017/CBO9780511815355&quot;,&quot;ISBN&quot;:&quot;9780521413084&quot;,&quot;URL&quot;:&quot;https://www.cambridge.org/core/product/6915ABD21C8E4619F750A4D4ACA616CD&quot;,&quot;issued&quot;:{&quot;date-parts&quot;:[[1991]]},&quot;publisher-place&quot;:&quot;Cambridge&quot;,&quot;abstract&quot;:&quot;In this important theoretical treatist, Jean Lave, anthropologist, and Etienne Wenger, computer scientist, push forward the notion of situated learning - that learning is fundamentally a social process. The authors maintain that learning viewed as situated activity has as its central defining characteristic a process they call legitimate peripheral participation (LPP). Learners participate in communities of practitioners, moving toward full participation in the sociocultural practices of a community. LPP provides a way to speak about crucial relations between newcomers and old-timers and about their activities, identities, artefacts, knowledge and practice. The communities discussed in the book are midwives, tailors, quartermasters, butchers, and recovering alcoholics, however, the process by which participants in those communities learn can be generalised to other social groups.&quot;,&quot;publisher&quot;:&quot;Cambridge University Press&quot;,&quot;container-title-short&quot;:&quot;&quot;},&quot;isTemporary&quot;:false,&quot;suppress-author&quot;:false,&quot;composite&quot;:false,&quot;author-only&quot;:false}]},{&quot;citationID&quot;:&quot;MENDELEY_CITATION_bd3f4ab9-0c41-43ba-a780-d517105966b0&quot;,&quot;properties&quot;:{&quot;noteIndex&quot;:0},&quot;isEdited&quot;:false,&quot;manualOverride&quot;:{&quot;isManuallyOverridden&quot;:false,&quot;citeprocText&quot;:&quot;(Arkorful, 2014)&quot;,&quot;manualOverrideText&quot;:&quot;&quot;},&quot;citationTag&quot;:&quot;MENDELEY_CITATION_v3_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&quot;,&quot;citationItems&quot;:[{&quot;id&quot;:&quot;b242b644-ee04-336e-9c9d-20b7b1730ad4&quot;,&quot;itemData&quot;:{&quot;type&quot;:&quot;article-journal&quot;,&quot;id&quot;:&quot;b242b644-ee04-336e-9c9d-20b7b1730ad4&quot;,&quot;title&quot;:&quot;The role of e-learning, advantages and disadvantages of its adoption in higher education.&quot;,&quot;author&quot;:[{&quot;family&quot;:&quot;Arkorful&quot;,&quot;given&quot;:&quot;Valentina&quot;,&quot;parse-names&quot;:false,&quot;dropping-particle&quot;:&quot;&quot;,&quot;non-dropping-particle&quot;:&quot;&quot;}],&quot;issued&quot;:{&quot;date-parts&quot;:[[2014,12,1]]},&quot;page&quot;:&quot;396&quot;,&quot;volume&quot;:&quot;2&quot;,&quot;container-title-short&quot;:&quot;&quot;},&quot;isTemporary&quot;:false,&quot;suppress-author&quot;:false,&quot;composite&quot;:false,&quot;author-only&quot;:false}]},{&quot;citationID&quot;:&quot;MENDELEY_CITATION_94cd2dbc-fe41-4715-b6bc-96df5bea9009&quot;,&quot;properties&quot;:{&quot;noteIndex&quot;:0},&quot;isEdited&quot;:false,&quot;manualOverride&quot;:{&quot;isManuallyOverridden&quot;:false,&quot;citeprocText&quot;:&quot;(Dhawan, 2020b)&quot;,&quot;manualOverrideText&quot;:&quot;&quot;},&quot;citationTag&quot;:&quot;MENDELEY_CITATION_v3_eyJjaXRhdGlvbklEIjoiTUVOREVMRVlfQ0lUQVRJT05fOTRjZDJkYmMtZmU0MS00NzE1LWI2YmMtOTZkZjViZWE5MDA5IiwicHJvcGVydGllcyI6eyJub3RlSW5kZXgiOjB9LCJpc0VkaXRlZCI6ZmFsc2UsIm1hbnVhbE92ZXJyaWRlIjp7ImlzTWFudWFsbHlPdmVycmlkZGVuIjpmYWxzZSwiY2l0ZXByb2NUZXh0IjoiKERoYXdhbiwgMjAyMGIpIiwibWFudWFsT3ZlcnJpZGVUZXh0IjoiIn0sImNpdGF0aW9uSXRlbXMiOlt7ImlkIjoiNzYwZGQ5ZGItNGY0MS0zYzM5LTk1Y2QtYzkwODMxOGRjMjU4IiwiaXRlbURhdGEiOnsidHlwZSI6ImFydGljbGUtam91cm5hbCIsImlkIjoiNzYwZGQ5ZGItNGY0MS0zYzM5LTk1Y2QtYzkwODMxOGRjMjU4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quot;,&quot;citationItems&quot;:[{&quot;id&quot;:&quot;760dd9db-4f41-3c39-95cd-c908318dc258&quot;,&quot;itemData&quot;:{&quot;type&quot;:&quot;article-journal&quot;,&quot;id&quot;:&quot;760dd9db-4f41-3c39-95cd-c908318dc258&quot;,&quot;title&quot;:&quot;Online Learning: A Panacea in the Time of COVID-19 Crisis&quot;,&quot;author&quot;:[{&quot;family&quot;:&quot;Dhawan&quot;,&quot;given&quot;:&quot;Shivangi&quot;,&quot;parse-names&quot;:false,&quot;dropping-particle&quot;:&quot;&quot;,&quot;non-dropping-particle&quot;:&quot;&quot;}],&quot;container-title&quot;:&quot;Journal of Educational Technology Systems&quot;,&quot;DOI&quot;:&quot;10.1177/0047239520934018&quot;,&quot;ISSN&quot;:&quot;0047-2395&quot;,&quot;issued&quot;:{&quot;date-parts&quot;:[[2020,9,20]]},&quot;page&quot;:&quot;5-22&quot;,&quot;abstract&quot;:&quot;&lt;p&g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lt;/p&gt;&quot;,&quot;issue&quot;:&quot;1&quot;,&quot;volume&quot;:&quot;49&quot;,&quot;container-title-short&quot;:&quot;&quot;},&quot;isTemporary&quot;:false,&quot;suppress-author&quot;:false,&quot;composite&quot;:false,&quot;author-only&quot;:false}]},{&quot;citationID&quot;:&quot;MENDELEY_CITATION_7853dcaa-eaab-413a-a1b3-f35dc8523c9b&quot;,&quot;properties&quot;:{&quot;noteIndex&quot;:0},&quot;isEdited&quot;:false,&quot;manualOverride&quot;:{&quot;isManuallyOverridden&quot;:false,&quot;citeprocText&quot;:&quot;(Kim et al., 2014; Rochmawati, 2023)&quot;,&quot;manualOverrideText&quot;:&quot;&quot;},&quot;citationTag&quot;:&quot;MENDELEY_CITATION_v3_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&quot;,&quot;citationItems&quot;:[{&quot;id&quot;:&quot;9fd24a81-a4c7-3dac-b77b-227d51e46768&quot;,&quot;itemData&quot;:{&quot;type&quot;:&quot;article-journal&quot;,&quot;id&quot;:&quot;9fd24a81-a4c7-3dac-b77b-227d51e46768&quot;,&quot;title&quot;:&quot;Effects of Mobile Instant Messaging on Collaborative Learning Processes and Outcomes: The Case of South Korea&quot;,&quot;author&quot;:[{&quot;family&quot;:&quot;Kim&quot;,&quot;given&quot;:&quot;Hyewon&quot;,&quot;parse-names&quot;:false,&quot;dropping-particle&quot;:&quot;&quot;,&quot;non-dropping-particle&quot;:&quot;&quot;},{&quot;family&quot;:&quot;Lee&quot;,&quot;given&quot;:&quot;MiYoung&quot;,&quot;parse-names&quot;:false,&quot;dropping-particle&quot;:&quot;&quot;,&quot;non-dropping-particle&quot;:&quot;&quot;},{&quot;family&quot;:&quot;Kim&quot;,&quot;given&quot;:&quot;Minjeong&quot;,&quot;parse-names&quot;:false,&quot;dropping-particle&quot;:&quot;&quot;,&quot;non-dropping-particle&quot;:&quot;&quot;}],&quot;container-title&quot;:&quot;Educational Technology &amp; Society&quot;,&quot;issued&quot;:{&quot;date-parts&quot;:[[2014,4,1]]},&quot;page&quot;:&quot;31-42&quot;,&quot;volume&quot;:&quot;17&quot;,&quot;container-title-short&quot;:&quot;&quot;},&quot;isTemporary&quot;:false},{&quot;id&quot;:&quot;23da34bf-d4d1-3e79-9b7b-e976034e3b1c&quot;,&quot;itemData&quot;:{&quot;type&quot;:&quot;chapter&quot;,&quot;id&quot;:&quot;23da34bf-d4d1-3e79-9b7b-e976034e3b1c&quot;,&quot;title&quot;:&quot;Social Presence in Online Learning: Meta Analysis&quot;,&quot;author&quot;:[{&quot;family&quot;:&quot;Rochmawati&quot;,&quot;given&quot;:&quot;Rochmawati&quot;,&quot;parse-names&quot;:false,&quot;dropping-particle&quot;:&quot;&quot;,&quot;non-dropping-particle&quot;:&quot;&quot;}],&quot;DOI&quot;:&quot;10.2991/978-2-38476-022-0_93&quot;,&quot;issued&quot;:{&quot;date-parts&quot;:[[2023]]},&quot;page&quot;:&quot;835-84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C162-1B0C-4CA7-8A80-8BE7DFC1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1368</TotalTime>
  <Pages>11</Pages>
  <Words>4400</Words>
  <Characters>27242</Characters>
  <Application>Microsoft Office Word</Application>
  <DocSecurity>0</DocSecurity>
  <Lines>1602</Lines>
  <Paragraphs>632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31010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40</cp:revision>
  <cp:lastPrinted>1999-07-06T11:00:00Z</cp:lastPrinted>
  <dcterms:created xsi:type="dcterms:W3CDTF">2014-10-25T14:34:00Z</dcterms:created>
  <dcterms:modified xsi:type="dcterms:W3CDTF">2025-09-16T10:09:00Z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2f643447-4d69-476c-89c6-3d658bfb4d51</vt:lpwstr>
  </property>
</Properties>
</file>