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1FD8A" w14:textId="6289E56F" w:rsidR="00321094" w:rsidRDefault="00321094" w:rsidP="00AC1CCF">
      <w:pPr>
        <w:spacing w:line="360" w:lineRule="auto"/>
        <w:jc w:val="center"/>
        <w:rPr>
          <w:rFonts w:ascii="Times New Roman" w:hAnsi="Times New Roman" w:cs="Times New Roman"/>
          <w:b/>
          <w:sz w:val="24"/>
          <w:szCs w:val="24"/>
        </w:rPr>
      </w:pPr>
      <w:r w:rsidRPr="00321094">
        <w:rPr>
          <w:rFonts w:ascii="Times New Roman" w:hAnsi="Times New Roman" w:cs="Times New Roman"/>
          <w:b/>
          <w:sz w:val="24"/>
          <w:szCs w:val="24"/>
        </w:rPr>
        <w:t>Review Article</w:t>
      </w:r>
    </w:p>
    <w:p w14:paraId="3029FE79" w14:textId="3B9DB135" w:rsidR="00B75CF0" w:rsidRPr="006F14E5" w:rsidRDefault="00CA18EA" w:rsidP="00AC1CCF">
      <w:pPr>
        <w:spacing w:line="360" w:lineRule="auto"/>
        <w:jc w:val="center"/>
        <w:rPr>
          <w:rFonts w:ascii="Times New Roman" w:hAnsi="Times New Roman" w:cs="Times New Roman"/>
          <w:b/>
          <w:sz w:val="28"/>
          <w:szCs w:val="24"/>
        </w:rPr>
      </w:pPr>
      <w:r w:rsidRPr="00C77D3D">
        <w:rPr>
          <w:rFonts w:ascii="Times New Roman" w:hAnsi="Times New Roman" w:cs="Times New Roman"/>
          <w:b/>
          <w:sz w:val="24"/>
          <w:szCs w:val="24"/>
        </w:rPr>
        <w:t xml:space="preserve">Determinants of Adoption of Post-Harvest Management Technologies among Oilseed </w:t>
      </w:r>
      <w:commentRangeStart w:id="0"/>
      <w:r w:rsidRPr="00C77D3D">
        <w:rPr>
          <w:rFonts w:ascii="Times New Roman" w:hAnsi="Times New Roman" w:cs="Times New Roman"/>
          <w:b/>
          <w:sz w:val="24"/>
          <w:szCs w:val="24"/>
        </w:rPr>
        <w:t>Farmers</w:t>
      </w:r>
      <w:commentRangeEnd w:id="0"/>
      <w:r w:rsidR="006F14E5">
        <w:rPr>
          <w:rStyle w:val="CommentReference"/>
        </w:rPr>
        <w:commentReference w:id="0"/>
      </w:r>
      <w:r w:rsidR="006F14E5">
        <w:rPr>
          <w:rFonts w:ascii="Times New Roman" w:hAnsi="Times New Roman" w:cs="Times New Roman"/>
          <w:b/>
          <w:sz w:val="24"/>
          <w:szCs w:val="24"/>
        </w:rPr>
        <w:t xml:space="preserve"> </w:t>
      </w:r>
    </w:p>
    <w:p w14:paraId="79331288" w14:textId="104B3481" w:rsidR="00707814" w:rsidRPr="00707814" w:rsidRDefault="00707814" w:rsidP="00707814">
      <w:pPr>
        <w:pStyle w:val="NormalWeb"/>
        <w:spacing w:line="360" w:lineRule="auto"/>
        <w:jc w:val="both"/>
        <w:rPr>
          <w:b/>
        </w:rPr>
      </w:pPr>
      <w:r w:rsidRPr="00707814">
        <w:rPr>
          <w:b/>
        </w:rPr>
        <w:t>Abstract</w:t>
      </w:r>
    </w:p>
    <w:p w14:paraId="375AE4F1" w14:textId="39A73B73" w:rsidR="00A773E1" w:rsidRDefault="00A773E1" w:rsidP="00707814">
      <w:pPr>
        <w:pStyle w:val="NormalWeb"/>
        <w:spacing w:line="360" w:lineRule="auto"/>
        <w:jc w:val="both"/>
      </w:pPr>
      <w:r>
        <w:t xml:space="preserve">Post-harvest management plays a crucial role in minimizing quantitative and qualitative losses in oilseed crops and enhancing farmers’ income. Despite its importance, adoption of post-harvest management technologies (PHMTs) among Indian oilseed farmers remains suboptimal due to multiple socio-economic and institutional constraints. The present study aimed to assess the extent of adoption of PHMTs and identify the </w:t>
      </w:r>
      <w:commentRangeStart w:id="1"/>
      <w:r>
        <w:t>socio-economic, behavioral, and knowledge</w:t>
      </w:r>
      <w:commentRangeEnd w:id="1"/>
      <w:r w:rsidR="006F14E5">
        <w:rPr>
          <w:rStyle w:val="CommentReference"/>
          <w:rFonts w:asciiTheme="minorHAnsi" w:eastAsiaTheme="minorHAnsi" w:hAnsiTheme="minorHAnsi" w:cstheme="minorBidi"/>
        </w:rPr>
        <w:commentReference w:id="1"/>
      </w:r>
      <w:r>
        <w:t xml:space="preserve">-based factors influencing their adoption. The study was conducted in </w:t>
      </w:r>
      <w:proofErr w:type="spellStart"/>
      <w:r>
        <w:t>Mahabubnagar</w:t>
      </w:r>
      <w:proofErr w:type="spellEnd"/>
      <w:r>
        <w:t xml:space="preserve"> district of </w:t>
      </w:r>
      <w:proofErr w:type="spellStart"/>
      <w:r>
        <w:t>Telangana</w:t>
      </w:r>
      <w:proofErr w:type="spellEnd"/>
      <w:r>
        <w:t>, purposively selected for its prominence in oilseed cultivation. A sample of 120 oilseed farmers was drawn using multistage random sampling, and primary data were collected through personal interviews using a structured schedule. Adoption was measured across key post-harvest domains—harvesting, threshing, drying, storage, value addition, quality and safety, transportation, marketing, and digital monitoring—</w:t>
      </w:r>
      <w:commentRangeStart w:id="2"/>
      <w:r>
        <w:t xml:space="preserve">on a three-point continuum of non-adoption, </w:t>
      </w:r>
      <w:commentRangeEnd w:id="2"/>
      <w:r w:rsidR="00C079E6">
        <w:rPr>
          <w:rStyle w:val="CommentReference"/>
          <w:rFonts w:asciiTheme="minorHAnsi" w:eastAsiaTheme="minorHAnsi" w:hAnsiTheme="minorHAnsi" w:cstheme="minorBidi"/>
        </w:rPr>
        <w:commentReference w:id="2"/>
      </w:r>
      <w:r>
        <w:t xml:space="preserve">partial adoption, and full adoption. Fourteen independent variables were analyzed, including </w:t>
      </w:r>
      <w:commentRangeStart w:id="3"/>
      <w:r>
        <w:t>age, education, landholding, income, farming experience, training, irrigation potential, social participation, input acquisition, information-seeking behavior, achievement motivation, risk-taking ability, knowledge, and market intelligence.</w:t>
      </w:r>
      <w:commentRangeEnd w:id="3"/>
      <w:r w:rsidR="00CB0107">
        <w:rPr>
          <w:rStyle w:val="CommentReference"/>
          <w:rFonts w:asciiTheme="minorHAnsi" w:eastAsiaTheme="minorHAnsi" w:hAnsiTheme="minorHAnsi" w:cstheme="minorBidi"/>
        </w:rPr>
        <w:commentReference w:id="3"/>
      </w:r>
      <w:r>
        <w:t xml:space="preserve"> The results indicated minimal multicollinearity among variables, confirming robust model selection. Farmers showed high adoption of basic practices such as timely harvesting, threshing, and drying, but lower adoption of advanced techniques like moisture control, value addition, and digital record-keeping. Education, training, knowledge level, and market intelligence emerged as key determinants influencing adoption. The study highlights the need for capacity building, affordable access to post-harvest tools, improved storage infrastructure, and promotion of digital technologies to enhance adoption, reduce post-harvest losses, and improve profitability. Strengthening extension and institutional linkages can further ensure sustainable oilseed value chains and contribute to India’s edible oil self-reliance.</w:t>
      </w:r>
    </w:p>
    <w:p w14:paraId="350DBD01" w14:textId="77777777" w:rsidR="00A773E1" w:rsidRPr="00707814" w:rsidRDefault="00A773E1" w:rsidP="00707814">
      <w:pPr>
        <w:pStyle w:val="Heading3"/>
        <w:jc w:val="both"/>
        <w:rPr>
          <w:b w:val="0"/>
          <w:sz w:val="24"/>
          <w:szCs w:val="24"/>
        </w:rPr>
      </w:pPr>
      <w:r w:rsidRPr="00707814">
        <w:rPr>
          <w:rStyle w:val="Strong"/>
          <w:b/>
          <w:bCs/>
          <w:sz w:val="24"/>
          <w:szCs w:val="24"/>
        </w:rPr>
        <w:lastRenderedPageBreak/>
        <w:t>Keywords</w:t>
      </w:r>
      <w:r w:rsidRPr="00707814">
        <w:rPr>
          <w:rStyle w:val="Strong"/>
          <w:bCs/>
          <w:sz w:val="24"/>
          <w:szCs w:val="24"/>
        </w:rPr>
        <w:t>:</w:t>
      </w:r>
      <w:r w:rsidR="00707814" w:rsidRPr="00707814">
        <w:rPr>
          <w:rStyle w:val="Strong"/>
          <w:bCs/>
          <w:sz w:val="24"/>
          <w:szCs w:val="24"/>
        </w:rPr>
        <w:t xml:space="preserve"> </w:t>
      </w:r>
      <w:r w:rsidRPr="00707814">
        <w:rPr>
          <w:b w:val="0"/>
          <w:sz w:val="24"/>
          <w:szCs w:val="24"/>
        </w:rPr>
        <w:t xml:space="preserve">Post-Harvest Management, </w:t>
      </w:r>
      <w:commentRangeStart w:id="4"/>
      <w:r w:rsidRPr="00707814">
        <w:rPr>
          <w:b w:val="0"/>
          <w:sz w:val="24"/>
          <w:szCs w:val="24"/>
        </w:rPr>
        <w:t>Oilseed Farmers, Technology Adoption, Socio-Economic Determinants</w:t>
      </w:r>
      <w:commentRangeEnd w:id="4"/>
      <w:r w:rsidR="00701B9F">
        <w:rPr>
          <w:rStyle w:val="CommentReference"/>
          <w:rFonts w:asciiTheme="minorHAnsi" w:eastAsiaTheme="minorHAnsi" w:hAnsiTheme="minorHAnsi" w:cstheme="minorBidi"/>
          <w:b w:val="0"/>
          <w:bCs w:val="0"/>
        </w:rPr>
        <w:commentReference w:id="4"/>
      </w:r>
    </w:p>
    <w:p w14:paraId="6B18A5D4" w14:textId="77777777" w:rsidR="00E7338A" w:rsidRPr="00707814" w:rsidRDefault="00E7338A" w:rsidP="00A908F4">
      <w:pPr>
        <w:spacing w:line="360" w:lineRule="auto"/>
        <w:jc w:val="both"/>
        <w:rPr>
          <w:rFonts w:ascii="Times New Roman" w:hAnsi="Times New Roman" w:cs="Times New Roman"/>
          <w:b/>
          <w:bCs/>
          <w:sz w:val="24"/>
          <w:szCs w:val="24"/>
        </w:rPr>
      </w:pPr>
      <w:r w:rsidRPr="00707814">
        <w:rPr>
          <w:rFonts w:ascii="Times New Roman" w:hAnsi="Times New Roman" w:cs="Times New Roman"/>
          <w:b/>
          <w:bCs/>
          <w:sz w:val="24"/>
          <w:szCs w:val="24"/>
        </w:rPr>
        <w:t>Introduction</w:t>
      </w:r>
    </w:p>
    <w:p w14:paraId="2B9EA762" w14:textId="77777777" w:rsidR="00E7338A" w:rsidRPr="00A908F4" w:rsidRDefault="00E7338A" w:rsidP="00A908F4">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Agriculture forms the backbone of India’s economy, engaging nearly half of the workforce and serving as a critical source of food security and rural livelihoods (FAO, 2021). Within this sector, oilseed cultivation holds a strategic position by providing edible oils, raw materials for the processing industry, and income support for millions of small and marginal farmers. India ranks among the world’s largest producers of oilseeds, with major crops such as mustard, groundnut, soybean, and sunflower contributing significantly to both domestic consumption and the agricultural economy (Bhat et al., 2017; </w:t>
      </w:r>
      <w:commentRangeStart w:id="5"/>
      <w:r w:rsidRPr="00A908F4">
        <w:rPr>
          <w:rFonts w:ascii="Times New Roman" w:hAnsi="Times New Roman" w:cs="Times New Roman"/>
          <w:sz w:val="24"/>
          <w:szCs w:val="24"/>
        </w:rPr>
        <w:t xml:space="preserve">USDA, 2020). </w:t>
      </w:r>
      <w:commentRangeEnd w:id="5"/>
      <w:r w:rsidR="008E64FE">
        <w:rPr>
          <w:rStyle w:val="CommentReference"/>
        </w:rPr>
        <w:commentReference w:id="5"/>
      </w:r>
      <w:r w:rsidRPr="00A908F4">
        <w:rPr>
          <w:rFonts w:ascii="Times New Roman" w:hAnsi="Times New Roman" w:cs="Times New Roman"/>
          <w:sz w:val="24"/>
          <w:szCs w:val="24"/>
        </w:rPr>
        <w:t>Despite this prominence, the country continues to rely on imports to meet nearly half of its edible oil demand, reflecting productivity gaps and inefficiencies across the value chain.</w:t>
      </w:r>
    </w:p>
    <w:p w14:paraId="00882DB4" w14:textId="77777777" w:rsidR="00E7338A" w:rsidRPr="00A908F4" w:rsidRDefault="00E7338A" w:rsidP="00A908F4">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A key challenge confronting the oilseed sector lies in </w:t>
      </w:r>
      <w:r w:rsidRPr="00A908F4">
        <w:rPr>
          <w:rFonts w:ascii="Times New Roman" w:hAnsi="Times New Roman" w:cs="Times New Roman"/>
          <w:bCs/>
          <w:sz w:val="24"/>
          <w:szCs w:val="24"/>
        </w:rPr>
        <w:t>post-harvest management</w:t>
      </w:r>
      <w:r w:rsidRPr="00A908F4">
        <w:rPr>
          <w:rFonts w:ascii="Times New Roman" w:hAnsi="Times New Roman" w:cs="Times New Roman"/>
          <w:sz w:val="24"/>
          <w:szCs w:val="24"/>
        </w:rPr>
        <w:t xml:space="preserve">, where losses are substantial and recurring. Studies estimate that 10–20% of harvested oilseeds are lost due to improper harvesting, insufficient drying, poor storage conditions, and minimal value addition (Usman et al., 2022; Rees et al., 2012). These losses compromise both the </w:t>
      </w:r>
      <w:r w:rsidRPr="00A908F4">
        <w:rPr>
          <w:rFonts w:ascii="Times New Roman" w:hAnsi="Times New Roman" w:cs="Times New Roman"/>
          <w:bCs/>
          <w:sz w:val="24"/>
          <w:szCs w:val="24"/>
        </w:rPr>
        <w:t>quality</w:t>
      </w:r>
      <w:r w:rsidRPr="00A908F4">
        <w:rPr>
          <w:rFonts w:ascii="Times New Roman" w:hAnsi="Times New Roman" w:cs="Times New Roman"/>
          <w:sz w:val="24"/>
          <w:szCs w:val="24"/>
        </w:rPr>
        <w:t xml:space="preserve"> and </w:t>
      </w:r>
      <w:r w:rsidRPr="00A908F4">
        <w:rPr>
          <w:rFonts w:ascii="Times New Roman" w:hAnsi="Times New Roman" w:cs="Times New Roman"/>
          <w:bCs/>
          <w:sz w:val="24"/>
          <w:szCs w:val="24"/>
        </w:rPr>
        <w:t>market value</w:t>
      </w:r>
      <w:r w:rsidRPr="00A908F4">
        <w:rPr>
          <w:rFonts w:ascii="Times New Roman" w:hAnsi="Times New Roman" w:cs="Times New Roman"/>
          <w:sz w:val="24"/>
          <w:szCs w:val="24"/>
        </w:rPr>
        <w:t xml:space="preserve"> of produce, limiting farmer profitability and contributing to broader national dependency on edible oil imports. Adopting effective </w:t>
      </w:r>
      <w:r w:rsidRPr="00A908F4">
        <w:rPr>
          <w:rFonts w:ascii="Times New Roman" w:hAnsi="Times New Roman" w:cs="Times New Roman"/>
          <w:bCs/>
          <w:sz w:val="24"/>
          <w:szCs w:val="24"/>
        </w:rPr>
        <w:t>post-harvest management technologies</w:t>
      </w:r>
      <w:r w:rsidRPr="00A908F4">
        <w:rPr>
          <w:rFonts w:ascii="Times New Roman" w:hAnsi="Times New Roman" w:cs="Times New Roman"/>
          <w:sz w:val="24"/>
          <w:szCs w:val="24"/>
        </w:rPr>
        <w:t xml:space="preserve"> is vital to mitigate such losses and improve efficiency across the oilseed value chain. These practices include timely harvesting, efficient threshing, moisture control during drying, scientific storage methods, processing and value addition, quality and safety monitoring, and structured marketing systems. However, adoption levels among oilseed farmers remain relatively low due to a combination of factors: limited technical know-how, inadequate infrastructure, weak extension support, and financial constraints (</w:t>
      </w:r>
      <w:proofErr w:type="spellStart"/>
      <w:r w:rsidRPr="00A908F4">
        <w:rPr>
          <w:rFonts w:ascii="Times New Roman" w:hAnsi="Times New Roman" w:cs="Times New Roman"/>
          <w:sz w:val="24"/>
          <w:szCs w:val="24"/>
        </w:rPr>
        <w:t>Mandavkar</w:t>
      </w:r>
      <w:proofErr w:type="spellEnd"/>
      <w:r w:rsidRPr="00A908F4">
        <w:rPr>
          <w:rFonts w:ascii="Times New Roman" w:hAnsi="Times New Roman" w:cs="Times New Roman"/>
          <w:sz w:val="24"/>
          <w:szCs w:val="24"/>
        </w:rPr>
        <w:t xml:space="preserve"> et al., 2017). Such barriers create a pronounced gap between </w:t>
      </w:r>
      <w:r w:rsidRPr="00A908F4">
        <w:rPr>
          <w:rFonts w:ascii="Times New Roman" w:hAnsi="Times New Roman" w:cs="Times New Roman"/>
          <w:bCs/>
          <w:sz w:val="24"/>
          <w:szCs w:val="24"/>
        </w:rPr>
        <w:t>recommended best practices</w:t>
      </w:r>
      <w:r w:rsidRPr="00A908F4">
        <w:rPr>
          <w:rFonts w:ascii="Times New Roman" w:hAnsi="Times New Roman" w:cs="Times New Roman"/>
          <w:sz w:val="24"/>
          <w:szCs w:val="24"/>
        </w:rPr>
        <w:t xml:space="preserve"> and </w:t>
      </w:r>
      <w:r w:rsidRPr="00A908F4">
        <w:rPr>
          <w:rFonts w:ascii="Times New Roman" w:hAnsi="Times New Roman" w:cs="Times New Roman"/>
          <w:bCs/>
          <w:sz w:val="24"/>
          <w:szCs w:val="24"/>
        </w:rPr>
        <w:t>actual on-farm application</w:t>
      </w:r>
      <w:r w:rsidRPr="00A908F4">
        <w:rPr>
          <w:rFonts w:ascii="Times New Roman" w:hAnsi="Times New Roman" w:cs="Times New Roman"/>
          <w:sz w:val="24"/>
          <w:szCs w:val="24"/>
        </w:rPr>
        <w:t>, leaving the sector vulnerable to avoidable losses.</w:t>
      </w:r>
    </w:p>
    <w:p w14:paraId="369086D1" w14:textId="6190CF6C" w:rsidR="008E2CA4" w:rsidRDefault="00E7338A" w:rsidP="00A908F4">
      <w:pPr>
        <w:spacing w:line="360" w:lineRule="auto"/>
        <w:jc w:val="both"/>
        <w:rPr>
          <w:rFonts w:ascii="Times New Roman" w:hAnsi="Times New Roman" w:cs="Times New Roman"/>
          <w:sz w:val="24"/>
          <w:szCs w:val="24"/>
        </w:rPr>
      </w:pPr>
      <w:r w:rsidRPr="00A908F4">
        <w:rPr>
          <w:rFonts w:ascii="Times New Roman" w:hAnsi="Times New Roman" w:cs="Times New Roman"/>
          <w:sz w:val="24"/>
          <w:szCs w:val="24"/>
        </w:rPr>
        <w:t xml:space="preserve">Understanding the </w:t>
      </w:r>
      <w:r w:rsidRPr="00A908F4">
        <w:rPr>
          <w:rFonts w:ascii="Times New Roman" w:hAnsi="Times New Roman" w:cs="Times New Roman"/>
          <w:bCs/>
          <w:sz w:val="24"/>
          <w:szCs w:val="24"/>
        </w:rPr>
        <w:t>determinants of adoption</w:t>
      </w:r>
      <w:r w:rsidRPr="00A908F4">
        <w:rPr>
          <w:rFonts w:ascii="Times New Roman" w:hAnsi="Times New Roman" w:cs="Times New Roman"/>
          <w:sz w:val="24"/>
          <w:szCs w:val="24"/>
        </w:rPr>
        <w:t xml:space="preserve"> is thus crucial. Prior research in agricultural technology adoption has underscored the influence of socio-economic variables, access to knowledge, institutional support, and behavioral factors on farmers’ decisions. Yet, empirical studies focusing specifically on oilseed farmers’ adoption of post-harvest technologies remain </w:t>
      </w:r>
      <w:r w:rsidRPr="00A908F4">
        <w:rPr>
          <w:rFonts w:ascii="Times New Roman" w:hAnsi="Times New Roman" w:cs="Times New Roman"/>
          <w:sz w:val="24"/>
          <w:szCs w:val="24"/>
        </w:rPr>
        <w:lastRenderedPageBreak/>
        <w:t xml:space="preserve">limited. Addressing this gap, the present study assesses the extent of adoption of post-harvest management practices among oilseed farmers and identifies the socio-economic, behavioral, and institutional drivers influencing adoption. Insights generated are expected to inform evidence-based policies, strengthen extension mechanisms, and enhance post-harvest efficiency ultimately contributing to improved productivity, reduced losses, and greater farm incomes in India’s vital oilseed </w:t>
      </w:r>
      <w:commentRangeStart w:id="6"/>
      <w:r w:rsidRPr="00A908F4">
        <w:rPr>
          <w:rFonts w:ascii="Times New Roman" w:hAnsi="Times New Roman" w:cs="Times New Roman"/>
          <w:sz w:val="24"/>
          <w:szCs w:val="24"/>
        </w:rPr>
        <w:t>sector</w:t>
      </w:r>
      <w:commentRangeEnd w:id="6"/>
      <w:r w:rsidR="008E2CA4">
        <w:rPr>
          <w:rStyle w:val="CommentReference"/>
        </w:rPr>
        <w:commentReference w:id="6"/>
      </w:r>
      <w:r w:rsidRPr="00A908F4">
        <w:rPr>
          <w:rFonts w:ascii="Times New Roman" w:hAnsi="Times New Roman" w:cs="Times New Roman"/>
          <w:sz w:val="24"/>
          <w:szCs w:val="24"/>
        </w:rPr>
        <w:t>.</w:t>
      </w:r>
    </w:p>
    <w:p w14:paraId="600AEC70" w14:textId="77777777" w:rsidR="00A6362A" w:rsidRPr="00A6362A" w:rsidRDefault="00A6362A" w:rsidP="00A6362A">
      <w:pPr>
        <w:spacing w:line="360" w:lineRule="auto"/>
        <w:jc w:val="both"/>
        <w:rPr>
          <w:rFonts w:ascii="Times New Roman" w:hAnsi="Times New Roman" w:cs="Times New Roman"/>
          <w:b/>
          <w:bCs/>
          <w:sz w:val="24"/>
          <w:szCs w:val="24"/>
        </w:rPr>
      </w:pPr>
      <w:r w:rsidRPr="00A6362A">
        <w:rPr>
          <w:rFonts w:ascii="Times New Roman" w:hAnsi="Times New Roman" w:cs="Times New Roman"/>
          <w:b/>
          <w:bCs/>
          <w:sz w:val="24"/>
          <w:szCs w:val="24"/>
        </w:rPr>
        <w:t>Methodology</w:t>
      </w:r>
    </w:p>
    <w:p w14:paraId="1E1D630F" w14:textId="77777777" w:rsidR="00A6362A" w:rsidRPr="00A6362A" w:rsidRDefault="00A6362A" w:rsidP="00A6362A">
      <w:pPr>
        <w:spacing w:line="360" w:lineRule="auto"/>
        <w:jc w:val="both"/>
        <w:rPr>
          <w:rFonts w:ascii="Times New Roman" w:hAnsi="Times New Roman" w:cs="Times New Roman"/>
          <w:sz w:val="24"/>
          <w:szCs w:val="24"/>
        </w:rPr>
      </w:pPr>
      <w:r w:rsidRPr="00A6362A">
        <w:rPr>
          <w:rFonts w:ascii="Times New Roman" w:hAnsi="Times New Roman" w:cs="Times New Roman"/>
          <w:sz w:val="24"/>
          <w:szCs w:val="24"/>
        </w:rPr>
        <w:t>The study was conducted in Mahabubnagar district of Telangana state, which was purposively selected due to its prominence in oilseed cultivation. Within the district, t</w:t>
      </w:r>
      <w:r w:rsidR="00FB095F">
        <w:rPr>
          <w:rFonts w:ascii="Times New Roman" w:hAnsi="Times New Roman" w:cs="Times New Roman"/>
          <w:sz w:val="24"/>
          <w:szCs w:val="24"/>
        </w:rPr>
        <w:t xml:space="preserve">hree mandals Koilkonda, Mohammadabad, and Addakal </w:t>
      </w:r>
      <w:r w:rsidRPr="00A6362A">
        <w:rPr>
          <w:rFonts w:ascii="Times New Roman" w:hAnsi="Times New Roman" w:cs="Times New Roman"/>
          <w:sz w:val="24"/>
          <w:szCs w:val="24"/>
        </w:rPr>
        <w:t>were chosen, and from each mandal four villages were selected. A sample of 12 oilseed farmers from each village was randomly drawn, making a total of 120 respondents. Primary data were collected through personal interviews using a pre-tested structured schedule designed to capture socio-economic characteristics and adoption of post-harvest management technologies. Adoption was meas</w:t>
      </w:r>
      <w:r w:rsidR="00FB095F">
        <w:rPr>
          <w:rFonts w:ascii="Times New Roman" w:hAnsi="Times New Roman" w:cs="Times New Roman"/>
          <w:sz w:val="24"/>
          <w:szCs w:val="24"/>
        </w:rPr>
        <w:t xml:space="preserve">ured on a </w:t>
      </w:r>
      <w:commentRangeStart w:id="7"/>
      <w:r w:rsidR="00FB095F">
        <w:rPr>
          <w:rFonts w:ascii="Times New Roman" w:hAnsi="Times New Roman" w:cs="Times New Roman"/>
          <w:sz w:val="24"/>
          <w:szCs w:val="24"/>
        </w:rPr>
        <w:t>three-point continuu</w:t>
      </w:r>
      <w:commentRangeEnd w:id="7"/>
      <w:r w:rsidR="008E2CA4">
        <w:rPr>
          <w:rStyle w:val="CommentReference"/>
        </w:rPr>
        <w:commentReference w:id="7"/>
      </w:r>
      <w:r w:rsidR="00FB095F">
        <w:rPr>
          <w:rFonts w:ascii="Times New Roman" w:hAnsi="Times New Roman" w:cs="Times New Roman"/>
          <w:sz w:val="24"/>
          <w:szCs w:val="24"/>
        </w:rPr>
        <w:t xml:space="preserve">m </w:t>
      </w:r>
      <w:r w:rsidRPr="00A6362A">
        <w:rPr>
          <w:rFonts w:ascii="Times New Roman" w:hAnsi="Times New Roman" w:cs="Times New Roman"/>
          <w:sz w:val="24"/>
          <w:szCs w:val="24"/>
        </w:rPr>
        <w:t>non-adoption, part</w:t>
      </w:r>
      <w:r w:rsidR="00FB095F">
        <w:rPr>
          <w:rFonts w:ascii="Times New Roman" w:hAnsi="Times New Roman" w:cs="Times New Roman"/>
          <w:sz w:val="24"/>
          <w:szCs w:val="24"/>
        </w:rPr>
        <w:t xml:space="preserve">ial adoption, and full adoption </w:t>
      </w:r>
      <w:r w:rsidRPr="00A6362A">
        <w:rPr>
          <w:rFonts w:ascii="Times New Roman" w:hAnsi="Times New Roman" w:cs="Times New Roman"/>
          <w:sz w:val="24"/>
          <w:szCs w:val="24"/>
        </w:rPr>
        <w:t xml:space="preserve">across key practices such as harvesting, threshing, drying, storage, value addition, quality and safety, transportation, marketing, and digital monitoring. The extent of adoption was assessed using frequency and percentage analysis. To identify determinants influencing adoption, fourteen independent variables (including age, education, landholding, income, farming experience, training, irrigation potential, social participation, input acquisition, information-seeking behavior, achievement motivation, risk-taking ability, knowledge, and market intelligence) were considered. </w:t>
      </w:r>
      <w:commentRangeStart w:id="8"/>
      <w:r w:rsidRPr="00A6362A">
        <w:rPr>
          <w:rFonts w:ascii="Times New Roman" w:hAnsi="Times New Roman" w:cs="Times New Roman"/>
          <w:sz w:val="24"/>
          <w:szCs w:val="24"/>
        </w:rPr>
        <w:t xml:space="preserve">Variance Inflation Factor </w:t>
      </w:r>
      <w:commentRangeEnd w:id="8"/>
      <w:r w:rsidR="008E2CA4">
        <w:rPr>
          <w:rStyle w:val="CommentReference"/>
        </w:rPr>
        <w:commentReference w:id="8"/>
      </w:r>
      <w:r w:rsidRPr="00A6362A">
        <w:rPr>
          <w:rFonts w:ascii="Times New Roman" w:hAnsi="Times New Roman" w:cs="Times New Roman"/>
          <w:sz w:val="24"/>
          <w:szCs w:val="24"/>
        </w:rPr>
        <w:t xml:space="preserve">(VIF) analysis was performed to test for </w:t>
      </w:r>
      <w:commentRangeStart w:id="9"/>
      <w:r w:rsidRPr="00A6362A">
        <w:rPr>
          <w:rFonts w:ascii="Times New Roman" w:hAnsi="Times New Roman" w:cs="Times New Roman"/>
          <w:sz w:val="24"/>
          <w:szCs w:val="24"/>
        </w:rPr>
        <w:t>multi</w:t>
      </w:r>
      <w:r w:rsidR="00FB095F">
        <w:rPr>
          <w:rFonts w:ascii="Times New Roman" w:hAnsi="Times New Roman" w:cs="Times New Roman"/>
          <w:sz w:val="24"/>
          <w:szCs w:val="24"/>
        </w:rPr>
        <w:t xml:space="preserve"> </w:t>
      </w:r>
      <w:proofErr w:type="spellStart"/>
      <w:r w:rsidRPr="00A6362A">
        <w:rPr>
          <w:rFonts w:ascii="Times New Roman" w:hAnsi="Times New Roman" w:cs="Times New Roman"/>
          <w:sz w:val="24"/>
          <w:szCs w:val="24"/>
        </w:rPr>
        <w:t>collinearity</w:t>
      </w:r>
      <w:proofErr w:type="spellEnd"/>
      <w:r w:rsidRPr="00A6362A">
        <w:rPr>
          <w:rFonts w:ascii="Times New Roman" w:hAnsi="Times New Roman" w:cs="Times New Roman"/>
          <w:sz w:val="24"/>
          <w:szCs w:val="24"/>
        </w:rPr>
        <w:t xml:space="preserve"> </w:t>
      </w:r>
      <w:commentRangeEnd w:id="9"/>
      <w:r w:rsidR="008E2CA4">
        <w:rPr>
          <w:rStyle w:val="CommentReference"/>
        </w:rPr>
        <w:commentReference w:id="9"/>
      </w:r>
      <w:r w:rsidRPr="00A6362A">
        <w:rPr>
          <w:rFonts w:ascii="Times New Roman" w:hAnsi="Times New Roman" w:cs="Times New Roman"/>
          <w:sz w:val="24"/>
          <w:szCs w:val="24"/>
        </w:rPr>
        <w:t>among these variables, ensuring the robustness of further interpretation.</w:t>
      </w:r>
    </w:p>
    <w:p w14:paraId="686E03EC" w14:textId="77777777" w:rsidR="00A6362A" w:rsidRDefault="00FB095F" w:rsidP="00A908F4">
      <w:pPr>
        <w:spacing w:line="360" w:lineRule="auto"/>
        <w:jc w:val="both"/>
        <w:rPr>
          <w:rFonts w:ascii="Times New Roman" w:hAnsi="Times New Roman" w:cs="Times New Roman"/>
          <w:b/>
          <w:sz w:val="24"/>
          <w:szCs w:val="24"/>
        </w:rPr>
      </w:pPr>
      <w:r w:rsidRPr="0063066C">
        <w:rPr>
          <w:rFonts w:ascii="Times New Roman" w:hAnsi="Times New Roman" w:cs="Times New Roman"/>
          <w:b/>
          <w:sz w:val="24"/>
          <w:szCs w:val="24"/>
        </w:rPr>
        <w:t>Results and Discussion:</w:t>
      </w:r>
    </w:p>
    <w:p w14:paraId="5F996DE4" w14:textId="77777777" w:rsidR="00C77D3D" w:rsidRPr="00C83080" w:rsidRDefault="00C77D3D" w:rsidP="00C77D3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evident</w:t>
      </w:r>
      <w:r w:rsidRPr="00C83080">
        <w:rPr>
          <w:rFonts w:ascii="Times New Roman" w:eastAsia="Times New Roman" w:hAnsi="Times New Roman" w:cs="Times New Roman"/>
          <w:sz w:val="24"/>
          <w:szCs w:val="24"/>
        </w:rPr>
        <w:t xml:space="preserve"> from Table-1 indicated that the </w:t>
      </w:r>
      <w:commentRangeStart w:id="10"/>
      <w:commentRangeStart w:id="11"/>
      <w:r w:rsidRPr="00C83080">
        <w:rPr>
          <w:rFonts w:ascii="Times New Roman" w:eastAsia="Times New Roman" w:hAnsi="Times New Roman" w:cs="Times New Roman"/>
          <w:sz w:val="24"/>
          <w:szCs w:val="24"/>
        </w:rPr>
        <w:t>VIF</w:t>
      </w:r>
      <w:commentRangeEnd w:id="11"/>
      <w:r w:rsidR="00517B38">
        <w:rPr>
          <w:rStyle w:val="CommentReference"/>
        </w:rPr>
        <w:commentReference w:id="11"/>
      </w:r>
      <w:r w:rsidRPr="00C83080">
        <w:rPr>
          <w:rFonts w:ascii="Times New Roman" w:eastAsia="Times New Roman" w:hAnsi="Times New Roman" w:cs="Times New Roman"/>
          <w:sz w:val="24"/>
          <w:szCs w:val="24"/>
        </w:rPr>
        <w:t xml:space="preserve"> analysis of all fourteen independent variables selected for the study exhibited values ranging from 1.15 to 1.80, well below the commonly accepted threshold of 5.0.</w:t>
      </w:r>
      <w:commentRangeEnd w:id="10"/>
      <w:r w:rsidR="00517B38">
        <w:rPr>
          <w:rStyle w:val="CommentReference"/>
        </w:rPr>
        <w:commentReference w:id="10"/>
      </w:r>
      <w:r w:rsidRPr="00C83080">
        <w:rPr>
          <w:rFonts w:ascii="Times New Roman" w:eastAsia="Times New Roman" w:hAnsi="Times New Roman" w:cs="Times New Roman"/>
          <w:sz w:val="24"/>
          <w:szCs w:val="24"/>
        </w:rPr>
        <w:t xml:space="preserve"> This suggests that multi</w:t>
      </w:r>
      <w:r w:rsidRPr="00A908F4">
        <w:rPr>
          <w:rFonts w:ascii="Times New Roman" w:eastAsia="Times New Roman" w:hAnsi="Times New Roman" w:cs="Times New Roman"/>
          <w:sz w:val="24"/>
          <w:szCs w:val="24"/>
        </w:rPr>
        <w:t xml:space="preserve"> </w:t>
      </w:r>
      <w:r w:rsidRPr="00C83080">
        <w:rPr>
          <w:rFonts w:ascii="Times New Roman" w:eastAsia="Times New Roman" w:hAnsi="Times New Roman" w:cs="Times New Roman"/>
          <w:sz w:val="24"/>
          <w:szCs w:val="24"/>
        </w:rPr>
        <w:t xml:space="preserve">collinearity among the variables is </w:t>
      </w:r>
      <w:commentRangeStart w:id="12"/>
      <w:r w:rsidRPr="00C83080">
        <w:rPr>
          <w:rFonts w:ascii="Times New Roman" w:eastAsia="Times New Roman" w:hAnsi="Times New Roman" w:cs="Times New Roman"/>
          <w:sz w:val="24"/>
          <w:szCs w:val="24"/>
        </w:rPr>
        <w:t>minimal,</w:t>
      </w:r>
      <w:commentRangeEnd w:id="12"/>
      <w:r w:rsidR="00517B38">
        <w:rPr>
          <w:rStyle w:val="CommentReference"/>
        </w:rPr>
        <w:commentReference w:id="12"/>
      </w:r>
      <w:r w:rsidRPr="00C83080">
        <w:rPr>
          <w:rFonts w:ascii="Times New Roman" w:eastAsia="Times New Roman" w:hAnsi="Times New Roman" w:cs="Times New Roman"/>
          <w:sz w:val="24"/>
          <w:szCs w:val="24"/>
        </w:rPr>
        <w:t xml:space="preserve"> and each variable contributes uniquely to explaining the variation in the adoption of post-harvest management technologies among oilseed farmers. Variables such as age (1.15), education (1.40), </w:t>
      </w:r>
      <w:r w:rsidRPr="00C83080">
        <w:rPr>
          <w:rFonts w:ascii="Times New Roman" w:eastAsia="Times New Roman" w:hAnsi="Times New Roman" w:cs="Times New Roman"/>
          <w:sz w:val="24"/>
          <w:szCs w:val="24"/>
        </w:rPr>
        <w:lastRenderedPageBreak/>
        <w:t xml:space="preserve">size of landholding (1.55), and social participation (1.50) </w:t>
      </w:r>
      <w:commentRangeStart w:id="13"/>
      <w:r w:rsidRPr="00C83080">
        <w:rPr>
          <w:rFonts w:ascii="Times New Roman" w:eastAsia="Times New Roman" w:hAnsi="Times New Roman" w:cs="Times New Roman"/>
          <w:sz w:val="24"/>
          <w:szCs w:val="24"/>
        </w:rPr>
        <w:t>showed very low VIF values</w:t>
      </w:r>
      <w:commentRangeEnd w:id="13"/>
      <w:r w:rsidR="00517B38">
        <w:rPr>
          <w:rStyle w:val="CommentReference"/>
        </w:rPr>
        <w:commentReference w:id="13"/>
      </w:r>
      <w:r w:rsidRPr="00C83080">
        <w:rPr>
          <w:rFonts w:ascii="Times New Roman" w:eastAsia="Times New Roman" w:hAnsi="Times New Roman" w:cs="Times New Roman"/>
          <w:sz w:val="24"/>
          <w:szCs w:val="24"/>
        </w:rPr>
        <w:t>, reflecting their independent and non-overlapping influence on adoption decisions. Variables such as trainings undergone (1.70), knowledge (1.70), market intelligence (1.80), and input acquisition pattern (1.75) displayed slightly higher values but remained within acceptable limits,</w:t>
      </w:r>
      <w:r>
        <w:rPr>
          <w:rFonts w:ascii="Times New Roman" w:eastAsia="Times New Roman" w:hAnsi="Times New Roman" w:cs="Times New Roman"/>
          <w:sz w:val="24"/>
          <w:szCs w:val="24"/>
        </w:rPr>
        <w:t xml:space="preserve"> </w:t>
      </w:r>
      <w:r w:rsidRPr="00C83080">
        <w:rPr>
          <w:rFonts w:ascii="Times New Roman" w:eastAsia="Times New Roman" w:hAnsi="Times New Roman" w:cs="Times New Roman"/>
          <w:sz w:val="24"/>
          <w:szCs w:val="24"/>
        </w:rPr>
        <w:t>representing crucial dimensions related to capacity-building, knowledge-sharing, and market-</w:t>
      </w:r>
      <w:r w:rsidRPr="00A908F4">
        <w:rPr>
          <w:rFonts w:ascii="Times New Roman" w:eastAsia="Times New Roman" w:hAnsi="Times New Roman" w:cs="Times New Roman"/>
          <w:sz w:val="24"/>
          <w:szCs w:val="24"/>
        </w:rPr>
        <w:t xml:space="preserve"> </w:t>
      </w:r>
      <w:r w:rsidRPr="00C83080">
        <w:rPr>
          <w:rFonts w:ascii="Times New Roman" w:eastAsia="Times New Roman" w:hAnsi="Times New Roman" w:cs="Times New Roman"/>
          <w:sz w:val="24"/>
          <w:szCs w:val="24"/>
        </w:rPr>
        <w:t>oriented behaviors, which are significant determinants of technology adoption (World Bank, 2019).</w:t>
      </w:r>
      <w:r w:rsidRPr="00A908F4">
        <w:rPr>
          <w:rFonts w:ascii="Times New Roman" w:eastAsia="Times New Roman" w:hAnsi="Times New Roman" w:cs="Times New Roman"/>
          <w:sz w:val="24"/>
          <w:szCs w:val="24"/>
        </w:rPr>
        <w:t xml:space="preserve"> </w:t>
      </w:r>
      <w:r w:rsidRPr="00C83080">
        <w:rPr>
          <w:rFonts w:ascii="Times New Roman" w:eastAsia="Times New Roman" w:hAnsi="Times New Roman" w:cs="Times New Roman"/>
          <w:sz w:val="24"/>
          <w:szCs w:val="24"/>
        </w:rPr>
        <w:t xml:space="preserve">The low VIF values across all variables indicate that their inclusion in the subsequent analysis is statistically appropriate, minimizing the risk of biased coefficient estimates and ensuring reliable interpretation of results. This confirms that the influence of socio-economic, behavioral, and knowledge-related factors on the extent of adoption of post-harvest management practices can be effectively assessed (O’Brien, 2007; Kutner et al., 2005). Overall, these results highlight that both structural characteristics (such as landholding size and irrigation potential) and human capital factors (such as education, training, and knowledge) play a significant role in determining farmers’ adoption behavior. The findings align with recent studies emphasizing the critical influence of individual, institutional, and market-related determinants on technology adoption in agriculture (Aker, 2011; </w:t>
      </w:r>
      <w:proofErr w:type="spellStart"/>
      <w:r w:rsidRPr="00C83080">
        <w:rPr>
          <w:rFonts w:ascii="Times New Roman" w:eastAsia="Times New Roman" w:hAnsi="Times New Roman" w:cs="Times New Roman"/>
          <w:sz w:val="24"/>
          <w:szCs w:val="24"/>
        </w:rPr>
        <w:t>Kiptot</w:t>
      </w:r>
      <w:proofErr w:type="spellEnd"/>
      <w:r w:rsidRPr="00C83080">
        <w:rPr>
          <w:rFonts w:ascii="Times New Roman" w:eastAsia="Times New Roman" w:hAnsi="Times New Roman" w:cs="Times New Roman"/>
          <w:sz w:val="24"/>
          <w:szCs w:val="24"/>
        </w:rPr>
        <w:t xml:space="preserve"> &amp; </w:t>
      </w:r>
      <w:proofErr w:type="spellStart"/>
      <w:r w:rsidRPr="00C83080">
        <w:rPr>
          <w:rFonts w:ascii="Times New Roman" w:eastAsia="Times New Roman" w:hAnsi="Times New Roman" w:cs="Times New Roman"/>
          <w:sz w:val="24"/>
          <w:szCs w:val="24"/>
        </w:rPr>
        <w:t>Franzel</w:t>
      </w:r>
      <w:proofErr w:type="spellEnd"/>
      <w:r w:rsidRPr="00C83080">
        <w:rPr>
          <w:rFonts w:ascii="Times New Roman" w:eastAsia="Times New Roman" w:hAnsi="Times New Roman" w:cs="Times New Roman"/>
          <w:sz w:val="24"/>
          <w:szCs w:val="24"/>
        </w:rPr>
        <w:t>, 2014).</w:t>
      </w:r>
    </w:p>
    <w:p w14:paraId="1C19B905" w14:textId="77777777" w:rsidR="00CA18EA" w:rsidRPr="00C77D3D" w:rsidRDefault="00CA18EA" w:rsidP="00C77D3D">
      <w:pPr>
        <w:pStyle w:val="NoSpacing"/>
        <w:rPr>
          <w:rFonts w:ascii="Times New Roman" w:hAnsi="Times New Roman" w:cs="Times New Roman"/>
          <w:sz w:val="24"/>
        </w:rPr>
      </w:pPr>
      <w:r w:rsidRPr="00C77D3D">
        <w:rPr>
          <w:rFonts w:ascii="Times New Roman" w:hAnsi="Times New Roman" w:cs="Times New Roman"/>
          <w:sz w:val="24"/>
        </w:rPr>
        <w:t>Table</w:t>
      </w:r>
      <w:r w:rsidR="00C77D3D" w:rsidRPr="00C77D3D">
        <w:rPr>
          <w:rFonts w:ascii="Times New Roman" w:hAnsi="Times New Roman" w:cs="Times New Roman"/>
          <w:sz w:val="24"/>
        </w:rPr>
        <w:t xml:space="preserve"> 1</w:t>
      </w:r>
      <w:r w:rsidR="00A908F4" w:rsidRPr="00C77D3D">
        <w:rPr>
          <w:rFonts w:ascii="Times New Roman" w:hAnsi="Times New Roman" w:cs="Times New Roman"/>
          <w:sz w:val="24"/>
        </w:rPr>
        <w:t>:</w:t>
      </w:r>
      <w:r w:rsidR="0063066C" w:rsidRPr="00C77D3D">
        <w:rPr>
          <w:rFonts w:ascii="Times New Roman" w:hAnsi="Times New Roman" w:cs="Times New Roman"/>
          <w:sz w:val="24"/>
        </w:rPr>
        <w:t xml:space="preserve"> </w:t>
      </w:r>
      <w:r w:rsidRPr="00C77D3D">
        <w:rPr>
          <w:rFonts w:ascii="Times New Roman" w:hAnsi="Times New Roman" w:cs="Times New Roman"/>
          <w:sz w:val="24"/>
        </w:rPr>
        <w:t>Assessment of Multi-collinearity among Independent Variables</w:t>
      </w:r>
      <w:r w:rsidR="00C90BE2" w:rsidRPr="00C77D3D">
        <w:rPr>
          <w:rFonts w:ascii="Times New Roman" w:hAnsi="Times New Roman" w:cs="Times New Roman"/>
          <w:sz w:val="24"/>
        </w:rPr>
        <w:t xml:space="preserve">                            (n=120)</w:t>
      </w:r>
    </w:p>
    <w:tbl>
      <w:tblPr>
        <w:tblStyle w:val="TableGrid"/>
        <w:tblpPr w:leftFromText="180" w:rightFromText="180" w:vertAnchor="text" w:horzAnchor="margin" w:tblpXSpec="center" w:tblpY="81"/>
        <w:tblW w:w="4571" w:type="pct"/>
        <w:tblLook w:val="04A0" w:firstRow="1" w:lastRow="0" w:firstColumn="1" w:lastColumn="0" w:noHBand="0" w:noVBand="1"/>
      </w:tblPr>
      <w:tblGrid>
        <w:gridCol w:w="924"/>
        <w:gridCol w:w="4288"/>
        <w:gridCol w:w="3542"/>
      </w:tblGrid>
      <w:tr w:rsidR="00CA18EA" w:rsidRPr="00A908F4" w14:paraId="65E0E5FD" w14:textId="77777777" w:rsidTr="00345D6A">
        <w:tc>
          <w:tcPr>
            <w:tcW w:w="528" w:type="pct"/>
          </w:tcPr>
          <w:p w14:paraId="21DBAB97"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S.No</w:t>
            </w:r>
          </w:p>
        </w:tc>
        <w:tc>
          <w:tcPr>
            <w:tcW w:w="2449" w:type="pct"/>
            <w:vAlign w:val="center"/>
          </w:tcPr>
          <w:p w14:paraId="0352913B" w14:textId="77777777" w:rsidR="00CA18EA" w:rsidRPr="00A908F4" w:rsidRDefault="00CA18EA" w:rsidP="0065442B">
            <w:pPr>
              <w:jc w:val="both"/>
              <w:rPr>
                <w:rFonts w:ascii="Times New Roman" w:hAnsi="Times New Roman" w:cs="Times New Roman"/>
                <w:bCs/>
                <w:sz w:val="24"/>
                <w:szCs w:val="24"/>
              </w:rPr>
            </w:pPr>
            <w:r w:rsidRPr="00A908F4">
              <w:rPr>
                <w:rFonts w:ascii="Times New Roman" w:hAnsi="Times New Roman" w:cs="Times New Roman"/>
                <w:bCs/>
                <w:sz w:val="24"/>
                <w:szCs w:val="24"/>
              </w:rPr>
              <w:t>Variable</w:t>
            </w:r>
          </w:p>
        </w:tc>
        <w:tc>
          <w:tcPr>
            <w:tcW w:w="2024" w:type="pct"/>
            <w:vAlign w:val="center"/>
          </w:tcPr>
          <w:p w14:paraId="119A41F4" w14:textId="77777777" w:rsidR="00CA18EA" w:rsidRPr="00A908F4" w:rsidRDefault="00CA18EA" w:rsidP="0065442B">
            <w:pPr>
              <w:jc w:val="both"/>
              <w:rPr>
                <w:rFonts w:ascii="Times New Roman" w:hAnsi="Times New Roman" w:cs="Times New Roman"/>
                <w:bCs/>
                <w:sz w:val="24"/>
                <w:szCs w:val="24"/>
              </w:rPr>
            </w:pPr>
            <w:r w:rsidRPr="00A908F4">
              <w:rPr>
                <w:rFonts w:ascii="Times New Roman" w:hAnsi="Times New Roman" w:cs="Times New Roman"/>
                <w:bCs/>
                <w:sz w:val="24"/>
                <w:szCs w:val="24"/>
              </w:rPr>
              <w:t>VIF  values</w:t>
            </w:r>
          </w:p>
        </w:tc>
      </w:tr>
      <w:tr w:rsidR="00CA18EA" w:rsidRPr="00A908F4" w14:paraId="6D9CE74B" w14:textId="77777777" w:rsidTr="00345D6A">
        <w:tc>
          <w:tcPr>
            <w:tcW w:w="528" w:type="pct"/>
          </w:tcPr>
          <w:p w14:paraId="7FE3FC2A"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684DCE9E"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Age</w:t>
            </w:r>
          </w:p>
        </w:tc>
        <w:tc>
          <w:tcPr>
            <w:tcW w:w="2024" w:type="pct"/>
            <w:vAlign w:val="center"/>
          </w:tcPr>
          <w:p w14:paraId="0BFC6AE1"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1.15</w:t>
            </w:r>
          </w:p>
        </w:tc>
      </w:tr>
      <w:tr w:rsidR="00CA18EA" w:rsidRPr="00A908F4" w14:paraId="0DE70D58" w14:textId="77777777" w:rsidTr="00345D6A">
        <w:tc>
          <w:tcPr>
            <w:tcW w:w="528" w:type="pct"/>
          </w:tcPr>
          <w:p w14:paraId="376212DF"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487ABAC5"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Education</w:t>
            </w:r>
          </w:p>
        </w:tc>
        <w:tc>
          <w:tcPr>
            <w:tcW w:w="2024" w:type="pct"/>
            <w:vAlign w:val="center"/>
          </w:tcPr>
          <w:p w14:paraId="275BF587"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1.40</w:t>
            </w:r>
          </w:p>
        </w:tc>
      </w:tr>
      <w:tr w:rsidR="00CA18EA" w:rsidRPr="00A908F4" w14:paraId="5D6E1216" w14:textId="77777777" w:rsidTr="00345D6A">
        <w:tc>
          <w:tcPr>
            <w:tcW w:w="528" w:type="pct"/>
          </w:tcPr>
          <w:p w14:paraId="73F79F84"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7DAF6DC8"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Size of landholding</w:t>
            </w:r>
          </w:p>
        </w:tc>
        <w:tc>
          <w:tcPr>
            <w:tcW w:w="2024" w:type="pct"/>
            <w:vAlign w:val="center"/>
          </w:tcPr>
          <w:p w14:paraId="4E1381F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1.55</w:t>
            </w:r>
          </w:p>
        </w:tc>
      </w:tr>
      <w:tr w:rsidR="00CA18EA" w:rsidRPr="00A908F4" w14:paraId="1610FCE2" w14:textId="77777777" w:rsidTr="00345D6A">
        <w:tc>
          <w:tcPr>
            <w:tcW w:w="528" w:type="pct"/>
          </w:tcPr>
          <w:p w14:paraId="62B8ADA8"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61EAF3CD"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Annual income</w:t>
            </w:r>
          </w:p>
        </w:tc>
        <w:tc>
          <w:tcPr>
            <w:tcW w:w="2024" w:type="pct"/>
            <w:vAlign w:val="center"/>
          </w:tcPr>
          <w:p w14:paraId="0D97DD4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1.60</w:t>
            </w:r>
          </w:p>
        </w:tc>
      </w:tr>
      <w:tr w:rsidR="00CA18EA" w:rsidRPr="00A908F4" w14:paraId="7812BE1B" w14:textId="77777777" w:rsidTr="00345D6A">
        <w:tc>
          <w:tcPr>
            <w:tcW w:w="528" w:type="pct"/>
          </w:tcPr>
          <w:p w14:paraId="24C228E5"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47A794E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Farming experience</w:t>
            </w:r>
          </w:p>
        </w:tc>
        <w:tc>
          <w:tcPr>
            <w:tcW w:w="2024" w:type="pct"/>
            <w:vAlign w:val="center"/>
          </w:tcPr>
          <w:p w14:paraId="03087F92"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1.45</w:t>
            </w:r>
          </w:p>
        </w:tc>
      </w:tr>
      <w:tr w:rsidR="00CA18EA" w:rsidRPr="00A908F4" w14:paraId="35F3C343" w14:textId="77777777" w:rsidTr="00345D6A">
        <w:tc>
          <w:tcPr>
            <w:tcW w:w="528" w:type="pct"/>
          </w:tcPr>
          <w:p w14:paraId="02140940"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55B394F8"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Trainings undergone</w:t>
            </w:r>
          </w:p>
        </w:tc>
        <w:tc>
          <w:tcPr>
            <w:tcW w:w="2024" w:type="pct"/>
            <w:vAlign w:val="center"/>
          </w:tcPr>
          <w:p w14:paraId="6566DB31"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1.70</w:t>
            </w:r>
          </w:p>
        </w:tc>
      </w:tr>
      <w:tr w:rsidR="00CA18EA" w:rsidRPr="00A908F4" w14:paraId="6D540280" w14:textId="77777777" w:rsidTr="00345D6A">
        <w:tc>
          <w:tcPr>
            <w:tcW w:w="528" w:type="pct"/>
          </w:tcPr>
          <w:p w14:paraId="6396C0B9"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296C5BD0"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Irrigation potential</w:t>
            </w:r>
          </w:p>
        </w:tc>
        <w:tc>
          <w:tcPr>
            <w:tcW w:w="2024" w:type="pct"/>
            <w:vAlign w:val="center"/>
          </w:tcPr>
          <w:p w14:paraId="3D0B15E7"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1.35</w:t>
            </w:r>
          </w:p>
        </w:tc>
      </w:tr>
      <w:tr w:rsidR="00CA18EA" w:rsidRPr="00A908F4" w14:paraId="1EDF2062" w14:textId="77777777" w:rsidTr="00345D6A">
        <w:tc>
          <w:tcPr>
            <w:tcW w:w="528" w:type="pct"/>
          </w:tcPr>
          <w:p w14:paraId="4AF0E28F"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16305DBF"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Social participation</w:t>
            </w:r>
          </w:p>
        </w:tc>
        <w:tc>
          <w:tcPr>
            <w:tcW w:w="2024" w:type="pct"/>
            <w:vAlign w:val="center"/>
          </w:tcPr>
          <w:p w14:paraId="58891B0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1.50</w:t>
            </w:r>
          </w:p>
        </w:tc>
      </w:tr>
      <w:tr w:rsidR="00CA18EA" w:rsidRPr="00A908F4" w14:paraId="75950C80" w14:textId="77777777" w:rsidTr="00345D6A">
        <w:tc>
          <w:tcPr>
            <w:tcW w:w="528" w:type="pct"/>
          </w:tcPr>
          <w:p w14:paraId="70EA0998"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5D7EFCAF"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Input acquisition pattern</w:t>
            </w:r>
          </w:p>
        </w:tc>
        <w:tc>
          <w:tcPr>
            <w:tcW w:w="2024" w:type="pct"/>
            <w:vAlign w:val="center"/>
          </w:tcPr>
          <w:p w14:paraId="6BB0B823"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1.75</w:t>
            </w:r>
          </w:p>
        </w:tc>
      </w:tr>
      <w:tr w:rsidR="00CA18EA" w:rsidRPr="00A908F4" w14:paraId="4B18EB06" w14:textId="77777777" w:rsidTr="00345D6A">
        <w:tc>
          <w:tcPr>
            <w:tcW w:w="528" w:type="pct"/>
          </w:tcPr>
          <w:p w14:paraId="720D7904"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09E88BA9"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Information seeking behaviour</w:t>
            </w:r>
          </w:p>
        </w:tc>
        <w:tc>
          <w:tcPr>
            <w:tcW w:w="2024" w:type="pct"/>
            <w:vAlign w:val="center"/>
          </w:tcPr>
          <w:p w14:paraId="394299F4"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1.65</w:t>
            </w:r>
          </w:p>
        </w:tc>
      </w:tr>
      <w:tr w:rsidR="00CA18EA" w:rsidRPr="00A908F4" w14:paraId="21E1B362" w14:textId="77777777" w:rsidTr="00345D6A">
        <w:tc>
          <w:tcPr>
            <w:tcW w:w="528" w:type="pct"/>
          </w:tcPr>
          <w:p w14:paraId="15FD26AA"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2BC1074C"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Achievement motivation</w:t>
            </w:r>
          </w:p>
        </w:tc>
        <w:tc>
          <w:tcPr>
            <w:tcW w:w="2024" w:type="pct"/>
            <w:vAlign w:val="center"/>
          </w:tcPr>
          <w:p w14:paraId="2741C9A6"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1.55</w:t>
            </w:r>
          </w:p>
        </w:tc>
      </w:tr>
      <w:tr w:rsidR="00CA18EA" w:rsidRPr="00A908F4" w14:paraId="7C0529F8" w14:textId="77777777" w:rsidTr="00345D6A">
        <w:tc>
          <w:tcPr>
            <w:tcW w:w="528" w:type="pct"/>
          </w:tcPr>
          <w:p w14:paraId="6AAB746A"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4E9E0117"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Risk taking ability</w:t>
            </w:r>
          </w:p>
        </w:tc>
        <w:tc>
          <w:tcPr>
            <w:tcW w:w="2024" w:type="pct"/>
            <w:vAlign w:val="center"/>
          </w:tcPr>
          <w:p w14:paraId="1E9CAF7E"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1.60</w:t>
            </w:r>
          </w:p>
        </w:tc>
      </w:tr>
      <w:tr w:rsidR="00CA18EA" w:rsidRPr="00A908F4" w14:paraId="22788E33" w14:textId="77777777" w:rsidTr="00345D6A">
        <w:tc>
          <w:tcPr>
            <w:tcW w:w="528" w:type="pct"/>
          </w:tcPr>
          <w:p w14:paraId="6D280DF2"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34ABEAAF"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 xml:space="preserve"> Knowledge</w:t>
            </w:r>
          </w:p>
        </w:tc>
        <w:tc>
          <w:tcPr>
            <w:tcW w:w="2024" w:type="pct"/>
            <w:vAlign w:val="center"/>
          </w:tcPr>
          <w:p w14:paraId="42571976"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1.70</w:t>
            </w:r>
          </w:p>
        </w:tc>
      </w:tr>
      <w:tr w:rsidR="00CA18EA" w:rsidRPr="00A908F4" w14:paraId="7952BD28" w14:textId="77777777" w:rsidTr="00345D6A">
        <w:tc>
          <w:tcPr>
            <w:tcW w:w="528" w:type="pct"/>
          </w:tcPr>
          <w:p w14:paraId="05F3F533" w14:textId="77777777" w:rsidR="00CA18EA" w:rsidRPr="00A908F4" w:rsidRDefault="00CA18EA" w:rsidP="0065442B">
            <w:pPr>
              <w:pStyle w:val="ListParagraph"/>
              <w:numPr>
                <w:ilvl w:val="0"/>
                <w:numId w:val="2"/>
              </w:numPr>
              <w:jc w:val="both"/>
              <w:rPr>
                <w:rFonts w:ascii="Times New Roman" w:hAnsi="Times New Roman" w:cs="Times New Roman"/>
                <w:sz w:val="24"/>
                <w:szCs w:val="24"/>
              </w:rPr>
            </w:pPr>
          </w:p>
        </w:tc>
        <w:tc>
          <w:tcPr>
            <w:tcW w:w="2449" w:type="pct"/>
            <w:vAlign w:val="center"/>
          </w:tcPr>
          <w:p w14:paraId="7B12619E" w14:textId="77777777" w:rsidR="00CA18EA" w:rsidRPr="00A908F4" w:rsidRDefault="00CA18EA" w:rsidP="0065442B">
            <w:pPr>
              <w:jc w:val="both"/>
              <w:rPr>
                <w:rFonts w:ascii="Times New Roman" w:hAnsi="Times New Roman" w:cs="Times New Roman"/>
                <w:sz w:val="24"/>
                <w:szCs w:val="24"/>
              </w:rPr>
            </w:pPr>
            <w:r w:rsidRPr="00A908F4">
              <w:rPr>
                <w:rFonts w:ascii="Times New Roman" w:hAnsi="Times New Roman" w:cs="Times New Roman"/>
                <w:sz w:val="24"/>
                <w:szCs w:val="24"/>
              </w:rPr>
              <w:t>Market intelligence</w:t>
            </w:r>
          </w:p>
        </w:tc>
        <w:tc>
          <w:tcPr>
            <w:tcW w:w="2024" w:type="pct"/>
            <w:vAlign w:val="center"/>
          </w:tcPr>
          <w:p w14:paraId="0B37DE2B" w14:textId="77777777" w:rsidR="00CA18EA" w:rsidRPr="00A908F4" w:rsidRDefault="00CA18EA" w:rsidP="0065442B">
            <w:pPr>
              <w:jc w:val="both"/>
              <w:rPr>
                <w:rFonts w:ascii="Times New Roman" w:hAnsi="Times New Roman" w:cs="Times New Roman"/>
                <w:sz w:val="24"/>
                <w:szCs w:val="24"/>
              </w:rPr>
            </w:pPr>
            <w:commentRangeStart w:id="14"/>
            <w:r w:rsidRPr="00A908F4">
              <w:rPr>
                <w:rFonts w:ascii="Times New Roman" w:hAnsi="Times New Roman" w:cs="Times New Roman"/>
                <w:sz w:val="24"/>
                <w:szCs w:val="24"/>
              </w:rPr>
              <w:t>1.80</w:t>
            </w:r>
            <w:commentRangeEnd w:id="14"/>
            <w:r w:rsidR="00345D6A">
              <w:rPr>
                <w:rStyle w:val="CommentReference"/>
              </w:rPr>
              <w:commentReference w:id="14"/>
            </w:r>
          </w:p>
        </w:tc>
      </w:tr>
    </w:tbl>
    <w:p w14:paraId="762FA7CE" w14:textId="77777777" w:rsidR="00C77D3D" w:rsidRDefault="00C77D3D" w:rsidP="00A908F4">
      <w:pPr>
        <w:spacing w:before="100" w:beforeAutospacing="1" w:after="100" w:afterAutospacing="1" w:line="360" w:lineRule="auto"/>
        <w:jc w:val="both"/>
        <w:rPr>
          <w:rFonts w:ascii="Times New Roman" w:hAnsi="Times New Roman" w:cs="Times New Roman"/>
          <w:sz w:val="24"/>
          <w:szCs w:val="24"/>
        </w:rPr>
      </w:pPr>
    </w:p>
    <w:p w14:paraId="1D4588D8" w14:textId="77777777" w:rsidR="00997884" w:rsidRPr="00A908F4" w:rsidRDefault="001A6447" w:rsidP="00A908F4">
      <w:pPr>
        <w:spacing w:before="100" w:beforeAutospacing="1" w:after="100" w:afterAutospacing="1" w:line="360" w:lineRule="auto"/>
        <w:jc w:val="both"/>
        <w:rPr>
          <w:rFonts w:ascii="Times New Roman" w:eastAsia="Times New Roman" w:hAnsi="Times New Roman" w:cs="Times New Roman"/>
          <w:sz w:val="24"/>
          <w:szCs w:val="24"/>
        </w:rPr>
      </w:pPr>
      <w:r w:rsidRPr="00A908F4">
        <w:rPr>
          <w:rFonts w:ascii="Times New Roman" w:eastAsia="Times New Roman" w:hAnsi="Times New Roman" w:cs="Times New Roman"/>
          <w:sz w:val="24"/>
          <w:szCs w:val="24"/>
        </w:rPr>
        <w:lastRenderedPageBreak/>
        <w:t>The results from Table-2</w:t>
      </w:r>
      <w:r w:rsidR="00F74217" w:rsidRPr="00A908F4">
        <w:rPr>
          <w:rFonts w:ascii="Times New Roman" w:eastAsia="Times New Roman" w:hAnsi="Times New Roman" w:cs="Times New Roman"/>
          <w:sz w:val="24"/>
          <w:szCs w:val="24"/>
        </w:rPr>
        <w:t xml:space="preserve"> indicate variability in the adoption of post-harvest management practices among oilseed farmers. Harvesting practices such as harvesting at the proper maturity stage were highly adopted (72.5%), whereas segregation of damaged pods/seeds showed moderate adoption (58.3%), and use of appropriate harvesting tools was relatively low (33.3%). This suggests that while farmers recognize the importance of basic harvesting practices, mechanization and access to tools remain limited, consistent with findings from </w:t>
      </w:r>
      <w:commentRangeStart w:id="15"/>
      <w:proofErr w:type="spellStart"/>
      <w:r w:rsidR="00997884" w:rsidRPr="00A908F4">
        <w:rPr>
          <w:rFonts w:ascii="Times New Roman" w:hAnsi="Times New Roman" w:cs="Times New Roman"/>
          <w:color w:val="222222"/>
          <w:sz w:val="24"/>
          <w:szCs w:val="24"/>
          <w:shd w:val="clear" w:color="auto" w:fill="FFFFFF"/>
        </w:rPr>
        <w:t>Sidhu</w:t>
      </w:r>
      <w:proofErr w:type="spellEnd"/>
      <w:r w:rsidR="00997884" w:rsidRPr="00A908F4">
        <w:rPr>
          <w:rFonts w:ascii="Times New Roman" w:hAnsi="Times New Roman" w:cs="Times New Roman"/>
          <w:color w:val="222222"/>
          <w:sz w:val="24"/>
          <w:szCs w:val="24"/>
          <w:shd w:val="clear" w:color="auto" w:fill="FFFFFF"/>
        </w:rPr>
        <w:t xml:space="preserve"> &amp; </w:t>
      </w:r>
      <w:proofErr w:type="spellStart"/>
      <w:r w:rsidR="00997884" w:rsidRPr="00A908F4">
        <w:rPr>
          <w:rFonts w:ascii="Times New Roman" w:hAnsi="Times New Roman" w:cs="Times New Roman"/>
          <w:color w:val="222222"/>
          <w:sz w:val="24"/>
          <w:szCs w:val="24"/>
          <w:shd w:val="clear" w:color="auto" w:fill="FFFFFF"/>
        </w:rPr>
        <w:t>Mohapatra</w:t>
      </w:r>
      <w:proofErr w:type="spellEnd"/>
      <w:r w:rsidR="00997884" w:rsidRPr="00A908F4">
        <w:rPr>
          <w:rFonts w:ascii="Times New Roman" w:hAnsi="Times New Roman" w:cs="Times New Roman"/>
          <w:color w:val="222222"/>
          <w:sz w:val="24"/>
          <w:szCs w:val="24"/>
          <w:shd w:val="clear" w:color="auto" w:fill="FFFFFF"/>
        </w:rPr>
        <w:t>, (2023)</w:t>
      </w:r>
      <w:r w:rsidR="00FB095F">
        <w:rPr>
          <w:rFonts w:ascii="Times New Roman" w:hAnsi="Times New Roman" w:cs="Times New Roman"/>
          <w:color w:val="222222"/>
          <w:sz w:val="24"/>
          <w:szCs w:val="24"/>
          <w:shd w:val="clear" w:color="auto" w:fill="FFFFFF"/>
        </w:rPr>
        <w:t xml:space="preserve">, </w:t>
      </w:r>
      <w:proofErr w:type="spellStart"/>
      <w:r w:rsidR="00FB095F">
        <w:rPr>
          <w:rFonts w:ascii="Times New Roman" w:hAnsi="Times New Roman" w:cs="Times New Roman"/>
          <w:color w:val="222222"/>
          <w:sz w:val="24"/>
          <w:szCs w:val="24"/>
          <w:shd w:val="clear" w:color="auto" w:fill="FFFFFF"/>
        </w:rPr>
        <w:t>Mandavkar</w:t>
      </w:r>
      <w:proofErr w:type="spellEnd"/>
      <w:r w:rsidR="00FB095F">
        <w:rPr>
          <w:rFonts w:ascii="Times New Roman" w:hAnsi="Times New Roman" w:cs="Times New Roman"/>
          <w:color w:val="222222"/>
          <w:sz w:val="24"/>
          <w:szCs w:val="24"/>
          <w:shd w:val="clear" w:color="auto" w:fill="FFFFFF"/>
        </w:rPr>
        <w:t xml:space="preserve"> et al</w:t>
      </w:r>
      <w:r w:rsidR="00D70DD6" w:rsidRPr="00A908F4">
        <w:rPr>
          <w:rFonts w:ascii="Times New Roman" w:hAnsi="Times New Roman" w:cs="Times New Roman"/>
          <w:color w:val="222222"/>
          <w:sz w:val="24"/>
          <w:szCs w:val="24"/>
          <w:shd w:val="clear" w:color="auto" w:fill="FFFFFF"/>
        </w:rPr>
        <w:t>., (2017)</w:t>
      </w:r>
      <w:r w:rsidR="00997884" w:rsidRPr="00A908F4">
        <w:rPr>
          <w:rFonts w:ascii="Times New Roman" w:hAnsi="Times New Roman" w:cs="Times New Roman"/>
          <w:color w:val="222222"/>
          <w:sz w:val="24"/>
          <w:szCs w:val="24"/>
          <w:shd w:val="clear" w:color="auto" w:fill="FFFFFF"/>
        </w:rPr>
        <w:t xml:space="preserve">. </w:t>
      </w:r>
      <w:commentRangeEnd w:id="15"/>
      <w:r w:rsidR="00345D6A">
        <w:rPr>
          <w:rStyle w:val="CommentReference"/>
        </w:rPr>
        <w:commentReference w:id="15"/>
      </w:r>
    </w:p>
    <w:p w14:paraId="0F9F7574" w14:textId="77777777" w:rsidR="00F74217" w:rsidRPr="00A908F4" w:rsidRDefault="00F74217" w:rsidP="00A908F4">
      <w:pPr>
        <w:spacing w:before="100" w:beforeAutospacing="1" w:after="100" w:afterAutospacing="1" w:line="360" w:lineRule="auto"/>
        <w:jc w:val="both"/>
        <w:rPr>
          <w:rFonts w:ascii="Times New Roman" w:eastAsia="Times New Roman" w:hAnsi="Times New Roman" w:cs="Times New Roman"/>
          <w:sz w:val="24"/>
          <w:szCs w:val="24"/>
        </w:rPr>
      </w:pPr>
      <w:r w:rsidRPr="00A908F4">
        <w:rPr>
          <w:rFonts w:ascii="Times New Roman" w:eastAsia="Times New Roman" w:hAnsi="Times New Roman" w:cs="Times New Roman"/>
          <w:sz w:val="24"/>
          <w:szCs w:val="24"/>
        </w:rPr>
        <w:t>Threshing and drying practices demonstrated moderate to high adoption, with 60–73% of farmers following recommended methods. However, practices like moisture content monitoring prior to storage had lower full adoption (35%), indicating gaps in precision-based post-harvest management (</w:t>
      </w:r>
      <w:r w:rsidR="00997884" w:rsidRPr="00A908F4">
        <w:rPr>
          <w:rFonts w:ascii="Times New Roman" w:hAnsi="Times New Roman" w:cs="Times New Roman"/>
          <w:color w:val="222222"/>
          <w:sz w:val="24"/>
          <w:szCs w:val="24"/>
          <w:shd w:val="clear" w:color="auto" w:fill="FFFFFF"/>
        </w:rPr>
        <w:t>Bhat et</w:t>
      </w:r>
      <w:r w:rsidR="00FB095F">
        <w:rPr>
          <w:rFonts w:ascii="Times New Roman" w:hAnsi="Times New Roman" w:cs="Times New Roman"/>
          <w:color w:val="222222"/>
          <w:sz w:val="24"/>
          <w:szCs w:val="24"/>
          <w:shd w:val="clear" w:color="auto" w:fill="FFFFFF"/>
        </w:rPr>
        <w:t xml:space="preserve"> </w:t>
      </w:r>
      <w:r w:rsidR="00997884" w:rsidRPr="00A908F4">
        <w:rPr>
          <w:rFonts w:ascii="Times New Roman" w:hAnsi="Times New Roman" w:cs="Times New Roman"/>
          <w:color w:val="222222"/>
          <w:sz w:val="24"/>
          <w:szCs w:val="24"/>
          <w:shd w:val="clear" w:color="auto" w:fill="FFFFFF"/>
        </w:rPr>
        <w:t>al., 2017; Usman et al.,2022</w:t>
      </w:r>
      <w:r w:rsidRPr="00A908F4">
        <w:rPr>
          <w:rFonts w:ascii="Times New Roman" w:eastAsia="Times New Roman" w:hAnsi="Times New Roman" w:cs="Times New Roman"/>
          <w:sz w:val="24"/>
          <w:szCs w:val="24"/>
        </w:rPr>
        <w:t>). Storage practices showed partial adherence, with only 31–42</w:t>
      </w:r>
      <w:commentRangeStart w:id="16"/>
      <w:r w:rsidRPr="00A908F4">
        <w:rPr>
          <w:rFonts w:ascii="Times New Roman" w:eastAsia="Times New Roman" w:hAnsi="Times New Roman" w:cs="Times New Roman"/>
          <w:sz w:val="24"/>
          <w:szCs w:val="24"/>
        </w:rPr>
        <w:t>%</w:t>
      </w:r>
      <w:commentRangeEnd w:id="16"/>
      <w:r w:rsidR="00345D6A">
        <w:rPr>
          <w:rStyle w:val="CommentReference"/>
        </w:rPr>
        <w:commentReference w:id="16"/>
      </w:r>
      <w:r w:rsidRPr="00A908F4">
        <w:rPr>
          <w:rFonts w:ascii="Times New Roman" w:eastAsia="Times New Roman" w:hAnsi="Times New Roman" w:cs="Times New Roman"/>
          <w:sz w:val="24"/>
          <w:szCs w:val="24"/>
        </w:rPr>
        <w:t xml:space="preserve"> of farmers fully implementing recommended storage containers, pest control, and stock rotation. Value addition activities, including oil extraction, processing, and packaging, were minimally adopted (26–33%), reflecting the tendency among farmers to sell raw produce rather than invest in processing.</w:t>
      </w:r>
      <w:r w:rsidR="001A6447" w:rsidRPr="00A908F4">
        <w:rPr>
          <w:rFonts w:ascii="Times New Roman" w:eastAsia="Times New Roman" w:hAnsi="Times New Roman" w:cs="Times New Roman"/>
          <w:sz w:val="24"/>
          <w:szCs w:val="24"/>
        </w:rPr>
        <w:t xml:space="preserve"> </w:t>
      </w:r>
      <w:r w:rsidRPr="00A908F4">
        <w:rPr>
          <w:rFonts w:ascii="Times New Roman" w:eastAsia="Times New Roman" w:hAnsi="Times New Roman" w:cs="Times New Roman"/>
          <w:sz w:val="24"/>
          <w:szCs w:val="24"/>
        </w:rPr>
        <w:t>Quality and safety practices, such as use of preservatives and pre-sale quality checks, were also less adopted, with full adoption rates below 42</w:t>
      </w:r>
      <w:commentRangeStart w:id="17"/>
      <w:r w:rsidRPr="00A908F4">
        <w:rPr>
          <w:rFonts w:ascii="Times New Roman" w:eastAsia="Times New Roman" w:hAnsi="Times New Roman" w:cs="Times New Roman"/>
          <w:sz w:val="24"/>
          <w:szCs w:val="24"/>
        </w:rPr>
        <w:t>%</w:t>
      </w:r>
      <w:commentRangeEnd w:id="17"/>
      <w:r w:rsidR="00345D6A">
        <w:rPr>
          <w:rStyle w:val="CommentReference"/>
        </w:rPr>
        <w:commentReference w:id="17"/>
      </w:r>
      <w:r w:rsidRPr="00A908F4">
        <w:rPr>
          <w:rFonts w:ascii="Times New Roman" w:eastAsia="Times New Roman" w:hAnsi="Times New Roman" w:cs="Times New Roman"/>
          <w:sz w:val="24"/>
          <w:szCs w:val="24"/>
        </w:rPr>
        <w:t>, highlighting the need for capacity-building initiatives to improve handling and post-harvest quality (</w:t>
      </w:r>
      <w:r w:rsidR="00997884" w:rsidRPr="00A908F4">
        <w:rPr>
          <w:rFonts w:ascii="Times New Roman" w:hAnsi="Times New Roman" w:cs="Times New Roman"/>
          <w:color w:val="222222"/>
          <w:sz w:val="24"/>
          <w:szCs w:val="24"/>
          <w:shd w:val="clear" w:color="auto" w:fill="FFFFFF"/>
        </w:rPr>
        <w:t>Rees</w:t>
      </w:r>
      <w:r w:rsidRPr="00A908F4">
        <w:rPr>
          <w:rFonts w:ascii="Times New Roman" w:eastAsia="Times New Roman" w:hAnsi="Times New Roman" w:cs="Times New Roman"/>
          <w:sz w:val="24"/>
          <w:szCs w:val="24"/>
        </w:rPr>
        <w:t xml:space="preserve"> et al., 20</w:t>
      </w:r>
      <w:r w:rsidR="00997884" w:rsidRPr="00A908F4">
        <w:rPr>
          <w:rFonts w:ascii="Times New Roman" w:eastAsia="Times New Roman" w:hAnsi="Times New Roman" w:cs="Times New Roman"/>
          <w:sz w:val="24"/>
          <w:szCs w:val="24"/>
        </w:rPr>
        <w:t>1</w:t>
      </w:r>
      <w:r w:rsidRPr="00A908F4">
        <w:rPr>
          <w:rFonts w:ascii="Times New Roman" w:eastAsia="Times New Roman" w:hAnsi="Times New Roman" w:cs="Times New Roman"/>
          <w:sz w:val="24"/>
          <w:szCs w:val="24"/>
        </w:rPr>
        <w:t>2</w:t>
      </w:r>
      <w:r w:rsidR="00997884" w:rsidRPr="00A908F4">
        <w:rPr>
          <w:rFonts w:ascii="Times New Roman" w:eastAsia="Times New Roman" w:hAnsi="Times New Roman" w:cs="Times New Roman"/>
          <w:sz w:val="24"/>
          <w:szCs w:val="24"/>
        </w:rPr>
        <w:t>,</w:t>
      </w:r>
      <w:r w:rsidR="00997884" w:rsidRPr="00A908F4">
        <w:rPr>
          <w:rFonts w:ascii="Times New Roman" w:hAnsi="Times New Roman" w:cs="Times New Roman"/>
          <w:color w:val="222222"/>
          <w:sz w:val="24"/>
          <w:szCs w:val="24"/>
          <w:shd w:val="clear" w:color="auto" w:fill="FFFFFF"/>
        </w:rPr>
        <w:t xml:space="preserve"> Afzal et</w:t>
      </w:r>
      <w:r w:rsidR="00FB095F">
        <w:rPr>
          <w:rFonts w:ascii="Times New Roman" w:hAnsi="Times New Roman" w:cs="Times New Roman"/>
          <w:color w:val="222222"/>
          <w:sz w:val="24"/>
          <w:szCs w:val="24"/>
          <w:shd w:val="clear" w:color="auto" w:fill="FFFFFF"/>
        </w:rPr>
        <w:t xml:space="preserve"> </w:t>
      </w:r>
      <w:r w:rsidR="00997884" w:rsidRPr="00A908F4">
        <w:rPr>
          <w:rFonts w:ascii="Times New Roman" w:hAnsi="Times New Roman" w:cs="Times New Roman"/>
          <w:color w:val="222222"/>
          <w:sz w:val="24"/>
          <w:szCs w:val="24"/>
          <w:shd w:val="clear" w:color="auto" w:fill="FFFFFF"/>
        </w:rPr>
        <w:t>al., 2020</w:t>
      </w:r>
      <w:r w:rsidRPr="00A908F4">
        <w:rPr>
          <w:rFonts w:ascii="Times New Roman" w:eastAsia="Times New Roman" w:hAnsi="Times New Roman" w:cs="Times New Roman"/>
          <w:sz w:val="24"/>
          <w:szCs w:val="24"/>
        </w:rPr>
        <w:t>). Transportation and marketing practices showed moderate adoption, with farmers partially implementing sorting, grading, and careful handling to reduce losses. The adoption of digital and monitoring tools was very low, with 60.9</w:t>
      </w:r>
      <w:commentRangeStart w:id="18"/>
      <w:r w:rsidRPr="00A908F4">
        <w:rPr>
          <w:rFonts w:ascii="Times New Roman" w:eastAsia="Times New Roman" w:hAnsi="Times New Roman" w:cs="Times New Roman"/>
          <w:sz w:val="24"/>
          <w:szCs w:val="24"/>
        </w:rPr>
        <w:t>%</w:t>
      </w:r>
      <w:commentRangeEnd w:id="18"/>
      <w:r w:rsidR="00345D6A">
        <w:rPr>
          <w:rStyle w:val="CommentReference"/>
        </w:rPr>
        <w:commentReference w:id="18"/>
      </w:r>
      <w:r w:rsidRPr="00A908F4">
        <w:rPr>
          <w:rFonts w:ascii="Times New Roman" w:eastAsia="Times New Roman" w:hAnsi="Times New Roman" w:cs="Times New Roman"/>
          <w:sz w:val="24"/>
          <w:szCs w:val="24"/>
        </w:rPr>
        <w:t xml:space="preserve"> of farmers not using any technology, underscoring limited awareness and accessibility of modern monitoring systems in</w:t>
      </w:r>
      <w:r w:rsidR="00997884" w:rsidRPr="00A908F4">
        <w:rPr>
          <w:rFonts w:ascii="Times New Roman" w:eastAsia="Times New Roman" w:hAnsi="Times New Roman" w:cs="Times New Roman"/>
          <w:sz w:val="24"/>
          <w:szCs w:val="24"/>
        </w:rPr>
        <w:t xml:space="preserve"> post-harvest operations</w:t>
      </w:r>
      <w:r w:rsidRPr="00A908F4">
        <w:rPr>
          <w:rFonts w:ascii="Times New Roman" w:eastAsia="Times New Roman" w:hAnsi="Times New Roman" w:cs="Times New Roman"/>
          <w:sz w:val="24"/>
          <w:szCs w:val="24"/>
        </w:rPr>
        <w:t>.</w:t>
      </w:r>
    </w:p>
    <w:p w14:paraId="73699258" w14:textId="77777777" w:rsidR="00F74217" w:rsidRDefault="00F74217" w:rsidP="00A908F4">
      <w:pPr>
        <w:spacing w:before="100" w:beforeAutospacing="1" w:after="100" w:afterAutospacing="1" w:line="360" w:lineRule="auto"/>
        <w:jc w:val="both"/>
        <w:rPr>
          <w:rFonts w:ascii="Times New Roman" w:eastAsia="Times New Roman" w:hAnsi="Times New Roman" w:cs="Times New Roman"/>
          <w:sz w:val="24"/>
          <w:szCs w:val="24"/>
        </w:rPr>
      </w:pPr>
      <w:r w:rsidRPr="00A908F4">
        <w:rPr>
          <w:rFonts w:ascii="Times New Roman" w:eastAsia="Times New Roman" w:hAnsi="Times New Roman" w:cs="Times New Roman"/>
          <w:sz w:val="24"/>
          <w:szCs w:val="24"/>
        </w:rPr>
        <w:t xml:space="preserve">Overall, the data indicate that oilseed farmers </w:t>
      </w:r>
      <w:commentRangeStart w:id="19"/>
      <w:r w:rsidRPr="00A908F4">
        <w:rPr>
          <w:rFonts w:ascii="Times New Roman" w:eastAsia="Times New Roman" w:hAnsi="Times New Roman" w:cs="Times New Roman"/>
          <w:sz w:val="24"/>
          <w:szCs w:val="24"/>
        </w:rPr>
        <w:t xml:space="preserve">tend to adopt </w:t>
      </w:r>
      <w:commentRangeEnd w:id="19"/>
      <w:r w:rsidR="00345D6A">
        <w:rPr>
          <w:rStyle w:val="CommentReference"/>
        </w:rPr>
        <w:commentReference w:id="19"/>
      </w:r>
      <w:r w:rsidRPr="00A908F4">
        <w:rPr>
          <w:rFonts w:ascii="Times New Roman" w:eastAsia="Times New Roman" w:hAnsi="Times New Roman" w:cs="Times New Roman"/>
          <w:sz w:val="24"/>
          <w:szCs w:val="24"/>
        </w:rPr>
        <w:t xml:space="preserve">basic post-harvest practices effectively, but advanced practices related to value addition, quality management, and digital monitoring remain underutilized. These findings highlight opportunities for targeted interventions, such as training programs, improved infrastructure, access to affordable tools, and promotion of digital platforms, which could enhance post-harvest efficiency and increase farmers’ income from oilseed production (World Bank, 2019; </w:t>
      </w:r>
      <w:proofErr w:type="spellStart"/>
      <w:r w:rsidR="001A6447" w:rsidRPr="00A908F4">
        <w:rPr>
          <w:rFonts w:ascii="Times New Roman" w:hAnsi="Times New Roman" w:cs="Times New Roman"/>
          <w:color w:val="222222"/>
          <w:sz w:val="24"/>
          <w:szCs w:val="24"/>
          <w:shd w:val="clear" w:color="auto" w:fill="FFFFFF"/>
        </w:rPr>
        <w:t>Bartosi</w:t>
      </w:r>
      <w:proofErr w:type="spellEnd"/>
      <w:r w:rsidR="001A6447" w:rsidRPr="00A908F4">
        <w:rPr>
          <w:rFonts w:ascii="Times New Roman" w:hAnsi="Times New Roman" w:cs="Times New Roman"/>
          <w:color w:val="222222"/>
          <w:sz w:val="24"/>
          <w:szCs w:val="24"/>
          <w:shd w:val="clear" w:color="auto" w:fill="FFFFFF"/>
        </w:rPr>
        <w:t xml:space="preserve">, </w:t>
      </w:r>
      <w:r w:rsidR="001A6447" w:rsidRPr="00A908F4">
        <w:rPr>
          <w:rFonts w:ascii="Times New Roman" w:eastAsia="Times New Roman" w:hAnsi="Times New Roman" w:cs="Times New Roman"/>
          <w:sz w:val="24"/>
          <w:szCs w:val="24"/>
        </w:rPr>
        <w:t xml:space="preserve"> 20</w:t>
      </w:r>
      <w:r w:rsidRPr="00A908F4">
        <w:rPr>
          <w:rFonts w:ascii="Times New Roman" w:eastAsia="Times New Roman" w:hAnsi="Times New Roman" w:cs="Times New Roman"/>
          <w:sz w:val="24"/>
          <w:szCs w:val="24"/>
        </w:rPr>
        <w:t>1</w:t>
      </w:r>
      <w:r w:rsidR="001A6447" w:rsidRPr="00A908F4">
        <w:rPr>
          <w:rFonts w:ascii="Times New Roman" w:eastAsia="Times New Roman" w:hAnsi="Times New Roman" w:cs="Times New Roman"/>
          <w:sz w:val="24"/>
          <w:szCs w:val="24"/>
        </w:rPr>
        <w:t>0</w:t>
      </w:r>
      <w:r w:rsidRPr="00A908F4">
        <w:rPr>
          <w:rFonts w:ascii="Times New Roman" w:eastAsia="Times New Roman" w:hAnsi="Times New Roman" w:cs="Times New Roman"/>
          <w:sz w:val="24"/>
          <w:szCs w:val="24"/>
        </w:rPr>
        <w:t>).</w:t>
      </w:r>
    </w:p>
    <w:p w14:paraId="5022E13C" w14:textId="5EC8BBEF" w:rsidR="0065442B" w:rsidRPr="00AC1CCF" w:rsidRDefault="0065442B" w:rsidP="00AC1CCF">
      <w:pPr>
        <w:jc w:val="both"/>
        <w:rPr>
          <w:rFonts w:ascii="Times New Roman" w:eastAsiaTheme="minorHAnsi" w:hAnsi="Times New Roman" w:cs="Times New Roman"/>
          <w:b/>
          <w:sz w:val="24"/>
          <w:szCs w:val="24"/>
        </w:rPr>
      </w:pPr>
      <w:r w:rsidRPr="0065442B">
        <w:rPr>
          <w:rFonts w:ascii="Times New Roman" w:hAnsi="Times New Roman" w:cs="Times New Roman"/>
          <w:b/>
          <w:sz w:val="24"/>
          <w:szCs w:val="24"/>
        </w:rPr>
        <w:lastRenderedPageBreak/>
        <w:t>Table 2: Extent of Adoption of Post-Harvest Management Practices among Oilseed Farmers</w:t>
      </w:r>
      <w:r>
        <w:rPr>
          <w:rFonts w:ascii="Times New Roman" w:hAnsi="Times New Roman" w:cs="Times New Roman"/>
          <w:b/>
          <w:sz w:val="24"/>
          <w:szCs w:val="24"/>
        </w:rPr>
        <w:t xml:space="preserve">    (n=120)</w:t>
      </w:r>
    </w:p>
    <w:tbl>
      <w:tblPr>
        <w:tblStyle w:val="TableGrid"/>
        <w:tblpPr w:leftFromText="180" w:rightFromText="180" w:vertAnchor="page" w:horzAnchor="margin" w:tblpY="48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638"/>
        <w:gridCol w:w="1155"/>
        <w:gridCol w:w="1046"/>
        <w:gridCol w:w="1000"/>
      </w:tblGrid>
      <w:tr w:rsidR="0065442B" w:rsidRPr="0065442B" w14:paraId="27DB6379" w14:textId="77777777" w:rsidTr="0065442B">
        <w:tc>
          <w:tcPr>
            <w:tcW w:w="385" w:type="pct"/>
          </w:tcPr>
          <w:p w14:paraId="6527A0FF" w14:textId="77777777" w:rsidR="0065442B" w:rsidRPr="0065442B" w:rsidRDefault="0065442B" w:rsidP="0065442B">
            <w:pPr>
              <w:pStyle w:val="NoSpacing"/>
              <w:spacing w:line="276" w:lineRule="auto"/>
              <w:rPr>
                <w:rFonts w:ascii="Times New Roman" w:hAnsi="Times New Roman" w:cs="Times New Roman"/>
                <w:b/>
                <w:sz w:val="24"/>
                <w:szCs w:val="24"/>
              </w:rPr>
            </w:pPr>
            <w:proofErr w:type="spellStart"/>
            <w:r w:rsidRPr="0065442B">
              <w:rPr>
                <w:rFonts w:ascii="Times New Roman" w:hAnsi="Times New Roman" w:cs="Times New Roman"/>
                <w:b/>
                <w:sz w:val="24"/>
                <w:szCs w:val="24"/>
              </w:rPr>
              <w:t>S.No</w:t>
            </w:r>
            <w:proofErr w:type="spellEnd"/>
          </w:p>
        </w:tc>
        <w:tc>
          <w:tcPr>
            <w:tcW w:w="2944" w:type="pct"/>
          </w:tcPr>
          <w:p w14:paraId="3C584D8C" w14:textId="77777777" w:rsidR="0065442B" w:rsidRPr="0065442B" w:rsidRDefault="0065442B" w:rsidP="0065442B">
            <w:pPr>
              <w:pStyle w:val="NoSpacing"/>
              <w:spacing w:line="276" w:lineRule="auto"/>
              <w:rPr>
                <w:rFonts w:ascii="Times New Roman" w:hAnsi="Times New Roman" w:cs="Times New Roman"/>
                <w:b/>
                <w:sz w:val="24"/>
                <w:szCs w:val="24"/>
              </w:rPr>
            </w:pPr>
            <w:r w:rsidRPr="0065442B">
              <w:rPr>
                <w:rFonts w:ascii="Times New Roman" w:hAnsi="Times New Roman" w:cs="Times New Roman"/>
                <w:b/>
                <w:sz w:val="24"/>
                <w:szCs w:val="24"/>
              </w:rPr>
              <w:t xml:space="preserve">                                                   Statements</w:t>
            </w:r>
          </w:p>
        </w:tc>
        <w:tc>
          <w:tcPr>
            <w:tcW w:w="603" w:type="pct"/>
            <w:vAlign w:val="center"/>
          </w:tcPr>
          <w:p w14:paraId="22A3D7D1" w14:textId="77777777" w:rsidR="0065442B" w:rsidRPr="0065442B" w:rsidRDefault="0065442B" w:rsidP="0065442B">
            <w:pPr>
              <w:pStyle w:val="NoSpacing"/>
              <w:spacing w:line="276" w:lineRule="auto"/>
              <w:jc w:val="center"/>
              <w:rPr>
                <w:rFonts w:ascii="Times New Roman" w:hAnsi="Times New Roman" w:cs="Times New Roman"/>
                <w:b/>
                <w:sz w:val="24"/>
                <w:szCs w:val="24"/>
              </w:rPr>
            </w:pPr>
            <w:r w:rsidRPr="0065442B">
              <w:rPr>
                <w:rFonts w:ascii="Times New Roman" w:hAnsi="Times New Roman" w:cs="Times New Roman"/>
                <w:b/>
                <w:sz w:val="24"/>
                <w:szCs w:val="24"/>
              </w:rPr>
              <w:t>NA</w:t>
            </w:r>
          </w:p>
        </w:tc>
        <w:tc>
          <w:tcPr>
            <w:tcW w:w="546" w:type="pct"/>
            <w:vAlign w:val="center"/>
          </w:tcPr>
          <w:p w14:paraId="029B2C3F" w14:textId="77777777" w:rsidR="0065442B" w:rsidRPr="0065442B" w:rsidRDefault="0065442B" w:rsidP="0065442B">
            <w:pPr>
              <w:pStyle w:val="NoSpacing"/>
              <w:spacing w:line="276" w:lineRule="auto"/>
              <w:jc w:val="center"/>
              <w:rPr>
                <w:rFonts w:ascii="Times New Roman" w:hAnsi="Times New Roman" w:cs="Times New Roman"/>
                <w:b/>
                <w:sz w:val="24"/>
                <w:szCs w:val="24"/>
              </w:rPr>
            </w:pPr>
            <w:r w:rsidRPr="0065442B">
              <w:rPr>
                <w:rFonts w:ascii="Times New Roman" w:hAnsi="Times New Roman" w:cs="Times New Roman"/>
                <w:b/>
                <w:sz w:val="24"/>
                <w:szCs w:val="24"/>
              </w:rPr>
              <w:t>PA</w:t>
            </w:r>
          </w:p>
        </w:tc>
        <w:tc>
          <w:tcPr>
            <w:tcW w:w="522" w:type="pct"/>
            <w:vAlign w:val="center"/>
          </w:tcPr>
          <w:p w14:paraId="15FD0CA9" w14:textId="77777777" w:rsidR="0065442B" w:rsidRPr="0065442B" w:rsidRDefault="0065442B" w:rsidP="0065442B">
            <w:pPr>
              <w:pStyle w:val="NoSpacing"/>
              <w:spacing w:line="276" w:lineRule="auto"/>
              <w:jc w:val="center"/>
              <w:rPr>
                <w:rFonts w:ascii="Times New Roman" w:hAnsi="Times New Roman" w:cs="Times New Roman"/>
                <w:b/>
                <w:sz w:val="24"/>
                <w:szCs w:val="24"/>
              </w:rPr>
            </w:pPr>
            <w:r w:rsidRPr="0065442B">
              <w:rPr>
                <w:rFonts w:ascii="Times New Roman" w:hAnsi="Times New Roman" w:cs="Times New Roman"/>
                <w:b/>
                <w:sz w:val="24"/>
                <w:szCs w:val="24"/>
              </w:rPr>
              <w:t>A</w:t>
            </w:r>
          </w:p>
        </w:tc>
      </w:tr>
      <w:tr w:rsidR="0065442B" w:rsidRPr="0065442B" w14:paraId="2E1A9863" w14:textId="77777777" w:rsidTr="0065442B">
        <w:tc>
          <w:tcPr>
            <w:tcW w:w="5000" w:type="pct"/>
            <w:gridSpan w:val="5"/>
          </w:tcPr>
          <w:p w14:paraId="2683ECA7"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Harvesting Practices</w:t>
            </w:r>
          </w:p>
        </w:tc>
      </w:tr>
      <w:tr w:rsidR="0065442B" w:rsidRPr="0065442B" w14:paraId="41AAA872" w14:textId="77777777" w:rsidTr="0065442B">
        <w:tc>
          <w:tcPr>
            <w:tcW w:w="385" w:type="pct"/>
          </w:tcPr>
          <w:p w14:paraId="4D54E003" w14:textId="77777777" w:rsidR="0065442B" w:rsidRPr="0065442B" w:rsidRDefault="0065442B" w:rsidP="0065442B">
            <w:pPr>
              <w:pStyle w:val="NoSpacing"/>
              <w:numPr>
                <w:ilvl w:val="1"/>
                <w:numId w:val="16"/>
              </w:numPr>
              <w:spacing w:line="276" w:lineRule="auto"/>
              <w:rPr>
                <w:rFonts w:ascii="Times New Roman" w:hAnsi="Times New Roman" w:cs="Times New Roman"/>
                <w:sz w:val="24"/>
                <w:szCs w:val="24"/>
              </w:rPr>
            </w:pPr>
          </w:p>
        </w:tc>
        <w:tc>
          <w:tcPr>
            <w:tcW w:w="2944" w:type="pct"/>
          </w:tcPr>
          <w:p w14:paraId="4C22A8F5"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Harvesting oilseed crops at the proper maturity stage.</w:t>
            </w:r>
          </w:p>
        </w:tc>
        <w:tc>
          <w:tcPr>
            <w:tcW w:w="603" w:type="pct"/>
            <w:vAlign w:val="center"/>
          </w:tcPr>
          <w:p w14:paraId="68B89EFC"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 (6.7%)</w:t>
            </w:r>
          </w:p>
        </w:tc>
        <w:tc>
          <w:tcPr>
            <w:tcW w:w="546" w:type="pct"/>
            <w:vAlign w:val="center"/>
          </w:tcPr>
          <w:p w14:paraId="0DB81D8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25 (20.8%)</w:t>
            </w:r>
          </w:p>
        </w:tc>
        <w:tc>
          <w:tcPr>
            <w:tcW w:w="522" w:type="pct"/>
            <w:vAlign w:val="center"/>
          </w:tcPr>
          <w:p w14:paraId="6B51F180"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87 (72.5%)</w:t>
            </w:r>
          </w:p>
        </w:tc>
      </w:tr>
      <w:tr w:rsidR="0065442B" w:rsidRPr="0065442B" w14:paraId="437D3B04" w14:textId="77777777" w:rsidTr="0065442B">
        <w:tc>
          <w:tcPr>
            <w:tcW w:w="385" w:type="pct"/>
          </w:tcPr>
          <w:p w14:paraId="4B0CFB73"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4C17430B"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Separating damaged, diseased, or poor-quality pods/seeds during harvest.</w:t>
            </w:r>
          </w:p>
        </w:tc>
        <w:tc>
          <w:tcPr>
            <w:tcW w:w="603" w:type="pct"/>
            <w:vAlign w:val="center"/>
          </w:tcPr>
          <w:p w14:paraId="3373D5C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18 (15.0%)</w:t>
            </w:r>
          </w:p>
        </w:tc>
        <w:tc>
          <w:tcPr>
            <w:tcW w:w="546" w:type="pct"/>
            <w:vAlign w:val="center"/>
          </w:tcPr>
          <w:p w14:paraId="7DDD6339"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32 (26.7%)</w:t>
            </w:r>
          </w:p>
        </w:tc>
        <w:tc>
          <w:tcPr>
            <w:tcW w:w="522" w:type="pct"/>
            <w:vAlign w:val="center"/>
          </w:tcPr>
          <w:p w14:paraId="31346E6E"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70 (58.3%)</w:t>
            </w:r>
          </w:p>
        </w:tc>
      </w:tr>
      <w:tr w:rsidR="0065442B" w:rsidRPr="0065442B" w14:paraId="1BFEDCD2" w14:textId="77777777" w:rsidTr="0065442B">
        <w:tc>
          <w:tcPr>
            <w:tcW w:w="385" w:type="pct"/>
          </w:tcPr>
          <w:p w14:paraId="364DE61D"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6581C252"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Using appropriate harvesting tools or machines to reduce losses.</w:t>
            </w:r>
          </w:p>
        </w:tc>
        <w:tc>
          <w:tcPr>
            <w:tcW w:w="603" w:type="pct"/>
            <w:vAlign w:val="center"/>
          </w:tcPr>
          <w:p w14:paraId="3E08B12F"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35 (29.2%)</w:t>
            </w:r>
          </w:p>
        </w:tc>
        <w:tc>
          <w:tcPr>
            <w:tcW w:w="546" w:type="pct"/>
            <w:vAlign w:val="center"/>
          </w:tcPr>
          <w:p w14:paraId="6E82396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45 (37.5%)</w:t>
            </w:r>
          </w:p>
        </w:tc>
        <w:tc>
          <w:tcPr>
            <w:tcW w:w="522" w:type="pct"/>
            <w:vAlign w:val="center"/>
          </w:tcPr>
          <w:p w14:paraId="14E122C0"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40 (33.3%)</w:t>
            </w:r>
          </w:p>
        </w:tc>
      </w:tr>
      <w:tr w:rsidR="0065442B" w:rsidRPr="0065442B" w14:paraId="72D9BC8C" w14:textId="77777777" w:rsidTr="0065442B">
        <w:tc>
          <w:tcPr>
            <w:tcW w:w="385" w:type="pct"/>
          </w:tcPr>
          <w:p w14:paraId="1B6A1931"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5055296B"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Threshing Practices</w:t>
            </w:r>
          </w:p>
        </w:tc>
        <w:tc>
          <w:tcPr>
            <w:tcW w:w="603" w:type="pct"/>
          </w:tcPr>
          <w:p w14:paraId="6E22C5AF" w14:textId="77777777" w:rsidR="0065442B" w:rsidRPr="0065442B" w:rsidRDefault="0065442B" w:rsidP="0065442B">
            <w:pPr>
              <w:pStyle w:val="NoSpacing"/>
              <w:spacing w:line="276" w:lineRule="auto"/>
              <w:rPr>
                <w:rFonts w:ascii="Times New Roman" w:hAnsi="Times New Roman" w:cs="Times New Roman"/>
                <w:sz w:val="24"/>
                <w:szCs w:val="24"/>
              </w:rPr>
            </w:pPr>
          </w:p>
        </w:tc>
        <w:tc>
          <w:tcPr>
            <w:tcW w:w="546" w:type="pct"/>
          </w:tcPr>
          <w:p w14:paraId="4706C648" w14:textId="77777777" w:rsidR="0065442B" w:rsidRPr="0065442B" w:rsidRDefault="0065442B" w:rsidP="0065442B">
            <w:pPr>
              <w:pStyle w:val="NoSpacing"/>
              <w:spacing w:line="276" w:lineRule="auto"/>
              <w:rPr>
                <w:rFonts w:ascii="Times New Roman" w:hAnsi="Times New Roman" w:cs="Times New Roman"/>
                <w:sz w:val="24"/>
                <w:szCs w:val="24"/>
              </w:rPr>
            </w:pPr>
          </w:p>
        </w:tc>
        <w:tc>
          <w:tcPr>
            <w:tcW w:w="522" w:type="pct"/>
          </w:tcPr>
          <w:p w14:paraId="69F18DCC" w14:textId="77777777" w:rsidR="0065442B" w:rsidRPr="0065442B" w:rsidRDefault="0065442B" w:rsidP="0065442B">
            <w:pPr>
              <w:pStyle w:val="NoSpacing"/>
              <w:spacing w:line="276" w:lineRule="auto"/>
              <w:rPr>
                <w:rFonts w:ascii="Times New Roman" w:hAnsi="Times New Roman" w:cs="Times New Roman"/>
                <w:sz w:val="24"/>
                <w:szCs w:val="24"/>
              </w:rPr>
            </w:pPr>
          </w:p>
        </w:tc>
      </w:tr>
      <w:tr w:rsidR="0065442B" w:rsidRPr="0065442B" w14:paraId="0881DC27" w14:textId="77777777" w:rsidTr="0065442B">
        <w:tc>
          <w:tcPr>
            <w:tcW w:w="385" w:type="pct"/>
          </w:tcPr>
          <w:p w14:paraId="26234737"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326FC24D"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Using suitable threshing methods (manual, mechanical, or animal-powered).</w:t>
            </w:r>
          </w:p>
        </w:tc>
        <w:tc>
          <w:tcPr>
            <w:tcW w:w="603" w:type="pct"/>
            <w:vAlign w:val="center"/>
          </w:tcPr>
          <w:p w14:paraId="047DDC18"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20 (16.7%)</w:t>
            </w:r>
          </w:p>
        </w:tc>
        <w:tc>
          <w:tcPr>
            <w:tcW w:w="546" w:type="pct"/>
            <w:vAlign w:val="center"/>
          </w:tcPr>
          <w:p w14:paraId="6B712935"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22" w:type="pct"/>
            <w:vAlign w:val="center"/>
          </w:tcPr>
          <w:p w14:paraId="6F46C1B3"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72 (60.0%)</w:t>
            </w:r>
          </w:p>
        </w:tc>
      </w:tr>
      <w:tr w:rsidR="0065442B" w:rsidRPr="0065442B" w14:paraId="5BA027EC" w14:textId="77777777" w:rsidTr="0065442B">
        <w:tc>
          <w:tcPr>
            <w:tcW w:w="385" w:type="pct"/>
          </w:tcPr>
          <w:p w14:paraId="78E77BD6" w14:textId="77777777" w:rsidR="0065442B" w:rsidRPr="0065442B" w:rsidRDefault="0065442B" w:rsidP="0065442B">
            <w:pPr>
              <w:pStyle w:val="NoSpacing"/>
              <w:numPr>
                <w:ilvl w:val="0"/>
                <w:numId w:val="16"/>
              </w:numPr>
              <w:spacing w:line="276" w:lineRule="auto"/>
              <w:rPr>
                <w:rFonts w:ascii="Times New Roman" w:hAnsi="Times New Roman" w:cs="Times New Roman"/>
                <w:sz w:val="24"/>
                <w:szCs w:val="24"/>
              </w:rPr>
            </w:pPr>
          </w:p>
        </w:tc>
        <w:tc>
          <w:tcPr>
            <w:tcW w:w="2944" w:type="pct"/>
          </w:tcPr>
          <w:p w14:paraId="6386BF5F"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Cleaning and winnowing seeds after threshing to remove impurities.</w:t>
            </w:r>
          </w:p>
        </w:tc>
        <w:tc>
          <w:tcPr>
            <w:tcW w:w="603" w:type="pct"/>
            <w:vAlign w:val="center"/>
          </w:tcPr>
          <w:p w14:paraId="4368787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15 (12.5%)</w:t>
            </w:r>
          </w:p>
        </w:tc>
        <w:tc>
          <w:tcPr>
            <w:tcW w:w="546" w:type="pct"/>
            <w:vAlign w:val="center"/>
          </w:tcPr>
          <w:p w14:paraId="19E1C4EC"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30 (25.0%)</w:t>
            </w:r>
          </w:p>
        </w:tc>
        <w:tc>
          <w:tcPr>
            <w:tcW w:w="522" w:type="pct"/>
            <w:vAlign w:val="center"/>
          </w:tcPr>
          <w:p w14:paraId="054C4FDB"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75 (62.5%)</w:t>
            </w:r>
          </w:p>
        </w:tc>
      </w:tr>
      <w:tr w:rsidR="0065442B" w:rsidRPr="0065442B" w14:paraId="6E934272" w14:textId="77777777" w:rsidTr="0065442B">
        <w:tc>
          <w:tcPr>
            <w:tcW w:w="5000" w:type="pct"/>
            <w:gridSpan w:val="5"/>
          </w:tcPr>
          <w:p w14:paraId="2A287EC0"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Drying Practices</w:t>
            </w:r>
          </w:p>
        </w:tc>
      </w:tr>
      <w:tr w:rsidR="0065442B" w:rsidRPr="0065442B" w14:paraId="5FD552CA" w14:textId="77777777" w:rsidTr="0065442B">
        <w:tc>
          <w:tcPr>
            <w:tcW w:w="385" w:type="pct"/>
          </w:tcPr>
          <w:p w14:paraId="2269002F" w14:textId="77777777" w:rsidR="0065442B" w:rsidRPr="0065442B" w:rsidRDefault="0065442B" w:rsidP="0065442B">
            <w:pPr>
              <w:pStyle w:val="NoSpacing"/>
              <w:numPr>
                <w:ilvl w:val="0"/>
                <w:numId w:val="17"/>
              </w:numPr>
              <w:spacing w:line="276" w:lineRule="auto"/>
              <w:rPr>
                <w:rFonts w:ascii="Times New Roman" w:hAnsi="Times New Roman" w:cs="Times New Roman"/>
                <w:sz w:val="24"/>
                <w:szCs w:val="24"/>
              </w:rPr>
            </w:pPr>
          </w:p>
        </w:tc>
        <w:tc>
          <w:tcPr>
            <w:tcW w:w="2944" w:type="pct"/>
          </w:tcPr>
          <w:p w14:paraId="3138CCCA"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Drying seeds properly using sun, mechanical, or mixed methods.</w:t>
            </w:r>
          </w:p>
        </w:tc>
        <w:tc>
          <w:tcPr>
            <w:tcW w:w="603" w:type="pct"/>
            <w:vAlign w:val="center"/>
          </w:tcPr>
          <w:p w14:paraId="6B152052"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10 (8.3%)</w:t>
            </w:r>
          </w:p>
        </w:tc>
        <w:tc>
          <w:tcPr>
            <w:tcW w:w="546" w:type="pct"/>
            <w:vAlign w:val="center"/>
          </w:tcPr>
          <w:p w14:paraId="2485D9CF"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22 (18.4%)</w:t>
            </w:r>
          </w:p>
        </w:tc>
        <w:tc>
          <w:tcPr>
            <w:tcW w:w="522" w:type="pct"/>
            <w:vAlign w:val="center"/>
          </w:tcPr>
          <w:p w14:paraId="3E01A2F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88 (73.3%)</w:t>
            </w:r>
          </w:p>
        </w:tc>
      </w:tr>
      <w:tr w:rsidR="0065442B" w:rsidRPr="0065442B" w14:paraId="3BB2C593" w14:textId="77777777" w:rsidTr="0065442B">
        <w:tc>
          <w:tcPr>
            <w:tcW w:w="385" w:type="pct"/>
          </w:tcPr>
          <w:p w14:paraId="15D5FBA8" w14:textId="77777777" w:rsidR="0065442B" w:rsidRPr="0065442B" w:rsidRDefault="0065442B" w:rsidP="0065442B">
            <w:pPr>
              <w:pStyle w:val="NoSpacing"/>
              <w:numPr>
                <w:ilvl w:val="0"/>
                <w:numId w:val="17"/>
              </w:numPr>
              <w:spacing w:line="276" w:lineRule="auto"/>
              <w:rPr>
                <w:rFonts w:ascii="Times New Roman" w:hAnsi="Times New Roman" w:cs="Times New Roman"/>
                <w:sz w:val="24"/>
                <w:szCs w:val="24"/>
              </w:rPr>
            </w:pPr>
          </w:p>
        </w:tc>
        <w:tc>
          <w:tcPr>
            <w:tcW w:w="2944" w:type="pct"/>
          </w:tcPr>
          <w:p w14:paraId="4D242190"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Checking and controlling seed moisture before storage.</w:t>
            </w:r>
          </w:p>
        </w:tc>
        <w:tc>
          <w:tcPr>
            <w:tcW w:w="603" w:type="pct"/>
            <w:vAlign w:val="center"/>
          </w:tcPr>
          <w:p w14:paraId="7E2880B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46" w:type="pct"/>
            <w:vAlign w:val="center"/>
          </w:tcPr>
          <w:p w14:paraId="72DF639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c>
          <w:tcPr>
            <w:tcW w:w="522" w:type="pct"/>
            <w:vAlign w:val="center"/>
          </w:tcPr>
          <w:p w14:paraId="7EFC9A2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42 (35.0%)</w:t>
            </w:r>
          </w:p>
        </w:tc>
      </w:tr>
      <w:tr w:rsidR="0065442B" w:rsidRPr="0065442B" w14:paraId="7AE6FB54" w14:textId="77777777" w:rsidTr="0065442B">
        <w:tc>
          <w:tcPr>
            <w:tcW w:w="5000" w:type="pct"/>
            <w:gridSpan w:val="5"/>
          </w:tcPr>
          <w:p w14:paraId="54527889"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Storage Practices</w:t>
            </w:r>
          </w:p>
        </w:tc>
      </w:tr>
      <w:tr w:rsidR="0065442B" w:rsidRPr="0065442B" w14:paraId="6ABA4366" w14:textId="77777777" w:rsidTr="0065442B">
        <w:tc>
          <w:tcPr>
            <w:tcW w:w="385" w:type="pct"/>
          </w:tcPr>
          <w:p w14:paraId="0A44C45F" w14:textId="77777777" w:rsidR="0065442B" w:rsidRPr="0065442B" w:rsidRDefault="0065442B" w:rsidP="0065442B">
            <w:pPr>
              <w:pStyle w:val="NoSpacing"/>
              <w:numPr>
                <w:ilvl w:val="0"/>
                <w:numId w:val="18"/>
              </w:numPr>
              <w:spacing w:line="276" w:lineRule="auto"/>
              <w:rPr>
                <w:rFonts w:ascii="Times New Roman" w:hAnsi="Times New Roman" w:cs="Times New Roman"/>
                <w:sz w:val="24"/>
                <w:szCs w:val="24"/>
              </w:rPr>
            </w:pPr>
          </w:p>
        </w:tc>
        <w:tc>
          <w:tcPr>
            <w:tcW w:w="2944" w:type="pct"/>
          </w:tcPr>
          <w:p w14:paraId="0B2E37EC"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Storing seeds in recommended containers such as hermetic bags, silos, bins, or treated sacks.</w:t>
            </w:r>
          </w:p>
        </w:tc>
        <w:tc>
          <w:tcPr>
            <w:tcW w:w="603" w:type="pct"/>
            <w:vAlign w:val="center"/>
          </w:tcPr>
          <w:p w14:paraId="0724102F"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46" w:type="pct"/>
            <w:vAlign w:val="center"/>
          </w:tcPr>
          <w:p w14:paraId="0D8D9E70"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48 (40.0%)</w:t>
            </w:r>
          </w:p>
        </w:tc>
        <w:tc>
          <w:tcPr>
            <w:tcW w:w="522" w:type="pct"/>
            <w:vAlign w:val="center"/>
          </w:tcPr>
          <w:p w14:paraId="0D03ED7B"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44 (36.7%)</w:t>
            </w:r>
          </w:p>
        </w:tc>
      </w:tr>
      <w:tr w:rsidR="0065442B" w:rsidRPr="0065442B" w14:paraId="0FD88406" w14:textId="77777777" w:rsidTr="0065442B">
        <w:tc>
          <w:tcPr>
            <w:tcW w:w="385" w:type="pct"/>
          </w:tcPr>
          <w:p w14:paraId="06B89758" w14:textId="77777777" w:rsidR="0065442B" w:rsidRPr="0065442B" w:rsidRDefault="0065442B" w:rsidP="0065442B">
            <w:pPr>
              <w:pStyle w:val="NoSpacing"/>
              <w:numPr>
                <w:ilvl w:val="0"/>
                <w:numId w:val="18"/>
              </w:numPr>
              <w:spacing w:line="276" w:lineRule="auto"/>
              <w:rPr>
                <w:rFonts w:ascii="Times New Roman" w:hAnsi="Times New Roman" w:cs="Times New Roman"/>
                <w:sz w:val="24"/>
                <w:szCs w:val="24"/>
              </w:rPr>
            </w:pPr>
          </w:p>
        </w:tc>
        <w:tc>
          <w:tcPr>
            <w:tcW w:w="2944" w:type="pct"/>
          </w:tcPr>
          <w:p w14:paraId="7292C509"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Controlling pests and rodents and monitoring temperature and humidity in storage.</w:t>
            </w:r>
          </w:p>
        </w:tc>
        <w:tc>
          <w:tcPr>
            <w:tcW w:w="603" w:type="pct"/>
            <w:vAlign w:val="center"/>
          </w:tcPr>
          <w:p w14:paraId="039DE1B6"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27 (22.5%)</w:t>
            </w:r>
          </w:p>
        </w:tc>
        <w:tc>
          <w:tcPr>
            <w:tcW w:w="546" w:type="pct"/>
            <w:vAlign w:val="center"/>
          </w:tcPr>
          <w:p w14:paraId="5AE8A4E9"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55 (45.8%)</w:t>
            </w:r>
          </w:p>
        </w:tc>
        <w:tc>
          <w:tcPr>
            <w:tcW w:w="522" w:type="pct"/>
            <w:vAlign w:val="center"/>
          </w:tcPr>
          <w:p w14:paraId="2A0B556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38 (31.7%)</w:t>
            </w:r>
          </w:p>
        </w:tc>
      </w:tr>
      <w:tr w:rsidR="0065442B" w:rsidRPr="0065442B" w14:paraId="16796CBE" w14:textId="77777777" w:rsidTr="0065442B">
        <w:tc>
          <w:tcPr>
            <w:tcW w:w="385" w:type="pct"/>
          </w:tcPr>
          <w:p w14:paraId="004D9CB8" w14:textId="77777777" w:rsidR="0065442B" w:rsidRPr="0065442B" w:rsidRDefault="0065442B" w:rsidP="0065442B">
            <w:pPr>
              <w:pStyle w:val="NoSpacing"/>
              <w:numPr>
                <w:ilvl w:val="0"/>
                <w:numId w:val="18"/>
              </w:numPr>
              <w:spacing w:line="276" w:lineRule="auto"/>
              <w:rPr>
                <w:rFonts w:ascii="Times New Roman" w:hAnsi="Times New Roman" w:cs="Times New Roman"/>
                <w:sz w:val="24"/>
                <w:szCs w:val="24"/>
              </w:rPr>
            </w:pPr>
          </w:p>
        </w:tc>
        <w:tc>
          <w:tcPr>
            <w:tcW w:w="2944" w:type="pct"/>
          </w:tcPr>
          <w:p w14:paraId="3C81FDB6"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Organizing storage and rotating stock to reduce losses.</w:t>
            </w:r>
          </w:p>
        </w:tc>
        <w:tc>
          <w:tcPr>
            <w:tcW w:w="603" w:type="pct"/>
            <w:vAlign w:val="center"/>
          </w:tcPr>
          <w:p w14:paraId="61EEF1CE"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46" w:type="pct"/>
            <w:vAlign w:val="center"/>
          </w:tcPr>
          <w:p w14:paraId="26BF470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42 (35.0%)</w:t>
            </w:r>
          </w:p>
        </w:tc>
        <w:tc>
          <w:tcPr>
            <w:tcW w:w="522" w:type="pct"/>
            <w:vAlign w:val="center"/>
          </w:tcPr>
          <w:p w14:paraId="13148D32"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r>
      <w:tr w:rsidR="0065442B" w:rsidRPr="0065442B" w14:paraId="72F3F093" w14:textId="77777777" w:rsidTr="0065442B">
        <w:tc>
          <w:tcPr>
            <w:tcW w:w="5000" w:type="pct"/>
            <w:gridSpan w:val="5"/>
          </w:tcPr>
          <w:p w14:paraId="4B4D63A1"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Value Addition Practices</w:t>
            </w:r>
          </w:p>
        </w:tc>
      </w:tr>
      <w:tr w:rsidR="0065442B" w:rsidRPr="0065442B" w14:paraId="1B8E57E8" w14:textId="77777777" w:rsidTr="0065442B">
        <w:tc>
          <w:tcPr>
            <w:tcW w:w="385" w:type="pct"/>
          </w:tcPr>
          <w:p w14:paraId="1361367C" w14:textId="77777777" w:rsidR="0065442B" w:rsidRPr="0065442B" w:rsidRDefault="0065442B" w:rsidP="0065442B">
            <w:pPr>
              <w:pStyle w:val="NoSpacing"/>
              <w:numPr>
                <w:ilvl w:val="0"/>
                <w:numId w:val="19"/>
              </w:numPr>
              <w:spacing w:line="276" w:lineRule="auto"/>
              <w:rPr>
                <w:rFonts w:ascii="Times New Roman" w:hAnsi="Times New Roman" w:cs="Times New Roman"/>
                <w:sz w:val="24"/>
                <w:szCs w:val="24"/>
              </w:rPr>
            </w:pPr>
          </w:p>
        </w:tc>
        <w:tc>
          <w:tcPr>
            <w:tcW w:w="2944" w:type="pct"/>
          </w:tcPr>
          <w:p w14:paraId="1373E8EC"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Extracting oil using approved methods (cold press, expeller, or solvent extraction).</w:t>
            </w:r>
          </w:p>
        </w:tc>
        <w:tc>
          <w:tcPr>
            <w:tcW w:w="603" w:type="pct"/>
            <w:vAlign w:val="center"/>
          </w:tcPr>
          <w:p w14:paraId="60BB7036"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c>
          <w:tcPr>
            <w:tcW w:w="546" w:type="pct"/>
            <w:vAlign w:val="center"/>
          </w:tcPr>
          <w:p w14:paraId="11CCB69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30 (25.0%)</w:t>
            </w:r>
          </w:p>
        </w:tc>
        <w:tc>
          <w:tcPr>
            <w:tcW w:w="522" w:type="pct"/>
            <w:vAlign w:val="center"/>
          </w:tcPr>
          <w:p w14:paraId="758572B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40 (33.3%)</w:t>
            </w:r>
          </w:p>
        </w:tc>
      </w:tr>
      <w:tr w:rsidR="0065442B" w:rsidRPr="0065442B" w14:paraId="335F6CE7" w14:textId="77777777" w:rsidTr="0065442B">
        <w:tc>
          <w:tcPr>
            <w:tcW w:w="385" w:type="pct"/>
          </w:tcPr>
          <w:p w14:paraId="3ECF2424" w14:textId="77777777" w:rsidR="0065442B" w:rsidRPr="0065442B" w:rsidRDefault="0065442B" w:rsidP="0065442B">
            <w:pPr>
              <w:pStyle w:val="NoSpacing"/>
              <w:numPr>
                <w:ilvl w:val="0"/>
                <w:numId w:val="19"/>
              </w:numPr>
              <w:spacing w:line="276" w:lineRule="auto"/>
              <w:rPr>
                <w:rFonts w:ascii="Times New Roman" w:hAnsi="Times New Roman" w:cs="Times New Roman"/>
                <w:sz w:val="24"/>
                <w:szCs w:val="24"/>
              </w:rPr>
            </w:pPr>
          </w:p>
        </w:tc>
        <w:tc>
          <w:tcPr>
            <w:tcW w:w="2944" w:type="pct"/>
          </w:tcPr>
          <w:p w14:paraId="2BAA5025"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Processing seeds by dehulling, roasting, or making meal/cake.</w:t>
            </w:r>
          </w:p>
        </w:tc>
        <w:tc>
          <w:tcPr>
            <w:tcW w:w="603" w:type="pct"/>
            <w:vAlign w:val="center"/>
          </w:tcPr>
          <w:p w14:paraId="3FD177D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47 (39.1%)</w:t>
            </w:r>
          </w:p>
        </w:tc>
        <w:tc>
          <w:tcPr>
            <w:tcW w:w="546" w:type="pct"/>
            <w:vAlign w:val="center"/>
          </w:tcPr>
          <w:p w14:paraId="61EED86E"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35 (29.2%)</w:t>
            </w:r>
          </w:p>
        </w:tc>
        <w:tc>
          <w:tcPr>
            <w:tcW w:w="522" w:type="pct"/>
            <w:vAlign w:val="center"/>
          </w:tcPr>
          <w:p w14:paraId="22F1DAB1"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38 (31.7%)</w:t>
            </w:r>
          </w:p>
        </w:tc>
      </w:tr>
      <w:tr w:rsidR="0065442B" w:rsidRPr="0065442B" w14:paraId="00508100" w14:textId="77777777" w:rsidTr="0065442B">
        <w:tc>
          <w:tcPr>
            <w:tcW w:w="385" w:type="pct"/>
          </w:tcPr>
          <w:p w14:paraId="6EE1A106" w14:textId="77777777" w:rsidR="0065442B" w:rsidRPr="0065442B" w:rsidRDefault="0065442B" w:rsidP="0065442B">
            <w:pPr>
              <w:pStyle w:val="NoSpacing"/>
              <w:numPr>
                <w:ilvl w:val="0"/>
                <w:numId w:val="19"/>
              </w:numPr>
              <w:spacing w:line="276" w:lineRule="auto"/>
              <w:rPr>
                <w:rFonts w:ascii="Times New Roman" w:hAnsi="Times New Roman" w:cs="Times New Roman"/>
                <w:sz w:val="24"/>
                <w:szCs w:val="24"/>
              </w:rPr>
            </w:pPr>
          </w:p>
        </w:tc>
        <w:tc>
          <w:tcPr>
            <w:tcW w:w="2944" w:type="pct"/>
          </w:tcPr>
          <w:p w14:paraId="60EB4B7A"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Packaging, labeling, and storing processed products properly for sale.</w:t>
            </w:r>
          </w:p>
        </w:tc>
        <w:tc>
          <w:tcPr>
            <w:tcW w:w="603" w:type="pct"/>
            <w:vAlign w:val="center"/>
          </w:tcPr>
          <w:p w14:paraId="3DBB8187"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48 (40.0%)</w:t>
            </w:r>
          </w:p>
        </w:tc>
        <w:tc>
          <w:tcPr>
            <w:tcW w:w="546" w:type="pct"/>
            <w:vAlign w:val="center"/>
          </w:tcPr>
          <w:p w14:paraId="5D64FBB2"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40 (33.3%)</w:t>
            </w:r>
          </w:p>
        </w:tc>
        <w:tc>
          <w:tcPr>
            <w:tcW w:w="522" w:type="pct"/>
            <w:vAlign w:val="center"/>
          </w:tcPr>
          <w:p w14:paraId="0618CBD6"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32 (26.7%)</w:t>
            </w:r>
          </w:p>
        </w:tc>
      </w:tr>
      <w:tr w:rsidR="0065442B" w:rsidRPr="0065442B" w14:paraId="3E9DEB8C" w14:textId="77777777" w:rsidTr="0065442B">
        <w:tc>
          <w:tcPr>
            <w:tcW w:w="5000" w:type="pct"/>
            <w:gridSpan w:val="5"/>
          </w:tcPr>
          <w:p w14:paraId="2B718F94"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Quality &amp; Safety Practices</w:t>
            </w:r>
          </w:p>
        </w:tc>
      </w:tr>
      <w:tr w:rsidR="0065442B" w:rsidRPr="0065442B" w14:paraId="04CCC061" w14:textId="77777777" w:rsidTr="0065442B">
        <w:tc>
          <w:tcPr>
            <w:tcW w:w="385" w:type="pct"/>
          </w:tcPr>
          <w:p w14:paraId="4B62265C" w14:textId="77777777" w:rsidR="0065442B" w:rsidRPr="0065442B" w:rsidRDefault="0065442B" w:rsidP="0065442B">
            <w:pPr>
              <w:pStyle w:val="NoSpacing"/>
              <w:numPr>
                <w:ilvl w:val="0"/>
                <w:numId w:val="20"/>
              </w:numPr>
              <w:spacing w:line="276" w:lineRule="auto"/>
              <w:rPr>
                <w:rFonts w:ascii="Times New Roman" w:hAnsi="Times New Roman" w:cs="Times New Roman"/>
                <w:sz w:val="24"/>
                <w:szCs w:val="24"/>
              </w:rPr>
            </w:pPr>
          </w:p>
        </w:tc>
        <w:tc>
          <w:tcPr>
            <w:tcW w:w="2944" w:type="pct"/>
          </w:tcPr>
          <w:p w14:paraId="0F6682B9"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Using preservatives or antifungal treatments when needed.</w:t>
            </w:r>
          </w:p>
        </w:tc>
        <w:tc>
          <w:tcPr>
            <w:tcW w:w="603" w:type="pct"/>
            <w:vAlign w:val="center"/>
          </w:tcPr>
          <w:p w14:paraId="6AB1AAE0"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54 (45.0%)</w:t>
            </w:r>
          </w:p>
        </w:tc>
        <w:tc>
          <w:tcPr>
            <w:tcW w:w="546" w:type="pct"/>
            <w:vAlign w:val="center"/>
          </w:tcPr>
          <w:p w14:paraId="3CF55201"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38 (31.7%)</w:t>
            </w:r>
          </w:p>
        </w:tc>
        <w:tc>
          <w:tcPr>
            <w:tcW w:w="522" w:type="pct"/>
            <w:vAlign w:val="center"/>
          </w:tcPr>
          <w:p w14:paraId="2A57C928"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r>
      <w:tr w:rsidR="0065442B" w:rsidRPr="0065442B" w14:paraId="3DAE5AC0" w14:textId="77777777" w:rsidTr="0065442B">
        <w:tc>
          <w:tcPr>
            <w:tcW w:w="385" w:type="pct"/>
          </w:tcPr>
          <w:p w14:paraId="3DFCE93C" w14:textId="77777777" w:rsidR="0065442B" w:rsidRPr="0065442B" w:rsidRDefault="0065442B" w:rsidP="0065442B">
            <w:pPr>
              <w:pStyle w:val="NoSpacing"/>
              <w:numPr>
                <w:ilvl w:val="0"/>
                <w:numId w:val="20"/>
              </w:numPr>
              <w:spacing w:line="276" w:lineRule="auto"/>
              <w:rPr>
                <w:rFonts w:ascii="Times New Roman" w:hAnsi="Times New Roman" w:cs="Times New Roman"/>
                <w:sz w:val="24"/>
                <w:szCs w:val="24"/>
              </w:rPr>
            </w:pPr>
          </w:p>
        </w:tc>
        <w:tc>
          <w:tcPr>
            <w:tcW w:w="2944" w:type="pct"/>
          </w:tcPr>
          <w:p w14:paraId="2A8C6BC7"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Checking seed quality and germination before selling.</w:t>
            </w:r>
          </w:p>
        </w:tc>
        <w:tc>
          <w:tcPr>
            <w:tcW w:w="603" w:type="pct"/>
            <w:vAlign w:val="center"/>
          </w:tcPr>
          <w:p w14:paraId="680F87FC"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37 (30.8%)</w:t>
            </w:r>
          </w:p>
        </w:tc>
        <w:tc>
          <w:tcPr>
            <w:tcW w:w="546" w:type="pct"/>
            <w:vAlign w:val="center"/>
          </w:tcPr>
          <w:p w14:paraId="36E0AE75"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33 (27.5%)</w:t>
            </w:r>
          </w:p>
        </w:tc>
        <w:tc>
          <w:tcPr>
            <w:tcW w:w="522" w:type="pct"/>
            <w:vAlign w:val="center"/>
          </w:tcPr>
          <w:p w14:paraId="64918529"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50 (41.7%)</w:t>
            </w:r>
          </w:p>
        </w:tc>
      </w:tr>
      <w:tr w:rsidR="0065442B" w:rsidRPr="0065442B" w14:paraId="7041C168" w14:textId="77777777" w:rsidTr="0065442B">
        <w:tc>
          <w:tcPr>
            <w:tcW w:w="5000" w:type="pct"/>
            <w:gridSpan w:val="5"/>
          </w:tcPr>
          <w:p w14:paraId="64DC3DF5"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lastRenderedPageBreak/>
              <w:t>Transportation &amp; Marketing Practices</w:t>
            </w:r>
          </w:p>
        </w:tc>
      </w:tr>
      <w:tr w:rsidR="0065442B" w:rsidRPr="0065442B" w14:paraId="4C49352E" w14:textId="77777777" w:rsidTr="0065442B">
        <w:tc>
          <w:tcPr>
            <w:tcW w:w="385" w:type="pct"/>
          </w:tcPr>
          <w:p w14:paraId="25A5B815" w14:textId="77777777" w:rsidR="0065442B" w:rsidRPr="0065442B" w:rsidRDefault="0065442B" w:rsidP="0065442B">
            <w:pPr>
              <w:pStyle w:val="NoSpacing"/>
              <w:numPr>
                <w:ilvl w:val="0"/>
                <w:numId w:val="21"/>
              </w:numPr>
              <w:spacing w:line="276" w:lineRule="auto"/>
              <w:rPr>
                <w:rFonts w:ascii="Times New Roman" w:hAnsi="Times New Roman" w:cs="Times New Roman"/>
                <w:sz w:val="24"/>
                <w:szCs w:val="24"/>
              </w:rPr>
            </w:pPr>
          </w:p>
        </w:tc>
        <w:tc>
          <w:tcPr>
            <w:tcW w:w="2944" w:type="pct"/>
          </w:tcPr>
          <w:p w14:paraId="6193B67F"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Transporting seeds carefully to avoid loss or damage.</w:t>
            </w:r>
          </w:p>
        </w:tc>
        <w:tc>
          <w:tcPr>
            <w:tcW w:w="603" w:type="pct"/>
            <w:vAlign w:val="center"/>
          </w:tcPr>
          <w:p w14:paraId="7ACD212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22 (18.4%)</w:t>
            </w:r>
          </w:p>
        </w:tc>
        <w:tc>
          <w:tcPr>
            <w:tcW w:w="546" w:type="pct"/>
            <w:vAlign w:val="center"/>
          </w:tcPr>
          <w:p w14:paraId="2A7E5234"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28 (23.3%)</w:t>
            </w:r>
          </w:p>
        </w:tc>
        <w:tc>
          <w:tcPr>
            <w:tcW w:w="522" w:type="pct"/>
            <w:vAlign w:val="center"/>
          </w:tcPr>
          <w:p w14:paraId="4B2457CD"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70 (58.3%)</w:t>
            </w:r>
          </w:p>
        </w:tc>
      </w:tr>
      <w:tr w:rsidR="0065442B" w:rsidRPr="0065442B" w14:paraId="59DC4546" w14:textId="77777777" w:rsidTr="0065442B">
        <w:tc>
          <w:tcPr>
            <w:tcW w:w="385" w:type="pct"/>
          </w:tcPr>
          <w:p w14:paraId="2F89FA28" w14:textId="77777777" w:rsidR="0065442B" w:rsidRPr="0065442B" w:rsidRDefault="0065442B" w:rsidP="0065442B">
            <w:pPr>
              <w:pStyle w:val="NoSpacing"/>
              <w:numPr>
                <w:ilvl w:val="0"/>
                <w:numId w:val="21"/>
              </w:numPr>
              <w:spacing w:line="276" w:lineRule="auto"/>
              <w:rPr>
                <w:rFonts w:ascii="Times New Roman" w:hAnsi="Times New Roman" w:cs="Times New Roman"/>
                <w:sz w:val="24"/>
                <w:szCs w:val="24"/>
              </w:rPr>
            </w:pPr>
          </w:p>
        </w:tc>
        <w:tc>
          <w:tcPr>
            <w:tcW w:w="2944" w:type="pct"/>
          </w:tcPr>
          <w:p w14:paraId="5B4E9F34"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Sorting and grading seeds before selling to ensure quality.</w:t>
            </w:r>
          </w:p>
        </w:tc>
        <w:tc>
          <w:tcPr>
            <w:tcW w:w="603" w:type="pct"/>
            <w:vAlign w:val="center"/>
          </w:tcPr>
          <w:p w14:paraId="723E8373"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36 (30.0%)</w:t>
            </w:r>
          </w:p>
        </w:tc>
        <w:tc>
          <w:tcPr>
            <w:tcW w:w="546" w:type="pct"/>
            <w:vAlign w:val="center"/>
          </w:tcPr>
          <w:p w14:paraId="6345D2C1"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36 (30.0%)</w:t>
            </w:r>
          </w:p>
        </w:tc>
        <w:tc>
          <w:tcPr>
            <w:tcW w:w="522" w:type="pct"/>
            <w:vAlign w:val="center"/>
          </w:tcPr>
          <w:p w14:paraId="08B3193F"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48 (40.0%)</w:t>
            </w:r>
          </w:p>
        </w:tc>
      </w:tr>
      <w:tr w:rsidR="0065442B" w:rsidRPr="0065442B" w14:paraId="15360483" w14:textId="77777777" w:rsidTr="0065442B">
        <w:tc>
          <w:tcPr>
            <w:tcW w:w="5000" w:type="pct"/>
            <w:gridSpan w:val="5"/>
          </w:tcPr>
          <w:p w14:paraId="725A81E4"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Style w:val="Strong"/>
                <w:rFonts w:ascii="Times New Roman" w:hAnsi="Times New Roman" w:cs="Times New Roman"/>
                <w:b w:val="0"/>
                <w:sz w:val="24"/>
                <w:szCs w:val="24"/>
              </w:rPr>
              <w:t xml:space="preserve"> Digital &amp; Monitoring Practices</w:t>
            </w:r>
          </w:p>
        </w:tc>
      </w:tr>
      <w:tr w:rsidR="0065442B" w:rsidRPr="0065442B" w14:paraId="17F909C5" w14:textId="77777777" w:rsidTr="0065442B">
        <w:tc>
          <w:tcPr>
            <w:tcW w:w="385" w:type="pct"/>
          </w:tcPr>
          <w:p w14:paraId="5457D2A8" w14:textId="77777777" w:rsidR="0065442B" w:rsidRPr="0065442B" w:rsidRDefault="0065442B" w:rsidP="0065442B">
            <w:pPr>
              <w:pStyle w:val="NoSpacing"/>
              <w:numPr>
                <w:ilvl w:val="0"/>
                <w:numId w:val="22"/>
              </w:numPr>
              <w:spacing w:line="276" w:lineRule="auto"/>
              <w:rPr>
                <w:rFonts w:ascii="Times New Roman" w:hAnsi="Times New Roman" w:cs="Times New Roman"/>
                <w:sz w:val="24"/>
                <w:szCs w:val="24"/>
              </w:rPr>
            </w:pPr>
          </w:p>
        </w:tc>
        <w:tc>
          <w:tcPr>
            <w:tcW w:w="2944" w:type="pct"/>
          </w:tcPr>
          <w:p w14:paraId="4839524B"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Keeping records of post-harvest operations, including drying, storage, and processing.</w:t>
            </w:r>
          </w:p>
        </w:tc>
        <w:tc>
          <w:tcPr>
            <w:tcW w:w="603" w:type="pct"/>
            <w:vAlign w:val="center"/>
          </w:tcPr>
          <w:p w14:paraId="5A16EA3A"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45 (37.5%)</w:t>
            </w:r>
          </w:p>
        </w:tc>
        <w:tc>
          <w:tcPr>
            <w:tcW w:w="546" w:type="pct"/>
            <w:vAlign w:val="center"/>
          </w:tcPr>
          <w:p w14:paraId="3C248AE3"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45 (37.5%)</w:t>
            </w:r>
          </w:p>
        </w:tc>
        <w:tc>
          <w:tcPr>
            <w:tcW w:w="522" w:type="pct"/>
            <w:vAlign w:val="center"/>
          </w:tcPr>
          <w:p w14:paraId="60F0FBCE"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30 (25.0%)</w:t>
            </w:r>
          </w:p>
        </w:tc>
      </w:tr>
      <w:tr w:rsidR="0065442B" w:rsidRPr="0065442B" w14:paraId="3A20BE6B" w14:textId="77777777" w:rsidTr="0065442B">
        <w:tc>
          <w:tcPr>
            <w:tcW w:w="385" w:type="pct"/>
          </w:tcPr>
          <w:p w14:paraId="47F88EAD" w14:textId="77777777" w:rsidR="0065442B" w:rsidRPr="0065442B" w:rsidRDefault="0065442B" w:rsidP="0065442B">
            <w:pPr>
              <w:pStyle w:val="NoSpacing"/>
              <w:numPr>
                <w:ilvl w:val="0"/>
                <w:numId w:val="22"/>
              </w:numPr>
              <w:spacing w:line="276" w:lineRule="auto"/>
              <w:rPr>
                <w:rFonts w:ascii="Times New Roman" w:hAnsi="Times New Roman" w:cs="Times New Roman"/>
                <w:sz w:val="24"/>
                <w:szCs w:val="24"/>
              </w:rPr>
            </w:pPr>
          </w:p>
        </w:tc>
        <w:tc>
          <w:tcPr>
            <w:tcW w:w="2944" w:type="pct"/>
          </w:tcPr>
          <w:p w14:paraId="258660F6" w14:textId="77777777" w:rsidR="0065442B" w:rsidRPr="0065442B" w:rsidRDefault="0065442B" w:rsidP="0065442B">
            <w:pPr>
              <w:pStyle w:val="NoSpacing"/>
              <w:spacing w:line="276" w:lineRule="auto"/>
              <w:rPr>
                <w:rFonts w:ascii="Times New Roman" w:hAnsi="Times New Roman" w:cs="Times New Roman"/>
                <w:sz w:val="24"/>
                <w:szCs w:val="24"/>
              </w:rPr>
            </w:pPr>
            <w:r w:rsidRPr="0065442B">
              <w:rPr>
                <w:rFonts w:ascii="Times New Roman" w:hAnsi="Times New Roman" w:cs="Times New Roman"/>
                <w:sz w:val="24"/>
                <w:szCs w:val="24"/>
              </w:rPr>
              <w:t>Using digital tools or apps to monitor post-harvest practices.</w:t>
            </w:r>
          </w:p>
        </w:tc>
        <w:tc>
          <w:tcPr>
            <w:tcW w:w="603" w:type="pct"/>
            <w:vAlign w:val="center"/>
          </w:tcPr>
          <w:p w14:paraId="2F42763D"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73 (60.9%)</w:t>
            </w:r>
          </w:p>
        </w:tc>
        <w:tc>
          <w:tcPr>
            <w:tcW w:w="546" w:type="pct"/>
            <w:vAlign w:val="center"/>
          </w:tcPr>
          <w:p w14:paraId="23BED6D5"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25 (20.8%)</w:t>
            </w:r>
          </w:p>
        </w:tc>
        <w:tc>
          <w:tcPr>
            <w:tcW w:w="522" w:type="pct"/>
            <w:vAlign w:val="center"/>
          </w:tcPr>
          <w:p w14:paraId="6B446698" w14:textId="77777777" w:rsidR="0065442B" w:rsidRPr="0065442B" w:rsidRDefault="0065442B" w:rsidP="0065442B">
            <w:pPr>
              <w:pStyle w:val="NoSpacing"/>
              <w:spacing w:line="276" w:lineRule="auto"/>
              <w:jc w:val="center"/>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22 (18.3%)</w:t>
            </w:r>
          </w:p>
        </w:tc>
      </w:tr>
    </w:tbl>
    <w:p w14:paraId="1535E99D" w14:textId="77777777" w:rsidR="00C77D3D" w:rsidRPr="0065442B" w:rsidRDefault="0065442B" w:rsidP="00A908F4">
      <w:pPr>
        <w:spacing w:before="100" w:beforeAutospacing="1" w:after="100" w:afterAutospacing="1" w:line="360" w:lineRule="auto"/>
        <w:jc w:val="both"/>
        <w:rPr>
          <w:rFonts w:ascii="Times New Roman" w:eastAsia="Times New Roman" w:hAnsi="Times New Roman" w:cs="Times New Roman"/>
          <w:sz w:val="24"/>
          <w:szCs w:val="24"/>
        </w:rPr>
      </w:pPr>
      <w:r w:rsidRPr="0065442B">
        <w:rPr>
          <w:rFonts w:ascii="Times New Roman" w:eastAsia="Times New Roman" w:hAnsi="Times New Roman" w:cs="Times New Roman"/>
          <w:sz w:val="24"/>
          <w:szCs w:val="24"/>
        </w:rPr>
        <w:t>NA= Non- adoption, PA= Partial Adoption, N= Adoption</w:t>
      </w:r>
    </w:p>
    <w:p w14:paraId="504FDE3D" w14:textId="77777777" w:rsidR="00D70DD6" w:rsidRPr="00190745" w:rsidRDefault="00D70DD6" w:rsidP="00A908F4">
      <w:pPr>
        <w:spacing w:before="100" w:beforeAutospacing="1" w:after="100" w:afterAutospacing="1" w:line="360" w:lineRule="auto"/>
        <w:jc w:val="both"/>
        <w:rPr>
          <w:rFonts w:ascii="Times New Roman" w:hAnsi="Times New Roman" w:cs="Times New Roman"/>
          <w:b/>
          <w:sz w:val="24"/>
          <w:szCs w:val="24"/>
        </w:rPr>
      </w:pPr>
      <w:commentRangeStart w:id="20"/>
      <w:r w:rsidRPr="00190745">
        <w:rPr>
          <w:rFonts w:ascii="Times New Roman" w:hAnsi="Times New Roman" w:cs="Times New Roman"/>
          <w:b/>
          <w:sz w:val="24"/>
          <w:szCs w:val="24"/>
        </w:rPr>
        <w:t>Conclusion:</w:t>
      </w:r>
      <w:commentRangeEnd w:id="20"/>
      <w:r w:rsidR="00345D6A">
        <w:rPr>
          <w:rStyle w:val="CommentReference"/>
        </w:rPr>
        <w:commentReference w:id="20"/>
      </w:r>
    </w:p>
    <w:p w14:paraId="230D9876" w14:textId="77777777" w:rsidR="00C83080" w:rsidRPr="00C83080" w:rsidRDefault="00D70DD6" w:rsidP="00A908F4">
      <w:pPr>
        <w:spacing w:before="100" w:beforeAutospacing="1" w:after="100" w:afterAutospacing="1" w:line="360" w:lineRule="auto"/>
        <w:jc w:val="both"/>
        <w:rPr>
          <w:rFonts w:ascii="Times New Roman" w:eastAsia="Times New Roman" w:hAnsi="Times New Roman" w:cs="Times New Roman"/>
          <w:sz w:val="24"/>
          <w:szCs w:val="24"/>
        </w:rPr>
      </w:pPr>
      <w:r w:rsidRPr="00A908F4">
        <w:rPr>
          <w:rFonts w:ascii="Times New Roman" w:hAnsi="Times New Roman" w:cs="Times New Roman"/>
          <w:sz w:val="24"/>
          <w:szCs w:val="24"/>
        </w:rPr>
        <w:t xml:space="preserve">The study </w:t>
      </w:r>
      <w:commentRangeStart w:id="21"/>
      <w:r w:rsidRPr="00A908F4">
        <w:rPr>
          <w:rFonts w:ascii="Times New Roman" w:hAnsi="Times New Roman" w:cs="Times New Roman"/>
          <w:sz w:val="24"/>
          <w:szCs w:val="24"/>
        </w:rPr>
        <w:t xml:space="preserve">reveals </w:t>
      </w:r>
      <w:commentRangeEnd w:id="21"/>
      <w:r w:rsidR="00345D6A">
        <w:rPr>
          <w:rStyle w:val="CommentReference"/>
        </w:rPr>
        <w:commentReference w:id="21"/>
      </w:r>
      <w:r w:rsidRPr="00A908F4">
        <w:rPr>
          <w:rFonts w:ascii="Times New Roman" w:hAnsi="Times New Roman" w:cs="Times New Roman"/>
          <w:sz w:val="24"/>
          <w:szCs w:val="24"/>
        </w:rPr>
        <w:t xml:space="preserve">that oilseed farmers predominantly </w:t>
      </w:r>
      <w:commentRangeStart w:id="22"/>
      <w:r w:rsidRPr="00A908F4">
        <w:rPr>
          <w:rFonts w:ascii="Times New Roman" w:hAnsi="Times New Roman" w:cs="Times New Roman"/>
          <w:sz w:val="24"/>
          <w:szCs w:val="24"/>
        </w:rPr>
        <w:t>adopt</w:t>
      </w:r>
      <w:commentRangeEnd w:id="22"/>
      <w:r w:rsidR="00345D6A">
        <w:rPr>
          <w:rStyle w:val="CommentReference"/>
        </w:rPr>
        <w:commentReference w:id="22"/>
      </w:r>
      <w:r w:rsidRPr="00A908F4">
        <w:rPr>
          <w:rFonts w:ascii="Times New Roman" w:hAnsi="Times New Roman" w:cs="Times New Roman"/>
          <w:sz w:val="24"/>
          <w:szCs w:val="24"/>
        </w:rPr>
        <w:t xml:space="preserve"> fundamental post-harvest practices, such as timely harvesting, threshing, and drying, while advanced practices including value addition, quality management, and digital monitoring remain largely underutilized. The findings underscore the critical role of socio-economic, knowledge-based, and behavioral factors in influencing adoption. Targeted interventions, such as training programs, improved access to </w:t>
      </w:r>
      <w:commentRangeStart w:id="23"/>
      <w:r w:rsidRPr="00A908F4">
        <w:rPr>
          <w:rFonts w:ascii="Times New Roman" w:hAnsi="Times New Roman" w:cs="Times New Roman"/>
          <w:sz w:val="24"/>
          <w:szCs w:val="24"/>
        </w:rPr>
        <w:t xml:space="preserve">tools, </w:t>
      </w:r>
      <w:commentRangeEnd w:id="23"/>
      <w:r w:rsidR="00345D6A">
        <w:rPr>
          <w:rStyle w:val="CommentReference"/>
        </w:rPr>
        <w:commentReference w:id="23"/>
      </w:r>
      <w:r w:rsidRPr="00A908F4">
        <w:rPr>
          <w:rFonts w:ascii="Times New Roman" w:hAnsi="Times New Roman" w:cs="Times New Roman"/>
          <w:sz w:val="24"/>
          <w:szCs w:val="24"/>
        </w:rPr>
        <w:t>and promotion of digital platforms, are essential to enhance post-harvest efficiency, reduce losses, and increase farmers’ income, thereby strengthening overall oilseed production systems.</w:t>
      </w:r>
    </w:p>
    <w:p w14:paraId="5B9EB996" w14:textId="77777777" w:rsidR="00F74217" w:rsidRPr="00190745" w:rsidRDefault="00C83080" w:rsidP="00A908F4">
      <w:pPr>
        <w:spacing w:before="100" w:beforeAutospacing="1" w:after="100" w:afterAutospacing="1" w:line="360" w:lineRule="auto"/>
        <w:jc w:val="both"/>
        <w:rPr>
          <w:rFonts w:ascii="Times New Roman" w:eastAsia="Times New Roman" w:hAnsi="Times New Roman" w:cs="Times New Roman"/>
          <w:b/>
          <w:bCs/>
          <w:sz w:val="24"/>
          <w:szCs w:val="24"/>
        </w:rPr>
      </w:pPr>
      <w:r w:rsidRPr="00190745">
        <w:rPr>
          <w:rFonts w:ascii="Times New Roman" w:eastAsia="Times New Roman" w:hAnsi="Times New Roman" w:cs="Times New Roman"/>
          <w:b/>
          <w:bCs/>
          <w:sz w:val="24"/>
          <w:szCs w:val="24"/>
        </w:rPr>
        <w:t xml:space="preserve">References </w:t>
      </w:r>
    </w:p>
    <w:p w14:paraId="73429DB5"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Afzal, I., Kamran, M., Basra, S. M. A., Khan, S. H. U., Mahmood, A., Farooq, M., &amp; Tan, D. K. (2020). Harvesting and post-harvest management approaches for preserving cottonseed quality. </w:t>
      </w:r>
      <w:r w:rsidRPr="00A908F4">
        <w:rPr>
          <w:rFonts w:ascii="Times New Roman" w:hAnsi="Times New Roman" w:cs="Times New Roman"/>
          <w:i/>
          <w:iCs/>
          <w:color w:val="222222"/>
          <w:sz w:val="24"/>
          <w:szCs w:val="24"/>
          <w:shd w:val="clear" w:color="auto" w:fill="FFFFFF"/>
        </w:rPr>
        <w:t>Industrial crops and products</w:t>
      </w:r>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155</w:t>
      </w:r>
      <w:r w:rsidRPr="00A908F4">
        <w:rPr>
          <w:rFonts w:ascii="Times New Roman" w:hAnsi="Times New Roman" w:cs="Times New Roman"/>
          <w:color w:val="222222"/>
          <w:sz w:val="24"/>
          <w:szCs w:val="24"/>
          <w:shd w:val="clear" w:color="auto" w:fill="FFFFFF"/>
        </w:rPr>
        <w:t>, 112842.</w:t>
      </w:r>
    </w:p>
    <w:p w14:paraId="5DA9305F" w14:textId="77777777"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t xml:space="preserve">Aker, J. C. (2011). Dial “A” for agriculture: Using mobile phones for market information in rural Uganda. </w:t>
      </w:r>
      <w:r w:rsidRPr="00A908F4">
        <w:rPr>
          <w:rFonts w:ascii="Times New Roman" w:eastAsia="Times New Roman" w:hAnsi="Times New Roman" w:cs="Times New Roman"/>
          <w:i/>
          <w:iCs/>
          <w:sz w:val="24"/>
          <w:szCs w:val="24"/>
        </w:rPr>
        <w:t>American Economic Journal: Applied Economics</w:t>
      </w:r>
      <w:r w:rsidRPr="00C83080">
        <w:rPr>
          <w:rFonts w:ascii="Times New Roman" w:eastAsia="Times New Roman" w:hAnsi="Times New Roman" w:cs="Times New Roman"/>
          <w:sz w:val="24"/>
          <w:szCs w:val="24"/>
        </w:rPr>
        <w:t>, 3(3), 46–59.</w:t>
      </w:r>
    </w:p>
    <w:p w14:paraId="3EB1A406"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Bartosik, R. (2010). Challenges and characteristics of the South American grain and oilseed postharvest system. </w:t>
      </w:r>
      <w:r w:rsidRPr="00A908F4">
        <w:rPr>
          <w:rFonts w:ascii="Times New Roman" w:hAnsi="Times New Roman" w:cs="Times New Roman"/>
          <w:i/>
          <w:iCs/>
          <w:color w:val="222222"/>
          <w:sz w:val="24"/>
          <w:szCs w:val="24"/>
          <w:shd w:val="clear" w:color="auto" w:fill="FFFFFF"/>
        </w:rPr>
        <w:t>Julius-</w:t>
      </w:r>
      <w:proofErr w:type="spellStart"/>
      <w:r w:rsidRPr="00A908F4">
        <w:rPr>
          <w:rFonts w:ascii="Times New Roman" w:hAnsi="Times New Roman" w:cs="Times New Roman"/>
          <w:i/>
          <w:iCs/>
          <w:color w:val="222222"/>
          <w:sz w:val="24"/>
          <w:szCs w:val="24"/>
          <w:shd w:val="clear" w:color="auto" w:fill="FFFFFF"/>
        </w:rPr>
        <w:t>Kühn</w:t>
      </w:r>
      <w:proofErr w:type="spellEnd"/>
      <w:r w:rsidRPr="00A908F4">
        <w:rPr>
          <w:rFonts w:ascii="Times New Roman" w:hAnsi="Times New Roman" w:cs="Times New Roman"/>
          <w:i/>
          <w:iCs/>
          <w:color w:val="222222"/>
          <w:sz w:val="24"/>
          <w:szCs w:val="24"/>
          <w:shd w:val="clear" w:color="auto" w:fill="FFFFFF"/>
        </w:rPr>
        <w:t>-</w:t>
      </w:r>
      <w:proofErr w:type="spellStart"/>
      <w:r w:rsidRPr="00A908F4">
        <w:rPr>
          <w:rFonts w:ascii="Times New Roman" w:hAnsi="Times New Roman" w:cs="Times New Roman"/>
          <w:i/>
          <w:iCs/>
          <w:color w:val="222222"/>
          <w:sz w:val="24"/>
          <w:szCs w:val="24"/>
          <w:shd w:val="clear" w:color="auto" w:fill="FFFFFF"/>
        </w:rPr>
        <w:t>Archiv</w:t>
      </w:r>
      <w:proofErr w:type="spellEnd"/>
      <w:r w:rsidRPr="00A908F4">
        <w:rPr>
          <w:rFonts w:ascii="Times New Roman" w:hAnsi="Times New Roman" w:cs="Times New Roman"/>
          <w:color w:val="222222"/>
          <w:sz w:val="24"/>
          <w:szCs w:val="24"/>
          <w:shd w:val="clear" w:color="auto" w:fill="FFFFFF"/>
        </w:rPr>
        <w:t>, (425), 57.</w:t>
      </w:r>
    </w:p>
    <w:p w14:paraId="3FEE4928"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Bhat, D. S. A., &amp; Khan, D. F. A. (2017). Traditional wisdom in post harvest management of food commodities. </w:t>
      </w:r>
      <w:proofErr w:type="spellStart"/>
      <w:r w:rsidRPr="00A908F4">
        <w:rPr>
          <w:rFonts w:ascii="Times New Roman" w:hAnsi="Times New Roman" w:cs="Times New Roman"/>
          <w:i/>
          <w:iCs/>
          <w:color w:val="222222"/>
          <w:sz w:val="24"/>
          <w:szCs w:val="24"/>
          <w:shd w:val="clear" w:color="auto" w:fill="FFFFFF"/>
        </w:rPr>
        <w:t>Researchgate</w:t>
      </w:r>
      <w:proofErr w:type="spellEnd"/>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w:t>
      </w:r>
      <w:r w:rsidRPr="00A908F4">
        <w:rPr>
          <w:rFonts w:ascii="Times New Roman" w:hAnsi="Times New Roman" w:cs="Times New Roman"/>
          <w:color w:val="222222"/>
          <w:sz w:val="24"/>
          <w:szCs w:val="24"/>
          <w:shd w:val="clear" w:color="auto" w:fill="FFFFFF"/>
        </w:rPr>
        <w:t>, 1-8.</w:t>
      </w:r>
    </w:p>
    <w:p w14:paraId="3379483E" w14:textId="77777777" w:rsidR="00A908F4" w:rsidRPr="00A908F4" w:rsidRDefault="00A908F4" w:rsidP="00A6362A">
      <w:pPr>
        <w:pStyle w:val="NormalWeb"/>
        <w:spacing w:line="360" w:lineRule="auto"/>
        <w:jc w:val="both"/>
      </w:pPr>
      <w:commentRangeStart w:id="24"/>
      <w:proofErr w:type="gramStart"/>
      <w:r w:rsidRPr="00A908F4">
        <w:rPr>
          <w:color w:val="222222"/>
          <w:shd w:val="clear" w:color="auto" w:fill="FFFFFF"/>
        </w:rPr>
        <w:lastRenderedPageBreak/>
        <w:t>FAO .</w:t>
      </w:r>
      <w:proofErr w:type="gramEnd"/>
      <w:r w:rsidRPr="00A908F4">
        <w:rPr>
          <w:color w:val="222222"/>
          <w:shd w:val="clear" w:color="auto" w:fill="FFFFFF"/>
        </w:rPr>
        <w:t xml:space="preserve"> (2021). </w:t>
      </w:r>
      <w:r w:rsidRPr="00A908F4">
        <w:rPr>
          <w:i/>
          <w:iCs/>
          <w:color w:val="222222"/>
          <w:shd w:val="clear" w:color="auto" w:fill="FFFFFF"/>
        </w:rPr>
        <w:t>The State of Food and Agriculture 2021: Making Agrifood Systems More Resilient to Shocks and Stresses</w:t>
      </w:r>
      <w:r w:rsidRPr="00A908F4">
        <w:rPr>
          <w:color w:val="222222"/>
          <w:shd w:val="clear" w:color="auto" w:fill="FFFFFF"/>
        </w:rPr>
        <w:t xml:space="preserve">. </w:t>
      </w:r>
      <w:proofErr w:type="gramStart"/>
      <w:r w:rsidRPr="00A908F4">
        <w:rPr>
          <w:i/>
          <w:color w:val="222222"/>
          <w:shd w:val="clear" w:color="auto" w:fill="FFFFFF"/>
        </w:rPr>
        <w:t>FAO of the UN</w:t>
      </w:r>
      <w:r w:rsidRPr="00A908F4">
        <w:rPr>
          <w:color w:val="222222"/>
          <w:shd w:val="clear" w:color="auto" w:fill="FFFFFF"/>
        </w:rPr>
        <w:t>.</w:t>
      </w:r>
      <w:commentRangeEnd w:id="24"/>
      <w:proofErr w:type="gramEnd"/>
      <w:r w:rsidR="008E64FE">
        <w:rPr>
          <w:rStyle w:val="CommentReference"/>
          <w:rFonts w:asciiTheme="minorHAnsi" w:eastAsiaTheme="minorEastAsia" w:hAnsiTheme="minorHAnsi" w:cstheme="minorBidi"/>
        </w:rPr>
        <w:commentReference w:id="24"/>
      </w:r>
    </w:p>
    <w:p w14:paraId="4ED53BA7" w14:textId="77777777"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83080">
        <w:rPr>
          <w:rFonts w:ascii="Times New Roman" w:eastAsia="Times New Roman" w:hAnsi="Times New Roman" w:cs="Times New Roman"/>
          <w:sz w:val="24"/>
          <w:szCs w:val="24"/>
        </w:rPr>
        <w:t>Kiptot</w:t>
      </w:r>
      <w:proofErr w:type="spellEnd"/>
      <w:r w:rsidRPr="00C83080">
        <w:rPr>
          <w:rFonts w:ascii="Times New Roman" w:eastAsia="Times New Roman" w:hAnsi="Times New Roman" w:cs="Times New Roman"/>
          <w:sz w:val="24"/>
          <w:szCs w:val="24"/>
        </w:rPr>
        <w:t xml:space="preserve">, E., &amp; Franzel, S. (2014). Gender and agroforestry technology adoption: Lessons from western Kenya. </w:t>
      </w:r>
      <w:r w:rsidRPr="00A908F4">
        <w:rPr>
          <w:rFonts w:ascii="Times New Roman" w:eastAsia="Times New Roman" w:hAnsi="Times New Roman" w:cs="Times New Roman"/>
          <w:i/>
          <w:iCs/>
          <w:sz w:val="24"/>
          <w:szCs w:val="24"/>
        </w:rPr>
        <w:t>Agroforestry Systems</w:t>
      </w:r>
      <w:r w:rsidRPr="00C83080">
        <w:rPr>
          <w:rFonts w:ascii="Times New Roman" w:eastAsia="Times New Roman" w:hAnsi="Times New Roman" w:cs="Times New Roman"/>
          <w:sz w:val="24"/>
          <w:szCs w:val="24"/>
        </w:rPr>
        <w:t>, 88, 1–15.</w:t>
      </w:r>
    </w:p>
    <w:p w14:paraId="655E5A4B" w14:textId="77777777"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t xml:space="preserve">Kutner, M. H., Nachtsheim, C. J., </w:t>
      </w:r>
      <w:proofErr w:type="spellStart"/>
      <w:r w:rsidRPr="00C83080">
        <w:rPr>
          <w:rFonts w:ascii="Times New Roman" w:eastAsia="Times New Roman" w:hAnsi="Times New Roman" w:cs="Times New Roman"/>
          <w:sz w:val="24"/>
          <w:szCs w:val="24"/>
        </w:rPr>
        <w:t>Neter</w:t>
      </w:r>
      <w:proofErr w:type="spellEnd"/>
      <w:r w:rsidRPr="00C83080">
        <w:rPr>
          <w:rFonts w:ascii="Times New Roman" w:eastAsia="Times New Roman" w:hAnsi="Times New Roman" w:cs="Times New Roman"/>
          <w:sz w:val="24"/>
          <w:szCs w:val="24"/>
        </w:rPr>
        <w:t xml:space="preserve">, J., &amp; Li, W. (2005). </w:t>
      </w:r>
      <w:r w:rsidRPr="00A908F4">
        <w:rPr>
          <w:rFonts w:ascii="Times New Roman" w:eastAsia="Times New Roman" w:hAnsi="Times New Roman" w:cs="Times New Roman"/>
          <w:i/>
          <w:iCs/>
          <w:sz w:val="24"/>
          <w:szCs w:val="24"/>
        </w:rPr>
        <w:t>Applied Linear Statistical Models</w:t>
      </w:r>
      <w:r w:rsidRPr="00C83080">
        <w:rPr>
          <w:rFonts w:ascii="Times New Roman" w:eastAsia="Times New Roman" w:hAnsi="Times New Roman" w:cs="Times New Roman"/>
          <w:sz w:val="24"/>
          <w:szCs w:val="24"/>
        </w:rPr>
        <w:t xml:space="preserve"> (5th ed.). McGraw-Hill/Irwin.</w:t>
      </w:r>
    </w:p>
    <w:p w14:paraId="6FBAED46"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proofErr w:type="spellStart"/>
      <w:r w:rsidRPr="00A908F4">
        <w:rPr>
          <w:rFonts w:ascii="Times New Roman" w:hAnsi="Times New Roman" w:cs="Times New Roman"/>
          <w:color w:val="222222"/>
          <w:sz w:val="24"/>
          <w:szCs w:val="24"/>
          <w:shd w:val="clear" w:color="auto" w:fill="FFFFFF"/>
        </w:rPr>
        <w:t>Mandavkar</w:t>
      </w:r>
      <w:proofErr w:type="spellEnd"/>
      <w:r w:rsidRPr="00A908F4">
        <w:rPr>
          <w:rFonts w:ascii="Times New Roman" w:hAnsi="Times New Roman" w:cs="Times New Roman"/>
          <w:color w:val="222222"/>
          <w:sz w:val="24"/>
          <w:szCs w:val="24"/>
          <w:shd w:val="clear" w:color="auto" w:fill="FFFFFF"/>
        </w:rPr>
        <w:t xml:space="preserve">, P. M., </w:t>
      </w:r>
      <w:proofErr w:type="spellStart"/>
      <w:r w:rsidRPr="00A908F4">
        <w:rPr>
          <w:rFonts w:ascii="Times New Roman" w:hAnsi="Times New Roman" w:cs="Times New Roman"/>
          <w:color w:val="222222"/>
          <w:sz w:val="24"/>
          <w:szCs w:val="24"/>
          <w:shd w:val="clear" w:color="auto" w:fill="FFFFFF"/>
        </w:rPr>
        <w:t>Talathi</w:t>
      </w:r>
      <w:proofErr w:type="spellEnd"/>
      <w:r w:rsidRPr="00A908F4">
        <w:rPr>
          <w:rFonts w:ascii="Times New Roman" w:hAnsi="Times New Roman" w:cs="Times New Roman"/>
          <w:color w:val="222222"/>
          <w:sz w:val="24"/>
          <w:szCs w:val="24"/>
          <w:shd w:val="clear" w:color="auto" w:fill="FFFFFF"/>
        </w:rPr>
        <w:t xml:space="preserve">, M. S., </w:t>
      </w:r>
      <w:proofErr w:type="spellStart"/>
      <w:r w:rsidRPr="00A908F4">
        <w:rPr>
          <w:rFonts w:ascii="Times New Roman" w:hAnsi="Times New Roman" w:cs="Times New Roman"/>
          <w:color w:val="222222"/>
          <w:sz w:val="24"/>
          <w:szCs w:val="24"/>
          <w:shd w:val="clear" w:color="auto" w:fill="FFFFFF"/>
        </w:rPr>
        <w:t>Arekar</w:t>
      </w:r>
      <w:proofErr w:type="spellEnd"/>
      <w:r w:rsidRPr="00A908F4">
        <w:rPr>
          <w:rFonts w:ascii="Times New Roman" w:hAnsi="Times New Roman" w:cs="Times New Roman"/>
          <w:color w:val="222222"/>
          <w:sz w:val="24"/>
          <w:szCs w:val="24"/>
          <w:shd w:val="clear" w:color="auto" w:fill="FFFFFF"/>
        </w:rPr>
        <w:t>, J. S., Gitte, M. J., &amp; Bhave, S. G. (2017). Adoption level and constraints experienced by the farmers in adoption of recommended practices of oilseeds.</w:t>
      </w:r>
    </w:p>
    <w:p w14:paraId="712D8432" w14:textId="77777777"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r w:rsidRPr="00C83080">
        <w:rPr>
          <w:rFonts w:ascii="Times New Roman" w:eastAsia="Times New Roman" w:hAnsi="Times New Roman" w:cs="Times New Roman"/>
          <w:sz w:val="24"/>
          <w:szCs w:val="24"/>
        </w:rPr>
        <w:t xml:space="preserve">O’Brien, R. M. (2007). A caution regarding rules of thumb for variance inflation factors. </w:t>
      </w:r>
      <w:r w:rsidRPr="00A908F4">
        <w:rPr>
          <w:rFonts w:ascii="Times New Roman" w:eastAsia="Times New Roman" w:hAnsi="Times New Roman" w:cs="Times New Roman"/>
          <w:i/>
          <w:iCs/>
          <w:sz w:val="24"/>
          <w:szCs w:val="24"/>
        </w:rPr>
        <w:t>Quality &amp; Quantity</w:t>
      </w:r>
      <w:r w:rsidRPr="00C83080">
        <w:rPr>
          <w:rFonts w:ascii="Times New Roman" w:eastAsia="Times New Roman" w:hAnsi="Times New Roman" w:cs="Times New Roman"/>
          <w:sz w:val="24"/>
          <w:szCs w:val="24"/>
        </w:rPr>
        <w:t>, 41(5), 673–690.</w:t>
      </w:r>
    </w:p>
    <w:p w14:paraId="7A357669" w14:textId="77777777" w:rsidR="00A908F4" w:rsidRPr="00A908F4" w:rsidRDefault="00A908F4" w:rsidP="00A6362A">
      <w:pPr>
        <w:spacing w:before="100" w:beforeAutospacing="1" w:after="100" w:afterAutospacing="1" w:line="360" w:lineRule="auto"/>
        <w:jc w:val="both"/>
        <w:rPr>
          <w:rFonts w:ascii="Times New Roman" w:eastAsia="Times New Roman" w:hAnsi="Times New Roman" w:cs="Times New Roman"/>
          <w:bCs/>
          <w:sz w:val="24"/>
          <w:szCs w:val="24"/>
        </w:rPr>
      </w:pPr>
      <w:r w:rsidRPr="00A908F4">
        <w:rPr>
          <w:rFonts w:ascii="Times New Roman" w:hAnsi="Times New Roman" w:cs="Times New Roman"/>
          <w:color w:val="222222"/>
          <w:sz w:val="24"/>
          <w:szCs w:val="24"/>
          <w:shd w:val="clear" w:color="auto" w:fill="FFFFFF"/>
        </w:rPr>
        <w:t>Rees, D., Farrell, G., &amp; Orchard, J. (Eds.). (2012). </w:t>
      </w:r>
      <w:r w:rsidRPr="00A908F4">
        <w:rPr>
          <w:rFonts w:ascii="Times New Roman" w:hAnsi="Times New Roman" w:cs="Times New Roman"/>
          <w:i/>
          <w:iCs/>
          <w:color w:val="222222"/>
          <w:sz w:val="24"/>
          <w:szCs w:val="24"/>
          <w:shd w:val="clear" w:color="auto" w:fill="FFFFFF"/>
        </w:rPr>
        <w:t>Crop post-harvest: science and technology, volume 3: perishables</w:t>
      </w:r>
      <w:r w:rsidRPr="00A908F4">
        <w:rPr>
          <w:rFonts w:ascii="Times New Roman" w:hAnsi="Times New Roman" w:cs="Times New Roman"/>
          <w:color w:val="222222"/>
          <w:sz w:val="24"/>
          <w:szCs w:val="24"/>
          <w:shd w:val="clear" w:color="auto" w:fill="FFFFFF"/>
        </w:rPr>
        <w:t> (Vol. 3). John Wiley &amp; Sons.</w:t>
      </w:r>
    </w:p>
    <w:p w14:paraId="700C8AE9"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Sidhu, J. K., &amp; Mohapatra, L. (2023). Factors affecting adoption of post-harvest management practices by vegetable growers. </w:t>
      </w:r>
      <w:r w:rsidRPr="00A908F4">
        <w:rPr>
          <w:rFonts w:ascii="Times New Roman" w:hAnsi="Times New Roman" w:cs="Times New Roman"/>
          <w:i/>
          <w:iCs/>
          <w:color w:val="222222"/>
          <w:sz w:val="24"/>
          <w:szCs w:val="24"/>
          <w:shd w:val="clear" w:color="auto" w:fill="FFFFFF"/>
        </w:rPr>
        <w:t>Journal of Krishi Vigyan</w:t>
      </w:r>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11</w:t>
      </w:r>
      <w:r w:rsidRPr="00A908F4">
        <w:rPr>
          <w:rFonts w:ascii="Times New Roman" w:hAnsi="Times New Roman" w:cs="Times New Roman"/>
          <w:color w:val="222222"/>
          <w:sz w:val="24"/>
          <w:szCs w:val="24"/>
          <w:shd w:val="clear" w:color="auto" w:fill="FFFFFF"/>
        </w:rPr>
        <w:t>(suppl), 91-95.</w:t>
      </w:r>
    </w:p>
    <w:p w14:paraId="2C39F4B9" w14:textId="77777777" w:rsidR="00A908F4" w:rsidRPr="00A908F4" w:rsidRDefault="00A908F4" w:rsidP="00A6362A">
      <w:pPr>
        <w:pStyle w:val="NormalWeb"/>
        <w:spacing w:line="360" w:lineRule="auto"/>
        <w:jc w:val="both"/>
      </w:pPr>
      <w:r w:rsidRPr="00A908F4">
        <w:t xml:space="preserve">  </w:t>
      </w:r>
      <w:commentRangeStart w:id="25"/>
      <w:proofErr w:type="gramStart"/>
      <w:r w:rsidRPr="00A908F4">
        <w:t>USDA</w:t>
      </w:r>
      <w:commentRangeEnd w:id="25"/>
      <w:r w:rsidR="008E64FE">
        <w:rPr>
          <w:rStyle w:val="CommentReference"/>
          <w:rFonts w:asciiTheme="minorHAnsi" w:eastAsiaTheme="minorEastAsia" w:hAnsiTheme="minorHAnsi" w:cstheme="minorBidi"/>
        </w:rPr>
        <w:commentReference w:id="25"/>
      </w:r>
      <w:r w:rsidRPr="00A908F4">
        <w:t>.</w:t>
      </w:r>
      <w:proofErr w:type="gramEnd"/>
      <w:r w:rsidRPr="00A908F4">
        <w:t xml:space="preserve"> (2020). </w:t>
      </w:r>
      <w:r w:rsidRPr="00A908F4">
        <w:rPr>
          <w:rStyle w:val="Emphasis"/>
        </w:rPr>
        <w:t>Oilseeds: World Markets and Trade</w:t>
      </w:r>
      <w:r w:rsidRPr="00A908F4">
        <w:t>. United States Department of Agriculture.</w:t>
      </w:r>
    </w:p>
    <w:p w14:paraId="466E1C39" w14:textId="77777777" w:rsidR="00A908F4" w:rsidRPr="00A908F4" w:rsidRDefault="00A908F4" w:rsidP="00A6362A">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A908F4">
        <w:rPr>
          <w:rFonts w:ascii="Times New Roman" w:hAnsi="Times New Roman" w:cs="Times New Roman"/>
          <w:color w:val="222222"/>
          <w:sz w:val="24"/>
          <w:szCs w:val="24"/>
          <w:shd w:val="clear" w:color="auto" w:fill="FFFFFF"/>
        </w:rPr>
        <w:t xml:space="preserve">Usman, M., Razzaq, M., Khan, R. A. R., Rehman, M. A., Ali, M. M., Gull, S., ... &amp; </w:t>
      </w:r>
      <w:proofErr w:type="spellStart"/>
      <w:r w:rsidRPr="00A908F4">
        <w:rPr>
          <w:rFonts w:ascii="Times New Roman" w:hAnsi="Times New Roman" w:cs="Times New Roman"/>
          <w:color w:val="222222"/>
          <w:sz w:val="24"/>
          <w:szCs w:val="24"/>
          <w:shd w:val="clear" w:color="auto" w:fill="FFFFFF"/>
        </w:rPr>
        <w:t>Golokhvast</w:t>
      </w:r>
      <w:proofErr w:type="spellEnd"/>
      <w:r w:rsidRPr="00A908F4">
        <w:rPr>
          <w:rFonts w:ascii="Times New Roman" w:hAnsi="Times New Roman" w:cs="Times New Roman"/>
          <w:color w:val="222222"/>
          <w:sz w:val="24"/>
          <w:szCs w:val="24"/>
          <w:shd w:val="clear" w:color="auto" w:fill="FFFFFF"/>
        </w:rPr>
        <w:t>, K. S. (2022). Factors affecting postharvest losses of sesame (Sesamum indicum L.) and their mitigation strategies. </w:t>
      </w:r>
      <w:r w:rsidRPr="00A908F4">
        <w:rPr>
          <w:rFonts w:ascii="Times New Roman" w:hAnsi="Times New Roman" w:cs="Times New Roman"/>
          <w:i/>
          <w:iCs/>
          <w:color w:val="222222"/>
          <w:sz w:val="24"/>
          <w:szCs w:val="24"/>
          <w:shd w:val="clear" w:color="auto" w:fill="FFFFFF"/>
        </w:rPr>
        <w:t>Agronomy</w:t>
      </w:r>
      <w:r w:rsidRPr="00A908F4">
        <w:rPr>
          <w:rFonts w:ascii="Times New Roman" w:hAnsi="Times New Roman" w:cs="Times New Roman"/>
          <w:color w:val="222222"/>
          <w:sz w:val="24"/>
          <w:szCs w:val="24"/>
          <w:shd w:val="clear" w:color="auto" w:fill="FFFFFF"/>
        </w:rPr>
        <w:t>, </w:t>
      </w:r>
      <w:r w:rsidRPr="00A908F4">
        <w:rPr>
          <w:rFonts w:ascii="Times New Roman" w:hAnsi="Times New Roman" w:cs="Times New Roman"/>
          <w:i/>
          <w:iCs/>
          <w:color w:val="222222"/>
          <w:sz w:val="24"/>
          <w:szCs w:val="24"/>
          <w:shd w:val="clear" w:color="auto" w:fill="FFFFFF"/>
        </w:rPr>
        <w:t>12</w:t>
      </w:r>
      <w:r w:rsidRPr="00A908F4">
        <w:rPr>
          <w:rFonts w:ascii="Times New Roman" w:hAnsi="Times New Roman" w:cs="Times New Roman"/>
          <w:color w:val="222222"/>
          <w:sz w:val="24"/>
          <w:szCs w:val="24"/>
          <w:shd w:val="clear" w:color="auto" w:fill="FFFFFF"/>
        </w:rPr>
        <w:t>(10), 2470.</w:t>
      </w:r>
    </w:p>
    <w:p w14:paraId="093D8755" w14:textId="6E0AA590" w:rsidR="00A908F4" w:rsidRPr="00C83080" w:rsidRDefault="00A908F4" w:rsidP="00A6362A">
      <w:pPr>
        <w:spacing w:before="100" w:beforeAutospacing="1" w:after="100" w:afterAutospacing="1" w:line="360" w:lineRule="auto"/>
        <w:jc w:val="both"/>
        <w:rPr>
          <w:rFonts w:ascii="Times New Roman" w:eastAsia="Times New Roman" w:hAnsi="Times New Roman" w:cs="Times New Roman"/>
          <w:sz w:val="24"/>
          <w:szCs w:val="24"/>
        </w:rPr>
      </w:pPr>
      <w:commentRangeStart w:id="27"/>
      <w:r w:rsidRPr="00C83080">
        <w:rPr>
          <w:rFonts w:ascii="Times New Roman" w:eastAsia="Times New Roman" w:hAnsi="Times New Roman" w:cs="Times New Roman"/>
          <w:sz w:val="24"/>
          <w:szCs w:val="24"/>
        </w:rPr>
        <w:t xml:space="preserve">World Bank. (2019). </w:t>
      </w:r>
      <w:r w:rsidRPr="00A908F4">
        <w:rPr>
          <w:rFonts w:ascii="Times New Roman" w:eastAsia="Times New Roman" w:hAnsi="Times New Roman" w:cs="Times New Roman"/>
          <w:i/>
          <w:iCs/>
          <w:sz w:val="24"/>
          <w:szCs w:val="24"/>
        </w:rPr>
        <w:t>Agricultural productivity and post-harvest management in developing countries</w:t>
      </w:r>
      <w:r w:rsidRPr="00C83080">
        <w:rPr>
          <w:rFonts w:ascii="Times New Roman" w:eastAsia="Times New Roman" w:hAnsi="Times New Roman" w:cs="Times New Roman"/>
          <w:sz w:val="24"/>
          <w:szCs w:val="24"/>
        </w:rPr>
        <w:t>. Washington, DC: World Bank</w:t>
      </w:r>
      <w:commentRangeEnd w:id="27"/>
      <w:r w:rsidR="008E64FE">
        <w:rPr>
          <w:rStyle w:val="CommentReference"/>
        </w:rPr>
        <w:commentReference w:id="27"/>
      </w:r>
    </w:p>
    <w:p w14:paraId="5A0D130F" w14:textId="77777777" w:rsidR="00C77D3D" w:rsidRDefault="00C77D3D" w:rsidP="00A908F4">
      <w:pPr>
        <w:spacing w:line="360" w:lineRule="auto"/>
        <w:jc w:val="both"/>
        <w:rPr>
          <w:rFonts w:ascii="Times New Roman" w:hAnsi="Times New Roman" w:cs="Times New Roman"/>
          <w:sz w:val="24"/>
          <w:szCs w:val="24"/>
        </w:rPr>
      </w:pPr>
    </w:p>
    <w:p w14:paraId="42A108FB" w14:textId="77777777" w:rsidR="00C77D3D" w:rsidRDefault="00C77D3D" w:rsidP="00A908F4">
      <w:pPr>
        <w:spacing w:line="360" w:lineRule="auto"/>
        <w:jc w:val="both"/>
        <w:rPr>
          <w:rFonts w:ascii="Times New Roman" w:hAnsi="Times New Roman" w:cs="Times New Roman"/>
          <w:sz w:val="24"/>
          <w:szCs w:val="24"/>
        </w:rPr>
      </w:pPr>
    </w:p>
    <w:p w14:paraId="36E2598E" w14:textId="77777777" w:rsidR="00C77D3D" w:rsidRDefault="00C77D3D" w:rsidP="00A908F4">
      <w:pPr>
        <w:spacing w:line="360" w:lineRule="auto"/>
        <w:jc w:val="both"/>
        <w:rPr>
          <w:rFonts w:ascii="Times New Roman" w:hAnsi="Times New Roman" w:cs="Times New Roman"/>
          <w:sz w:val="24"/>
          <w:szCs w:val="24"/>
        </w:rPr>
      </w:pPr>
    </w:p>
    <w:p w14:paraId="2492644B" w14:textId="77777777" w:rsidR="00C77D3D" w:rsidRPr="00A908F4" w:rsidRDefault="00C77D3D" w:rsidP="00A908F4">
      <w:pPr>
        <w:spacing w:line="360" w:lineRule="auto"/>
        <w:jc w:val="both"/>
        <w:rPr>
          <w:rFonts w:ascii="Times New Roman" w:hAnsi="Times New Roman" w:cs="Times New Roman"/>
          <w:sz w:val="24"/>
          <w:szCs w:val="24"/>
        </w:rPr>
      </w:pPr>
    </w:p>
    <w:p w14:paraId="1F1E6492" w14:textId="77777777" w:rsidR="00A908F4" w:rsidRPr="00A908F4" w:rsidRDefault="00A908F4" w:rsidP="00A908F4">
      <w:pPr>
        <w:spacing w:line="360" w:lineRule="auto"/>
        <w:jc w:val="both"/>
        <w:rPr>
          <w:rFonts w:ascii="Times New Roman" w:hAnsi="Times New Roman" w:cs="Times New Roman"/>
          <w:sz w:val="24"/>
          <w:szCs w:val="24"/>
        </w:rPr>
      </w:pPr>
    </w:p>
    <w:sectPr w:rsidR="00A908F4" w:rsidRPr="00A908F4" w:rsidSect="0093565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ree" w:date="2025-10-15T16:31:00Z" w:initials="S">
    <w:p w14:paraId="1261BA14" w14:textId="7790E0E8" w:rsidR="006F14E5" w:rsidRDefault="006F14E5">
      <w:pPr>
        <w:pStyle w:val="CommentText"/>
      </w:pPr>
      <w:r>
        <w:rPr>
          <w:rStyle w:val="CommentReference"/>
        </w:rPr>
        <w:annotationRef/>
      </w:r>
      <w:r>
        <w:t xml:space="preserve"> Add</w:t>
      </w:r>
    </w:p>
    <w:p w14:paraId="2BA42488" w14:textId="644CE5DE" w:rsidR="006F14E5" w:rsidRDefault="006F14E5">
      <w:pPr>
        <w:pStyle w:val="CommentText"/>
      </w:pPr>
      <w:r>
        <w:t xml:space="preserve"> </w:t>
      </w:r>
      <w:proofErr w:type="gramStart"/>
      <w:r>
        <w:t>in</w:t>
      </w:r>
      <w:proofErr w:type="gramEnd"/>
      <w:r>
        <w:t xml:space="preserve"> </w:t>
      </w:r>
      <w:proofErr w:type="spellStart"/>
      <w:r>
        <w:t>Mahabubnagar</w:t>
      </w:r>
      <w:proofErr w:type="spellEnd"/>
      <w:r>
        <w:t xml:space="preserve"> District of </w:t>
      </w:r>
      <w:proofErr w:type="spellStart"/>
      <w:r>
        <w:t>Telangana</w:t>
      </w:r>
      <w:proofErr w:type="spellEnd"/>
      <w:r>
        <w:t xml:space="preserve"> </w:t>
      </w:r>
    </w:p>
  </w:comment>
  <w:comment w:id="1" w:author="Shree" w:date="2025-10-15T16:36:00Z" w:initials="S">
    <w:p w14:paraId="4A7E285A" w14:textId="7AE2E1C0" w:rsidR="006F14E5" w:rsidRDefault="006F14E5">
      <w:pPr>
        <w:pStyle w:val="CommentText"/>
      </w:pPr>
      <w:r>
        <w:rPr>
          <w:rStyle w:val="CommentReference"/>
        </w:rPr>
        <w:annotationRef/>
      </w:r>
      <w:r>
        <w:t xml:space="preserve">Specify which factor among socio-economic, behavioral and knowledge  </w:t>
      </w:r>
    </w:p>
  </w:comment>
  <w:comment w:id="2" w:author="Shree" w:date="2025-10-15T16:48:00Z" w:initials="S">
    <w:p w14:paraId="673DC9AA" w14:textId="53170657" w:rsidR="00C079E6" w:rsidRDefault="00C079E6">
      <w:pPr>
        <w:pStyle w:val="CommentText"/>
      </w:pPr>
      <w:r>
        <w:rPr>
          <w:rStyle w:val="CommentReference"/>
        </w:rPr>
        <w:annotationRef/>
      </w:r>
      <w:r>
        <w:t>Speci</w:t>
      </w:r>
      <w:r w:rsidR="00CB0107">
        <w:t xml:space="preserve">fy which analytical tool </w:t>
      </w:r>
    </w:p>
  </w:comment>
  <w:comment w:id="3" w:author="Shree" w:date="2025-10-15T17:01:00Z" w:initials="S">
    <w:p w14:paraId="355B0A2D" w14:textId="23462ACC" w:rsidR="00CB0107" w:rsidRDefault="00CB0107">
      <w:pPr>
        <w:pStyle w:val="CommentText"/>
      </w:pPr>
      <w:r>
        <w:rPr>
          <w:rStyle w:val="CommentReference"/>
        </w:rPr>
        <w:annotationRef/>
      </w:r>
      <w:r w:rsidR="008D6854">
        <w:t>Segregate fourteen</w:t>
      </w:r>
      <w:r>
        <w:t xml:space="preserve"> </w:t>
      </w:r>
      <w:r w:rsidR="008D6854">
        <w:t>variable</w:t>
      </w:r>
      <w:r>
        <w:t xml:space="preserve"> like its related to which factor because it will be easy to understand</w:t>
      </w:r>
    </w:p>
  </w:comment>
  <w:comment w:id="4" w:author="Shree" w:date="2025-10-15T17:16:00Z" w:initials="S">
    <w:p w14:paraId="59EBAE91" w14:textId="60094E77" w:rsidR="00701B9F" w:rsidRDefault="00701B9F">
      <w:pPr>
        <w:pStyle w:val="CommentText"/>
      </w:pPr>
      <w:r>
        <w:rPr>
          <w:rStyle w:val="CommentReference"/>
        </w:rPr>
        <w:annotationRef/>
      </w:r>
      <w:r>
        <w:t>Thses are not include in key words</w:t>
      </w:r>
    </w:p>
    <w:p w14:paraId="78AF0AAD" w14:textId="77777777" w:rsidR="00701B9F" w:rsidRDefault="00701B9F">
      <w:pPr>
        <w:pStyle w:val="CommentText"/>
      </w:pPr>
      <w:r w:rsidRPr="00701B9F">
        <w:rPr>
          <w:rStyle w:val="Strong"/>
        </w:rPr>
        <w:t>Keywords</w:t>
      </w:r>
      <w:r w:rsidRPr="00701B9F">
        <w:t xml:space="preserve"> are </w:t>
      </w:r>
      <w:r w:rsidRPr="00701B9F">
        <w:rPr>
          <w:rStyle w:val="Strong"/>
        </w:rPr>
        <w:t>important words or short phrases</w:t>
      </w:r>
      <w:r w:rsidRPr="00701B9F">
        <w:t xml:space="preserve"> that represent the </w:t>
      </w:r>
      <w:r w:rsidRPr="00701B9F">
        <w:rPr>
          <w:rStyle w:val="Strong"/>
        </w:rPr>
        <w:t>main topics, concepts, or variables</w:t>
      </w:r>
      <w:r w:rsidRPr="00701B9F">
        <w:t xml:space="preserve"> discussed in your research paper.</w:t>
      </w:r>
      <w:r>
        <w:t xml:space="preserve"> </w:t>
      </w:r>
    </w:p>
    <w:p w14:paraId="35E507F7" w14:textId="4D79B37B" w:rsidR="00701B9F" w:rsidRPr="00701B9F" w:rsidRDefault="00701B9F">
      <w:pPr>
        <w:pStyle w:val="CommentText"/>
      </w:pPr>
      <w:r>
        <w:t xml:space="preserve">Rewrite the keywords </w:t>
      </w:r>
    </w:p>
  </w:comment>
  <w:comment w:id="5" w:author="Shree" w:date="2025-10-16T23:00:00Z" w:initials="S">
    <w:p w14:paraId="7B70EB30" w14:textId="4D2E6632" w:rsidR="008E64FE" w:rsidRDefault="008E64FE">
      <w:pPr>
        <w:pStyle w:val="CommentText"/>
      </w:pPr>
      <w:r>
        <w:rPr>
          <w:rStyle w:val="CommentReference"/>
        </w:rPr>
        <w:annotationRef/>
      </w:r>
      <w:r>
        <w:t xml:space="preserve">What is this </w:t>
      </w:r>
    </w:p>
  </w:comment>
  <w:comment w:id="6" w:author="Shree" w:date="2025-10-16T21:25:00Z" w:initials="S">
    <w:p w14:paraId="0B7257BA" w14:textId="50F13897" w:rsidR="008E2CA4" w:rsidRDefault="008E2CA4">
      <w:pPr>
        <w:pStyle w:val="CommentText"/>
      </w:pPr>
      <w:r>
        <w:rPr>
          <w:rStyle w:val="CommentReference"/>
        </w:rPr>
        <w:annotationRef/>
      </w:r>
      <w:r>
        <w:t xml:space="preserve">Mention objectives of </w:t>
      </w:r>
      <w:proofErr w:type="gramStart"/>
      <w:r>
        <w:t xml:space="preserve">study  </w:t>
      </w:r>
      <w:proofErr w:type="spellStart"/>
      <w:r>
        <w:t>seperetly</w:t>
      </w:r>
      <w:proofErr w:type="spellEnd"/>
      <w:proofErr w:type="gramEnd"/>
      <w:r>
        <w:t xml:space="preserve"> </w:t>
      </w:r>
    </w:p>
  </w:comment>
  <w:comment w:id="7" w:author="Shree" w:date="2025-10-16T21:31:00Z" w:initials="S">
    <w:p w14:paraId="5C35CEE1" w14:textId="681FDBD9" w:rsidR="008E2CA4" w:rsidRDefault="008E2CA4">
      <w:pPr>
        <w:pStyle w:val="CommentText"/>
      </w:pPr>
      <w:r>
        <w:rPr>
          <w:rStyle w:val="CommentReference"/>
        </w:rPr>
        <w:annotationRef/>
      </w:r>
      <w:r>
        <w:t xml:space="preserve">Please give clarity why this is used in study and it is range </w:t>
      </w:r>
    </w:p>
  </w:comment>
  <w:comment w:id="8" w:author="Shree" w:date="2025-10-16T21:32:00Z" w:initials="S">
    <w:p w14:paraId="105CF59C" w14:textId="5C829977" w:rsidR="008E2CA4" w:rsidRDefault="008E2CA4">
      <w:pPr>
        <w:pStyle w:val="CommentText"/>
      </w:pPr>
      <w:r>
        <w:rPr>
          <w:rStyle w:val="CommentReference"/>
        </w:rPr>
        <w:annotationRef/>
      </w:r>
      <w:r>
        <w:t xml:space="preserve">Write formula, why it is use, write about range and what it is indicating </w:t>
      </w:r>
    </w:p>
    <w:p w14:paraId="1F373BC0" w14:textId="7B88A429" w:rsidR="000C1B3D" w:rsidRDefault="000C1B3D">
      <w:pPr>
        <w:pStyle w:val="CommentText"/>
      </w:pPr>
      <w:r>
        <w:t xml:space="preserve">What is threshold, what it indicate and its range </w:t>
      </w:r>
    </w:p>
  </w:comment>
  <w:comment w:id="9" w:author="Shree" w:date="2025-10-16T21:30:00Z" w:initials="S">
    <w:p w14:paraId="1223E8BA" w14:textId="77777777" w:rsidR="008E2CA4" w:rsidRDefault="008E2CA4">
      <w:pPr>
        <w:pStyle w:val="CommentText"/>
      </w:pPr>
      <w:r>
        <w:rPr>
          <w:rStyle w:val="CommentReference"/>
        </w:rPr>
        <w:annotationRef/>
      </w:r>
    </w:p>
    <w:p w14:paraId="403E46C7" w14:textId="0CEC318E" w:rsidR="008E2CA4" w:rsidRDefault="008E2CA4">
      <w:pPr>
        <w:pStyle w:val="CommentText"/>
      </w:pPr>
      <w:r>
        <w:t xml:space="preserve">1. Write formula, </w:t>
      </w:r>
    </w:p>
    <w:p w14:paraId="1071D655" w14:textId="5B3149E1" w:rsidR="008E2CA4" w:rsidRDefault="008E2CA4">
      <w:pPr>
        <w:pStyle w:val="CommentText"/>
      </w:pPr>
      <w:r>
        <w:t xml:space="preserve">2. </w:t>
      </w:r>
      <w:proofErr w:type="gramStart"/>
      <w:r>
        <w:t>why</w:t>
      </w:r>
      <w:proofErr w:type="gramEnd"/>
      <w:r>
        <w:t xml:space="preserve"> it is used in study,</w:t>
      </w:r>
    </w:p>
    <w:p w14:paraId="5114CFC6" w14:textId="7A384162" w:rsidR="008E2CA4" w:rsidRDefault="008E2CA4">
      <w:pPr>
        <w:pStyle w:val="CommentText"/>
      </w:pPr>
      <w:r>
        <w:t xml:space="preserve"> </w:t>
      </w:r>
      <w:proofErr w:type="gramStart"/>
      <w:r>
        <w:t>3.</w:t>
      </w:r>
      <w:r>
        <w:t>write</w:t>
      </w:r>
      <w:proofErr w:type="gramEnd"/>
      <w:r>
        <w:t xml:space="preserve"> about range and what it is indicating</w:t>
      </w:r>
    </w:p>
  </w:comment>
  <w:comment w:id="11" w:author="Shree" w:date="2025-10-16T21:39:00Z" w:initials="S">
    <w:p w14:paraId="710F14F3" w14:textId="6BE74581" w:rsidR="00517B38" w:rsidRDefault="00517B38">
      <w:pPr>
        <w:pStyle w:val="CommentText"/>
      </w:pPr>
      <w:r>
        <w:rPr>
          <w:rStyle w:val="CommentReference"/>
        </w:rPr>
        <w:annotationRef/>
      </w:r>
      <w:r>
        <w:t xml:space="preserve">Define VIF value and what it indicate </w:t>
      </w:r>
    </w:p>
  </w:comment>
  <w:comment w:id="10" w:author="Shree" w:date="2025-10-16T21:32:00Z" w:initials="S">
    <w:p w14:paraId="5D7D1DE4" w14:textId="1A710160" w:rsidR="00517B38" w:rsidRDefault="00517B38">
      <w:pPr>
        <w:pStyle w:val="CommentText"/>
      </w:pPr>
      <w:r>
        <w:rPr>
          <w:rStyle w:val="CommentReference"/>
        </w:rPr>
        <w:annotationRef/>
      </w:r>
      <w:r>
        <w:t xml:space="preserve">Please specify about this range in methodology for clear understanding </w:t>
      </w:r>
    </w:p>
  </w:comment>
  <w:comment w:id="12" w:author="Shree" w:date="2025-10-16T21:33:00Z" w:initials="S">
    <w:p w14:paraId="7C4E8781" w14:textId="07783862" w:rsidR="00517B38" w:rsidRDefault="00517B38">
      <w:pPr>
        <w:pStyle w:val="CommentText"/>
      </w:pPr>
      <w:r>
        <w:rPr>
          <w:rStyle w:val="CommentReference"/>
        </w:rPr>
        <w:annotationRef/>
      </w:r>
      <w:r>
        <w:t xml:space="preserve">What is range </w:t>
      </w:r>
      <w:proofErr w:type="spellStart"/>
      <w:r>
        <w:t>fr</w:t>
      </w:r>
      <w:proofErr w:type="spellEnd"/>
      <w:r>
        <w:t xml:space="preserve"> minimal</w:t>
      </w:r>
    </w:p>
  </w:comment>
  <w:comment w:id="13" w:author="Shree" w:date="2025-10-16T21:34:00Z" w:initials="S">
    <w:p w14:paraId="2A17BAB4" w14:textId="144F87FE" w:rsidR="00517B38" w:rsidRDefault="00517B38">
      <w:pPr>
        <w:pStyle w:val="CommentText"/>
      </w:pPr>
      <w:r>
        <w:rPr>
          <w:rStyle w:val="CommentReference"/>
        </w:rPr>
        <w:annotationRef/>
      </w:r>
      <w:r>
        <w:t xml:space="preserve">If its low that it indicate </w:t>
      </w:r>
    </w:p>
  </w:comment>
  <w:comment w:id="14" w:author="Shree" w:date="2025-10-16T22:51:00Z" w:initials="S">
    <w:p w14:paraId="0B0006F6" w14:textId="68154E51" w:rsidR="00345D6A" w:rsidRDefault="00345D6A">
      <w:pPr>
        <w:pStyle w:val="CommentText"/>
      </w:pPr>
      <w:r>
        <w:rPr>
          <w:rStyle w:val="CommentReference"/>
        </w:rPr>
        <w:annotationRef/>
      </w:r>
      <w:r>
        <w:t xml:space="preserve">Left alignment </w:t>
      </w:r>
    </w:p>
  </w:comment>
  <w:comment w:id="15" w:author="Shree" w:date="2025-10-16T22:50:00Z" w:initials="S">
    <w:p w14:paraId="23E3F261" w14:textId="1FF6BE4C" w:rsidR="00345D6A" w:rsidRDefault="00345D6A">
      <w:pPr>
        <w:pStyle w:val="CommentText"/>
      </w:pPr>
      <w:r>
        <w:rPr>
          <w:rStyle w:val="CommentReference"/>
        </w:rPr>
        <w:annotationRef/>
      </w:r>
      <w:r>
        <w:t>Use this reference in different place not in one time</w:t>
      </w:r>
    </w:p>
  </w:comment>
  <w:comment w:id="16" w:author="Shree" w:date="2025-10-16T22:46:00Z" w:initials="S">
    <w:p w14:paraId="0090966C" w14:textId="77777777" w:rsidR="00345D6A" w:rsidRPr="00345D6A" w:rsidRDefault="00345D6A" w:rsidP="00345D6A">
      <w:pPr>
        <w:pStyle w:val="CommentText"/>
      </w:pPr>
      <w:r>
        <w:rPr>
          <w:rStyle w:val="CommentReference"/>
        </w:rPr>
        <w:annotationRef/>
      </w:r>
      <w:r w:rsidRPr="00345D6A">
        <w:t xml:space="preserve">Remove % and add percentage in text </w:t>
      </w:r>
    </w:p>
    <w:p w14:paraId="707F33AF" w14:textId="5AEEC199" w:rsidR="00345D6A" w:rsidRDefault="00345D6A">
      <w:pPr>
        <w:pStyle w:val="CommentText"/>
      </w:pPr>
    </w:p>
  </w:comment>
  <w:comment w:id="17" w:author="Shree" w:date="2025-10-16T22:46:00Z" w:initials="S">
    <w:p w14:paraId="3E6076A9" w14:textId="3CD8FDB2" w:rsidR="00345D6A" w:rsidRDefault="00345D6A">
      <w:pPr>
        <w:pStyle w:val="CommentText"/>
      </w:pPr>
      <w:r>
        <w:rPr>
          <w:rStyle w:val="CommentReference"/>
        </w:rPr>
        <w:annotationRef/>
      </w:r>
      <w:r>
        <w:t xml:space="preserve">Remove % and add percentage in text </w:t>
      </w:r>
    </w:p>
  </w:comment>
  <w:comment w:id="18" w:author="Shree" w:date="2025-10-16T22:46:00Z" w:initials="S">
    <w:p w14:paraId="3AF4EDFC" w14:textId="77777777" w:rsidR="00345D6A" w:rsidRPr="00345D6A" w:rsidRDefault="00345D6A" w:rsidP="00345D6A">
      <w:pPr>
        <w:pStyle w:val="CommentText"/>
      </w:pPr>
      <w:r>
        <w:rPr>
          <w:rStyle w:val="CommentReference"/>
        </w:rPr>
        <w:annotationRef/>
      </w:r>
      <w:r w:rsidRPr="00345D6A">
        <w:t xml:space="preserve">Remove % and add percentage in text </w:t>
      </w:r>
    </w:p>
    <w:p w14:paraId="698D7F01" w14:textId="744E43A5" w:rsidR="00345D6A" w:rsidRDefault="00345D6A">
      <w:pPr>
        <w:pStyle w:val="CommentText"/>
      </w:pPr>
    </w:p>
  </w:comment>
  <w:comment w:id="19" w:author="Shree" w:date="2025-10-16T22:45:00Z" w:initials="S">
    <w:p w14:paraId="7FFC730D" w14:textId="5168FF94" w:rsidR="00345D6A" w:rsidRDefault="00345D6A">
      <w:pPr>
        <w:pStyle w:val="CommentText"/>
      </w:pPr>
      <w:r>
        <w:rPr>
          <w:rStyle w:val="CommentReference"/>
        </w:rPr>
        <w:annotationRef/>
      </w:r>
      <w:r>
        <w:t xml:space="preserve">Remove tent to adopt and add adopting </w:t>
      </w:r>
    </w:p>
  </w:comment>
  <w:comment w:id="20" w:author="Shree" w:date="2025-10-16T22:56:00Z" w:initials="S">
    <w:p w14:paraId="7CA97D35" w14:textId="65C41977" w:rsidR="00345D6A" w:rsidRDefault="00345D6A">
      <w:pPr>
        <w:pStyle w:val="CommentText"/>
      </w:pPr>
      <w:r>
        <w:rPr>
          <w:rStyle w:val="CommentReference"/>
        </w:rPr>
        <w:annotationRef/>
      </w:r>
      <w:r>
        <w:t>The conclusion mainly summarizes results but lacks synthesis, policy implications, and clear linkage to the study objectives, so it needs to be more analytical and forward-looking.</w:t>
      </w:r>
      <w:r>
        <w:t xml:space="preserve"> </w:t>
      </w:r>
    </w:p>
  </w:comment>
  <w:comment w:id="21" w:author="Shree" w:date="2025-10-16T22:52:00Z" w:initials="S">
    <w:p w14:paraId="723EA607" w14:textId="52316F82" w:rsidR="00345D6A" w:rsidRDefault="00345D6A">
      <w:pPr>
        <w:pStyle w:val="CommentText"/>
      </w:pPr>
      <w:r>
        <w:rPr>
          <w:rStyle w:val="CommentReference"/>
        </w:rPr>
        <w:annotationRef/>
      </w:r>
      <w:proofErr w:type="gramStart"/>
      <w:r>
        <w:t>revealed</w:t>
      </w:r>
      <w:proofErr w:type="gramEnd"/>
    </w:p>
  </w:comment>
  <w:comment w:id="22" w:author="Shree" w:date="2025-10-16T22:52:00Z" w:initials="S">
    <w:p w14:paraId="7422F17D" w14:textId="1BCBFA90" w:rsidR="00345D6A" w:rsidRDefault="00345D6A">
      <w:pPr>
        <w:pStyle w:val="CommentText"/>
      </w:pPr>
      <w:r>
        <w:rPr>
          <w:rStyle w:val="CommentReference"/>
        </w:rPr>
        <w:annotationRef/>
      </w:r>
      <w:proofErr w:type="gramStart"/>
      <w:r>
        <w:t>adopting</w:t>
      </w:r>
      <w:proofErr w:type="gramEnd"/>
      <w:r>
        <w:t xml:space="preserve"> </w:t>
      </w:r>
    </w:p>
  </w:comment>
  <w:comment w:id="23" w:author="Shree" w:date="2025-10-16T22:53:00Z" w:initials="S">
    <w:p w14:paraId="08AB5A6C" w14:textId="725E361D" w:rsidR="00345D6A" w:rsidRDefault="00345D6A">
      <w:pPr>
        <w:pStyle w:val="CommentText"/>
      </w:pPr>
      <w:r>
        <w:rPr>
          <w:rStyle w:val="CommentReference"/>
        </w:rPr>
        <w:annotationRef/>
      </w:r>
      <w:proofErr w:type="gramStart"/>
      <w:r>
        <w:t>specify</w:t>
      </w:r>
      <w:proofErr w:type="gramEnd"/>
      <w:r>
        <w:t xml:space="preserve"> tools </w:t>
      </w:r>
    </w:p>
  </w:comment>
  <w:comment w:id="24" w:author="Shree" w:date="2025-10-16T22:59:00Z" w:initials="S">
    <w:p w14:paraId="18481FC2" w14:textId="01BA67A6" w:rsidR="008E64FE" w:rsidRDefault="008E64FE">
      <w:pPr>
        <w:pStyle w:val="CommentText"/>
      </w:pPr>
      <w:r>
        <w:rPr>
          <w:rStyle w:val="CommentReference"/>
        </w:rPr>
        <w:annotationRef/>
      </w:r>
      <w:proofErr w:type="gramStart"/>
      <w:r w:rsidRPr="008E64FE">
        <w:t>should</w:t>
      </w:r>
      <w:proofErr w:type="gramEnd"/>
      <w:r w:rsidRPr="008E64FE">
        <w:t xml:space="preserve"> be formatted as a report, not an article</w:t>
      </w:r>
    </w:p>
  </w:comment>
  <w:comment w:id="25" w:author="Shree" w:date="2025-10-16T23:00:00Z" w:initials="S">
    <w:p w14:paraId="3C837808" w14:textId="5B66E46E" w:rsidR="008E64FE" w:rsidRDefault="008E64FE">
      <w:pPr>
        <w:pStyle w:val="CommentText"/>
      </w:pPr>
      <w:r>
        <w:rPr>
          <w:rStyle w:val="CommentReference"/>
        </w:rPr>
        <w:annotationRef/>
      </w:r>
      <w:proofErr w:type="gramStart"/>
      <w:r w:rsidRPr="008E64FE">
        <w:t>should</w:t>
      </w:r>
      <w:proofErr w:type="gramEnd"/>
      <w:r w:rsidRPr="008E64FE">
        <w:t xml:space="preserve"> be formatted as a report, not an article</w:t>
      </w:r>
      <w:bookmarkStart w:id="26" w:name="_GoBack"/>
      <w:bookmarkEnd w:id="26"/>
    </w:p>
  </w:comment>
  <w:comment w:id="27" w:author="Shree" w:date="2025-10-16T22:59:00Z" w:initials="S">
    <w:p w14:paraId="4214172F" w14:textId="2435EC21" w:rsidR="008E64FE" w:rsidRDefault="008E64FE">
      <w:pPr>
        <w:pStyle w:val="CommentText"/>
      </w:pPr>
      <w:r>
        <w:rPr>
          <w:rStyle w:val="CommentReference"/>
        </w:rPr>
        <w:annotationRef/>
      </w:r>
      <w:proofErr w:type="gramStart"/>
      <w:r>
        <w:t>should</w:t>
      </w:r>
      <w:proofErr w:type="gramEnd"/>
      <w:r>
        <w:t xml:space="preserve"> be formatted as a report, not an article</w:t>
      </w: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DED2E" w14:textId="77777777" w:rsidR="008C5051" w:rsidRDefault="008C5051" w:rsidP="00B75CF0">
      <w:pPr>
        <w:spacing w:after="0" w:line="240" w:lineRule="auto"/>
      </w:pPr>
      <w:r>
        <w:separator/>
      </w:r>
    </w:p>
  </w:endnote>
  <w:endnote w:type="continuationSeparator" w:id="0">
    <w:p w14:paraId="2A123B88" w14:textId="77777777" w:rsidR="008C5051" w:rsidRDefault="008C5051" w:rsidP="00B7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A796A" w14:textId="77777777" w:rsidR="00B75CF0" w:rsidRDefault="00B75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56DA6" w14:textId="77777777" w:rsidR="00B75CF0" w:rsidRDefault="00B75C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50761" w14:textId="77777777" w:rsidR="00B75CF0" w:rsidRDefault="00B75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25D3C" w14:textId="77777777" w:rsidR="008C5051" w:rsidRDefault="008C5051" w:rsidP="00B75CF0">
      <w:pPr>
        <w:spacing w:after="0" w:line="240" w:lineRule="auto"/>
      </w:pPr>
      <w:r>
        <w:separator/>
      </w:r>
    </w:p>
  </w:footnote>
  <w:footnote w:type="continuationSeparator" w:id="0">
    <w:p w14:paraId="3CFDFD94" w14:textId="77777777" w:rsidR="008C5051" w:rsidRDefault="008C5051" w:rsidP="00B75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84DDD" w14:textId="6EE0288B" w:rsidR="00B75CF0" w:rsidRDefault="008C5051">
    <w:pPr>
      <w:pStyle w:val="Header"/>
    </w:pPr>
    <w:r>
      <w:rPr>
        <w:noProof/>
        <w:lang w:val="en-US" w:eastAsia="en-US"/>
      </w:rPr>
      <w:pict w14:anchorId="797A9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5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5251F" w14:textId="0E5DE53D" w:rsidR="00B75CF0" w:rsidRDefault="008C5051">
    <w:pPr>
      <w:pStyle w:val="Header"/>
    </w:pPr>
    <w:r>
      <w:rPr>
        <w:noProof/>
        <w:lang w:val="en-US" w:eastAsia="en-US"/>
      </w:rPr>
      <w:pict w14:anchorId="7F919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5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80187" w14:textId="23AEEACF" w:rsidR="00B75CF0" w:rsidRDefault="008C5051">
    <w:pPr>
      <w:pStyle w:val="Header"/>
    </w:pPr>
    <w:r>
      <w:rPr>
        <w:noProof/>
        <w:lang w:val="en-US" w:eastAsia="en-US"/>
      </w:rPr>
      <w:pict w14:anchorId="743B5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415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CBB"/>
    <w:multiLevelType w:val="hybridMultilevel"/>
    <w:tmpl w:val="A786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D0E74"/>
    <w:multiLevelType w:val="hybridMultilevel"/>
    <w:tmpl w:val="4F421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B70AC"/>
    <w:multiLevelType w:val="hybridMultilevel"/>
    <w:tmpl w:val="B17C6DC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6DC53BC"/>
    <w:multiLevelType w:val="hybridMultilevel"/>
    <w:tmpl w:val="3B546DC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5389C"/>
    <w:multiLevelType w:val="hybridMultilevel"/>
    <w:tmpl w:val="CC022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D081B"/>
    <w:multiLevelType w:val="hybridMultilevel"/>
    <w:tmpl w:val="2BD863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721237"/>
    <w:multiLevelType w:val="hybridMultilevel"/>
    <w:tmpl w:val="E89667E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FE339DE"/>
    <w:multiLevelType w:val="hybridMultilevel"/>
    <w:tmpl w:val="541AC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117DF"/>
    <w:multiLevelType w:val="hybridMultilevel"/>
    <w:tmpl w:val="D4F078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F7A2C"/>
    <w:multiLevelType w:val="hybridMultilevel"/>
    <w:tmpl w:val="8C08880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6BA004E"/>
    <w:multiLevelType w:val="hybridMultilevel"/>
    <w:tmpl w:val="CD7CB14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8536DB5"/>
    <w:multiLevelType w:val="hybridMultilevel"/>
    <w:tmpl w:val="1722C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91161E"/>
    <w:multiLevelType w:val="hybridMultilevel"/>
    <w:tmpl w:val="568A6BF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49BE5305"/>
    <w:multiLevelType w:val="hybridMultilevel"/>
    <w:tmpl w:val="6B76F322"/>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B13931"/>
    <w:multiLevelType w:val="multilevel"/>
    <w:tmpl w:val="BDC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9C6C35"/>
    <w:multiLevelType w:val="hybridMultilevel"/>
    <w:tmpl w:val="D856E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646DD"/>
    <w:multiLevelType w:val="hybridMultilevel"/>
    <w:tmpl w:val="11CE8E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BC65F78"/>
    <w:multiLevelType w:val="multilevel"/>
    <w:tmpl w:val="95D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267EA4"/>
    <w:multiLevelType w:val="hybridMultilevel"/>
    <w:tmpl w:val="F1944228"/>
    <w:lvl w:ilvl="0" w:tplc="213E99E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74791A09"/>
    <w:multiLevelType w:val="hybridMultilevel"/>
    <w:tmpl w:val="11CE8E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76101190"/>
    <w:multiLevelType w:val="hybridMultilevel"/>
    <w:tmpl w:val="05F85BE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770C6607"/>
    <w:multiLevelType w:val="hybridMultilevel"/>
    <w:tmpl w:val="ED10487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7"/>
  </w:num>
  <w:num w:numId="2">
    <w:abstractNumId w:val="12"/>
  </w:num>
  <w:num w:numId="3">
    <w:abstractNumId w:val="14"/>
  </w:num>
  <w:num w:numId="4">
    <w:abstractNumId w:val="21"/>
  </w:num>
  <w:num w:numId="5">
    <w:abstractNumId w:val="20"/>
  </w:num>
  <w:num w:numId="6">
    <w:abstractNumId w:val="6"/>
  </w:num>
  <w:num w:numId="7">
    <w:abstractNumId w:val="9"/>
  </w:num>
  <w:num w:numId="8">
    <w:abstractNumId w:val="2"/>
  </w:num>
  <w:num w:numId="9">
    <w:abstractNumId w:val="10"/>
  </w:num>
  <w:num w:numId="10">
    <w:abstractNumId w:val="19"/>
  </w:num>
  <w:num w:numId="11">
    <w:abstractNumId w:val="16"/>
  </w:num>
  <w:num w:numId="12">
    <w:abstractNumId w:val="18"/>
  </w:num>
  <w:num w:numId="13">
    <w:abstractNumId w:val="0"/>
  </w:num>
  <w:num w:numId="14">
    <w:abstractNumId w:val="1"/>
  </w:num>
  <w:num w:numId="15">
    <w:abstractNumId w:val="3"/>
  </w:num>
  <w:num w:numId="16">
    <w:abstractNumId w:val="13"/>
  </w:num>
  <w:num w:numId="17">
    <w:abstractNumId w:val="5"/>
  </w:num>
  <w:num w:numId="18">
    <w:abstractNumId w:val="8"/>
  </w:num>
  <w:num w:numId="19">
    <w:abstractNumId w:val="7"/>
  </w:num>
  <w:num w:numId="20">
    <w:abstractNumId w:val="1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EF"/>
    <w:rsid w:val="000C1B3D"/>
    <w:rsid w:val="0018235D"/>
    <w:rsid w:val="00190745"/>
    <w:rsid w:val="001A6447"/>
    <w:rsid w:val="00304049"/>
    <w:rsid w:val="00321094"/>
    <w:rsid w:val="00345D6A"/>
    <w:rsid w:val="00352601"/>
    <w:rsid w:val="003D6F22"/>
    <w:rsid w:val="00517B38"/>
    <w:rsid w:val="0063066C"/>
    <w:rsid w:val="0065442B"/>
    <w:rsid w:val="006E09F1"/>
    <w:rsid w:val="006F14E5"/>
    <w:rsid w:val="00701B9F"/>
    <w:rsid w:val="00707814"/>
    <w:rsid w:val="00845694"/>
    <w:rsid w:val="008C5051"/>
    <w:rsid w:val="008D6854"/>
    <w:rsid w:val="008E2CA4"/>
    <w:rsid w:val="008E64FE"/>
    <w:rsid w:val="0093565D"/>
    <w:rsid w:val="00997884"/>
    <w:rsid w:val="009C10EF"/>
    <w:rsid w:val="00A6362A"/>
    <w:rsid w:val="00A773E1"/>
    <w:rsid w:val="00A908F4"/>
    <w:rsid w:val="00AC1CCF"/>
    <w:rsid w:val="00B75CF0"/>
    <w:rsid w:val="00C079E6"/>
    <w:rsid w:val="00C77D3D"/>
    <w:rsid w:val="00C83080"/>
    <w:rsid w:val="00C90BE2"/>
    <w:rsid w:val="00CA18EA"/>
    <w:rsid w:val="00CB0107"/>
    <w:rsid w:val="00D70DD6"/>
    <w:rsid w:val="00E1428F"/>
    <w:rsid w:val="00E7338A"/>
    <w:rsid w:val="00EB16AE"/>
    <w:rsid w:val="00F74217"/>
    <w:rsid w:val="00F87CCE"/>
    <w:rsid w:val="00FB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C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A18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0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A18EA"/>
    <w:rPr>
      <w:rFonts w:ascii="Times New Roman" w:eastAsia="Times New Roman" w:hAnsi="Times New Roman" w:cs="Times New Roman"/>
      <w:b/>
      <w:bCs/>
      <w:sz w:val="27"/>
      <w:szCs w:val="27"/>
    </w:rPr>
  </w:style>
  <w:style w:type="paragraph" w:styleId="NormalWeb">
    <w:name w:val="Normal (Web)"/>
    <w:basedOn w:val="Normal"/>
    <w:uiPriority w:val="99"/>
    <w:unhideWhenUsed/>
    <w:rsid w:val="00CA18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18EA"/>
    <w:rPr>
      <w:b/>
      <w:bCs/>
    </w:rPr>
  </w:style>
  <w:style w:type="character" w:styleId="Emphasis">
    <w:name w:val="Emphasis"/>
    <w:basedOn w:val="DefaultParagraphFont"/>
    <w:uiPriority w:val="20"/>
    <w:qFormat/>
    <w:rsid w:val="00CA18EA"/>
    <w:rPr>
      <w:i/>
      <w:iCs/>
    </w:rPr>
  </w:style>
  <w:style w:type="paragraph" w:styleId="ListParagraph">
    <w:name w:val="List Paragraph"/>
    <w:basedOn w:val="Normal"/>
    <w:uiPriority w:val="34"/>
    <w:qFormat/>
    <w:rsid w:val="00CA18EA"/>
    <w:pPr>
      <w:ind w:left="720"/>
      <w:contextualSpacing/>
    </w:pPr>
  </w:style>
  <w:style w:type="character" w:styleId="Hyperlink">
    <w:name w:val="Hyperlink"/>
    <w:basedOn w:val="DefaultParagraphFont"/>
    <w:uiPriority w:val="99"/>
    <w:unhideWhenUsed/>
    <w:rsid w:val="0063066C"/>
    <w:rPr>
      <w:color w:val="0000FF" w:themeColor="hyperlink"/>
      <w:u w:val="single"/>
    </w:rPr>
  </w:style>
  <w:style w:type="paragraph" w:styleId="NoSpacing">
    <w:name w:val="No Spacing"/>
    <w:uiPriority w:val="1"/>
    <w:qFormat/>
    <w:rsid w:val="00C77D3D"/>
    <w:pPr>
      <w:spacing w:after="0" w:line="240" w:lineRule="auto"/>
    </w:pPr>
  </w:style>
  <w:style w:type="paragraph" w:styleId="Header">
    <w:name w:val="header"/>
    <w:basedOn w:val="Normal"/>
    <w:link w:val="HeaderChar"/>
    <w:uiPriority w:val="99"/>
    <w:unhideWhenUsed/>
    <w:rsid w:val="00B75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CF0"/>
  </w:style>
  <w:style w:type="paragraph" w:styleId="Footer">
    <w:name w:val="footer"/>
    <w:basedOn w:val="Normal"/>
    <w:link w:val="FooterChar"/>
    <w:uiPriority w:val="99"/>
    <w:unhideWhenUsed/>
    <w:rsid w:val="00B7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F0"/>
  </w:style>
  <w:style w:type="character" w:styleId="CommentReference">
    <w:name w:val="annotation reference"/>
    <w:basedOn w:val="DefaultParagraphFont"/>
    <w:uiPriority w:val="99"/>
    <w:semiHidden/>
    <w:unhideWhenUsed/>
    <w:rsid w:val="00AC1CCF"/>
    <w:rPr>
      <w:sz w:val="16"/>
      <w:szCs w:val="16"/>
    </w:rPr>
  </w:style>
  <w:style w:type="paragraph" w:styleId="CommentText">
    <w:name w:val="annotation text"/>
    <w:basedOn w:val="Normal"/>
    <w:link w:val="CommentTextChar"/>
    <w:uiPriority w:val="99"/>
    <w:semiHidden/>
    <w:unhideWhenUsed/>
    <w:rsid w:val="00AC1CCF"/>
    <w:pPr>
      <w:spacing w:line="240" w:lineRule="auto"/>
    </w:pPr>
    <w:rPr>
      <w:sz w:val="20"/>
      <w:szCs w:val="20"/>
    </w:rPr>
  </w:style>
  <w:style w:type="character" w:customStyle="1" w:styleId="CommentTextChar">
    <w:name w:val="Comment Text Char"/>
    <w:basedOn w:val="DefaultParagraphFont"/>
    <w:link w:val="CommentText"/>
    <w:uiPriority w:val="99"/>
    <w:semiHidden/>
    <w:rsid w:val="00AC1CCF"/>
    <w:rPr>
      <w:sz w:val="20"/>
      <w:szCs w:val="20"/>
    </w:rPr>
  </w:style>
  <w:style w:type="paragraph" w:styleId="CommentSubject">
    <w:name w:val="annotation subject"/>
    <w:basedOn w:val="CommentText"/>
    <w:next w:val="CommentText"/>
    <w:link w:val="CommentSubjectChar"/>
    <w:uiPriority w:val="99"/>
    <w:semiHidden/>
    <w:unhideWhenUsed/>
    <w:rsid w:val="00AC1CCF"/>
    <w:rPr>
      <w:b/>
      <w:bCs/>
    </w:rPr>
  </w:style>
  <w:style w:type="character" w:customStyle="1" w:styleId="CommentSubjectChar">
    <w:name w:val="Comment Subject Char"/>
    <w:basedOn w:val="CommentTextChar"/>
    <w:link w:val="CommentSubject"/>
    <w:uiPriority w:val="99"/>
    <w:semiHidden/>
    <w:rsid w:val="00AC1CCF"/>
    <w:rPr>
      <w:b/>
      <w:bCs/>
      <w:sz w:val="20"/>
      <w:szCs w:val="20"/>
    </w:rPr>
  </w:style>
  <w:style w:type="paragraph" w:styleId="BalloonText">
    <w:name w:val="Balloon Text"/>
    <w:basedOn w:val="Normal"/>
    <w:link w:val="BalloonTextChar"/>
    <w:uiPriority w:val="99"/>
    <w:semiHidden/>
    <w:unhideWhenUsed/>
    <w:rsid w:val="00AC1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CCF"/>
    <w:rPr>
      <w:rFonts w:ascii="Tahoma" w:hAnsi="Tahoma" w:cs="Tahoma"/>
      <w:sz w:val="16"/>
      <w:szCs w:val="16"/>
    </w:rPr>
  </w:style>
  <w:style w:type="paragraph" w:styleId="Revision">
    <w:name w:val="Revision"/>
    <w:hidden/>
    <w:uiPriority w:val="99"/>
    <w:semiHidden/>
    <w:rsid w:val="00517B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A18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0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A18EA"/>
    <w:rPr>
      <w:rFonts w:ascii="Times New Roman" w:eastAsia="Times New Roman" w:hAnsi="Times New Roman" w:cs="Times New Roman"/>
      <w:b/>
      <w:bCs/>
      <w:sz w:val="27"/>
      <w:szCs w:val="27"/>
    </w:rPr>
  </w:style>
  <w:style w:type="paragraph" w:styleId="NormalWeb">
    <w:name w:val="Normal (Web)"/>
    <w:basedOn w:val="Normal"/>
    <w:uiPriority w:val="99"/>
    <w:unhideWhenUsed/>
    <w:rsid w:val="00CA18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18EA"/>
    <w:rPr>
      <w:b/>
      <w:bCs/>
    </w:rPr>
  </w:style>
  <w:style w:type="character" w:styleId="Emphasis">
    <w:name w:val="Emphasis"/>
    <w:basedOn w:val="DefaultParagraphFont"/>
    <w:uiPriority w:val="20"/>
    <w:qFormat/>
    <w:rsid w:val="00CA18EA"/>
    <w:rPr>
      <w:i/>
      <w:iCs/>
    </w:rPr>
  </w:style>
  <w:style w:type="paragraph" w:styleId="ListParagraph">
    <w:name w:val="List Paragraph"/>
    <w:basedOn w:val="Normal"/>
    <w:uiPriority w:val="34"/>
    <w:qFormat/>
    <w:rsid w:val="00CA18EA"/>
    <w:pPr>
      <w:ind w:left="720"/>
      <w:contextualSpacing/>
    </w:pPr>
  </w:style>
  <w:style w:type="character" w:styleId="Hyperlink">
    <w:name w:val="Hyperlink"/>
    <w:basedOn w:val="DefaultParagraphFont"/>
    <w:uiPriority w:val="99"/>
    <w:unhideWhenUsed/>
    <w:rsid w:val="0063066C"/>
    <w:rPr>
      <w:color w:val="0000FF" w:themeColor="hyperlink"/>
      <w:u w:val="single"/>
    </w:rPr>
  </w:style>
  <w:style w:type="paragraph" w:styleId="NoSpacing">
    <w:name w:val="No Spacing"/>
    <w:uiPriority w:val="1"/>
    <w:qFormat/>
    <w:rsid w:val="00C77D3D"/>
    <w:pPr>
      <w:spacing w:after="0" w:line="240" w:lineRule="auto"/>
    </w:pPr>
  </w:style>
  <w:style w:type="paragraph" w:styleId="Header">
    <w:name w:val="header"/>
    <w:basedOn w:val="Normal"/>
    <w:link w:val="HeaderChar"/>
    <w:uiPriority w:val="99"/>
    <w:unhideWhenUsed/>
    <w:rsid w:val="00B75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CF0"/>
  </w:style>
  <w:style w:type="paragraph" w:styleId="Footer">
    <w:name w:val="footer"/>
    <w:basedOn w:val="Normal"/>
    <w:link w:val="FooterChar"/>
    <w:uiPriority w:val="99"/>
    <w:unhideWhenUsed/>
    <w:rsid w:val="00B7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F0"/>
  </w:style>
  <w:style w:type="character" w:styleId="CommentReference">
    <w:name w:val="annotation reference"/>
    <w:basedOn w:val="DefaultParagraphFont"/>
    <w:uiPriority w:val="99"/>
    <w:semiHidden/>
    <w:unhideWhenUsed/>
    <w:rsid w:val="00AC1CCF"/>
    <w:rPr>
      <w:sz w:val="16"/>
      <w:szCs w:val="16"/>
    </w:rPr>
  </w:style>
  <w:style w:type="paragraph" w:styleId="CommentText">
    <w:name w:val="annotation text"/>
    <w:basedOn w:val="Normal"/>
    <w:link w:val="CommentTextChar"/>
    <w:uiPriority w:val="99"/>
    <w:semiHidden/>
    <w:unhideWhenUsed/>
    <w:rsid w:val="00AC1CCF"/>
    <w:pPr>
      <w:spacing w:line="240" w:lineRule="auto"/>
    </w:pPr>
    <w:rPr>
      <w:sz w:val="20"/>
      <w:szCs w:val="20"/>
    </w:rPr>
  </w:style>
  <w:style w:type="character" w:customStyle="1" w:styleId="CommentTextChar">
    <w:name w:val="Comment Text Char"/>
    <w:basedOn w:val="DefaultParagraphFont"/>
    <w:link w:val="CommentText"/>
    <w:uiPriority w:val="99"/>
    <w:semiHidden/>
    <w:rsid w:val="00AC1CCF"/>
    <w:rPr>
      <w:sz w:val="20"/>
      <w:szCs w:val="20"/>
    </w:rPr>
  </w:style>
  <w:style w:type="paragraph" w:styleId="CommentSubject">
    <w:name w:val="annotation subject"/>
    <w:basedOn w:val="CommentText"/>
    <w:next w:val="CommentText"/>
    <w:link w:val="CommentSubjectChar"/>
    <w:uiPriority w:val="99"/>
    <w:semiHidden/>
    <w:unhideWhenUsed/>
    <w:rsid w:val="00AC1CCF"/>
    <w:rPr>
      <w:b/>
      <w:bCs/>
    </w:rPr>
  </w:style>
  <w:style w:type="character" w:customStyle="1" w:styleId="CommentSubjectChar">
    <w:name w:val="Comment Subject Char"/>
    <w:basedOn w:val="CommentTextChar"/>
    <w:link w:val="CommentSubject"/>
    <w:uiPriority w:val="99"/>
    <w:semiHidden/>
    <w:rsid w:val="00AC1CCF"/>
    <w:rPr>
      <w:b/>
      <w:bCs/>
      <w:sz w:val="20"/>
      <w:szCs w:val="20"/>
    </w:rPr>
  </w:style>
  <w:style w:type="paragraph" w:styleId="BalloonText">
    <w:name w:val="Balloon Text"/>
    <w:basedOn w:val="Normal"/>
    <w:link w:val="BalloonTextChar"/>
    <w:uiPriority w:val="99"/>
    <w:semiHidden/>
    <w:unhideWhenUsed/>
    <w:rsid w:val="00AC1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CCF"/>
    <w:rPr>
      <w:rFonts w:ascii="Tahoma" w:hAnsi="Tahoma" w:cs="Tahoma"/>
      <w:sz w:val="16"/>
      <w:szCs w:val="16"/>
    </w:rPr>
  </w:style>
  <w:style w:type="paragraph" w:styleId="Revision">
    <w:name w:val="Revision"/>
    <w:hidden/>
    <w:uiPriority w:val="99"/>
    <w:semiHidden/>
    <w:rsid w:val="00517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7590">
      <w:bodyDiv w:val="1"/>
      <w:marLeft w:val="0"/>
      <w:marRight w:val="0"/>
      <w:marTop w:val="0"/>
      <w:marBottom w:val="0"/>
      <w:divBdr>
        <w:top w:val="none" w:sz="0" w:space="0" w:color="auto"/>
        <w:left w:val="none" w:sz="0" w:space="0" w:color="auto"/>
        <w:bottom w:val="none" w:sz="0" w:space="0" w:color="auto"/>
        <w:right w:val="none" w:sz="0" w:space="0" w:color="auto"/>
      </w:divBdr>
    </w:div>
    <w:div w:id="224724934">
      <w:bodyDiv w:val="1"/>
      <w:marLeft w:val="0"/>
      <w:marRight w:val="0"/>
      <w:marTop w:val="0"/>
      <w:marBottom w:val="0"/>
      <w:divBdr>
        <w:top w:val="none" w:sz="0" w:space="0" w:color="auto"/>
        <w:left w:val="none" w:sz="0" w:space="0" w:color="auto"/>
        <w:bottom w:val="none" w:sz="0" w:space="0" w:color="auto"/>
        <w:right w:val="none" w:sz="0" w:space="0" w:color="auto"/>
      </w:divBdr>
    </w:div>
    <w:div w:id="372460287">
      <w:bodyDiv w:val="1"/>
      <w:marLeft w:val="0"/>
      <w:marRight w:val="0"/>
      <w:marTop w:val="0"/>
      <w:marBottom w:val="0"/>
      <w:divBdr>
        <w:top w:val="none" w:sz="0" w:space="0" w:color="auto"/>
        <w:left w:val="none" w:sz="0" w:space="0" w:color="auto"/>
        <w:bottom w:val="none" w:sz="0" w:space="0" w:color="auto"/>
        <w:right w:val="none" w:sz="0" w:space="0" w:color="auto"/>
      </w:divBdr>
    </w:div>
    <w:div w:id="388502212">
      <w:bodyDiv w:val="1"/>
      <w:marLeft w:val="0"/>
      <w:marRight w:val="0"/>
      <w:marTop w:val="0"/>
      <w:marBottom w:val="0"/>
      <w:divBdr>
        <w:top w:val="none" w:sz="0" w:space="0" w:color="auto"/>
        <w:left w:val="none" w:sz="0" w:space="0" w:color="auto"/>
        <w:bottom w:val="none" w:sz="0" w:space="0" w:color="auto"/>
        <w:right w:val="none" w:sz="0" w:space="0" w:color="auto"/>
      </w:divBdr>
      <w:divsChild>
        <w:div w:id="1430389390">
          <w:marLeft w:val="0"/>
          <w:marRight w:val="0"/>
          <w:marTop w:val="0"/>
          <w:marBottom w:val="0"/>
          <w:divBdr>
            <w:top w:val="none" w:sz="0" w:space="0" w:color="auto"/>
            <w:left w:val="none" w:sz="0" w:space="0" w:color="auto"/>
            <w:bottom w:val="none" w:sz="0" w:space="0" w:color="auto"/>
            <w:right w:val="none" w:sz="0" w:space="0" w:color="auto"/>
          </w:divBdr>
          <w:divsChild>
            <w:div w:id="17393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6200">
      <w:bodyDiv w:val="1"/>
      <w:marLeft w:val="0"/>
      <w:marRight w:val="0"/>
      <w:marTop w:val="0"/>
      <w:marBottom w:val="0"/>
      <w:divBdr>
        <w:top w:val="none" w:sz="0" w:space="0" w:color="auto"/>
        <w:left w:val="none" w:sz="0" w:space="0" w:color="auto"/>
        <w:bottom w:val="none" w:sz="0" w:space="0" w:color="auto"/>
        <w:right w:val="none" w:sz="0" w:space="0" w:color="auto"/>
      </w:divBdr>
    </w:div>
    <w:div w:id="1272392967">
      <w:bodyDiv w:val="1"/>
      <w:marLeft w:val="0"/>
      <w:marRight w:val="0"/>
      <w:marTop w:val="0"/>
      <w:marBottom w:val="0"/>
      <w:divBdr>
        <w:top w:val="none" w:sz="0" w:space="0" w:color="auto"/>
        <w:left w:val="none" w:sz="0" w:space="0" w:color="auto"/>
        <w:bottom w:val="none" w:sz="0" w:space="0" w:color="auto"/>
        <w:right w:val="none" w:sz="0" w:space="0" w:color="auto"/>
      </w:divBdr>
    </w:div>
    <w:div w:id="1398358561">
      <w:bodyDiv w:val="1"/>
      <w:marLeft w:val="0"/>
      <w:marRight w:val="0"/>
      <w:marTop w:val="0"/>
      <w:marBottom w:val="0"/>
      <w:divBdr>
        <w:top w:val="none" w:sz="0" w:space="0" w:color="auto"/>
        <w:left w:val="none" w:sz="0" w:space="0" w:color="auto"/>
        <w:bottom w:val="none" w:sz="0" w:space="0" w:color="auto"/>
        <w:right w:val="none" w:sz="0" w:space="0" w:color="auto"/>
      </w:divBdr>
    </w:div>
    <w:div w:id="1402142968">
      <w:bodyDiv w:val="1"/>
      <w:marLeft w:val="0"/>
      <w:marRight w:val="0"/>
      <w:marTop w:val="0"/>
      <w:marBottom w:val="0"/>
      <w:divBdr>
        <w:top w:val="none" w:sz="0" w:space="0" w:color="auto"/>
        <w:left w:val="none" w:sz="0" w:space="0" w:color="auto"/>
        <w:bottom w:val="none" w:sz="0" w:space="0" w:color="auto"/>
        <w:right w:val="none" w:sz="0" w:space="0" w:color="auto"/>
      </w:divBdr>
    </w:div>
    <w:div w:id="1435831840">
      <w:bodyDiv w:val="1"/>
      <w:marLeft w:val="0"/>
      <w:marRight w:val="0"/>
      <w:marTop w:val="0"/>
      <w:marBottom w:val="0"/>
      <w:divBdr>
        <w:top w:val="none" w:sz="0" w:space="0" w:color="auto"/>
        <w:left w:val="none" w:sz="0" w:space="0" w:color="auto"/>
        <w:bottom w:val="none" w:sz="0" w:space="0" w:color="auto"/>
        <w:right w:val="none" w:sz="0" w:space="0" w:color="auto"/>
      </w:divBdr>
    </w:div>
    <w:div w:id="1594246820">
      <w:bodyDiv w:val="1"/>
      <w:marLeft w:val="0"/>
      <w:marRight w:val="0"/>
      <w:marTop w:val="0"/>
      <w:marBottom w:val="0"/>
      <w:divBdr>
        <w:top w:val="none" w:sz="0" w:space="0" w:color="auto"/>
        <w:left w:val="none" w:sz="0" w:space="0" w:color="auto"/>
        <w:bottom w:val="none" w:sz="0" w:space="0" w:color="auto"/>
        <w:right w:val="none" w:sz="0" w:space="0" w:color="auto"/>
      </w:divBdr>
    </w:div>
    <w:div w:id="177262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3F3F6-570E-4F11-BB05-8A7B337D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Shree</cp:lastModifiedBy>
  <cp:revision>4</cp:revision>
  <dcterms:created xsi:type="dcterms:W3CDTF">2025-10-15T11:47:00Z</dcterms:created>
  <dcterms:modified xsi:type="dcterms:W3CDTF">2025-10-16T17:30:00Z</dcterms:modified>
</cp:coreProperties>
</file>