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E6530">
      <w:pPr>
        <w:spacing w:before="240" w:after="0" w:line="276" w:lineRule="auto"/>
        <w:jc w:val="center"/>
        <w:rPr>
          <w:rFonts w:ascii="Arial" w:hAnsi="Arial" w:eastAsia="Arial" w:cs="Arial"/>
          <w:sz w:val="24"/>
          <w:szCs w:val="24"/>
        </w:rPr>
      </w:pPr>
      <w:bookmarkStart w:id="0" w:name="_heading=h.ydrb4ezawgle" w:colFirst="0" w:colLast="0"/>
      <w:bookmarkEnd w:id="0"/>
      <w:r>
        <w:rPr>
          <w:rFonts w:ascii="Arial" w:hAnsi="Arial" w:eastAsia="Arial" w:cs="Arial"/>
          <w:b/>
          <w:sz w:val="24"/>
          <w:szCs w:val="24"/>
        </w:rPr>
        <w:t>PREVALENCE OF SYMPTOMS OF TEMPOROMANDIBULAR YSFUNCTION IN UNIVERSITY STUDENTS IN BRAZIL DURING THE COVID-19 PANDEMIC: AN OBSERVATIONAL STUDY</w:t>
      </w:r>
    </w:p>
    <w:p w14:paraId="43405114">
      <w:pPr>
        <w:spacing w:before="240" w:after="240" w:line="240" w:lineRule="auto"/>
        <w:jc w:val="both"/>
        <w:rPr>
          <w:rFonts w:ascii="Arial" w:hAnsi="Arial" w:eastAsia="Arial" w:cs="Arial"/>
          <w:sz w:val="24"/>
          <w:szCs w:val="24"/>
        </w:rPr>
      </w:pPr>
    </w:p>
    <w:p w14:paraId="4B54B3A2">
      <w:pPr>
        <w:spacing w:before="240" w:after="240" w:line="240" w:lineRule="auto"/>
        <w:jc w:val="both"/>
        <w:rPr>
          <w:rFonts w:ascii="Arial" w:hAnsi="Arial" w:eastAsia="Arial" w:cs="Arial"/>
          <w:sz w:val="24"/>
          <w:szCs w:val="24"/>
        </w:rPr>
      </w:pPr>
    </w:p>
    <w:p w14:paraId="5CDED43E">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color w:val="000000"/>
          <w:sz w:val="24"/>
          <w:szCs w:val="24"/>
        </w:rPr>
        <w:t>ABSTRACT</w:t>
      </w:r>
    </w:p>
    <w:p w14:paraId="1B68CFE7">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This study aimed to verify the prevalence of symptoms of temporomandibular disorders (TMD) in university students during the COVID-19 pandemic. This is a cross-sectional and observational study. The population consisted of 170 university students from in a brazilian institution. The participants were divided into two groups, the first consisting of students who were undergoing psychological follow-up during the pandemic (G1) and the second, the control group, comprising the students who were not being followed up (G2). The questionnaires of the Anxiety and Depression Scale and the Diagnostic Criteria for TMD were used. Data were expressed as simple frequency and percentage and p&lt;0.05 (5%) was considered statistically significant.</w:t>
      </w:r>
      <w:r>
        <w:rPr>
          <w:rFonts w:ascii="Arial" w:hAnsi="Arial" w:eastAsia="Arial" w:cs="Arial"/>
          <w:sz w:val="24"/>
          <w:szCs w:val="24"/>
        </w:rPr>
        <w:t xml:space="preserve"> </w:t>
      </w:r>
      <w:r>
        <w:rPr>
          <w:rFonts w:ascii="Arial" w:hAnsi="Arial" w:eastAsia="Arial" w:cs="Arial"/>
          <w:color w:val="000000"/>
          <w:sz w:val="24"/>
          <w:szCs w:val="24"/>
        </w:rPr>
        <w:t xml:space="preserve">The results of the study showed a prevalence of 85.3% of TMD symptoms. Regarding anxiety, no significant association was detected between sex and anxiety(p=0.0640), however, regarding depression, a significant association was noted in G2 between sex and depression, with odds ratio of 1.524 for females and 0 .8266 for males(p=0.0082). The most reported symptom in G1 was jaw pain(63.53%), while in G2 it was headache(56.47%). Comparing the TMD symptoms in both groups, 89.41% of the students who were undergoing psychological follow-up had TMD symptoms, while in the group that was not being followed up, TMD symptoms were present in 81.18% of the participants. Therefore, no significant difference was found between them (p=0.1931). It was found a high prevalence of symptoms of temporomandibular disorder, depression and anxiety in the university students in the study, and the most prevalent symptoms were headache and jaw pain. </w:t>
      </w:r>
    </w:p>
    <w:p w14:paraId="6BB89755">
      <w:pPr>
        <w:spacing w:before="240" w:after="240" w:line="240" w:lineRule="auto"/>
        <w:ind w:left="-2" w:hanging="2"/>
        <w:jc w:val="both"/>
        <w:rPr>
          <w:rFonts w:ascii="Times New Roman" w:hAnsi="Times New Roman" w:eastAsia="Times New Roman" w:cs="Times New Roman"/>
          <w:sz w:val="24"/>
          <w:szCs w:val="24"/>
        </w:rPr>
      </w:pPr>
      <w:r>
        <w:rPr>
          <w:rFonts w:ascii="Arial" w:hAnsi="Arial" w:eastAsia="Arial" w:cs="Arial"/>
          <w:b/>
          <w:color w:val="000000"/>
          <w:sz w:val="24"/>
          <w:szCs w:val="24"/>
        </w:rPr>
        <w:t>Keywords:</w:t>
      </w:r>
      <w:r>
        <w:rPr>
          <w:rFonts w:ascii="Arial" w:hAnsi="Arial" w:eastAsia="Arial" w:cs="Arial"/>
          <w:color w:val="000000"/>
          <w:sz w:val="24"/>
          <w:szCs w:val="24"/>
        </w:rPr>
        <w:t xml:space="preserve"> Temporomandibular joint disorders. College students. Psychosocial factors. COVID-19.</w:t>
      </w:r>
    </w:p>
    <w:p w14:paraId="44EA2338">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smallCaps/>
          <w:color w:val="000000"/>
          <w:sz w:val="24"/>
          <w:szCs w:val="24"/>
        </w:rPr>
        <w:t>INTRODUCTION</w:t>
      </w:r>
    </w:p>
    <w:p w14:paraId="3606B08C">
      <w:pPr>
        <w:spacing w:before="120" w:after="120" w:line="240" w:lineRule="auto"/>
        <w:ind w:left="-2" w:hanging="2"/>
        <w:jc w:val="both"/>
        <w:rPr>
          <w:rFonts w:ascii="Arial" w:hAnsi="Arial" w:eastAsia="Arial" w:cs="Arial"/>
          <w:sz w:val="24"/>
          <w:szCs w:val="24"/>
          <w:vertAlign w:val="superscript"/>
        </w:rPr>
      </w:pPr>
      <w:r>
        <w:rPr>
          <w:rFonts w:ascii="Arial" w:hAnsi="Arial" w:eastAsia="Arial" w:cs="Arial"/>
          <w:color w:val="000000"/>
          <w:sz w:val="24"/>
          <w:szCs w:val="24"/>
        </w:rPr>
        <w:t>Temporomandibular Disorder (TMD) is the term that encompasses all functional disorders of the masticatory system, which includes the masticatory muscles, the temporomandibular joint (TMJ) and associated structures.</w:t>
      </w:r>
      <w:r>
        <w:rPr>
          <w:rFonts w:ascii="Arial" w:hAnsi="Arial" w:eastAsia="Arial" w:cs="Arial"/>
          <w:sz w:val="24"/>
          <w:szCs w:val="24"/>
          <w:vertAlign w:val="superscript"/>
        </w:rPr>
        <w:t>1-2-3-4</w:t>
      </w:r>
    </w:p>
    <w:p w14:paraId="0F173979">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It is common knowledge that the etiology of TMD is multifactorial and may be related to several factors, such as mechanical and muscular stress, emotional tension, parafunctional habits, trauma, extrinsic or intrinsic alterations of the joints or a combination of factors.</w:t>
      </w:r>
      <w:r>
        <w:rPr>
          <w:rFonts w:ascii="Arial" w:hAnsi="Arial" w:eastAsia="Arial" w:cs="Arial"/>
          <w:sz w:val="24"/>
          <w:szCs w:val="24"/>
          <w:vertAlign w:val="superscript"/>
        </w:rPr>
        <w:t>2-5</w:t>
      </w:r>
      <w:r>
        <w:rPr>
          <w:rFonts w:ascii="Arial" w:hAnsi="Arial" w:eastAsia="Arial" w:cs="Arial"/>
          <w:sz w:val="24"/>
          <w:szCs w:val="24"/>
        </w:rPr>
        <w:t xml:space="preserve"> </w:t>
      </w:r>
      <w:r>
        <w:rPr>
          <w:rFonts w:ascii="Arial" w:hAnsi="Arial" w:eastAsia="Arial" w:cs="Arial"/>
          <w:color w:val="000000"/>
          <w:sz w:val="24"/>
          <w:szCs w:val="24"/>
        </w:rPr>
        <w:t>Currently, evidence supports the biopsychosocial model for the etiology of TMD, focusing on the integration of biological, psychological, and social factors.</w:t>
      </w:r>
      <w:r>
        <w:rPr>
          <w:rFonts w:ascii="Arial" w:hAnsi="Arial" w:eastAsia="Arial" w:cs="Arial"/>
          <w:sz w:val="24"/>
          <w:szCs w:val="24"/>
          <w:vertAlign w:val="superscript"/>
        </w:rPr>
        <w:t>6-7-8</w:t>
      </w:r>
      <w:r>
        <w:rPr>
          <w:rFonts w:ascii="Arial" w:hAnsi="Arial" w:eastAsia="Arial" w:cs="Arial"/>
          <w:color w:val="000000"/>
          <w:sz w:val="24"/>
          <w:szCs w:val="24"/>
        </w:rPr>
        <w:t xml:space="preserve"> </w:t>
      </w:r>
    </w:p>
    <w:p w14:paraId="7A69F3CC">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In this context, university students have been pointed out in some studies as a group with a high prevalence of TMD, because due to the level of demand for performance in their academic phase, they have high levels of anxiety.</w:t>
      </w:r>
      <w:r>
        <w:rPr>
          <w:rFonts w:ascii="Arial" w:hAnsi="Arial" w:eastAsia="Arial" w:cs="Arial"/>
          <w:sz w:val="24"/>
          <w:szCs w:val="24"/>
          <w:vertAlign w:val="superscript"/>
        </w:rPr>
        <w:t>1-2</w:t>
      </w:r>
      <w:r>
        <w:rPr>
          <w:rFonts w:ascii="Arial" w:hAnsi="Arial" w:eastAsia="Arial" w:cs="Arial"/>
          <w:color w:val="000000"/>
          <w:sz w:val="24"/>
          <w:szCs w:val="24"/>
        </w:rPr>
        <w:t xml:space="preserve"> </w:t>
      </w:r>
    </w:p>
    <w:p w14:paraId="46B9695B">
      <w:pPr>
        <w:spacing w:before="120" w:after="120" w:line="240" w:lineRule="auto"/>
        <w:ind w:left="-2" w:hanging="2"/>
        <w:jc w:val="both"/>
        <w:rPr>
          <w:rFonts w:ascii="Arial" w:hAnsi="Arial" w:eastAsia="Arial" w:cs="Arial"/>
          <w:sz w:val="24"/>
          <w:szCs w:val="24"/>
        </w:rPr>
      </w:pPr>
      <w:r>
        <w:rPr>
          <w:rFonts w:ascii="Arial" w:hAnsi="Arial" w:eastAsia="Arial" w:cs="Arial"/>
          <w:color w:val="000000"/>
          <w:sz w:val="24"/>
          <w:szCs w:val="24"/>
        </w:rPr>
        <w:t>In addition to all the life changes and demands that university students face, the world has witnessed one of the biggest public health problems of recent decades: the pandemic of the new coronavirus disease (COVID-19). In this context, the pandemic brought about a sudden change in routine, and made the environment favorable to psychological illness, which could have serious consequences for the individual's mental health, making them more prone to oral problems associated with stress.</w:t>
      </w:r>
      <w:r>
        <w:rPr>
          <w:rFonts w:ascii="Arial" w:hAnsi="Arial" w:eastAsia="Arial" w:cs="Arial"/>
          <w:sz w:val="24"/>
          <w:szCs w:val="24"/>
          <w:vertAlign w:val="superscript"/>
        </w:rPr>
        <w:t>9-10</w:t>
      </w:r>
      <w:r>
        <w:rPr>
          <w:rFonts w:ascii="Arial" w:hAnsi="Arial" w:eastAsia="Arial" w:cs="Arial"/>
          <w:color w:val="000000"/>
          <w:sz w:val="24"/>
          <w:szCs w:val="24"/>
        </w:rPr>
        <w:t xml:space="preserve"> </w:t>
      </w:r>
    </w:p>
    <w:p w14:paraId="78B86BB8">
      <w:pPr>
        <w:spacing w:before="120" w:after="120" w:line="240" w:lineRule="auto"/>
        <w:ind w:left="-2" w:hanging="2"/>
        <w:jc w:val="both"/>
        <w:rPr>
          <w:rFonts w:ascii="Arial" w:hAnsi="Arial" w:eastAsia="Arial" w:cs="Arial"/>
          <w:sz w:val="24"/>
          <w:szCs w:val="24"/>
        </w:rPr>
      </w:pPr>
      <w:r>
        <w:rPr>
          <w:rFonts w:ascii="Arial" w:hAnsi="Arial" w:eastAsia="Arial" w:cs="Arial"/>
          <w:color w:val="000000"/>
          <w:sz w:val="24"/>
          <w:szCs w:val="24"/>
        </w:rPr>
        <w:t>It is extremely important that the treatment of chronic pain be done in a multidisciplinary way, due to its complex nature.</w:t>
      </w:r>
      <w:r>
        <w:rPr>
          <w:rFonts w:ascii="Arial" w:hAnsi="Arial" w:eastAsia="Arial" w:cs="Arial"/>
          <w:sz w:val="24"/>
          <w:szCs w:val="24"/>
          <w:vertAlign w:val="superscript"/>
        </w:rPr>
        <w:t>11</w:t>
      </w:r>
      <w:r>
        <w:rPr>
          <w:rFonts w:ascii="Arial" w:hAnsi="Arial" w:eastAsia="Arial" w:cs="Arial"/>
          <w:sz w:val="24"/>
          <w:szCs w:val="24"/>
        </w:rPr>
        <w:t xml:space="preserve"> </w:t>
      </w:r>
      <w:r>
        <w:rPr>
          <w:rFonts w:ascii="Arial" w:hAnsi="Arial" w:eastAsia="Arial" w:cs="Arial"/>
          <w:color w:val="000000"/>
          <w:sz w:val="24"/>
          <w:szCs w:val="24"/>
        </w:rPr>
        <w:t>As an example of a tool to improve the quality of life of patients with chronic orofacial pain, psychotherapeutic intervention can be mentioned.</w:t>
      </w:r>
      <w:r>
        <w:rPr>
          <w:rFonts w:ascii="Arial" w:hAnsi="Arial" w:eastAsia="Arial" w:cs="Arial"/>
          <w:sz w:val="24"/>
          <w:szCs w:val="24"/>
          <w:vertAlign w:val="superscript"/>
        </w:rPr>
        <w:t>12</w:t>
      </w:r>
    </w:p>
    <w:p w14:paraId="0876C7FD">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Thus, the objective of this study was to evaluate the prevalence of TMD symptoms in university students who were undergoing psychological follow-up during the COVID-19 pandemic, in order to identify the main TMD symptoms.</w:t>
      </w:r>
    </w:p>
    <w:p w14:paraId="435A9564">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smallCaps/>
          <w:color w:val="000000"/>
          <w:sz w:val="24"/>
          <w:szCs w:val="24"/>
        </w:rPr>
        <w:t>MATERIALS AND METHODS</w:t>
      </w:r>
    </w:p>
    <w:p w14:paraId="116B58AA">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color w:val="000000"/>
          <w:sz w:val="24"/>
          <w:szCs w:val="24"/>
        </w:rPr>
        <w:t>Ethical aspects</w:t>
      </w:r>
    </w:p>
    <w:p w14:paraId="1E78F4B2">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This research followed all norms for research with human beings, being approved by the Research Ethics Committee of the São Leopoldo Mandic School of Dentistry under number approval 5,055,863.</w:t>
      </w:r>
    </w:p>
    <w:p w14:paraId="7C41ADC8">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color w:val="000000"/>
          <w:sz w:val="24"/>
          <w:szCs w:val="24"/>
        </w:rPr>
        <w:t>Sample characterization</w:t>
      </w:r>
    </w:p>
    <w:p w14:paraId="669CE124">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This is an observational, cross-sectional analytical study that was carried out, with a quantitative approach, using questionnaires, with students from the Federal University of Delta do Parnaíba (UFDPar), located in the city of Parnaíba, PI, Brazil. </w:t>
      </w:r>
    </w:p>
    <w:p w14:paraId="49DE4958">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 xml:space="preserve">For the sample calculation, 108 UFDPar students who were undergoing psychological care during the COVID-19 pandemic were accounted, in a project of "Emergency Online Psychological Care", coordinated by professors from the Institution where the research was carried out. The calculation of samples for a finite population was used, stratified by proportion, with a sampling error of 5% and a confidence level of 95%. Based on the sample calculation for a finite population, a minimum sample of 84.47 </w:t>
      </w:r>
      <w:r>
        <w:rPr>
          <w:rFonts w:ascii="Cambria Math" w:hAnsi="Cambria Math" w:eastAsia="Cambria Math" w:cs="Cambria Math"/>
          <w:color w:val="000000"/>
          <w:sz w:val="24"/>
          <w:szCs w:val="24"/>
        </w:rPr>
        <w:t>≅</w:t>
      </w:r>
      <w:r>
        <w:rPr>
          <w:rFonts w:ascii="Arial" w:hAnsi="Arial" w:eastAsia="Arial" w:cs="Arial"/>
          <w:color w:val="000000"/>
          <w:sz w:val="24"/>
          <w:szCs w:val="24"/>
        </w:rPr>
        <w:t xml:space="preserve"> 85 students was obtained, with a precision of 95% and an error of 5%. In addition, 10% was added for losses or withdrawals. The sample size was therefore composed of 85 university students who were undergoing psychological counseling (G1) and 85 students from the same institution who were not undergoing psychotherapy (G2).</w:t>
      </w:r>
    </w:p>
    <w:p w14:paraId="5197BB7A">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Students aged 18 years or older, who agreed to participate in the research were included in the study. The sample exclusion criteria were students who were not regularly enrolled or who did not correctly fill in the questionnaire.</w:t>
      </w:r>
    </w:p>
    <w:p w14:paraId="38366D08">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color w:val="000000"/>
          <w:sz w:val="24"/>
          <w:szCs w:val="24"/>
        </w:rPr>
        <w:t>Data collect</w:t>
      </w:r>
    </w:p>
    <w:p w14:paraId="7B6DB001">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A self-administered online survey was adopted to assess TMD, anxiety and depression symptoms, as due to the pandemic, students were in remote classes. After having access to the free and informed consent provided in the form itself, the individuals declared their agreement to participate in the study. The data collected were anonymous, and it was not possible to trace the identity of the subjects. The</w:t>
      </w:r>
      <w:r>
        <w:rPr>
          <w:rFonts w:ascii="Arial" w:hAnsi="Arial" w:eastAsia="Arial" w:cs="Arial"/>
          <w:color w:val="ED7D31" w:themeColor="accent2"/>
          <w:sz w:val="24"/>
          <w:szCs w:val="24"/>
          <w14:textFill>
            <w14:solidFill>
              <w14:schemeClr w14:val="accent2"/>
            </w14:solidFill>
          </w14:textFill>
        </w:rPr>
        <w:t xml:space="preserve"> questionnaire</w:t>
      </w:r>
      <w:r>
        <w:rPr>
          <w:rFonts w:hint="default" w:ascii="Arial" w:hAnsi="Arial" w:eastAsia="Arial" w:cs="Arial"/>
          <w:color w:val="ED7D31" w:themeColor="accent2"/>
          <w:sz w:val="24"/>
          <w:szCs w:val="24"/>
          <w:lang w:val="en-US"/>
          <w14:textFill>
            <w14:solidFill>
              <w14:schemeClr w14:val="accent2"/>
            </w14:solidFill>
          </w14:textFill>
        </w:rPr>
        <w:t xml:space="preserve">,define the questionaire,open ended </w:t>
      </w:r>
      <w:bookmarkStart w:id="1" w:name="_GoBack"/>
      <w:bookmarkEnd w:id="1"/>
      <w:r>
        <w:rPr>
          <w:rFonts w:ascii="Arial" w:hAnsi="Arial" w:eastAsia="Arial" w:cs="Arial"/>
          <w:color w:val="000000"/>
          <w:sz w:val="24"/>
          <w:szCs w:val="24"/>
        </w:rPr>
        <w:t xml:space="preserve"> was administered by an online forms service (Google Forms service).</w:t>
      </w:r>
    </w:p>
    <w:p w14:paraId="2279E0EC">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The online survey was structured in 3 parts: (1) a first session for demographic data; (2) a second session composed of the Anxiety and Depression Scale; (3) a third session in which the CD/TMD Symptoms Questionnaire – Axis I was included. Individuals with an affirmative answer to at least one of the questions were classified as symptomatic for TMD. Individuals with negative answers to all questions in the questionnaire were classified as asymptomatic for TMD.</w:t>
      </w:r>
    </w:p>
    <w:p w14:paraId="67B8C598">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To assess anxiety and depression, the Hospital Anxiety and Depression Scale (HADS) was used. This consists of 14 multiple-choice questions, of which 7 assess anxiety and 7 depression. Each of its items can be scored from 0 to 3, making a maximum score of 21 points. On both scales, a score of 0-7 indicates no anxiety or depression, a score of 8-10 indicates possible anxiety or depression, and a score of 11 to 21 indicates the presence of anxiety or depression.</w:t>
      </w:r>
    </w:p>
    <w:p w14:paraId="4D6027AF">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color w:val="000000"/>
          <w:sz w:val="24"/>
          <w:szCs w:val="24"/>
        </w:rPr>
        <w:t>Data analysis</w:t>
      </w:r>
    </w:p>
    <w:p w14:paraId="12305576">
      <w:pPr>
        <w:spacing w:before="120" w:after="120" w:line="240" w:lineRule="auto"/>
        <w:ind w:left="-2" w:hanging="2"/>
        <w:jc w:val="both"/>
        <w:rPr>
          <w:rFonts w:ascii="Arial" w:hAnsi="Arial" w:eastAsia="Arial" w:cs="Arial"/>
          <w:color w:val="000000"/>
          <w:sz w:val="24"/>
          <w:szCs w:val="24"/>
        </w:rPr>
      </w:pPr>
      <w:r>
        <w:rPr>
          <w:rFonts w:ascii="Arial" w:hAnsi="Arial" w:eastAsia="Arial" w:cs="Arial"/>
          <w:color w:val="000000"/>
          <w:sz w:val="24"/>
          <w:szCs w:val="24"/>
        </w:rPr>
        <w:t>Data was tabulated in Microsoft Office Excel® software and exported to GraphPad Prism 8.4 for statistical analysis. Data were expressed as simple frequency and percentage. Data normality was tested using the Kolmogrov-Smirnov and Shapiro-Wilk tests. For analysis of correlation between variables, simple multinomial logistic regression and the chi-square test were used, while for the comparative analysis of data, the Kruskal Wallis test, binomial test and Fisher's exact test were used. The adopted confidence interval was 95% and p&lt;0.05 (5%) was considered statistically significant.</w:t>
      </w:r>
    </w:p>
    <w:p w14:paraId="057B62E8">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smallCaps/>
          <w:color w:val="000000"/>
          <w:sz w:val="24"/>
          <w:szCs w:val="24"/>
        </w:rPr>
        <w:t>RESULTS</w:t>
      </w:r>
    </w:p>
    <w:p w14:paraId="6BE94DEA">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A total of 170 participants were evaluated using structured questionnaires between November 2021 and May 2022. Participants were aged between 18 and 48 years, with an average of 24.3±5.38 for G1 and 23.3±5.6 for G2. The normality of data distribution was verified, revealing an abnormal distribution for the variables evaluated in this study.</w:t>
      </w:r>
    </w:p>
    <w:p w14:paraId="37529010">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There was a greater number of female participants in G1 (70.59%) and in G2 (72.94%) (Table 1). The most prevalent age group was 18 to 24 years old in both groups, with a significant difference being found between age groups in both groups (p&lt;0.0001, Kruskal-Wallis test).</w:t>
      </w:r>
    </w:p>
    <w:p w14:paraId="358C7F55">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The results of the HAD scale in relation to anxiety showed that 69 (81.17%) students from G1 and 61 (71.76%) from G2 had some level of anxiety, highlighting the presence of anxiety in 48 (56.47%) in G1, and 45 (52.94%) in G2.</w:t>
      </w:r>
    </w:p>
    <w:p w14:paraId="5A3D9759">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Table 2 shows the distribution of participants stratified by sex and probability of having an anxiety diagnosis. No significant association was detected between sex and anxiety (p=0.0640The results of the HAD scale in relation to depression showed that 47 (55.29%) students of G1 and 43 (50.58%) students of G2 had some level of depression, which indicates the presence of depression in 28 (32 .94%) students in G1 and 23 (27.05%) in G2.</w:t>
      </w:r>
    </w:p>
    <w:p w14:paraId="0BAE8C02">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Table 3 shows the distribution of participants stratified by sex and probability of diagnosis of depression. A significant association between sex and depression was detected in G2, with an odds ratio of 1.524 for females and 0.8266 for males (p=0.0082, Simple Multinomial Logistic Regression).</w:t>
      </w:r>
    </w:p>
    <w:p w14:paraId="418DC878">
      <w:pPr>
        <w:spacing w:line="240" w:lineRule="auto"/>
        <w:ind w:left="-2" w:right="51" w:hanging="2"/>
        <w:jc w:val="both"/>
        <w:rPr>
          <w:rFonts w:ascii="Times New Roman" w:hAnsi="Times New Roman" w:eastAsia="Times New Roman" w:cs="Times New Roman"/>
          <w:sz w:val="24"/>
          <w:szCs w:val="24"/>
        </w:rPr>
      </w:pPr>
      <w:r>
        <w:rPr>
          <w:rFonts w:ascii="Arial" w:hAnsi="Arial" w:eastAsia="Arial" w:cs="Arial"/>
          <w:color w:val="000000"/>
          <w:sz w:val="24"/>
          <w:szCs w:val="24"/>
        </w:rPr>
        <w:t>Table 4 shows the frequency of presence of TMD symptoms in the studied groups. The most prevalent symptom reported by students from G1 with TMD was jaw pain (63.5%), followed by headache (56.5%), joint noise (51.8%), locking when opening (32.9%) and locking when closing (10.6%). In G2, the most prevalent symptom was headache (56.5%), followed by jaw pain (51.8%), joint noise (49.4%), locking when opening (41.2%) and locking when closing (16.5%). There was no significance between the groups (p&gt;0.05).</w:t>
      </w:r>
    </w:p>
    <w:p w14:paraId="1F4CA27D">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Table 5 describes the absolute frequencies and percentages of symptomatic and non-symptomatic participants and their respective courses. The largest number of symptomatic participants for TMD belongs to G1 and the psychology course (n=28), representing 62.2% of the students from this course who participated in the research. No significant correlation was found between symptomatology for TMD and courses (p&gt;0.05, Simple Multinomial Logistic Regression).</w:t>
      </w:r>
      <w:r>
        <w:rPr>
          <w:rFonts w:ascii="Times New Roman" w:hAnsi="Times New Roman" w:eastAsia="Times New Roman" w:cs="Times New Roman"/>
          <w:sz w:val="24"/>
          <w:szCs w:val="24"/>
        </w:rPr>
        <w:t xml:space="preserve"> </w:t>
      </w:r>
    </w:p>
    <w:p w14:paraId="2B42B6A6">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smallCaps/>
          <w:color w:val="000000"/>
          <w:sz w:val="24"/>
          <w:szCs w:val="24"/>
        </w:rPr>
        <w:t>DISCUSSION</w:t>
      </w:r>
    </w:p>
    <w:p w14:paraId="308FBA74">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This study found a high prevalence of TMD symptoms and psychosocial factors in university students during the COVID-19 pandemic. It is known that the identification of TMD symptoms represents an important resource for the early diagnosis of this condition. In the present study, instruments recommended worldwide were used for data collection, such as the Anxiety and Depression Scale (HAD) and the DC/TMD Symptom Questionnaire associated with a Demographic Questionnaire, where data related to age, sex, course and period were collected.</w:t>
      </w:r>
    </w:p>
    <w:p w14:paraId="1E9A1DD1">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sz w:val="24"/>
          <w:szCs w:val="24"/>
        </w:rPr>
        <w:t>The most prevalent age group was 18 to 24 years old, a fact similar to other studies.</w:t>
      </w:r>
      <w:r>
        <w:rPr>
          <w:rFonts w:ascii="Arial" w:hAnsi="Arial" w:eastAsia="Arial" w:cs="Arial"/>
          <w:sz w:val="24"/>
          <w:szCs w:val="24"/>
          <w:vertAlign w:val="superscript"/>
        </w:rPr>
        <w:t>1-3-13</w:t>
      </w:r>
      <w:r>
        <w:rPr>
          <w:rFonts w:ascii="Arial" w:hAnsi="Arial" w:eastAsia="Arial" w:cs="Arial"/>
          <w:sz w:val="24"/>
          <w:szCs w:val="24"/>
        </w:rPr>
        <w:t xml:space="preserve"> </w:t>
      </w:r>
      <w:r>
        <w:rPr>
          <w:rFonts w:ascii="Arial" w:hAnsi="Arial" w:eastAsia="Arial" w:cs="Arial"/>
          <w:color w:val="000000"/>
          <w:sz w:val="24"/>
          <w:szCs w:val="24"/>
        </w:rPr>
        <w:t>Regarding sex, in both groups there was a greater participation of women, which is also largely consistent with the literature.</w:t>
      </w:r>
      <w:r>
        <w:rPr>
          <w:rFonts w:ascii="Arial" w:hAnsi="Arial" w:eastAsia="Arial" w:cs="Arial"/>
          <w:sz w:val="24"/>
          <w:szCs w:val="24"/>
          <w:vertAlign w:val="superscript"/>
        </w:rPr>
        <w:t>3-13</w:t>
      </w:r>
    </w:p>
    <w:p w14:paraId="0F7758F2">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 xml:space="preserve">The results of the HAD scale in relation to anxiety showed that 81.2% of G1 and 71.8% of G2 had some level of anxiety. </w:t>
      </w:r>
      <w:r>
        <w:rPr>
          <w:rFonts w:ascii="Arial" w:hAnsi="Arial" w:eastAsia="Arial" w:cs="Arial"/>
          <w:sz w:val="24"/>
          <w:szCs w:val="24"/>
        </w:rPr>
        <w:t>Medeiros et al. (2020)</w:t>
      </w:r>
      <w:r>
        <w:rPr>
          <w:rFonts w:ascii="Arial" w:hAnsi="Arial" w:eastAsia="Arial" w:cs="Arial"/>
          <w:sz w:val="24"/>
          <w:szCs w:val="24"/>
          <w:vertAlign w:val="superscript"/>
        </w:rPr>
        <w:t>7</w:t>
      </w:r>
      <w:r>
        <w:rPr>
          <w:rFonts w:ascii="Arial" w:hAnsi="Arial" w:eastAsia="Arial" w:cs="Arial"/>
          <w:sz w:val="24"/>
          <w:szCs w:val="24"/>
        </w:rPr>
        <w:t xml:space="preserve"> also used </w:t>
      </w:r>
      <w:r>
        <w:rPr>
          <w:rFonts w:ascii="Arial" w:hAnsi="Arial" w:eastAsia="Arial" w:cs="Arial"/>
          <w:color w:val="000000"/>
          <w:sz w:val="24"/>
          <w:szCs w:val="24"/>
        </w:rPr>
        <w:t>the HAD scale in university students during the pandemic in their study and obtained, as a result, a much lower prevalence than that study, of 49.6% of anxiety. This variation may be related to the sample size, the moment the questionnaire was applied, type of course and period. The highest prevalence of anxiety was found in women, although no significant association was detected between these variables. Medeiros et al. (2020)</w:t>
      </w:r>
      <w:r>
        <w:rPr>
          <w:rFonts w:ascii="Arial" w:hAnsi="Arial" w:eastAsia="Arial" w:cs="Arial"/>
          <w:sz w:val="24"/>
          <w:szCs w:val="24"/>
          <w:vertAlign w:val="superscript"/>
        </w:rPr>
        <w:t>7</w:t>
      </w:r>
      <w:r>
        <w:rPr>
          <w:rFonts w:ascii="Arial" w:hAnsi="Arial" w:eastAsia="Arial" w:cs="Arial"/>
          <w:color w:val="000000"/>
          <w:sz w:val="24"/>
          <w:szCs w:val="24"/>
        </w:rPr>
        <w:t xml:space="preserve"> also found a higher prevalence of anxiety symptoms in women (55.2%), but there was a statistically significant association.</w:t>
      </w:r>
    </w:p>
    <w:p w14:paraId="16E8B647">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Regarding depression, the results of the HAD scale showed that 55.3% of G1 and 50.6% of G2 had some level of this factor. The study of Medeiros et al. (2020)</w:t>
      </w:r>
      <w:r>
        <w:rPr>
          <w:rFonts w:ascii="Arial" w:hAnsi="Arial" w:eastAsia="Arial" w:cs="Arial"/>
          <w:sz w:val="24"/>
          <w:szCs w:val="24"/>
          <w:vertAlign w:val="superscript"/>
        </w:rPr>
        <w:t>7</w:t>
      </w:r>
      <w:r>
        <w:rPr>
          <w:rFonts w:ascii="Arial" w:hAnsi="Arial" w:eastAsia="Arial" w:cs="Arial"/>
          <w:color w:val="000000"/>
          <w:sz w:val="24"/>
          <w:szCs w:val="24"/>
        </w:rPr>
        <w:t xml:space="preserve"> and Pinto et al. (2017)</w:t>
      </w:r>
      <w:r>
        <w:rPr>
          <w:rFonts w:ascii="Arial" w:hAnsi="Arial" w:eastAsia="Arial" w:cs="Arial"/>
          <w:sz w:val="24"/>
          <w:szCs w:val="24"/>
          <w:vertAlign w:val="superscript"/>
        </w:rPr>
        <w:t>13</w:t>
      </w:r>
      <w:r>
        <w:rPr>
          <w:rFonts w:ascii="Arial" w:hAnsi="Arial" w:eastAsia="Arial" w:cs="Arial"/>
          <w:color w:val="000000"/>
          <w:sz w:val="24"/>
          <w:szCs w:val="24"/>
        </w:rPr>
        <w:t xml:space="preserve"> demonstrated a prevalence of symptoms of depression that was also significant, but a little lower, 38.9% and 42.2%, respectively.</w:t>
      </w:r>
    </w:p>
    <w:p w14:paraId="21BF230E">
      <w:pPr>
        <w:spacing w:before="120" w:after="120" w:line="240" w:lineRule="auto"/>
        <w:ind w:left="-2" w:hanging="2"/>
        <w:jc w:val="both"/>
        <w:rPr>
          <w:rFonts w:ascii="Arial" w:hAnsi="Arial" w:eastAsia="Arial" w:cs="Arial"/>
          <w:sz w:val="24"/>
          <w:szCs w:val="24"/>
        </w:rPr>
      </w:pPr>
      <w:r>
        <w:rPr>
          <w:rFonts w:ascii="Arial" w:hAnsi="Arial" w:eastAsia="Arial" w:cs="Arial"/>
          <w:color w:val="000000"/>
          <w:sz w:val="24"/>
          <w:szCs w:val="24"/>
        </w:rPr>
        <w:t>Only in G2 was found a significant association between sex and depression, with odds ratio of 1.524 for females and 0.8266 for males (p=0.0082). This higher prevalence of depression in women was also found in studies of Minghelli et al. (2014)</w:t>
      </w:r>
      <w:r>
        <w:rPr>
          <w:rFonts w:ascii="Arial" w:hAnsi="Arial" w:eastAsia="Arial" w:cs="Arial"/>
          <w:sz w:val="24"/>
          <w:szCs w:val="24"/>
          <w:vertAlign w:val="superscript"/>
        </w:rPr>
        <w:t>3</w:t>
      </w:r>
      <w:r>
        <w:rPr>
          <w:rFonts w:ascii="Arial" w:hAnsi="Arial" w:eastAsia="Arial" w:cs="Arial"/>
          <w:color w:val="000000"/>
          <w:sz w:val="24"/>
          <w:szCs w:val="24"/>
        </w:rPr>
        <w:t xml:space="preserve"> and Pinto et al. (2017),</w:t>
      </w:r>
      <w:r>
        <w:rPr>
          <w:rFonts w:ascii="Arial" w:hAnsi="Arial" w:eastAsia="Arial" w:cs="Arial"/>
          <w:sz w:val="24"/>
          <w:szCs w:val="24"/>
          <w:vertAlign w:val="superscript"/>
        </w:rPr>
        <w:t>13</w:t>
      </w:r>
      <w:r>
        <w:rPr>
          <w:rFonts w:ascii="Arial" w:hAnsi="Arial" w:eastAsia="Arial" w:cs="Arial"/>
          <w:color w:val="000000"/>
          <w:sz w:val="24"/>
          <w:szCs w:val="24"/>
        </w:rPr>
        <w:t xml:space="preserve"> of 32% and 45%, respectively. This is usually justified by situations that make women more vulnerable to episodes of depression, such as sexual abuse, conflicts in family relationships, motherhood and hormonal changes that affect mood and cognition.</w:t>
      </w:r>
      <w:r>
        <w:rPr>
          <w:rFonts w:ascii="Arial" w:hAnsi="Arial" w:eastAsia="Arial" w:cs="Arial"/>
          <w:sz w:val="24"/>
          <w:szCs w:val="24"/>
          <w:vertAlign w:val="superscript"/>
        </w:rPr>
        <w:t>13</w:t>
      </w:r>
      <w:r>
        <w:rPr>
          <w:rFonts w:ascii="Arial" w:hAnsi="Arial" w:eastAsia="Arial" w:cs="Arial"/>
          <w:color w:val="000000"/>
          <w:sz w:val="24"/>
          <w:szCs w:val="24"/>
        </w:rPr>
        <w:t xml:space="preserve"> </w:t>
      </w:r>
    </w:p>
    <w:p w14:paraId="2515DD75">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Analyzing the total sample, a prevalence of TMD symptoms of 85.3% was obtained, much higher when compared to the study by Medeiros et al. (2020),</w:t>
      </w:r>
      <w:r>
        <w:rPr>
          <w:rFonts w:ascii="Arial" w:hAnsi="Arial" w:eastAsia="Arial" w:cs="Arial"/>
          <w:sz w:val="24"/>
          <w:szCs w:val="24"/>
          <w:vertAlign w:val="superscript"/>
        </w:rPr>
        <w:t>7</w:t>
      </w:r>
      <w:r>
        <w:rPr>
          <w:rFonts w:ascii="Arial" w:hAnsi="Arial" w:eastAsia="Arial" w:cs="Arial"/>
          <w:color w:val="000000"/>
          <w:sz w:val="24"/>
          <w:szCs w:val="24"/>
        </w:rPr>
        <w:t xml:space="preserve"> who used the same instrument as the study in question with university students during the pandemic (54.8% prevalence of TMD symptoms). Comparing with the studies by Calixtre et al. (2014),</w:t>
      </w:r>
      <w:r>
        <w:rPr>
          <w:rFonts w:ascii="Arial" w:hAnsi="Arial" w:eastAsia="Arial" w:cs="Arial"/>
          <w:sz w:val="24"/>
          <w:szCs w:val="24"/>
          <w:vertAlign w:val="superscript"/>
        </w:rPr>
        <w:t>5</w:t>
      </w:r>
      <w:r>
        <w:rPr>
          <w:rFonts w:ascii="Arial" w:hAnsi="Arial" w:eastAsia="Arial" w:cs="Arial"/>
          <w:color w:val="000000"/>
          <w:sz w:val="24"/>
          <w:szCs w:val="24"/>
        </w:rPr>
        <w:t xml:space="preserve"> Pinto et al. (2017)</w:t>
      </w:r>
      <w:r>
        <w:rPr>
          <w:rFonts w:ascii="Arial" w:hAnsi="Arial" w:eastAsia="Arial" w:cs="Arial"/>
          <w:sz w:val="24"/>
          <w:szCs w:val="24"/>
          <w:vertAlign w:val="superscript"/>
        </w:rPr>
        <w:t>13</w:t>
      </w:r>
      <w:r>
        <w:rPr>
          <w:rFonts w:ascii="Arial" w:hAnsi="Arial" w:eastAsia="Arial" w:cs="Arial"/>
          <w:color w:val="000000"/>
          <w:sz w:val="24"/>
          <w:szCs w:val="24"/>
        </w:rPr>
        <w:t xml:space="preserve"> and Ferreira et al. (2012),</w:t>
      </w:r>
      <w:r>
        <w:rPr>
          <w:rFonts w:ascii="Arial" w:hAnsi="Arial" w:eastAsia="Arial" w:cs="Arial"/>
          <w:sz w:val="24"/>
          <w:szCs w:val="24"/>
          <w:vertAlign w:val="superscript"/>
        </w:rPr>
        <w:t>2</w:t>
      </w:r>
      <w:r>
        <w:rPr>
          <w:rFonts w:ascii="Arial" w:hAnsi="Arial" w:eastAsia="Arial" w:cs="Arial"/>
          <w:color w:val="000000"/>
          <w:sz w:val="24"/>
          <w:szCs w:val="24"/>
        </w:rPr>
        <w:t xml:space="preserve"> which found 70.6%, 66.3% and 39% of students with this condition, respectively, still has a higher prevalence in the present study.</w:t>
      </w:r>
    </w:p>
    <w:p w14:paraId="51F2761E">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These differences between studies can be attributed to differences in race, culture and socioeconomic characteristics, which may have an effect on TMD, in addition to sex distribution, type of questionnaire applied, course and time when the questionnaire was applied.</w:t>
      </w:r>
      <w:r>
        <w:rPr>
          <w:rFonts w:ascii="Arial" w:hAnsi="Arial" w:eastAsia="Arial" w:cs="Arial"/>
          <w:sz w:val="24"/>
          <w:szCs w:val="24"/>
          <w:vertAlign w:val="superscript"/>
        </w:rPr>
        <w:t>15-2</w:t>
      </w:r>
      <w:r>
        <w:rPr>
          <w:rFonts w:ascii="Arial" w:hAnsi="Arial" w:eastAsia="Arial" w:cs="Arial"/>
          <w:color w:val="000000"/>
          <w:sz w:val="24"/>
          <w:szCs w:val="24"/>
        </w:rPr>
        <w:t xml:space="preserve">  </w:t>
      </w:r>
    </w:p>
    <w:p w14:paraId="3CA488AE">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The present study, as well as others, pointed to a high prevalence of TMD symptoms in university students. This fact is probably due to the influence of emotional stress, which may be the main etiological and predisposing factor, influencing the increase in emotional tension.</w:t>
      </w:r>
      <w:r>
        <w:rPr>
          <w:rFonts w:ascii="Arial" w:hAnsi="Arial" w:eastAsia="Arial" w:cs="Arial"/>
          <w:sz w:val="24"/>
          <w:szCs w:val="24"/>
          <w:vertAlign w:val="superscript"/>
        </w:rPr>
        <w:t>2</w:t>
      </w:r>
      <w:r>
        <w:rPr>
          <w:rFonts w:ascii="Arial" w:hAnsi="Arial" w:eastAsia="Arial" w:cs="Arial"/>
          <w:color w:val="000000"/>
          <w:sz w:val="24"/>
          <w:szCs w:val="24"/>
        </w:rPr>
        <w:t xml:space="preserve"> In addition to all the demand for performance in the academic phase, university students can develop parafunctional habits during graduation, such as resting the hand on the jaw, bruxism, biting the lip and objects, onychophagia, which lead to muscle hyperactivity.</w:t>
      </w:r>
      <w:r>
        <w:rPr>
          <w:rFonts w:ascii="Arial" w:hAnsi="Arial" w:eastAsia="Arial" w:cs="Arial"/>
          <w:sz w:val="24"/>
          <w:szCs w:val="24"/>
          <w:vertAlign w:val="superscript"/>
        </w:rPr>
        <w:t>13</w:t>
      </w:r>
      <w:r>
        <w:rPr>
          <w:rFonts w:ascii="Arial" w:hAnsi="Arial" w:eastAsia="Arial" w:cs="Arial"/>
          <w:color w:val="000000"/>
          <w:sz w:val="24"/>
          <w:szCs w:val="24"/>
        </w:rPr>
        <w:t xml:space="preserve"> </w:t>
      </w:r>
    </w:p>
    <w:p w14:paraId="194CB630">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Another factor that was probably largely responsible for this high prevalence of anxiety and depression, and consequently TMD, was the COVID-19 pandemic. The institution's academic calendar was suspended for a few months and remained in remote classes for a long period of the pandemic. It is added that in this period of social isolation, there was a shortage of dental treatment for several months, a sudden change in life, with the possibility of delay in graduation and many uncertainties regarding the academic and professional future.</w:t>
      </w:r>
      <w:r>
        <w:rPr>
          <w:rFonts w:ascii="Arial" w:hAnsi="Arial" w:eastAsia="Arial" w:cs="Arial"/>
          <w:sz w:val="24"/>
          <w:szCs w:val="24"/>
          <w:vertAlign w:val="superscript"/>
        </w:rPr>
        <w:t>7-14</w:t>
      </w:r>
    </w:p>
    <w:p w14:paraId="0937050D">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When comparing the two groups, a prevalence of TMD symptoms of 89.41% was found in G1 and 81.18% in G2. Thus, no significant difference was found when comparing the prevalence of TMD symptoms in students with and without psychological counseling (p=0.1931), despite the prevalence of TMD being slightly higher in students who were undergoing psychological counseling. The null hypothesis of the study was, therefore, partially accepted, as it was expected that students who were undergoing psychotherapy, already diagnosed with some type of psychological disorder, would be more likely to have TMD.</w:t>
      </w:r>
    </w:p>
    <w:p w14:paraId="35AFEB8E">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There was also no statistically significant difference (p&gt;0.05) regarding sex and symptomatology for TMD, although the prevalence was higher in women. The study by Pinto et al. (2017)</w:t>
      </w:r>
      <w:r>
        <w:rPr>
          <w:rFonts w:ascii="Arial" w:hAnsi="Arial" w:eastAsia="Arial" w:cs="Arial"/>
          <w:sz w:val="24"/>
          <w:szCs w:val="24"/>
          <w:vertAlign w:val="superscript"/>
        </w:rPr>
        <w:t>13</w:t>
      </w:r>
      <w:r>
        <w:rPr>
          <w:rFonts w:ascii="Arial" w:hAnsi="Arial" w:eastAsia="Arial" w:cs="Arial"/>
          <w:color w:val="000000"/>
          <w:sz w:val="24"/>
          <w:szCs w:val="24"/>
        </w:rPr>
        <w:t xml:space="preserve"> also did not find a statistically significant difference between TMD symptoms and sex, but women were also the most affected (70.2%). The higher prevalence of TMD in women may be related to physiological characteristics of the female sex, such as regular hormonal variations and structure of the connective and muscular tissues. Also, women have more depressive and stress episodes than men.</w:t>
      </w:r>
      <w:r>
        <w:rPr>
          <w:rFonts w:ascii="Arial" w:hAnsi="Arial" w:eastAsia="Arial" w:cs="Arial"/>
          <w:sz w:val="24"/>
          <w:szCs w:val="24"/>
          <w:vertAlign w:val="superscript"/>
        </w:rPr>
        <w:t>3-4-13-15</w:t>
      </w:r>
      <w:r>
        <w:rPr>
          <w:rFonts w:ascii="Arial" w:hAnsi="Arial" w:eastAsia="Arial" w:cs="Arial"/>
          <w:color w:val="000000"/>
          <w:sz w:val="24"/>
          <w:szCs w:val="24"/>
        </w:rPr>
        <w:t xml:space="preserve"> </w:t>
      </w:r>
    </w:p>
    <w:p w14:paraId="5EE5D93D">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The most frequent TMD symptoms were jaw pain (63.5%) in G1 and headache (56.5%), in G2, which characterizes a higher prevalence of TMD symptoms of muscular origin in the studied groups. The most reported TMD symptom in the study by Pinto et al. (2017)</w:t>
      </w:r>
      <w:r>
        <w:rPr>
          <w:rFonts w:ascii="Arial" w:hAnsi="Arial" w:eastAsia="Arial" w:cs="Arial"/>
          <w:sz w:val="24"/>
          <w:szCs w:val="24"/>
          <w:vertAlign w:val="superscript"/>
        </w:rPr>
        <w:t>13</w:t>
      </w:r>
      <w:r>
        <w:rPr>
          <w:rFonts w:ascii="Arial" w:hAnsi="Arial" w:eastAsia="Arial" w:cs="Arial"/>
          <w:color w:val="000000"/>
          <w:sz w:val="24"/>
          <w:szCs w:val="24"/>
        </w:rPr>
        <w:t xml:space="preserve"> was also the headache (60.8%). Other studies, which used other indices, such as the one by Bezerra et al. (2012),</w:t>
      </w:r>
      <w:r>
        <w:rPr>
          <w:rFonts w:ascii="Arial" w:hAnsi="Arial" w:eastAsia="Arial" w:cs="Arial"/>
          <w:sz w:val="24"/>
          <w:szCs w:val="24"/>
          <w:vertAlign w:val="superscript"/>
        </w:rPr>
        <w:t>1</w:t>
      </w:r>
      <w:r>
        <w:rPr>
          <w:rFonts w:ascii="Arial" w:hAnsi="Arial" w:eastAsia="Arial" w:cs="Arial"/>
          <w:color w:val="000000"/>
          <w:sz w:val="24"/>
          <w:szCs w:val="24"/>
        </w:rPr>
        <w:t xml:space="preserve"> the headache was the 3rd most frequent symptom (45.2%), and the 2nd (75.4%) in the study by Minghelli et al. (2014).</w:t>
      </w:r>
      <w:r>
        <w:rPr>
          <w:rFonts w:ascii="Arial" w:hAnsi="Arial" w:eastAsia="Arial" w:cs="Arial"/>
          <w:sz w:val="24"/>
          <w:szCs w:val="24"/>
          <w:vertAlign w:val="superscript"/>
        </w:rPr>
        <w:t>3</w:t>
      </w:r>
    </w:p>
    <w:p w14:paraId="6350B577">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The study had some limitations and difficulties that should be considered, such as: the difficulty of obtaining a larger sample, the difficulty of measuring subjective variables, such as anxiety and depression and the fact that the research participants were not undergoing specific treatment for orofacial pain, which could bring a conclusive result in relation to psychotherapeutic treatment as an adjunct in the treatment of TMD.</w:t>
      </w:r>
    </w:p>
    <w:p w14:paraId="1243ED87">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About the high prevalence of TMD found in this study, it is important to carry out a psychosocial assessment of patients in the diagnostic process, considering that factors, such as anxiety and depression, can act as important collaborators for the installation and maintenance of TMD, hindering the success of the treatment.</w:t>
      </w:r>
    </w:p>
    <w:p w14:paraId="49A832E9">
      <w:pPr>
        <w:spacing w:before="120" w:after="120" w:line="240" w:lineRule="auto"/>
        <w:ind w:left="-2" w:hanging="2"/>
        <w:rPr>
          <w:rFonts w:ascii="Times New Roman" w:hAnsi="Times New Roman" w:eastAsia="Times New Roman" w:cs="Times New Roman"/>
          <w:sz w:val="24"/>
          <w:szCs w:val="24"/>
        </w:rPr>
      </w:pPr>
      <w:r>
        <w:rPr>
          <w:rFonts w:ascii="Arial" w:hAnsi="Arial" w:eastAsia="Arial" w:cs="Arial"/>
          <w:b/>
          <w:smallCaps/>
          <w:color w:val="000000"/>
          <w:sz w:val="24"/>
          <w:szCs w:val="24"/>
        </w:rPr>
        <w:t>CONCLUSION</w:t>
      </w:r>
    </w:p>
    <w:p w14:paraId="0F6F9FF9">
      <w:pPr>
        <w:spacing w:before="120" w:after="120" w:line="240" w:lineRule="auto"/>
        <w:ind w:left="-2" w:hanging="2"/>
        <w:jc w:val="both"/>
        <w:rPr>
          <w:rFonts w:ascii="Arial" w:hAnsi="Arial" w:eastAsia="Arial" w:cs="Arial"/>
          <w:color w:val="000000"/>
          <w:sz w:val="24"/>
          <w:szCs w:val="24"/>
        </w:rPr>
      </w:pPr>
      <w:r>
        <w:rPr>
          <w:rFonts w:ascii="Arial" w:hAnsi="Arial" w:eastAsia="Arial" w:cs="Arial"/>
          <w:color w:val="000000"/>
          <w:sz w:val="24"/>
          <w:szCs w:val="24"/>
        </w:rPr>
        <w:t>The results revealed a high prevalence of symptoms of temporomandibular disorder, depression and anxiety in college students. However, there was no significant correlation of TMD between sex, course, period and psychological follow-up. The most prevalent symptoms in students were headache and jaw pain.</w:t>
      </w:r>
    </w:p>
    <w:p w14:paraId="61DE81FC">
      <w:pPr>
        <w:spacing w:before="120" w:after="120" w:line="240" w:lineRule="auto"/>
        <w:ind w:left="-2" w:hanging="2"/>
        <w:jc w:val="both"/>
        <w:rPr>
          <w:rFonts w:ascii="Arial" w:hAnsi="Arial" w:eastAsia="Arial" w:cs="Arial"/>
          <w:b/>
          <w:color w:val="0A0A0A"/>
          <w:sz w:val="24"/>
          <w:szCs w:val="24"/>
          <w:highlight w:val="white"/>
        </w:rPr>
      </w:pPr>
      <w:r>
        <w:rPr>
          <w:rFonts w:ascii="Arial" w:hAnsi="Arial" w:eastAsia="Arial" w:cs="Arial"/>
          <w:b/>
          <w:color w:val="0A0A0A"/>
          <w:sz w:val="24"/>
          <w:szCs w:val="24"/>
          <w:highlight w:val="white"/>
        </w:rPr>
        <w:t>HIGHLIGHTS</w:t>
      </w:r>
    </w:p>
    <w:p w14:paraId="1EF201DC">
      <w:pPr>
        <w:numPr>
          <w:ilvl w:val="0"/>
          <w:numId w:val="1"/>
        </w:numPr>
        <w:pBdr>
          <w:top w:val="none" w:color="auto" w:sz="0" w:space="0"/>
          <w:left w:val="none" w:color="auto" w:sz="0" w:space="0"/>
          <w:bottom w:val="none" w:color="auto" w:sz="0" w:space="0"/>
          <w:right w:val="none" w:color="auto" w:sz="0" w:space="0"/>
          <w:between w:val="none" w:color="auto" w:sz="0" w:space="0"/>
        </w:pBdr>
        <w:spacing w:before="120" w:after="0" w:line="240" w:lineRule="auto"/>
        <w:jc w:val="both"/>
        <w:rPr>
          <w:rFonts w:ascii="Arial" w:hAnsi="Arial" w:eastAsia="Arial" w:cs="Arial"/>
          <w:color w:val="000000"/>
          <w:sz w:val="24"/>
          <w:szCs w:val="24"/>
        </w:rPr>
      </w:pPr>
      <w:r>
        <w:rPr>
          <w:rFonts w:ascii="Arial" w:hAnsi="Arial" w:eastAsia="Arial" w:cs="Arial"/>
          <w:color w:val="000000"/>
          <w:sz w:val="24"/>
          <w:szCs w:val="24"/>
        </w:rPr>
        <w:t>University students have been pointed out in as a group with a high prevalence of temporomandibular disorders, anxiety and depression;</w:t>
      </w:r>
    </w:p>
    <w:p w14:paraId="537B0E1A">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Arial" w:cs="Arial"/>
          <w:color w:val="000000"/>
          <w:sz w:val="24"/>
          <w:szCs w:val="24"/>
        </w:rPr>
      </w:pPr>
      <w:r>
        <w:rPr>
          <w:rFonts w:ascii="Arial" w:hAnsi="Arial" w:eastAsia="Arial" w:cs="Arial"/>
          <w:color w:val="000000"/>
          <w:sz w:val="24"/>
          <w:szCs w:val="24"/>
        </w:rPr>
        <w:t>The COVID-19 pandemic changed the routine, and made the environment favorable to psychological illness and orofacial pain;</w:t>
      </w:r>
    </w:p>
    <w:p w14:paraId="453B2AD2">
      <w:pPr>
        <w:numPr>
          <w:ilvl w:val="0"/>
          <w:numId w:val="1"/>
        </w:numPr>
        <w:pBdr>
          <w:top w:val="none" w:color="auto" w:sz="0" w:space="0"/>
          <w:left w:val="none" w:color="auto" w:sz="0" w:space="0"/>
          <w:bottom w:val="none" w:color="auto" w:sz="0" w:space="0"/>
          <w:right w:val="none" w:color="auto" w:sz="0" w:space="0"/>
          <w:between w:val="none" w:color="auto" w:sz="0" w:space="0"/>
        </w:pBdr>
        <w:spacing w:after="120" w:line="240" w:lineRule="auto"/>
        <w:jc w:val="both"/>
        <w:rPr>
          <w:rFonts w:ascii="Arial" w:hAnsi="Arial" w:eastAsia="Arial" w:cs="Arial"/>
          <w:color w:val="000000"/>
          <w:sz w:val="24"/>
          <w:szCs w:val="24"/>
        </w:rPr>
      </w:pPr>
      <w:r>
        <w:rPr>
          <w:rFonts w:ascii="Arial" w:hAnsi="Arial" w:eastAsia="Arial" w:cs="Arial"/>
          <w:color w:val="000000"/>
          <w:sz w:val="24"/>
          <w:szCs w:val="24"/>
        </w:rPr>
        <w:t xml:space="preserve">The sample studied showed </w:t>
      </w:r>
      <w:r>
        <w:rPr>
          <w:rFonts w:ascii="Arial" w:hAnsi="Arial" w:eastAsia="Arial" w:cs="Arial"/>
          <w:sz w:val="24"/>
          <w:szCs w:val="24"/>
        </w:rPr>
        <w:t>a</w:t>
      </w:r>
      <w:r>
        <w:rPr>
          <w:rFonts w:ascii="Arial" w:hAnsi="Arial" w:eastAsia="Arial" w:cs="Arial"/>
          <w:color w:val="000000"/>
          <w:sz w:val="24"/>
          <w:szCs w:val="24"/>
        </w:rPr>
        <w:t xml:space="preserve"> high prevalence of symptoms of temporomandibular disorder, depression and anxiety.</w:t>
      </w:r>
      <w:r>
        <w:rPr>
          <w:rFonts w:ascii="Arial" w:hAnsi="Arial" w:eastAsia="Arial" w:cs="Arial"/>
          <w:b/>
          <w:color w:val="0A0A0A"/>
          <w:sz w:val="24"/>
          <w:szCs w:val="24"/>
          <w:highlight w:val="white"/>
        </w:rPr>
        <w:tab/>
      </w:r>
    </w:p>
    <w:p w14:paraId="03D64F9C">
      <w:pPr>
        <w:spacing w:before="120" w:after="120" w:line="240" w:lineRule="auto"/>
        <w:jc w:val="both"/>
        <w:rPr>
          <w:rFonts w:ascii="Arial" w:hAnsi="Arial" w:eastAsia="Arial" w:cs="Arial"/>
          <w:b/>
          <w:color w:val="000000"/>
          <w:sz w:val="24"/>
          <w:szCs w:val="24"/>
        </w:rPr>
      </w:pPr>
    </w:p>
    <w:p w14:paraId="750812C8">
      <w:pPr>
        <w:spacing w:before="120" w:after="120" w:line="240" w:lineRule="auto"/>
        <w:jc w:val="both"/>
        <w:rPr>
          <w:rFonts w:ascii="Arial" w:hAnsi="Arial" w:eastAsia="Arial" w:cs="Arial"/>
          <w:sz w:val="24"/>
          <w:szCs w:val="24"/>
        </w:rPr>
      </w:pPr>
      <w:r>
        <w:rPr>
          <w:rFonts w:ascii="Arial" w:hAnsi="Arial" w:eastAsia="Arial" w:cs="Arial"/>
          <w:b/>
          <w:color w:val="000000"/>
          <w:sz w:val="24"/>
          <w:szCs w:val="24"/>
        </w:rPr>
        <w:t>REFERENCES</w:t>
      </w:r>
    </w:p>
    <w:p w14:paraId="73529AC5">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1. Bezerra BPN, Ribeiro AIAM, Farias ABL de, Farias ABL de, Fontes L de BC, Nascimento SR do, et al. Prevalence of temporomandibular disorders and different levels of anxiety in college students. Rev Dor. 2012;13(3):235–42.</w:t>
      </w:r>
    </w:p>
    <w:p w14:paraId="7958F037">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2. Ferreira F, Cruz L, Urban V, Fernandes F, Campanha N, Jorge J. Prevalence of temporomandibular disorders in undergraduate students at the State University of Ponta Grossa. Arq em Odontol. 2012;48(1):13–8.</w:t>
      </w:r>
    </w:p>
    <w:p w14:paraId="288F9122">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3. Minghelli B, Morgado M, Caro T. Association of temporomandibular disorder symptoms with anxiety and depression in Portuguese college students. J Oral Sci. 2014;56(2):127–33.</w:t>
      </w:r>
    </w:p>
    <w:p w14:paraId="146D6636">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4. Daher CR de M, Cunha LF da, Ferreira AP de L, Souza AIS de O, Rêgo TAM, Araújo M das GR de, et al. Pain threshold, sleep quality, and anxiety levels in individuals with temporomandibular disorders. Rev CEFAC. 2018;20(4):450–8.</w:t>
      </w:r>
    </w:p>
    <w:p w14:paraId="2E2F6390">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5. Calixtre LB, Gruninger LB da S, Chaves TC, Oliveira AB de. Depression and temporomandibular disorders in. 2014;(March).</w:t>
      </w:r>
    </w:p>
    <w:p w14:paraId="2A30DF09">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6. Soares TV, Coelho PR, Ferreira LA, Guimarães JP. Correlation between severity of temporomandibular disorders and psychosocial factors in patients with chronic pain. Odontol Clín-Cient. 2012;11(3):197–202.</w:t>
      </w:r>
    </w:p>
    <w:p w14:paraId="0EF67349">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7. Medeiros RA de, Vieira DL, Silva EVF da, Rezende LVM de L, Santos RW do, Tabata LF. Prevalence of symptoms of temporomandibular disorders, oral behaviors, anxiety, and depression in dentistry students during the period of social isolation due to COVID-19. J Appl Oral Sci. 2020;28:1–8.</w:t>
      </w:r>
    </w:p>
    <w:p w14:paraId="7D2C1AF7">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8. Miranda JS, Bonato LL, Tesch R de S. COVID-19 and painful temporomandibular disorders: what does the dentist need to know? RGO - Rev Gaúcha Odontol. 2021;69.</w:t>
      </w:r>
    </w:p>
    <w:p w14:paraId="238AD9F7">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9. Pereira MD. Article submitted to the Journal of Research, Society and Development – ​​&lt; https://rsd.unifei.edu.br/index.php/rsd &gt;. Rev Res Soc Dev – [Internet]. 2020; Available at: https://orcid.org/0000-0002-0260-7194</w:t>
      </w:r>
    </w:p>
    <w:p w14:paraId="54463827">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10. Schmidt B, Crepaldi MA, Bolze SDA, Neiva-Silva L, Demenech LM. Mental health and psychological interventions during the novel coronavirus (COVID-19) pandemic. Estud Psicol. 2020;37:1–13.</w:t>
      </w:r>
    </w:p>
    <w:p w14:paraId="798A94FC">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11. Dale R, Stacey B. Multimodal Treatment of Chronic Pain. Med Clin North Am [Internet]. 2015;100(1):55–64. Available at: http://dx.doi.org/10.1016/j.mcna.2015.08.012</w:t>
      </w:r>
    </w:p>
    <w:p w14:paraId="4102F54C">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12. Yamaguchi MB, Oliveira M de FV, Siqueira SRD de. Psychotherapy in the treatment of refractory chronic orofacial pain. Case reports. Brazilian J Pain. 2022;5(2):1–6.</w:t>
      </w:r>
    </w:p>
    <w:p w14:paraId="45FE9FB2">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13. Pinto RGS, Leite WMA, Sampaio L da S, Sanchez M de O. Association between temporomandibular signs and symptoms and depression in undergraduate students: descriptive study. Rev Dor. 2017;18(3):217–24.</w:t>
      </w:r>
    </w:p>
    <w:p w14:paraId="753F3F95">
      <w:pPr>
        <w:spacing w:after="0" w:line="240" w:lineRule="auto"/>
        <w:ind w:left="360"/>
        <w:jc w:val="both"/>
        <w:rPr>
          <w:rFonts w:ascii="Arial" w:hAnsi="Arial" w:eastAsia="Arial" w:cs="Arial"/>
          <w:color w:val="000000"/>
          <w:sz w:val="24"/>
          <w:szCs w:val="24"/>
        </w:rPr>
      </w:pPr>
      <w:r>
        <w:rPr>
          <w:rFonts w:ascii="Arial" w:hAnsi="Arial" w:eastAsia="Arial" w:cs="Arial"/>
          <w:color w:val="000000"/>
          <w:sz w:val="24"/>
          <w:szCs w:val="24"/>
        </w:rPr>
        <w:t>14. De Caxias FP, Athayde FRF de, Januzzi MS, Pinheiro LV, Turcio KHL. Impact event and orofacial pain amid the covid-19 pandemic in brazil: A cross-sectional epidemiological study. J Appl Oral Sci 2021;29:1–11.</w:t>
      </w:r>
    </w:p>
    <w:p w14:paraId="5510AC23">
      <w:pPr>
        <w:spacing w:after="0" w:line="240" w:lineRule="auto"/>
        <w:ind w:left="360"/>
        <w:jc w:val="both"/>
        <w:rPr>
          <w:rFonts w:ascii="Arial" w:hAnsi="Arial" w:eastAsia="Arial" w:cs="Arial"/>
          <w:sz w:val="24"/>
          <w:szCs w:val="24"/>
        </w:rPr>
      </w:pPr>
      <w:r>
        <w:rPr>
          <w:rFonts w:ascii="Arial" w:hAnsi="Arial" w:eastAsia="Arial" w:cs="Arial"/>
          <w:color w:val="000000"/>
          <w:sz w:val="24"/>
          <w:szCs w:val="24"/>
        </w:rPr>
        <w:t>15. Monteiro DR, Zuim PRJ, Pesqueira AA, Ribeiro P do P, Garcia AR. Relationship between anxiety and chronic orofacial pain of temporomandibular disorder in a group of university students. J Prosthodont Res 2011;55(3):154–8.</w:t>
      </w:r>
    </w:p>
    <w:p w14:paraId="3CC34AFB">
      <w:pPr>
        <w:spacing w:after="0" w:line="240" w:lineRule="auto"/>
        <w:rPr>
          <w:rFonts w:ascii="Times New Roman" w:hAnsi="Times New Roman" w:eastAsia="Times New Roman" w:cs="Times New Roman"/>
          <w:sz w:val="24"/>
          <w:szCs w:val="24"/>
        </w:rPr>
      </w:pPr>
    </w:p>
    <w:p w14:paraId="4D1943D5">
      <w:pPr>
        <w:spacing w:after="0" w:line="240" w:lineRule="auto"/>
        <w:rPr>
          <w:rFonts w:ascii="Times New Roman" w:hAnsi="Times New Roman" w:eastAsia="Times New Roman" w:cs="Times New Roman"/>
          <w:sz w:val="24"/>
          <w:szCs w:val="24"/>
        </w:rPr>
      </w:pPr>
    </w:p>
    <w:p w14:paraId="6E14C326">
      <w:pPr>
        <w:rPr>
          <w:sz w:val="24"/>
          <w:szCs w:val="24"/>
        </w:rPr>
      </w:pPr>
    </w:p>
    <w:p w14:paraId="3148AE0F">
      <w:pPr>
        <w:rPr>
          <w:sz w:val="24"/>
          <w:szCs w:val="24"/>
        </w:rPr>
      </w:pPr>
    </w:p>
    <w:p w14:paraId="232F1E97">
      <w:pPr>
        <w:rPr>
          <w:sz w:val="24"/>
          <w:szCs w:val="24"/>
        </w:rPr>
      </w:pPr>
    </w:p>
    <w:p w14:paraId="15652AEB">
      <w:pPr>
        <w:rPr>
          <w:sz w:val="24"/>
          <w:szCs w:val="24"/>
        </w:rPr>
      </w:pPr>
    </w:p>
    <w:p w14:paraId="4D243E70">
      <w:pPr>
        <w:rPr>
          <w:sz w:val="24"/>
          <w:szCs w:val="24"/>
        </w:rPr>
      </w:pPr>
    </w:p>
    <w:p w14:paraId="78CDB43F">
      <w:pPr>
        <w:rPr>
          <w:sz w:val="24"/>
          <w:szCs w:val="24"/>
        </w:rPr>
      </w:pPr>
    </w:p>
    <w:p w14:paraId="09F7B3E2">
      <w:pPr>
        <w:rPr>
          <w:sz w:val="24"/>
          <w:szCs w:val="24"/>
        </w:rPr>
      </w:pPr>
    </w:p>
    <w:p w14:paraId="5EBD0A21">
      <w:pPr>
        <w:rPr>
          <w:sz w:val="24"/>
          <w:szCs w:val="24"/>
        </w:rPr>
      </w:pPr>
    </w:p>
    <w:p w14:paraId="2576F0A6">
      <w:pPr>
        <w:rPr>
          <w:sz w:val="24"/>
          <w:szCs w:val="24"/>
        </w:rPr>
      </w:pPr>
    </w:p>
    <w:p w14:paraId="1FD55A52">
      <w:pPr>
        <w:rPr>
          <w:sz w:val="24"/>
          <w:szCs w:val="24"/>
        </w:rPr>
      </w:pPr>
    </w:p>
    <w:p w14:paraId="70FBC4D8">
      <w:pPr>
        <w:rPr>
          <w:sz w:val="24"/>
          <w:szCs w:val="24"/>
        </w:rPr>
      </w:pPr>
    </w:p>
    <w:p w14:paraId="09F02616">
      <w:pPr>
        <w:spacing w:before="120" w:after="12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Table 1 - Demographic profile of the sample.</w:t>
      </w:r>
    </w:p>
    <w:tbl>
      <w:tblPr>
        <w:tblStyle w:val="32"/>
        <w:tblW w:w="8503" w:type="dxa"/>
        <w:jc w:val="center"/>
        <w:tblLayout w:type="fixed"/>
        <w:tblCellMar>
          <w:top w:w="15" w:type="dxa"/>
          <w:left w:w="15" w:type="dxa"/>
          <w:bottom w:w="15" w:type="dxa"/>
          <w:right w:w="15" w:type="dxa"/>
        </w:tblCellMar>
      </w:tblPr>
      <w:tblGrid>
        <w:gridCol w:w="1531"/>
        <w:gridCol w:w="539"/>
        <w:gridCol w:w="1230"/>
        <w:gridCol w:w="1704"/>
        <w:gridCol w:w="539"/>
        <w:gridCol w:w="1223"/>
        <w:gridCol w:w="1737"/>
      </w:tblGrid>
      <w:tr w14:paraId="4FDE542B">
        <w:tblPrEx>
          <w:tblCellMar>
            <w:top w:w="15" w:type="dxa"/>
            <w:left w:w="15" w:type="dxa"/>
            <w:bottom w:w="15" w:type="dxa"/>
            <w:right w:w="15" w:type="dxa"/>
          </w:tblCellMar>
        </w:tblPrEx>
        <w:trPr>
          <w:trHeight w:val="340" w:hRule="atLeast"/>
          <w:jc w:val="center"/>
        </w:trPr>
        <w:tc>
          <w:tcPr>
            <w:tcW w:w="1531" w:type="dxa"/>
            <w:tcBorders>
              <w:top w:val="single" w:color="000000" w:sz="4" w:space="0"/>
            </w:tcBorders>
            <w:shd w:val="clear" w:color="auto" w:fill="D9D9D9"/>
            <w:tcMar>
              <w:top w:w="0" w:type="dxa"/>
              <w:left w:w="108" w:type="dxa"/>
              <w:bottom w:w="0" w:type="dxa"/>
              <w:right w:w="108" w:type="dxa"/>
            </w:tcMar>
            <w:vAlign w:val="center"/>
          </w:tcPr>
          <w:p w14:paraId="7F51D217">
            <w:pPr>
              <w:spacing w:after="0" w:line="240" w:lineRule="auto"/>
              <w:rPr>
                <w:rFonts w:ascii="Times New Roman" w:hAnsi="Times New Roman" w:eastAsia="Times New Roman" w:cs="Times New Roman"/>
                <w:sz w:val="24"/>
                <w:szCs w:val="24"/>
              </w:rPr>
            </w:pPr>
          </w:p>
        </w:tc>
        <w:tc>
          <w:tcPr>
            <w:tcW w:w="3473" w:type="dxa"/>
            <w:gridSpan w:val="3"/>
            <w:tcBorders>
              <w:top w:val="single" w:color="000000" w:sz="4" w:space="0"/>
            </w:tcBorders>
            <w:shd w:val="clear" w:color="auto" w:fill="D9D9D9"/>
            <w:tcMar>
              <w:top w:w="0" w:type="dxa"/>
              <w:left w:w="108" w:type="dxa"/>
              <w:bottom w:w="0" w:type="dxa"/>
              <w:right w:w="108" w:type="dxa"/>
            </w:tcMar>
            <w:vAlign w:val="center"/>
          </w:tcPr>
          <w:p w14:paraId="586A731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G1</w:t>
            </w:r>
          </w:p>
        </w:tc>
        <w:tc>
          <w:tcPr>
            <w:tcW w:w="3499" w:type="dxa"/>
            <w:gridSpan w:val="3"/>
            <w:tcBorders>
              <w:top w:val="single" w:color="000000" w:sz="4" w:space="0"/>
            </w:tcBorders>
            <w:shd w:val="clear" w:color="auto" w:fill="D9D9D9"/>
            <w:tcMar>
              <w:top w:w="0" w:type="dxa"/>
              <w:left w:w="108" w:type="dxa"/>
              <w:bottom w:w="0" w:type="dxa"/>
              <w:right w:w="108" w:type="dxa"/>
            </w:tcMar>
            <w:vAlign w:val="center"/>
          </w:tcPr>
          <w:p w14:paraId="1C6596F4">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G2</w:t>
            </w:r>
          </w:p>
        </w:tc>
      </w:tr>
      <w:tr w14:paraId="167BAE68">
        <w:tblPrEx>
          <w:tblCellMar>
            <w:top w:w="15" w:type="dxa"/>
            <w:left w:w="15" w:type="dxa"/>
            <w:bottom w:w="15" w:type="dxa"/>
            <w:right w:w="15" w:type="dxa"/>
          </w:tblCellMar>
        </w:tblPrEx>
        <w:trPr>
          <w:trHeight w:val="340" w:hRule="atLeast"/>
          <w:jc w:val="center"/>
        </w:trPr>
        <w:tc>
          <w:tcPr>
            <w:tcW w:w="1531" w:type="dxa"/>
            <w:tcBorders>
              <w:bottom w:val="single" w:color="000000" w:sz="4" w:space="0"/>
            </w:tcBorders>
            <w:shd w:val="clear" w:color="auto" w:fill="D9D9D9"/>
            <w:tcMar>
              <w:top w:w="0" w:type="dxa"/>
              <w:left w:w="108" w:type="dxa"/>
              <w:bottom w:w="0" w:type="dxa"/>
              <w:right w:w="108" w:type="dxa"/>
            </w:tcMar>
            <w:vAlign w:val="center"/>
          </w:tcPr>
          <w:p w14:paraId="1381C0C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Variables</w:t>
            </w:r>
          </w:p>
        </w:tc>
        <w:tc>
          <w:tcPr>
            <w:tcW w:w="539" w:type="dxa"/>
            <w:tcBorders>
              <w:bottom w:val="single" w:color="000000" w:sz="4" w:space="0"/>
            </w:tcBorders>
            <w:shd w:val="clear" w:color="auto" w:fill="D9D9D9"/>
            <w:tcMar>
              <w:top w:w="0" w:type="dxa"/>
              <w:left w:w="108" w:type="dxa"/>
              <w:bottom w:w="0" w:type="dxa"/>
              <w:right w:w="108" w:type="dxa"/>
            </w:tcMar>
            <w:vAlign w:val="center"/>
          </w:tcPr>
          <w:p w14:paraId="257DE97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n</w:t>
            </w:r>
          </w:p>
        </w:tc>
        <w:tc>
          <w:tcPr>
            <w:tcW w:w="1230" w:type="dxa"/>
            <w:tcBorders>
              <w:bottom w:val="single" w:color="000000" w:sz="4" w:space="0"/>
            </w:tcBorders>
            <w:shd w:val="clear" w:color="auto" w:fill="D9D9D9"/>
            <w:tcMar>
              <w:top w:w="0" w:type="dxa"/>
              <w:left w:w="108" w:type="dxa"/>
              <w:bottom w:w="0" w:type="dxa"/>
              <w:right w:w="108" w:type="dxa"/>
            </w:tcMar>
            <w:vAlign w:val="center"/>
          </w:tcPr>
          <w:p w14:paraId="315A96CC">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w:t>
            </w:r>
          </w:p>
        </w:tc>
        <w:tc>
          <w:tcPr>
            <w:tcW w:w="1704" w:type="dxa"/>
            <w:tcBorders>
              <w:bottom w:val="single" w:color="000000" w:sz="4" w:space="0"/>
            </w:tcBorders>
            <w:shd w:val="clear" w:color="auto" w:fill="D9D9D9"/>
            <w:tcMar>
              <w:top w:w="0" w:type="dxa"/>
              <w:left w:w="108" w:type="dxa"/>
              <w:bottom w:w="0" w:type="dxa"/>
              <w:right w:w="108" w:type="dxa"/>
            </w:tcMar>
            <w:vAlign w:val="center"/>
          </w:tcPr>
          <w:p w14:paraId="30448ABC">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P</w:t>
            </w:r>
          </w:p>
        </w:tc>
        <w:tc>
          <w:tcPr>
            <w:tcW w:w="539" w:type="dxa"/>
            <w:tcBorders>
              <w:bottom w:val="single" w:color="000000" w:sz="4" w:space="0"/>
            </w:tcBorders>
            <w:shd w:val="clear" w:color="auto" w:fill="D9D9D9"/>
            <w:tcMar>
              <w:top w:w="0" w:type="dxa"/>
              <w:left w:w="108" w:type="dxa"/>
              <w:bottom w:w="0" w:type="dxa"/>
              <w:right w:w="108" w:type="dxa"/>
            </w:tcMar>
            <w:vAlign w:val="center"/>
          </w:tcPr>
          <w:p w14:paraId="48E9E96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n</w:t>
            </w:r>
          </w:p>
        </w:tc>
        <w:tc>
          <w:tcPr>
            <w:tcW w:w="1223" w:type="dxa"/>
            <w:tcBorders>
              <w:bottom w:val="single" w:color="000000" w:sz="4" w:space="0"/>
            </w:tcBorders>
            <w:shd w:val="clear" w:color="auto" w:fill="D9D9D9"/>
            <w:tcMar>
              <w:top w:w="0" w:type="dxa"/>
              <w:left w:w="108" w:type="dxa"/>
              <w:bottom w:w="0" w:type="dxa"/>
              <w:right w:w="108" w:type="dxa"/>
            </w:tcMar>
            <w:vAlign w:val="center"/>
          </w:tcPr>
          <w:p w14:paraId="3CAC2FD9">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w:t>
            </w:r>
          </w:p>
        </w:tc>
        <w:tc>
          <w:tcPr>
            <w:tcW w:w="1737" w:type="dxa"/>
            <w:tcBorders>
              <w:bottom w:val="single" w:color="000000" w:sz="4" w:space="0"/>
            </w:tcBorders>
            <w:shd w:val="clear" w:color="auto" w:fill="D9D9D9"/>
            <w:tcMar>
              <w:top w:w="0" w:type="dxa"/>
              <w:left w:w="108" w:type="dxa"/>
              <w:bottom w:w="0" w:type="dxa"/>
              <w:right w:w="108" w:type="dxa"/>
            </w:tcMar>
            <w:vAlign w:val="center"/>
          </w:tcPr>
          <w:p w14:paraId="22CAF67D">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P</w:t>
            </w:r>
          </w:p>
        </w:tc>
      </w:tr>
      <w:tr w14:paraId="35E645D3">
        <w:tblPrEx>
          <w:tblCellMar>
            <w:top w:w="15" w:type="dxa"/>
            <w:left w:w="15" w:type="dxa"/>
            <w:bottom w:w="15" w:type="dxa"/>
            <w:right w:w="15" w:type="dxa"/>
          </w:tblCellMar>
        </w:tblPrEx>
        <w:trPr>
          <w:trHeight w:val="340" w:hRule="atLeast"/>
          <w:jc w:val="center"/>
        </w:trPr>
        <w:tc>
          <w:tcPr>
            <w:tcW w:w="1531" w:type="dxa"/>
            <w:tcBorders>
              <w:top w:val="single" w:color="000000" w:sz="4" w:space="0"/>
            </w:tcBorders>
            <w:tcMar>
              <w:top w:w="0" w:type="dxa"/>
              <w:left w:w="108" w:type="dxa"/>
              <w:bottom w:w="0" w:type="dxa"/>
              <w:right w:w="108" w:type="dxa"/>
            </w:tcMar>
            <w:vAlign w:val="center"/>
          </w:tcPr>
          <w:p w14:paraId="245188C7">
            <w:pPr>
              <w:spacing w:after="0" w:line="240" w:lineRule="auto"/>
              <w:ind w:left="-2" w:hanging="2"/>
              <w:rPr>
                <w:rFonts w:ascii="Times New Roman" w:hAnsi="Times New Roman" w:eastAsia="Times New Roman" w:cs="Times New Roman"/>
                <w:sz w:val="24"/>
                <w:szCs w:val="24"/>
              </w:rPr>
            </w:pPr>
            <w:r>
              <w:rPr>
                <w:rFonts w:ascii="Arial" w:hAnsi="Arial" w:eastAsia="Arial" w:cs="Arial"/>
                <w:b/>
                <w:color w:val="000000"/>
                <w:sz w:val="24"/>
                <w:szCs w:val="24"/>
              </w:rPr>
              <w:t>Sex</w:t>
            </w:r>
          </w:p>
        </w:tc>
        <w:tc>
          <w:tcPr>
            <w:tcW w:w="539" w:type="dxa"/>
            <w:tcBorders>
              <w:top w:val="single" w:color="000000" w:sz="4" w:space="0"/>
            </w:tcBorders>
            <w:tcMar>
              <w:top w:w="0" w:type="dxa"/>
              <w:left w:w="108" w:type="dxa"/>
              <w:bottom w:w="0" w:type="dxa"/>
              <w:right w:w="108" w:type="dxa"/>
            </w:tcMar>
            <w:vAlign w:val="center"/>
          </w:tcPr>
          <w:p w14:paraId="4D6CABF9">
            <w:pPr>
              <w:spacing w:after="0" w:line="240" w:lineRule="auto"/>
              <w:rPr>
                <w:rFonts w:ascii="Times New Roman" w:hAnsi="Times New Roman" w:eastAsia="Times New Roman" w:cs="Times New Roman"/>
                <w:sz w:val="24"/>
                <w:szCs w:val="24"/>
              </w:rPr>
            </w:pPr>
          </w:p>
        </w:tc>
        <w:tc>
          <w:tcPr>
            <w:tcW w:w="1230" w:type="dxa"/>
            <w:tcBorders>
              <w:top w:val="single" w:color="000000" w:sz="4" w:space="0"/>
            </w:tcBorders>
            <w:tcMar>
              <w:top w:w="0" w:type="dxa"/>
              <w:left w:w="108" w:type="dxa"/>
              <w:bottom w:w="0" w:type="dxa"/>
              <w:right w:w="108" w:type="dxa"/>
            </w:tcMar>
            <w:vAlign w:val="center"/>
          </w:tcPr>
          <w:p w14:paraId="165AC9E7">
            <w:pPr>
              <w:spacing w:after="0" w:line="240" w:lineRule="auto"/>
              <w:rPr>
                <w:rFonts w:ascii="Times New Roman" w:hAnsi="Times New Roman" w:eastAsia="Times New Roman" w:cs="Times New Roman"/>
                <w:sz w:val="24"/>
                <w:szCs w:val="24"/>
              </w:rPr>
            </w:pPr>
          </w:p>
        </w:tc>
        <w:tc>
          <w:tcPr>
            <w:tcW w:w="1704" w:type="dxa"/>
            <w:tcBorders>
              <w:top w:val="single" w:color="000000" w:sz="4" w:space="0"/>
            </w:tcBorders>
            <w:tcMar>
              <w:top w:w="0" w:type="dxa"/>
              <w:left w:w="108" w:type="dxa"/>
              <w:bottom w:w="0" w:type="dxa"/>
              <w:right w:w="108" w:type="dxa"/>
            </w:tcMar>
            <w:vAlign w:val="center"/>
          </w:tcPr>
          <w:p w14:paraId="472A16D1">
            <w:pPr>
              <w:spacing w:after="0" w:line="240" w:lineRule="auto"/>
              <w:rPr>
                <w:rFonts w:ascii="Times New Roman" w:hAnsi="Times New Roman" w:eastAsia="Times New Roman" w:cs="Times New Roman"/>
                <w:sz w:val="24"/>
                <w:szCs w:val="24"/>
              </w:rPr>
            </w:pPr>
          </w:p>
        </w:tc>
        <w:tc>
          <w:tcPr>
            <w:tcW w:w="539" w:type="dxa"/>
            <w:tcBorders>
              <w:top w:val="single" w:color="000000" w:sz="4" w:space="0"/>
            </w:tcBorders>
            <w:tcMar>
              <w:top w:w="0" w:type="dxa"/>
              <w:left w:w="108" w:type="dxa"/>
              <w:bottom w:w="0" w:type="dxa"/>
              <w:right w:w="108" w:type="dxa"/>
            </w:tcMar>
          </w:tcPr>
          <w:p w14:paraId="0FAEE9EC">
            <w:pPr>
              <w:spacing w:after="0" w:line="240" w:lineRule="auto"/>
              <w:rPr>
                <w:rFonts w:ascii="Times New Roman" w:hAnsi="Times New Roman" w:eastAsia="Times New Roman" w:cs="Times New Roman"/>
                <w:sz w:val="24"/>
                <w:szCs w:val="24"/>
              </w:rPr>
            </w:pPr>
          </w:p>
        </w:tc>
        <w:tc>
          <w:tcPr>
            <w:tcW w:w="1223" w:type="dxa"/>
            <w:tcBorders>
              <w:top w:val="single" w:color="000000" w:sz="4" w:space="0"/>
            </w:tcBorders>
            <w:tcMar>
              <w:top w:w="0" w:type="dxa"/>
              <w:left w:w="108" w:type="dxa"/>
              <w:bottom w:w="0" w:type="dxa"/>
              <w:right w:w="108" w:type="dxa"/>
            </w:tcMar>
          </w:tcPr>
          <w:p w14:paraId="46B27DD1">
            <w:pPr>
              <w:spacing w:after="0" w:line="240" w:lineRule="auto"/>
              <w:rPr>
                <w:rFonts w:ascii="Times New Roman" w:hAnsi="Times New Roman" w:eastAsia="Times New Roman" w:cs="Times New Roman"/>
                <w:sz w:val="24"/>
                <w:szCs w:val="24"/>
              </w:rPr>
            </w:pPr>
          </w:p>
        </w:tc>
        <w:tc>
          <w:tcPr>
            <w:tcW w:w="1737" w:type="dxa"/>
            <w:tcBorders>
              <w:top w:val="single" w:color="000000" w:sz="4" w:space="0"/>
            </w:tcBorders>
            <w:tcMar>
              <w:top w:w="0" w:type="dxa"/>
              <w:left w:w="108" w:type="dxa"/>
              <w:bottom w:w="0" w:type="dxa"/>
              <w:right w:w="108" w:type="dxa"/>
            </w:tcMar>
          </w:tcPr>
          <w:p w14:paraId="2175DAC1">
            <w:pPr>
              <w:spacing w:after="0" w:line="240" w:lineRule="auto"/>
              <w:rPr>
                <w:rFonts w:ascii="Times New Roman" w:hAnsi="Times New Roman" w:eastAsia="Times New Roman" w:cs="Times New Roman"/>
                <w:sz w:val="24"/>
                <w:szCs w:val="24"/>
              </w:rPr>
            </w:pPr>
          </w:p>
        </w:tc>
      </w:tr>
      <w:tr w14:paraId="23DC3AE2">
        <w:tblPrEx>
          <w:tblCellMar>
            <w:top w:w="15" w:type="dxa"/>
            <w:left w:w="15" w:type="dxa"/>
            <w:bottom w:w="15" w:type="dxa"/>
            <w:right w:w="15" w:type="dxa"/>
          </w:tblCellMar>
        </w:tblPrEx>
        <w:trPr>
          <w:trHeight w:val="340" w:hRule="atLeast"/>
          <w:jc w:val="center"/>
        </w:trPr>
        <w:tc>
          <w:tcPr>
            <w:tcW w:w="1531" w:type="dxa"/>
            <w:tcMar>
              <w:top w:w="0" w:type="dxa"/>
              <w:left w:w="108" w:type="dxa"/>
              <w:bottom w:w="0" w:type="dxa"/>
              <w:right w:w="108" w:type="dxa"/>
            </w:tcMar>
            <w:vAlign w:val="center"/>
          </w:tcPr>
          <w:p w14:paraId="28DE02FF">
            <w:pPr>
              <w:spacing w:after="0" w:line="240" w:lineRule="auto"/>
              <w:ind w:left="-2" w:hanging="2"/>
              <w:rPr>
                <w:rFonts w:ascii="Times New Roman" w:hAnsi="Times New Roman" w:eastAsia="Times New Roman" w:cs="Times New Roman"/>
                <w:sz w:val="24"/>
                <w:szCs w:val="24"/>
              </w:rPr>
            </w:pPr>
            <w:r>
              <w:rPr>
                <w:rFonts w:ascii="Arial" w:hAnsi="Arial" w:eastAsia="Arial" w:cs="Arial"/>
                <w:color w:val="000000"/>
                <w:sz w:val="24"/>
                <w:szCs w:val="24"/>
              </w:rPr>
              <w:t>Female</w:t>
            </w:r>
          </w:p>
        </w:tc>
        <w:tc>
          <w:tcPr>
            <w:tcW w:w="539" w:type="dxa"/>
            <w:tcMar>
              <w:top w:w="0" w:type="dxa"/>
              <w:left w:w="108" w:type="dxa"/>
              <w:bottom w:w="0" w:type="dxa"/>
              <w:right w:w="108" w:type="dxa"/>
            </w:tcMar>
            <w:vAlign w:val="center"/>
          </w:tcPr>
          <w:p w14:paraId="2EEBE73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60</w:t>
            </w:r>
          </w:p>
        </w:tc>
        <w:tc>
          <w:tcPr>
            <w:tcW w:w="1230" w:type="dxa"/>
            <w:tcMar>
              <w:top w:w="0" w:type="dxa"/>
              <w:left w:w="108" w:type="dxa"/>
              <w:bottom w:w="0" w:type="dxa"/>
              <w:right w:w="108" w:type="dxa"/>
            </w:tcMar>
            <w:vAlign w:val="center"/>
          </w:tcPr>
          <w:p w14:paraId="41DFB7D4">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70.59%</w:t>
            </w:r>
          </w:p>
        </w:tc>
        <w:tc>
          <w:tcPr>
            <w:tcW w:w="1704" w:type="dxa"/>
            <w:vMerge w:val="restart"/>
            <w:tcMar>
              <w:top w:w="0" w:type="dxa"/>
              <w:left w:w="108" w:type="dxa"/>
              <w:bottom w:w="0" w:type="dxa"/>
              <w:right w:w="108" w:type="dxa"/>
            </w:tcMar>
            <w:vAlign w:val="center"/>
          </w:tcPr>
          <w:p w14:paraId="6F0C343C">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&lt;0.0001</w:t>
            </w:r>
          </w:p>
          <w:p w14:paraId="7EEF3CD3">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(Chi-Square Test)</w:t>
            </w:r>
          </w:p>
        </w:tc>
        <w:tc>
          <w:tcPr>
            <w:tcW w:w="539" w:type="dxa"/>
            <w:tcMar>
              <w:top w:w="0" w:type="dxa"/>
              <w:left w:w="108" w:type="dxa"/>
              <w:bottom w:w="0" w:type="dxa"/>
              <w:right w:w="108" w:type="dxa"/>
            </w:tcMar>
            <w:vAlign w:val="center"/>
          </w:tcPr>
          <w:p w14:paraId="1BEF080D">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62</w:t>
            </w:r>
          </w:p>
        </w:tc>
        <w:tc>
          <w:tcPr>
            <w:tcW w:w="1223" w:type="dxa"/>
            <w:tcMar>
              <w:top w:w="0" w:type="dxa"/>
              <w:left w:w="108" w:type="dxa"/>
              <w:bottom w:w="0" w:type="dxa"/>
              <w:right w:w="108" w:type="dxa"/>
            </w:tcMar>
            <w:vAlign w:val="center"/>
          </w:tcPr>
          <w:p w14:paraId="39BF99D8">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72.94%</w:t>
            </w:r>
          </w:p>
        </w:tc>
        <w:tc>
          <w:tcPr>
            <w:tcW w:w="1737" w:type="dxa"/>
            <w:vMerge w:val="restart"/>
            <w:tcMar>
              <w:top w:w="0" w:type="dxa"/>
              <w:left w:w="108" w:type="dxa"/>
              <w:bottom w:w="0" w:type="dxa"/>
              <w:right w:w="108" w:type="dxa"/>
            </w:tcMar>
            <w:vAlign w:val="center"/>
          </w:tcPr>
          <w:p w14:paraId="1C390B0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&lt;0.0001</w:t>
            </w:r>
          </w:p>
          <w:p w14:paraId="01208C1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 (Chi-Square Test)</w:t>
            </w:r>
          </w:p>
        </w:tc>
      </w:tr>
      <w:tr w14:paraId="2849F10D">
        <w:tblPrEx>
          <w:tblCellMar>
            <w:top w:w="15" w:type="dxa"/>
            <w:left w:w="15" w:type="dxa"/>
            <w:bottom w:w="15" w:type="dxa"/>
            <w:right w:w="15" w:type="dxa"/>
          </w:tblCellMar>
        </w:tblPrEx>
        <w:trPr>
          <w:trHeight w:val="340" w:hRule="atLeast"/>
          <w:jc w:val="center"/>
        </w:trPr>
        <w:tc>
          <w:tcPr>
            <w:tcW w:w="1531" w:type="dxa"/>
            <w:tcMar>
              <w:top w:w="0" w:type="dxa"/>
              <w:left w:w="108" w:type="dxa"/>
              <w:bottom w:w="0" w:type="dxa"/>
              <w:right w:w="108" w:type="dxa"/>
            </w:tcMar>
            <w:vAlign w:val="center"/>
          </w:tcPr>
          <w:p w14:paraId="02341899">
            <w:pPr>
              <w:spacing w:after="0" w:line="240" w:lineRule="auto"/>
              <w:ind w:left="-2" w:hanging="2"/>
              <w:rPr>
                <w:rFonts w:ascii="Times New Roman" w:hAnsi="Times New Roman" w:eastAsia="Times New Roman" w:cs="Times New Roman"/>
                <w:sz w:val="24"/>
                <w:szCs w:val="24"/>
              </w:rPr>
            </w:pPr>
            <w:r>
              <w:rPr>
                <w:rFonts w:ascii="Arial" w:hAnsi="Arial" w:eastAsia="Arial" w:cs="Arial"/>
                <w:color w:val="000000"/>
                <w:sz w:val="24"/>
                <w:szCs w:val="24"/>
              </w:rPr>
              <w:t>Male</w:t>
            </w:r>
          </w:p>
        </w:tc>
        <w:tc>
          <w:tcPr>
            <w:tcW w:w="539" w:type="dxa"/>
            <w:tcMar>
              <w:top w:w="0" w:type="dxa"/>
              <w:left w:w="108" w:type="dxa"/>
              <w:bottom w:w="0" w:type="dxa"/>
              <w:right w:w="108" w:type="dxa"/>
            </w:tcMar>
            <w:vAlign w:val="center"/>
          </w:tcPr>
          <w:p w14:paraId="35328CF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23</w:t>
            </w:r>
          </w:p>
        </w:tc>
        <w:tc>
          <w:tcPr>
            <w:tcW w:w="1230" w:type="dxa"/>
            <w:tcMar>
              <w:top w:w="0" w:type="dxa"/>
              <w:left w:w="108" w:type="dxa"/>
              <w:bottom w:w="0" w:type="dxa"/>
              <w:right w:w="108" w:type="dxa"/>
            </w:tcMar>
            <w:vAlign w:val="center"/>
          </w:tcPr>
          <w:p w14:paraId="27304D93">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27.06%</w:t>
            </w:r>
          </w:p>
        </w:tc>
        <w:tc>
          <w:tcPr>
            <w:tcW w:w="1704" w:type="dxa"/>
            <w:vMerge w:val="continue"/>
            <w:tcMar>
              <w:top w:w="0" w:type="dxa"/>
              <w:left w:w="108" w:type="dxa"/>
              <w:bottom w:w="0" w:type="dxa"/>
              <w:right w:w="108" w:type="dxa"/>
            </w:tcMar>
            <w:vAlign w:val="center"/>
          </w:tcPr>
          <w:p w14:paraId="028EC89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539" w:type="dxa"/>
            <w:tcMar>
              <w:top w:w="0" w:type="dxa"/>
              <w:left w:w="108" w:type="dxa"/>
              <w:bottom w:w="0" w:type="dxa"/>
              <w:right w:w="108" w:type="dxa"/>
            </w:tcMar>
            <w:vAlign w:val="center"/>
          </w:tcPr>
          <w:p w14:paraId="2027DFE1">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23</w:t>
            </w:r>
          </w:p>
        </w:tc>
        <w:tc>
          <w:tcPr>
            <w:tcW w:w="1223" w:type="dxa"/>
            <w:tcMar>
              <w:top w:w="0" w:type="dxa"/>
              <w:left w:w="108" w:type="dxa"/>
              <w:bottom w:w="0" w:type="dxa"/>
              <w:right w:w="108" w:type="dxa"/>
            </w:tcMar>
            <w:vAlign w:val="center"/>
          </w:tcPr>
          <w:p w14:paraId="682EBAE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27.06%</w:t>
            </w:r>
          </w:p>
        </w:tc>
        <w:tc>
          <w:tcPr>
            <w:tcW w:w="1737" w:type="dxa"/>
            <w:vMerge w:val="continue"/>
            <w:tcMar>
              <w:top w:w="0" w:type="dxa"/>
              <w:left w:w="108" w:type="dxa"/>
              <w:bottom w:w="0" w:type="dxa"/>
              <w:right w:w="108" w:type="dxa"/>
            </w:tcMar>
            <w:vAlign w:val="center"/>
          </w:tcPr>
          <w:p w14:paraId="5E6F97F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31A4462E">
        <w:tblPrEx>
          <w:tblCellMar>
            <w:top w:w="15" w:type="dxa"/>
            <w:left w:w="15" w:type="dxa"/>
            <w:bottom w:w="15" w:type="dxa"/>
            <w:right w:w="15" w:type="dxa"/>
          </w:tblCellMar>
        </w:tblPrEx>
        <w:trPr>
          <w:trHeight w:val="340" w:hRule="atLeast"/>
          <w:jc w:val="center"/>
        </w:trPr>
        <w:tc>
          <w:tcPr>
            <w:tcW w:w="1531" w:type="dxa"/>
            <w:tcMar>
              <w:top w:w="0" w:type="dxa"/>
              <w:left w:w="108" w:type="dxa"/>
              <w:bottom w:w="0" w:type="dxa"/>
              <w:right w:w="108" w:type="dxa"/>
            </w:tcMar>
            <w:vAlign w:val="center"/>
          </w:tcPr>
          <w:p w14:paraId="68051633">
            <w:pPr>
              <w:spacing w:after="0" w:line="240" w:lineRule="auto"/>
              <w:ind w:left="-2" w:hanging="2"/>
              <w:rPr>
                <w:rFonts w:ascii="Times New Roman" w:hAnsi="Times New Roman" w:eastAsia="Times New Roman" w:cs="Times New Roman"/>
                <w:sz w:val="24"/>
                <w:szCs w:val="24"/>
              </w:rPr>
            </w:pPr>
            <w:r>
              <w:rPr>
                <w:rFonts w:ascii="Arial" w:hAnsi="Arial" w:eastAsia="Arial" w:cs="Arial"/>
                <w:color w:val="000000"/>
                <w:sz w:val="24"/>
                <w:szCs w:val="24"/>
              </w:rPr>
              <w:t>Other</w:t>
            </w:r>
          </w:p>
        </w:tc>
        <w:tc>
          <w:tcPr>
            <w:tcW w:w="539" w:type="dxa"/>
            <w:tcMar>
              <w:top w:w="0" w:type="dxa"/>
              <w:left w:w="108" w:type="dxa"/>
              <w:bottom w:w="0" w:type="dxa"/>
              <w:right w:w="108" w:type="dxa"/>
            </w:tcMar>
            <w:vAlign w:val="center"/>
          </w:tcPr>
          <w:p w14:paraId="2DF70CF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w:t>
            </w:r>
          </w:p>
        </w:tc>
        <w:tc>
          <w:tcPr>
            <w:tcW w:w="1230" w:type="dxa"/>
            <w:tcMar>
              <w:top w:w="0" w:type="dxa"/>
              <w:left w:w="108" w:type="dxa"/>
              <w:bottom w:w="0" w:type="dxa"/>
              <w:right w:w="108" w:type="dxa"/>
            </w:tcMar>
            <w:vAlign w:val="center"/>
          </w:tcPr>
          <w:p w14:paraId="50AD7F6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2.35%</w:t>
            </w:r>
          </w:p>
        </w:tc>
        <w:tc>
          <w:tcPr>
            <w:tcW w:w="1704" w:type="dxa"/>
            <w:vMerge w:val="continue"/>
            <w:tcMar>
              <w:top w:w="0" w:type="dxa"/>
              <w:left w:w="108" w:type="dxa"/>
              <w:bottom w:w="0" w:type="dxa"/>
              <w:right w:w="108" w:type="dxa"/>
            </w:tcMar>
            <w:vAlign w:val="center"/>
          </w:tcPr>
          <w:p w14:paraId="272E7A3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539" w:type="dxa"/>
            <w:tcMar>
              <w:top w:w="0" w:type="dxa"/>
              <w:left w:w="108" w:type="dxa"/>
              <w:bottom w:w="0" w:type="dxa"/>
              <w:right w:w="108" w:type="dxa"/>
            </w:tcMar>
            <w:vAlign w:val="center"/>
          </w:tcPr>
          <w:p w14:paraId="438AC5C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w:t>
            </w:r>
          </w:p>
        </w:tc>
        <w:tc>
          <w:tcPr>
            <w:tcW w:w="1223" w:type="dxa"/>
            <w:tcMar>
              <w:top w:w="0" w:type="dxa"/>
              <w:left w:w="108" w:type="dxa"/>
              <w:bottom w:w="0" w:type="dxa"/>
              <w:right w:w="108" w:type="dxa"/>
            </w:tcMar>
            <w:vAlign w:val="center"/>
          </w:tcPr>
          <w:p w14:paraId="6FDD771D">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0.00%</w:t>
            </w:r>
          </w:p>
        </w:tc>
        <w:tc>
          <w:tcPr>
            <w:tcW w:w="1737" w:type="dxa"/>
            <w:vMerge w:val="continue"/>
            <w:tcMar>
              <w:top w:w="0" w:type="dxa"/>
              <w:left w:w="108" w:type="dxa"/>
              <w:bottom w:w="0" w:type="dxa"/>
              <w:right w:w="108" w:type="dxa"/>
            </w:tcMar>
            <w:vAlign w:val="center"/>
          </w:tcPr>
          <w:p w14:paraId="6BCE768E">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4EF70CA2">
        <w:tblPrEx>
          <w:tblCellMar>
            <w:top w:w="15" w:type="dxa"/>
            <w:left w:w="15" w:type="dxa"/>
            <w:bottom w:w="15" w:type="dxa"/>
            <w:right w:w="15" w:type="dxa"/>
          </w:tblCellMar>
        </w:tblPrEx>
        <w:trPr>
          <w:trHeight w:val="340" w:hRule="atLeast"/>
          <w:jc w:val="center"/>
        </w:trPr>
        <w:tc>
          <w:tcPr>
            <w:tcW w:w="1531" w:type="dxa"/>
            <w:shd w:val="clear" w:color="auto" w:fill="D9D9D9"/>
            <w:tcMar>
              <w:top w:w="0" w:type="dxa"/>
              <w:left w:w="108" w:type="dxa"/>
              <w:bottom w:w="0" w:type="dxa"/>
              <w:right w:w="108" w:type="dxa"/>
            </w:tcMar>
            <w:vAlign w:val="center"/>
          </w:tcPr>
          <w:p w14:paraId="72059591">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Age range</w:t>
            </w:r>
          </w:p>
        </w:tc>
        <w:tc>
          <w:tcPr>
            <w:tcW w:w="539" w:type="dxa"/>
            <w:shd w:val="clear" w:color="auto" w:fill="D9D9D9"/>
            <w:tcMar>
              <w:top w:w="0" w:type="dxa"/>
              <w:left w:w="108" w:type="dxa"/>
              <w:bottom w:w="0" w:type="dxa"/>
              <w:right w:w="108" w:type="dxa"/>
            </w:tcMar>
            <w:vAlign w:val="center"/>
          </w:tcPr>
          <w:p w14:paraId="2939DA71">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n</w:t>
            </w:r>
          </w:p>
        </w:tc>
        <w:tc>
          <w:tcPr>
            <w:tcW w:w="1230" w:type="dxa"/>
            <w:shd w:val="clear" w:color="auto" w:fill="D9D9D9"/>
            <w:tcMar>
              <w:top w:w="0" w:type="dxa"/>
              <w:left w:w="108" w:type="dxa"/>
              <w:bottom w:w="0" w:type="dxa"/>
              <w:right w:w="108" w:type="dxa"/>
            </w:tcMar>
          </w:tcPr>
          <w:p w14:paraId="45893275">
            <w:pPr>
              <w:spacing w:after="0" w:line="240" w:lineRule="auto"/>
              <w:rPr>
                <w:rFonts w:ascii="Times New Roman" w:hAnsi="Times New Roman" w:eastAsia="Times New Roman" w:cs="Times New Roman"/>
                <w:sz w:val="24"/>
                <w:szCs w:val="24"/>
              </w:rPr>
            </w:pPr>
          </w:p>
        </w:tc>
        <w:tc>
          <w:tcPr>
            <w:tcW w:w="1704" w:type="dxa"/>
            <w:shd w:val="clear" w:color="auto" w:fill="D9D9D9"/>
            <w:tcMar>
              <w:top w:w="0" w:type="dxa"/>
              <w:left w:w="108" w:type="dxa"/>
              <w:bottom w:w="0" w:type="dxa"/>
              <w:right w:w="108" w:type="dxa"/>
            </w:tcMar>
            <w:vAlign w:val="center"/>
          </w:tcPr>
          <w:p w14:paraId="4228A7E8">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P</w:t>
            </w:r>
          </w:p>
        </w:tc>
        <w:tc>
          <w:tcPr>
            <w:tcW w:w="539" w:type="dxa"/>
            <w:shd w:val="clear" w:color="auto" w:fill="D9D9D9"/>
            <w:tcMar>
              <w:top w:w="0" w:type="dxa"/>
              <w:left w:w="108" w:type="dxa"/>
              <w:bottom w:w="0" w:type="dxa"/>
              <w:right w:w="108" w:type="dxa"/>
            </w:tcMar>
            <w:vAlign w:val="center"/>
          </w:tcPr>
          <w:p w14:paraId="39E7255D">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n</w:t>
            </w:r>
          </w:p>
        </w:tc>
        <w:tc>
          <w:tcPr>
            <w:tcW w:w="1223" w:type="dxa"/>
            <w:shd w:val="clear" w:color="auto" w:fill="D9D9D9"/>
            <w:tcMar>
              <w:top w:w="0" w:type="dxa"/>
              <w:left w:w="108" w:type="dxa"/>
              <w:bottom w:w="0" w:type="dxa"/>
              <w:right w:w="108" w:type="dxa"/>
            </w:tcMar>
            <w:vAlign w:val="center"/>
          </w:tcPr>
          <w:p w14:paraId="7544442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w:t>
            </w:r>
          </w:p>
        </w:tc>
        <w:tc>
          <w:tcPr>
            <w:tcW w:w="1737" w:type="dxa"/>
            <w:shd w:val="clear" w:color="auto" w:fill="D9D9D9"/>
            <w:tcMar>
              <w:top w:w="0" w:type="dxa"/>
              <w:left w:w="108" w:type="dxa"/>
              <w:bottom w:w="0" w:type="dxa"/>
              <w:right w:w="108" w:type="dxa"/>
            </w:tcMar>
            <w:vAlign w:val="center"/>
          </w:tcPr>
          <w:p w14:paraId="626E28C5">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P</w:t>
            </w:r>
          </w:p>
        </w:tc>
      </w:tr>
      <w:tr w14:paraId="5328DA23">
        <w:tblPrEx>
          <w:tblCellMar>
            <w:top w:w="15" w:type="dxa"/>
            <w:left w:w="15" w:type="dxa"/>
            <w:bottom w:w="15" w:type="dxa"/>
            <w:right w:w="15" w:type="dxa"/>
          </w:tblCellMar>
        </w:tblPrEx>
        <w:trPr>
          <w:trHeight w:val="340" w:hRule="atLeast"/>
          <w:jc w:val="center"/>
        </w:trPr>
        <w:tc>
          <w:tcPr>
            <w:tcW w:w="1531" w:type="dxa"/>
            <w:shd w:val="clear" w:color="auto" w:fill="D9D9D9"/>
            <w:tcMar>
              <w:top w:w="0" w:type="dxa"/>
              <w:left w:w="108" w:type="dxa"/>
              <w:bottom w:w="0" w:type="dxa"/>
              <w:right w:w="108" w:type="dxa"/>
            </w:tcMar>
            <w:vAlign w:val="center"/>
          </w:tcPr>
          <w:p w14:paraId="00119222">
            <w:pPr>
              <w:spacing w:after="0" w:line="240" w:lineRule="auto"/>
              <w:ind w:left="-2" w:hanging="2"/>
              <w:rPr>
                <w:rFonts w:ascii="Times New Roman" w:hAnsi="Times New Roman" w:eastAsia="Times New Roman" w:cs="Times New Roman"/>
                <w:sz w:val="24"/>
                <w:szCs w:val="24"/>
              </w:rPr>
            </w:pPr>
            <w:r>
              <w:rPr>
                <w:rFonts w:ascii="Arial" w:hAnsi="Arial" w:eastAsia="Arial" w:cs="Arial"/>
                <w:color w:val="000000"/>
                <w:sz w:val="24"/>
                <w:szCs w:val="24"/>
              </w:rPr>
              <w:t>18 a 24 years</w:t>
            </w:r>
          </w:p>
        </w:tc>
        <w:tc>
          <w:tcPr>
            <w:tcW w:w="539" w:type="dxa"/>
            <w:shd w:val="clear" w:color="auto" w:fill="D9D9D9"/>
            <w:tcMar>
              <w:top w:w="0" w:type="dxa"/>
              <w:left w:w="108" w:type="dxa"/>
              <w:bottom w:w="0" w:type="dxa"/>
              <w:right w:w="108" w:type="dxa"/>
            </w:tcMar>
            <w:vAlign w:val="center"/>
          </w:tcPr>
          <w:p w14:paraId="1DE1BE7C">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58</w:t>
            </w:r>
          </w:p>
        </w:tc>
        <w:tc>
          <w:tcPr>
            <w:tcW w:w="1230" w:type="dxa"/>
            <w:shd w:val="clear" w:color="auto" w:fill="D9D9D9"/>
            <w:tcMar>
              <w:top w:w="0" w:type="dxa"/>
              <w:left w:w="108" w:type="dxa"/>
              <w:bottom w:w="0" w:type="dxa"/>
              <w:right w:w="108" w:type="dxa"/>
            </w:tcMar>
            <w:vAlign w:val="center"/>
          </w:tcPr>
          <w:p w14:paraId="618ECC2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68.24%</w:t>
            </w:r>
            <w:r>
              <w:rPr>
                <w:rFonts w:ascii="Arial" w:hAnsi="Arial" w:eastAsia="Arial" w:cs="Arial"/>
                <w:color w:val="000000"/>
                <w:sz w:val="24"/>
                <w:szCs w:val="24"/>
                <w:vertAlign w:val="superscript"/>
              </w:rPr>
              <w:t>+• º×</w:t>
            </w:r>
          </w:p>
        </w:tc>
        <w:tc>
          <w:tcPr>
            <w:tcW w:w="1704" w:type="dxa"/>
            <w:vMerge w:val="restart"/>
            <w:shd w:val="clear" w:color="auto" w:fill="D9D9D9"/>
            <w:tcMar>
              <w:top w:w="0" w:type="dxa"/>
              <w:left w:w="108" w:type="dxa"/>
              <w:bottom w:w="0" w:type="dxa"/>
              <w:right w:w="108" w:type="dxa"/>
            </w:tcMar>
            <w:vAlign w:val="center"/>
          </w:tcPr>
          <w:p w14:paraId="3329CED5">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&lt;0.0001</w:t>
            </w:r>
          </w:p>
          <w:p w14:paraId="2D60B149">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(Kruskal-Wallis)</w:t>
            </w:r>
          </w:p>
        </w:tc>
        <w:tc>
          <w:tcPr>
            <w:tcW w:w="539" w:type="dxa"/>
            <w:shd w:val="clear" w:color="auto" w:fill="D9D9D9"/>
            <w:tcMar>
              <w:top w:w="0" w:type="dxa"/>
              <w:left w:w="108" w:type="dxa"/>
              <w:bottom w:w="0" w:type="dxa"/>
              <w:right w:w="108" w:type="dxa"/>
            </w:tcMar>
            <w:vAlign w:val="center"/>
          </w:tcPr>
          <w:p w14:paraId="0D731630">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68</w:t>
            </w:r>
          </w:p>
        </w:tc>
        <w:tc>
          <w:tcPr>
            <w:tcW w:w="1223" w:type="dxa"/>
            <w:shd w:val="clear" w:color="auto" w:fill="D9D9D9"/>
            <w:tcMar>
              <w:top w:w="0" w:type="dxa"/>
              <w:left w:w="108" w:type="dxa"/>
              <w:bottom w:w="0" w:type="dxa"/>
              <w:right w:w="108" w:type="dxa"/>
            </w:tcMar>
            <w:vAlign w:val="center"/>
          </w:tcPr>
          <w:p w14:paraId="616E9BF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80.00%</w:t>
            </w:r>
            <w:r>
              <w:rPr>
                <w:rFonts w:ascii="Arial" w:hAnsi="Arial" w:eastAsia="Arial" w:cs="Arial"/>
                <w:color w:val="000000"/>
                <w:sz w:val="24"/>
                <w:szCs w:val="24"/>
                <w:vertAlign w:val="superscript"/>
              </w:rPr>
              <w:t>+•×</w:t>
            </w:r>
          </w:p>
        </w:tc>
        <w:tc>
          <w:tcPr>
            <w:tcW w:w="1737" w:type="dxa"/>
            <w:vMerge w:val="restart"/>
            <w:tcBorders>
              <w:bottom w:val="single" w:color="000000" w:sz="4" w:space="0"/>
            </w:tcBorders>
            <w:shd w:val="clear" w:color="auto" w:fill="D9D9D9"/>
            <w:tcMar>
              <w:top w:w="0" w:type="dxa"/>
              <w:left w:w="108" w:type="dxa"/>
              <w:bottom w:w="0" w:type="dxa"/>
              <w:right w:w="108" w:type="dxa"/>
            </w:tcMar>
            <w:vAlign w:val="center"/>
          </w:tcPr>
          <w:p w14:paraId="4F834CC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&lt;0.0001</w:t>
            </w:r>
          </w:p>
          <w:p w14:paraId="210EFF1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(Kruskal-Wallis)</w:t>
            </w:r>
          </w:p>
        </w:tc>
      </w:tr>
      <w:tr w14:paraId="2B97D401">
        <w:tblPrEx>
          <w:tblCellMar>
            <w:top w:w="15" w:type="dxa"/>
            <w:left w:w="15" w:type="dxa"/>
            <w:bottom w:w="15" w:type="dxa"/>
            <w:right w:w="15" w:type="dxa"/>
          </w:tblCellMar>
        </w:tblPrEx>
        <w:trPr>
          <w:trHeight w:val="340" w:hRule="atLeast"/>
          <w:jc w:val="center"/>
        </w:trPr>
        <w:tc>
          <w:tcPr>
            <w:tcW w:w="1531" w:type="dxa"/>
            <w:shd w:val="clear" w:color="auto" w:fill="D9D9D9"/>
            <w:tcMar>
              <w:top w:w="0" w:type="dxa"/>
              <w:left w:w="108" w:type="dxa"/>
              <w:bottom w:w="0" w:type="dxa"/>
              <w:right w:w="108" w:type="dxa"/>
            </w:tcMar>
            <w:vAlign w:val="center"/>
          </w:tcPr>
          <w:p w14:paraId="21A1F0EB">
            <w:pPr>
              <w:spacing w:after="0" w:line="240" w:lineRule="auto"/>
              <w:ind w:left="-2" w:hanging="2"/>
              <w:rPr>
                <w:rFonts w:ascii="Times New Roman" w:hAnsi="Times New Roman" w:eastAsia="Times New Roman" w:cs="Times New Roman"/>
                <w:sz w:val="24"/>
                <w:szCs w:val="24"/>
              </w:rPr>
            </w:pPr>
            <w:r>
              <w:rPr>
                <w:rFonts w:ascii="Arial" w:hAnsi="Arial" w:eastAsia="Arial" w:cs="Arial"/>
                <w:color w:val="000000"/>
                <w:sz w:val="24"/>
                <w:szCs w:val="24"/>
              </w:rPr>
              <w:t>25 a 30 years</w:t>
            </w:r>
          </w:p>
        </w:tc>
        <w:tc>
          <w:tcPr>
            <w:tcW w:w="539" w:type="dxa"/>
            <w:shd w:val="clear" w:color="auto" w:fill="D9D9D9"/>
            <w:tcMar>
              <w:top w:w="0" w:type="dxa"/>
              <w:left w:w="108" w:type="dxa"/>
              <w:bottom w:w="0" w:type="dxa"/>
              <w:right w:w="108" w:type="dxa"/>
            </w:tcMar>
            <w:vAlign w:val="center"/>
          </w:tcPr>
          <w:p w14:paraId="188964B8">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17</w:t>
            </w:r>
          </w:p>
        </w:tc>
        <w:tc>
          <w:tcPr>
            <w:tcW w:w="1230" w:type="dxa"/>
            <w:shd w:val="clear" w:color="auto" w:fill="D9D9D9"/>
            <w:tcMar>
              <w:top w:w="0" w:type="dxa"/>
              <w:left w:w="108" w:type="dxa"/>
              <w:bottom w:w="0" w:type="dxa"/>
              <w:right w:w="108" w:type="dxa"/>
            </w:tcMar>
            <w:vAlign w:val="center"/>
          </w:tcPr>
          <w:p w14:paraId="612C901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20.00%*</w:t>
            </w:r>
          </w:p>
        </w:tc>
        <w:tc>
          <w:tcPr>
            <w:tcW w:w="1704" w:type="dxa"/>
            <w:vMerge w:val="continue"/>
            <w:shd w:val="clear" w:color="auto" w:fill="D9D9D9"/>
            <w:tcMar>
              <w:top w:w="0" w:type="dxa"/>
              <w:left w:w="108" w:type="dxa"/>
              <w:bottom w:w="0" w:type="dxa"/>
              <w:right w:w="108" w:type="dxa"/>
            </w:tcMar>
            <w:vAlign w:val="center"/>
          </w:tcPr>
          <w:p w14:paraId="41B512B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539" w:type="dxa"/>
            <w:shd w:val="clear" w:color="auto" w:fill="D9D9D9"/>
            <w:tcMar>
              <w:top w:w="0" w:type="dxa"/>
              <w:left w:w="108" w:type="dxa"/>
              <w:bottom w:w="0" w:type="dxa"/>
              <w:right w:w="108" w:type="dxa"/>
            </w:tcMar>
            <w:vAlign w:val="center"/>
          </w:tcPr>
          <w:p w14:paraId="74B5E031">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12</w:t>
            </w:r>
          </w:p>
        </w:tc>
        <w:tc>
          <w:tcPr>
            <w:tcW w:w="1223" w:type="dxa"/>
            <w:shd w:val="clear" w:color="auto" w:fill="D9D9D9"/>
            <w:tcMar>
              <w:top w:w="0" w:type="dxa"/>
              <w:left w:w="108" w:type="dxa"/>
              <w:bottom w:w="0" w:type="dxa"/>
              <w:right w:w="108" w:type="dxa"/>
            </w:tcMar>
            <w:vAlign w:val="center"/>
          </w:tcPr>
          <w:p w14:paraId="0A317D04">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14.12%*</w:t>
            </w:r>
          </w:p>
        </w:tc>
        <w:tc>
          <w:tcPr>
            <w:tcW w:w="1737" w:type="dxa"/>
            <w:vMerge w:val="continue"/>
            <w:tcBorders>
              <w:bottom w:val="single" w:color="000000" w:sz="4" w:space="0"/>
            </w:tcBorders>
            <w:shd w:val="clear" w:color="auto" w:fill="D9D9D9"/>
            <w:tcMar>
              <w:top w:w="0" w:type="dxa"/>
              <w:left w:w="108" w:type="dxa"/>
              <w:bottom w:w="0" w:type="dxa"/>
              <w:right w:w="108" w:type="dxa"/>
            </w:tcMar>
            <w:vAlign w:val="center"/>
          </w:tcPr>
          <w:p w14:paraId="7443E6FF">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753527D9">
        <w:tblPrEx>
          <w:tblCellMar>
            <w:top w:w="15" w:type="dxa"/>
            <w:left w:w="15" w:type="dxa"/>
            <w:bottom w:w="15" w:type="dxa"/>
            <w:right w:w="15" w:type="dxa"/>
          </w:tblCellMar>
        </w:tblPrEx>
        <w:trPr>
          <w:trHeight w:val="340" w:hRule="atLeast"/>
          <w:jc w:val="center"/>
        </w:trPr>
        <w:tc>
          <w:tcPr>
            <w:tcW w:w="1531" w:type="dxa"/>
            <w:shd w:val="clear" w:color="auto" w:fill="D9D9D9"/>
            <w:tcMar>
              <w:top w:w="0" w:type="dxa"/>
              <w:left w:w="108" w:type="dxa"/>
              <w:bottom w:w="0" w:type="dxa"/>
              <w:right w:w="108" w:type="dxa"/>
            </w:tcMar>
            <w:vAlign w:val="center"/>
          </w:tcPr>
          <w:p w14:paraId="59CC3154">
            <w:pPr>
              <w:spacing w:after="0" w:line="240" w:lineRule="auto"/>
              <w:ind w:left="-2" w:hanging="2"/>
              <w:rPr>
                <w:rFonts w:ascii="Times New Roman" w:hAnsi="Times New Roman" w:eastAsia="Times New Roman" w:cs="Times New Roman"/>
                <w:sz w:val="24"/>
                <w:szCs w:val="24"/>
              </w:rPr>
            </w:pPr>
            <w:r>
              <w:rPr>
                <w:rFonts w:ascii="Arial" w:hAnsi="Arial" w:eastAsia="Arial" w:cs="Arial"/>
                <w:color w:val="000000"/>
                <w:sz w:val="24"/>
                <w:szCs w:val="24"/>
              </w:rPr>
              <w:t>31 a 36 years</w:t>
            </w:r>
          </w:p>
        </w:tc>
        <w:tc>
          <w:tcPr>
            <w:tcW w:w="539" w:type="dxa"/>
            <w:shd w:val="clear" w:color="auto" w:fill="D9D9D9"/>
            <w:tcMar>
              <w:top w:w="0" w:type="dxa"/>
              <w:left w:w="108" w:type="dxa"/>
              <w:bottom w:w="0" w:type="dxa"/>
              <w:right w:w="108" w:type="dxa"/>
            </w:tcMar>
            <w:vAlign w:val="center"/>
          </w:tcPr>
          <w:p w14:paraId="4A7DFB6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6</w:t>
            </w:r>
          </w:p>
        </w:tc>
        <w:tc>
          <w:tcPr>
            <w:tcW w:w="1230" w:type="dxa"/>
            <w:shd w:val="clear" w:color="auto" w:fill="D9D9D9"/>
            <w:tcMar>
              <w:top w:w="0" w:type="dxa"/>
              <w:left w:w="108" w:type="dxa"/>
              <w:bottom w:w="0" w:type="dxa"/>
              <w:right w:w="108" w:type="dxa"/>
            </w:tcMar>
            <w:vAlign w:val="center"/>
          </w:tcPr>
          <w:p w14:paraId="23074D9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7.06%*</w:t>
            </w:r>
          </w:p>
        </w:tc>
        <w:tc>
          <w:tcPr>
            <w:tcW w:w="1704" w:type="dxa"/>
            <w:vMerge w:val="continue"/>
            <w:shd w:val="clear" w:color="auto" w:fill="D9D9D9"/>
            <w:tcMar>
              <w:top w:w="0" w:type="dxa"/>
              <w:left w:w="108" w:type="dxa"/>
              <w:bottom w:w="0" w:type="dxa"/>
              <w:right w:w="108" w:type="dxa"/>
            </w:tcMar>
            <w:vAlign w:val="center"/>
          </w:tcPr>
          <w:p w14:paraId="03437A0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539" w:type="dxa"/>
            <w:shd w:val="clear" w:color="auto" w:fill="D9D9D9"/>
            <w:tcMar>
              <w:top w:w="0" w:type="dxa"/>
              <w:left w:w="108" w:type="dxa"/>
              <w:bottom w:w="0" w:type="dxa"/>
              <w:right w:w="108" w:type="dxa"/>
            </w:tcMar>
            <w:vAlign w:val="center"/>
          </w:tcPr>
          <w:p w14:paraId="7F90175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w:t>
            </w:r>
          </w:p>
        </w:tc>
        <w:tc>
          <w:tcPr>
            <w:tcW w:w="1223" w:type="dxa"/>
            <w:shd w:val="clear" w:color="auto" w:fill="D9D9D9"/>
            <w:tcMar>
              <w:top w:w="0" w:type="dxa"/>
              <w:left w:w="108" w:type="dxa"/>
              <w:bottom w:w="0" w:type="dxa"/>
              <w:right w:w="108" w:type="dxa"/>
            </w:tcMar>
            <w:vAlign w:val="center"/>
          </w:tcPr>
          <w:p w14:paraId="2971B61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2.35%*</w:t>
            </w:r>
          </w:p>
        </w:tc>
        <w:tc>
          <w:tcPr>
            <w:tcW w:w="1737" w:type="dxa"/>
            <w:vMerge w:val="continue"/>
            <w:tcBorders>
              <w:bottom w:val="single" w:color="000000" w:sz="4" w:space="0"/>
            </w:tcBorders>
            <w:shd w:val="clear" w:color="auto" w:fill="D9D9D9"/>
            <w:tcMar>
              <w:top w:w="0" w:type="dxa"/>
              <w:left w:w="108" w:type="dxa"/>
              <w:bottom w:w="0" w:type="dxa"/>
              <w:right w:w="108" w:type="dxa"/>
            </w:tcMar>
            <w:vAlign w:val="center"/>
          </w:tcPr>
          <w:p w14:paraId="4362431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57118031">
        <w:tblPrEx>
          <w:tblCellMar>
            <w:top w:w="15" w:type="dxa"/>
            <w:left w:w="15" w:type="dxa"/>
            <w:bottom w:w="15" w:type="dxa"/>
            <w:right w:w="15" w:type="dxa"/>
          </w:tblCellMar>
        </w:tblPrEx>
        <w:trPr>
          <w:trHeight w:val="340" w:hRule="atLeast"/>
          <w:jc w:val="center"/>
        </w:trPr>
        <w:tc>
          <w:tcPr>
            <w:tcW w:w="1531" w:type="dxa"/>
            <w:shd w:val="clear" w:color="auto" w:fill="D9D9D9"/>
            <w:tcMar>
              <w:top w:w="0" w:type="dxa"/>
              <w:left w:w="108" w:type="dxa"/>
              <w:bottom w:w="0" w:type="dxa"/>
              <w:right w:w="108" w:type="dxa"/>
            </w:tcMar>
            <w:vAlign w:val="center"/>
          </w:tcPr>
          <w:p w14:paraId="5585D686">
            <w:pPr>
              <w:spacing w:after="0" w:line="240" w:lineRule="auto"/>
              <w:ind w:left="-2" w:hanging="2"/>
              <w:rPr>
                <w:rFonts w:ascii="Times New Roman" w:hAnsi="Times New Roman" w:eastAsia="Times New Roman" w:cs="Times New Roman"/>
                <w:sz w:val="24"/>
                <w:szCs w:val="24"/>
              </w:rPr>
            </w:pPr>
            <w:r>
              <w:rPr>
                <w:rFonts w:ascii="Arial" w:hAnsi="Arial" w:eastAsia="Arial" w:cs="Arial"/>
                <w:color w:val="000000"/>
                <w:sz w:val="24"/>
                <w:szCs w:val="24"/>
              </w:rPr>
              <w:t>37 a 42 years</w:t>
            </w:r>
          </w:p>
        </w:tc>
        <w:tc>
          <w:tcPr>
            <w:tcW w:w="539" w:type="dxa"/>
            <w:shd w:val="clear" w:color="auto" w:fill="D9D9D9"/>
            <w:tcMar>
              <w:top w:w="0" w:type="dxa"/>
              <w:left w:w="108" w:type="dxa"/>
              <w:bottom w:w="0" w:type="dxa"/>
              <w:right w:w="108" w:type="dxa"/>
            </w:tcMar>
            <w:vAlign w:val="center"/>
          </w:tcPr>
          <w:p w14:paraId="53CEC89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w:t>
            </w:r>
          </w:p>
        </w:tc>
        <w:tc>
          <w:tcPr>
            <w:tcW w:w="1230" w:type="dxa"/>
            <w:shd w:val="clear" w:color="auto" w:fill="D9D9D9"/>
            <w:tcMar>
              <w:top w:w="0" w:type="dxa"/>
              <w:left w:w="108" w:type="dxa"/>
              <w:bottom w:w="0" w:type="dxa"/>
              <w:right w:w="108" w:type="dxa"/>
            </w:tcMar>
            <w:vAlign w:val="center"/>
          </w:tcPr>
          <w:p w14:paraId="49D41FF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2.35%*</w:t>
            </w:r>
          </w:p>
        </w:tc>
        <w:tc>
          <w:tcPr>
            <w:tcW w:w="1704" w:type="dxa"/>
            <w:vMerge w:val="continue"/>
            <w:shd w:val="clear" w:color="auto" w:fill="D9D9D9"/>
            <w:tcMar>
              <w:top w:w="0" w:type="dxa"/>
              <w:left w:w="108" w:type="dxa"/>
              <w:bottom w:w="0" w:type="dxa"/>
              <w:right w:w="108" w:type="dxa"/>
            </w:tcMar>
            <w:vAlign w:val="center"/>
          </w:tcPr>
          <w:p w14:paraId="3E832408">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539" w:type="dxa"/>
            <w:shd w:val="clear" w:color="auto" w:fill="D9D9D9"/>
            <w:tcMar>
              <w:top w:w="0" w:type="dxa"/>
              <w:left w:w="108" w:type="dxa"/>
              <w:bottom w:w="0" w:type="dxa"/>
              <w:right w:w="108" w:type="dxa"/>
            </w:tcMar>
            <w:vAlign w:val="center"/>
          </w:tcPr>
          <w:p w14:paraId="5BE3D5C8">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w:t>
            </w:r>
          </w:p>
        </w:tc>
        <w:tc>
          <w:tcPr>
            <w:tcW w:w="1223" w:type="dxa"/>
            <w:shd w:val="clear" w:color="auto" w:fill="D9D9D9"/>
            <w:tcMar>
              <w:top w:w="0" w:type="dxa"/>
              <w:left w:w="108" w:type="dxa"/>
              <w:bottom w:w="0" w:type="dxa"/>
              <w:right w:w="108" w:type="dxa"/>
            </w:tcMar>
            <w:vAlign w:val="center"/>
          </w:tcPr>
          <w:p w14:paraId="45A749E4">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0.00%</w:t>
            </w:r>
          </w:p>
        </w:tc>
        <w:tc>
          <w:tcPr>
            <w:tcW w:w="1737" w:type="dxa"/>
            <w:vMerge w:val="continue"/>
            <w:tcBorders>
              <w:bottom w:val="single" w:color="000000" w:sz="4" w:space="0"/>
            </w:tcBorders>
            <w:shd w:val="clear" w:color="auto" w:fill="D9D9D9"/>
            <w:tcMar>
              <w:top w:w="0" w:type="dxa"/>
              <w:left w:w="108" w:type="dxa"/>
              <w:bottom w:w="0" w:type="dxa"/>
              <w:right w:w="108" w:type="dxa"/>
            </w:tcMar>
            <w:vAlign w:val="center"/>
          </w:tcPr>
          <w:p w14:paraId="10985FF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53964345">
        <w:tblPrEx>
          <w:tblCellMar>
            <w:top w:w="15" w:type="dxa"/>
            <w:left w:w="15" w:type="dxa"/>
            <w:bottom w:w="15" w:type="dxa"/>
            <w:right w:w="15" w:type="dxa"/>
          </w:tblCellMar>
        </w:tblPrEx>
        <w:trPr>
          <w:trHeight w:val="340" w:hRule="atLeast"/>
          <w:jc w:val="center"/>
        </w:trPr>
        <w:tc>
          <w:tcPr>
            <w:tcW w:w="1531" w:type="dxa"/>
            <w:tcBorders>
              <w:bottom w:val="single" w:color="000000" w:sz="4" w:space="0"/>
            </w:tcBorders>
            <w:shd w:val="clear" w:color="auto" w:fill="D9D9D9"/>
            <w:tcMar>
              <w:top w:w="0" w:type="dxa"/>
              <w:left w:w="108" w:type="dxa"/>
              <w:bottom w:w="0" w:type="dxa"/>
              <w:right w:w="108" w:type="dxa"/>
            </w:tcMar>
            <w:vAlign w:val="center"/>
          </w:tcPr>
          <w:p w14:paraId="4300AE41">
            <w:pPr>
              <w:spacing w:after="0" w:line="240" w:lineRule="auto"/>
              <w:ind w:left="-2" w:hanging="2"/>
              <w:rPr>
                <w:rFonts w:ascii="Times New Roman" w:hAnsi="Times New Roman" w:eastAsia="Times New Roman" w:cs="Times New Roman"/>
                <w:sz w:val="24"/>
                <w:szCs w:val="24"/>
              </w:rPr>
            </w:pPr>
            <w:r>
              <w:rPr>
                <w:rFonts w:ascii="Arial" w:hAnsi="Arial" w:eastAsia="Arial" w:cs="Arial"/>
                <w:color w:val="000000"/>
                <w:sz w:val="24"/>
                <w:szCs w:val="24"/>
              </w:rPr>
              <w:t>43 a 48 years</w:t>
            </w:r>
          </w:p>
        </w:tc>
        <w:tc>
          <w:tcPr>
            <w:tcW w:w="539" w:type="dxa"/>
            <w:tcBorders>
              <w:bottom w:val="single" w:color="000000" w:sz="4" w:space="0"/>
            </w:tcBorders>
            <w:shd w:val="clear" w:color="auto" w:fill="D9D9D9"/>
            <w:tcMar>
              <w:top w:w="0" w:type="dxa"/>
              <w:left w:w="108" w:type="dxa"/>
              <w:bottom w:w="0" w:type="dxa"/>
              <w:right w:w="108" w:type="dxa"/>
            </w:tcMar>
            <w:vAlign w:val="center"/>
          </w:tcPr>
          <w:p w14:paraId="7A0A853D">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w:t>
            </w:r>
          </w:p>
        </w:tc>
        <w:tc>
          <w:tcPr>
            <w:tcW w:w="1230" w:type="dxa"/>
            <w:tcBorders>
              <w:bottom w:val="single" w:color="000000" w:sz="4" w:space="0"/>
            </w:tcBorders>
            <w:shd w:val="clear" w:color="auto" w:fill="D9D9D9"/>
            <w:tcMar>
              <w:top w:w="0" w:type="dxa"/>
              <w:left w:w="108" w:type="dxa"/>
              <w:bottom w:w="0" w:type="dxa"/>
              <w:right w:w="108" w:type="dxa"/>
            </w:tcMar>
            <w:vAlign w:val="center"/>
          </w:tcPr>
          <w:p w14:paraId="4FD3F138">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2.35%*</w:t>
            </w:r>
          </w:p>
        </w:tc>
        <w:tc>
          <w:tcPr>
            <w:tcW w:w="1704" w:type="dxa"/>
            <w:vMerge w:val="continue"/>
            <w:shd w:val="clear" w:color="auto" w:fill="D9D9D9"/>
            <w:tcMar>
              <w:top w:w="0" w:type="dxa"/>
              <w:left w:w="108" w:type="dxa"/>
              <w:bottom w:w="0" w:type="dxa"/>
              <w:right w:w="108" w:type="dxa"/>
            </w:tcMar>
            <w:vAlign w:val="center"/>
          </w:tcPr>
          <w:p w14:paraId="3ED8117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539" w:type="dxa"/>
            <w:tcBorders>
              <w:bottom w:val="single" w:color="000000" w:sz="4" w:space="0"/>
            </w:tcBorders>
            <w:shd w:val="clear" w:color="auto" w:fill="D9D9D9"/>
            <w:tcMar>
              <w:top w:w="0" w:type="dxa"/>
              <w:left w:w="108" w:type="dxa"/>
              <w:bottom w:w="0" w:type="dxa"/>
              <w:right w:w="108" w:type="dxa"/>
            </w:tcMar>
            <w:vAlign w:val="center"/>
          </w:tcPr>
          <w:p w14:paraId="38CF87B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3</w:t>
            </w:r>
          </w:p>
        </w:tc>
        <w:tc>
          <w:tcPr>
            <w:tcW w:w="1223" w:type="dxa"/>
            <w:tcBorders>
              <w:bottom w:val="single" w:color="000000" w:sz="4" w:space="0"/>
            </w:tcBorders>
            <w:shd w:val="clear" w:color="auto" w:fill="D9D9D9"/>
            <w:tcMar>
              <w:top w:w="0" w:type="dxa"/>
              <w:left w:w="108" w:type="dxa"/>
              <w:bottom w:w="0" w:type="dxa"/>
              <w:right w:w="108" w:type="dxa"/>
            </w:tcMar>
            <w:vAlign w:val="center"/>
          </w:tcPr>
          <w:p w14:paraId="75C2594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3.53%*</w:t>
            </w:r>
          </w:p>
        </w:tc>
        <w:tc>
          <w:tcPr>
            <w:tcW w:w="1737" w:type="dxa"/>
            <w:vMerge w:val="continue"/>
            <w:tcBorders>
              <w:bottom w:val="single" w:color="000000" w:sz="4" w:space="0"/>
            </w:tcBorders>
            <w:shd w:val="clear" w:color="auto" w:fill="D9D9D9"/>
            <w:tcMar>
              <w:top w:w="0" w:type="dxa"/>
              <w:left w:w="108" w:type="dxa"/>
              <w:bottom w:w="0" w:type="dxa"/>
              <w:right w:w="108" w:type="dxa"/>
            </w:tcMar>
            <w:vAlign w:val="center"/>
          </w:tcPr>
          <w:p w14:paraId="4FF99645">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bl>
    <w:p w14:paraId="61500D64">
      <w:pPr>
        <w:spacing w:after="0" w:line="240" w:lineRule="auto"/>
        <w:ind w:left="-2" w:hanging="2"/>
        <w:jc w:val="both"/>
        <w:rPr>
          <w:rFonts w:ascii="Times New Roman" w:hAnsi="Times New Roman" w:eastAsia="Times New Roman" w:cs="Times New Roman"/>
          <w:sz w:val="24"/>
          <w:szCs w:val="24"/>
        </w:rPr>
      </w:pPr>
      <w:r>
        <w:rPr>
          <w:rFonts w:ascii="Arial" w:hAnsi="Arial" w:eastAsia="Arial" w:cs="Arial"/>
          <w:color w:val="000000"/>
          <w:sz w:val="24"/>
          <w:szCs w:val="24"/>
        </w:rPr>
        <w:t>Captions: *Significant difference when compared to the group “18 to 24 years old”; + Significant difference when compared to the “25 to 30 years old” group; • Significant difference when compared to the “31 to 36 years old” group; º Significant difference when compared to the group “37 to 42 years old”; × Significant difference when compared to the “43 to 48 years old” group.</w:t>
      </w:r>
    </w:p>
    <w:p w14:paraId="47B6E705">
      <w:pPr>
        <w:spacing w:after="240" w:line="240" w:lineRule="auto"/>
        <w:jc w:val="both"/>
        <w:rPr>
          <w:rFonts w:ascii="Arial" w:hAnsi="Arial" w:eastAsia="Arial" w:cs="Arial"/>
          <w:color w:val="000000"/>
          <w:sz w:val="24"/>
          <w:szCs w:val="24"/>
        </w:rPr>
      </w:pPr>
    </w:p>
    <w:p w14:paraId="5FF207D6">
      <w:pPr>
        <w:spacing w:after="240" w:line="240" w:lineRule="auto"/>
        <w:jc w:val="both"/>
        <w:rPr>
          <w:rFonts w:ascii="Arial" w:hAnsi="Arial" w:eastAsia="Arial" w:cs="Arial"/>
          <w:color w:val="000000"/>
          <w:sz w:val="24"/>
          <w:szCs w:val="24"/>
        </w:rPr>
      </w:pPr>
      <w:r>
        <w:rPr>
          <w:rFonts w:ascii="Arial" w:hAnsi="Arial" w:eastAsia="Arial" w:cs="Arial"/>
          <w:color w:val="000000"/>
          <w:sz w:val="24"/>
          <w:szCs w:val="24"/>
        </w:rPr>
        <w:t>Table 2 – Anxiety stratified by sex and probability.</w:t>
      </w:r>
    </w:p>
    <w:tbl>
      <w:tblPr>
        <w:tblStyle w:val="33"/>
        <w:tblW w:w="7410" w:type="dxa"/>
        <w:tblInd w:w="-15" w:type="dxa"/>
        <w:tblLayout w:type="fixed"/>
        <w:tblCellMar>
          <w:top w:w="15" w:type="dxa"/>
          <w:left w:w="15" w:type="dxa"/>
          <w:bottom w:w="15" w:type="dxa"/>
          <w:right w:w="15" w:type="dxa"/>
        </w:tblCellMar>
      </w:tblPr>
      <w:tblGrid>
        <w:gridCol w:w="855"/>
        <w:gridCol w:w="1410"/>
        <w:gridCol w:w="1755"/>
        <w:gridCol w:w="1545"/>
        <w:gridCol w:w="1845"/>
      </w:tblGrid>
      <w:tr w14:paraId="7802DE28">
        <w:tblPrEx>
          <w:tblCellMar>
            <w:top w:w="15" w:type="dxa"/>
            <w:left w:w="15" w:type="dxa"/>
            <w:bottom w:w="15" w:type="dxa"/>
            <w:right w:w="15" w:type="dxa"/>
          </w:tblCellMar>
        </w:tblPrEx>
        <w:trPr>
          <w:trHeight w:val="590" w:hRule="atLeast"/>
        </w:trPr>
        <w:tc>
          <w:tcPr>
            <w:tcW w:w="855" w:type="dxa"/>
            <w:shd w:val="clear" w:color="auto" w:fill="D9D9D9"/>
            <w:tcMar>
              <w:top w:w="100" w:type="dxa"/>
              <w:left w:w="100" w:type="dxa"/>
              <w:bottom w:w="100" w:type="dxa"/>
              <w:right w:w="100" w:type="dxa"/>
            </w:tcMar>
          </w:tcPr>
          <w:p w14:paraId="1868B22E">
            <w:pPr>
              <w:spacing w:after="0" w:line="240" w:lineRule="auto"/>
              <w:ind w:left="100" w:right="100"/>
              <w:rPr>
                <w:rFonts w:ascii="Times New Roman" w:hAnsi="Times New Roman" w:eastAsia="Times New Roman" w:cs="Times New Roman"/>
                <w:sz w:val="24"/>
                <w:szCs w:val="24"/>
              </w:rPr>
            </w:pPr>
            <w:r>
              <w:rPr>
                <w:rFonts w:ascii="Arial" w:hAnsi="Arial" w:eastAsia="Arial" w:cs="Arial"/>
                <w:color w:val="000000"/>
                <w:sz w:val="24"/>
                <w:szCs w:val="24"/>
              </w:rPr>
              <w:t> </w:t>
            </w:r>
          </w:p>
        </w:tc>
        <w:tc>
          <w:tcPr>
            <w:tcW w:w="1410" w:type="dxa"/>
            <w:shd w:val="clear" w:color="auto" w:fill="D9D9D9"/>
            <w:tcMar>
              <w:top w:w="100" w:type="dxa"/>
              <w:left w:w="100" w:type="dxa"/>
              <w:bottom w:w="100" w:type="dxa"/>
              <w:right w:w="100" w:type="dxa"/>
            </w:tcMar>
          </w:tcPr>
          <w:p w14:paraId="47976C8B">
            <w:pPr>
              <w:spacing w:after="0" w:line="240" w:lineRule="auto"/>
              <w:ind w:left="100" w:right="100"/>
              <w:rPr>
                <w:rFonts w:ascii="Times New Roman" w:hAnsi="Times New Roman" w:eastAsia="Times New Roman" w:cs="Times New Roman"/>
                <w:sz w:val="24"/>
                <w:szCs w:val="24"/>
              </w:rPr>
            </w:pPr>
            <w:r>
              <w:rPr>
                <w:rFonts w:ascii="Arial" w:hAnsi="Arial" w:eastAsia="Arial" w:cs="Arial"/>
                <w:color w:val="000000"/>
                <w:sz w:val="24"/>
                <w:szCs w:val="24"/>
              </w:rPr>
              <w:t> </w:t>
            </w:r>
          </w:p>
        </w:tc>
        <w:tc>
          <w:tcPr>
            <w:tcW w:w="1755" w:type="dxa"/>
            <w:shd w:val="clear" w:color="auto" w:fill="D9D9D9"/>
            <w:tcMar>
              <w:top w:w="100" w:type="dxa"/>
              <w:left w:w="100" w:type="dxa"/>
              <w:bottom w:w="100" w:type="dxa"/>
              <w:right w:w="100" w:type="dxa"/>
            </w:tcMar>
          </w:tcPr>
          <w:p w14:paraId="7C6C259D">
            <w:pPr>
              <w:spacing w:after="0" w:line="240" w:lineRule="auto"/>
              <w:ind w:left="100" w:right="100"/>
              <w:jc w:val="center"/>
              <w:rPr>
                <w:rFonts w:ascii="Arial" w:hAnsi="Arial" w:eastAsia="Arial" w:cs="Arial"/>
                <w:b/>
                <w:color w:val="000000"/>
                <w:sz w:val="24"/>
                <w:szCs w:val="24"/>
              </w:rPr>
            </w:pPr>
            <w:r>
              <w:rPr>
                <w:rFonts w:ascii="Arial" w:hAnsi="Arial" w:eastAsia="Arial" w:cs="Arial"/>
                <w:b/>
                <w:color w:val="000000"/>
                <w:sz w:val="24"/>
                <w:szCs w:val="24"/>
              </w:rPr>
              <w:t>Male</w:t>
            </w:r>
          </w:p>
          <w:p w14:paraId="5780B1A8">
            <w:pPr>
              <w:spacing w:after="0" w:line="240" w:lineRule="auto"/>
              <w:ind w:left="100" w:right="100"/>
              <w:jc w:val="center"/>
              <w:rPr>
                <w:rFonts w:ascii="Arial" w:hAnsi="Arial" w:eastAsia="Arial" w:cs="Arial"/>
                <w:b/>
                <w:sz w:val="24"/>
                <w:szCs w:val="24"/>
              </w:rPr>
            </w:pPr>
          </w:p>
          <w:p w14:paraId="37DC04E4">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N (%)</w:t>
            </w:r>
          </w:p>
        </w:tc>
        <w:tc>
          <w:tcPr>
            <w:tcW w:w="1545" w:type="dxa"/>
            <w:shd w:val="clear" w:color="auto" w:fill="D9D9D9"/>
            <w:tcMar>
              <w:top w:w="100" w:type="dxa"/>
              <w:left w:w="100" w:type="dxa"/>
              <w:bottom w:w="100" w:type="dxa"/>
              <w:right w:w="100" w:type="dxa"/>
            </w:tcMar>
          </w:tcPr>
          <w:p w14:paraId="204EAE24">
            <w:pPr>
              <w:spacing w:after="0" w:line="240" w:lineRule="auto"/>
              <w:ind w:left="100" w:right="100"/>
              <w:jc w:val="center"/>
              <w:rPr>
                <w:rFonts w:ascii="Arial" w:hAnsi="Arial" w:eastAsia="Arial" w:cs="Arial"/>
                <w:b/>
                <w:color w:val="000000"/>
                <w:sz w:val="24"/>
                <w:szCs w:val="24"/>
              </w:rPr>
            </w:pPr>
            <w:r>
              <w:rPr>
                <w:rFonts w:ascii="Arial" w:hAnsi="Arial" w:eastAsia="Arial" w:cs="Arial"/>
                <w:b/>
                <w:color w:val="000000"/>
                <w:sz w:val="24"/>
                <w:szCs w:val="24"/>
              </w:rPr>
              <w:t>Female</w:t>
            </w:r>
          </w:p>
          <w:p w14:paraId="4195AF1C">
            <w:pPr>
              <w:spacing w:after="0" w:line="240" w:lineRule="auto"/>
              <w:ind w:left="100" w:right="100"/>
              <w:jc w:val="center"/>
              <w:rPr>
                <w:rFonts w:ascii="Arial" w:hAnsi="Arial" w:eastAsia="Arial" w:cs="Arial"/>
                <w:b/>
                <w:sz w:val="24"/>
                <w:szCs w:val="24"/>
              </w:rPr>
            </w:pPr>
          </w:p>
          <w:p w14:paraId="2C14F069">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N (%)</w:t>
            </w:r>
          </w:p>
        </w:tc>
        <w:tc>
          <w:tcPr>
            <w:tcW w:w="1845" w:type="dxa"/>
            <w:shd w:val="clear" w:color="auto" w:fill="D9D9D9"/>
            <w:tcMar>
              <w:top w:w="100" w:type="dxa"/>
              <w:left w:w="100" w:type="dxa"/>
              <w:bottom w:w="100" w:type="dxa"/>
              <w:right w:w="100" w:type="dxa"/>
            </w:tcMar>
          </w:tcPr>
          <w:p w14:paraId="28F9D3C1">
            <w:pPr>
              <w:spacing w:after="0" w:line="240" w:lineRule="auto"/>
              <w:ind w:left="100" w:right="100"/>
              <w:jc w:val="center"/>
              <w:rPr>
                <w:rFonts w:ascii="Arial" w:hAnsi="Arial" w:eastAsia="Arial" w:cs="Arial"/>
                <w:b/>
                <w:color w:val="000000"/>
                <w:sz w:val="24"/>
                <w:szCs w:val="24"/>
              </w:rPr>
            </w:pPr>
            <w:r>
              <w:rPr>
                <w:rFonts w:ascii="Arial" w:hAnsi="Arial" w:eastAsia="Arial" w:cs="Arial"/>
                <w:b/>
                <w:color w:val="000000"/>
                <w:sz w:val="24"/>
                <w:szCs w:val="24"/>
              </w:rPr>
              <w:t>Other</w:t>
            </w:r>
          </w:p>
          <w:p w14:paraId="74D1835B">
            <w:pPr>
              <w:spacing w:after="0" w:line="240" w:lineRule="auto"/>
              <w:ind w:left="100" w:right="100"/>
              <w:jc w:val="center"/>
              <w:rPr>
                <w:rFonts w:ascii="Arial" w:hAnsi="Arial" w:eastAsia="Arial" w:cs="Arial"/>
                <w:b/>
                <w:sz w:val="24"/>
                <w:szCs w:val="24"/>
              </w:rPr>
            </w:pPr>
          </w:p>
          <w:p w14:paraId="2CEE74FC">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N (%)</w:t>
            </w:r>
          </w:p>
        </w:tc>
      </w:tr>
      <w:tr w14:paraId="30A9AAF6">
        <w:tblPrEx>
          <w:tblCellMar>
            <w:top w:w="15" w:type="dxa"/>
            <w:left w:w="15" w:type="dxa"/>
            <w:bottom w:w="15" w:type="dxa"/>
            <w:right w:w="15" w:type="dxa"/>
          </w:tblCellMar>
        </w:tblPrEx>
        <w:trPr>
          <w:trHeight w:val="590" w:hRule="atLeast"/>
        </w:trPr>
        <w:tc>
          <w:tcPr>
            <w:tcW w:w="855" w:type="dxa"/>
            <w:vMerge w:val="restart"/>
            <w:tcMar>
              <w:top w:w="100" w:type="dxa"/>
              <w:left w:w="100" w:type="dxa"/>
              <w:bottom w:w="100" w:type="dxa"/>
              <w:right w:w="100" w:type="dxa"/>
            </w:tcMar>
          </w:tcPr>
          <w:p w14:paraId="2150B617">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b/>
                <w:color w:val="000000"/>
                <w:sz w:val="24"/>
                <w:szCs w:val="24"/>
              </w:rPr>
              <w:t>G1</w:t>
            </w:r>
          </w:p>
        </w:tc>
        <w:tc>
          <w:tcPr>
            <w:tcW w:w="1410" w:type="dxa"/>
            <w:tcMar>
              <w:top w:w="100" w:type="dxa"/>
              <w:left w:w="100" w:type="dxa"/>
              <w:bottom w:w="100" w:type="dxa"/>
              <w:right w:w="100" w:type="dxa"/>
            </w:tcMar>
          </w:tcPr>
          <w:p w14:paraId="080467CB">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Absence</w:t>
            </w:r>
          </w:p>
        </w:tc>
        <w:tc>
          <w:tcPr>
            <w:tcW w:w="1755" w:type="dxa"/>
            <w:tcMar>
              <w:top w:w="100" w:type="dxa"/>
              <w:left w:w="100" w:type="dxa"/>
              <w:bottom w:w="100" w:type="dxa"/>
              <w:right w:w="100" w:type="dxa"/>
            </w:tcMar>
          </w:tcPr>
          <w:p w14:paraId="3E260860">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5</w:t>
            </w:r>
            <w:r>
              <w:rPr>
                <w:rFonts w:ascii="Arial" w:hAnsi="Arial" w:eastAsia="Arial" w:cs="Arial"/>
                <w:sz w:val="24"/>
                <w:szCs w:val="24"/>
              </w:rPr>
              <w:t>(5.9)</w:t>
            </w:r>
          </w:p>
        </w:tc>
        <w:tc>
          <w:tcPr>
            <w:tcW w:w="1545" w:type="dxa"/>
            <w:tcMar>
              <w:top w:w="100" w:type="dxa"/>
              <w:left w:w="100" w:type="dxa"/>
              <w:bottom w:w="100" w:type="dxa"/>
              <w:right w:w="100" w:type="dxa"/>
            </w:tcMar>
          </w:tcPr>
          <w:p w14:paraId="71F4F44E">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11</w:t>
            </w:r>
            <w:r>
              <w:rPr>
                <w:rFonts w:ascii="Arial" w:hAnsi="Arial" w:eastAsia="Arial" w:cs="Arial"/>
                <w:sz w:val="24"/>
                <w:szCs w:val="24"/>
              </w:rPr>
              <w:t>(12.9)</w:t>
            </w:r>
          </w:p>
        </w:tc>
        <w:tc>
          <w:tcPr>
            <w:tcW w:w="1845" w:type="dxa"/>
            <w:tcMar>
              <w:top w:w="100" w:type="dxa"/>
              <w:left w:w="100" w:type="dxa"/>
              <w:bottom w:w="100" w:type="dxa"/>
              <w:right w:w="100" w:type="dxa"/>
            </w:tcMar>
          </w:tcPr>
          <w:p w14:paraId="7D1D3EF2">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r w14:paraId="4A1E3D22">
        <w:tblPrEx>
          <w:tblCellMar>
            <w:top w:w="15" w:type="dxa"/>
            <w:left w:w="15" w:type="dxa"/>
            <w:bottom w:w="15" w:type="dxa"/>
            <w:right w:w="15" w:type="dxa"/>
          </w:tblCellMar>
        </w:tblPrEx>
        <w:trPr>
          <w:trHeight w:val="590" w:hRule="atLeast"/>
        </w:trPr>
        <w:tc>
          <w:tcPr>
            <w:tcW w:w="855" w:type="dxa"/>
            <w:vMerge w:val="continue"/>
            <w:tcMar>
              <w:top w:w="100" w:type="dxa"/>
              <w:left w:w="100" w:type="dxa"/>
              <w:bottom w:w="100" w:type="dxa"/>
              <w:right w:w="100" w:type="dxa"/>
            </w:tcMar>
          </w:tcPr>
          <w:p w14:paraId="3DE67F5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sz w:val="24"/>
                <w:szCs w:val="24"/>
              </w:rPr>
            </w:pPr>
          </w:p>
        </w:tc>
        <w:tc>
          <w:tcPr>
            <w:tcW w:w="1410" w:type="dxa"/>
            <w:tcMar>
              <w:top w:w="100" w:type="dxa"/>
              <w:left w:w="100" w:type="dxa"/>
              <w:bottom w:w="100" w:type="dxa"/>
              <w:right w:w="100" w:type="dxa"/>
            </w:tcMar>
          </w:tcPr>
          <w:p w14:paraId="6ADA10AD">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Potential</w:t>
            </w:r>
          </w:p>
        </w:tc>
        <w:tc>
          <w:tcPr>
            <w:tcW w:w="1755" w:type="dxa"/>
            <w:tcMar>
              <w:top w:w="100" w:type="dxa"/>
              <w:left w:w="100" w:type="dxa"/>
              <w:bottom w:w="100" w:type="dxa"/>
              <w:right w:w="100" w:type="dxa"/>
            </w:tcMar>
          </w:tcPr>
          <w:p w14:paraId="0A36DC42">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8</w:t>
            </w:r>
            <w:r>
              <w:rPr>
                <w:rFonts w:ascii="Arial" w:hAnsi="Arial" w:eastAsia="Arial" w:cs="Arial"/>
                <w:sz w:val="24"/>
                <w:szCs w:val="24"/>
              </w:rPr>
              <w:t>(9.4)</w:t>
            </w:r>
          </w:p>
        </w:tc>
        <w:tc>
          <w:tcPr>
            <w:tcW w:w="1545" w:type="dxa"/>
            <w:tcMar>
              <w:top w:w="100" w:type="dxa"/>
              <w:left w:w="100" w:type="dxa"/>
              <w:bottom w:w="100" w:type="dxa"/>
              <w:right w:w="100" w:type="dxa"/>
            </w:tcMar>
          </w:tcPr>
          <w:p w14:paraId="72FA3BE4">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11</w:t>
            </w:r>
            <w:r>
              <w:rPr>
                <w:rFonts w:ascii="Arial" w:hAnsi="Arial" w:eastAsia="Arial" w:cs="Arial"/>
                <w:sz w:val="24"/>
                <w:szCs w:val="24"/>
              </w:rPr>
              <w:t>(12.9)</w:t>
            </w:r>
          </w:p>
        </w:tc>
        <w:tc>
          <w:tcPr>
            <w:tcW w:w="1845" w:type="dxa"/>
            <w:tcMar>
              <w:top w:w="100" w:type="dxa"/>
              <w:left w:w="100" w:type="dxa"/>
              <w:bottom w:w="100" w:type="dxa"/>
              <w:right w:w="100" w:type="dxa"/>
            </w:tcMar>
          </w:tcPr>
          <w:p w14:paraId="2D592938">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2</w:t>
            </w:r>
            <w:r>
              <w:rPr>
                <w:rFonts w:ascii="Arial" w:hAnsi="Arial" w:eastAsia="Arial" w:cs="Arial"/>
                <w:sz w:val="24"/>
                <w:szCs w:val="24"/>
              </w:rPr>
              <w:t>(2.3)</w:t>
            </w:r>
          </w:p>
        </w:tc>
      </w:tr>
      <w:tr w14:paraId="22412712">
        <w:tblPrEx>
          <w:tblCellMar>
            <w:top w:w="15" w:type="dxa"/>
            <w:left w:w="15" w:type="dxa"/>
            <w:bottom w:w="15" w:type="dxa"/>
            <w:right w:w="15" w:type="dxa"/>
          </w:tblCellMar>
        </w:tblPrEx>
        <w:trPr>
          <w:trHeight w:val="590" w:hRule="atLeast"/>
        </w:trPr>
        <w:tc>
          <w:tcPr>
            <w:tcW w:w="855" w:type="dxa"/>
            <w:vMerge w:val="continue"/>
            <w:tcMar>
              <w:top w:w="100" w:type="dxa"/>
              <w:left w:w="100" w:type="dxa"/>
              <w:bottom w:w="100" w:type="dxa"/>
              <w:right w:w="100" w:type="dxa"/>
            </w:tcMar>
          </w:tcPr>
          <w:p w14:paraId="1560DD5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sz w:val="24"/>
                <w:szCs w:val="24"/>
              </w:rPr>
            </w:pPr>
          </w:p>
        </w:tc>
        <w:tc>
          <w:tcPr>
            <w:tcW w:w="1410" w:type="dxa"/>
            <w:tcMar>
              <w:top w:w="100" w:type="dxa"/>
              <w:left w:w="100" w:type="dxa"/>
              <w:bottom w:w="100" w:type="dxa"/>
              <w:right w:w="100" w:type="dxa"/>
            </w:tcMar>
          </w:tcPr>
          <w:p w14:paraId="023179C5">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Presence</w:t>
            </w:r>
          </w:p>
        </w:tc>
        <w:tc>
          <w:tcPr>
            <w:tcW w:w="1755" w:type="dxa"/>
            <w:tcMar>
              <w:top w:w="100" w:type="dxa"/>
              <w:left w:w="100" w:type="dxa"/>
              <w:bottom w:w="100" w:type="dxa"/>
              <w:right w:w="100" w:type="dxa"/>
            </w:tcMar>
          </w:tcPr>
          <w:p w14:paraId="54E2F641">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10</w:t>
            </w:r>
            <w:r>
              <w:rPr>
                <w:rFonts w:ascii="Arial" w:hAnsi="Arial" w:eastAsia="Arial" w:cs="Arial"/>
                <w:sz w:val="24"/>
                <w:szCs w:val="24"/>
              </w:rPr>
              <w:t>(11.8)</w:t>
            </w:r>
          </w:p>
        </w:tc>
        <w:tc>
          <w:tcPr>
            <w:tcW w:w="1545" w:type="dxa"/>
            <w:tcMar>
              <w:top w:w="100" w:type="dxa"/>
              <w:left w:w="100" w:type="dxa"/>
              <w:bottom w:w="100" w:type="dxa"/>
              <w:right w:w="100" w:type="dxa"/>
            </w:tcMar>
          </w:tcPr>
          <w:p w14:paraId="055B0A1A">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38</w:t>
            </w:r>
            <w:r>
              <w:rPr>
                <w:rFonts w:ascii="Arial" w:hAnsi="Arial" w:eastAsia="Arial" w:cs="Arial"/>
                <w:sz w:val="24"/>
                <w:szCs w:val="24"/>
              </w:rPr>
              <w:t>(44.7)</w:t>
            </w:r>
          </w:p>
        </w:tc>
        <w:tc>
          <w:tcPr>
            <w:tcW w:w="1845" w:type="dxa"/>
            <w:tcMar>
              <w:top w:w="100" w:type="dxa"/>
              <w:left w:w="100" w:type="dxa"/>
              <w:bottom w:w="100" w:type="dxa"/>
              <w:right w:w="100" w:type="dxa"/>
            </w:tcMar>
          </w:tcPr>
          <w:p w14:paraId="5BC8A21B">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r w14:paraId="00FFAAF5">
        <w:tblPrEx>
          <w:tblCellMar>
            <w:top w:w="15" w:type="dxa"/>
            <w:left w:w="15" w:type="dxa"/>
            <w:bottom w:w="15" w:type="dxa"/>
            <w:right w:w="15" w:type="dxa"/>
          </w:tblCellMar>
        </w:tblPrEx>
        <w:trPr>
          <w:trHeight w:val="590" w:hRule="atLeast"/>
        </w:trPr>
        <w:tc>
          <w:tcPr>
            <w:tcW w:w="855" w:type="dxa"/>
            <w:vMerge w:val="restart"/>
            <w:shd w:val="clear" w:color="auto" w:fill="D9D9D9"/>
            <w:tcMar>
              <w:top w:w="100" w:type="dxa"/>
              <w:left w:w="100" w:type="dxa"/>
              <w:bottom w:w="100" w:type="dxa"/>
              <w:right w:w="100" w:type="dxa"/>
            </w:tcMar>
          </w:tcPr>
          <w:p w14:paraId="320FA0CE">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b/>
                <w:color w:val="000000"/>
                <w:sz w:val="24"/>
                <w:szCs w:val="24"/>
              </w:rPr>
              <w:t>G2</w:t>
            </w:r>
          </w:p>
        </w:tc>
        <w:tc>
          <w:tcPr>
            <w:tcW w:w="1410" w:type="dxa"/>
            <w:shd w:val="clear" w:color="auto" w:fill="D9D9D9"/>
            <w:tcMar>
              <w:top w:w="100" w:type="dxa"/>
              <w:left w:w="100" w:type="dxa"/>
              <w:bottom w:w="100" w:type="dxa"/>
              <w:right w:w="100" w:type="dxa"/>
            </w:tcMar>
          </w:tcPr>
          <w:p w14:paraId="2C5F7BAD">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Absence</w:t>
            </w:r>
          </w:p>
        </w:tc>
        <w:tc>
          <w:tcPr>
            <w:tcW w:w="1755" w:type="dxa"/>
            <w:shd w:val="clear" w:color="auto" w:fill="D9D9D9"/>
            <w:tcMar>
              <w:top w:w="100" w:type="dxa"/>
              <w:left w:w="100" w:type="dxa"/>
              <w:bottom w:w="100" w:type="dxa"/>
              <w:right w:w="100" w:type="dxa"/>
            </w:tcMar>
          </w:tcPr>
          <w:p w14:paraId="758186E4">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10</w:t>
            </w:r>
            <w:r>
              <w:rPr>
                <w:rFonts w:ascii="Arial" w:hAnsi="Arial" w:eastAsia="Arial" w:cs="Arial"/>
                <w:sz w:val="24"/>
                <w:szCs w:val="24"/>
              </w:rPr>
              <w:t>(11.8)</w:t>
            </w:r>
          </w:p>
        </w:tc>
        <w:tc>
          <w:tcPr>
            <w:tcW w:w="1545" w:type="dxa"/>
            <w:shd w:val="clear" w:color="auto" w:fill="D9D9D9"/>
            <w:tcMar>
              <w:top w:w="100" w:type="dxa"/>
              <w:left w:w="100" w:type="dxa"/>
              <w:bottom w:w="100" w:type="dxa"/>
              <w:right w:w="100" w:type="dxa"/>
            </w:tcMar>
          </w:tcPr>
          <w:p w14:paraId="7E018E6C">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14</w:t>
            </w:r>
            <w:r>
              <w:rPr>
                <w:rFonts w:ascii="Arial" w:hAnsi="Arial" w:eastAsia="Arial" w:cs="Arial"/>
                <w:sz w:val="24"/>
                <w:szCs w:val="24"/>
              </w:rPr>
              <w:t>(16.5)</w:t>
            </w:r>
          </w:p>
        </w:tc>
        <w:tc>
          <w:tcPr>
            <w:tcW w:w="1845" w:type="dxa"/>
            <w:shd w:val="clear" w:color="auto" w:fill="D9D9D9"/>
            <w:tcMar>
              <w:top w:w="100" w:type="dxa"/>
              <w:left w:w="100" w:type="dxa"/>
              <w:bottom w:w="100" w:type="dxa"/>
              <w:right w:w="100" w:type="dxa"/>
            </w:tcMar>
          </w:tcPr>
          <w:p w14:paraId="38B44D47">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r w14:paraId="466C70C6">
        <w:tblPrEx>
          <w:tblCellMar>
            <w:top w:w="15" w:type="dxa"/>
            <w:left w:w="15" w:type="dxa"/>
            <w:bottom w:w="15" w:type="dxa"/>
            <w:right w:w="15" w:type="dxa"/>
          </w:tblCellMar>
        </w:tblPrEx>
        <w:trPr>
          <w:trHeight w:val="590" w:hRule="atLeast"/>
        </w:trPr>
        <w:tc>
          <w:tcPr>
            <w:tcW w:w="855" w:type="dxa"/>
            <w:vMerge w:val="continue"/>
            <w:shd w:val="clear" w:color="auto" w:fill="D9D9D9"/>
            <w:tcMar>
              <w:top w:w="100" w:type="dxa"/>
              <w:left w:w="100" w:type="dxa"/>
              <w:bottom w:w="100" w:type="dxa"/>
              <w:right w:w="100" w:type="dxa"/>
            </w:tcMar>
          </w:tcPr>
          <w:p w14:paraId="1F58EEA6">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sz w:val="24"/>
                <w:szCs w:val="24"/>
              </w:rPr>
            </w:pPr>
          </w:p>
        </w:tc>
        <w:tc>
          <w:tcPr>
            <w:tcW w:w="1410" w:type="dxa"/>
            <w:shd w:val="clear" w:color="auto" w:fill="D9D9D9"/>
            <w:tcMar>
              <w:top w:w="100" w:type="dxa"/>
              <w:left w:w="100" w:type="dxa"/>
              <w:bottom w:w="100" w:type="dxa"/>
              <w:right w:w="100" w:type="dxa"/>
            </w:tcMar>
          </w:tcPr>
          <w:p w14:paraId="42C844EF">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Potential</w:t>
            </w:r>
          </w:p>
        </w:tc>
        <w:tc>
          <w:tcPr>
            <w:tcW w:w="1755" w:type="dxa"/>
            <w:shd w:val="clear" w:color="auto" w:fill="D9D9D9"/>
            <w:tcMar>
              <w:top w:w="100" w:type="dxa"/>
              <w:left w:w="100" w:type="dxa"/>
              <w:bottom w:w="100" w:type="dxa"/>
              <w:right w:w="100" w:type="dxa"/>
            </w:tcMar>
          </w:tcPr>
          <w:p w14:paraId="62CCDEF2">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5</w:t>
            </w:r>
            <w:r>
              <w:rPr>
                <w:rFonts w:ascii="Arial" w:hAnsi="Arial" w:eastAsia="Arial" w:cs="Arial"/>
                <w:sz w:val="24"/>
                <w:szCs w:val="24"/>
              </w:rPr>
              <w:t>(5.9)</w:t>
            </w:r>
          </w:p>
        </w:tc>
        <w:tc>
          <w:tcPr>
            <w:tcW w:w="1545" w:type="dxa"/>
            <w:shd w:val="clear" w:color="auto" w:fill="D9D9D9"/>
            <w:tcMar>
              <w:top w:w="100" w:type="dxa"/>
              <w:left w:w="100" w:type="dxa"/>
              <w:bottom w:w="100" w:type="dxa"/>
              <w:right w:w="100" w:type="dxa"/>
            </w:tcMar>
          </w:tcPr>
          <w:p w14:paraId="698717E6">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11</w:t>
            </w:r>
            <w:r>
              <w:rPr>
                <w:rFonts w:ascii="Arial" w:hAnsi="Arial" w:eastAsia="Arial" w:cs="Arial"/>
                <w:sz w:val="24"/>
                <w:szCs w:val="24"/>
              </w:rPr>
              <w:t>(12.9)</w:t>
            </w:r>
          </w:p>
        </w:tc>
        <w:tc>
          <w:tcPr>
            <w:tcW w:w="1845" w:type="dxa"/>
            <w:shd w:val="clear" w:color="auto" w:fill="D9D9D9"/>
            <w:tcMar>
              <w:top w:w="100" w:type="dxa"/>
              <w:left w:w="100" w:type="dxa"/>
              <w:bottom w:w="100" w:type="dxa"/>
              <w:right w:w="100" w:type="dxa"/>
            </w:tcMar>
          </w:tcPr>
          <w:p w14:paraId="7F274685">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r w14:paraId="5677C856">
        <w:tblPrEx>
          <w:tblCellMar>
            <w:top w:w="15" w:type="dxa"/>
            <w:left w:w="15" w:type="dxa"/>
            <w:bottom w:w="15" w:type="dxa"/>
            <w:right w:w="15" w:type="dxa"/>
          </w:tblCellMar>
        </w:tblPrEx>
        <w:trPr>
          <w:trHeight w:val="590" w:hRule="atLeast"/>
        </w:trPr>
        <w:tc>
          <w:tcPr>
            <w:tcW w:w="855" w:type="dxa"/>
            <w:vMerge w:val="continue"/>
            <w:shd w:val="clear" w:color="auto" w:fill="D9D9D9"/>
            <w:tcMar>
              <w:top w:w="100" w:type="dxa"/>
              <w:left w:w="100" w:type="dxa"/>
              <w:bottom w:w="100" w:type="dxa"/>
              <w:right w:w="100" w:type="dxa"/>
            </w:tcMar>
          </w:tcPr>
          <w:p w14:paraId="708A638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sz w:val="24"/>
                <w:szCs w:val="24"/>
              </w:rPr>
            </w:pPr>
          </w:p>
        </w:tc>
        <w:tc>
          <w:tcPr>
            <w:tcW w:w="1410" w:type="dxa"/>
            <w:shd w:val="clear" w:color="auto" w:fill="D9D9D9"/>
            <w:tcMar>
              <w:top w:w="100" w:type="dxa"/>
              <w:left w:w="100" w:type="dxa"/>
              <w:bottom w:w="100" w:type="dxa"/>
              <w:right w:w="100" w:type="dxa"/>
            </w:tcMar>
          </w:tcPr>
          <w:p w14:paraId="3B1E7628">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Presence</w:t>
            </w:r>
          </w:p>
        </w:tc>
        <w:tc>
          <w:tcPr>
            <w:tcW w:w="1755" w:type="dxa"/>
            <w:shd w:val="clear" w:color="auto" w:fill="D9D9D9"/>
            <w:tcMar>
              <w:top w:w="100" w:type="dxa"/>
              <w:left w:w="100" w:type="dxa"/>
              <w:bottom w:w="100" w:type="dxa"/>
              <w:right w:w="100" w:type="dxa"/>
            </w:tcMar>
          </w:tcPr>
          <w:p w14:paraId="5D78540F">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8</w:t>
            </w:r>
            <w:r>
              <w:rPr>
                <w:rFonts w:ascii="Arial" w:hAnsi="Arial" w:eastAsia="Arial" w:cs="Arial"/>
                <w:sz w:val="24"/>
                <w:szCs w:val="24"/>
              </w:rPr>
              <w:t>(9.4)</w:t>
            </w:r>
          </w:p>
        </w:tc>
        <w:tc>
          <w:tcPr>
            <w:tcW w:w="1545" w:type="dxa"/>
            <w:shd w:val="clear" w:color="auto" w:fill="D9D9D9"/>
            <w:tcMar>
              <w:top w:w="100" w:type="dxa"/>
              <w:left w:w="100" w:type="dxa"/>
              <w:bottom w:w="100" w:type="dxa"/>
              <w:right w:w="100" w:type="dxa"/>
            </w:tcMar>
          </w:tcPr>
          <w:p w14:paraId="53D347D4">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37</w:t>
            </w:r>
            <w:r>
              <w:rPr>
                <w:rFonts w:ascii="Arial" w:hAnsi="Arial" w:eastAsia="Arial" w:cs="Arial"/>
                <w:sz w:val="24"/>
                <w:szCs w:val="24"/>
              </w:rPr>
              <w:t>(43.5)</w:t>
            </w:r>
          </w:p>
        </w:tc>
        <w:tc>
          <w:tcPr>
            <w:tcW w:w="1845" w:type="dxa"/>
            <w:shd w:val="clear" w:color="auto" w:fill="D9D9D9"/>
            <w:tcMar>
              <w:top w:w="100" w:type="dxa"/>
              <w:left w:w="100" w:type="dxa"/>
              <w:bottom w:w="100" w:type="dxa"/>
              <w:right w:w="100" w:type="dxa"/>
            </w:tcMar>
          </w:tcPr>
          <w:p w14:paraId="4B6AAB36">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bl>
    <w:p w14:paraId="405B19CA">
      <w:pPr>
        <w:spacing w:line="240" w:lineRule="auto"/>
        <w:ind w:left="-2" w:right="51" w:hanging="2"/>
        <w:jc w:val="both"/>
        <w:rPr>
          <w:rFonts w:ascii="Times New Roman" w:hAnsi="Times New Roman" w:eastAsia="Times New Roman" w:cs="Times New Roman"/>
          <w:sz w:val="24"/>
          <w:szCs w:val="24"/>
        </w:rPr>
      </w:pPr>
      <w:r>
        <w:rPr>
          <w:rFonts w:ascii="Arial" w:hAnsi="Arial" w:eastAsia="Arial" w:cs="Arial"/>
          <w:color w:val="000000"/>
          <w:sz w:val="24"/>
          <w:szCs w:val="24"/>
        </w:rPr>
        <w:t>.</w:t>
      </w:r>
    </w:p>
    <w:p w14:paraId="39B55762">
      <w:pPr>
        <w:spacing w:line="240" w:lineRule="auto"/>
        <w:ind w:right="51"/>
        <w:jc w:val="both"/>
        <w:rPr>
          <w:rFonts w:ascii="Times New Roman" w:hAnsi="Times New Roman" w:eastAsia="Times New Roman" w:cs="Times New Roman"/>
          <w:sz w:val="24"/>
          <w:szCs w:val="24"/>
        </w:rPr>
      </w:pPr>
      <w:r>
        <w:rPr>
          <w:rFonts w:ascii="Arial" w:hAnsi="Arial" w:eastAsia="Arial" w:cs="Arial"/>
          <w:color w:val="000000"/>
          <w:sz w:val="24"/>
          <w:szCs w:val="24"/>
        </w:rPr>
        <w:t>Table 3 – Depression stratified by gender and probability.</w:t>
      </w:r>
    </w:p>
    <w:tbl>
      <w:tblPr>
        <w:tblStyle w:val="34"/>
        <w:tblW w:w="7485" w:type="dxa"/>
        <w:tblInd w:w="-15" w:type="dxa"/>
        <w:tblLayout w:type="fixed"/>
        <w:tblCellMar>
          <w:top w:w="15" w:type="dxa"/>
          <w:left w:w="15" w:type="dxa"/>
          <w:bottom w:w="15" w:type="dxa"/>
          <w:right w:w="15" w:type="dxa"/>
        </w:tblCellMar>
      </w:tblPr>
      <w:tblGrid>
        <w:gridCol w:w="960"/>
        <w:gridCol w:w="1485"/>
        <w:gridCol w:w="1485"/>
        <w:gridCol w:w="1710"/>
        <w:gridCol w:w="1845"/>
      </w:tblGrid>
      <w:tr w14:paraId="7B16F21F">
        <w:tblPrEx>
          <w:tblCellMar>
            <w:top w:w="15" w:type="dxa"/>
            <w:left w:w="15" w:type="dxa"/>
            <w:bottom w:w="15" w:type="dxa"/>
            <w:right w:w="15" w:type="dxa"/>
          </w:tblCellMar>
        </w:tblPrEx>
        <w:trPr>
          <w:trHeight w:val="590" w:hRule="atLeast"/>
        </w:trPr>
        <w:tc>
          <w:tcPr>
            <w:tcW w:w="960" w:type="dxa"/>
            <w:shd w:val="clear" w:color="auto" w:fill="D9D9D9"/>
            <w:tcMar>
              <w:top w:w="100" w:type="dxa"/>
              <w:left w:w="100" w:type="dxa"/>
              <w:bottom w:w="100" w:type="dxa"/>
              <w:right w:w="100" w:type="dxa"/>
            </w:tcMar>
          </w:tcPr>
          <w:p w14:paraId="270A604C">
            <w:pPr>
              <w:spacing w:after="0" w:line="240" w:lineRule="auto"/>
              <w:ind w:left="100" w:right="100"/>
              <w:rPr>
                <w:rFonts w:ascii="Times New Roman" w:hAnsi="Times New Roman" w:eastAsia="Times New Roman" w:cs="Times New Roman"/>
                <w:sz w:val="24"/>
                <w:szCs w:val="24"/>
              </w:rPr>
            </w:pPr>
            <w:r>
              <w:rPr>
                <w:rFonts w:ascii="Arial" w:hAnsi="Arial" w:eastAsia="Arial" w:cs="Arial"/>
                <w:color w:val="000000"/>
                <w:sz w:val="24"/>
                <w:szCs w:val="24"/>
              </w:rPr>
              <w:t> </w:t>
            </w:r>
          </w:p>
        </w:tc>
        <w:tc>
          <w:tcPr>
            <w:tcW w:w="1485" w:type="dxa"/>
            <w:shd w:val="clear" w:color="auto" w:fill="D9D9D9"/>
            <w:tcMar>
              <w:top w:w="100" w:type="dxa"/>
              <w:left w:w="100" w:type="dxa"/>
              <w:bottom w:w="100" w:type="dxa"/>
              <w:right w:w="100" w:type="dxa"/>
            </w:tcMar>
          </w:tcPr>
          <w:p w14:paraId="5472B2A0">
            <w:pPr>
              <w:spacing w:after="0" w:line="240" w:lineRule="auto"/>
              <w:ind w:left="100" w:right="100"/>
              <w:rPr>
                <w:rFonts w:ascii="Times New Roman" w:hAnsi="Times New Roman" w:eastAsia="Times New Roman" w:cs="Times New Roman"/>
                <w:sz w:val="24"/>
                <w:szCs w:val="24"/>
              </w:rPr>
            </w:pPr>
            <w:r>
              <w:rPr>
                <w:rFonts w:ascii="Arial" w:hAnsi="Arial" w:eastAsia="Arial" w:cs="Arial"/>
                <w:color w:val="000000"/>
                <w:sz w:val="24"/>
                <w:szCs w:val="24"/>
              </w:rPr>
              <w:t> </w:t>
            </w:r>
          </w:p>
        </w:tc>
        <w:tc>
          <w:tcPr>
            <w:tcW w:w="1485" w:type="dxa"/>
            <w:shd w:val="clear" w:color="auto" w:fill="D9D9D9"/>
            <w:tcMar>
              <w:top w:w="100" w:type="dxa"/>
              <w:left w:w="100" w:type="dxa"/>
              <w:bottom w:w="100" w:type="dxa"/>
              <w:right w:w="100" w:type="dxa"/>
            </w:tcMar>
          </w:tcPr>
          <w:p w14:paraId="73C582FF">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Male</w:t>
            </w:r>
          </w:p>
          <w:p w14:paraId="6C31AC90">
            <w:pPr>
              <w:spacing w:after="0" w:line="240" w:lineRule="auto"/>
              <w:ind w:left="100" w:right="100"/>
              <w:jc w:val="center"/>
              <w:rPr>
                <w:rFonts w:ascii="Arial" w:hAnsi="Arial" w:eastAsia="Arial" w:cs="Arial"/>
                <w:b/>
                <w:sz w:val="24"/>
                <w:szCs w:val="24"/>
              </w:rPr>
            </w:pPr>
          </w:p>
          <w:p w14:paraId="2F3760F7">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N (%)</w:t>
            </w:r>
          </w:p>
        </w:tc>
        <w:tc>
          <w:tcPr>
            <w:tcW w:w="1710" w:type="dxa"/>
            <w:shd w:val="clear" w:color="auto" w:fill="D9D9D9"/>
            <w:tcMar>
              <w:top w:w="100" w:type="dxa"/>
              <w:left w:w="100" w:type="dxa"/>
              <w:bottom w:w="100" w:type="dxa"/>
              <w:right w:w="100" w:type="dxa"/>
            </w:tcMar>
          </w:tcPr>
          <w:p w14:paraId="74D2A3AA">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Female</w:t>
            </w:r>
          </w:p>
          <w:p w14:paraId="602721DE">
            <w:pPr>
              <w:spacing w:after="0" w:line="240" w:lineRule="auto"/>
              <w:ind w:left="100" w:right="100"/>
              <w:jc w:val="center"/>
              <w:rPr>
                <w:rFonts w:ascii="Arial" w:hAnsi="Arial" w:eastAsia="Arial" w:cs="Arial"/>
                <w:b/>
                <w:sz w:val="24"/>
                <w:szCs w:val="24"/>
              </w:rPr>
            </w:pPr>
          </w:p>
          <w:p w14:paraId="48459ACA">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N (%)</w:t>
            </w:r>
          </w:p>
        </w:tc>
        <w:tc>
          <w:tcPr>
            <w:tcW w:w="1845" w:type="dxa"/>
            <w:shd w:val="clear" w:color="auto" w:fill="D9D9D9"/>
            <w:tcMar>
              <w:top w:w="100" w:type="dxa"/>
              <w:left w:w="100" w:type="dxa"/>
              <w:bottom w:w="100" w:type="dxa"/>
              <w:right w:w="100" w:type="dxa"/>
            </w:tcMar>
          </w:tcPr>
          <w:p w14:paraId="2ACDCA52">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Other</w:t>
            </w:r>
          </w:p>
          <w:p w14:paraId="4B9E921C">
            <w:pPr>
              <w:spacing w:after="0" w:line="240" w:lineRule="auto"/>
              <w:ind w:left="100" w:right="100"/>
              <w:jc w:val="center"/>
              <w:rPr>
                <w:rFonts w:ascii="Arial" w:hAnsi="Arial" w:eastAsia="Arial" w:cs="Arial"/>
                <w:b/>
                <w:sz w:val="24"/>
                <w:szCs w:val="24"/>
              </w:rPr>
            </w:pPr>
          </w:p>
          <w:p w14:paraId="32859393">
            <w:pPr>
              <w:spacing w:after="0" w:line="240" w:lineRule="auto"/>
              <w:ind w:left="100" w:right="100"/>
              <w:jc w:val="center"/>
              <w:rPr>
                <w:rFonts w:ascii="Arial" w:hAnsi="Arial" w:eastAsia="Arial" w:cs="Arial"/>
                <w:b/>
                <w:sz w:val="24"/>
                <w:szCs w:val="24"/>
              </w:rPr>
            </w:pPr>
            <w:r>
              <w:rPr>
                <w:rFonts w:ascii="Arial" w:hAnsi="Arial" w:eastAsia="Arial" w:cs="Arial"/>
                <w:b/>
                <w:sz w:val="24"/>
                <w:szCs w:val="24"/>
              </w:rPr>
              <w:t>N (%)</w:t>
            </w:r>
          </w:p>
        </w:tc>
      </w:tr>
      <w:tr w14:paraId="54340BBC">
        <w:tblPrEx>
          <w:tblCellMar>
            <w:top w:w="15" w:type="dxa"/>
            <w:left w:w="15" w:type="dxa"/>
            <w:bottom w:w="15" w:type="dxa"/>
            <w:right w:w="15" w:type="dxa"/>
          </w:tblCellMar>
        </w:tblPrEx>
        <w:trPr>
          <w:trHeight w:val="590" w:hRule="atLeast"/>
        </w:trPr>
        <w:tc>
          <w:tcPr>
            <w:tcW w:w="960" w:type="dxa"/>
            <w:vMerge w:val="restart"/>
            <w:tcMar>
              <w:top w:w="100" w:type="dxa"/>
              <w:left w:w="100" w:type="dxa"/>
              <w:bottom w:w="100" w:type="dxa"/>
              <w:right w:w="100" w:type="dxa"/>
            </w:tcMar>
          </w:tcPr>
          <w:p w14:paraId="28C705F4">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b/>
                <w:color w:val="000000"/>
                <w:sz w:val="24"/>
                <w:szCs w:val="24"/>
              </w:rPr>
              <w:t>G1</w:t>
            </w:r>
          </w:p>
        </w:tc>
        <w:tc>
          <w:tcPr>
            <w:tcW w:w="1485" w:type="dxa"/>
            <w:tcMar>
              <w:top w:w="100" w:type="dxa"/>
              <w:left w:w="100" w:type="dxa"/>
              <w:bottom w:w="100" w:type="dxa"/>
              <w:right w:w="100" w:type="dxa"/>
            </w:tcMar>
          </w:tcPr>
          <w:p w14:paraId="62A8B1C9">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Absence</w:t>
            </w:r>
          </w:p>
        </w:tc>
        <w:tc>
          <w:tcPr>
            <w:tcW w:w="1485" w:type="dxa"/>
            <w:tcMar>
              <w:top w:w="100" w:type="dxa"/>
              <w:left w:w="100" w:type="dxa"/>
              <w:bottom w:w="100" w:type="dxa"/>
              <w:right w:w="100" w:type="dxa"/>
            </w:tcMar>
          </w:tcPr>
          <w:p w14:paraId="0023258D">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12</w:t>
            </w:r>
            <w:r>
              <w:rPr>
                <w:rFonts w:ascii="Arial" w:hAnsi="Arial" w:eastAsia="Arial" w:cs="Arial"/>
                <w:sz w:val="24"/>
                <w:szCs w:val="24"/>
              </w:rPr>
              <w:t>(14.1)</w:t>
            </w:r>
          </w:p>
        </w:tc>
        <w:tc>
          <w:tcPr>
            <w:tcW w:w="1710" w:type="dxa"/>
            <w:tcMar>
              <w:top w:w="100" w:type="dxa"/>
              <w:left w:w="100" w:type="dxa"/>
              <w:bottom w:w="100" w:type="dxa"/>
              <w:right w:w="100" w:type="dxa"/>
            </w:tcMar>
          </w:tcPr>
          <w:p w14:paraId="4DF758E2">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25</w:t>
            </w:r>
            <w:r>
              <w:rPr>
                <w:rFonts w:ascii="Arial" w:hAnsi="Arial" w:eastAsia="Arial" w:cs="Arial"/>
                <w:sz w:val="24"/>
                <w:szCs w:val="24"/>
              </w:rPr>
              <w:t>(29.4)</w:t>
            </w:r>
          </w:p>
        </w:tc>
        <w:tc>
          <w:tcPr>
            <w:tcW w:w="1845" w:type="dxa"/>
            <w:tcMar>
              <w:top w:w="100" w:type="dxa"/>
              <w:left w:w="100" w:type="dxa"/>
              <w:bottom w:w="100" w:type="dxa"/>
              <w:right w:w="100" w:type="dxa"/>
            </w:tcMar>
          </w:tcPr>
          <w:p w14:paraId="142D7F3D">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w:t>
            </w:r>
            <w:r>
              <w:rPr>
                <w:rFonts w:ascii="Arial" w:hAnsi="Arial" w:eastAsia="Arial" w:cs="Arial"/>
                <w:sz w:val="24"/>
                <w:szCs w:val="24"/>
              </w:rPr>
              <w:t>(1.2)</w:t>
            </w:r>
          </w:p>
        </w:tc>
      </w:tr>
      <w:tr w14:paraId="23192C1B">
        <w:tblPrEx>
          <w:tblCellMar>
            <w:top w:w="15" w:type="dxa"/>
            <w:left w:w="15" w:type="dxa"/>
            <w:bottom w:w="15" w:type="dxa"/>
            <w:right w:w="15" w:type="dxa"/>
          </w:tblCellMar>
        </w:tblPrEx>
        <w:trPr>
          <w:trHeight w:val="590" w:hRule="atLeast"/>
        </w:trPr>
        <w:tc>
          <w:tcPr>
            <w:tcW w:w="960" w:type="dxa"/>
            <w:vMerge w:val="continue"/>
            <w:tcMar>
              <w:top w:w="100" w:type="dxa"/>
              <w:left w:w="100" w:type="dxa"/>
              <w:bottom w:w="100" w:type="dxa"/>
              <w:right w:w="100" w:type="dxa"/>
            </w:tcMar>
          </w:tcPr>
          <w:p w14:paraId="36CA6BD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sz w:val="24"/>
                <w:szCs w:val="24"/>
              </w:rPr>
            </w:pPr>
          </w:p>
        </w:tc>
        <w:tc>
          <w:tcPr>
            <w:tcW w:w="1485" w:type="dxa"/>
            <w:tcMar>
              <w:top w:w="100" w:type="dxa"/>
              <w:left w:w="100" w:type="dxa"/>
              <w:bottom w:w="100" w:type="dxa"/>
              <w:right w:w="100" w:type="dxa"/>
            </w:tcMar>
          </w:tcPr>
          <w:p w14:paraId="438480EC">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Potential</w:t>
            </w:r>
          </w:p>
        </w:tc>
        <w:tc>
          <w:tcPr>
            <w:tcW w:w="1485" w:type="dxa"/>
            <w:tcMar>
              <w:top w:w="100" w:type="dxa"/>
              <w:left w:w="100" w:type="dxa"/>
              <w:bottom w:w="100" w:type="dxa"/>
              <w:right w:w="100" w:type="dxa"/>
            </w:tcMar>
          </w:tcPr>
          <w:p w14:paraId="4D973783">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3</w:t>
            </w:r>
            <w:r>
              <w:rPr>
                <w:rFonts w:ascii="Arial" w:hAnsi="Arial" w:eastAsia="Arial" w:cs="Arial"/>
                <w:sz w:val="24"/>
                <w:szCs w:val="24"/>
              </w:rPr>
              <w:t>(3.5)</w:t>
            </w:r>
          </w:p>
        </w:tc>
        <w:tc>
          <w:tcPr>
            <w:tcW w:w="1710" w:type="dxa"/>
            <w:tcMar>
              <w:top w:w="100" w:type="dxa"/>
              <w:left w:w="100" w:type="dxa"/>
              <w:bottom w:w="100" w:type="dxa"/>
              <w:right w:w="100" w:type="dxa"/>
            </w:tcMar>
          </w:tcPr>
          <w:p w14:paraId="72EB74DE">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15</w:t>
            </w:r>
            <w:r>
              <w:rPr>
                <w:rFonts w:ascii="Arial" w:hAnsi="Arial" w:eastAsia="Arial" w:cs="Arial"/>
                <w:sz w:val="24"/>
                <w:szCs w:val="24"/>
              </w:rPr>
              <w:t>(17.6)</w:t>
            </w:r>
          </w:p>
        </w:tc>
        <w:tc>
          <w:tcPr>
            <w:tcW w:w="1845" w:type="dxa"/>
            <w:tcMar>
              <w:top w:w="100" w:type="dxa"/>
              <w:left w:w="100" w:type="dxa"/>
              <w:bottom w:w="100" w:type="dxa"/>
              <w:right w:w="100" w:type="dxa"/>
            </w:tcMar>
          </w:tcPr>
          <w:p w14:paraId="33BC096A">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w:t>
            </w:r>
            <w:r>
              <w:rPr>
                <w:rFonts w:ascii="Arial" w:hAnsi="Arial" w:eastAsia="Arial" w:cs="Arial"/>
                <w:sz w:val="24"/>
                <w:szCs w:val="24"/>
              </w:rPr>
              <w:t>(1.2)</w:t>
            </w:r>
          </w:p>
        </w:tc>
      </w:tr>
      <w:tr w14:paraId="1ABBFE1A">
        <w:tblPrEx>
          <w:tblCellMar>
            <w:top w:w="15" w:type="dxa"/>
            <w:left w:w="15" w:type="dxa"/>
            <w:bottom w:w="15" w:type="dxa"/>
            <w:right w:w="15" w:type="dxa"/>
          </w:tblCellMar>
        </w:tblPrEx>
        <w:trPr>
          <w:trHeight w:val="590" w:hRule="atLeast"/>
        </w:trPr>
        <w:tc>
          <w:tcPr>
            <w:tcW w:w="960" w:type="dxa"/>
            <w:vMerge w:val="continue"/>
            <w:tcMar>
              <w:top w:w="100" w:type="dxa"/>
              <w:left w:w="100" w:type="dxa"/>
              <w:bottom w:w="100" w:type="dxa"/>
              <w:right w:w="100" w:type="dxa"/>
            </w:tcMar>
          </w:tcPr>
          <w:p w14:paraId="10D6C7E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sz w:val="24"/>
                <w:szCs w:val="24"/>
              </w:rPr>
            </w:pPr>
          </w:p>
        </w:tc>
        <w:tc>
          <w:tcPr>
            <w:tcW w:w="1485" w:type="dxa"/>
            <w:tcMar>
              <w:top w:w="100" w:type="dxa"/>
              <w:left w:w="100" w:type="dxa"/>
              <w:bottom w:w="100" w:type="dxa"/>
              <w:right w:w="100" w:type="dxa"/>
            </w:tcMar>
          </w:tcPr>
          <w:p w14:paraId="406F652C">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Presence</w:t>
            </w:r>
          </w:p>
        </w:tc>
        <w:tc>
          <w:tcPr>
            <w:tcW w:w="1485" w:type="dxa"/>
            <w:tcMar>
              <w:top w:w="100" w:type="dxa"/>
              <w:left w:w="100" w:type="dxa"/>
              <w:bottom w:w="100" w:type="dxa"/>
              <w:right w:w="100" w:type="dxa"/>
            </w:tcMar>
          </w:tcPr>
          <w:p w14:paraId="3939D206">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8</w:t>
            </w:r>
            <w:r>
              <w:rPr>
                <w:rFonts w:ascii="Arial" w:hAnsi="Arial" w:eastAsia="Arial" w:cs="Arial"/>
                <w:sz w:val="24"/>
                <w:szCs w:val="24"/>
              </w:rPr>
              <w:t>(9.4)</w:t>
            </w:r>
          </w:p>
        </w:tc>
        <w:tc>
          <w:tcPr>
            <w:tcW w:w="1710" w:type="dxa"/>
            <w:tcMar>
              <w:top w:w="100" w:type="dxa"/>
              <w:left w:w="100" w:type="dxa"/>
              <w:bottom w:w="100" w:type="dxa"/>
              <w:right w:w="100" w:type="dxa"/>
            </w:tcMar>
          </w:tcPr>
          <w:p w14:paraId="649158D1">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20</w:t>
            </w:r>
            <w:r>
              <w:rPr>
                <w:rFonts w:ascii="Arial" w:hAnsi="Arial" w:eastAsia="Arial" w:cs="Arial"/>
                <w:sz w:val="24"/>
                <w:szCs w:val="24"/>
              </w:rPr>
              <w:t>(23.5)</w:t>
            </w:r>
          </w:p>
        </w:tc>
        <w:tc>
          <w:tcPr>
            <w:tcW w:w="1845" w:type="dxa"/>
            <w:tcMar>
              <w:top w:w="100" w:type="dxa"/>
              <w:left w:w="100" w:type="dxa"/>
              <w:bottom w:w="100" w:type="dxa"/>
              <w:right w:w="100" w:type="dxa"/>
            </w:tcMar>
          </w:tcPr>
          <w:p w14:paraId="3C73B4E4">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r w14:paraId="4DCEED24">
        <w:tblPrEx>
          <w:tblCellMar>
            <w:top w:w="15" w:type="dxa"/>
            <w:left w:w="15" w:type="dxa"/>
            <w:bottom w:w="15" w:type="dxa"/>
            <w:right w:w="15" w:type="dxa"/>
          </w:tblCellMar>
        </w:tblPrEx>
        <w:trPr>
          <w:trHeight w:val="590" w:hRule="atLeast"/>
        </w:trPr>
        <w:tc>
          <w:tcPr>
            <w:tcW w:w="960" w:type="dxa"/>
            <w:vMerge w:val="restart"/>
            <w:shd w:val="clear" w:color="auto" w:fill="D9D9D9"/>
            <w:tcMar>
              <w:top w:w="100" w:type="dxa"/>
              <w:left w:w="100" w:type="dxa"/>
              <w:bottom w:w="100" w:type="dxa"/>
              <w:right w:w="100" w:type="dxa"/>
            </w:tcMar>
          </w:tcPr>
          <w:p w14:paraId="7845D2AE">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b/>
                <w:color w:val="000000"/>
                <w:sz w:val="24"/>
                <w:szCs w:val="24"/>
              </w:rPr>
              <w:t>G2</w:t>
            </w:r>
          </w:p>
        </w:tc>
        <w:tc>
          <w:tcPr>
            <w:tcW w:w="1485" w:type="dxa"/>
            <w:shd w:val="clear" w:color="auto" w:fill="D9D9D9"/>
            <w:tcMar>
              <w:top w:w="100" w:type="dxa"/>
              <w:left w:w="100" w:type="dxa"/>
              <w:bottom w:w="100" w:type="dxa"/>
              <w:right w:w="100" w:type="dxa"/>
            </w:tcMar>
          </w:tcPr>
          <w:p w14:paraId="638D0064">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Absence</w:t>
            </w:r>
          </w:p>
        </w:tc>
        <w:tc>
          <w:tcPr>
            <w:tcW w:w="1485" w:type="dxa"/>
            <w:shd w:val="clear" w:color="auto" w:fill="D9D9D9"/>
            <w:tcMar>
              <w:top w:w="100" w:type="dxa"/>
              <w:left w:w="100" w:type="dxa"/>
              <w:bottom w:w="100" w:type="dxa"/>
              <w:right w:w="100" w:type="dxa"/>
            </w:tcMar>
          </w:tcPr>
          <w:p w14:paraId="1C15A2F9">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17</w:t>
            </w:r>
            <w:r>
              <w:rPr>
                <w:rFonts w:ascii="Arial" w:hAnsi="Arial" w:eastAsia="Arial" w:cs="Arial"/>
                <w:sz w:val="24"/>
                <w:szCs w:val="24"/>
              </w:rPr>
              <w:t>(20.0)</w:t>
            </w:r>
          </w:p>
        </w:tc>
        <w:tc>
          <w:tcPr>
            <w:tcW w:w="1710" w:type="dxa"/>
            <w:shd w:val="clear" w:color="auto" w:fill="D9D9D9"/>
            <w:tcMar>
              <w:top w:w="100" w:type="dxa"/>
              <w:left w:w="100" w:type="dxa"/>
              <w:bottom w:w="100" w:type="dxa"/>
              <w:right w:w="100" w:type="dxa"/>
            </w:tcMar>
          </w:tcPr>
          <w:p w14:paraId="3FEB891F">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25</w:t>
            </w:r>
            <w:r>
              <w:rPr>
                <w:rFonts w:ascii="Arial" w:hAnsi="Arial" w:eastAsia="Arial" w:cs="Arial"/>
                <w:sz w:val="24"/>
                <w:szCs w:val="24"/>
              </w:rPr>
              <w:t>(29.4)</w:t>
            </w:r>
          </w:p>
        </w:tc>
        <w:tc>
          <w:tcPr>
            <w:tcW w:w="1845" w:type="dxa"/>
            <w:shd w:val="clear" w:color="auto" w:fill="D9D9D9"/>
            <w:tcMar>
              <w:top w:w="100" w:type="dxa"/>
              <w:left w:w="100" w:type="dxa"/>
              <w:bottom w:w="100" w:type="dxa"/>
              <w:right w:w="100" w:type="dxa"/>
            </w:tcMar>
          </w:tcPr>
          <w:p w14:paraId="33055BE8">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r w14:paraId="037880AF">
        <w:tblPrEx>
          <w:tblCellMar>
            <w:top w:w="15" w:type="dxa"/>
            <w:left w:w="15" w:type="dxa"/>
            <w:bottom w:w="15" w:type="dxa"/>
            <w:right w:w="15" w:type="dxa"/>
          </w:tblCellMar>
        </w:tblPrEx>
        <w:trPr>
          <w:trHeight w:val="590" w:hRule="atLeast"/>
        </w:trPr>
        <w:tc>
          <w:tcPr>
            <w:tcW w:w="960" w:type="dxa"/>
            <w:vMerge w:val="continue"/>
            <w:shd w:val="clear" w:color="auto" w:fill="D9D9D9"/>
            <w:tcMar>
              <w:top w:w="100" w:type="dxa"/>
              <w:left w:w="100" w:type="dxa"/>
              <w:bottom w:w="100" w:type="dxa"/>
              <w:right w:w="100" w:type="dxa"/>
            </w:tcMar>
          </w:tcPr>
          <w:p w14:paraId="64C9973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sz w:val="24"/>
                <w:szCs w:val="24"/>
              </w:rPr>
            </w:pPr>
          </w:p>
        </w:tc>
        <w:tc>
          <w:tcPr>
            <w:tcW w:w="1485" w:type="dxa"/>
            <w:shd w:val="clear" w:color="auto" w:fill="D9D9D9"/>
            <w:tcMar>
              <w:top w:w="100" w:type="dxa"/>
              <w:left w:w="100" w:type="dxa"/>
              <w:bottom w:w="100" w:type="dxa"/>
              <w:right w:w="100" w:type="dxa"/>
            </w:tcMar>
          </w:tcPr>
          <w:p w14:paraId="0FD755FA">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Potential</w:t>
            </w:r>
          </w:p>
        </w:tc>
        <w:tc>
          <w:tcPr>
            <w:tcW w:w="1485" w:type="dxa"/>
            <w:shd w:val="clear" w:color="auto" w:fill="D9D9D9"/>
            <w:tcMar>
              <w:top w:w="100" w:type="dxa"/>
              <w:left w:w="100" w:type="dxa"/>
              <w:bottom w:w="100" w:type="dxa"/>
              <w:right w:w="100" w:type="dxa"/>
            </w:tcMar>
          </w:tcPr>
          <w:p w14:paraId="753739AA">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4</w:t>
            </w:r>
            <w:r>
              <w:rPr>
                <w:rFonts w:ascii="Arial" w:hAnsi="Arial" w:eastAsia="Arial" w:cs="Arial"/>
                <w:sz w:val="24"/>
                <w:szCs w:val="24"/>
              </w:rPr>
              <w:t>(4.7)</w:t>
            </w:r>
          </w:p>
        </w:tc>
        <w:tc>
          <w:tcPr>
            <w:tcW w:w="1710" w:type="dxa"/>
            <w:shd w:val="clear" w:color="auto" w:fill="D9D9D9"/>
            <w:tcMar>
              <w:top w:w="100" w:type="dxa"/>
              <w:left w:w="100" w:type="dxa"/>
              <w:bottom w:w="100" w:type="dxa"/>
              <w:right w:w="100" w:type="dxa"/>
            </w:tcMar>
          </w:tcPr>
          <w:p w14:paraId="5AB05D33">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16</w:t>
            </w:r>
            <w:r>
              <w:rPr>
                <w:rFonts w:ascii="Arial" w:hAnsi="Arial" w:eastAsia="Arial" w:cs="Arial"/>
                <w:sz w:val="24"/>
                <w:szCs w:val="24"/>
              </w:rPr>
              <w:t>(18.8)</w:t>
            </w:r>
          </w:p>
        </w:tc>
        <w:tc>
          <w:tcPr>
            <w:tcW w:w="1845" w:type="dxa"/>
            <w:shd w:val="clear" w:color="auto" w:fill="D9D9D9"/>
            <w:tcMar>
              <w:top w:w="100" w:type="dxa"/>
              <w:left w:w="100" w:type="dxa"/>
              <w:bottom w:w="100" w:type="dxa"/>
              <w:right w:w="100" w:type="dxa"/>
            </w:tcMar>
          </w:tcPr>
          <w:p w14:paraId="463E1C65">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r w14:paraId="4615C782">
        <w:tblPrEx>
          <w:tblCellMar>
            <w:top w:w="15" w:type="dxa"/>
            <w:left w:w="15" w:type="dxa"/>
            <w:bottom w:w="15" w:type="dxa"/>
            <w:right w:w="15" w:type="dxa"/>
          </w:tblCellMar>
        </w:tblPrEx>
        <w:trPr>
          <w:trHeight w:val="590" w:hRule="atLeast"/>
        </w:trPr>
        <w:tc>
          <w:tcPr>
            <w:tcW w:w="960" w:type="dxa"/>
            <w:vMerge w:val="continue"/>
            <w:shd w:val="clear" w:color="auto" w:fill="D9D9D9"/>
            <w:tcMar>
              <w:top w:w="100" w:type="dxa"/>
              <w:left w:w="100" w:type="dxa"/>
              <w:bottom w:w="100" w:type="dxa"/>
              <w:right w:w="100" w:type="dxa"/>
            </w:tcMar>
          </w:tcPr>
          <w:p w14:paraId="41A96E8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Arial" w:hAnsi="Arial" w:eastAsia="Arial" w:cs="Arial"/>
                <w:sz w:val="24"/>
                <w:szCs w:val="24"/>
              </w:rPr>
            </w:pPr>
          </w:p>
        </w:tc>
        <w:tc>
          <w:tcPr>
            <w:tcW w:w="1485" w:type="dxa"/>
            <w:shd w:val="clear" w:color="auto" w:fill="D9D9D9"/>
            <w:tcMar>
              <w:top w:w="100" w:type="dxa"/>
              <w:left w:w="100" w:type="dxa"/>
              <w:bottom w:w="100" w:type="dxa"/>
              <w:right w:w="100" w:type="dxa"/>
            </w:tcMar>
          </w:tcPr>
          <w:p w14:paraId="4574C4EF">
            <w:pPr>
              <w:spacing w:after="0" w:line="240" w:lineRule="auto"/>
              <w:ind w:left="100" w:right="100"/>
              <w:jc w:val="center"/>
              <w:rPr>
                <w:rFonts w:ascii="Times New Roman" w:hAnsi="Times New Roman" w:eastAsia="Times New Roman" w:cs="Times New Roman"/>
                <w:sz w:val="24"/>
                <w:szCs w:val="24"/>
              </w:rPr>
            </w:pPr>
            <w:r>
              <w:rPr>
                <w:rFonts w:ascii="Arial" w:hAnsi="Arial" w:eastAsia="Arial" w:cs="Arial"/>
                <w:color w:val="000000"/>
                <w:sz w:val="24"/>
                <w:szCs w:val="24"/>
              </w:rPr>
              <w:t>Presence</w:t>
            </w:r>
          </w:p>
        </w:tc>
        <w:tc>
          <w:tcPr>
            <w:tcW w:w="1485" w:type="dxa"/>
            <w:shd w:val="clear" w:color="auto" w:fill="D9D9D9"/>
            <w:tcMar>
              <w:top w:w="100" w:type="dxa"/>
              <w:left w:w="100" w:type="dxa"/>
              <w:bottom w:w="100" w:type="dxa"/>
              <w:right w:w="100" w:type="dxa"/>
            </w:tcMar>
          </w:tcPr>
          <w:p w14:paraId="036288B9">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2</w:t>
            </w:r>
            <w:r>
              <w:rPr>
                <w:rFonts w:ascii="Arial" w:hAnsi="Arial" w:eastAsia="Arial" w:cs="Arial"/>
                <w:sz w:val="24"/>
                <w:szCs w:val="24"/>
              </w:rPr>
              <w:t>(2.3)</w:t>
            </w:r>
          </w:p>
        </w:tc>
        <w:tc>
          <w:tcPr>
            <w:tcW w:w="1710" w:type="dxa"/>
            <w:shd w:val="clear" w:color="auto" w:fill="D9D9D9"/>
            <w:tcMar>
              <w:top w:w="100" w:type="dxa"/>
              <w:left w:w="100" w:type="dxa"/>
              <w:bottom w:w="100" w:type="dxa"/>
              <w:right w:w="100" w:type="dxa"/>
            </w:tcMar>
          </w:tcPr>
          <w:p w14:paraId="6244489B">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21</w:t>
            </w:r>
            <w:r>
              <w:rPr>
                <w:rFonts w:ascii="Arial" w:hAnsi="Arial" w:eastAsia="Arial" w:cs="Arial"/>
                <w:sz w:val="24"/>
                <w:szCs w:val="24"/>
              </w:rPr>
              <w:t>(24.7)</w:t>
            </w:r>
          </w:p>
        </w:tc>
        <w:tc>
          <w:tcPr>
            <w:tcW w:w="1845" w:type="dxa"/>
            <w:shd w:val="clear" w:color="auto" w:fill="D9D9D9"/>
            <w:tcMar>
              <w:top w:w="100" w:type="dxa"/>
              <w:left w:w="100" w:type="dxa"/>
              <w:bottom w:w="100" w:type="dxa"/>
              <w:right w:w="100" w:type="dxa"/>
            </w:tcMar>
          </w:tcPr>
          <w:p w14:paraId="774815BB">
            <w:pPr>
              <w:spacing w:after="0" w:line="240" w:lineRule="auto"/>
              <w:ind w:left="100" w:right="100"/>
              <w:jc w:val="center"/>
              <w:rPr>
                <w:rFonts w:ascii="Arial" w:hAnsi="Arial" w:eastAsia="Arial" w:cs="Arial"/>
                <w:sz w:val="24"/>
                <w:szCs w:val="24"/>
              </w:rPr>
            </w:pPr>
            <w:r>
              <w:rPr>
                <w:rFonts w:ascii="Arial" w:hAnsi="Arial" w:eastAsia="Arial" w:cs="Arial"/>
                <w:color w:val="000000"/>
                <w:sz w:val="24"/>
                <w:szCs w:val="24"/>
              </w:rPr>
              <w:t>0</w:t>
            </w:r>
            <w:r>
              <w:rPr>
                <w:rFonts w:ascii="Arial" w:hAnsi="Arial" w:eastAsia="Arial" w:cs="Arial"/>
                <w:sz w:val="24"/>
                <w:szCs w:val="24"/>
              </w:rPr>
              <w:t>(0.0)</w:t>
            </w:r>
          </w:p>
        </w:tc>
      </w:tr>
    </w:tbl>
    <w:p w14:paraId="35916468">
      <w:pPr>
        <w:spacing w:after="240" w:line="240" w:lineRule="auto"/>
        <w:rPr>
          <w:rFonts w:ascii="Times New Roman" w:hAnsi="Times New Roman" w:eastAsia="Times New Roman" w:cs="Times New Roman"/>
          <w:sz w:val="24"/>
          <w:szCs w:val="24"/>
        </w:rPr>
      </w:pPr>
    </w:p>
    <w:p w14:paraId="22431112">
      <w:pPr>
        <w:spacing w:after="240" w:line="240" w:lineRule="auto"/>
        <w:jc w:val="both"/>
        <w:rPr>
          <w:rFonts w:ascii="Times New Roman" w:hAnsi="Times New Roman" w:eastAsia="Times New Roman" w:cs="Times New Roman"/>
          <w:sz w:val="24"/>
          <w:szCs w:val="24"/>
        </w:rPr>
      </w:pPr>
      <w:r>
        <w:rPr>
          <w:rFonts w:ascii="Arial" w:hAnsi="Arial" w:eastAsia="Arial" w:cs="Arial"/>
          <w:color w:val="000000"/>
          <w:sz w:val="24"/>
          <w:szCs w:val="24"/>
        </w:rPr>
        <w:t>Table 4 – Analysis of the association between depression symptoms from the HAD questionnaire and TMD symptoms from the DC/TMD questionnaire</w:t>
      </w:r>
    </w:p>
    <w:tbl>
      <w:tblPr>
        <w:tblStyle w:val="35"/>
        <w:tblW w:w="8503" w:type="dxa"/>
        <w:tblInd w:w="-15" w:type="dxa"/>
        <w:tblLayout w:type="fixed"/>
        <w:tblCellMar>
          <w:top w:w="15" w:type="dxa"/>
          <w:left w:w="15" w:type="dxa"/>
          <w:bottom w:w="15" w:type="dxa"/>
          <w:right w:w="15" w:type="dxa"/>
        </w:tblCellMar>
      </w:tblPr>
      <w:tblGrid>
        <w:gridCol w:w="1035"/>
        <w:gridCol w:w="1821"/>
        <w:gridCol w:w="1821"/>
        <w:gridCol w:w="1789"/>
        <w:gridCol w:w="2037"/>
      </w:tblGrid>
      <w:tr w14:paraId="1F1E43D1">
        <w:tblPrEx>
          <w:tblCellMar>
            <w:top w:w="15" w:type="dxa"/>
            <w:left w:w="15" w:type="dxa"/>
            <w:bottom w:w="15" w:type="dxa"/>
            <w:right w:w="15" w:type="dxa"/>
          </w:tblCellMar>
        </w:tblPrEx>
        <w:trPr>
          <w:trHeight w:val="650" w:hRule="atLeast"/>
        </w:trPr>
        <w:tc>
          <w:tcPr>
            <w:tcW w:w="1035" w:type="dxa"/>
            <w:tcBorders>
              <w:top w:val="single" w:color="000000" w:sz="8" w:space="0"/>
            </w:tcBorders>
            <w:shd w:val="clear" w:color="auto" w:fill="D9D9D9"/>
            <w:tcMar>
              <w:top w:w="100" w:type="dxa"/>
              <w:left w:w="100" w:type="dxa"/>
              <w:bottom w:w="100" w:type="dxa"/>
              <w:right w:w="100" w:type="dxa"/>
            </w:tcMar>
          </w:tcPr>
          <w:p w14:paraId="02AB2D68">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 </w:t>
            </w:r>
          </w:p>
        </w:tc>
        <w:tc>
          <w:tcPr>
            <w:tcW w:w="1821" w:type="dxa"/>
            <w:tcBorders>
              <w:top w:val="single" w:color="000000" w:sz="8" w:space="0"/>
            </w:tcBorders>
            <w:shd w:val="clear" w:color="auto" w:fill="D9D9D9"/>
            <w:tcMar>
              <w:top w:w="100" w:type="dxa"/>
              <w:left w:w="100" w:type="dxa"/>
              <w:bottom w:w="100" w:type="dxa"/>
              <w:right w:w="100" w:type="dxa"/>
            </w:tcMar>
          </w:tcPr>
          <w:p w14:paraId="4433E33A">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G1</w:t>
            </w:r>
          </w:p>
        </w:tc>
        <w:tc>
          <w:tcPr>
            <w:tcW w:w="1821" w:type="dxa"/>
            <w:tcBorders>
              <w:top w:val="single" w:color="000000" w:sz="8" w:space="0"/>
            </w:tcBorders>
            <w:shd w:val="clear" w:color="auto" w:fill="D9D9D9"/>
            <w:tcMar>
              <w:top w:w="100" w:type="dxa"/>
              <w:left w:w="100" w:type="dxa"/>
              <w:bottom w:w="100" w:type="dxa"/>
              <w:right w:w="100" w:type="dxa"/>
            </w:tcMar>
          </w:tcPr>
          <w:p w14:paraId="2764A529">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G2</w:t>
            </w:r>
          </w:p>
        </w:tc>
        <w:tc>
          <w:tcPr>
            <w:tcW w:w="1789" w:type="dxa"/>
            <w:vMerge w:val="restart"/>
            <w:tcBorders>
              <w:top w:val="single" w:color="000000" w:sz="8" w:space="0"/>
            </w:tcBorders>
            <w:shd w:val="clear" w:color="auto" w:fill="D9D9D9"/>
            <w:tcMar>
              <w:top w:w="100" w:type="dxa"/>
              <w:left w:w="100" w:type="dxa"/>
              <w:bottom w:w="100" w:type="dxa"/>
              <w:right w:w="100" w:type="dxa"/>
            </w:tcMar>
          </w:tcPr>
          <w:p w14:paraId="1A1AA13C">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P value</w:t>
            </w:r>
          </w:p>
        </w:tc>
        <w:tc>
          <w:tcPr>
            <w:tcW w:w="2037" w:type="dxa"/>
            <w:vMerge w:val="restart"/>
            <w:tcBorders>
              <w:top w:val="single" w:color="000000" w:sz="8" w:space="0"/>
            </w:tcBorders>
            <w:shd w:val="clear" w:color="auto" w:fill="D9D9D9"/>
            <w:tcMar>
              <w:top w:w="100" w:type="dxa"/>
              <w:left w:w="100" w:type="dxa"/>
              <w:bottom w:w="100" w:type="dxa"/>
              <w:right w:w="100" w:type="dxa"/>
            </w:tcMar>
          </w:tcPr>
          <w:p w14:paraId="473466D6">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Odds Ratio</w:t>
            </w:r>
          </w:p>
        </w:tc>
      </w:tr>
      <w:tr w14:paraId="18FA1AE8">
        <w:tblPrEx>
          <w:tblCellMar>
            <w:top w:w="15" w:type="dxa"/>
            <w:left w:w="15" w:type="dxa"/>
            <w:bottom w:w="15" w:type="dxa"/>
            <w:right w:w="15" w:type="dxa"/>
          </w:tblCellMar>
        </w:tblPrEx>
        <w:trPr>
          <w:trHeight w:val="650" w:hRule="atLeast"/>
        </w:trPr>
        <w:tc>
          <w:tcPr>
            <w:tcW w:w="1035" w:type="dxa"/>
            <w:shd w:val="clear" w:color="auto" w:fill="D9D9D9"/>
            <w:tcMar>
              <w:top w:w="100" w:type="dxa"/>
              <w:left w:w="100" w:type="dxa"/>
              <w:bottom w:w="100" w:type="dxa"/>
              <w:right w:w="100" w:type="dxa"/>
            </w:tcMar>
          </w:tcPr>
          <w:p w14:paraId="1BA87F0F">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 </w:t>
            </w:r>
          </w:p>
        </w:tc>
        <w:tc>
          <w:tcPr>
            <w:tcW w:w="1821" w:type="dxa"/>
            <w:shd w:val="clear" w:color="auto" w:fill="D9D9D9"/>
            <w:tcMar>
              <w:top w:w="100" w:type="dxa"/>
              <w:left w:w="100" w:type="dxa"/>
              <w:bottom w:w="100" w:type="dxa"/>
              <w:right w:w="100" w:type="dxa"/>
            </w:tcMar>
          </w:tcPr>
          <w:p w14:paraId="632E9FD6">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N (%)</w:t>
            </w:r>
          </w:p>
        </w:tc>
        <w:tc>
          <w:tcPr>
            <w:tcW w:w="1821" w:type="dxa"/>
            <w:shd w:val="clear" w:color="auto" w:fill="D9D9D9"/>
            <w:tcMar>
              <w:top w:w="100" w:type="dxa"/>
              <w:left w:w="100" w:type="dxa"/>
              <w:bottom w:w="100" w:type="dxa"/>
              <w:right w:w="100" w:type="dxa"/>
            </w:tcMar>
          </w:tcPr>
          <w:p w14:paraId="2FBAACE5">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N (%)</w:t>
            </w:r>
          </w:p>
        </w:tc>
        <w:tc>
          <w:tcPr>
            <w:tcW w:w="1789" w:type="dxa"/>
            <w:vMerge w:val="continue"/>
            <w:tcBorders>
              <w:top w:val="single" w:color="000000" w:sz="8" w:space="0"/>
            </w:tcBorders>
            <w:shd w:val="clear" w:color="auto" w:fill="D9D9D9"/>
            <w:tcMar>
              <w:top w:w="100" w:type="dxa"/>
              <w:left w:w="100" w:type="dxa"/>
              <w:bottom w:w="100" w:type="dxa"/>
              <w:right w:w="100" w:type="dxa"/>
            </w:tcMar>
          </w:tcPr>
          <w:p w14:paraId="776F0A4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037" w:type="dxa"/>
            <w:vMerge w:val="continue"/>
            <w:tcBorders>
              <w:top w:val="single" w:color="000000" w:sz="8" w:space="0"/>
            </w:tcBorders>
            <w:shd w:val="clear" w:color="auto" w:fill="D9D9D9"/>
            <w:tcMar>
              <w:top w:w="100" w:type="dxa"/>
              <w:left w:w="100" w:type="dxa"/>
              <w:bottom w:w="100" w:type="dxa"/>
              <w:right w:w="100" w:type="dxa"/>
            </w:tcMar>
          </w:tcPr>
          <w:p w14:paraId="22265459">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4A471F0F">
        <w:tblPrEx>
          <w:tblCellMar>
            <w:top w:w="15" w:type="dxa"/>
            <w:left w:w="15" w:type="dxa"/>
            <w:bottom w:w="15" w:type="dxa"/>
            <w:right w:w="15" w:type="dxa"/>
          </w:tblCellMar>
        </w:tblPrEx>
        <w:trPr>
          <w:trHeight w:val="740" w:hRule="atLeast"/>
        </w:trPr>
        <w:tc>
          <w:tcPr>
            <w:tcW w:w="8503" w:type="dxa"/>
            <w:gridSpan w:val="5"/>
            <w:tcMar>
              <w:top w:w="100" w:type="dxa"/>
              <w:left w:w="100" w:type="dxa"/>
              <w:bottom w:w="100" w:type="dxa"/>
              <w:right w:w="100" w:type="dxa"/>
            </w:tcMar>
          </w:tcPr>
          <w:p w14:paraId="2393D29F">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Have you ever had pain in your jaw (mouth), temple, ear or in front of your ear on either side?</w:t>
            </w:r>
          </w:p>
        </w:tc>
      </w:tr>
      <w:tr w14:paraId="6D782404">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7C1C2135">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No</w:t>
            </w:r>
          </w:p>
        </w:tc>
        <w:tc>
          <w:tcPr>
            <w:tcW w:w="1821" w:type="dxa"/>
            <w:tcMar>
              <w:top w:w="100" w:type="dxa"/>
              <w:left w:w="100" w:type="dxa"/>
              <w:bottom w:w="100" w:type="dxa"/>
              <w:right w:w="100" w:type="dxa"/>
            </w:tcMar>
          </w:tcPr>
          <w:p w14:paraId="2182CD3D">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31(36.5)</w:t>
            </w:r>
          </w:p>
        </w:tc>
        <w:tc>
          <w:tcPr>
            <w:tcW w:w="1821" w:type="dxa"/>
            <w:tcMar>
              <w:top w:w="100" w:type="dxa"/>
              <w:left w:w="100" w:type="dxa"/>
              <w:bottom w:w="100" w:type="dxa"/>
              <w:right w:w="100" w:type="dxa"/>
            </w:tcMar>
          </w:tcPr>
          <w:p w14:paraId="499A681B">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41(48.2)</w:t>
            </w:r>
          </w:p>
        </w:tc>
        <w:tc>
          <w:tcPr>
            <w:tcW w:w="1789" w:type="dxa"/>
            <w:vMerge w:val="restart"/>
            <w:tcMar>
              <w:top w:w="100" w:type="dxa"/>
              <w:left w:w="100" w:type="dxa"/>
              <w:bottom w:w="100" w:type="dxa"/>
              <w:right w:w="100" w:type="dxa"/>
            </w:tcMar>
          </w:tcPr>
          <w:p w14:paraId="3DFE191D">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0.1622</w:t>
            </w:r>
          </w:p>
        </w:tc>
        <w:tc>
          <w:tcPr>
            <w:tcW w:w="2037" w:type="dxa"/>
            <w:vMerge w:val="restart"/>
            <w:tcMar>
              <w:top w:w="100" w:type="dxa"/>
              <w:left w:w="100" w:type="dxa"/>
              <w:bottom w:w="100" w:type="dxa"/>
              <w:right w:w="100" w:type="dxa"/>
            </w:tcMar>
          </w:tcPr>
          <w:p w14:paraId="6BDB59B8">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1.623</w:t>
            </w:r>
          </w:p>
        </w:tc>
      </w:tr>
      <w:tr w14:paraId="5B2DF225">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304FF48D">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Yes</w:t>
            </w:r>
          </w:p>
        </w:tc>
        <w:tc>
          <w:tcPr>
            <w:tcW w:w="1821" w:type="dxa"/>
            <w:tcMar>
              <w:top w:w="100" w:type="dxa"/>
              <w:left w:w="100" w:type="dxa"/>
              <w:bottom w:w="100" w:type="dxa"/>
              <w:right w:w="100" w:type="dxa"/>
            </w:tcMar>
          </w:tcPr>
          <w:p w14:paraId="4DD34AFA">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54(63.5)</w:t>
            </w:r>
          </w:p>
        </w:tc>
        <w:tc>
          <w:tcPr>
            <w:tcW w:w="1821" w:type="dxa"/>
            <w:tcMar>
              <w:top w:w="100" w:type="dxa"/>
              <w:left w:w="100" w:type="dxa"/>
              <w:bottom w:w="100" w:type="dxa"/>
              <w:right w:w="100" w:type="dxa"/>
            </w:tcMar>
          </w:tcPr>
          <w:p w14:paraId="3DFC4429">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44(51.8)</w:t>
            </w:r>
          </w:p>
        </w:tc>
        <w:tc>
          <w:tcPr>
            <w:tcW w:w="1789" w:type="dxa"/>
            <w:vMerge w:val="continue"/>
            <w:tcMar>
              <w:top w:w="100" w:type="dxa"/>
              <w:left w:w="100" w:type="dxa"/>
              <w:bottom w:w="100" w:type="dxa"/>
              <w:right w:w="100" w:type="dxa"/>
            </w:tcMar>
          </w:tcPr>
          <w:p w14:paraId="5EECE5E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037" w:type="dxa"/>
            <w:vMerge w:val="continue"/>
            <w:tcMar>
              <w:top w:w="100" w:type="dxa"/>
              <w:left w:w="100" w:type="dxa"/>
              <w:bottom w:w="100" w:type="dxa"/>
              <w:right w:w="100" w:type="dxa"/>
            </w:tcMar>
          </w:tcPr>
          <w:p w14:paraId="3CC3236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1073F349">
        <w:tblPrEx>
          <w:tblCellMar>
            <w:top w:w="15" w:type="dxa"/>
            <w:left w:w="15" w:type="dxa"/>
            <w:bottom w:w="15" w:type="dxa"/>
            <w:right w:w="15" w:type="dxa"/>
          </w:tblCellMar>
        </w:tblPrEx>
        <w:trPr>
          <w:trHeight w:val="740" w:hRule="atLeast"/>
        </w:trPr>
        <w:tc>
          <w:tcPr>
            <w:tcW w:w="8503" w:type="dxa"/>
            <w:gridSpan w:val="5"/>
            <w:tcMar>
              <w:top w:w="100" w:type="dxa"/>
              <w:left w:w="100" w:type="dxa"/>
              <w:bottom w:w="100" w:type="dxa"/>
              <w:right w:w="100" w:type="dxa"/>
            </w:tcMar>
          </w:tcPr>
          <w:p w14:paraId="0CB040A5">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In the past 30 days, have you had any headaches that included the temple areas of your head?</w:t>
            </w:r>
          </w:p>
        </w:tc>
      </w:tr>
      <w:tr w14:paraId="5EE2DAA3">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63BB573F">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No</w:t>
            </w:r>
          </w:p>
        </w:tc>
        <w:tc>
          <w:tcPr>
            <w:tcW w:w="1821" w:type="dxa"/>
            <w:tcMar>
              <w:top w:w="100" w:type="dxa"/>
              <w:left w:w="100" w:type="dxa"/>
              <w:bottom w:w="100" w:type="dxa"/>
              <w:right w:w="100" w:type="dxa"/>
            </w:tcMar>
          </w:tcPr>
          <w:p w14:paraId="685BD3AB">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37(43.5)</w:t>
            </w:r>
          </w:p>
        </w:tc>
        <w:tc>
          <w:tcPr>
            <w:tcW w:w="1821" w:type="dxa"/>
            <w:tcMar>
              <w:top w:w="100" w:type="dxa"/>
              <w:left w:w="100" w:type="dxa"/>
              <w:bottom w:w="100" w:type="dxa"/>
              <w:right w:w="100" w:type="dxa"/>
            </w:tcMar>
          </w:tcPr>
          <w:p w14:paraId="750420E4">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37(43.5)</w:t>
            </w:r>
          </w:p>
        </w:tc>
        <w:tc>
          <w:tcPr>
            <w:tcW w:w="1789" w:type="dxa"/>
            <w:vMerge w:val="restart"/>
            <w:tcMar>
              <w:top w:w="100" w:type="dxa"/>
              <w:left w:w="100" w:type="dxa"/>
              <w:bottom w:w="100" w:type="dxa"/>
              <w:right w:w="100" w:type="dxa"/>
            </w:tcMar>
          </w:tcPr>
          <w:p w14:paraId="54050EBF">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&gt;0.9999</w:t>
            </w:r>
          </w:p>
        </w:tc>
        <w:tc>
          <w:tcPr>
            <w:tcW w:w="2037" w:type="dxa"/>
            <w:vMerge w:val="restart"/>
            <w:tcMar>
              <w:top w:w="100" w:type="dxa"/>
              <w:left w:w="100" w:type="dxa"/>
              <w:bottom w:w="100" w:type="dxa"/>
              <w:right w:w="100" w:type="dxa"/>
            </w:tcMar>
          </w:tcPr>
          <w:p w14:paraId="55DBCEDC">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1.000</w:t>
            </w:r>
          </w:p>
        </w:tc>
      </w:tr>
      <w:tr w14:paraId="0FC5472F">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629CB7F6">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Yes</w:t>
            </w:r>
          </w:p>
        </w:tc>
        <w:tc>
          <w:tcPr>
            <w:tcW w:w="1821" w:type="dxa"/>
            <w:tcMar>
              <w:top w:w="100" w:type="dxa"/>
              <w:left w:w="100" w:type="dxa"/>
              <w:bottom w:w="100" w:type="dxa"/>
              <w:right w:w="100" w:type="dxa"/>
            </w:tcMar>
          </w:tcPr>
          <w:p w14:paraId="0A5D4819">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48(56.5)</w:t>
            </w:r>
          </w:p>
        </w:tc>
        <w:tc>
          <w:tcPr>
            <w:tcW w:w="1821" w:type="dxa"/>
            <w:tcMar>
              <w:top w:w="100" w:type="dxa"/>
              <w:left w:w="100" w:type="dxa"/>
              <w:bottom w:w="100" w:type="dxa"/>
              <w:right w:w="100" w:type="dxa"/>
            </w:tcMar>
          </w:tcPr>
          <w:p w14:paraId="2F08DDDF">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48(56.5)</w:t>
            </w:r>
          </w:p>
        </w:tc>
        <w:tc>
          <w:tcPr>
            <w:tcW w:w="1789" w:type="dxa"/>
            <w:vMerge w:val="continue"/>
            <w:tcMar>
              <w:top w:w="100" w:type="dxa"/>
              <w:left w:w="100" w:type="dxa"/>
              <w:bottom w:w="100" w:type="dxa"/>
              <w:right w:w="100" w:type="dxa"/>
            </w:tcMar>
          </w:tcPr>
          <w:p w14:paraId="57407BF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037" w:type="dxa"/>
            <w:vMerge w:val="continue"/>
            <w:tcMar>
              <w:top w:w="100" w:type="dxa"/>
              <w:left w:w="100" w:type="dxa"/>
              <w:bottom w:w="100" w:type="dxa"/>
              <w:right w:w="100" w:type="dxa"/>
            </w:tcMar>
          </w:tcPr>
          <w:p w14:paraId="22078D4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414A19D5">
        <w:tblPrEx>
          <w:tblCellMar>
            <w:top w:w="15" w:type="dxa"/>
            <w:left w:w="15" w:type="dxa"/>
            <w:bottom w:w="15" w:type="dxa"/>
            <w:right w:w="15" w:type="dxa"/>
          </w:tblCellMar>
        </w:tblPrEx>
        <w:trPr>
          <w:trHeight w:val="740" w:hRule="atLeast"/>
        </w:trPr>
        <w:tc>
          <w:tcPr>
            <w:tcW w:w="8503" w:type="dxa"/>
            <w:gridSpan w:val="5"/>
            <w:tcMar>
              <w:top w:w="100" w:type="dxa"/>
              <w:left w:w="100" w:type="dxa"/>
              <w:bottom w:w="100" w:type="dxa"/>
              <w:right w:w="100" w:type="dxa"/>
            </w:tcMar>
          </w:tcPr>
          <w:p w14:paraId="4EA8FE37">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In the past 30 days, have you heard any sounds or noises in your joint when you moved or used your jaw (mouth)?</w:t>
            </w:r>
          </w:p>
        </w:tc>
      </w:tr>
      <w:tr w14:paraId="4EEED035">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2CECBB04">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No</w:t>
            </w:r>
          </w:p>
        </w:tc>
        <w:tc>
          <w:tcPr>
            <w:tcW w:w="1821" w:type="dxa"/>
            <w:tcMar>
              <w:top w:w="100" w:type="dxa"/>
              <w:left w:w="100" w:type="dxa"/>
              <w:bottom w:w="100" w:type="dxa"/>
              <w:right w:w="100" w:type="dxa"/>
            </w:tcMar>
          </w:tcPr>
          <w:p w14:paraId="310555CA">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41(48.2)</w:t>
            </w:r>
          </w:p>
        </w:tc>
        <w:tc>
          <w:tcPr>
            <w:tcW w:w="1821" w:type="dxa"/>
            <w:tcMar>
              <w:top w:w="100" w:type="dxa"/>
              <w:left w:w="100" w:type="dxa"/>
              <w:bottom w:w="100" w:type="dxa"/>
              <w:right w:w="100" w:type="dxa"/>
            </w:tcMar>
          </w:tcPr>
          <w:p w14:paraId="4A8BC976">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43(50.6)</w:t>
            </w:r>
          </w:p>
        </w:tc>
        <w:tc>
          <w:tcPr>
            <w:tcW w:w="1789" w:type="dxa"/>
            <w:vMerge w:val="restart"/>
            <w:tcMar>
              <w:top w:w="100" w:type="dxa"/>
              <w:left w:w="100" w:type="dxa"/>
              <w:bottom w:w="100" w:type="dxa"/>
              <w:right w:w="100" w:type="dxa"/>
            </w:tcMar>
          </w:tcPr>
          <w:p w14:paraId="52572F49">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0.8781</w:t>
            </w:r>
          </w:p>
        </w:tc>
        <w:tc>
          <w:tcPr>
            <w:tcW w:w="2037" w:type="dxa"/>
            <w:vMerge w:val="restart"/>
            <w:tcMar>
              <w:top w:w="100" w:type="dxa"/>
              <w:left w:w="100" w:type="dxa"/>
              <w:bottom w:w="100" w:type="dxa"/>
              <w:right w:w="100" w:type="dxa"/>
            </w:tcMar>
          </w:tcPr>
          <w:p w14:paraId="126B9137">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1.099</w:t>
            </w:r>
          </w:p>
        </w:tc>
      </w:tr>
      <w:tr w14:paraId="4DC62F55">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6D62AA43">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Yes</w:t>
            </w:r>
          </w:p>
        </w:tc>
        <w:tc>
          <w:tcPr>
            <w:tcW w:w="1821" w:type="dxa"/>
            <w:tcMar>
              <w:top w:w="100" w:type="dxa"/>
              <w:left w:w="100" w:type="dxa"/>
              <w:bottom w:w="100" w:type="dxa"/>
              <w:right w:w="100" w:type="dxa"/>
            </w:tcMar>
          </w:tcPr>
          <w:p w14:paraId="380F54CB">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44(51.8)</w:t>
            </w:r>
          </w:p>
        </w:tc>
        <w:tc>
          <w:tcPr>
            <w:tcW w:w="1821" w:type="dxa"/>
            <w:tcMar>
              <w:top w:w="100" w:type="dxa"/>
              <w:left w:w="100" w:type="dxa"/>
              <w:bottom w:w="100" w:type="dxa"/>
              <w:right w:w="100" w:type="dxa"/>
            </w:tcMar>
          </w:tcPr>
          <w:p w14:paraId="394BCD7B">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42(49.4)</w:t>
            </w:r>
          </w:p>
        </w:tc>
        <w:tc>
          <w:tcPr>
            <w:tcW w:w="1789" w:type="dxa"/>
            <w:vMerge w:val="continue"/>
            <w:tcMar>
              <w:top w:w="100" w:type="dxa"/>
              <w:left w:w="100" w:type="dxa"/>
              <w:bottom w:w="100" w:type="dxa"/>
              <w:right w:w="100" w:type="dxa"/>
            </w:tcMar>
          </w:tcPr>
          <w:p w14:paraId="6C5CE900">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037" w:type="dxa"/>
            <w:vMerge w:val="continue"/>
            <w:tcMar>
              <w:top w:w="100" w:type="dxa"/>
              <w:left w:w="100" w:type="dxa"/>
              <w:bottom w:w="100" w:type="dxa"/>
              <w:right w:w="100" w:type="dxa"/>
            </w:tcMar>
          </w:tcPr>
          <w:p w14:paraId="1F97483D">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5087BEC7">
        <w:tblPrEx>
          <w:tblCellMar>
            <w:top w:w="15" w:type="dxa"/>
            <w:left w:w="15" w:type="dxa"/>
            <w:bottom w:w="15" w:type="dxa"/>
            <w:right w:w="15" w:type="dxa"/>
          </w:tblCellMar>
        </w:tblPrEx>
        <w:trPr>
          <w:trHeight w:val="740" w:hRule="atLeast"/>
        </w:trPr>
        <w:tc>
          <w:tcPr>
            <w:tcW w:w="8503" w:type="dxa"/>
            <w:gridSpan w:val="5"/>
            <w:tcMar>
              <w:top w:w="100" w:type="dxa"/>
              <w:left w:w="100" w:type="dxa"/>
              <w:bottom w:w="100" w:type="dxa"/>
              <w:right w:w="100" w:type="dxa"/>
            </w:tcMar>
          </w:tcPr>
          <w:p w14:paraId="11D4A7B3">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Has your jaw (mouth) ever locked or hesitated, even for a moment, so that you could not open it all the way?</w:t>
            </w:r>
          </w:p>
        </w:tc>
      </w:tr>
      <w:tr w14:paraId="00006CE1">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1525E1B5">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No</w:t>
            </w:r>
          </w:p>
        </w:tc>
        <w:tc>
          <w:tcPr>
            <w:tcW w:w="1821" w:type="dxa"/>
            <w:tcMar>
              <w:top w:w="100" w:type="dxa"/>
              <w:left w:w="100" w:type="dxa"/>
              <w:bottom w:w="100" w:type="dxa"/>
              <w:right w:w="100" w:type="dxa"/>
            </w:tcMar>
          </w:tcPr>
          <w:p w14:paraId="04AD63E3">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57(67.1)</w:t>
            </w:r>
          </w:p>
        </w:tc>
        <w:tc>
          <w:tcPr>
            <w:tcW w:w="1821" w:type="dxa"/>
            <w:tcMar>
              <w:top w:w="100" w:type="dxa"/>
              <w:left w:w="100" w:type="dxa"/>
              <w:bottom w:w="100" w:type="dxa"/>
              <w:right w:w="100" w:type="dxa"/>
            </w:tcMar>
          </w:tcPr>
          <w:p w14:paraId="5A5EB246">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50(58.8)</w:t>
            </w:r>
          </w:p>
        </w:tc>
        <w:tc>
          <w:tcPr>
            <w:tcW w:w="1789" w:type="dxa"/>
            <w:vMerge w:val="restart"/>
            <w:tcMar>
              <w:top w:w="100" w:type="dxa"/>
              <w:left w:w="100" w:type="dxa"/>
              <w:bottom w:w="100" w:type="dxa"/>
              <w:right w:w="100" w:type="dxa"/>
            </w:tcMar>
          </w:tcPr>
          <w:p w14:paraId="7BBBA2F2">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0.3407</w:t>
            </w:r>
          </w:p>
        </w:tc>
        <w:tc>
          <w:tcPr>
            <w:tcW w:w="2037" w:type="dxa"/>
            <w:vMerge w:val="restart"/>
            <w:tcMar>
              <w:top w:w="100" w:type="dxa"/>
              <w:left w:w="100" w:type="dxa"/>
              <w:bottom w:w="100" w:type="dxa"/>
              <w:right w:w="100" w:type="dxa"/>
            </w:tcMar>
          </w:tcPr>
          <w:p w14:paraId="161918ED">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0.7018</w:t>
            </w:r>
          </w:p>
        </w:tc>
      </w:tr>
      <w:tr w14:paraId="18E47E9A">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0691D8D3">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Yes</w:t>
            </w:r>
          </w:p>
        </w:tc>
        <w:tc>
          <w:tcPr>
            <w:tcW w:w="1821" w:type="dxa"/>
            <w:tcMar>
              <w:top w:w="100" w:type="dxa"/>
              <w:left w:w="100" w:type="dxa"/>
              <w:bottom w:w="100" w:type="dxa"/>
              <w:right w:w="100" w:type="dxa"/>
            </w:tcMar>
          </w:tcPr>
          <w:p w14:paraId="2848A4A4">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28(32.9)</w:t>
            </w:r>
          </w:p>
        </w:tc>
        <w:tc>
          <w:tcPr>
            <w:tcW w:w="1821" w:type="dxa"/>
            <w:tcMar>
              <w:top w:w="100" w:type="dxa"/>
              <w:left w:w="100" w:type="dxa"/>
              <w:bottom w:w="100" w:type="dxa"/>
              <w:right w:w="100" w:type="dxa"/>
            </w:tcMar>
          </w:tcPr>
          <w:p w14:paraId="3D4202EF">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35(41.2)</w:t>
            </w:r>
          </w:p>
        </w:tc>
        <w:tc>
          <w:tcPr>
            <w:tcW w:w="1789" w:type="dxa"/>
            <w:vMerge w:val="continue"/>
            <w:tcMar>
              <w:top w:w="100" w:type="dxa"/>
              <w:left w:w="100" w:type="dxa"/>
              <w:bottom w:w="100" w:type="dxa"/>
              <w:right w:w="100" w:type="dxa"/>
            </w:tcMar>
          </w:tcPr>
          <w:p w14:paraId="55A72FE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037" w:type="dxa"/>
            <w:vMerge w:val="continue"/>
            <w:tcMar>
              <w:top w:w="100" w:type="dxa"/>
              <w:left w:w="100" w:type="dxa"/>
              <w:bottom w:w="100" w:type="dxa"/>
              <w:right w:w="100" w:type="dxa"/>
            </w:tcMar>
          </w:tcPr>
          <w:p w14:paraId="55062B6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r w14:paraId="7707D24A">
        <w:tblPrEx>
          <w:tblCellMar>
            <w:top w:w="15" w:type="dxa"/>
            <w:left w:w="15" w:type="dxa"/>
            <w:bottom w:w="15" w:type="dxa"/>
            <w:right w:w="15" w:type="dxa"/>
          </w:tblCellMar>
        </w:tblPrEx>
        <w:trPr>
          <w:trHeight w:val="740" w:hRule="atLeast"/>
        </w:trPr>
        <w:tc>
          <w:tcPr>
            <w:tcW w:w="8503" w:type="dxa"/>
            <w:gridSpan w:val="5"/>
            <w:tcMar>
              <w:top w:w="100" w:type="dxa"/>
              <w:left w:w="100" w:type="dxa"/>
              <w:bottom w:w="100" w:type="dxa"/>
              <w:right w:w="100" w:type="dxa"/>
            </w:tcMar>
          </w:tcPr>
          <w:p w14:paraId="6B02B1F3">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In the past 30 days, when you have opened your mouth wide, has it stuck or hesitated even for a moment, so that you could not close it from this wide opening position?</w:t>
            </w:r>
          </w:p>
        </w:tc>
      </w:tr>
      <w:tr w14:paraId="5AA1AEFB">
        <w:tblPrEx>
          <w:tblCellMar>
            <w:top w:w="15" w:type="dxa"/>
            <w:left w:w="15" w:type="dxa"/>
            <w:bottom w:w="15" w:type="dxa"/>
            <w:right w:w="15" w:type="dxa"/>
          </w:tblCellMar>
        </w:tblPrEx>
        <w:trPr>
          <w:trHeight w:val="650" w:hRule="atLeast"/>
        </w:trPr>
        <w:tc>
          <w:tcPr>
            <w:tcW w:w="1035" w:type="dxa"/>
            <w:tcMar>
              <w:top w:w="100" w:type="dxa"/>
              <w:left w:w="100" w:type="dxa"/>
              <w:bottom w:w="100" w:type="dxa"/>
              <w:right w:w="100" w:type="dxa"/>
            </w:tcMar>
          </w:tcPr>
          <w:p w14:paraId="541070C1">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No</w:t>
            </w:r>
          </w:p>
        </w:tc>
        <w:tc>
          <w:tcPr>
            <w:tcW w:w="1821" w:type="dxa"/>
            <w:tcMar>
              <w:top w:w="100" w:type="dxa"/>
              <w:left w:w="100" w:type="dxa"/>
              <w:bottom w:w="100" w:type="dxa"/>
              <w:right w:w="100" w:type="dxa"/>
            </w:tcMar>
          </w:tcPr>
          <w:p w14:paraId="50278B6D">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76(89.4)</w:t>
            </w:r>
          </w:p>
        </w:tc>
        <w:tc>
          <w:tcPr>
            <w:tcW w:w="1821" w:type="dxa"/>
            <w:tcMar>
              <w:top w:w="100" w:type="dxa"/>
              <w:left w:w="100" w:type="dxa"/>
              <w:bottom w:w="100" w:type="dxa"/>
              <w:right w:w="100" w:type="dxa"/>
            </w:tcMar>
          </w:tcPr>
          <w:p w14:paraId="7CD949C8">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71(83.5)</w:t>
            </w:r>
          </w:p>
        </w:tc>
        <w:tc>
          <w:tcPr>
            <w:tcW w:w="1789" w:type="dxa"/>
            <w:vMerge w:val="restart"/>
            <w:tcBorders>
              <w:bottom w:val="single" w:color="000000" w:sz="8" w:space="0"/>
            </w:tcBorders>
            <w:tcMar>
              <w:top w:w="100" w:type="dxa"/>
              <w:left w:w="100" w:type="dxa"/>
              <w:bottom w:w="100" w:type="dxa"/>
              <w:right w:w="100" w:type="dxa"/>
            </w:tcMar>
          </w:tcPr>
          <w:p w14:paraId="7696DB3B">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0.3701</w:t>
            </w:r>
          </w:p>
        </w:tc>
        <w:tc>
          <w:tcPr>
            <w:tcW w:w="2037" w:type="dxa"/>
            <w:vMerge w:val="restart"/>
            <w:tcBorders>
              <w:bottom w:val="single" w:color="000000" w:sz="8" w:space="0"/>
            </w:tcBorders>
            <w:tcMar>
              <w:top w:w="100" w:type="dxa"/>
              <w:left w:w="100" w:type="dxa"/>
              <w:bottom w:w="100" w:type="dxa"/>
              <w:right w:w="100" w:type="dxa"/>
            </w:tcMar>
          </w:tcPr>
          <w:p w14:paraId="5D328960">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0.6006</w:t>
            </w:r>
          </w:p>
        </w:tc>
      </w:tr>
      <w:tr w14:paraId="64FA5602">
        <w:tblPrEx>
          <w:tblCellMar>
            <w:top w:w="15" w:type="dxa"/>
            <w:left w:w="15" w:type="dxa"/>
            <w:bottom w:w="15" w:type="dxa"/>
            <w:right w:w="15" w:type="dxa"/>
          </w:tblCellMar>
        </w:tblPrEx>
        <w:trPr>
          <w:trHeight w:val="650" w:hRule="atLeast"/>
        </w:trPr>
        <w:tc>
          <w:tcPr>
            <w:tcW w:w="1035" w:type="dxa"/>
            <w:tcBorders>
              <w:bottom w:val="single" w:color="000000" w:sz="8" w:space="0"/>
            </w:tcBorders>
            <w:tcMar>
              <w:top w:w="100" w:type="dxa"/>
              <w:left w:w="100" w:type="dxa"/>
              <w:bottom w:w="100" w:type="dxa"/>
              <w:right w:w="100" w:type="dxa"/>
            </w:tcMar>
          </w:tcPr>
          <w:p w14:paraId="06D741A8">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Yes</w:t>
            </w:r>
          </w:p>
        </w:tc>
        <w:tc>
          <w:tcPr>
            <w:tcW w:w="1821" w:type="dxa"/>
            <w:tcBorders>
              <w:bottom w:val="single" w:color="000000" w:sz="8" w:space="0"/>
            </w:tcBorders>
            <w:tcMar>
              <w:top w:w="100" w:type="dxa"/>
              <w:left w:w="100" w:type="dxa"/>
              <w:bottom w:w="100" w:type="dxa"/>
              <w:right w:w="100" w:type="dxa"/>
            </w:tcMar>
          </w:tcPr>
          <w:p w14:paraId="1D5266D6">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9(10.6)</w:t>
            </w:r>
          </w:p>
        </w:tc>
        <w:tc>
          <w:tcPr>
            <w:tcW w:w="1821" w:type="dxa"/>
            <w:tcBorders>
              <w:bottom w:val="single" w:color="000000" w:sz="8" w:space="0"/>
            </w:tcBorders>
            <w:tcMar>
              <w:top w:w="100" w:type="dxa"/>
              <w:left w:w="100" w:type="dxa"/>
              <w:bottom w:w="100" w:type="dxa"/>
              <w:right w:w="100" w:type="dxa"/>
            </w:tcMar>
          </w:tcPr>
          <w:p w14:paraId="3CB5487D">
            <w:pPr>
              <w:spacing w:after="0" w:line="240" w:lineRule="auto"/>
              <w:jc w:val="center"/>
              <w:rPr>
                <w:rFonts w:ascii="Times New Roman" w:hAnsi="Times New Roman" w:eastAsia="Times New Roman" w:cs="Times New Roman"/>
                <w:sz w:val="24"/>
                <w:szCs w:val="24"/>
              </w:rPr>
            </w:pPr>
            <w:r>
              <w:rPr>
                <w:rFonts w:ascii="Arial" w:hAnsi="Arial" w:eastAsia="Arial" w:cs="Arial"/>
                <w:color w:val="000000"/>
                <w:sz w:val="24"/>
                <w:szCs w:val="24"/>
              </w:rPr>
              <w:t>14(16.5)</w:t>
            </w:r>
          </w:p>
        </w:tc>
        <w:tc>
          <w:tcPr>
            <w:tcW w:w="1789" w:type="dxa"/>
            <w:vMerge w:val="continue"/>
            <w:tcBorders>
              <w:bottom w:val="single" w:color="000000" w:sz="8" w:space="0"/>
            </w:tcBorders>
            <w:tcMar>
              <w:top w:w="100" w:type="dxa"/>
              <w:left w:w="100" w:type="dxa"/>
              <w:bottom w:w="100" w:type="dxa"/>
              <w:right w:w="100" w:type="dxa"/>
            </w:tcMar>
          </w:tcPr>
          <w:p w14:paraId="35CB6567">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c>
          <w:tcPr>
            <w:tcW w:w="2037" w:type="dxa"/>
            <w:vMerge w:val="continue"/>
            <w:tcBorders>
              <w:bottom w:val="single" w:color="000000" w:sz="8" w:space="0"/>
            </w:tcBorders>
            <w:tcMar>
              <w:top w:w="100" w:type="dxa"/>
              <w:left w:w="100" w:type="dxa"/>
              <w:bottom w:w="100" w:type="dxa"/>
              <w:right w:w="100" w:type="dxa"/>
            </w:tcMar>
          </w:tcPr>
          <w:p w14:paraId="2233029E">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Times New Roman" w:hAnsi="Times New Roman" w:eastAsia="Times New Roman" w:cs="Times New Roman"/>
                <w:sz w:val="24"/>
                <w:szCs w:val="24"/>
              </w:rPr>
            </w:pPr>
          </w:p>
        </w:tc>
      </w:tr>
    </w:tbl>
    <w:p w14:paraId="4CDDBF97">
      <w:pPr>
        <w:spacing w:after="240" w:line="240" w:lineRule="auto"/>
        <w:rPr>
          <w:rFonts w:ascii="Times New Roman" w:hAnsi="Times New Roman" w:eastAsia="Times New Roman" w:cs="Times New Roman"/>
          <w:sz w:val="24"/>
          <w:szCs w:val="24"/>
        </w:rPr>
      </w:pPr>
      <w:r>
        <w:rPr>
          <w:rFonts w:ascii="Arial" w:hAnsi="Arial" w:eastAsia="Arial" w:cs="Arial"/>
          <w:color w:val="000000"/>
          <w:sz w:val="24"/>
          <w:szCs w:val="24"/>
        </w:rPr>
        <w:t>Caption: ¹Fisher's Exact Test, at 5% level; ²OR Adjusted odds ratio, at 5% level.</w:t>
      </w:r>
    </w:p>
    <w:p w14:paraId="7D13D2FB">
      <w:pPr>
        <w:spacing w:line="240" w:lineRule="auto"/>
        <w:ind w:left="-2" w:right="51" w:hanging="2"/>
        <w:jc w:val="center"/>
        <w:rPr>
          <w:rFonts w:ascii="Times New Roman" w:hAnsi="Times New Roman" w:eastAsia="Times New Roman" w:cs="Times New Roman"/>
          <w:sz w:val="24"/>
          <w:szCs w:val="24"/>
        </w:rPr>
      </w:pPr>
    </w:p>
    <w:p w14:paraId="771DEE5D">
      <w:pPr>
        <w:spacing w:line="240" w:lineRule="auto"/>
        <w:ind w:left="-2" w:right="51" w:hanging="2"/>
        <w:rPr>
          <w:rFonts w:ascii="Times New Roman" w:hAnsi="Times New Roman" w:eastAsia="Times New Roman" w:cs="Times New Roman"/>
          <w:sz w:val="24"/>
          <w:szCs w:val="24"/>
        </w:rPr>
      </w:pPr>
      <w:r>
        <w:rPr>
          <w:rFonts w:ascii="Arial" w:hAnsi="Arial" w:eastAsia="Arial" w:cs="Arial"/>
          <w:color w:val="000000"/>
          <w:sz w:val="24"/>
          <w:szCs w:val="24"/>
        </w:rPr>
        <w:t>Table 5 – Participants stratified by course and symptomatology for TMD.</w:t>
      </w:r>
    </w:p>
    <w:tbl>
      <w:tblPr>
        <w:tblStyle w:val="36"/>
        <w:tblW w:w="8489" w:type="dxa"/>
        <w:tblInd w:w="-20" w:type="dxa"/>
        <w:tblLayout w:type="fixed"/>
        <w:tblCellMar>
          <w:top w:w="15" w:type="dxa"/>
          <w:left w:w="15" w:type="dxa"/>
          <w:bottom w:w="15" w:type="dxa"/>
          <w:right w:w="15" w:type="dxa"/>
        </w:tblCellMar>
      </w:tblPr>
      <w:tblGrid>
        <w:gridCol w:w="1832"/>
        <w:gridCol w:w="1591"/>
        <w:gridCol w:w="1591"/>
        <w:gridCol w:w="1750"/>
        <w:gridCol w:w="1725"/>
      </w:tblGrid>
      <w:tr w14:paraId="6FD20D6A">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15F58693">
            <w:pPr>
              <w:spacing w:after="0" w:line="240" w:lineRule="auto"/>
              <w:rPr>
                <w:rFonts w:ascii="Times New Roman" w:hAnsi="Times New Roman" w:eastAsia="Times New Roman" w:cs="Times New Roman"/>
                <w:sz w:val="24"/>
                <w:szCs w:val="24"/>
              </w:rPr>
            </w:pP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372355A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Symptomatic</w:t>
            </w:r>
          </w:p>
          <w:p w14:paraId="3234AD26">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G1</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2504AA19">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Symptomatic</w:t>
            </w:r>
          </w:p>
          <w:p w14:paraId="2D5E5755">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G2</w:t>
            </w:r>
          </w:p>
        </w:tc>
        <w:tc>
          <w:tcPr>
            <w:tcW w:w="1750" w:type="dxa"/>
            <w:tcBorders>
              <w:top w:val="single" w:color="000000" w:sz="4" w:space="0"/>
              <w:left w:val="single" w:color="000000" w:sz="8"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4E662059">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Asymptomatic</w:t>
            </w:r>
            <w:r>
              <w:rPr>
                <w:rFonts w:ascii="Arial" w:hAnsi="Arial" w:eastAsia="Arial" w:cs="Arial"/>
                <w:b/>
                <w:color w:val="000000"/>
                <w:sz w:val="24"/>
                <w:szCs w:val="24"/>
              </w:rPr>
              <w:br w:type="textWrapping"/>
            </w:r>
            <w:r>
              <w:rPr>
                <w:rFonts w:ascii="Arial" w:hAnsi="Arial" w:eastAsia="Arial" w:cs="Arial"/>
                <w:b/>
                <w:color w:val="000000"/>
                <w:sz w:val="24"/>
                <w:szCs w:val="24"/>
              </w:rPr>
              <w:t>G1</w:t>
            </w:r>
          </w:p>
        </w:tc>
        <w:tc>
          <w:tcPr>
            <w:tcW w:w="1725"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3E07AD96">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Asymptomatic</w:t>
            </w:r>
          </w:p>
          <w:p w14:paraId="797E89C0">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G2</w:t>
            </w:r>
          </w:p>
        </w:tc>
      </w:tr>
      <w:tr w14:paraId="15497CF4">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14:paraId="174CF0A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Business</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D57A58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 (20.0%)</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2DA3AA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 (50.0%)</w:t>
            </w:r>
          </w:p>
        </w:tc>
        <w:tc>
          <w:tcPr>
            <w:tcW w:w="1750"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1CFDA1F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(10.0%)</w:t>
            </w:r>
          </w:p>
        </w:tc>
        <w:tc>
          <w:tcPr>
            <w:tcW w:w="17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31C7FC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 (20.0%)</w:t>
            </w:r>
          </w:p>
        </w:tc>
      </w:tr>
      <w:tr w14:paraId="2A15B8A1">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1601C82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Biology</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374DBFD1">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3 (33.3%)</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5138292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 (55.6%)</w:t>
            </w:r>
          </w:p>
        </w:tc>
        <w:tc>
          <w:tcPr>
            <w:tcW w:w="1750" w:type="dxa"/>
            <w:tcBorders>
              <w:top w:val="single" w:color="000000" w:sz="4" w:space="0"/>
              <w:left w:val="single" w:color="000000" w:sz="8"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35CF34F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c>
          <w:tcPr>
            <w:tcW w:w="1725"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7DCFBC3D">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(11.1%)</w:t>
            </w:r>
          </w:p>
        </w:tc>
      </w:tr>
      <w:tr w14:paraId="55F85139">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14:paraId="3C12CB4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Biomedicine</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ABEFFF9">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4 (28.6%)</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B624759">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7 (50.0%)</w:t>
            </w:r>
          </w:p>
        </w:tc>
        <w:tc>
          <w:tcPr>
            <w:tcW w:w="1750"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08A0B435">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c>
          <w:tcPr>
            <w:tcW w:w="17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C246B99">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3 (21.4%)</w:t>
            </w:r>
          </w:p>
        </w:tc>
      </w:tr>
      <w:tr w14:paraId="5786F2BC">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5928F3E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Accounting Sciences</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569EE4E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3 (30.0%)</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7C598C68">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 (50.0%)</w:t>
            </w:r>
          </w:p>
        </w:tc>
        <w:tc>
          <w:tcPr>
            <w:tcW w:w="1750" w:type="dxa"/>
            <w:tcBorders>
              <w:top w:val="single" w:color="000000" w:sz="4" w:space="0"/>
              <w:left w:val="single" w:color="000000" w:sz="8"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22C1FB4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(10.0%)</w:t>
            </w:r>
          </w:p>
        </w:tc>
        <w:tc>
          <w:tcPr>
            <w:tcW w:w="1725"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767725B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(10.0%)</w:t>
            </w:r>
          </w:p>
        </w:tc>
      </w:tr>
      <w:tr w14:paraId="41E05DCE">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14:paraId="7BC2C603">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Economy</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FD0C7D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33CB11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 (66.7%)</w:t>
            </w:r>
          </w:p>
        </w:tc>
        <w:tc>
          <w:tcPr>
            <w:tcW w:w="1750"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7D748AD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c>
          <w:tcPr>
            <w:tcW w:w="17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3C9E7FD">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(33.3%)</w:t>
            </w:r>
          </w:p>
        </w:tc>
      </w:tr>
      <w:tr w14:paraId="1BA23276">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2968BAB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Fishing Engineering</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4B41179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(14.3%)</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1A89D79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 (71.4%)</w:t>
            </w:r>
          </w:p>
        </w:tc>
        <w:tc>
          <w:tcPr>
            <w:tcW w:w="1750" w:type="dxa"/>
            <w:tcBorders>
              <w:top w:val="single" w:color="000000" w:sz="4" w:space="0"/>
              <w:left w:val="single" w:color="000000" w:sz="8"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1DFD8AD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c>
          <w:tcPr>
            <w:tcW w:w="1725"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36906691">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(14.3%)</w:t>
            </w:r>
          </w:p>
        </w:tc>
      </w:tr>
      <w:tr w14:paraId="15F87D7F">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14:paraId="632FC343">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Physiotherapy</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FB72239">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10 (43.5%)</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6D52C0B">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 xml:space="preserve"> 13 (56.5%)</w:t>
            </w:r>
          </w:p>
        </w:tc>
        <w:tc>
          <w:tcPr>
            <w:tcW w:w="1750"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6587DED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c>
          <w:tcPr>
            <w:tcW w:w="17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2155CC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r>
      <w:tr w14:paraId="163D3F4C">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1458494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Mathematics</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0DAFF76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4 (36.4%)</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48325FA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 (45.5%)</w:t>
            </w:r>
          </w:p>
        </w:tc>
        <w:tc>
          <w:tcPr>
            <w:tcW w:w="1750" w:type="dxa"/>
            <w:tcBorders>
              <w:top w:val="single" w:color="000000" w:sz="4" w:space="0"/>
              <w:left w:val="single" w:color="000000" w:sz="8"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7E6955A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(9.1%)</w:t>
            </w:r>
          </w:p>
        </w:tc>
        <w:tc>
          <w:tcPr>
            <w:tcW w:w="1725"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69807BBC">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(9.1%)</w:t>
            </w:r>
          </w:p>
        </w:tc>
      </w:tr>
      <w:tr w14:paraId="11BD151C">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14:paraId="13A304B7">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Medicine</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0BDA6A6">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11 (68.8%)</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978875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3 (18.8%)</w:t>
            </w:r>
          </w:p>
        </w:tc>
        <w:tc>
          <w:tcPr>
            <w:tcW w:w="1750"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3BD43C78">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 (12.5%)</w:t>
            </w:r>
          </w:p>
        </w:tc>
        <w:tc>
          <w:tcPr>
            <w:tcW w:w="17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74F92F0">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r>
      <w:tr w14:paraId="4902E105">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2EFA553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Pedagogy</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12D70DAF">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 (38.5%)</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31A406FD">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 (38.5%)</w:t>
            </w:r>
          </w:p>
        </w:tc>
        <w:tc>
          <w:tcPr>
            <w:tcW w:w="1750" w:type="dxa"/>
            <w:tcBorders>
              <w:top w:val="single" w:color="000000" w:sz="4" w:space="0"/>
              <w:left w:val="single" w:color="000000" w:sz="8"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65A781F3">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c>
          <w:tcPr>
            <w:tcW w:w="1725"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7CB93FF8">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3 (23.1%)</w:t>
            </w:r>
          </w:p>
        </w:tc>
      </w:tr>
      <w:tr w14:paraId="35AEA9EA">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14:paraId="684012F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Psychology</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A09A604">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28 (62.2%)</w:t>
            </w:r>
          </w:p>
        </w:tc>
        <w:tc>
          <w:tcPr>
            <w:tcW w:w="159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07E2A4C">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12 (26.7%)</w:t>
            </w:r>
          </w:p>
        </w:tc>
        <w:tc>
          <w:tcPr>
            <w:tcW w:w="1750" w:type="dxa"/>
            <w:tcBorders>
              <w:top w:val="single" w:color="000000" w:sz="4" w:space="0"/>
              <w:left w:val="single" w:color="000000" w:sz="8" w:space="0"/>
              <w:bottom w:val="single" w:color="000000" w:sz="4" w:space="0"/>
              <w:right w:val="single" w:color="000000" w:sz="8" w:space="0"/>
            </w:tcBorders>
            <w:tcMar>
              <w:top w:w="0" w:type="dxa"/>
              <w:left w:w="108" w:type="dxa"/>
              <w:bottom w:w="0" w:type="dxa"/>
              <w:right w:w="108" w:type="dxa"/>
            </w:tcMar>
            <w:vAlign w:val="center"/>
          </w:tcPr>
          <w:p w14:paraId="7B95A37E">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4 (8,9%)</w:t>
            </w:r>
          </w:p>
        </w:tc>
        <w:tc>
          <w:tcPr>
            <w:tcW w:w="172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1A3D25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1 (2.2%)</w:t>
            </w:r>
          </w:p>
        </w:tc>
      </w:tr>
      <w:tr w14:paraId="27291741">
        <w:tblPrEx>
          <w:tblCellMar>
            <w:top w:w="15" w:type="dxa"/>
            <w:left w:w="15" w:type="dxa"/>
            <w:bottom w:w="15" w:type="dxa"/>
            <w:right w:w="15" w:type="dxa"/>
          </w:tblCellMar>
        </w:tblPrEx>
        <w:trPr>
          <w:trHeight w:val="510" w:hRule="atLeast"/>
        </w:trPr>
        <w:tc>
          <w:tcPr>
            <w:tcW w:w="1832" w:type="dxa"/>
            <w:tcBorders>
              <w:top w:val="single" w:color="000000" w:sz="4" w:space="0"/>
              <w:left w:val="single" w:color="000000" w:sz="4"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3930EFD3">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b/>
                <w:color w:val="000000"/>
                <w:sz w:val="24"/>
                <w:szCs w:val="24"/>
              </w:rPr>
              <w:t>Tourism</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4CDD1942">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5 (55.6%)</w:t>
            </w:r>
          </w:p>
        </w:tc>
        <w:tc>
          <w:tcPr>
            <w:tcW w:w="1591"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0DBC1FAC">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 (22.2%)</w:t>
            </w:r>
          </w:p>
        </w:tc>
        <w:tc>
          <w:tcPr>
            <w:tcW w:w="1750" w:type="dxa"/>
            <w:tcBorders>
              <w:top w:val="single" w:color="000000" w:sz="4" w:space="0"/>
              <w:left w:val="single" w:color="000000" w:sz="8" w:space="0"/>
              <w:bottom w:val="single" w:color="000000" w:sz="4" w:space="0"/>
              <w:right w:val="single" w:color="000000" w:sz="8" w:space="0"/>
            </w:tcBorders>
            <w:shd w:val="clear" w:color="auto" w:fill="D9D9D9"/>
            <w:tcMar>
              <w:top w:w="0" w:type="dxa"/>
              <w:left w:w="108" w:type="dxa"/>
              <w:bottom w:w="0" w:type="dxa"/>
              <w:right w:w="108" w:type="dxa"/>
            </w:tcMar>
            <w:vAlign w:val="center"/>
          </w:tcPr>
          <w:p w14:paraId="2DD3B56A">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0 (0.0%)</w:t>
            </w:r>
          </w:p>
        </w:tc>
        <w:tc>
          <w:tcPr>
            <w:tcW w:w="1725" w:type="dxa"/>
            <w:tcBorders>
              <w:top w:val="single" w:color="000000" w:sz="8" w:space="0"/>
              <w:left w:val="single" w:color="000000" w:sz="8" w:space="0"/>
              <w:bottom w:val="single" w:color="000000" w:sz="8" w:space="0"/>
              <w:right w:val="single" w:color="000000" w:sz="8" w:space="0"/>
            </w:tcBorders>
            <w:shd w:val="clear" w:color="auto" w:fill="D9D9D9"/>
            <w:tcMar>
              <w:top w:w="100" w:type="dxa"/>
              <w:left w:w="100" w:type="dxa"/>
              <w:bottom w:w="100" w:type="dxa"/>
              <w:right w:w="100" w:type="dxa"/>
            </w:tcMar>
          </w:tcPr>
          <w:p w14:paraId="108658F4">
            <w:pPr>
              <w:spacing w:after="0" w:line="240" w:lineRule="auto"/>
              <w:ind w:left="-2" w:hanging="2"/>
              <w:jc w:val="center"/>
              <w:rPr>
                <w:rFonts w:ascii="Times New Roman" w:hAnsi="Times New Roman" w:eastAsia="Times New Roman" w:cs="Times New Roman"/>
                <w:sz w:val="24"/>
                <w:szCs w:val="24"/>
              </w:rPr>
            </w:pPr>
            <w:r>
              <w:rPr>
                <w:rFonts w:ascii="Arial" w:hAnsi="Arial" w:eastAsia="Arial" w:cs="Arial"/>
                <w:color w:val="000000"/>
                <w:sz w:val="24"/>
                <w:szCs w:val="24"/>
              </w:rPr>
              <w:t>2 (22.2%)</w:t>
            </w:r>
          </w:p>
        </w:tc>
      </w:tr>
    </w:tbl>
    <w:p w14:paraId="1C7667A7">
      <w:pPr>
        <w:spacing w:after="0" w:line="240" w:lineRule="auto"/>
        <w:rPr>
          <w:rFonts w:ascii="Times New Roman" w:hAnsi="Times New Roman" w:eastAsia="Times New Roman" w:cs="Times New Roman"/>
          <w:sz w:val="24"/>
          <w:szCs w:val="24"/>
        </w:rPr>
      </w:pPr>
    </w:p>
    <w:p w14:paraId="7D14745E">
      <w:pPr>
        <w:rPr>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1A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64E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E29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9A43">
    <w:r>
      <w:pict>
        <v:shape id="PowerPlusWaterMarkObject1641565736" o:spid="_x0000_s2051" o:spt="136" type="#_x0000_t136" style="position:absolute;left:0pt;height:94.65pt;width:504.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D670">
    <w:pPr>
      <w:pStyle w:val="15"/>
    </w:pPr>
    <w:r>
      <w:pict>
        <v:shape id="PowerPlusWaterMarkObject1641565735" o:spid="_x0000_s2050" o:spt="136" type="#_x0000_t136" style="position:absolute;left:0pt;height:94.65pt;width:504.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307F">
    <w:pPr>
      <w:pStyle w:val="15"/>
    </w:pPr>
    <w:r>
      <w:pict>
        <v:shape id="PowerPlusWaterMarkObject1641565734" o:spid="_x0000_s2049" o:spt="136" type="#_x0000_t136" style="position:absolute;left:0pt;height:94.65pt;width:504.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8059F"/>
    <w:multiLevelType w:val="multilevel"/>
    <w:tmpl w:val="1388059F"/>
    <w:lvl w:ilvl="0" w:tentative="0">
      <w:start w:val="1"/>
      <w:numFmt w:val="bullet"/>
      <w:lvlText w:val="●"/>
      <w:lvlJc w:val="left"/>
      <w:pPr>
        <w:ind w:left="716" w:hanging="360"/>
      </w:pPr>
      <w:rPr>
        <w:rFonts w:ascii="Noto Sans Symbols" w:hAnsi="Noto Sans Symbols" w:eastAsia="Noto Sans Symbols" w:cs="Noto Sans Symbols"/>
      </w:rPr>
    </w:lvl>
    <w:lvl w:ilvl="1" w:tentative="0">
      <w:start w:val="1"/>
      <w:numFmt w:val="bullet"/>
      <w:lvlText w:val="o"/>
      <w:lvlJc w:val="left"/>
      <w:pPr>
        <w:ind w:left="1436" w:hanging="360"/>
      </w:pPr>
      <w:rPr>
        <w:rFonts w:ascii="Courier New" w:hAnsi="Courier New" w:eastAsia="Courier New" w:cs="Courier New"/>
      </w:rPr>
    </w:lvl>
    <w:lvl w:ilvl="2" w:tentative="0">
      <w:start w:val="1"/>
      <w:numFmt w:val="bullet"/>
      <w:lvlText w:val="▪"/>
      <w:lvlJc w:val="left"/>
      <w:pPr>
        <w:ind w:left="2156" w:hanging="360"/>
      </w:pPr>
      <w:rPr>
        <w:rFonts w:ascii="Noto Sans Symbols" w:hAnsi="Noto Sans Symbols" w:eastAsia="Noto Sans Symbols" w:cs="Noto Sans Symbols"/>
      </w:rPr>
    </w:lvl>
    <w:lvl w:ilvl="3" w:tentative="0">
      <w:start w:val="1"/>
      <w:numFmt w:val="bullet"/>
      <w:lvlText w:val="●"/>
      <w:lvlJc w:val="left"/>
      <w:pPr>
        <w:ind w:left="2876" w:hanging="360"/>
      </w:pPr>
      <w:rPr>
        <w:rFonts w:ascii="Noto Sans Symbols" w:hAnsi="Noto Sans Symbols" w:eastAsia="Noto Sans Symbols" w:cs="Noto Sans Symbols"/>
      </w:rPr>
    </w:lvl>
    <w:lvl w:ilvl="4" w:tentative="0">
      <w:start w:val="1"/>
      <w:numFmt w:val="bullet"/>
      <w:lvlText w:val="o"/>
      <w:lvlJc w:val="left"/>
      <w:pPr>
        <w:ind w:left="3596" w:hanging="360"/>
      </w:pPr>
      <w:rPr>
        <w:rFonts w:ascii="Courier New" w:hAnsi="Courier New" w:eastAsia="Courier New" w:cs="Courier New"/>
      </w:rPr>
    </w:lvl>
    <w:lvl w:ilvl="5" w:tentative="0">
      <w:start w:val="1"/>
      <w:numFmt w:val="bullet"/>
      <w:lvlText w:val="▪"/>
      <w:lvlJc w:val="left"/>
      <w:pPr>
        <w:ind w:left="4316" w:hanging="360"/>
      </w:pPr>
      <w:rPr>
        <w:rFonts w:ascii="Noto Sans Symbols" w:hAnsi="Noto Sans Symbols" w:eastAsia="Noto Sans Symbols" w:cs="Noto Sans Symbols"/>
      </w:rPr>
    </w:lvl>
    <w:lvl w:ilvl="6" w:tentative="0">
      <w:start w:val="1"/>
      <w:numFmt w:val="bullet"/>
      <w:lvlText w:val="●"/>
      <w:lvlJc w:val="left"/>
      <w:pPr>
        <w:ind w:left="5036" w:hanging="360"/>
      </w:pPr>
      <w:rPr>
        <w:rFonts w:ascii="Noto Sans Symbols" w:hAnsi="Noto Sans Symbols" w:eastAsia="Noto Sans Symbols" w:cs="Noto Sans Symbols"/>
      </w:rPr>
    </w:lvl>
    <w:lvl w:ilvl="7" w:tentative="0">
      <w:start w:val="1"/>
      <w:numFmt w:val="bullet"/>
      <w:lvlText w:val="o"/>
      <w:lvlJc w:val="left"/>
      <w:pPr>
        <w:ind w:left="5756" w:hanging="360"/>
      </w:pPr>
      <w:rPr>
        <w:rFonts w:ascii="Courier New" w:hAnsi="Courier New" w:eastAsia="Courier New" w:cs="Courier New"/>
      </w:rPr>
    </w:lvl>
    <w:lvl w:ilvl="8" w:tentative="0">
      <w:start w:val="1"/>
      <w:numFmt w:val="bullet"/>
      <w:lvlText w:val="▪"/>
      <w:lvlJc w:val="left"/>
      <w:pPr>
        <w:ind w:left="6476"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F9"/>
    <w:rsid w:val="002A06F9"/>
    <w:rsid w:val="00320B64"/>
    <w:rsid w:val="0046116F"/>
    <w:rsid w:val="00634CA4"/>
    <w:rsid w:val="007B2D45"/>
    <w:rsid w:val="008144D5"/>
    <w:rsid w:val="00835B03"/>
    <w:rsid w:val="00DD546C"/>
    <w:rsid w:val="00F17798"/>
    <w:rsid w:val="00FE2E73"/>
    <w:rsid w:val="27FF34D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Calibri" w:hAnsi="Calibri" w:eastAsia="Calibri" w:cs="Calibri"/>
      <w:sz w:val="22"/>
      <w:szCs w:val="22"/>
      <w:lang w:val="en-IN"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5"/>
    <w:semiHidden/>
    <w:unhideWhenUsed/>
    <w:qFormat/>
    <w:uiPriority w:val="99"/>
    <w:pPr>
      <w:spacing w:after="0" w:line="240" w:lineRule="auto"/>
    </w:pPr>
    <w:rPr>
      <w:rFonts w:ascii="Segoe UI" w:hAnsi="Segoe UI" w:cs="Segoe UI"/>
      <w:sz w:val="18"/>
      <w:szCs w:val="18"/>
    </w:rPr>
  </w:style>
  <w:style w:type="character" w:styleId="11">
    <w:name w:val="annotation reference"/>
    <w:basedOn w:val="8"/>
    <w:semiHidden/>
    <w:unhideWhenUsed/>
    <w:qFormat/>
    <w:uiPriority w:val="99"/>
    <w:rPr>
      <w:sz w:val="16"/>
      <w:szCs w:val="16"/>
    </w:rPr>
  </w:style>
  <w:style w:type="paragraph" w:styleId="12">
    <w:name w:val="annotation text"/>
    <w:basedOn w:val="1"/>
    <w:link w:val="23"/>
    <w:semiHidden/>
    <w:unhideWhenUsed/>
    <w:qFormat/>
    <w:uiPriority w:val="99"/>
    <w:pPr>
      <w:spacing w:line="240" w:lineRule="auto"/>
    </w:pPr>
    <w:rPr>
      <w:sz w:val="20"/>
      <w:szCs w:val="20"/>
    </w:rPr>
  </w:style>
  <w:style w:type="paragraph" w:styleId="13">
    <w:name w:val="annotation subject"/>
    <w:basedOn w:val="12"/>
    <w:next w:val="12"/>
    <w:link w:val="24"/>
    <w:semiHidden/>
    <w:unhideWhenUsed/>
    <w:qFormat/>
    <w:uiPriority w:val="99"/>
    <w:rPr>
      <w:b/>
      <w:bCs/>
    </w:rPr>
  </w:style>
  <w:style w:type="paragraph" w:styleId="14">
    <w:name w:val="footer"/>
    <w:basedOn w:val="1"/>
    <w:link w:val="38"/>
    <w:unhideWhenUsed/>
    <w:qFormat/>
    <w:uiPriority w:val="99"/>
    <w:pPr>
      <w:tabs>
        <w:tab w:val="center" w:pos="4680"/>
        <w:tab w:val="right" w:pos="9360"/>
      </w:tabs>
      <w:spacing w:after="0" w:line="240" w:lineRule="auto"/>
    </w:pPr>
  </w:style>
  <w:style w:type="paragraph" w:styleId="15">
    <w:name w:val="header"/>
    <w:basedOn w:val="1"/>
    <w:link w:val="37"/>
    <w:unhideWhenUsed/>
    <w:qFormat/>
    <w:uiPriority w:val="99"/>
    <w:pPr>
      <w:tabs>
        <w:tab w:val="center" w:pos="4680"/>
        <w:tab w:val="right" w:pos="9360"/>
      </w:tabs>
      <w:spacing w:after="0" w:line="240" w:lineRule="auto"/>
    </w:pPr>
  </w:style>
  <w:style w:type="character" w:styleId="16">
    <w:name w:val="Hyperlink"/>
    <w:basedOn w:val="8"/>
    <w:unhideWhenUsed/>
    <w:qFormat/>
    <w:uiPriority w:val="99"/>
    <w:rPr>
      <w:color w:val="0563C1" w:themeColor="hyperlink"/>
      <w:u w:val="single"/>
      <w14:textFill>
        <w14:solidFill>
          <w14:schemeClr w14:val="hlink"/>
        </w14:solidFill>
      </w14:textFill>
    </w:rPr>
  </w:style>
  <w:style w:type="paragraph" w:styleId="1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9">
    <w:name w:val="Title"/>
    <w:basedOn w:val="1"/>
    <w:next w:val="1"/>
    <w:qFormat/>
    <w:uiPriority w:val="0"/>
    <w:pPr>
      <w:keepNext/>
      <w:keepLines/>
      <w:spacing w:before="480" w:after="120"/>
    </w:pPr>
    <w:rPr>
      <w:b/>
      <w:sz w:val="72"/>
      <w:szCs w:val="72"/>
    </w:rPr>
  </w:style>
  <w:style w:type="table" w:customStyle="1" w:styleId="20">
    <w:name w:val="TableNormal"/>
    <w:uiPriority w:val="0"/>
    <w:tblPr>
      <w:tblCellMar>
        <w:top w:w="100" w:type="dxa"/>
        <w:left w:w="100" w:type="dxa"/>
        <w:bottom w:w="100" w:type="dxa"/>
        <w:right w:w="100" w:type="dxa"/>
      </w:tblCellMar>
    </w:tblPr>
  </w:style>
  <w:style w:type="table" w:customStyle="1" w:styleId="21">
    <w:name w:val="Table Normal1"/>
    <w:qFormat/>
    <w:uiPriority w:val="0"/>
    <w:tblPr>
      <w:tblCellMar>
        <w:top w:w="0" w:type="dxa"/>
        <w:left w:w="0" w:type="dxa"/>
        <w:bottom w:w="0" w:type="dxa"/>
        <w:right w:w="0" w:type="dxa"/>
      </w:tblCellMar>
    </w:tblPr>
  </w:style>
  <w:style w:type="character" w:customStyle="1" w:styleId="22">
    <w:name w:val="apple-tab-span"/>
    <w:basedOn w:val="8"/>
    <w:qFormat/>
    <w:uiPriority w:val="0"/>
  </w:style>
  <w:style w:type="character" w:customStyle="1" w:styleId="23">
    <w:name w:val="Comment Text Char"/>
    <w:basedOn w:val="8"/>
    <w:link w:val="12"/>
    <w:semiHidden/>
    <w:qFormat/>
    <w:uiPriority w:val="99"/>
    <w:rPr>
      <w:sz w:val="20"/>
      <w:szCs w:val="20"/>
    </w:rPr>
  </w:style>
  <w:style w:type="character" w:customStyle="1" w:styleId="24">
    <w:name w:val="Comment Subject Char"/>
    <w:basedOn w:val="23"/>
    <w:link w:val="13"/>
    <w:semiHidden/>
    <w:qFormat/>
    <w:uiPriority w:val="99"/>
    <w:rPr>
      <w:b/>
      <w:bCs/>
      <w:sz w:val="20"/>
      <w:szCs w:val="20"/>
    </w:rPr>
  </w:style>
  <w:style w:type="character" w:customStyle="1" w:styleId="25">
    <w:name w:val="Balloon Text Char"/>
    <w:basedOn w:val="8"/>
    <w:link w:val="10"/>
    <w:semiHidden/>
    <w:qFormat/>
    <w:uiPriority w:val="99"/>
    <w:rPr>
      <w:rFonts w:ascii="Segoe UI" w:hAnsi="Segoe UI" w:cs="Segoe UI"/>
      <w:sz w:val="18"/>
      <w:szCs w:val="18"/>
    </w:rPr>
  </w:style>
  <w:style w:type="table" w:customStyle="1" w:styleId="26">
    <w:name w:val="_Style 21"/>
    <w:basedOn w:val="21"/>
    <w:qFormat/>
    <w:uiPriority w:val="0"/>
    <w:tblPr>
      <w:tblCellMar>
        <w:top w:w="15" w:type="dxa"/>
        <w:left w:w="15" w:type="dxa"/>
        <w:bottom w:w="15" w:type="dxa"/>
        <w:right w:w="15" w:type="dxa"/>
      </w:tblCellMar>
    </w:tblPr>
  </w:style>
  <w:style w:type="table" w:customStyle="1" w:styleId="27">
    <w:name w:val="_Style 22"/>
    <w:basedOn w:val="21"/>
    <w:qFormat/>
    <w:uiPriority w:val="0"/>
    <w:tblPr>
      <w:tblCellMar>
        <w:top w:w="15" w:type="dxa"/>
        <w:left w:w="15" w:type="dxa"/>
        <w:bottom w:w="15" w:type="dxa"/>
        <w:right w:w="15" w:type="dxa"/>
      </w:tblCellMar>
    </w:tblPr>
  </w:style>
  <w:style w:type="table" w:customStyle="1" w:styleId="28">
    <w:name w:val="_Style 23"/>
    <w:basedOn w:val="21"/>
    <w:qFormat/>
    <w:uiPriority w:val="0"/>
    <w:tblPr>
      <w:tblCellMar>
        <w:top w:w="15" w:type="dxa"/>
        <w:left w:w="15" w:type="dxa"/>
        <w:bottom w:w="15" w:type="dxa"/>
        <w:right w:w="15" w:type="dxa"/>
      </w:tblCellMar>
    </w:tblPr>
  </w:style>
  <w:style w:type="table" w:customStyle="1" w:styleId="29">
    <w:name w:val="_Style 24"/>
    <w:basedOn w:val="21"/>
    <w:qFormat/>
    <w:uiPriority w:val="0"/>
    <w:tblPr>
      <w:tblCellMar>
        <w:top w:w="15" w:type="dxa"/>
        <w:left w:w="15" w:type="dxa"/>
        <w:bottom w:w="15" w:type="dxa"/>
        <w:right w:w="15" w:type="dxa"/>
      </w:tblCellMar>
    </w:tblPr>
  </w:style>
  <w:style w:type="table" w:customStyle="1" w:styleId="30">
    <w:name w:val="_Style 25"/>
    <w:basedOn w:val="21"/>
    <w:qFormat/>
    <w:uiPriority w:val="0"/>
    <w:tblPr>
      <w:tblCellMar>
        <w:top w:w="15" w:type="dxa"/>
        <w:left w:w="15" w:type="dxa"/>
        <w:bottom w:w="15" w:type="dxa"/>
        <w:right w:w="15" w:type="dxa"/>
      </w:tblCellMar>
    </w:tblPr>
  </w:style>
  <w:style w:type="paragraph" w:styleId="31">
    <w:name w:val="List Paragraph"/>
    <w:basedOn w:val="1"/>
    <w:qFormat/>
    <w:uiPriority w:val="34"/>
    <w:pPr>
      <w:ind w:left="720"/>
      <w:contextualSpacing/>
    </w:pPr>
  </w:style>
  <w:style w:type="table" w:customStyle="1" w:styleId="32">
    <w:name w:val="_Style 29"/>
    <w:basedOn w:val="21"/>
    <w:qFormat/>
    <w:uiPriority w:val="0"/>
    <w:tblPr>
      <w:tblCellMar>
        <w:top w:w="15" w:type="dxa"/>
        <w:left w:w="15" w:type="dxa"/>
        <w:bottom w:w="15" w:type="dxa"/>
        <w:right w:w="15" w:type="dxa"/>
      </w:tblCellMar>
    </w:tblPr>
  </w:style>
  <w:style w:type="table" w:customStyle="1" w:styleId="33">
    <w:name w:val="_Style 30"/>
    <w:basedOn w:val="21"/>
    <w:qFormat/>
    <w:uiPriority w:val="0"/>
    <w:tblPr>
      <w:tblCellMar>
        <w:top w:w="15" w:type="dxa"/>
        <w:left w:w="15" w:type="dxa"/>
        <w:bottom w:w="15" w:type="dxa"/>
        <w:right w:w="15" w:type="dxa"/>
      </w:tblCellMar>
    </w:tblPr>
  </w:style>
  <w:style w:type="table" w:customStyle="1" w:styleId="34">
    <w:name w:val="_Style 31"/>
    <w:basedOn w:val="21"/>
    <w:qFormat/>
    <w:uiPriority w:val="0"/>
    <w:tblPr>
      <w:tblCellMar>
        <w:top w:w="15" w:type="dxa"/>
        <w:left w:w="15" w:type="dxa"/>
        <w:bottom w:w="15" w:type="dxa"/>
        <w:right w:w="15" w:type="dxa"/>
      </w:tblCellMar>
    </w:tblPr>
  </w:style>
  <w:style w:type="table" w:customStyle="1" w:styleId="35">
    <w:name w:val="_Style 32"/>
    <w:basedOn w:val="21"/>
    <w:qFormat/>
    <w:uiPriority w:val="0"/>
    <w:tblPr>
      <w:tblCellMar>
        <w:top w:w="15" w:type="dxa"/>
        <w:left w:w="15" w:type="dxa"/>
        <w:bottom w:w="15" w:type="dxa"/>
        <w:right w:w="15" w:type="dxa"/>
      </w:tblCellMar>
    </w:tblPr>
  </w:style>
  <w:style w:type="table" w:customStyle="1" w:styleId="36">
    <w:name w:val="_Style 33"/>
    <w:basedOn w:val="21"/>
    <w:qFormat/>
    <w:uiPriority w:val="0"/>
    <w:tblPr>
      <w:tblCellMar>
        <w:top w:w="15" w:type="dxa"/>
        <w:left w:w="15" w:type="dxa"/>
        <w:bottom w:w="15" w:type="dxa"/>
        <w:right w:w="15" w:type="dxa"/>
      </w:tblCellMar>
    </w:tblPr>
  </w:style>
  <w:style w:type="character" w:customStyle="1" w:styleId="37">
    <w:name w:val="Header Char"/>
    <w:basedOn w:val="8"/>
    <w:link w:val="15"/>
    <w:qFormat/>
    <w:uiPriority w:val="99"/>
  </w:style>
  <w:style w:type="character" w:customStyle="1" w:styleId="38">
    <w:name w:val="Footer Char"/>
    <w:basedOn w:val="8"/>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D23zbchBor6+u59gcgVTlcGEw==">CgMxLjAyDmgueWRyYjRlemF3Z2xlOAByITFBUHdxanhaUjlYRFozTlpQZUNiRy1GYlVQdEhmMUxFaQ==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11</Pages>
  <Words>3541</Words>
  <Characters>20190</Characters>
  <Lines>168</Lines>
  <Paragraphs>47</Paragraphs>
  <TotalTime>12</TotalTime>
  <ScaleCrop>false</ScaleCrop>
  <LinksUpToDate>false</LinksUpToDate>
  <CharactersWithSpaces>23684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2023-04-15T18:25:00Z</dcterms:created>
  <dc:creator>Ariane Melo</dc:creator>
  <cp:lastModifiedBy>consendocdcri2</cp:lastModifiedBy>
  <dcterms:modified xsi:type="dcterms:W3CDTF">2025-10-11T02:51:16Z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7597F5310C1344EEB8F9592F610F7251_12</vt:lpwstr>
  </property>
</Properties>
</file>