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D2B77" w14:textId="11428DA4" w:rsidR="00D63231" w:rsidRDefault="00D63231" w:rsidP="0053674A">
      <w:pPr>
        <w:tabs>
          <w:tab w:val="left" w:pos="2227"/>
        </w:tabs>
        <w:ind w:left="567"/>
        <w:jc w:val="center"/>
        <w:rPr>
          <w:rFonts w:ascii="Times New Roman" w:eastAsia="Times New Roman" w:hAnsi="Times New Roman" w:cs="Times New Roman"/>
          <w:b/>
          <w:bCs/>
          <w:color w:val="000000"/>
          <w:kern w:val="0"/>
          <w:sz w:val="36"/>
          <w:szCs w:val="36"/>
          <w:lang w:eastAsia="en-IN" w:bidi="hi-IN"/>
          <w14:ligatures w14:val="none"/>
        </w:rPr>
      </w:pPr>
      <w:r w:rsidRPr="00D63231">
        <w:rPr>
          <w:rFonts w:ascii="Times New Roman" w:hAnsi="Times New Roman" w:cs="Times New Roman"/>
        </w:rPr>
        <w:t xml:space="preserve">     </w:t>
      </w:r>
      <w:r w:rsidRPr="001D5D9B">
        <w:rPr>
          <w:rFonts w:ascii="Times New Roman" w:eastAsia="Times New Roman" w:hAnsi="Times New Roman" w:cs="Times New Roman"/>
          <w:b/>
          <w:bCs/>
          <w:color w:val="000000"/>
          <w:kern w:val="0"/>
          <w:sz w:val="36"/>
          <w:szCs w:val="36"/>
          <w:lang w:eastAsia="en-IN" w:bidi="hi-IN"/>
          <w14:ligatures w14:val="none"/>
        </w:rPr>
        <w:t>A Review of Own Tax Revenue Receipts of Manipur State</w:t>
      </w:r>
      <w:r w:rsidR="00A10012">
        <w:rPr>
          <w:rFonts w:ascii="Times New Roman" w:eastAsia="Times New Roman" w:hAnsi="Times New Roman" w:cs="Times New Roman"/>
          <w:b/>
          <w:bCs/>
          <w:color w:val="000000"/>
          <w:kern w:val="0"/>
          <w:sz w:val="36"/>
          <w:szCs w:val="36"/>
          <w:lang w:eastAsia="en-IN" w:bidi="hi-IN"/>
          <w14:ligatures w14:val="none"/>
        </w:rPr>
        <w:t xml:space="preserve"> in India</w:t>
      </w:r>
    </w:p>
    <w:p w14:paraId="0197105F" w14:textId="77777777" w:rsidR="00571CBE" w:rsidRDefault="00571CBE" w:rsidP="00D67433">
      <w:pPr>
        <w:spacing w:after="0" w:line="240" w:lineRule="auto"/>
        <w:jc w:val="center"/>
        <w:rPr>
          <w:rFonts w:ascii="Times New Roman" w:eastAsia="Times New Roman" w:hAnsi="Times New Roman" w:cs="Times New Roman"/>
          <w:b/>
          <w:kern w:val="0"/>
          <w:sz w:val="24"/>
          <w:szCs w:val="24"/>
          <w:lang w:val="en-US"/>
          <w14:ligatures w14:val="none"/>
        </w:rPr>
      </w:pPr>
    </w:p>
    <w:p w14:paraId="31C84EAC" w14:textId="77777777" w:rsidR="003245AF" w:rsidRPr="00AD235A" w:rsidRDefault="003245AF" w:rsidP="003245AF">
      <w:pPr>
        <w:spacing w:after="0" w:line="240" w:lineRule="auto"/>
        <w:ind w:left="180" w:hanging="180"/>
        <w:jc w:val="right"/>
        <w:rPr>
          <w:rFonts w:ascii="Times New Roman" w:hAnsi="Times New Roman" w:cs="Times New Roman"/>
          <w:i/>
          <w:iCs/>
          <w:sz w:val="24"/>
          <w:szCs w:val="24"/>
        </w:rPr>
      </w:pPr>
      <w:bookmarkStart w:id="0" w:name="_GoBack"/>
      <w:bookmarkEnd w:id="0"/>
    </w:p>
    <w:p w14:paraId="7D38828A" w14:textId="77777777" w:rsidR="00AD235A" w:rsidRPr="00A10012" w:rsidRDefault="00AD235A" w:rsidP="00A10012">
      <w:pPr>
        <w:spacing w:after="0" w:line="240" w:lineRule="auto"/>
        <w:ind w:left="180" w:hanging="180"/>
        <w:jc w:val="right"/>
        <w:rPr>
          <w:rFonts w:ascii="Times New Roman" w:eastAsia="Times New Roman" w:hAnsi="Times New Roman" w:cs="Times New Roman"/>
          <w:b/>
          <w:bCs/>
          <w:iCs/>
          <w:kern w:val="0"/>
          <w:sz w:val="24"/>
          <w:szCs w:val="24"/>
          <w:lang w:val="en-US"/>
          <w14:ligatures w14:val="none"/>
        </w:rPr>
      </w:pPr>
    </w:p>
    <w:p w14:paraId="60C8C1A7" w14:textId="16490EE8" w:rsidR="00D63231" w:rsidRDefault="00D63231" w:rsidP="0053674A">
      <w:pPr>
        <w:spacing w:after="0" w:line="240" w:lineRule="auto"/>
        <w:ind w:left="180" w:hanging="180"/>
        <w:jc w:val="center"/>
        <w:rPr>
          <w:rFonts w:ascii="Times New Roman" w:eastAsia="Times New Roman" w:hAnsi="Times New Roman" w:cs="Times New Roman"/>
          <w:b/>
          <w:bCs/>
          <w:kern w:val="0"/>
          <w:sz w:val="24"/>
          <w:szCs w:val="24"/>
          <w:lang w:val="en-US"/>
          <w14:ligatures w14:val="none"/>
        </w:rPr>
      </w:pPr>
      <w:r w:rsidRPr="00C638DA">
        <w:rPr>
          <w:rFonts w:ascii="Times New Roman" w:hAnsi="Times New Roman" w:cs="Times New Roman"/>
          <w:b/>
          <w:bCs/>
          <w:i/>
          <w:iCs/>
          <w:sz w:val="28"/>
          <w:szCs w:val="28"/>
        </w:rPr>
        <w:t>Abstract</w:t>
      </w:r>
    </w:p>
    <w:p w14:paraId="4E4EA41F" w14:textId="77777777" w:rsidR="00C41EDD" w:rsidRDefault="00C41EDD" w:rsidP="0053674A">
      <w:pPr>
        <w:spacing w:after="0" w:line="240" w:lineRule="auto"/>
        <w:ind w:left="180" w:hanging="180"/>
        <w:jc w:val="center"/>
        <w:rPr>
          <w:rFonts w:ascii="Times New Roman" w:eastAsia="Times New Roman" w:hAnsi="Times New Roman" w:cs="Times New Roman"/>
          <w:b/>
          <w:bCs/>
          <w:kern w:val="0"/>
          <w:sz w:val="24"/>
          <w:szCs w:val="24"/>
          <w:lang w:val="en-US"/>
          <w14:ligatures w14:val="none"/>
        </w:rPr>
      </w:pPr>
    </w:p>
    <w:p w14:paraId="61B23C89" w14:textId="2C9B8AE2" w:rsidR="00420643" w:rsidRDefault="00C41EDD" w:rsidP="00420643">
      <w:pPr>
        <w:pStyle w:val="NormalWeb"/>
        <w:spacing w:before="0" w:beforeAutospacing="0" w:after="0" w:afterAutospacing="0"/>
        <w:ind w:left="567" w:right="425"/>
        <w:jc w:val="both"/>
        <w:rPr>
          <w:b/>
          <w:bCs/>
          <w:i/>
          <w:iCs/>
          <w:lang w:val="en-US"/>
        </w:rPr>
      </w:pPr>
      <w:r w:rsidRPr="00AA377B">
        <w:rPr>
          <w:i/>
          <w:iCs/>
        </w:rPr>
        <w:t xml:space="preserve">Taxation plays a crucial role in meeting a state’s fiscal needs and ensuring economic stability. Tax buoyancy, which reflects the responsiveness of tax revenue to changes in state income, indicates a tax system's efficiency—where a buoyancy greater than 1 signifies tax revenue growing faster than the economy. This paper analyses the buoyancy and composition of Manipur’s Own Tax Revenue (OTR) using time-series data from 2001–02 to 2021–22 with Ordinary Least Squares (OLS) estimates. Findings show that OTR depends heavily on indirect taxes, particularly Taxes on Commodities and Services, while income and property taxes remain underutilized. Most taxes are inelastic (buoyancy &lt; 1), indicating revenue growth lags-behind economic growth, except GST and Taxes on Vehicles which display higher buoyancy. Underperformance is noted in state excise, land revenue, electricity duties, and passenger taxes. </w:t>
      </w:r>
      <w:r w:rsidR="00EE746E">
        <w:rPr>
          <w:i/>
          <w:iCs/>
        </w:rPr>
        <w:t>In addition, t</w:t>
      </w:r>
      <w:r w:rsidRPr="00AA377B">
        <w:rPr>
          <w:i/>
          <w:iCs/>
        </w:rPr>
        <w:t>he persistently low OTR–GSDP ratio, together with weak fiscal indicators compared to other states and the all-India average, highlights structural inefficiencies for Manipur state. The study recommends broadening the tax base, diversifying revenue sources, improving compliance, and strengthening administrative efficiency to enhance fiscal autonomy and ensure long-term sustainability.</w:t>
      </w:r>
    </w:p>
    <w:p w14:paraId="0AEDB1E0" w14:textId="29BA0DDA" w:rsidR="0053674A" w:rsidRPr="00FA2AF2" w:rsidRDefault="00D63231" w:rsidP="00420643">
      <w:pPr>
        <w:pStyle w:val="NormalWeb"/>
        <w:spacing w:before="0" w:beforeAutospacing="0" w:after="0" w:afterAutospacing="0"/>
        <w:ind w:left="567" w:right="425"/>
        <w:jc w:val="both"/>
        <w:rPr>
          <w:i/>
          <w:iCs/>
        </w:rPr>
      </w:pPr>
      <w:r w:rsidRPr="00FA2AF2">
        <w:rPr>
          <w:rStyle w:val="Strong"/>
          <w:i/>
          <w:iCs/>
        </w:rPr>
        <w:t>Keywords</w:t>
      </w:r>
      <w:r w:rsidRPr="00FA2AF2">
        <w:rPr>
          <w:i/>
          <w:iCs/>
        </w:rPr>
        <w:t>: Tax Buoyancy, Own Tax Revenue, Manipur, GST, Tax Elasticity</w:t>
      </w:r>
      <w:r w:rsidR="0053674A" w:rsidRPr="00FA2AF2">
        <w:rPr>
          <w:i/>
          <w:iCs/>
        </w:rPr>
        <w:t xml:space="preserve"> </w:t>
      </w:r>
    </w:p>
    <w:p w14:paraId="0ECFDB3B" w14:textId="30FF2BED" w:rsidR="000C7425" w:rsidRPr="00FA2AF2" w:rsidRDefault="0053674A" w:rsidP="005532BD">
      <w:pPr>
        <w:pStyle w:val="NormalWeb"/>
        <w:spacing w:before="0" w:beforeAutospacing="0" w:after="0" w:afterAutospacing="0"/>
        <w:ind w:left="567" w:right="379"/>
        <w:rPr>
          <w:i/>
          <w:iCs/>
        </w:rPr>
      </w:pPr>
      <w:r w:rsidRPr="00FA2AF2">
        <w:rPr>
          <w:rStyle w:val="Strong"/>
          <w:i/>
          <w:iCs/>
        </w:rPr>
        <w:t>JEL Classification</w:t>
      </w:r>
      <w:r w:rsidRPr="00FA2AF2">
        <w:rPr>
          <w:i/>
          <w:iCs/>
        </w:rPr>
        <w:t>: H</w:t>
      </w:r>
      <w:r w:rsidR="00F90228" w:rsidRPr="00FA2AF2">
        <w:rPr>
          <w:i/>
          <w:iCs/>
        </w:rPr>
        <w:t>21, H</w:t>
      </w:r>
      <w:r w:rsidR="008D0612" w:rsidRPr="00FA2AF2">
        <w:rPr>
          <w:i/>
          <w:iCs/>
        </w:rPr>
        <w:t>27, H71, H25, R</w:t>
      </w:r>
      <w:r w:rsidR="00120D81" w:rsidRPr="00FA2AF2">
        <w:rPr>
          <w:i/>
          <w:iCs/>
        </w:rPr>
        <w:t>1</w:t>
      </w:r>
      <w:r w:rsidR="005532BD" w:rsidRPr="00FA2AF2">
        <w:rPr>
          <w:i/>
          <w:iCs/>
        </w:rPr>
        <w:t>2</w:t>
      </w:r>
    </w:p>
    <w:p w14:paraId="22381099" w14:textId="130FB69F" w:rsidR="000C7425" w:rsidRPr="00AA377B" w:rsidRDefault="005532BD" w:rsidP="005532BD">
      <w:pPr>
        <w:pStyle w:val="NormalWeb"/>
        <w:spacing w:before="0" w:beforeAutospacing="0" w:after="0" w:afterAutospacing="0"/>
        <w:ind w:left="567" w:right="379"/>
        <w:rPr>
          <w:i/>
          <w:iCs/>
        </w:rPr>
      </w:pPr>
      <w:r w:rsidRPr="00FA2AF2">
        <w:rPr>
          <w:rStyle w:val="Strong"/>
          <w:i/>
          <w:iCs/>
        </w:rPr>
        <w:t>____________________________________________________________________</w:t>
      </w:r>
    </w:p>
    <w:p w14:paraId="3EFD73C0" w14:textId="77777777" w:rsidR="005532BD" w:rsidRPr="00C638DA" w:rsidRDefault="005532BD" w:rsidP="005532BD">
      <w:pPr>
        <w:pStyle w:val="NormalWeb"/>
        <w:spacing w:before="0" w:beforeAutospacing="0" w:after="0" w:afterAutospacing="0"/>
        <w:ind w:left="567" w:right="379"/>
        <w:rPr>
          <w:b/>
          <w:bCs/>
          <w:sz w:val="27"/>
          <w:szCs w:val="27"/>
        </w:rPr>
      </w:pPr>
    </w:p>
    <w:p w14:paraId="141B157D" w14:textId="53E2956F" w:rsidR="002B7DB0" w:rsidRPr="00C638DA" w:rsidRDefault="008E1010"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Introduction</w:t>
      </w:r>
      <w:r w:rsidR="003B24AC" w:rsidRPr="00C638DA">
        <w:rPr>
          <w:rFonts w:ascii="Times New Roman" w:eastAsia="Times New Roman" w:hAnsi="Times New Roman" w:cs="Times New Roman"/>
          <w:b/>
          <w:bCs/>
          <w:kern w:val="0"/>
          <w:sz w:val="24"/>
          <w:szCs w:val="24"/>
          <w:lang w:eastAsia="en-IN"/>
          <w14:ligatures w14:val="none"/>
        </w:rPr>
        <w:t xml:space="preserve"> and Profile of Manipur State</w:t>
      </w:r>
    </w:p>
    <w:p w14:paraId="6CF35186" w14:textId="77777777" w:rsidR="00FA01AF" w:rsidRPr="00957911" w:rsidRDefault="00FA01AF" w:rsidP="00A57A0A">
      <w:pPr>
        <w:spacing w:after="0" w:line="276" w:lineRule="auto"/>
        <w:jc w:val="both"/>
        <w:rPr>
          <w:rFonts w:ascii="Times New Roman" w:eastAsia="Times New Roman" w:hAnsi="Times New Roman" w:cs="Times New Roman"/>
          <w:kern w:val="0"/>
          <w:sz w:val="24"/>
          <w:szCs w:val="24"/>
          <w:lang w:eastAsia="en-IN" w:bidi="hi-IN"/>
          <w14:ligatures w14:val="none"/>
        </w:rPr>
      </w:pPr>
      <w:r w:rsidRPr="00957911">
        <w:rPr>
          <w:rFonts w:ascii="Times New Roman" w:eastAsia="Times New Roman" w:hAnsi="Times New Roman" w:cs="Times New Roman"/>
          <w:kern w:val="0"/>
          <w:sz w:val="24"/>
          <w:szCs w:val="24"/>
          <w:lang w:eastAsia="en-IN" w:bidi="hi-IN"/>
          <w14:ligatures w14:val="none"/>
        </w:rPr>
        <w:t xml:space="preserve">Manipur, a Special Category State in India’s North-Eastern region, spans 22,327 sq. km and has a population of about 3.4 million (IBEF, 2025), while the Census of India (2011) recorded it at 3.1 million. Strategically located on the Indo–Myanmar border, Manipur plays a pivotal role in India’s </w:t>
      </w:r>
      <w:r w:rsidRPr="00957911">
        <w:rPr>
          <w:rFonts w:ascii="Times New Roman" w:eastAsia="Times New Roman" w:hAnsi="Times New Roman" w:cs="Times New Roman"/>
          <w:i/>
          <w:iCs/>
          <w:kern w:val="0"/>
          <w:sz w:val="24"/>
          <w:szCs w:val="24"/>
          <w:lang w:eastAsia="en-IN" w:bidi="hi-IN"/>
          <w14:ligatures w14:val="none"/>
        </w:rPr>
        <w:t>Act East Policy</w:t>
      </w:r>
      <w:r w:rsidRPr="00957911">
        <w:rPr>
          <w:rFonts w:ascii="Times New Roman" w:eastAsia="Times New Roman" w:hAnsi="Times New Roman" w:cs="Times New Roman"/>
          <w:kern w:val="0"/>
          <w:sz w:val="24"/>
          <w:szCs w:val="24"/>
          <w:lang w:eastAsia="en-IN" w:bidi="hi-IN"/>
          <w14:ligatures w14:val="none"/>
        </w:rPr>
        <w:t xml:space="preserve"> (</w:t>
      </w:r>
      <w:proofErr w:type="spellStart"/>
      <w:r w:rsidRPr="00957911">
        <w:rPr>
          <w:rFonts w:ascii="Times New Roman" w:eastAsia="Times New Roman" w:hAnsi="Times New Roman" w:cs="Times New Roman"/>
          <w:kern w:val="0"/>
          <w:sz w:val="24"/>
          <w:szCs w:val="24"/>
          <w:lang w:eastAsia="en-IN" w:bidi="hi-IN"/>
          <w14:ligatures w14:val="none"/>
        </w:rPr>
        <w:t>GoI</w:t>
      </w:r>
      <w:proofErr w:type="spellEnd"/>
      <w:r w:rsidRPr="00957911">
        <w:rPr>
          <w:rFonts w:ascii="Times New Roman" w:eastAsia="Times New Roman" w:hAnsi="Times New Roman" w:cs="Times New Roman"/>
          <w:kern w:val="0"/>
          <w:sz w:val="24"/>
          <w:szCs w:val="24"/>
          <w:lang w:eastAsia="en-IN" w:bidi="hi-IN"/>
          <w14:ligatures w14:val="none"/>
        </w:rPr>
        <w:t>, 2020). The economy remains primarily agrarian, though the services sector—particularly trade, transport, and tourism—now drives growth, contributing nearly 60% of Gross State Domestic Product (GSDP). Agriculture still sustains livelihoods, accounting for 18–20% of GSDP, while industry remains modest at 10–12% (RBI, 2022; Government of Manipur, 2022). This structural profile underscores the fiscal vulnerabilities rooted in a narrow economic base.</w:t>
      </w:r>
    </w:p>
    <w:p w14:paraId="4D8B6D80" w14:textId="73B3E33E" w:rsidR="00FA01AF" w:rsidRPr="00957911" w:rsidRDefault="00FA01AF" w:rsidP="00A57A0A">
      <w:pPr>
        <w:spacing w:after="0" w:line="276" w:lineRule="auto"/>
        <w:jc w:val="both"/>
        <w:rPr>
          <w:rFonts w:ascii="Times New Roman" w:eastAsia="Times New Roman" w:hAnsi="Times New Roman" w:cs="Times New Roman"/>
          <w:kern w:val="0"/>
          <w:sz w:val="24"/>
          <w:szCs w:val="24"/>
          <w:lang w:eastAsia="en-IN" w:bidi="hi-IN"/>
          <w14:ligatures w14:val="none"/>
        </w:rPr>
      </w:pPr>
      <w:r w:rsidRPr="00957911">
        <w:rPr>
          <w:rFonts w:ascii="Times New Roman" w:eastAsia="Times New Roman" w:hAnsi="Times New Roman" w:cs="Times New Roman"/>
          <w:kern w:val="0"/>
          <w:sz w:val="24"/>
          <w:szCs w:val="24"/>
          <w:lang w:eastAsia="en-IN" w:bidi="hi-IN"/>
          <w14:ligatures w14:val="none"/>
        </w:rPr>
        <w:t xml:space="preserve">From a fiscal standpoint, Manipur exhibits a very high dependence on central transfers. </w:t>
      </w:r>
      <w:r w:rsidR="005A33F0" w:rsidRPr="00957911">
        <w:rPr>
          <w:rFonts w:ascii="Times New Roman" w:eastAsia="Times New Roman" w:hAnsi="Times New Roman" w:cs="Times New Roman"/>
          <w:kern w:val="0"/>
          <w:sz w:val="24"/>
          <w:szCs w:val="24"/>
          <w:lang w:eastAsia="en-IN" w:bidi="hi-IN"/>
          <w14:ligatures w14:val="none"/>
        </w:rPr>
        <w:t>According to CAG report of Manipur, i</w:t>
      </w:r>
      <w:r w:rsidRPr="00957911">
        <w:rPr>
          <w:rFonts w:ascii="Times New Roman" w:eastAsia="Times New Roman" w:hAnsi="Times New Roman" w:cs="Times New Roman"/>
          <w:kern w:val="0"/>
          <w:sz w:val="24"/>
          <w:szCs w:val="24"/>
          <w:lang w:eastAsia="en-IN" w:bidi="hi-IN"/>
          <w14:ligatures w14:val="none"/>
        </w:rPr>
        <w:t>n 2021-22, out of total Revenue Receipts of ₹14,091 crore, only about 12.5% came from the state’s own resources, while the remaining 87.5% was derived from Central Tax Transfers and Grants-in-Aid</w:t>
      </w:r>
      <w:r w:rsidR="005A33F0" w:rsidRPr="00957911">
        <w:rPr>
          <w:rFonts w:ascii="Times New Roman" w:eastAsia="Times New Roman" w:hAnsi="Times New Roman" w:cs="Times New Roman"/>
          <w:kern w:val="0"/>
          <w:sz w:val="24"/>
          <w:szCs w:val="24"/>
          <w:lang w:eastAsia="en-IN" w:bidi="hi-IN"/>
          <w14:ligatures w14:val="none"/>
        </w:rPr>
        <w:t xml:space="preserve">. </w:t>
      </w:r>
      <w:r w:rsidRPr="00957911">
        <w:rPr>
          <w:rFonts w:ascii="Times New Roman" w:eastAsia="Times New Roman" w:hAnsi="Times New Roman" w:cs="Times New Roman"/>
          <w:kern w:val="0"/>
          <w:sz w:val="24"/>
          <w:szCs w:val="24"/>
          <w:lang w:eastAsia="en-IN" w:bidi="hi-IN"/>
          <w14:ligatures w14:val="none"/>
        </w:rPr>
        <w:t>This clearly reflects the state’s heavy reliance on the Centre for financing its expenditures. However, it also raises the important issue of understanding to what extent Manipur can strengthen and expand its Own Tax Revenue base, despite such high dependence on central transfers.</w:t>
      </w:r>
    </w:p>
    <w:p w14:paraId="78F4B006" w14:textId="5310E1A4" w:rsidR="00FA01AF" w:rsidRPr="00957911" w:rsidRDefault="00FA01AF" w:rsidP="00A57A0A">
      <w:pPr>
        <w:spacing w:after="0" w:line="276" w:lineRule="auto"/>
        <w:jc w:val="both"/>
        <w:rPr>
          <w:rFonts w:ascii="Times New Roman" w:eastAsia="Times New Roman" w:hAnsi="Times New Roman" w:cs="Times New Roman"/>
          <w:kern w:val="0"/>
          <w:sz w:val="24"/>
          <w:szCs w:val="24"/>
          <w:lang w:eastAsia="en-IN" w:bidi="hi-IN"/>
          <w14:ligatures w14:val="none"/>
        </w:rPr>
      </w:pPr>
      <w:r w:rsidRPr="00957911">
        <w:rPr>
          <w:rFonts w:ascii="Times New Roman" w:eastAsia="Times New Roman" w:hAnsi="Times New Roman" w:cs="Times New Roman"/>
          <w:kern w:val="0"/>
          <w:sz w:val="24"/>
          <w:szCs w:val="24"/>
          <w:lang w:eastAsia="en-IN" w:bidi="hi-IN"/>
          <w14:ligatures w14:val="none"/>
        </w:rPr>
        <w:lastRenderedPageBreak/>
        <w:t>Considering this, a detailed analysis of Manipur’s revenue profile, especially its Own Tax Revenue (OTR), becomes imperative. Understanding the structure and performance of the state’s own revenue sources is essential not only for diagnosing fiscal stress but also for strategizing pathways toward long-term, self-reliant growth in a resource-constrained context.</w:t>
      </w:r>
    </w:p>
    <w:p w14:paraId="4B89A7BC" w14:textId="77777777" w:rsidR="00957A72" w:rsidRDefault="00957A72" w:rsidP="00A57A0A">
      <w:pPr>
        <w:pStyle w:val="NormalWeb"/>
        <w:spacing w:before="0" w:beforeAutospacing="0" w:after="0" w:afterAutospacing="0" w:line="276" w:lineRule="auto"/>
        <w:jc w:val="both"/>
      </w:pPr>
    </w:p>
    <w:p w14:paraId="61B1B088" w14:textId="77777777" w:rsidR="00A57A0A" w:rsidRPr="00C638DA" w:rsidRDefault="00A57A0A" w:rsidP="00A57A0A">
      <w:pPr>
        <w:pStyle w:val="NormalWeb"/>
        <w:spacing w:before="0" w:beforeAutospacing="0" w:after="0" w:afterAutospacing="0" w:line="276" w:lineRule="auto"/>
        <w:jc w:val="both"/>
      </w:pPr>
    </w:p>
    <w:p w14:paraId="16EEFD37" w14:textId="0D487F96" w:rsidR="003E0FAB" w:rsidRPr="00C638DA" w:rsidRDefault="00067018"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Literature</w:t>
      </w:r>
      <w:r w:rsidR="003E0FAB" w:rsidRPr="00C638DA">
        <w:rPr>
          <w:rFonts w:ascii="Times New Roman" w:eastAsia="Times New Roman" w:hAnsi="Times New Roman" w:cs="Times New Roman"/>
          <w:b/>
          <w:bCs/>
          <w:kern w:val="0"/>
          <w:sz w:val="24"/>
          <w:szCs w:val="24"/>
          <w:lang w:eastAsia="en-IN"/>
          <w14:ligatures w14:val="none"/>
        </w:rPr>
        <w:t xml:space="preserve"> Review</w:t>
      </w:r>
    </w:p>
    <w:p w14:paraId="018D845E" w14:textId="680B7B1A" w:rsidR="00BD16DE" w:rsidRPr="00C638DA" w:rsidRDefault="00BD16DE" w:rsidP="00A57A0A">
      <w:pPr>
        <w:pStyle w:val="NormalWeb"/>
        <w:spacing w:before="0" w:beforeAutospacing="0" w:after="0" w:afterAutospacing="0" w:line="276" w:lineRule="auto"/>
        <w:jc w:val="both"/>
      </w:pPr>
      <w:r w:rsidRPr="00C638DA">
        <w:t xml:space="preserve">The literature on tax buoyancy and own tax revenue offers valuable insights into the fiscal dynamics of state finances, especially for smaller and economically weaker states like Manipur. </w:t>
      </w:r>
      <w:r w:rsidR="0064239C">
        <w:t xml:space="preserve">Chelliah and Nath (1977) </w:t>
      </w:r>
      <w:r w:rsidRPr="00C638DA">
        <w:t xml:space="preserve">introduced tax buoyancy as a key indicator of fiscal efficiency, stressing the need to align tax systems with income growth for sustainable public finance. </w:t>
      </w:r>
      <w:r w:rsidRPr="00977097">
        <w:t>Bahl and Bird (2008)</w:t>
      </w:r>
      <w:r w:rsidRPr="000317C4">
        <w:rPr>
          <w:color w:val="EE0000"/>
        </w:rPr>
        <w:t xml:space="preserve"> </w:t>
      </w:r>
      <w:r w:rsidRPr="00C638DA">
        <w:t xml:space="preserve">highlighted revenue generation challenges in developing economies, particularly the over-reliance on indirect taxes and narrow tax bases—issues pertinent to </w:t>
      </w:r>
      <w:r w:rsidR="00B02F72" w:rsidRPr="00C638DA">
        <w:t xml:space="preserve">Manipur. </w:t>
      </w:r>
      <w:r w:rsidR="002C7D7F" w:rsidRPr="002C7D7F">
        <w:rPr>
          <w:rFonts w:ascii="Arial" w:hAnsi="Arial" w:cs="Arial"/>
          <w:b/>
          <w:bCs/>
          <w:color w:val="222222"/>
          <w:sz w:val="20"/>
          <w:szCs w:val="20"/>
          <w:shd w:val="clear" w:color="auto" w:fill="FFFFFF"/>
        </w:rPr>
        <w:t>Rao, M. G.</w:t>
      </w:r>
      <w:r w:rsidR="002C7D7F">
        <w:rPr>
          <w:rFonts w:ascii="Arial" w:hAnsi="Arial" w:cs="Arial"/>
          <w:color w:val="222222"/>
          <w:sz w:val="20"/>
          <w:szCs w:val="20"/>
          <w:shd w:val="clear" w:color="auto" w:fill="FFFFFF"/>
        </w:rPr>
        <w:t xml:space="preserve"> (2000)</w:t>
      </w:r>
      <w:r w:rsidRPr="00C638DA">
        <w:t xml:space="preserve"> used OLS regression to </w:t>
      </w:r>
      <w:r w:rsidR="00B02F72" w:rsidRPr="00C638DA">
        <w:t>analyse</w:t>
      </w:r>
      <w:r w:rsidRPr="00C638DA">
        <w:t xml:space="preserve"> tax elasticity across Indian states, revealing wide variations and weaker buoyancy in states with undiversified economies. </w:t>
      </w:r>
      <w:r w:rsidR="00977097">
        <w:rPr>
          <w:rFonts w:ascii="Arial" w:hAnsi="Arial" w:cs="Arial"/>
          <w:color w:val="222222"/>
          <w:sz w:val="20"/>
          <w:szCs w:val="20"/>
          <w:shd w:val="clear" w:color="auto" w:fill="FFFFFF"/>
        </w:rPr>
        <w:t>Karnik, A., &amp; Raju, S. (2015)</w:t>
      </w:r>
      <w:r w:rsidR="00977097" w:rsidRPr="00C638DA">
        <w:t xml:space="preserve"> </w:t>
      </w:r>
      <w:r w:rsidRPr="00C638DA">
        <w:t xml:space="preserve">focused on post-GST state-level reforms, observing improved revenue efficiency but continued dependency on central transfers in low-income </w:t>
      </w:r>
      <w:r w:rsidR="00B02F72" w:rsidRPr="00C638DA">
        <w:t xml:space="preserve">states. </w:t>
      </w:r>
      <w:r w:rsidR="0064239C">
        <w:t>Acharya (</w:t>
      </w:r>
      <w:r w:rsidR="000674C0">
        <w:t>2011)</w:t>
      </w:r>
      <w:r w:rsidR="000674C0" w:rsidRPr="00C638DA">
        <w:t xml:space="preserve"> emphasized</w:t>
      </w:r>
      <w:r w:rsidRPr="00C638DA">
        <w:t xml:space="preserve"> administrative inefficiencies and poor compliance as barriers to revenue growth, advocating for digital tax systems. </w:t>
      </w:r>
      <w:r w:rsidR="00977097">
        <w:rPr>
          <w:rFonts w:ascii="Helvetica" w:hAnsi="Helvetica" w:cs="Helvetica"/>
          <w:color w:val="000000"/>
          <w:spacing w:val="-5"/>
          <w:shd w:val="clear" w:color="auto" w:fill="FFFFFF"/>
        </w:rPr>
        <w:t xml:space="preserve">Mukherjee, S. (2020) </w:t>
      </w:r>
      <w:r w:rsidRPr="00C638DA">
        <w:t>assessed GST’s impact on state finances, noting enhanced buoyancy in certain sectors, though the overall effect varied by state.</w:t>
      </w:r>
    </w:p>
    <w:p w14:paraId="1946F755" w14:textId="09B04EBA" w:rsidR="00BD16DE" w:rsidRPr="00C638DA" w:rsidRDefault="002B4C16" w:rsidP="00A57A0A">
      <w:pPr>
        <w:pStyle w:val="NormalWeb"/>
        <w:spacing w:before="0" w:beforeAutospacing="0" w:after="0" w:afterAutospacing="0" w:line="276" w:lineRule="auto"/>
        <w:jc w:val="both"/>
      </w:pPr>
      <w:r w:rsidRPr="002B4C16">
        <w:rPr>
          <w:rFonts w:ascii="Arial" w:hAnsi="Arial" w:cs="Arial"/>
          <w:b/>
          <w:bCs/>
          <w:color w:val="222222"/>
          <w:sz w:val="20"/>
          <w:szCs w:val="20"/>
          <w:shd w:val="clear" w:color="auto" w:fill="FFFFFF"/>
        </w:rPr>
        <w:t>Dash, A. K., &amp; Rath, S. S. (2016).</w:t>
      </w:r>
      <w:r>
        <w:rPr>
          <w:rFonts w:ascii="Arial" w:hAnsi="Arial" w:cs="Arial"/>
          <w:color w:val="222222"/>
          <w:sz w:val="20"/>
          <w:szCs w:val="20"/>
          <w:shd w:val="clear" w:color="auto" w:fill="FFFFFF"/>
        </w:rPr>
        <w:t xml:space="preserve"> </w:t>
      </w:r>
      <w:r w:rsidR="00BD16DE" w:rsidRPr="00C638DA">
        <w:t xml:space="preserve">studied northeastern states’ revenue structures, underlining their reliance on central funds and the need to strengthen direct tax mobilization. </w:t>
      </w:r>
      <w:r w:rsidR="000674C0">
        <w:rPr>
          <w:rFonts w:ascii="Arial" w:hAnsi="Arial" w:cs="Arial"/>
          <w:color w:val="222222"/>
          <w:sz w:val="20"/>
          <w:szCs w:val="20"/>
          <w:shd w:val="clear" w:color="auto" w:fill="FFFFFF"/>
        </w:rPr>
        <w:t xml:space="preserve">Shah, M. J. (2024) </w:t>
      </w:r>
      <w:r w:rsidR="00BD16DE" w:rsidRPr="00C638DA">
        <w:t xml:space="preserve">linked higher tax buoyancy to better fiscal health and deficit control. </w:t>
      </w:r>
      <w:r w:rsidR="000674C0" w:rsidRPr="000674C0">
        <w:rPr>
          <w:rFonts w:ascii="Arial" w:hAnsi="Arial" w:cs="Arial"/>
          <w:b/>
          <w:bCs/>
          <w:color w:val="222222"/>
          <w:sz w:val="20"/>
          <w:szCs w:val="20"/>
          <w:shd w:val="clear" w:color="auto" w:fill="FFFFFF"/>
        </w:rPr>
        <w:t>Jha, R. (2017)</w:t>
      </w:r>
      <w:r w:rsidR="000674C0" w:rsidRPr="00C638DA">
        <w:t xml:space="preserve"> </w:t>
      </w:r>
      <w:r w:rsidR="00BD16DE" w:rsidRPr="00C638DA">
        <w:t xml:space="preserve">found that small states’ dependence on indirect taxes led to volatility and inequality. </w:t>
      </w:r>
      <w:r w:rsidR="00761672" w:rsidRPr="00761672">
        <w:rPr>
          <w:rFonts w:ascii="Arial" w:hAnsi="Arial" w:cs="Arial"/>
          <w:b/>
          <w:bCs/>
          <w:color w:val="222222"/>
          <w:sz w:val="20"/>
          <w:szCs w:val="20"/>
          <w:shd w:val="clear" w:color="auto" w:fill="FFFFFF"/>
        </w:rPr>
        <w:t>Rajaraman et al. (2006</w:t>
      </w:r>
      <w:r w:rsidR="00761672" w:rsidRPr="00761672">
        <w:rPr>
          <w:rFonts w:ascii="Arial" w:hAnsi="Arial" w:cs="Arial"/>
          <w:color w:val="222222"/>
          <w:sz w:val="20"/>
          <w:szCs w:val="20"/>
          <w:shd w:val="clear" w:color="auto" w:fill="FFFFFF"/>
        </w:rPr>
        <w:t xml:space="preserve">) </w:t>
      </w:r>
      <w:r w:rsidR="00BD16DE" w:rsidRPr="00C638DA">
        <w:t>advocated for digital tax reforms to boost compliance and expand the revenue base in underperforming regions.</w:t>
      </w:r>
      <w:r w:rsidR="00B02F72" w:rsidRPr="00C638DA">
        <w:t xml:space="preserve"> </w:t>
      </w:r>
      <w:r w:rsidR="00BD16DE" w:rsidRPr="00C638DA">
        <w:t xml:space="preserve">Collectively, these studies underscore the importance of tax reforms, compliance enhancement, and structural improvements. They provide a strong foundation for </w:t>
      </w:r>
      <w:r w:rsidR="00B02F72" w:rsidRPr="00C638DA">
        <w:t>analysing</w:t>
      </w:r>
      <w:r w:rsidR="00BD16DE" w:rsidRPr="00C638DA">
        <w:t xml:space="preserve"> Manipur’s tax performance and identifying targeted policy interventions to strengthen its fiscal framework.</w:t>
      </w:r>
    </w:p>
    <w:p w14:paraId="655D5326" w14:textId="77777777" w:rsidR="00571CBE" w:rsidRPr="00C638DA" w:rsidRDefault="00571CBE" w:rsidP="00A57A0A">
      <w:pPr>
        <w:pStyle w:val="NormalWeb"/>
        <w:spacing w:before="0" w:beforeAutospacing="0" w:after="0" w:afterAutospacing="0" w:line="276" w:lineRule="auto"/>
        <w:jc w:val="both"/>
      </w:pPr>
    </w:p>
    <w:p w14:paraId="1CECED0E" w14:textId="77777777" w:rsidR="00A57A0A" w:rsidRDefault="00A57A0A" w:rsidP="00A57A0A">
      <w:pPr>
        <w:pStyle w:val="NormalWeb"/>
        <w:spacing w:before="0" w:beforeAutospacing="0" w:after="0" w:afterAutospacing="0" w:line="276" w:lineRule="auto"/>
        <w:jc w:val="center"/>
        <w:rPr>
          <w:b/>
          <w:bCs/>
        </w:rPr>
      </w:pPr>
    </w:p>
    <w:p w14:paraId="620A0C1E" w14:textId="77777777" w:rsidR="00C60C56" w:rsidRDefault="00C60C56" w:rsidP="00A57A0A">
      <w:pPr>
        <w:pStyle w:val="NormalWeb"/>
        <w:spacing w:before="0" w:beforeAutospacing="0" w:after="0" w:afterAutospacing="0" w:line="276" w:lineRule="auto"/>
        <w:jc w:val="center"/>
        <w:rPr>
          <w:b/>
          <w:bCs/>
        </w:rPr>
      </w:pPr>
    </w:p>
    <w:p w14:paraId="5EE62A11" w14:textId="77777777" w:rsidR="00C60C56" w:rsidRDefault="00C60C56" w:rsidP="00A57A0A">
      <w:pPr>
        <w:pStyle w:val="NormalWeb"/>
        <w:spacing w:before="0" w:beforeAutospacing="0" w:after="0" w:afterAutospacing="0" w:line="276" w:lineRule="auto"/>
        <w:jc w:val="center"/>
        <w:rPr>
          <w:b/>
          <w:bCs/>
        </w:rPr>
      </w:pPr>
    </w:p>
    <w:p w14:paraId="0367BABE" w14:textId="77777777" w:rsidR="00C60C56" w:rsidRDefault="00C60C56" w:rsidP="00A57A0A">
      <w:pPr>
        <w:pStyle w:val="NormalWeb"/>
        <w:spacing w:before="0" w:beforeAutospacing="0" w:after="0" w:afterAutospacing="0" w:line="276" w:lineRule="auto"/>
        <w:jc w:val="center"/>
        <w:rPr>
          <w:b/>
          <w:bCs/>
        </w:rPr>
      </w:pPr>
    </w:p>
    <w:p w14:paraId="1D403C16" w14:textId="77777777" w:rsidR="00C60C56" w:rsidRDefault="00C60C56" w:rsidP="00A57A0A">
      <w:pPr>
        <w:pStyle w:val="NormalWeb"/>
        <w:spacing w:before="0" w:beforeAutospacing="0" w:after="0" w:afterAutospacing="0" w:line="276" w:lineRule="auto"/>
        <w:jc w:val="center"/>
        <w:rPr>
          <w:b/>
          <w:bCs/>
        </w:rPr>
      </w:pPr>
    </w:p>
    <w:p w14:paraId="2E43C6A5" w14:textId="78CE49AA" w:rsidR="0072292E" w:rsidRPr="00C638DA" w:rsidRDefault="0024615D" w:rsidP="00A57A0A">
      <w:pPr>
        <w:pStyle w:val="NormalWeb"/>
        <w:spacing w:before="0" w:beforeAutospacing="0" w:after="0" w:afterAutospacing="0" w:line="276" w:lineRule="auto"/>
        <w:jc w:val="center"/>
        <w:rPr>
          <w:b/>
          <w:bCs/>
        </w:rPr>
      </w:pPr>
      <w:r w:rsidRPr="00C638DA">
        <w:rPr>
          <w:b/>
          <w:bCs/>
        </w:rPr>
        <w:t>Objectives of the Study</w:t>
      </w:r>
    </w:p>
    <w:p w14:paraId="31153539" w14:textId="77777777" w:rsidR="0024615D" w:rsidRPr="00C638DA" w:rsidRDefault="0024615D" w:rsidP="00A57A0A">
      <w:pPr>
        <w:pStyle w:val="NormalWeb"/>
        <w:spacing w:before="0" w:beforeAutospacing="0" w:after="0" w:afterAutospacing="0" w:line="276" w:lineRule="auto"/>
        <w:jc w:val="both"/>
      </w:pPr>
      <w:r w:rsidRPr="00C638DA">
        <w:t xml:space="preserve">While several studies have examined state-level fiscal performance in India, there remains a gap in focused analyses of smaller and special category states like Manipur, particularly with respect to their revenue composition, responsiveness, and fiscal autonomy. The existing literature often overlooks how Own Tax and Non-Tax Revenues align with economic activity and structural reforms. To address this gap, the present study undertakes a detailed evaluation of Manipur’s own tax revenue receipts to identify the areas requiring policy intervention. The objective is to enable the State to mobilize its resources more effectively from existing taxes while ensuring </w:t>
      </w:r>
      <w:r w:rsidRPr="00C638DA">
        <w:lastRenderedPageBreak/>
        <w:t>greater efficiency and long-term fiscal sustainability. The study is guided by the following objectives:</w:t>
      </w:r>
    </w:p>
    <w:p w14:paraId="0713C01C" w14:textId="2E0A9D5C" w:rsidR="0024615D" w:rsidRPr="00C638DA" w:rsidRDefault="0024615D" w:rsidP="00A57A0A">
      <w:pPr>
        <w:pStyle w:val="NormalWeb"/>
        <w:numPr>
          <w:ilvl w:val="0"/>
          <w:numId w:val="7"/>
        </w:numPr>
        <w:spacing w:before="0" w:beforeAutospacing="0" w:after="0" w:afterAutospacing="0" w:line="276" w:lineRule="auto"/>
        <w:jc w:val="both"/>
      </w:pPr>
      <w:r w:rsidRPr="00C638DA">
        <w:t>To analyse the key fiscal indicators of Manipur, such as revenue deficit/surplus, fiscal deficit, and primary deficit.</w:t>
      </w:r>
    </w:p>
    <w:p w14:paraId="1BBDA068" w14:textId="01FDC0BE" w:rsidR="0024615D" w:rsidRPr="00C638DA" w:rsidRDefault="0024615D" w:rsidP="00A57A0A">
      <w:pPr>
        <w:pStyle w:val="NormalWeb"/>
        <w:numPr>
          <w:ilvl w:val="0"/>
          <w:numId w:val="7"/>
        </w:numPr>
        <w:spacing w:line="276" w:lineRule="auto"/>
        <w:jc w:val="both"/>
      </w:pPr>
      <w:r w:rsidRPr="00C638DA">
        <w:t>To evaluate the composition of Own Tax Revenue (OTR) in Manipur by highlighting the dominance of indirect taxes—such as GST and taxes on commodities and services—to identify structural weaknesses in the tax system.</w:t>
      </w:r>
    </w:p>
    <w:p w14:paraId="54BF6C07" w14:textId="77777777" w:rsidR="0024615D" w:rsidRPr="00C638DA" w:rsidRDefault="0024615D" w:rsidP="00A57A0A">
      <w:pPr>
        <w:pStyle w:val="NormalWeb"/>
        <w:numPr>
          <w:ilvl w:val="0"/>
          <w:numId w:val="7"/>
        </w:numPr>
        <w:spacing w:line="276" w:lineRule="auto"/>
        <w:jc w:val="both"/>
      </w:pPr>
      <w:r w:rsidRPr="00C638DA">
        <w:t>To examine the buoyancy of Own Taxes in Manipur, thereby assessing the responsiveness of various tax components to changes in the State’s economic activity.</w:t>
      </w:r>
    </w:p>
    <w:p w14:paraId="4EA035DD" w14:textId="77777777" w:rsidR="0024615D" w:rsidRPr="00C638DA" w:rsidRDefault="0024615D" w:rsidP="00A57A0A">
      <w:pPr>
        <w:pStyle w:val="NormalWeb"/>
        <w:numPr>
          <w:ilvl w:val="0"/>
          <w:numId w:val="7"/>
        </w:numPr>
        <w:spacing w:line="276" w:lineRule="auto"/>
        <w:jc w:val="both"/>
      </w:pPr>
      <w:r w:rsidRPr="00C638DA">
        <w:t>To propose strategies for broadening the tax base and improving tax compliance, with the aim of strengthening Manipur’s fiscal stability and reducing its dependence on central government transfers.</w:t>
      </w:r>
    </w:p>
    <w:p w14:paraId="58E675C9" w14:textId="285D1BDC" w:rsidR="00C25D1D" w:rsidRPr="00C638DA" w:rsidRDefault="00C25D1D" w:rsidP="00A57A0A">
      <w:pPr>
        <w:tabs>
          <w:tab w:val="left" w:pos="1884"/>
        </w:tabs>
        <w:spacing w:after="0" w:line="276" w:lineRule="auto"/>
        <w:jc w:val="both"/>
        <w:rPr>
          <w:rFonts w:ascii="Times New Roman" w:hAnsi="Times New Roman" w:cs="Times New Roman"/>
          <w:sz w:val="24"/>
          <w:szCs w:val="24"/>
          <w:lang w:eastAsia="en-IN"/>
        </w:rPr>
      </w:pPr>
      <w:r w:rsidRPr="00C638DA">
        <w:rPr>
          <w:lang w:eastAsia="en-IN"/>
        </w:rPr>
        <w:tab/>
      </w:r>
    </w:p>
    <w:p w14:paraId="101BF811" w14:textId="5D613ABE" w:rsidR="002176D0" w:rsidRPr="00C638DA" w:rsidRDefault="002176D0" w:rsidP="00A57A0A">
      <w:pPr>
        <w:spacing w:after="0" w:line="276" w:lineRule="auto"/>
        <w:jc w:val="center"/>
        <w:outlineLvl w:val="1"/>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Data Sources</w:t>
      </w:r>
      <w:r w:rsidR="009214E3" w:rsidRPr="00C638DA">
        <w:rPr>
          <w:rFonts w:ascii="Times New Roman" w:eastAsia="Times New Roman" w:hAnsi="Times New Roman" w:cs="Times New Roman"/>
          <w:b/>
          <w:bCs/>
          <w:kern w:val="0"/>
          <w:sz w:val="24"/>
          <w:szCs w:val="24"/>
          <w:lang w:eastAsia="en-IN"/>
          <w14:ligatures w14:val="none"/>
        </w:rPr>
        <w:t xml:space="preserve"> and Methodology</w:t>
      </w:r>
    </w:p>
    <w:p w14:paraId="4085B2ED" w14:textId="728BD108" w:rsidR="0024615D" w:rsidRPr="00C638DA" w:rsidRDefault="0024615D" w:rsidP="00A57A0A">
      <w:pPr>
        <w:pStyle w:val="NormalWeb"/>
        <w:spacing w:before="0" w:beforeAutospacing="0" w:after="0" w:afterAutospacing="0" w:line="276" w:lineRule="auto"/>
        <w:jc w:val="both"/>
      </w:pPr>
      <w:r w:rsidRPr="00C638DA">
        <w:t>This study adopts a quantitative approach using secondary time-series data to analyse Manipur’s own tax revenue receipts and tax buoyancy for the period 2001–02 to 2020–21. For the comparative analysis of key fiscal indicators and the share of Own Tax Revenue (OTR) as a percentage of GSDP—both individually and in aggregate with Special Category States (SCSs), General Category States (GCSs), and the All-India average—the study covers the period from 2012–13 to 2021–22. The data on fiscal indicators has been sourced from the following credible and official publications:</w:t>
      </w:r>
    </w:p>
    <w:p w14:paraId="642DF341" w14:textId="3C486554" w:rsidR="0024615D" w:rsidRPr="00C638DA" w:rsidRDefault="0024615D" w:rsidP="00A57A0A">
      <w:pPr>
        <w:pStyle w:val="NormalWeb"/>
        <w:numPr>
          <w:ilvl w:val="0"/>
          <w:numId w:val="8"/>
        </w:numPr>
        <w:spacing w:before="0" w:beforeAutospacing="0" w:after="0" w:afterAutospacing="0" w:line="276" w:lineRule="auto"/>
        <w:jc w:val="both"/>
      </w:pPr>
      <w:r w:rsidRPr="00C638DA">
        <w:t>Reserve Bank of India (RBI),</w:t>
      </w:r>
      <w:r w:rsidR="005A33F0" w:rsidRPr="00C638DA">
        <w:t xml:space="preserve"> GOI, Various Issues.</w:t>
      </w:r>
    </w:p>
    <w:p w14:paraId="51D9F78D" w14:textId="0A0F9431" w:rsidR="0024615D" w:rsidRPr="00C638DA" w:rsidRDefault="0024615D" w:rsidP="00A57A0A">
      <w:pPr>
        <w:pStyle w:val="NormalWeb"/>
        <w:numPr>
          <w:ilvl w:val="0"/>
          <w:numId w:val="8"/>
        </w:numPr>
        <w:spacing w:before="0" w:beforeAutospacing="0" w:after="0" w:afterAutospacing="0" w:line="276" w:lineRule="auto"/>
        <w:jc w:val="both"/>
      </w:pPr>
      <w:r w:rsidRPr="00C638DA">
        <w:t>Manipur’s State Budget documents,</w:t>
      </w:r>
      <w:r w:rsidR="005A33F0" w:rsidRPr="00C638DA">
        <w:t xml:space="preserve"> GOM, Various Issues, </w:t>
      </w:r>
      <w:r w:rsidRPr="00C638DA">
        <w:t>and</w:t>
      </w:r>
    </w:p>
    <w:p w14:paraId="31FACE7D" w14:textId="4E0F4A6E" w:rsidR="0024615D" w:rsidRPr="00C638DA" w:rsidRDefault="0024615D" w:rsidP="00A57A0A">
      <w:pPr>
        <w:pStyle w:val="NormalWeb"/>
        <w:numPr>
          <w:ilvl w:val="0"/>
          <w:numId w:val="8"/>
        </w:numPr>
        <w:spacing w:before="0" w:beforeAutospacing="0" w:after="240" w:afterAutospacing="0" w:line="276" w:lineRule="auto"/>
        <w:jc w:val="both"/>
      </w:pPr>
      <w:r w:rsidRPr="00C638DA">
        <w:t>Reports of the Comptroller and Auditor General (CAG)</w:t>
      </w:r>
      <w:r w:rsidR="005A33F0" w:rsidRPr="00C638DA">
        <w:t xml:space="preserve"> of Manipur, GOM, Various Issues.</w:t>
      </w:r>
    </w:p>
    <w:p w14:paraId="75E79530" w14:textId="77777777" w:rsidR="0024615D" w:rsidRPr="00C638DA" w:rsidRDefault="0024615D" w:rsidP="00A57A0A">
      <w:pPr>
        <w:spacing w:after="0" w:line="276" w:lineRule="auto"/>
        <w:jc w:val="both"/>
        <w:rPr>
          <w:rFonts w:ascii="Times New Roman" w:eastAsia="Times New Roman" w:hAnsi="Times New Roman" w:cs="Times New Roman"/>
          <w:kern w:val="0"/>
          <w:sz w:val="24"/>
          <w:szCs w:val="24"/>
          <w:lang w:eastAsia="en-IN" w:bidi="hi-IN"/>
          <w14:ligatures w14:val="none"/>
        </w:rPr>
      </w:pPr>
      <w:r w:rsidRPr="00C638DA">
        <w:rPr>
          <w:rFonts w:ascii="Times New Roman" w:eastAsia="Times New Roman" w:hAnsi="Times New Roman" w:cs="Times New Roman"/>
          <w:kern w:val="0"/>
          <w:sz w:val="24"/>
          <w:szCs w:val="24"/>
          <w:lang w:eastAsia="en-IN" w:bidi="hi-IN"/>
          <w14:ligatures w14:val="none"/>
        </w:rPr>
        <w:t>Descriptive statistics, such as percentage analysis, are employed to examine trends, patterns, and the evolving share of various tax components, thereby highlighting opportunities for broadening the tax base. This integrated approach offers a nuanced understanding of the responsiveness and structural composition of Manipur’s tax system, providing evidence-based insights for fiscal policy reforms.</w:t>
      </w:r>
    </w:p>
    <w:p w14:paraId="50533F02" w14:textId="77777777" w:rsidR="0024615D" w:rsidRDefault="0024615D" w:rsidP="00A57A0A">
      <w:pPr>
        <w:spacing w:after="0" w:line="276" w:lineRule="auto"/>
        <w:jc w:val="both"/>
        <w:rPr>
          <w:rFonts w:ascii="Times New Roman" w:eastAsia="Times New Roman" w:hAnsi="Times New Roman" w:cs="Times New Roman"/>
          <w:kern w:val="0"/>
          <w:sz w:val="24"/>
          <w:szCs w:val="24"/>
          <w:lang w:eastAsia="en-IN" w:bidi="hi-IN"/>
          <w14:ligatures w14:val="none"/>
        </w:rPr>
      </w:pPr>
      <w:r w:rsidRPr="00C638DA">
        <w:rPr>
          <w:rFonts w:ascii="Times New Roman" w:eastAsia="Times New Roman" w:hAnsi="Times New Roman" w:cs="Times New Roman"/>
          <w:kern w:val="0"/>
          <w:sz w:val="24"/>
          <w:szCs w:val="24"/>
          <w:lang w:eastAsia="en-IN" w:bidi="hi-IN"/>
          <w14:ligatures w14:val="none"/>
        </w:rPr>
        <w:t>The primary analytical tool used in the study is Ordinary Least Squares (OLS) regression, applied through the following log–log functional form:</w:t>
      </w:r>
    </w:p>
    <w:p w14:paraId="7B0463EA" w14:textId="77777777" w:rsidR="00C60C56" w:rsidRPr="00C638DA" w:rsidRDefault="00C60C56" w:rsidP="00A57A0A">
      <w:pPr>
        <w:spacing w:after="0" w:line="276" w:lineRule="auto"/>
        <w:jc w:val="both"/>
        <w:rPr>
          <w:rFonts w:ascii="Times New Roman" w:eastAsia="Times New Roman" w:hAnsi="Times New Roman" w:cs="Times New Roman"/>
          <w:kern w:val="0"/>
          <w:sz w:val="24"/>
          <w:szCs w:val="24"/>
          <w:lang w:eastAsia="en-IN" w:bidi="hi-IN"/>
          <w14:ligatures w14:val="none"/>
        </w:rPr>
      </w:pPr>
    </w:p>
    <w:p w14:paraId="6F3BC808" w14:textId="77777777" w:rsidR="0006083A" w:rsidRPr="00C638DA" w:rsidRDefault="0006083A" w:rsidP="00A57A0A">
      <w:pPr>
        <w:spacing w:before="240" w:line="276" w:lineRule="auto"/>
        <w:jc w:val="center"/>
        <w:rPr>
          <w:rStyle w:val="mord"/>
          <w:rFonts w:ascii="Times New Roman" w:hAnsi="Times New Roman" w:cs="Times New Roman"/>
          <w:sz w:val="24"/>
          <w:szCs w:val="24"/>
        </w:rPr>
      </w:pPr>
      <w:r w:rsidRPr="00C638DA">
        <w:rPr>
          <w:rStyle w:val="mop"/>
          <w:rFonts w:ascii="Times New Roman" w:hAnsi="Times New Roman" w:cs="Times New Roman"/>
          <w:sz w:val="24"/>
          <w:szCs w:val="24"/>
        </w:rPr>
        <w:t>log</w:t>
      </w:r>
      <w:r w:rsidRPr="00C638DA">
        <w:rPr>
          <w:rStyle w:val="mopen"/>
          <w:rFonts w:ascii="Times New Roman" w:hAnsi="Times New Roman" w:cs="Times New Roman"/>
          <w:sz w:val="24"/>
          <w:szCs w:val="24"/>
        </w:rPr>
        <w:t xml:space="preserve"> (</w:t>
      </w:r>
      <w:r w:rsidRPr="00C638DA">
        <w:rPr>
          <w:rStyle w:val="mord"/>
          <w:rFonts w:ascii="Times New Roman" w:hAnsi="Times New Roman" w:cs="Times New Roman"/>
          <w:sz w:val="24"/>
          <w:szCs w:val="24"/>
        </w:rPr>
        <w:t>Tax Revenue</w:t>
      </w:r>
      <w:r w:rsidRPr="00C638DA">
        <w:rPr>
          <w:rStyle w:val="mclose"/>
          <w:rFonts w:ascii="Times New Roman" w:hAnsi="Times New Roman" w:cs="Times New Roman"/>
          <w:sz w:val="24"/>
          <w:szCs w:val="24"/>
        </w:rPr>
        <w:t>)</w:t>
      </w:r>
      <w:r w:rsidRPr="00C638DA">
        <w:rPr>
          <w:rStyle w:val="mrel"/>
          <w:rFonts w:ascii="Times New Roman" w:hAnsi="Times New Roman" w:cs="Times New Roman"/>
          <w:sz w:val="24"/>
          <w:szCs w:val="24"/>
        </w:rPr>
        <w:t xml:space="preserve"> =</w:t>
      </w:r>
      <w:r w:rsidRPr="00C638DA">
        <w:rPr>
          <w:rStyle w:val="mord"/>
          <w:rFonts w:ascii="Times New Roman" w:hAnsi="Times New Roman" w:cs="Times New Roman"/>
          <w:sz w:val="24"/>
          <w:szCs w:val="24"/>
        </w:rPr>
        <w:t>α</w:t>
      </w:r>
      <w:r w:rsidRPr="00C638DA">
        <w:rPr>
          <w:rStyle w:val="mbin"/>
          <w:rFonts w:ascii="Times New Roman" w:hAnsi="Times New Roman" w:cs="Times New Roman"/>
          <w:sz w:val="24"/>
          <w:szCs w:val="24"/>
        </w:rPr>
        <w:t>+</w:t>
      </w:r>
      <w:r w:rsidRPr="00C638DA">
        <w:rPr>
          <w:rStyle w:val="mord"/>
          <w:rFonts w:ascii="Times New Roman" w:hAnsi="Times New Roman" w:cs="Times New Roman"/>
          <w:sz w:val="24"/>
          <w:szCs w:val="24"/>
        </w:rPr>
        <w:t>β</w:t>
      </w:r>
      <w:r w:rsidRPr="00C638DA">
        <w:rPr>
          <w:rStyle w:val="mbin"/>
          <w:rFonts w:ascii="Cambria Math" w:hAnsi="Cambria Math" w:cs="Cambria Math"/>
          <w:sz w:val="24"/>
          <w:szCs w:val="24"/>
        </w:rPr>
        <w:t>⋅</w:t>
      </w:r>
      <w:r w:rsidRPr="00C638DA">
        <w:rPr>
          <w:rStyle w:val="mop"/>
          <w:rFonts w:ascii="Times New Roman" w:hAnsi="Times New Roman" w:cs="Times New Roman"/>
          <w:sz w:val="24"/>
          <w:szCs w:val="24"/>
        </w:rPr>
        <w:t>log</w:t>
      </w:r>
      <w:r w:rsidRPr="00C638DA">
        <w:rPr>
          <w:rStyle w:val="mopen"/>
          <w:rFonts w:ascii="Times New Roman" w:hAnsi="Times New Roman" w:cs="Times New Roman"/>
          <w:sz w:val="24"/>
          <w:szCs w:val="24"/>
        </w:rPr>
        <w:t xml:space="preserve"> (</w:t>
      </w:r>
      <w:r w:rsidRPr="00C638DA">
        <w:rPr>
          <w:rStyle w:val="mord"/>
          <w:rFonts w:ascii="Times New Roman" w:hAnsi="Times New Roman" w:cs="Times New Roman"/>
          <w:sz w:val="24"/>
          <w:szCs w:val="24"/>
        </w:rPr>
        <w:t>GSDP</w:t>
      </w:r>
      <w:r w:rsidRPr="00C638DA">
        <w:rPr>
          <w:rStyle w:val="mclose"/>
          <w:rFonts w:ascii="Times New Roman" w:hAnsi="Times New Roman" w:cs="Times New Roman"/>
          <w:sz w:val="24"/>
          <w:szCs w:val="24"/>
        </w:rPr>
        <w:t>)</w:t>
      </w:r>
      <w:r w:rsidRPr="00C638DA">
        <w:rPr>
          <w:rStyle w:val="mbin"/>
          <w:rFonts w:ascii="Times New Roman" w:hAnsi="Times New Roman" w:cs="Times New Roman"/>
          <w:sz w:val="24"/>
          <w:szCs w:val="24"/>
        </w:rPr>
        <w:t>+</w:t>
      </w:r>
      <w:r w:rsidRPr="00C638DA">
        <w:rPr>
          <w:rStyle w:val="mord"/>
          <w:rFonts w:ascii="Times New Roman" w:hAnsi="Times New Roman" w:cs="Times New Roman"/>
          <w:sz w:val="24"/>
          <w:szCs w:val="24"/>
        </w:rPr>
        <w:t>μ</w:t>
      </w:r>
    </w:p>
    <w:p w14:paraId="6B920427" w14:textId="77777777" w:rsidR="0024615D" w:rsidRPr="00C638DA" w:rsidRDefault="0024615D" w:rsidP="00A57A0A">
      <w:pPr>
        <w:spacing w:after="0" w:line="276" w:lineRule="auto"/>
        <w:jc w:val="both"/>
        <w:rPr>
          <w:rFonts w:ascii="Times New Roman" w:eastAsia="Times New Roman" w:hAnsi="Times New Roman" w:cs="Times New Roman"/>
          <w:kern w:val="0"/>
          <w:sz w:val="24"/>
          <w:szCs w:val="24"/>
          <w:lang w:eastAsia="en-IN" w:bidi="hi-IN"/>
          <w14:ligatures w14:val="none"/>
        </w:rPr>
      </w:pPr>
      <w:r w:rsidRPr="00C638DA">
        <w:rPr>
          <w:rFonts w:ascii="Times New Roman" w:eastAsia="Times New Roman" w:hAnsi="Times New Roman" w:cs="Times New Roman"/>
          <w:kern w:val="0"/>
          <w:sz w:val="24"/>
          <w:szCs w:val="24"/>
          <w:lang w:eastAsia="en-IN" w:bidi="hi-IN"/>
          <w14:ligatures w14:val="none"/>
        </w:rPr>
        <w:t>The analysis focuses on estimating tax buoyancy rather than elasticity, as the consistent and disaggregated time-series data required to isolate the effects of discretionary tax policy changes—essential for elasticity estimation—are not available. Buoyancy, therefore, serves as a practical and comprehensive measure, capturing the combined effects of economic growth and policy initiatives on tax revenue mobilization in the State.</w:t>
      </w:r>
    </w:p>
    <w:p w14:paraId="0A01B6AA" w14:textId="5B745109" w:rsidR="00365385" w:rsidRPr="00C638DA" w:rsidRDefault="00365385" w:rsidP="00A57A0A">
      <w:pPr>
        <w:spacing w:after="0" w:line="276" w:lineRule="auto"/>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In addition to buoyancy estimation, a longitudinal analysis is undertaken to examine structural changes in the composition of Own Tax Revenue (OTR), with particular emphasis on the post-</w:t>
      </w:r>
      <w:r w:rsidRPr="00C638DA">
        <w:rPr>
          <w:rFonts w:ascii="Times New Roman" w:eastAsia="Times New Roman" w:hAnsi="Times New Roman" w:cs="Times New Roman"/>
          <w:kern w:val="0"/>
          <w:sz w:val="24"/>
          <w:szCs w:val="24"/>
          <w:lang w:eastAsia="en-IN"/>
          <w14:ligatures w14:val="none"/>
        </w:rPr>
        <w:lastRenderedPageBreak/>
        <w:t>GST period (2017–2021) to assess the Goods and Services Tax’s impact on state revenues. Key fiscal indicators—Revenue Deficit (RD), Fiscal Deficit (FD), and Primary Deficit (PD)—are also analysed and benchmarked against the averages of</w:t>
      </w:r>
      <w:r w:rsidR="00796354" w:rsidRPr="00C638DA">
        <w:t xml:space="preserve"> </w:t>
      </w:r>
      <w:r w:rsidR="00796354" w:rsidRPr="00C638DA">
        <w:rPr>
          <w:rFonts w:ascii="Times New Roman" w:hAnsi="Times New Roman" w:cs="Times New Roman"/>
          <w:sz w:val="24"/>
          <w:szCs w:val="24"/>
        </w:rPr>
        <w:t>Special Category States (SCSs),</w:t>
      </w:r>
      <w:r w:rsidR="00796354" w:rsidRPr="00C638DA">
        <w:t xml:space="preserve"> </w:t>
      </w:r>
      <w:r w:rsidR="00796354" w:rsidRPr="00C638DA">
        <w:rPr>
          <w:rFonts w:ascii="Times New Roman" w:eastAsia="Times New Roman" w:hAnsi="Times New Roman" w:cs="Times New Roman"/>
          <w:kern w:val="0"/>
          <w:sz w:val="24"/>
          <w:szCs w:val="24"/>
          <w:lang w:eastAsia="en-IN"/>
          <w14:ligatures w14:val="none"/>
        </w:rPr>
        <w:t>General</w:t>
      </w:r>
      <w:r w:rsidRPr="00C638DA">
        <w:rPr>
          <w:rFonts w:ascii="Times New Roman" w:eastAsia="Times New Roman" w:hAnsi="Times New Roman" w:cs="Times New Roman"/>
          <w:kern w:val="0"/>
          <w:sz w:val="24"/>
          <w:szCs w:val="24"/>
          <w:lang w:eastAsia="en-IN"/>
          <w14:ligatures w14:val="none"/>
        </w:rPr>
        <w:t xml:space="preserve"> Category States (GCS</w:t>
      </w:r>
      <w:r w:rsidR="00796354" w:rsidRPr="00C638DA">
        <w:rPr>
          <w:rFonts w:ascii="Times New Roman" w:eastAsia="Times New Roman" w:hAnsi="Times New Roman" w:cs="Times New Roman"/>
          <w:kern w:val="0"/>
          <w:sz w:val="24"/>
          <w:szCs w:val="24"/>
          <w:lang w:eastAsia="en-IN"/>
          <w14:ligatures w14:val="none"/>
        </w:rPr>
        <w:t>s</w:t>
      </w:r>
      <w:r w:rsidRPr="00C638DA">
        <w:rPr>
          <w:rFonts w:ascii="Times New Roman" w:eastAsia="Times New Roman" w:hAnsi="Times New Roman" w:cs="Times New Roman"/>
          <w:kern w:val="0"/>
          <w:sz w:val="24"/>
          <w:szCs w:val="24"/>
          <w:lang w:eastAsia="en-IN"/>
          <w14:ligatures w14:val="none"/>
        </w:rPr>
        <w:t>) and all-India states to contextualise Manipur’s fiscal performance.</w:t>
      </w:r>
    </w:p>
    <w:p w14:paraId="26F4F7E2" w14:textId="39179C25" w:rsidR="00365385" w:rsidRPr="00C638DA" w:rsidRDefault="00365385" w:rsidP="00A57A0A">
      <w:pPr>
        <w:spacing w:after="0" w:line="276" w:lineRule="auto"/>
        <w:outlineLvl w:val="2"/>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Variable Interpretation and Policy Relevance</w:t>
      </w:r>
      <w:r w:rsidR="0054155C" w:rsidRPr="00C638DA">
        <w:rPr>
          <w:rFonts w:ascii="Times New Roman" w:eastAsia="Times New Roman" w:hAnsi="Times New Roman" w:cs="Times New Roman"/>
          <w:kern w:val="0"/>
          <w:sz w:val="24"/>
          <w:szCs w:val="24"/>
          <w:lang w:eastAsia="en-IN"/>
          <w14:ligatures w14:val="none"/>
        </w:rPr>
        <w:t xml:space="preserve">: </w:t>
      </w:r>
      <w:r w:rsidR="0004623A" w:rsidRPr="00C638DA">
        <w:rPr>
          <w:rFonts w:ascii="Times New Roman" w:eastAsia="Times New Roman" w:hAnsi="Times New Roman" w:cs="Times New Roman"/>
          <w:kern w:val="0"/>
          <w:sz w:val="24"/>
          <w:szCs w:val="24"/>
          <w:lang w:eastAsia="en-IN"/>
          <w14:ligatures w14:val="none"/>
        </w:rPr>
        <w:t>T</w:t>
      </w:r>
      <w:r w:rsidR="0054155C" w:rsidRPr="00C638DA">
        <w:rPr>
          <w:rFonts w:ascii="Times New Roman" w:eastAsia="Times New Roman" w:hAnsi="Times New Roman" w:cs="Times New Roman"/>
          <w:kern w:val="0"/>
          <w:sz w:val="24"/>
          <w:szCs w:val="24"/>
          <w:lang w:eastAsia="en-IN"/>
          <w14:ligatures w14:val="none"/>
        </w:rPr>
        <w:t xml:space="preserve">his section explain the nature of </w:t>
      </w:r>
      <w:r w:rsidR="00A65771" w:rsidRPr="00C638DA">
        <w:rPr>
          <w:rFonts w:ascii="Times New Roman" w:eastAsia="Times New Roman" w:hAnsi="Times New Roman" w:cs="Times New Roman"/>
          <w:kern w:val="0"/>
          <w:sz w:val="24"/>
          <w:szCs w:val="24"/>
          <w:lang w:eastAsia="en-IN"/>
          <w14:ligatures w14:val="none"/>
        </w:rPr>
        <w:t>variables</w:t>
      </w:r>
      <w:r w:rsidR="0054155C" w:rsidRPr="00C638DA">
        <w:rPr>
          <w:rFonts w:ascii="Times New Roman" w:eastAsia="Times New Roman" w:hAnsi="Times New Roman" w:cs="Times New Roman"/>
          <w:kern w:val="0"/>
          <w:sz w:val="24"/>
          <w:szCs w:val="24"/>
          <w:lang w:eastAsia="en-IN"/>
          <w14:ligatures w14:val="none"/>
        </w:rPr>
        <w:t xml:space="preserve"> used in the study to attain said objectives</w:t>
      </w:r>
      <w:r w:rsidR="00A65771" w:rsidRPr="00C638DA">
        <w:rPr>
          <w:rFonts w:ascii="Times New Roman" w:eastAsia="Times New Roman" w:hAnsi="Times New Roman" w:cs="Times New Roman"/>
          <w:kern w:val="0"/>
          <w:sz w:val="24"/>
          <w:szCs w:val="24"/>
          <w:lang w:eastAsia="en-IN"/>
          <w14:ligatures w14:val="none"/>
        </w:rPr>
        <w:t xml:space="preserve"> by using said methodologies:</w:t>
      </w:r>
    </w:p>
    <w:p w14:paraId="37038078" w14:textId="0CD03CA8" w:rsidR="009B63A4" w:rsidRPr="00C638DA" w:rsidRDefault="00365385" w:rsidP="00A57A0A">
      <w:pPr>
        <w:numPr>
          <w:ilvl w:val="0"/>
          <w:numId w:val="3"/>
        </w:numPr>
        <w:spacing w:after="0" w:line="276" w:lineRule="auto"/>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 xml:space="preserve">Dependent </w:t>
      </w:r>
      <w:r w:rsidR="009B63A4" w:rsidRPr="00C638DA">
        <w:rPr>
          <w:rFonts w:ascii="Times New Roman" w:eastAsia="Times New Roman" w:hAnsi="Times New Roman" w:cs="Times New Roman"/>
          <w:kern w:val="0"/>
          <w:sz w:val="24"/>
          <w:szCs w:val="24"/>
          <w:lang w:eastAsia="en-IN"/>
          <w14:ligatures w14:val="none"/>
        </w:rPr>
        <w:t>Variable –</w:t>
      </w:r>
      <w:r w:rsidRPr="00C638DA">
        <w:rPr>
          <w:rFonts w:ascii="Times New Roman" w:eastAsia="Times New Roman" w:hAnsi="Times New Roman" w:cs="Times New Roman"/>
          <w:kern w:val="0"/>
          <w:sz w:val="24"/>
          <w:szCs w:val="24"/>
          <w:lang w:eastAsia="en-IN"/>
          <w14:ligatures w14:val="none"/>
        </w:rPr>
        <w:t xml:space="preserve"> </w:t>
      </w:r>
      <w:r w:rsidR="00491727" w:rsidRPr="00C638DA">
        <w:rPr>
          <w:rFonts w:ascii="Times New Roman" w:eastAsia="Times New Roman" w:hAnsi="Times New Roman" w:cs="Times New Roman"/>
          <w:kern w:val="0"/>
          <w:sz w:val="24"/>
          <w:szCs w:val="24"/>
          <w:lang w:eastAsia="en-IN"/>
          <w14:ligatures w14:val="none"/>
        </w:rPr>
        <w:t xml:space="preserve">Own </w:t>
      </w:r>
      <w:r w:rsidRPr="00C638DA">
        <w:rPr>
          <w:rFonts w:ascii="Times New Roman" w:eastAsia="Times New Roman" w:hAnsi="Times New Roman" w:cs="Times New Roman"/>
          <w:kern w:val="0"/>
          <w:sz w:val="24"/>
          <w:szCs w:val="24"/>
          <w:lang w:eastAsia="en-IN"/>
          <w14:ligatures w14:val="none"/>
        </w:rPr>
        <w:t>Tax Revenue</w:t>
      </w:r>
      <w:r w:rsidR="00491727" w:rsidRPr="00C638DA">
        <w:rPr>
          <w:rFonts w:ascii="Times New Roman" w:eastAsia="Times New Roman" w:hAnsi="Times New Roman" w:cs="Times New Roman"/>
          <w:kern w:val="0"/>
          <w:sz w:val="24"/>
          <w:szCs w:val="24"/>
          <w:lang w:eastAsia="en-IN"/>
          <w14:ligatures w14:val="none"/>
        </w:rPr>
        <w:t xml:space="preserve"> &amp; Total Owan Tax Revenue</w:t>
      </w:r>
    </w:p>
    <w:p w14:paraId="1ED66F92" w14:textId="0767DFDB" w:rsidR="00365385" w:rsidRPr="00C638DA" w:rsidRDefault="00365385" w:rsidP="00A57A0A">
      <w:pPr>
        <w:spacing w:after="0" w:line="276" w:lineRule="auto"/>
        <w:ind w:left="720"/>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Represents Manipur’s total tax revenue, with a focus on Own Tax Revenue (OTR), including:</w:t>
      </w:r>
    </w:p>
    <w:p w14:paraId="2382FF0B" w14:textId="77777777" w:rsidR="00365385" w:rsidRPr="00C638DA" w:rsidRDefault="00365385" w:rsidP="00A57A0A">
      <w:pPr>
        <w:numPr>
          <w:ilvl w:val="1"/>
          <w:numId w:val="4"/>
        </w:numPr>
        <w:spacing w:after="0"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State GST (SGST) and other major indirect taxes.</w:t>
      </w:r>
    </w:p>
    <w:p w14:paraId="737F1C04" w14:textId="77777777" w:rsidR="00365385" w:rsidRPr="00C638DA" w:rsidRDefault="00365385" w:rsidP="00A57A0A">
      <w:pPr>
        <w:numPr>
          <w:ilvl w:val="1"/>
          <w:numId w:val="4"/>
        </w:num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Pre-GST revenues such as State Sales Tax and State Excise Duty.</w:t>
      </w:r>
    </w:p>
    <w:p w14:paraId="6E62A92E" w14:textId="4C203B75" w:rsidR="00365385" w:rsidRPr="00C638DA" w:rsidRDefault="00365385" w:rsidP="00A57A0A">
      <w:pPr>
        <w:numPr>
          <w:ilvl w:val="1"/>
          <w:numId w:val="4"/>
        </w:numPr>
        <w:spacing w:after="0"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Minor components like taxes on vehicles, stamp duty, and registration fees</w:t>
      </w:r>
      <w:r w:rsidR="00491727" w:rsidRPr="00C638DA">
        <w:rPr>
          <w:rFonts w:ascii="Times New Roman" w:eastAsia="Times New Roman" w:hAnsi="Times New Roman" w:cs="Times New Roman"/>
          <w:kern w:val="0"/>
          <w:sz w:val="24"/>
          <w:szCs w:val="24"/>
          <w:lang w:eastAsia="en-IN"/>
          <w14:ligatures w14:val="none"/>
        </w:rPr>
        <w:t xml:space="preserve"> etc.</w:t>
      </w:r>
    </w:p>
    <w:p w14:paraId="5A0140EC" w14:textId="77777777" w:rsidR="00365385" w:rsidRPr="00C638DA" w:rsidRDefault="00365385" w:rsidP="00A57A0A">
      <w:pPr>
        <w:numPr>
          <w:ilvl w:val="0"/>
          <w:numId w:val="3"/>
        </w:numPr>
        <w:spacing w:after="0" w:line="276" w:lineRule="auto"/>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Explanatory Variable – Gross State Domestic Product (GSDP)</w:t>
      </w:r>
      <w:r w:rsidRPr="00C638DA">
        <w:rPr>
          <w:rFonts w:ascii="Times New Roman" w:eastAsia="Times New Roman" w:hAnsi="Times New Roman" w:cs="Times New Roman"/>
          <w:kern w:val="0"/>
          <w:sz w:val="24"/>
          <w:szCs w:val="24"/>
          <w:lang w:eastAsia="en-IN"/>
          <w14:ligatures w14:val="none"/>
        </w:rPr>
        <w:br/>
        <w:t>Reflects the size and growth of Manipur’s economy, capturing sectoral composition and changes in economic activity that influence the tax base.</w:t>
      </w:r>
    </w:p>
    <w:p w14:paraId="53A8F718" w14:textId="77777777" w:rsidR="00DC0D43" w:rsidRPr="00C638DA" w:rsidRDefault="00365385" w:rsidP="00A57A0A">
      <w:pPr>
        <w:numPr>
          <w:ilvl w:val="0"/>
          <w:numId w:val="3"/>
        </w:numPr>
        <w:spacing w:after="0"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Buoyancy Coefficient (β)</w:t>
      </w:r>
      <w:r w:rsidRPr="00C638DA">
        <w:rPr>
          <w:rFonts w:ascii="Times New Roman" w:eastAsia="Times New Roman" w:hAnsi="Times New Roman" w:cs="Times New Roman"/>
          <w:kern w:val="0"/>
          <w:sz w:val="24"/>
          <w:szCs w:val="24"/>
          <w:lang w:eastAsia="en-IN"/>
          <w14:ligatures w14:val="none"/>
        </w:rPr>
        <w:br/>
        <w:t>Measures the percentage change in tax revenue resulting from a 1% change in GSDP:</w:t>
      </w:r>
    </w:p>
    <w:p w14:paraId="6E6F402D" w14:textId="77777777" w:rsidR="00DC0D43" w:rsidRPr="00C638DA" w:rsidRDefault="00365385" w:rsidP="00A57A0A">
      <w:pPr>
        <w:pStyle w:val="ListParagraph"/>
        <w:numPr>
          <w:ilvl w:val="0"/>
          <w:numId w:val="6"/>
        </w:numPr>
        <w:spacing w:after="0" w:line="276" w:lineRule="auto"/>
        <w:ind w:left="1134" w:hanging="284"/>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β=1: Tax revenue grows proportionately with GSDP.</w:t>
      </w:r>
    </w:p>
    <w:p w14:paraId="60514EE1" w14:textId="0BDE6903" w:rsidR="00365385" w:rsidRPr="00C638DA" w:rsidRDefault="00365385" w:rsidP="00A57A0A">
      <w:pPr>
        <w:pStyle w:val="ListParagraph"/>
        <w:numPr>
          <w:ilvl w:val="0"/>
          <w:numId w:val="6"/>
        </w:numPr>
        <w:spacing w:after="0" w:line="276" w:lineRule="auto"/>
        <w:ind w:left="1134" w:hanging="284"/>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β&gt;1: Revenue grows faster than the economy, indicating high buoyancy—possibly due to improved tax compliance, policy reforms, or expansion of the tax base.</w:t>
      </w:r>
    </w:p>
    <w:p w14:paraId="2A4BE87A" w14:textId="70DB08DC" w:rsidR="00365385" w:rsidRPr="00C638DA" w:rsidRDefault="00365385" w:rsidP="00A57A0A">
      <w:pPr>
        <w:numPr>
          <w:ilvl w:val="1"/>
          <w:numId w:val="5"/>
        </w:numPr>
        <w:spacing w:after="0" w:line="276" w:lineRule="auto"/>
        <w:ind w:left="1134" w:hanging="284"/>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β&lt;1: Revenue grows slower than GSDP, signalling structural constraints such as informality, exemptions, or weak enforcement.</w:t>
      </w:r>
    </w:p>
    <w:p w14:paraId="6D2423EC" w14:textId="42BA4333" w:rsidR="00365385" w:rsidRPr="00C638DA" w:rsidRDefault="00365385" w:rsidP="00A57A0A">
      <w:pPr>
        <w:numPr>
          <w:ilvl w:val="0"/>
          <w:numId w:val="3"/>
        </w:numPr>
        <w:spacing w:after="0"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Constant Term (α)</w:t>
      </w:r>
      <w:r w:rsidRPr="00C638DA">
        <w:rPr>
          <w:rFonts w:ascii="Times New Roman" w:eastAsia="Times New Roman" w:hAnsi="Times New Roman" w:cs="Times New Roman"/>
          <w:kern w:val="0"/>
          <w:sz w:val="24"/>
          <w:szCs w:val="24"/>
          <w:lang w:eastAsia="en-IN"/>
          <w14:ligatures w14:val="none"/>
        </w:rPr>
        <w:br/>
      </w:r>
      <w:r w:rsidR="00956714" w:rsidRPr="00C638DA">
        <w:rPr>
          <w:rFonts w:ascii="Times New Roman" w:hAnsi="Times New Roman" w:cs="Times New Roman"/>
          <w:sz w:val="24"/>
          <w:szCs w:val="24"/>
        </w:rPr>
        <w:t xml:space="preserve">α intercept level of </w:t>
      </w:r>
      <w:r w:rsidR="00956714" w:rsidRPr="00C638DA">
        <w:rPr>
          <w:rStyle w:val="Strong"/>
          <w:rFonts w:ascii="Times New Roman" w:hAnsi="Times New Roman" w:cs="Times New Roman"/>
          <w:b w:val="0"/>
          <w:bCs w:val="0"/>
          <w:sz w:val="24"/>
          <w:szCs w:val="24"/>
        </w:rPr>
        <w:t>own tax revenue</w:t>
      </w:r>
      <w:r w:rsidR="00956714" w:rsidRPr="00C638DA">
        <w:rPr>
          <w:rFonts w:ascii="Times New Roman" w:hAnsi="Times New Roman" w:cs="Times New Roman"/>
          <w:sz w:val="24"/>
          <w:szCs w:val="24"/>
        </w:rPr>
        <w:t xml:space="preserve"> that exists </w:t>
      </w:r>
      <w:r w:rsidR="00956714" w:rsidRPr="00C638DA">
        <w:rPr>
          <w:rStyle w:val="Strong"/>
          <w:rFonts w:ascii="Times New Roman" w:hAnsi="Times New Roman" w:cs="Times New Roman"/>
          <w:b w:val="0"/>
          <w:bCs w:val="0"/>
          <w:sz w:val="24"/>
          <w:szCs w:val="24"/>
        </w:rPr>
        <w:t>independent of GSDP growth</w:t>
      </w:r>
      <w:r w:rsidR="00956714" w:rsidRPr="00C638DA">
        <w:rPr>
          <w:rFonts w:ascii="Times New Roman" w:hAnsi="Times New Roman" w:cs="Times New Roman"/>
          <w:sz w:val="24"/>
          <w:szCs w:val="24"/>
        </w:rPr>
        <w:t xml:space="preserve"> and shows the underlying structural level of OTR that does not directly depend on GSDP, but on institutional and fixed sources within the tax system.</w:t>
      </w:r>
    </w:p>
    <w:p w14:paraId="4E964181" w14:textId="2BD37DF3" w:rsidR="004A6E6C" w:rsidRPr="00C638DA" w:rsidRDefault="00990D61" w:rsidP="00A57A0A">
      <w:pPr>
        <w:pStyle w:val="ListParagraph"/>
        <w:numPr>
          <w:ilvl w:val="0"/>
          <w:numId w:val="3"/>
        </w:numPr>
        <w:spacing w:before="100" w:beforeAutospacing="1" w:after="100" w:afterAutospacing="1" w:line="276" w:lineRule="auto"/>
      </w:pPr>
      <w:r w:rsidRPr="00C638DA">
        <w:rPr>
          <w:rStyle w:val="Strong"/>
          <w:b w:val="0"/>
          <w:bCs w:val="0"/>
        </w:rPr>
        <w:t xml:space="preserve"> </w:t>
      </w:r>
      <w:r w:rsidRPr="00C638DA">
        <w:rPr>
          <w:rStyle w:val="Strong"/>
          <w:rFonts w:ascii="Times New Roman" w:hAnsi="Times New Roman" w:cs="Times New Roman"/>
          <w:b w:val="0"/>
          <w:bCs w:val="0"/>
          <w:sz w:val="24"/>
          <w:szCs w:val="24"/>
        </w:rPr>
        <w:t>Error Term (μ):</w:t>
      </w:r>
      <w:r w:rsidRPr="00C638DA">
        <w:rPr>
          <w:rFonts w:ascii="Times New Roman" w:hAnsi="Times New Roman" w:cs="Times New Roman"/>
          <w:sz w:val="24"/>
          <w:szCs w:val="24"/>
        </w:rPr>
        <w:br/>
        <w:t>Captures unobserved factors affecting OTR not explained by GSDP, such as administrative efficiency, compliance behaviour, policy changes, economic shocks, and seasonal variations</w:t>
      </w:r>
      <w:r w:rsidRPr="00C638DA">
        <w:t>.</w:t>
      </w:r>
    </w:p>
    <w:p w14:paraId="390CCB2B" w14:textId="77777777" w:rsidR="003259DC" w:rsidRDefault="003259DC" w:rsidP="00A57A0A">
      <w:pPr>
        <w:spacing w:after="0" w:line="276" w:lineRule="auto"/>
        <w:jc w:val="center"/>
        <w:rPr>
          <w:rFonts w:ascii="Times New Roman" w:eastAsia="Times New Roman" w:hAnsi="Times New Roman" w:cs="Times New Roman"/>
          <w:b/>
          <w:bCs/>
          <w:kern w:val="0"/>
          <w:sz w:val="24"/>
          <w:szCs w:val="24"/>
          <w:lang w:eastAsia="en-IN"/>
          <w14:ligatures w14:val="none"/>
        </w:rPr>
      </w:pPr>
    </w:p>
    <w:p w14:paraId="4B91B448" w14:textId="77777777" w:rsidR="00C60C56" w:rsidRDefault="00C60C56" w:rsidP="00A57A0A">
      <w:pPr>
        <w:spacing w:after="0" w:line="276" w:lineRule="auto"/>
        <w:jc w:val="center"/>
        <w:rPr>
          <w:rFonts w:ascii="Times New Roman" w:eastAsia="Times New Roman" w:hAnsi="Times New Roman" w:cs="Times New Roman"/>
          <w:b/>
          <w:bCs/>
          <w:kern w:val="0"/>
          <w:sz w:val="24"/>
          <w:szCs w:val="24"/>
          <w:lang w:eastAsia="en-IN"/>
          <w14:ligatures w14:val="none"/>
        </w:rPr>
      </w:pPr>
    </w:p>
    <w:p w14:paraId="294847AC" w14:textId="77777777" w:rsidR="00C60C56" w:rsidRDefault="00C60C56" w:rsidP="00A57A0A">
      <w:pPr>
        <w:spacing w:after="0" w:line="276" w:lineRule="auto"/>
        <w:jc w:val="center"/>
        <w:rPr>
          <w:rFonts w:ascii="Times New Roman" w:eastAsia="Times New Roman" w:hAnsi="Times New Roman" w:cs="Times New Roman"/>
          <w:b/>
          <w:bCs/>
          <w:kern w:val="0"/>
          <w:sz w:val="24"/>
          <w:szCs w:val="24"/>
          <w:lang w:eastAsia="en-IN"/>
          <w14:ligatures w14:val="none"/>
        </w:rPr>
      </w:pPr>
    </w:p>
    <w:p w14:paraId="6F23CDD4" w14:textId="77777777" w:rsidR="00C60C56" w:rsidRDefault="00C60C56" w:rsidP="00A57A0A">
      <w:pPr>
        <w:spacing w:after="0" w:line="276" w:lineRule="auto"/>
        <w:jc w:val="center"/>
        <w:rPr>
          <w:rFonts w:ascii="Times New Roman" w:eastAsia="Times New Roman" w:hAnsi="Times New Roman" w:cs="Times New Roman"/>
          <w:b/>
          <w:bCs/>
          <w:kern w:val="0"/>
          <w:sz w:val="24"/>
          <w:szCs w:val="24"/>
          <w:lang w:eastAsia="en-IN"/>
          <w14:ligatures w14:val="none"/>
        </w:rPr>
      </w:pPr>
    </w:p>
    <w:p w14:paraId="06221F6C" w14:textId="5E7B3E2A" w:rsidR="009521E2" w:rsidRPr="00C638DA" w:rsidRDefault="00365385" w:rsidP="00A57A0A">
      <w:pPr>
        <w:spacing w:after="0" w:line="276" w:lineRule="auto"/>
        <w:jc w:val="center"/>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Limitations</w:t>
      </w:r>
      <w:r w:rsidR="009521E2" w:rsidRPr="00C638DA">
        <w:rPr>
          <w:rFonts w:ascii="Times New Roman" w:eastAsia="Times New Roman" w:hAnsi="Times New Roman" w:cs="Times New Roman"/>
          <w:kern w:val="0"/>
          <w:sz w:val="24"/>
          <w:szCs w:val="24"/>
          <w:lang w:eastAsia="en-IN"/>
          <w14:ligatures w14:val="none"/>
        </w:rPr>
        <w:t xml:space="preserve"> </w:t>
      </w:r>
      <w:r w:rsidR="009521E2" w:rsidRPr="00C638DA">
        <w:rPr>
          <w:rFonts w:ascii="Times New Roman" w:eastAsia="Times New Roman" w:hAnsi="Times New Roman" w:cs="Times New Roman"/>
          <w:b/>
          <w:bCs/>
          <w:kern w:val="0"/>
          <w:sz w:val="24"/>
          <w:szCs w:val="24"/>
          <w:lang w:eastAsia="en-IN"/>
          <w14:ligatures w14:val="none"/>
        </w:rPr>
        <w:t>of the Study</w:t>
      </w:r>
    </w:p>
    <w:p w14:paraId="3DA8B38C" w14:textId="77777777" w:rsidR="002221C0" w:rsidRPr="00C638DA" w:rsidRDefault="00365385" w:rsidP="00A57A0A">
      <w:pPr>
        <w:pStyle w:val="ListParagraph"/>
        <w:spacing w:after="0" w:line="276" w:lineRule="auto"/>
        <w:ind w:left="0"/>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The analysis is based solely on secondary data, which may be constrained by gaps or inconsistencies over a long time series. The linear regression framework assumes a constant proportional relationship between variables, which may oversimplify the complex dynamics of fiscal behaviour. Furthermore, qualitative factors</w:t>
      </w:r>
      <w:r w:rsidR="004A6E6C" w:rsidRPr="00C638DA">
        <w:rPr>
          <w:rFonts w:ascii="Times New Roman" w:eastAsia="Times New Roman" w:hAnsi="Times New Roman" w:cs="Times New Roman"/>
          <w:kern w:val="0"/>
          <w:sz w:val="24"/>
          <w:szCs w:val="24"/>
          <w:lang w:eastAsia="en-IN"/>
          <w14:ligatures w14:val="none"/>
        </w:rPr>
        <w:t xml:space="preserve"> </w:t>
      </w:r>
      <w:r w:rsidRPr="00C638DA">
        <w:rPr>
          <w:rFonts w:ascii="Times New Roman" w:eastAsia="Times New Roman" w:hAnsi="Times New Roman" w:cs="Times New Roman"/>
          <w:kern w:val="0"/>
          <w:sz w:val="24"/>
          <w:szCs w:val="24"/>
          <w:lang w:eastAsia="en-IN"/>
          <w14:ligatures w14:val="none"/>
        </w:rPr>
        <w:t>such as administrative efficiency, compliance challenges, and enforcement capacity</w:t>
      </w:r>
      <w:r w:rsidR="004A6E6C" w:rsidRPr="00C638DA">
        <w:rPr>
          <w:rFonts w:ascii="Times New Roman" w:eastAsia="Times New Roman" w:hAnsi="Times New Roman" w:cs="Times New Roman"/>
          <w:kern w:val="0"/>
          <w:sz w:val="24"/>
          <w:szCs w:val="24"/>
          <w:lang w:eastAsia="en-IN"/>
          <w14:ligatures w14:val="none"/>
        </w:rPr>
        <w:t xml:space="preserve"> </w:t>
      </w:r>
      <w:r w:rsidRPr="00C638DA">
        <w:rPr>
          <w:rFonts w:ascii="Times New Roman" w:eastAsia="Times New Roman" w:hAnsi="Times New Roman" w:cs="Times New Roman"/>
          <w:kern w:val="0"/>
          <w:sz w:val="24"/>
          <w:szCs w:val="24"/>
          <w:lang w:eastAsia="en-IN"/>
          <w14:ligatures w14:val="none"/>
        </w:rPr>
        <w:t>are not captured, even though they significantly influence tax performance.</w:t>
      </w:r>
    </w:p>
    <w:p w14:paraId="1B536B44" w14:textId="166BB919" w:rsidR="00504C34" w:rsidRPr="00C638DA" w:rsidRDefault="00404A28" w:rsidP="00A57A0A">
      <w:pPr>
        <w:pStyle w:val="ListParagraph"/>
        <w:spacing w:after="0" w:line="276" w:lineRule="auto"/>
        <w:ind w:left="0"/>
        <w:jc w:val="both"/>
        <w:rPr>
          <w:rFonts w:ascii="Times New Roman" w:eastAsia="Times New Roman" w:hAnsi="Times New Roman" w:cs="Times New Roman"/>
          <w:kern w:val="0"/>
          <w:sz w:val="24"/>
          <w:szCs w:val="24"/>
          <w:lang w:eastAsia="en-IN"/>
          <w14:ligatures w14:val="none"/>
        </w:rPr>
      </w:pPr>
      <w:r w:rsidRPr="00C638DA">
        <w:rPr>
          <w:rFonts w:ascii="Times New Roman" w:hAnsi="Times New Roman" w:cs="Times New Roman"/>
          <w:sz w:val="24"/>
          <w:szCs w:val="24"/>
        </w:rPr>
        <w:lastRenderedPageBreak/>
        <w:t>While the study acknowledges these limitations, an examination of Manipur’s fiscal indicators remains essential to understand the broader context within which Own Tax Revenue (OTR) operates. Indicators such as Revenue Deficit, Fiscal Deficit, and Primary Deficit provide a macro-level perspective on the state’s financial health, highlighting pressures that come from both revenue constraints and expenditure commitments. Against this backdrop, the following section reviews the key fiscal indicators of Manipur to situate the analysis of OTR within the state’s overall fiscal framework</w:t>
      </w:r>
      <w:r w:rsidRPr="00C638DA">
        <w:rPr>
          <w:sz w:val="24"/>
          <w:szCs w:val="24"/>
        </w:rPr>
        <w:t>.</w:t>
      </w:r>
    </w:p>
    <w:p w14:paraId="3F4E73E6" w14:textId="77777777" w:rsidR="003D4EC5" w:rsidRDefault="003D4EC5"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17F17E28" w14:textId="77777777" w:rsidR="00A57A0A" w:rsidRPr="00C638DA" w:rsidRDefault="00A57A0A"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0DB8DBDF" w14:textId="77777777" w:rsidR="003D4EC5" w:rsidRPr="00C638DA" w:rsidRDefault="00C67906" w:rsidP="00A57A0A">
      <w:pPr>
        <w:spacing w:after="0" w:line="276" w:lineRule="auto"/>
        <w:jc w:val="center"/>
        <w:outlineLvl w:val="2"/>
      </w:pPr>
      <w:r w:rsidRPr="00C638DA">
        <w:rPr>
          <w:rFonts w:ascii="Times New Roman" w:eastAsia="Times New Roman" w:hAnsi="Times New Roman" w:cs="Times New Roman"/>
          <w:b/>
          <w:bCs/>
          <w:kern w:val="0"/>
          <w:sz w:val="24"/>
          <w:szCs w:val="24"/>
          <w:lang w:eastAsia="en-IN"/>
          <w14:ligatures w14:val="none"/>
        </w:rPr>
        <w:t xml:space="preserve">Analysis of </w:t>
      </w:r>
      <w:r w:rsidR="00BA27DD" w:rsidRPr="00C638DA">
        <w:rPr>
          <w:rFonts w:ascii="Times New Roman" w:eastAsia="Times New Roman" w:hAnsi="Times New Roman" w:cs="Times New Roman"/>
          <w:b/>
          <w:bCs/>
          <w:kern w:val="0"/>
          <w:sz w:val="24"/>
          <w:szCs w:val="24"/>
          <w:lang w:eastAsia="en-IN"/>
          <w14:ligatures w14:val="none"/>
        </w:rPr>
        <w:t>Fiscal Key Indicators of Manipur State</w:t>
      </w:r>
    </w:p>
    <w:p w14:paraId="457F423A" w14:textId="08461BED" w:rsidR="00FD205C" w:rsidRPr="00C638DA" w:rsidRDefault="00FD205C" w:rsidP="00A57A0A">
      <w:pPr>
        <w:spacing w:after="0" w:line="276" w:lineRule="auto"/>
        <w:jc w:val="both"/>
        <w:outlineLvl w:val="2"/>
      </w:pPr>
      <w:r w:rsidRPr="00C638DA">
        <w:rPr>
          <w:rFonts w:ascii="Times New Roman" w:hAnsi="Times New Roman" w:cs="Times New Roman"/>
          <w:sz w:val="24"/>
          <w:szCs w:val="24"/>
        </w:rPr>
        <w:t>Table 1 presents the key fiscal indicators of Manipur, comparing trends in revenue deficit, fiscal deficit and primary deficits with the averages of Special Category States (SCS), General Category States (GCS), and all-India.</w:t>
      </w:r>
    </w:p>
    <w:p w14:paraId="4195C3DC" w14:textId="77777777" w:rsidR="007130F2" w:rsidRPr="00C638DA" w:rsidRDefault="007130F2" w:rsidP="00006E48">
      <w:pPr>
        <w:spacing w:after="0" w:line="240" w:lineRule="auto"/>
        <w:jc w:val="both"/>
        <w:outlineLvl w:val="2"/>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851"/>
        <w:gridCol w:w="850"/>
        <w:gridCol w:w="776"/>
        <w:gridCol w:w="850"/>
        <w:gridCol w:w="776"/>
        <w:gridCol w:w="776"/>
        <w:gridCol w:w="790"/>
        <w:gridCol w:w="776"/>
        <w:gridCol w:w="815"/>
        <w:gridCol w:w="776"/>
        <w:gridCol w:w="10"/>
      </w:tblGrid>
      <w:tr w:rsidR="00C638DA" w:rsidRPr="00C638DA" w14:paraId="5B69940A" w14:textId="77777777" w:rsidTr="000726E4">
        <w:trPr>
          <w:trHeight w:val="278"/>
          <w:jc w:val="center"/>
        </w:trPr>
        <w:tc>
          <w:tcPr>
            <w:tcW w:w="10400" w:type="dxa"/>
            <w:gridSpan w:val="12"/>
            <w:shd w:val="clear" w:color="000000" w:fill="FFFFFF"/>
            <w:vAlign w:val="center"/>
            <w:hideMark/>
          </w:tcPr>
          <w:p w14:paraId="22240892" w14:textId="77B8D7D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Table 1: Key Indicators of State Finances in Manipur</w:t>
            </w:r>
            <w:r w:rsidR="00457E2D" w:rsidRPr="00C638DA">
              <w:rPr>
                <w:rFonts w:ascii="Times New Roman" w:eastAsia="Times New Roman" w:hAnsi="Times New Roman" w:cs="Times New Roman"/>
                <w:b/>
                <w:bCs/>
                <w:kern w:val="0"/>
                <w:lang w:val="en-US" w:eastAsia="en-IN" w:bidi="hi-IN"/>
                <w14:ligatures w14:val="none"/>
              </w:rPr>
              <w:t xml:space="preserve"> as a percentage of GSDP</w:t>
            </w:r>
          </w:p>
        </w:tc>
      </w:tr>
      <w:tr w:rsidR="00C638DA" w:rsidRPr="00C638DA" w14:paraId="2D3A47E3" w14:textId="77777777" w:rsidTr="000726E4">
        <w:trPr>
          <w:gridAfter w:val="1"/>
          <w:wAfter w:w="10" w:type="dxa"/>
          <w:trHeight w:val="312"/>
          <w:jc w:val="center"/>
        </w:trPr>
        <w:tc>
          <w:tcPr>
            <w:tcW w:w="2354" w:type="dxa"/>
            <w:shd w:val="clear" w:color="000000" w:fill="FFFFFF"/>
            <w:vAlign w:val="center"/>
            <w:hideMark/>
          </w:tcPr>
          <w:p w14:paraId="7C613D03"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State/Union Territory</w:t>
            </w:r>
          </w:p>
        </w:tc>
        <w:tc>
          <w:tcPr>
            <w:tcW w:w="851" w:type="dxa"/>
            <w:shd w:val="clear" w:color="000000" w:fill="FFFFFF"/>
            <w:vAlign w:val="center"/>
            <w:hideMark/>
          </w:tcPr>
          <w:p w14:paraId="396EA62F"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2012-13</w:t>
            </w:r>
          </w:p>
        </w:tc>
        <w:tc>
          <w:tcPr>
            <w:tcW w:w="850" w:type="dxa"/>
            <w:shd w:val="clear" w:color="000000" w:fill="FFFFFF"/>
            <w:vAlign w:val="center"/>
            <w:hideMark/>
          </w:tcPr>
          <w:p w14:paraId="64EA29EB"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2013-14</w:t>
            </w:r>
          </w:p>
        </w:tc>
        <w:tc>
          <w:tcPr>
            <w:tcW w:w="776" w:type="dxa"/>
            <w:shd w:val="clear" w:color="000000" w:fill="FFFFFF"/>
            <w:vAlign w:val="center"/>
            <w:hideMark/>
          </w:tcPr>
          <w:p w14:paraId="06571C34"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2014-15</w:t>
            </w:r>
          </w:p>
        </w:tc>
        <w:tc>
          <w:tcPr>
            <w:tcW w:w="850" w:type="dxa"/>
            <w:shd w:val="clear" w:color="000000" w:fill="FFFFFF"/>
            <w:vAlign w:val="center"/>
            <w:hideMark/>
          </w:tcPr>
          <w:p w14:paraId="56E1A5B8"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2015-16</w:t>
            </w:r>
          </w:p>
        </w:tc>
        <w:tc>
          <w:tcPr>
            <w:tcW w:w="776" w:type="dxa"/>
            <w:shd w:val="clear" w:color="000000" w:fill="FFFFFF"/>
            <w:vAlign w:val="center"/>
            <w:hideMark/>
          </w:tcPr>
          <w:p w14:paraId="299F71D7"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2016-17</w:t>
            </w:r>
          </w:p>
        </w:tc>
        <w:tc>
          <w:tcPr>
            <w:tcW w:w="776" w:type="dxa"/>
            <w:shd w:val="clear" w:color="000000" w:fill="FFFFFF"/>
            <w:vAlign w:val="center"/>
            <w:hideMark/>
          </w:tcPr>
          <w:p w14:paraId="64DF1175"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2017-18</w:t>
            </w:r>
          </w:p>
        </w:tc>
        <w:tc>
          <w:tcPr>
            <w:tcW w:w="790" w:type="dxa"/>
            <w:shd w:val="clear" w:color="000000" w:fill="FFFFFF"/>
            <w:vAlign w:val="center"/>
            <w:hideMark/>
          </w:tcPr>
          <w:p w14:paraId="5CAD92DD"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2018-19</w:t>
            </w:r>
          </w:p>
        </w:tc>
        <w:tc>
          <w:tcPr>
            <w:tcW w:w="776" w:type="dxa"/>
            <w:shd w:val="clear" w:color="000000" w:fill="FFFFFF"/>
            <w:vAlign w:val="center"/>
            <w:hideMark/>
          </w:tcPr>
          <w:p w14:paraId="09E80E91"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2019-20</w:t>
            </w:r>
          </w:p>
        </w:tc>
        <w:tc>
          <w:tcPr>
            <w:tcW w:w="815" w:type="dxa"/>
            <w:shd w:val="clear" w:color="000000" w:fill="FFFFFF"/>
            <w:vAlign w:val="center"/>
            <w:hideMark/>
          </w:tcPr>
          <w:p w14:paraId="268381D5"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2020-21</w:t>
            </w:r>
          </w:p>
        </w:tc>
        <w:tc>
          <w:tcPr>
            <w:tcW w:w="776" w:type="dxa"/>
            <w:shd w:val="clear" w:color="000000" w:fill="FFFFFF"/>
            <w:vAlign w:val="center"/>
            <w:hideMark/>
          </w:tcPr>
          <w:p w14:paraId="1E1881DA"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2021-22</w:t>
            </w:r>
          </w:p>
        </w:tc>
      </w:tr>
      <w:tr w:rsidR="00C638DA" w:rsidRPr="00C638DA" w14:paraId="09CE2313" w14:textId="77777777" w:rsidTr="000726E4">
        <w:trPr>
          <w:gridAfter w:val="1"/>
          <w:wAfter w:w="10" w:type="dxa"/>
          <w:trHeight w:val="301"/>
          <w:jc w:val="center"/>
        </w:trPr>
        <w:tc>
          <w:tcPr>
            <w:tcW w:w="2354" w:type="dxa"/>
            <w:shd w:val="clear" w:color="000000" w:fill="FFFFFF"/>
            <w:vAlign w:val="center"/>
          </w:tcPr>
          <w:p w14:paraId="2FE49214" w14:textId="34895CCF" w:rsidR="00CC21A7" w:rsidRPr="00C638DA" w:rsidRDefault="00CC21A7" w:rsidP="005F10FE">
            <w:pPr>
              <w:spacing w:after="0" w:line="240" w:lineRule="auto"/>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Revenue Deficit</w:t>
            </w:r>
            <w:r w:rsidR="003A2F46" w:rsidRPr="00C638DA">
              <w:rPr>
                <w:rFonts w:ascii="Times New Roman" w:eastAsia="Times New Roman" w:hAnsi="Times New Roman" w:cs="Times New Roman"/>
                <w:b/>
                <w:bCs/>
                <w:kern w:val="0"/>
                <w:lang w:val="en-US" w:eastAsia="en-IN" w:bidi="hi-IN"/>
                <w14:ligatures w14:val="none"/>
              </w:rPr>
              <w:t xml:space="preserve"> of Manipur</w:t>
            </w:r>
          </w:p>
        </w:tc>
        <w:tc>
          <w:tcPr>
            <w:tcW w:w="851" w:type="dxa"/>
            <w:noWrap/>
            <w:vAlign w:val="bottom"/>
          </w:tcPr>
          <w:p w14:paraId="6EC4CF19"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-10.9</w:t>
            </w:r>
          </w:p>
        </w:tc>
        <w:tc>
          <w:tcPr>
            <w:tcW w:w="850" w:type="dxa"/>
            <w:noWrap/>
            <w:vAlign w:val="bottom"/>
          </w:tcPr>
          <w:p w14:paraId="0F49D704"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-9.7</w:t>
            </w:r>
          </w:p>
        </w:tc>
        <w:tc>
          <w:tcPr>
            <w:tcW w:w="776" w:type="dxa"/>
            <w:noWrap/>
            <w:vAlign w:val="bottom"/>
          </w:tcPr>
          <w:p w14:paraId="1ECA5B58"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-4.0</w:t>
            </w:r>
          </w:p>
        </w:tc>
        <w:tc>
          <w:tcPr>
            <w:tcW w:w="850" w:type="dxa"/>
            <w:noWrap/>
            <w:vAlign w:val="bottom"/>
          </w:tcPr>
          <w:p w14:paraId="541EFCDC"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-4.6</w:t>
            </w:r>
          </w:p>
        </w:tc>
        <w:tc>
          <w:tcPr>
            <w:tcW w:w="776" w:type="dxa"/>
            <w:noWrap/>
            <w:vAlign w:val="bottom"/>
          </w:tcPr>
          <w:p w14:paraId="43D75F1C"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-4.4</w:t>
            </w:r>
          </w:p>
        </w:tc>
        <w:tc>
          <w:tcPr>
            <w:tcW w:w="776" w:type="dxa"/>
            <w:noWrap/>
            <w:vAlign w:val="bottom"/>
          </w:tcPr>
          <w:p w14:paraId="3868912F"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-4.2</w:t>
            </w:r>
          </w:p>
        </w:tc>
        <w:tc>
          <w:tcPr>
            <w:tcW w:w="790" w:type="dxa"/>
            <w:noWrap/>
            <w:vAlign w:val="bottom"/>
          </w:tcPr>
          <w:p w14:paraId="1E969403"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-3.0</w:t>
            </w:r>
          </w:p>
        </w:tc>
        <w:tc>
          <w:tcPr>
            <w:tcW w:w="776" w:type="dxa"/>
            <w:noWrap/>
            <w:vAlign w:val="bottom"/>
          </w:tcPr>
          <w:p w14:paraId="11B90C10"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-1.4</w:t>
            </w:r>
          </w:p>
        </w:tc>
        <w:tc>
          <w:tcPr>
            <w:tcW w:w="815" w:type="dxa"/>
            <w:noWrap/>
            <w:vAlign w:val="bottom"/>
          </w:tcPr>
          <w:p w14:paraId="0310748B"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-2.4</w:t>
            </w:r>
          </w:p>
        </w:tc>
        <w:tc>
          <w:tcPr>
            <w:tcW w:w="776" w:type="dxa"/>
            <w:noWrap/>
            <w:vAlign w:val="bottom"/>
          </w:tcPr>
          <w:p w14:paraId="2953AADA"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w:t>
            </w:r>
          </w:p>
        </w:tc>
      </w:tr>
      <w:tr w:rsidR="00C638DA" w:rsidRPr="00C638DA" w14:paraId="765E7F37" w14:textId="77777777" w:rsidTr="000726E4">
        <w:trPr>
          <w:gridAfter w:val="1"/>
          <w:wAfter w:w="10" w:type="dxa"/>
          <w:trHeight w:val="301"/>
          <w:jc w:val="center"/>
        </w:trPr>
        <w:tc>
          <w:tcPr>
            <w:tcW w:w="2354" w:type="dxa"/>
            <w:shd w:val="clear" w:color="000000" w:fill="FFFFFF"/>
            <w:vAlign w:val="center"/>
          </w:tcPr>
          <w:p w14:paraId="7410A5E8" w14:textId="53F2D17A"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RD of SCS</w:t>
            </w:r>
          </w:p>
        </w:tc>
        <w:tc>
          <w:tcPr>
            <w:tcW w:w="851" w:type="dxa"/>
            <w:noWrap/>
            <w:vAlign w:val="bottom"/>
          </w:tcPr>
          <w:p w14:paraId="3DB99CC2" w14:textId="255B1B60"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-1.8</w:t>
            </w:r>
          </w:p>
        </w:tc>
        <w:tc>
          <w:tcPr>
            <w:tcW w:w="850" w:type="dxa"/>
            <w:noWrap/>
            <w:vAlign w:val="bottom"/>
          </w:tcPr>
          <w:p w14:paraId="14BF9279" w14:textId="3335F47D"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-0.8</w:t>
            </w:r>
          </w:p>
        </w:tc>
        <w:tc>
          <w:tcPr>
            <w:tcW w:w="776" w:type="dxa"/>
            <w:noWrap/>
            <w:vAlign w:val="bottom"/>
          </w:tcPr>
          <w:p w14:paraId="1462F730" w14:textId="37F1253F"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-0.3</w:t>
            </w:r>
          </w:p>
        </w:tc>
        <w:tc>
          <w:tcPr>
            <w:tcW w:w="850" w:type="dxa"/>
            <w:noWrap/>
            <w:vAlign w:val="bottom"/>
          </w:tcPr>
          <w:p w14:paraId="33B1AE00" w14:textId="392EA074"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-1.4</w:t>
            </w:r>
          </w:p>
        </w:tc>
        <w:tc>
          <w:tcPr>
            <w:tcW w:w="776" w:type="dxa"/>
            <w:noWrap/>
            <w:vAlign w:val="bottom"/>
          </w:tcPr>
          <w:p w14:paraId="426D0D5E" w14:textId="4CCE4F5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-1.2</w:t>
            </w:r>
          </w:p>
        </w:tc>
        <w:tc>
          <w:tcPr>
            <w:tcW w:w="776" w:type="dxa"/>
            <w:noWrap/>
            <w:vAlign w:val="bottom"/>
          </w:tcPr>
          <w:p w14:paraId="6CA6A10B" w14:textId="21C5B3B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-1.3</w:t>
            </w:r>
          </w:p>
        </w:tc>
        <w:tc>
          <w:tcPr>
            <w:tcW w:w="790" w:type="dxa"/>
            <w:noWrap/>
            <w:vAlign w:val="bottom"/>
          </w:tcPr>
          <w:p w14:paraId="4F7D114A" w14:textId="388C2C6D"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-0.9</w:t>
            </w:r>
          </w:p>
        </w:tc>
        <w:tc>
          <w:tcPr>
            <w:tcW w:w="776" w:type="dxa"/>
            <w:noWrap/>
            <w:vAlign w:val="bottom"/>
          </w:tcPr>
          <w:p w14:paraId="0C0D2C1D" w14:textId="74912D3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0.4</w:t>
            </w:r>
          </w:p>
        </w:tc>
        <w:tc>
          <w:tcPr>
            <w:tcW w:w="815" w:type="dxa"/>
            <w:noWrap/>
            <w:vAlign w:val="bottom"/>
          </w:tcPr>
          <w:p w14:paraId="7061FB0C" w14:textId="00813642"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-0.6</w:t>
            </w:r>
          </w:p>
        </w:tc>
        <w:tc>
          <w:tcPr>
            <w:tcW w:w="776" w:type="dxa"/>
            <w:noWrap/>
            <w:vAlign w:val="bottom"/>
          </w:tcPr>
          <w:p w14:paraId="79E8E322" w14:textId="780B4556"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noProof/>
              </w:rPr>
              <w:t>-5.3</w:t>
            </w:r>
          </w:p>
        </w:tc>
      </w:tr>
      <w:tr w:rsidR="00C638DA" w:rsidRPr="00C638DA" w14:paraId="75EC5C7B" w14:textId="77777777" w:rsidTr="000726E4">
        <w:trPr>
          <w:gridAfter w:val="1"/>
          <w:wAfter w:w="10" w:type="dxa"/>
          <w:trHeight w:val="301"/>
          <w:jc w:val="center"/>
        </w:trPr>
        <w:tc>
          <w:tcPr>
            <w:tcW w:w="2354" w:type="dxa"/>
            <w:shd w:val="clear" w:color="000000" w:fill="FFFFFF"/>
            <w:vAlign w:val="center"/>
          </w:tcPr>
          <w:p w14:paraId="191D8E69" w14:textId="641619BA"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 xml:space="preserve">Average RD of GCS </w:t>
            </w:r>
          </w:p>
        </w:tc>
        <w:tc>
          <w:tcPr>
            <w:tcW w:w="851" w:type="dxa"/>
            <w:noWrap/>
            <w:vAlign w:val="bottom"/>
          </w:tcPr>
          <w:p w14:paraId="1DED162F" w14:textId="3EE5EA35"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850" w:type="dxa"/>
            <w:noWrap/>
            <w:vAlign w:val="bottom"/>
          </w:tcPr>
          <w:p w14:paraId="2B78B9DB" w14:textId="1556D3D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0.2</w:t>
            </w:r>
          </w:p>
        </w:tc>
        <w:tc>
          <w:tcPr>
            <w:tcW w:w="776" w:type="dxa"/>
            <w:noWrap/>
            <w:vAlign w:val="bottom"/>
          </w:tcPr>
          <w:p w14:paraId="517EC38D" w14:textId="3F0997C0"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0.4</w:t>
            </w:r>
          </w:p>
        </w:tc>
        <w:tc>
          <w:tcPr>
            <w:tcW w:w="850" w:type="dxa"/>
            <w:noWrap/>
            <w:vAlign w:val="bottom"/>
          </w:tcPr>
          <w:p w14:paraId="0720CC85" w14:textId="6E0F86E0"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776" w:type="dxa"/>
            <w:noWrap/>
            <w:vAlign w:val="bottom"/>
          </w:tcPr>
          <w:p w14:paraId="1052CB0F" w14:textId="64B62F5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0.4</w:t>
            </w:r>
          </w:p>
        </w:tc>
        <w:tc>
          <w:tcPr>
            <w:tcW w:w="776" w:type="dxa"/>
            <w:noWrap/>
            <w:vAlign w:val="bottom"/>
          </w:tcPr>
          <w:p w14:paraId="5344AF87" w14:textId="3C421EA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0.2</w:t>
            </w:r>
          </w:p>
        </w:tc>
        <w:tc>
          <w:tcPr>
            <w:tcW w:w="790" w:type="dxa"/>
            <w:noWrap/>
            <w:vAlign w:val="bottom"/>
          </w:tcPr>
          <w:p w14:paraId="0D0EA6E9" w14:textId="4F9EB98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0.2</w:t>
            </w:r>
          </w:p>
        </w:tc>
        <w:tc>
          <w:tcPr>
            <w:tcW w:w="776" w:type="dxa"/>
            <w:noWrap/>
            <w:vAlign w:val="bottom"/>
          </w:tcPr>
          <w:p w14:paraId="0625FC75" w14:textId="1740F146"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0.7</w:t>
            </w:r>
          </w:p>
        </w:tc>
        <w:tc>
          <w:tcPr>
            <w:tcW w:w="815" w:type="dxa"/>
            <w:noWrap/>
            <w:vAlign w:val="bottom"/>
          </w:tcPr>
          <w:p w14:paraId="7A52D6BD" w14:textId="3174D3DC"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2.1</w:t>
            </w:r>
          </w:p>
        </w:tc>
        <w:tc>
          <w:tcPr>
            <w:tcW w:w="776" w:type="dxa"/>
            <w:noWrap/>
            <w:vAlign w:val="bottom"/>
          </w:tcPr>
          <w:p w14:paraId="57050061" w14:textId="69F0790F"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noProof/>
                <w:kern w:val="0"/>
                <w:lang w:val="en-US"/>
                <w14:ligatures w14:val="none"/>
              </w:rPr>
              <w:t>0.8</w:t>
            </w:r>
          </w:p>
        </w:tc>
      </w:tr>
      <w:tr w:rsidR="00C638DA" w:rsidRPr="00C638DA" w14:paraId="7E4EDF57" w14:textId="77777777" w:rsidTr="000726E4">
        <w:trPr>
          <w:gridAfter w:val="1"/>
          <w:wAfter w:w="10" w:type="dxa"/>
          <w:trHeight w:val="301"/>
          <w:jc w:val="center"/>
        </w:trPr>
        <w:tc>
          <w:tcPr>
            <w:tcW w:w="2354" w:type="dxa"/>
            <w:shd w:val="clear" w:color="000000" w:fill="FFFFFF"/>
            <w:vAlign w:val="center"/>
          </w:tcPr>
          <w:p w14:paraId="7E585D00" w14:textId="35A917F3"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 xml:space="preserve">Average RD of All Indian States </w:t>
            </w:r>
          </w:p>
        </w:tc>
        <w:tc>
          <w:tcPr>
            <w:tcW w:w="851" w:type="dxa"/>
            <w:noWrap/>
            <w:vAlign w:val="bottom"/>
          </w:tcPr>
          <w:p w14:paraId="1EF4C4DC" w14:textId="3308926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-0.2</w:t>
            </w:r>
          </w:p>
        </w:tc>
        <w:tc>
          <w:tcPr>
            <w:tcW w:w="850" w:type="dxa"/>
            <w:noWrap/>
            <w:vAlign w:val="bottom"/>
          </w:tcPr>
          <w:p w14:paraId="2F30E924" w14:textId="6AE4698E"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776" w:type="dxa"/>
            <w:noWrap/>
            <w:vAlign w:val="bottom"/>
          </w:tcPr>
          <w:p w14:paraId="026CCCEB" w14:textId="57B25004"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0.4</w:t>
            </w:r>
          </w:p>
        </w:tc>
        <w:tc>
          <w:tcPr>
            <w:tcW w:w="850" w:type="dxa"/>
            <w:noWrap/>
            <w:vAlign w:val="bottom"/>
          </w:tcPr>
          <w:p w14:paraId="22FE07C0" w14:textId="6EB484CA"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0.0</w:t>
            </w:r>
          </w:p>
        </w:tc>
        <w:tc>
          <w:tcPr>
            <w:tcW w:w="776" w:type="dxa"/>
            <w:noWrap/>
            <w:vAlign w:val="bottom"/>
          </w:tcPr>
          <w:p w14:paraId="067C02F5" w14:textId="1E572355"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0.3</w:t>
            </w:r>
          </w:p>
        </w:tc>
        <w:tc>
          <w:tcPr>
            <w:tcW w:w="776" w:type="dxa"/>
            <w:noWrap/>
            <w:vAlign w:val="bottom"/>
          </w:tcPr>
          <w:p w14:paraId="5E8A2FF1" w14:textId="0FF347BA"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790" w:type="dxa"/>
            <w:noWrap/>
            <w:vAlign w:val="bottom"/>
          </w:tcPr>
          <w:p w14:paraId="765E2091" w14:textId="031367DE"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776" w:type="dxa"/>
            <w:noWrap/>
            <w:vAlign w:val="bottom"/>
          </w:tcPr>
          <w:p w14:paraId="141449B9" w14:textId="1A84531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0.7</w:t>
            </w:r>
          </w:p>
        </w:tc>
        <w:tc>
          <w:tcPr>
            <w:tcW w:w="815" w:type="dxa"/>
            <w:noWrap/>
            <w:vAlign w:val="bottom"/>
          </w:tcPr>
          <w:p w14:paraId="695CF92C" w14:textId="61746FF9"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2.0</w:t>
            </w:r>
          </w:p>
        </w:tc>
        <w:tc>
          <w:tcPr>
            <w:tcW w:w="776" w:type="dxa"/>
            <w:noWrap/>
            <w:vAlign w:val="bottom"/>
          </w:tcPr>
          <w:p w14:paraId="2ED00B51" w14:textId="4AF89366" w:rsidR="00C71D50" w:rsidRPr="00C638DA" w:rsidRDefault="00C71D50" w:rsidP="005F10FE">
            <w:pPr>
              <w:spacing w:after="0" w:line="240" w:lineRule="auto"/>
              <w:jc w:val="center"/>
              <w:rPr>
                <w:rFonts w:ascii="Times New Roman" w:hAnsi="Times New Roman" w:cs="Times New Roman"/>
                <w:noProof/>
                <w:kern w:val="0"/>
                <w:lang w:val="en-US"/>
                <w14:ligatures w14:val="none"/>
              </w:rPr>
            </w:pPr>
            <w:r w:rsidRPr="00C638DA">
              <w:rPr>
                <w:rFonts w:ascii="Times New Roman" w:hAnsi="Times New Roman" w:cs="Times New Roman"/>
                <w:noProof/>
                <w:kern w:val="0"/>
                <w:lang w:val="en-US"/>
                <w14:ligatures w14:val="none"/>
              </w:rPr>
              <w:t>0.5</w:t>
            </w:r>
          </w:p>
        </w:tc>
      </w:tr>
      <w:tr w:rsidR="00C638DA" w:rsidRPr="00C638DA" w14:paraId="453C99BB" w14:textId="77777777" w:rsidTr="000726E4">
        <w:trPr>
          <w:gridAfter w:val="1"/>
          <w:wAfter w:w="10" w:type="dxa"/>
          <w:trHeight w:val="312"/>
          <w:jc w:val="center"/>
        </w:trPr>
        <w:tc>
          <w:tcPr>
            <w:tcW w:w="2354" w:type="dxa"/>
            <w:shd w:val="clear" w:color="000000" w:fill="FFFFFF"/>
            <w:vAlign w:val="center"/>
          </w:tcPr>
          <w:p w14:paraId="44244B05" w14:textId="5D3AF136" w:rsidR="00C71D50" w:rsidRPr="00C638DA" w:rsidRDefault="00C71D50" w:rsidP="005F10FE">
            <w:pPr>
              <w:spacing w:after="0" w:line="240" w:lineRule="auto"/>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Fiscal Deficit</w:t>
            </w:r>
            <w:r w:rsidR="003A2F46" w:rsidRPr="00C638DA">
              <w:rPr>
                <w:rFonts w:ascii="Times New Roman" w:eastAsia="Times New Roman" w:hAnsi="Times New Roman" w:cs="Times New Roman"/>
                <w:b/>
                <w:bCs/>
                <w:kern w:val="0"/>
                <w:lang w:val="en-US" w:eastAsia="en-IN" w:bidi="hi-IN"/>
                <w14:ligatures w14:val="none"/>
              </w:rPr>
              <w:t xml:space="preserve"> of Manipur</w:t>
            </w:r>
          </w:p>
        </w:tc>
        <w:tc>
          <w:tcPr>
            <w:tcW w:w="851" w:type="dxa"/>
            <w:noWrap/>
            <w:vAlign w:val="bottom"/>
          </w:tcPr>
          <w:p w14:paraId="3F5EE4B8"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0.0</w:t>
            </w:r>
          </w:p>
        </w:tc>
        <w:tc>
          <w:tcPr>
            <w:tcW w:w="850" w:type="dxa"/>
            <w:noWrap/>
            <w:vAlign w:val="bottom"/>
          </w:tcPr>
          <w:p w14:paraId="367941E2"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-1.7</w:t>
            </w:r>
          </w:p>
        </w:tc>
        <w:tc>
          <w:tcPr>
            <w:tcW w:w="776" w:type="dxa"/>
            <w:noWrap/>
            <w:vAlign w:val="bottom"/>
          </w:tcPr>
          <w:p w14:paraId="64E1492D"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3.3</w:t>
            </w:r>
          </w:p>
        </w:tc>
        <w:tc>
          <w:tcPr>
            <w:tcW w:w="850" w:type="dxa"/>
            <w:noWrap/>
            <w:vAlign w:val="bottom"/>
          </w:tcPr>
          <w:p w14:paraId="31C12787"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1.7</w:t>
            </w:r>
          </w:p>
        </w:tc>
        <w:tc>
          <w:tcPr>
            <w:tcW w:w="776" w:type="dxa"/>
            <w:noWrap/>
            <w:vAlign w:val="bottom"/>
          </w:tcPr>
          <w:p w14:paraId="5A163A43"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2.6</w:t>
            </w:r>
          </w:p>
        </w:tc>
        <w:tc>
          <w:tcPr>
            <w:tcW w:w="776" w:type="dxa"/>
            <w:noWrap/>
            <w:vAlign w:val="bottom"/>
          </w:tcPr>
          <w:p w14:paraId="21C5FC7A"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1.3</w:t>
            </w:r>
          </w:p>
        </w:tc>
        <w:tc>
          <w:tcPr>
            <w:tcW w:w="790" w:type="dxa"/>
            <w:noWrap/>
            <w:vAlign w:val="bottom"/>
          </w:tcPr>
          <w:p w14:paraId="43738985"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3.3</w:t>
            </w:r>
          </w:p>
        </w:tc>
        <w:tc>
          <w:tcPr>
            <w:tcW w:w="776" w:type="dxa"/>
            <w:noWrap/>
            <w:vAlign w:val="bottom"/>
          </w:tcPr>
          <w:p w14:paraId="426F8BCF"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2.3</w:t>
            </w:r>
          </w:p>
        </w:tc>
        <w:tc>
          <w:tcPr>
            <w:tcW w:w="815" w:type="dxa"/>
            <w:noWrap/>
            <w:vAlign w:val="bottom"/>
          </w:tcPr>
          <w:p w14:paraId="4C534B88"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11.0</w:t>
            </w:r>
          </w:p>
        </w:tc>
        <w:tc>
          <w:tcPr>
            <w:tcW w:w="776" w:type="dxa"/>
            <w:noWrap/>
            <w:vAlign w:val="bottom"/>
          </w:tcPr>
          <w:p w14:paraId="32857740"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w:t>
            </w:r>
          </w:p>
        </w:tc>
      </w:tr>
      <w:tr w:rsidR="00C638DA" w:rsidRPr="00C638DA" w14:paraId="41326DAA" w14:textId="77777777" w:rsidTr="000726E4">
        <w:trPr>
          <w:gridAfter w:val="1"/>
          <w:wAfter w:w="10" w:type="dxa"/>
          <w:trHeight w:val="312"/>
          <w:jc w:val="center"/>
        </w:trPr>
        <w:tc>
          <w:tcPr>
            <w:tcW w:w="2354" w:type="dxa"/>
            <w:shd w:val="clear" w:color="000000" w:fill="FFFFFF"/>
            <w:vAlign w:val="center"/>
          </w:tcPr>
          <w:p w14:paraId="3E11461D" w14:textId="0F7EEF3B"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FD of SCSs</w:t>
            </w:r>
          </w:p>
        </w:tc>
        <w:tc>
          <w:tcPr>
            <w:tcW w:w="851" w:type="dxa"/>
            <w:noWrap/>
            <w:vAlign w:val="bottom"/>
          </w:tcPr>
          <w:p w14:paraId="37BB9B48" w14:textId="13AC5C6A"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2.1</w:t>
            </w:r>
          </w:p>
        </w:tc>
        <w:tc>
          <w:tcPr>
            <w:tcW w:w="850" w:type="dxa"/>
            <w:noWrap/>
            <w:vAlign w:val="bottom"/>
          </w:tcPr>
          <w:p w14:paraId="3340DD58" w14:textId="566207E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2.8</w:t>
            </w:r>
          </w:p>
        </w:tc>
        <w:tc>
          <w:tcPr>
            <w:tcW w:w="776" w:type="dxa"/>
            <w:noWrap/>
            <w:vAlign w:val="bottom"/>
          </w:tcPr>
          <w:p w14:paraId="5A7837AF" w14:textId="09D6080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3.5</w:t>
            </w:r>
          </w:p>
        </w:tc>
        <w:tc>
          <w:tcPr>
            <w:tcW w:w="850" w:type="dxa"/>
            <w:noWrap/>
            <w:vAlign w:val="bottom"/>
          </w:tcPr>
          <w:p w14:paraId="50FD0FB0" w14:textId="72FDD51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2.1</w:t>
            </w:r>
          </w:p>
        </w:tc>
        <w:tc>
          <w:tcPr>
            <w:tcW w:w="776" w:type="dxa"/>
            <w:noWrap/>
            <w:vAlign w:val="bottom"/>
          </w:tcPr>
          <w:p w14:paraId="174FA7FC" w14:textId="0EE4E58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3.0</w:t>
            </w:r>
          </w:p>
        </w:tc>
        <w:tc>
          <w:tcPr>
            <w:tcW w:w="776" w:type="dxa"/>
            <w:noWrap/>
            <w:vAlign w:val="bottom"/>
          </w:tcPr>
          <w:p w14:paraId="65EC283D" w14:textId="7E46C7A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2.9</w:t>
            </w:r>
          </w:p>
        </w:tc>
        <w:tc>
          <w:tcPr>
            <w:tcW w:w="790" w:type="dxa"/>
            <w:noWrap/>
            <w:vAlign w:val="bottom"/>
          </w:tcPr>
          <w:p w14:paraId="2FD0A71E" w14:textId="7C6660C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3.5</w:t>
            </w:r>
          </w:p>
        </w:tc>
        <w:tc>
          <w:tcPr>
            <w:tcW w:w="776" w:type="dxa"/>
            <w:noWrap/>
            <w:vAlign w:val="bottom"/>
          </w:tcPr>
          <w:p w14:paraId="72A80682" w14:textId="7E9BB01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4.3</w:t>
            </w:r>
          </w:p>
        </w:tc>
        <w:tc>
          <w:tcPr>
            <w:tcW w:w="815" w:type="dxa"/>
            <w:noWrap/>
            <w:vAlign w:val="bottom"/>
          </w:tcPr>
          <w:p w14:paraId="330E968C" w14:textId="35BF8806"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7.8</w:t>
            </w:r>
          </w:p>
        </w:tc>
        <w:tc>
          <w:tcPr>
            <w:tcW w:w="776" w:type="dxa"/>
            <w:noWrap/>
            <w:vAlign w:val="bottom"/>
          </w:tcPr>
          <w:p w14:paraId="51B2534C" w14:textId="0FD21909"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6.9</w:t>
            </w:r>
          </w:p>
        </w:tc>
      </w:tr>
      <w:tr w:rsidR="00C638DA" w:rsidRPr="00C638DA" w14:paraId="46710A21" w14:textId="77777777" w:rsidTr="000726E4">
        <w:trPr>
          <w:gridAfter w:val="1"/>
          <w:wAfter w:w="10" w:type="dxa"/>
          <w:trHeight w:val="312"/>
          <w:jc w:val="center"/>
        </w:trPr>
        <w:tc>
          <w:tcPr>
            <w:tcW w:w="2354" w:type="dxa"/>
            <w:shd w:val="clear" w:color="000000" w:fill="FFFFFF"/>
            <w:vAlign w:val="center"/>
          </w:tcPr>
          <w:p w14:paraId="4BDE1658" w14:textId="0A17335B"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FD of GCSs</w:t>
            </w:r>
          </w:p>
        </w:tc>
        <w:tc>
          <w:tcPr>
            <w:tcW w:w="851" w:type="dxa"/>
            <w:noWrap/>
            <w:vAlign w:val="bottom"/>
          </w:tcPr>
          <w:p w14:paraId="220C0184" w14:textId="3719EFA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2.3</w:t>
            </w:r>
          </w:p>
        </w:tc>
        <w:tc>
          <w:tcPr>
            <w:tcW w:w="850" w:type="dxa"/>
            <w:noWrap/>
            <w:vAlign w:val="bottom"/>
          </w:tcPr>
          <w:p w14:paraId="41A2ECBC" w14:textId="790C4324"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2.6</w:t>
            </w:r>
          </w:p>
        </w:tc>
        <w:tc>
          <w:tcPr>
            <w:tcW w:w="776" w:type="dxa"/>
            <w:noWrap/>
            <w:vAlign w:val="bottom"/>
          </w:tcPr>
          <w:p w14:paraId="2260C296" w14:textId="6678BBF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3.0</w:t>
            </w:r>
          </w:p>
        </w:tc>
        <w:tc>
          <w:tcPr>
            <w:tcW w:w="850" w:type="dxa"/>
            <w:noWrap/>
            <w:vAlign w:val="bottom"/>
          </w:tcPr>
          <w:p w14:paraId="7515C99C" w14:textId="40D0686C"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3.5</w:t>
            </w:r>
          </w:p>
        </w:tc>
        <w:tc>
          <w:tcPr>
            <w:tcW w:w="776" w:type="dxa"/>
            <w:noWrap/>
            <w:vAlign w:val="bottom"/>
          </w:tcPr>
          <w:p w14:paraId="5FE44CB2" w14:textId="1642C1B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3.9</w:t>
            </w:r>
          </w:p>
        </w:tc>
        <w:tc>
          <w:tcPr>
            <w:tcW w:w="776" w:type="dxa"/>
            <w:noWrap/>
            <w:vAlign w:val="bottom"/>
          </w:tcPr>
          <w:p w14:paraId="545F3F93" w14:textId="1A0E521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2.7</w:t>
            </w:r>
          </w:p>
        </w:tc>
        <w:tc>
          <w:tcPr>
            <w:tcW w:w="790" w:type="dxa"/>
            <w:noWrap/>
            <w:vAlign w:val="bottom"/>
          </w:tcPr>
          <w:p w14:paraId="6516CE5B" w14:textId="326FF035"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2.7</w:t>
            </w:r>
          </w:p>
        </w:tc>
        <w:tc>
          <w:tcPr>
            <w:tcW w:w="776" w:type="dxa"/>
            <w:noWrap/>
            <w:vAlign w:val="bottom"/>
          </w:tcPr>
          <w:p w14:paraId="36F75EBD" w14:textId="0B5EEF6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2.8</w:t>
            </w:r>
          </w:p>
        </w:tc>
        <w:tc>
          <w:tcPr>
            <w:tcW w:w="815" w:type="dxa"/>
            <w:noWrap/>
            <w:vAlign w:val="bottom"/>
          </w:tcPr>
          <w:p w14:paraId="4AFA3ECB" w14:textId="54132D9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4.7</w:t>
            </w:r>
          </w:p>
        </w:tc>
        <w:tc>
          <w:tcPr>
            <w:tcW w:w="776" w:type="dxa"/>
            <w:noWrap/>
            <w:vAlign w:val="bottom"/>
          </w:tcPr>
          <w:p w14:paraId="7D47CC2E" w14:textId="7EC7E3C5"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3.9</w:t>
            </w:r>
          </w:p>
        </w:tc>
      </w:tr>
      <w:tr w:rsidR="00C638DA" w:rsidRPr="00C638DA" w14:paraId="373B1F02" w14:textId="77777777" w:rsidTr="000726E4">
        <w:trPr>
          <w:gridAfter w:val="1"/>
          <w:wAfter w:w="10" w:type="dxa"/>
          <w:trHeight w:val="312"/>
          <w:jc w:val="center"/>
        </w:trPr>
        <w:tc>
          <w:tcPr>
            <w:tcW w:w="2354" w:type="dxa"/>
            <w:shd w:val="clear" w:color="000000" w:fill="FFFFFF"/>
            <w:vAlign w:val="center"/>
          </w:tcPr>
          <w:p w14:paraId="3AFA9E90" w14:textId="61B0B205" w:rsidR="00B46410" w:rsidRPr="00C638DA" w:rsidRDefault="00B46410" w:rsidP="005F10FE">
            <w:pPr>
              <w:spacing w:after="0" w:line="240" w:lineRule="auto"/>
              <w:rPr>
                <w:rFonts w:ascii="Times New Roman" w:hAnsi="Times New Roman" w:cs="Times New Roman"/>
                <w:lang w:eastAsia="en-IN" w:bidi="hi-IN"/>
              </w:rPr>
            </w:pPr>
            <w:r w:rsidRPr="00C638DA">
              <w:rPr>
                <w:rFonts w:ascii="Times New Roman" w:hAnsi="Times New Roman" w:cs="Times New Roman"/>
                <w:lang w:eastAsia="en-IN" w:bidi="hi-IN"/>
              </w:rPr>
              <w:t xml:space="preserve">Average FD of All Indian States </w:t>
            </w:r>
          </w:p>
        </w:tc>
        <w:tc>
          <w:tcPr>
            <w:tcW w:w="851" w:type="dxa"/>
            <w:noWrap/>
            <w:vAlign w:val="bottom"/>
          </w:tcPr>
          <w:p w14:paraId="3BA1D460" w14:textId="52AA5BDB"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2.1</w:t>
            </w:r>
          </w:p>
        </w:tc>
        <w:tc>
          <w:tcPr>
            <w:tcW w:w="850" w:type="dxa"/>
            <w:noWrap/>
            <w:vAlign w:val="bottom"/>
          </w:tcPr>
          <w:p w14:paraId="4A5D4D74" w14:textId="6C92CBEE"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2.3</w:t>
            </w:r>
          </w:p>
        </w:tc>
        <w:tc>
          <w:tcPr>
            <w:tcW w:w="776" w:type="dxa"/>
            <w:noWrap/>
            <w:vAlign w:val="bottom"/>
          </w:tcPr>
          <w:p w14:paraId="7871282A" w14:textId="56A64E77"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2.8</w:t>
            </w:r>
          </w:p>
        </w:tc>
        <w:tc>
          <w:tcPr>
            <w:tcW w:w="850" w:type="dxa"/>
            <w:noWrap/>
            <w:vAlign w:val="bottom"/>
          </w:tcPr>
          <w:p w14:paraId="281EC8F9" w14:textId="451CFF60"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3.2</w:t>
            </w:r>
          </w:p>
        </w:tc>
        <w:tc>
          <w:tcPr>
            <w:tcW w:w="776" w:type="dxa"/>
            <w:noWrap/>
            <w:vAlign w:val="bottom"/>
          </w:tcPr>
          <w:p w14:paraId="4010B9B8" w14:textId="047DDF0B"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3.6</w:t>
            </w:r>
          </w:p>
        </w:tc>
        <w:tc>
          <w:tcPr>
            <w:tcW w:w="776" w:type="dxa"/>
            <w:noWrap/>
            <w:vAlign w:val="bottom"/>
          </w:tcPr>
          <w:p w14:paraId="5CB1A9B3" w14:textId="6BE26250"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2.5</w:t>
            </w:r>
          </w:p>
        </w:tc>
        <w:tc>
          <w:tcPr>
            <w:tcW w:w="790" w:type="dxa"/>
            <w:noWrap/>
            <w:vAlign w:val="bottom"/>
          </w:tcPr>
          <w:p w14:paraId="26C81A69" w14:textId="66E2958A"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2.6</w:t>
            </w:r>
          </w:p>
        </w:tc>
        <w:tc>
          <w:tcPr>
            <w:tcW w:w="776" w:type="dxa"/>
            <w:noWrap/>
            <w:vAlign w:val="bottom"/>
          </w:tcPr>
          <w:p w14:paraId="65A9F493" w14:textId="1D8FC05A"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2.7</w:t>
            </w:r>
          </w:p>
        </w:tc>
        <w:tc>
          <w:tcPr>
            <w:tcW w:w="815" w:type="dxa"/>
            <w:noWrap/>
            <w:vAlign w:val="bottom"/>
          </w:tcPr>
          <w:p w14:paraId="4418A1B7" w14:textId="2ED301C8"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4.6</w:t>
            </w:r>
          </w:p>
        </w:tc>
        <w:tc>
          <w:tcPr>
            <w:tcW w:w="776" w:type="dxa"/>
            <w:noWrap/>
            <w:vAlign w:val="bottom"/>
          </w:tcPr>
          <w:p w14:paraId="0000BC0E" w14:textId="6FF81B43"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3.7</w:t>
            </w:r>
          </w:p>
        </w:tc>
      </w:tr>
      <w:tr w:rsidR="00C638DA" w:rsidRPr="00C638DA" w14:paraId="0EB1A672" w14:textId="77777777" w:rsidTr="000726E4">
        <w:trPr>
          <w:gridAfter w:val="1"/>
          <w:wAfter w:w="10" w:type="dxa"/>
          <w:trHeight w:val="312"/>
          <w:jc w:val="center"/>
        </w:trPr>
        <w:tc>
          <w:tcPr>
            <w:tcW w:w="2354" w:type="dxa"/>
            <w:shd w:val="clear" w:color="000000" w:fill="FFFFFF"/>
            <w:vAlign w:val="center"/>
          </w:tcPr>
          <w:p w14:paraId="40E27FB6" w14:textId="58AC833C" w:rsidR="00B46410" w:rsidRPr="00C638DA" w:rsidRDefault="00B46410" w:rsidP="005F10FE">
            <w:pPr>
              <w:spacing w:after="0" w:line="240" w:lineRule="auto"/>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Primary Deficit</w:t>
            </w:r>
            <w:r w:rsidR="003A2F46" w:rsidRPr="00C638DA">
              <w:rPr>
                <w:rFonts w:ascii="Times New Roman" w:eastAsia="Times New Roman" w:hAnsi="Times New Roman" w:cs="Times New Roman"/>
                <w:b/>
                <w:bCs/>
                <w:kern w:val="0"/>
                <w:lang w:val="en-US" w:eastAsia="en-IN" w:bidi="hi-IN"/>
                <w14:ligatures w14:val="none"/>
              </w:rPr>
              <w:t xml:space="preserve"> of Manipur</w:t>
            </w:r>
          </w:p>
        </w:tc>
        <w:tc>
          <w:tcPr>
            <w:tcW w:w="851" w:type="dxa"/>
            <w:noWrap/>
            <w:vAlign w:val="bottom"/>
          </w:tcPr>
          <w:p w14:paraId="4C4A4EB8"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-3.1</w:t>
            </w:r>
          </w:p>
        </w:tc>
        <w:tc>
          <w:tcPr>
            <w:tcW w:w="850" w:type="dxa"/>
            <w:noWrap/>
            <w:vAlign w:val="bottom"/>
          </w:tcPr>
          <w:p w14:paraId="59BACE5F"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-4.4</w:t>
            </w:r>
          </w:p>
        </w:tc>
        <w:tc>
          <w:tcPr>
            <w:tcW w:w="776" w:type="dxa"/>
            <w:noWrap/>
            <w:vAlign w:val="bottom"/>
          </w:tcPr>
          <w:p w14:paraId="6E8BF112"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0.7</w:t>
            </w:r>
          </w:p>
        </w:tc>
        <w:tc>
          <w:tcPr>
            <w:tcW w:w="850" w:type="dxa"/>
            <w:noWrap/>
            <w:vAlign w:val="bottom"/>
          </w:tcPr>
          <w:p w14:paraId="09AC2239"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-0.9</w:t>
            </w:r>
          </w:p>
        </w:tc>
        <w:tc>
          <w:tcPr>
            <w:tcW w:w="776" w:type="dxa"/>
            <w:noWrap/>
            <w:vAlign w:val="bottom"/>
          </w:tcPr>
          <w:p w14:paraId="2BA9A0BA"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0.0</w:t>
            </w:r>
          </w:p>
        </w:tc>
        <w:tc>
          <w:tcPr>
            <w:tcW w:w="776" w:type="dxa"/>
            <w:noWrap/>
            <w:vAlign w:val="bottom"/>
          </w:tcPr>
          <w:p w14:paraId="2587C601"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-0.9</w:t>
            </w:r>
          </w:p>
        </w:tc>
        <w:tc>
          <w:tcPr>
            <w:tcW w:w="790" w:type="dxa"/>
            <w:noWrap/>
            <w:vAlign w:val="bottom"/>
          </w:tcPr>
          <w:p w14:paraId="64C3E44F"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1.2</w:t>
            </w:r>
          </w:p>
        </w:tc>
        <w:tc>
          <w:tcPr>
            <w:tcW w:w="776" w:type="dxa"/>
            <w:noWrap/>
            <w:vAlign w:val="bottom"/>
          </w:tcPr>
          <w:p w14:paraId="4A1AA3A2"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815" w:type="dxa"/>
            <w:noWrap/>
            <w:vAlign w:val="bottom"/>
          </w:tcPr>
          <w:p w14:paraId="7B045E22"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9.1</w:t>
            </w:r>
          </w:p>
        </w:tc>
        <w:tc>
          <w:tcPr>
            <w:tcW w:w="776" w:type="dxa"/>
            <w:noWrap/>
            <w:vAlign w:val="bottom"/>
          </w:tcPr>
          <w:p w14:paraId="719C27D9"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w:t>
            </w:r>
          </w:p>
        </w:tc>
      </w:tr>
      <w:tr w:rsidR="00C638DA" w:rsidRPr="00C638DA" w14:paraId="6FF695A9" w14:textId="77777777" w:rsidTr="00FC5652">
        <w:trPr>
          <w:gridAfter w:val="1"/>
          <w:wAfter w:w="10" w:type="dxa"/>
          <w:trHeight w:val="347"/>
          <w:jc w:val="center"/>
        </w:trPr>
        <w:tc>
          <w:tcPr>
            <w:tcW w:w="2354" w:type="dxa"/>
            <w:shd w:val="clear" w:color="000000" w:fill="FFFFFF"/>
            <w:vAlign w:val="center"/>
          </w:tcPr>
          <w:p w14:paraId="1C651B10" w14:textId="419C5C6B" w:rsidR="00B46410" w:rsidRPr="00C638DA" w:rsidRDefault="00B4641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PD of SCSs</w:t>
            </w:r>
          </w:p>
        </w:tc>
        <w:tc>
          <w:tcPr>
            <w:tcW w:w="851" w:type="dxa"/>
            <w:noWrap/>
            <w:vAlign w:val="bottom"/>
          </w:tcPr>
          <w:p w14:paraId="6DCBEEBB" w14:textId="26925575"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0.0</w:t>
            </w:r>
          </w:p>
        </w:tc>
        <w:tc>
          <w:tcPr>
            <w:tcW w:w="850" w:type="dxa"/>
            <w:noWrap/>
            <w:vAlign w:val="bottom"/>
          </w:tcPr>
          <w:p w14:paraId="4392656F" w14:textId="56E52226"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0.9</w:t>
            </w:r>
          </w:p>
        </w:tc>
        <w:tc>
          <w:tcPr>
            <w:tcW w:w="776" w:type="dxa"/>
            <w:noWrap/>
            <w:vAlign w:val="bottom"/>
          </w:tcPr>
          <w:p w14:paraId="624A2392" w14:textId="2F5BF1EF"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1.5</w:t>
            </w:r>
          </w:p>
        </w:tc>
        <w:tc>
          <w:tcPr>
            <w:tcW w:w="850" w:type="dxa"/>
            <w:noWrap/>
            <w:vAlign w:val="bottom"/>
          </w:tcPr>
          <w:p w14:paraId="5143867C" w14:textId="755D276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0.1</w:t>
            </w:r>
          </w:p>
        </w:tc>
        <w:tc>
          <w:tcPr>
            <w:tcW w:w="776" w:type="dxa"/>
            <w:noWrap/>
            <w:vAlign w:val="bottom"/>
          </w:tcPr>
          <w:p w14:paraId="268B12D9" w14:textId="11BD827F"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0.9</w:t>
            </w:r>
          </w:p>
        </w:tc>
        <w:tc>
          <w:tcPr>
            <w:tcW w:w="776" w:type="dxa"/>
            <w:noWrap/>
            <w:vAlign w:val="bottom"/>
          </w:tcPr>
          <w:p w14:paraId="405ED377" w14:textId="2E44012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0.9</w:t>
            </w:r>
          </w:p>
        </w:tc>
        <w:tc>
          <w:tcPr>
            <w:tcW w:w="790" w:type="dxa"/>
            <w:noWrap/>
            <w:vAlign w:val="bottom"/>
          </w:tcPr>
          <w:p w14:paraId="10E364C2" w14:textId="01ED05CC"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1.4</w:t>
            </w:r>
          </w:p>
        </w:tc>
        <w:tc>
          <w:tcPr>
            <w:tcW w:w="776" w:type="dxa"/>
            <w:noWrap/>
            <w:vAlign w:val="bottom"/>
          </w:tcPr>
          <w:p w14:paraId="7E9D28DC" w14:textId="7D04014D"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2.2</w:t>
            </w:r>
          </w:p>
        </w:tc>
        <w:tc>
          <w:tcPr>
            <w:tcW w:w="815" w:type="dxa"/>
            <w:noWrap/>
            <w:vAlign w:val="bottom"/>
          </w:tcPr>
          <w:p w14:paraId="6E357D93" w14:textId="1DB2EEE6"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5.3</w:t>
            </w:r>
          </w:p>
        </w:tc>
        <w:tc>
          <w:tcPr>
            <w:tcW w:w="776" w:type="dxa"/>
            <w:noWrap/>
            <w:vAlign w:val="bottom"/>
          </w:tcPr>
          <w:p w14:paraId="151F61C6" w14:textId="7483A4C6"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2.7</w:t>
            </w:r>
          </w:p>
        </w:tc>
      </w:tr>
      <w:tr w:rsidR="00C638DA" w:rsidRPr="00C638DA" w14:paraId="755F5FAA" w14:textId="77777777" w:rsidTr="000726E4">
        <w:trPr>
          <w:gridAfter w:val="1"/>
          <w:wAfter w:w="10" w:type="dxa"/>
          <w:trHeight w:val="269"/>
          <w:jc w:val="center"/>
        </w:trPr>
        <w:tc>
          <w:tcPr>
            <w:tcW w:w="2354" w:type="dxa"/>
            <w:shd w:val="clear" w:color="000000" w:fill="FFFFFF"/>
            <w:vAlign w:val="center"/>
          </w:tcPr>
          <w:p w14:paraId="504B2B92" w14:textId="79553B1C" w:rsidR="00B46410" w:rsidRPr="00C638DA" w:rsidRDefault="00B4641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PD of GCSs</w:t>
            </w:r>
          </w:p>
        </w:tc>
        <w:tc>
          <w:tcPr>
            <w:tcW w:w="851" w:type="dxa"/>
            <w:noWrap/>
            <w:vAlign w:val="bottom"/>
          </w:tcPr>
          <w:p w14:paraId="6ED356CE" w14:textId="55C992B0"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0.5</w:t>
            </w:r>
          </w:p>
        </w:tc>
        <w:tc>
          <w:tcPr>
            <w:tcW w:w="850" w:type="dxa"/>
            <w:noWrap/>
            <w:vAlign w:val="bottom"/>
          </w:tcPr>
          <w:p w14:paraId="3CB603B7" w14:textId="310D4AF9"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0.7</w:t>
            </w:r>
          </w:p>
        </w:tc>
        <w:tc>
          <w:tcPr>
            <w:tcW w:w="776" w:type="dxa"/>
            <w:noWrap/>
            <w:vAlign w:val="bottom"/>
          </w:tcPr>
          <w:p w14:paraId="2DB94618" w14:textId="6601EE8C"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1.1</w:t>
            </w:r>
          </w:p>
        </w:tc>
        <w:tc>
          <w:tcPr>
            <w:tcW w:w="850" w:type="dxa"/>
            <w:noWrap/>
            <w:vAlign w:val="bottom"/>
          </w:tcPr>
          <w:p w14:paraId="37C2CC8E" w14:textId="7329649F"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1.7</w:t>
            </w:r>
          </w:p>
        </w:tc>
        <w:tc>
          <w:tcPr>
            <w:tcW w:w="776" w:type="dxa"/>
            <w:noWrap/>
            <w:vAlign w:val="bottom"/>
          </w:tcPr>
          <w:p w14:paraId="472E2227" w14:textId="160619F5"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2.0</w:t>
            </w:r>
          </w:p>
        </w:tc>
        <w:tc>
          <w:tcPr>
            <w:tcW w:w="776" w:type="dxa"/>
            <w:noWrap/>
            <w:vAlign w:val="bottom"/>
          </w:tcPr>
          <w:p w14:paraId="4FE0FF58" w14:textId="031E789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0.7</w:t>
            </w:r>
          </w:p>
        </w:tc>
        <w:tc>
          <w:tcPr>
            <w:tcW w:w="790" w:type="dxa"/>
            <w:noWrap/>
            <w:vAlign w:val="bottom"/>
          </w:tcPr>
          <w:p w14:paraId="05B0B042" w14:textId="4304EF41"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0.8</w:t>
            </w:r>
          </w:p>
        </w:tc>
        <w:tc>
          <w:tcPr>
            <w:tcW w:w="776" w:type="dxa"/>
            <w:noWrap/>
            <w:vAlign w:val="bottom"/>
          </w:tcPr>
          <w:p w14:paraId="66668CEC" w14:textId="2F5B6583"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0.8</w:t>
            </w:r>
          </w:p>
        </w:tc>
        <w:tc>
          <w:tcPr>
            <w:tcW w:w="815" w:type="dxa"/>
            <w:noWrap/>
            <w:vAlign w:val="bottom"/>
          </w:tcPr>
          <w:p w14:paraId="07391560" w14:textId="60521559"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2.5</w:t>
            </w:r>
          </w:p>
        </w:tc>
        <w:tc>
          <w:tcPr>
            <w:tcW w:w="776" w:type="dxa"/>
            <w:noWrap/>
            <w:vAlign w:val="bottom"/>
          </w:tcPr>
          <w:p w14:paraId="33F5BCF9" w14:textId="4809F1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1.7</w:t>
            </w:r>
          </w:p>
        </w:tc>
      </w:tr>
      <w:tr w:rsidR="00C638DA" w:rsidRPr="00C638DA" w14:paraId="30BF08AE" w14:textId="77777777" w:rsidTr="000726E4">
        <w:trPr>
          <w:gridAfter w:val="1"/>
          <w:wAfter w:w="10" w:type="dxa"/>
          <w:trHeight w:val="269"/>
          <w:jc w:val="center"/>
        </w:trPr>
        <w:tc>
          <w:tcPr>
            <w:tcW w:w="2354" w:type="dxa"/>
            <w:shd w:val="clear" w:color="000000" w:fill="FFFFFF"/>
            <w:vAlign w:val="center"/>
          </w:tcPr>
          <w:p w14:paraId="6428F8AB" w14:textId="47F84B70" w:rsidR="00B46410" w:rsidRPr="00C638DA" w:rsidRDefault="00B46410" w:rsidP="005F10FE">
            <w:pPr>
              <w:spacing w:after="0" w:line="240" w:lineRule="auto"/>
              <w:rPr>
                <w:rFonts w:ascii="Times New Roman" w:hAnsi="Times New Roman" w:cs="Times New Roman"/>
                <w:lang w:eastAsia="en-IN" w:bidi="hi-IN"/>
              </w:rPr>
            </w:pPr>
            <w:r w:rsidRPr="00C638DA">
              <w:rPr>
                <w:rFonts w:ascii="Times New Roman" w:hAnsi="Times New Roman" w:cs="Times New Roman"/>
                <w:lang w:eastAsia="en-IN" w:bidi="hi-IN"/>
              </w:rPr>
              <w:t xml:space="preserve">Average PD of All Indian States </w:t>
            </w:r>
          </w:p>
        </w:tc>
        <w:tc>
          <w:tcPr>
            <w:tcW w:w="851" w:type="dxa"/>
            <w:noWrap/>
            <w:vAlign w:val="bottom"/>
          </w:tcPr>
          <w:p w14:paraId="12D8B4F4" w14:textId="1B72E919"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0.5</w:t>
            </w:r>
          </w:p>
        </w:tc>
        <w:tc>
          <w:tcPr>
            <w:tcW w:w="850" w:type="dxa"/>
            <w:noWrap/>
            <w:vAlign w:val="bottom"/>
          </w:tcPr>
          <w:p w14:paraId="1EA2BFA5" w14:textId="22651CA8"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0.7</w:t>
            </w:r>
          </w:p>
        </w:tc>
        <w:tc>
          <w:tcPr>
            <w:tcW w:w="776" w:type="dxa"/>
            <w:noWrap/>
            <w:vAlign w:val="bottom"/>
          </w:tcPr>
          <w:p w14:paraId="649EEFF6" w14:textId="1C0911D4"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1.2</w:t>
            </w:r>
          </w:p>
        </w:tc>
        <w:tc>
          <w:tcPr>
            <w:tcW w:w="850" w:type="dxa"/>
            <w:noWrap/>
            <w:vAlign w:val="bottom"/>
          </w:tcPr>
          <w:p w14:paraId="40689419" w14:textId="22FDBFB8"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1.6</w:t>
            </w:r>
          </w:p>
        </w:tc>
        <w:tc>
          <w:tcPr>
            <w:tcW w:w="776" w:type="dxa"/>
            <w:noWrap/>
            <w:vAlign w:val="bottom"/>
          </w:tcPr>
          <w:p w14:paraId="070653DC" w14:textId="7BB0B72E"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1.9</w:t>
            </w:r>
          </w:p>
        </w:tc>
        <w:tc>
          <w:tcPr>
            <w:tcW w:w="776" w:type="dxa"/>
            <w:noWrap/>
            <w:vAlign w:val="bottom"/>
          </w:tcPr>
          <w:p w14:paraId="18CBCB0F" w14:textId="45704889"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0.7</w:t>
            </w:r>
          </w:p>
        </w:tc>
        <w:tc>
          <w:tcPr>
            <w:tcW w:w="790" w:type="dxa"/>
            <w:noWrap/>
            <w:vAlign w:val="bottom"/>
          </w:tcPr>
          <w:p w14:paraId="5D39B166" w14:textId="7F9B8E1A"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0.8</w:t>
            </w:r>
          </w:p>
        </w:tc>
        <w:tc>
          <w:tcPr>
            <w:tcW w:w="776" w:type="dxa"/>
            <w:noWrap/>
            <w:vAlign w:val="bottom"/>
          </w:tcPr>
          <w:p w14:paraId="095783AE" w14:textId="0DA76F96"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0.9</w:t>
            </w:r>
          </w:p>
        </w:tc>
        <w:tc>
          <w:tcPr>
            <w:tcW w:w="815" w:type="dxa"/>
            <w:noWrap/>
            <w:vAlign w:val="bottom"/>
          </w:tcPr>
          <w:p w14:paraId="7D6353B8" w14:textId="6B7095F2"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2.7</w:t>
            </w:r>
          </w:p>
        </w:tc>
        <w:tc>
          <w:tcPr>
            <w:tcW w:w="776" w:type="dxa"/>
            <w:noWrap/>
            <w:vAlign w:val="bottom"/>
          </w:tcPr>
          <w:p w14:paraId="668FABCF" w14:textId="5935578E"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1.7</w:t>
            </w:r>
          </w:p>
        </w:tc>
      </w:tr>
    </w:tbl>
    <w:p w14:paraId="25A1C212" w14:textId="2D9B4949" w:rsidR="00591554" w:rsidRPr="00C638DA" w:rsidRDefault="00591554" w:rsidP="003A2F46">
      <w:pPr>
        <w:pStyle w:val="NormalWeb"/>
        <w:spacing w:before="0" w:beforeAutospacing="0" w:after="0" w:afterAutospacing="0"/>
        <w:jc w:val="both"/>
        <w:rPr>
          <w:i/>
          <w:iCs/>
          <w:sz w:val="20"/>
          <w:szCs w:val="20"/>
        </w:rPr>
      </w:pPr>
      <w:r w:rsidRPr="00C638DA">
        <w:rPr>
          <w:i/>
          <w:iCs/>
          <w:sz w:val="20"/>
          <w:szCs w:val="20"/>
        </w:rPr>
        <w:t>Source: RBI, Study of State Finances, Various Issues.</w:t>
      </w:r>
    </w:p>
    <w:p w14:paraId="52D95BCA" w14:textId="06A96DF6" w:rsidR="002E4B43" w:rsidRPr="00C638DA" w:rsidRDefault="00C71D50" w:rsidP="00C638DA">
      <w:pPr>
        <w:pStyle w:val="NormalWeb"/>
        <w:tabs>
          <w:tab w:val="left" w:pos="6000"/>
        </w:tabs>
        <w:spacing w:before="0" w:beforeAutospacing="0" w:after="0" w:afterAutospacing="0"/>
        <w:jc w:val="both"/>
        <w:rPr>
          <w:i/>
          <w:iCs/>
          <w:sz w:val="20"/>
          <w:szCs w:val="20"/>
        </w:rPr>
      </w:pPr>
      <w:r w:rsidRPr="00C638DA">
        <w:rPr>
          <w:i/>
          <w:iCs/>
          <w:sz w:val="20"/>
          <w:szCs w:val="20"/>
        </w:rPr>
        <w:t xml:space="preserve">Note: </w:t>
      </w:r>
      <w:r w:rsidR="006B6123" w:rsidRPr="00C638DA">
        <w:rPr>
          <w:i/>
          <w:iCs/>
          <w:sz w:val="20"/>
          <w:szCs w:val="20"/>
        </w:rPr>
        <w:t xml:space="preserve">SCS= Special Category States, </w:t>
      </w:r>
      <w:r w:rsidRPr="00C638DA">
        <w:rPr>
          <w:i/>
          <w:iCs/>
          <w:sz w:val="20"/>
          <w:szCs w:val="20"/>
        </w:rPr>
        <w:t>GCS= General Category States</w:t>
      </w:r>
      <w:r w:rsidR="006B6123" w:rsidRPr="00C638DA">
        <w:rPr>
          <w:i/>
          <w:iCs/>
          <w:sz w:val="20"/>
          <w:szCs w:val="20"/>
        </w:rPr>
        <w:t>.</w:t>
      </w:r>
      <w:r w:rsidR="00C638DA">
        <w:rPr>
          <w:i/>
          <w:iCs/>
          <w:sz w:val="20"/>
          <w:szCs w:val="20"/>
        </w:rPr>
        <w:tab/>
      </w:r>
    </w:p>
    <w:p w14:paraId="2E30C61C" w14:textId="1AC893A7" w:rsidR="00AC1E2A" w:rsidRPr="00C638DA" w:rsidRDefault="00AC1E2A" w:rsidP="003A2F46">
      <w:pPr>
        <w:pStyle w:val="NormalWeb"/>
        <w:spacing w:before="0" w:beforeAutospacing="0" w:after="0" w:afterAutospacing="0"/>
        <w:jc w:val="both"/>
        <w:rPr>
          <w:i/>
          <w:iCs/>
          <w:sz w:val="20"/>
          <w:szCs w:val="20"/>
        </w:rPr>
      </w:pPr>
      <w:r w:rsidRPr="00C638DA">
        <w:rPr>
          <w:rStyle w:val="mord"/>
          <w:i/>
          <w:iCs/>
          <w:sz w:val="20"/>
          <w:szCs w:val="20"/>
        </w:rPr>
        <w:t>Revenue Deficit</w:t>
      </w:r>
      <w:r w:rsidRPr="00C638DA">
        <w:rPr>
          <w:rStyle w:val="mrel"/>
          <w:i/>
          <w:iCs/>
          <w:sz w:val="20"/>
          <w:szCs w:val="20"/>
        </w:rPr>
        <w:t>=</w:t>
      </w:r>
      <w:r w:rsidRPr="00C638DA">
        <w:rPr>
          <w:rStyle w:val="mord"/>
          <w:i/>
          <w:iCs/>
          <w:sz w:val="20"/>
          <w:szCs w:val="20"/>
        </w:rPr>
        <w:t>Revenue Expenditure</w:t>
      </w:r>
      <w:r w:rsidRPr="00C638DA">
        <w:rPr>
          <w:rStyle w:val="mbin"/>
          <w:i/>
          <w:iCs/>
          <w:sz w:val="20"/>
          <w:szCs w:val="20"/>
        </w:rPr>
        <w:t>−</w:t>
      </w:r>
      <w:r w:rsidRPr="00C638DA">
        <w:rPr>
          <w:rStyle w:val="mord"/>
          <w:i/>
          <w:iCs/>
          <w:sz w:val="20"/>
          <w:szCs w:val="20"/>
        </w:rPr>
        <w:t>Revenue Receipts</w:t>
      </w:r>
    </w:p>
    <w:p w14:paraId="2B72CF87" w14:textId="54C5A32B" w:rsidR="00AC1E2A" w:rsidRPr="00C638DA" w:rsidRDefault="00AC1E2A" w:rsidP="003A2F46">
      <w:pPr>
        <w:pStyle w:val="NormalWeb"/>
        <w:spacing w:before="0" w:beforeAutospacing="0" w:after="0" w:afterAutospacing="0"/>
        <w:jc w:val="both"/>
        <w:rPr>
          <w:i/>
          <w:iCs/>
          <w:sz w:val="20"/>
          <w:szCs w:val="20"/>
        </w:rPr>
      </w:pPr>
      <w:r w:rsidRPr="00C638DA">
        <w:rPr>
          <w:rStyle w:val="mord"/>
          <w:i/>
          <w:iCs/>
          <w:sz w:val="20"/>
          <w:szCs w:val="20"/>
        </w:rPr>
        <w:t>Fiscal Deficit</w:t>
      </w:r>
      <w:r w:rsidRPr="00C638DA">
        <w:rPr>
          <w:rStyle w:val="mrel"/>
          <w:i/>
          <w:iCs/>
          <w:sz w:val="20"/>
          <w:szCs w:val="20"/>
        </w:rPr>
        <w:t>=</w:t>
      </w:r>
      <w:r w:rsidRPr="00C638DA">
        <w:rPr>
          <w:rStyle w:val="mord"/>
          <w:i/>
          <w:iCs/>
          <w:sz w:val="20"/>
          <w:szCs w:val="20"/>
        </w:rPr>
        <w:t>Total Expenditure</w:t>
      </w:r>
      <w:proofErr w:type="gramStart"/>
      <w:r w:rsidRPr="00C638DA">
        <w:rPr>
          <w:rStyle w:val="mbin"/>
          <w:i/>
          <w:iCs/>
          <w:sz w:val="20"/>
          <w:szCs w:val="20"/>
        </w:rPr>
        <w:t>−</w:t>
      </w:r>
      <w:r w:rsidRPr="00C638DA">
        <w:rPr>
          <w:rStyle w:val="mopen"/>
          <w:i/>
          <w:iCs/>
          <w:sz w:val="20"/>
          <w:szCs w:val="20"/>
        </w:rPr>
        <w:t>(</w:t>
      </w:r>
      <w:proofErr w:type="gramEnd"/>
      <w:r w:rsidRPr="00C638DA">
        <w:rPr>
          <w:rStyle w:val="mord"/>
          <w:i/>
          <w:iCs/>
          <w:sz w:val="20"/>
          <w:szCs w:val="20"/>
        </w:rPr>
        <w:t>Revenue Receipts</w:t>
      </w:r>
      <w:r w:rsidRPr="00C638DA">
        <w:rPr>
          <w:rStyle w:val="mbin"/>
          <w:i/>
          <w:iCs/>
          <w:sz w:val="20"/>
          <w:szCs w:val="20"/>
        </w:rPr>
        <w:t>+</w:t>
      </w:r>
      <w:r w:rsidRPr="00C638DA">
        <w:rPr>
          <w:rStyle w:val="mord"/>
          <w:i/>
          <w:iCs/>
          <w:sz w:val="20"/>
          <w:szCs w:val="20"/>
        </w:rPr>
        <w:t>Non-debt Capital Receipts</w:t>
      </w:r>
      <w:r w:rsidRPr="00C638DA">
        <w:rPr>
          <w:rStyle w:val="mclose"/>
          <w:i/>
          <w:iCs/>
          <w:sz w:val="20"/>
          <w:szCs w:val="20"/>
        </w:rPr>
        <w:t>)</w:t>
      </w:r>
    </w:p>
    <w:p w14:paraId="7782A8CF" w14:textId="61D34E6F" w:rsidR="003D4EC5" w:rsidRPr="00C638DA" w:rsidRDefault="00AC1E2A" w:rsidP="004C6FCA">
      <w:pPr>
        <w:pStyle w:val="NormalWeb"/>
        <w:spacing w:before="0" w:beforeAutospacing="0" w:after="0" w:afterAutospacing="0" w:line="276" w:lineRule="auto"/>
        <w:jc w:val="both"/>
        <w:rPr>
          <w:i/>
          <w:iCs/>
          <w:sz w:val="20"/>
          <w:szCs w:val="20"/>
        </w:rPr>
      </w:pPr>
      <w:r w:rsidRPr="00C638DA">
        <w:rPr>
          <w:rStyle w:val="mord"/>
          <w:i/>
          <w:iCs/>
          <w:sz w:val="20"/>
          <w:szCs w:val="20"/>
        </w:rPr>
        <w:t>Primary Deficit</w:t>
      </w:r>
      <w:r w:rsidRPr="00C638DA">
        <w:rPr>
          <w:rStyle w:val="mrel"/>
          <w:i/>
          <w:iCs/>
          <w:sz w:val="20"/>
          <w:szCs w:val="20"/>
        </w:rPr>
        <w:t>=</w:t>
      </w:r>
      <w:r w:rsidRPr="00C638DA">
        <w:rPr>
          <w:rStyle w:val="mord"/>
          <w:i/>
          <w:iCs/>
          <w:sz w:val="20"/>
          <w:szCs w:val="20"/>
        </w:rPr>
        <w:t>Fiscal Deficit</w:t>
      </w:r>
      <w:r w:rsidRPr="00C638DA">
        <w:rPr>
          <w:rStyle w:val="mbin"/>
          <w:i/>
          <w:iCs/>
          <w:sz w:val="20"/>
          <w:szCs w:val="20"/>
        </w:rPr>
        <w:t>−</w:t>
      </w:r>
      <w:r w:rsidRPr="00C638DA">
        <w:rPr>
          <w:rStyle w:val="mord"/>
          <w:i/>
          <w:iCs/>
          <w:sz w:val="20"/>
          <w:szCs w:val="20"/>
        </w:rPr>
        <w:t>Interest Payments</w:t>
      </w:r>
    </w:p>
    <w:p w14:paraId="0DCCC77D" w14:textId="338706A3" w:rsidR="00504C34" w:rsidRPr="00C638DA" w:rsidRDefault="00504C34" w:rsidP="00CC135B">
      <w:pPr>
        <w:pStyle w:val="NormalWeb"/>
        <w:spacing w:before="0" w:beforeAutospacing="0" w:after="0" w:afterAutospacing="0"/>
        <w:jc w:val="both"/>
        <w:rPr>
          <w:sz w:val="20"/>
          <w:szCs w:val="20"/>
        </w:rPr>
      </w:pPr>
    </w:p>
    <w:p w14:paraId="0BDC9D1E" w14:textId="1BB8B011" w:rsidR="002700D4" w:rsidRPr="00C638DA" w:rsidRDefault="00D70914" w:rsidP="00A57A0A">
      <w:pPr>
        <w:pStyle w:val="NormalWeb"/>
        <w:spacing w:before="0" w:beforeAutospacing="0" w:after="0" w:afterAutospacing="0" w:line="276" w:lineRule="auto"/>
        <w:jc w:val="both"/>
        <w:rPr>
          <w:b/>
          <w:bCs/>
        </w:rPr>
      </w:pPr>
      <w:r w:rsidRPr="00C638DA">
        <w:t xml:space="preserve">Table 1 shows that Manipur consistently maintained a </w:t>
      </w:r>
      <w:r w:rsidRPr="00C638DA">
        <w:rPr>
          <w:rStyle w:val="Strong"/>
          <w:b w:val="0"/>
          <w:bCs w:val="0"/>
        </w:rPr>
        <w:t>revenue surplus</w:t>
      </w:r>
      <w:r w:rsidRPr="00C638DA">
        <w:t xml:space="preserve"> during the study period, despite a significant decline from </w:t>
      </w:r>
      <w:r w:rsidRPr="00C638DA">
        <w:rPr>
          <w:rStyle w:val="Strong"/>
          <w:b w:val="0"/>
          <w:bCs w:val="0"/>
        </w:rPr>
        <w:t>–10.9% of GSDP in 2012–13</w:t>
      </w:r>
      <w:r w:rsidRPr="00C638DA">
        <w:rPr>
          <w:b/>
          <w:bCs/>
        </w:rPr>
        <w:t xml:space="preserve"> </w:t>
      </w:r>
      <w:r w:rsidRPr="00C638DA">
        <w:t>to</w:t>
      </w:r>
      <w:r w:rsidRPr="00C638DA">
        <w:rPr>
          <w:b/>
          <w:bCs/>
        </w:rPr>
        <w:t xml:space="preserve"> </w:t>
      </w:r>
      <w:r w:rsidRPr="00C638DA">
        <w:rPr>
          <w:rStyle w:val="Strong"/>
          <w:b w:val="0"/>
          <w:bCs w:val="0"/>
        </w:rPr>
        <w:t>–1.4% in 2019–20</w:t>
      </w:r>
      <w:r w:rsidRPr="00C638DA">
        <w:rPr>
          <w:b/>
          <w:bCs/>
        </w:rPr>
        <w:t>.</w:t>
      </w:r>
      <w:r w:rsidRPr="00C638DA">
        <w:t xml:space="preserve"> While the average revenue positions of Special Category States (SCSs) also remained in surplus, their magnitude was generally lower than that of Manipur. In contrast, General Category States (GCSs) and the all-India average consistently recorded revenue deficits. Although Manipur performed better than other states in terms of revenue accounts, the declining trend of its surplus over the study period </w:t>
      </w:r>
      <w:r w:rsidR="00EE1412" w:rsidRPr="00C638DA">
        <w:t>raises</w:t>
      </w:r>
      <w:r w:rsidRPr="00C638DA">
        <w:t xml:space="preserve"> concerns regarding fiscal sustainability. </w:t>
      </w:r>
      <w:r w:rsidRPr="00C638DA">
        <w:rPr>
          <w:rStyle w:val="Strong"/>
          <w:b w:val="0"/>
          <w:bCs w:val="0"/>
        </w:rPr>
        <w:t xml:space="preserve">If this trend continues, </w:t>
      </w:r>
      <w:r w:rsidRPr="00C638DA">
        <w:rPr>
          <w:rStyle w:val="Strong"/>
          <w:b w:val="0"/>
          <w:bCs w:val="0"/>
        </w:rPr>
        <w:lastRenderedPageBreak/>
        <w:t>Manipur could face revenue deficits in the future, making it essential for the state to strengthen revenue mobilization and adopt proactive fiscal management measures now.</w:t>
      </w:r>
    </w:p>
    <w:p w14:paraId="09366698" w14:textId="50326F1C" w:rsidR="001340B9" w:rsidRPr="00C638DA" w:rsidRDefault="00935A34" w:rsidP="00A57A0A">
      <w:pPr>
        <w:pStyle w:val="NormalWeb"/>
        <w:spacing w:before="0" w:beforeAutospacing="0" w:after="0" w:afterAutospacing="0" w:line="276" w:lineRule="auto"/>
        <w:jc w:val="both"/>
        <w:rPr>
          <w:b/>
          <w:bCs/>
        </w:rPr>
      </w:pPr>
      <w:r w:rsidRPr="00C638DA">
        <w:t xml:space="preserve">Fiscal Deficit (FD) reflects the gap between total expenditure and total revenue, including borrowings, and indicates the state’s </w:t>
      </w:r>
      <w:r w:rsidRPr="00C638DA">
        <w:rPr>
          <w:rStyle w:val="Strong"/>
          <w:b w:val="0"/>
          <w:bCs w:val="0"/>
        </w:rPr>
        <w:t>borrowing requirements</w:t>
      </w:r>
      <w:r w:rsidRPr="00C638DA">
        <w:t xml:space="preserve">. Manipur’s FD has exhibited sharp fluctuations over the study period. The state reported a temporary surplus of </w:t>
      </w:r>
      <w:r w:rsidRPr="00C638DA">
        <w:rPr>
          <w:rStyle w:val="Strong"/>
        </w:rPr>
        <w:t>-</w:t>
      </w:r>
      <w:r w:rsidRPr="00C638DA">
        <w:rPr>
          <w:rStyle w:val="Strong"/>
          <w:b w:val="0"/>
          <w:bCs w:val="0"/>
        </w:rPr>
        <w:t>1.7% of</w:t>
      </w:r>
      <w:r w:rsidRPr="00C638DA">
        <w:rPr>
          <w:rStyle w:val="Strong"/>
        </w:rPr>
        <w:t xml:space="preserve"> </w:t>
      </w:r>
      <w:r w:rsidRPr="00C638DA">
        <w:rPr>
          <w:rStyle w:val="Strong"/>
          <w:b w:val="0"/>
          <w:bCs w:val="0"/>
        </w:rPr>
        <w:t>GSDP in 2013-14</w:t>
      </w:r>
      <w:r w:rsidRPr="00C638DA">
        <w:rPr>
          <w:b/>
          <w:bCs/>
        </w:rPr>
        <w:t>,</w:t>
      </w:r>
      <w:r w:rsidRPr="00C638DA">
        <w:t xml:space="preserve"> but the deficit widened drastically to </w:t>
      </w:r>
      <w:r w:rsidRPr="00C638DA">
        <w:rPr>
          <w:rStyle w:val="Strong"/>
          <w:b w:val="0"/>
          <w:bCs w:val="0"/>
        </w:rPr>
        <w:t>11% of GSDP in 2020-21</w:t>
      </w:r>
      <w:r w:rsidRPr="00C638DA">
        <w:rPr>
          <w:b/>
          <w:bCs/>
        </w:rPr>
        <w:t>,</w:t>
      </w:r>
      <w:r w:rsidRPr="00C638DA">
        <w:t xml:space="preserve"> largely due to pandemic-related expenditures. On average, Manipur’s FD remained higher than both the Special Category States (SCSs) and the all-India average, consistently exceeding the </w:t>
      </w:r>
      <w:r w:rsidRPr="00C638DA">
        <w:rPr>
          <w:rStyle w:val="Strong"/>
          <w:b w:val="0"/>
          <w:bCs w:val="0"/>
        </w:rPr>
        <w:t>FRBM ceiling of</w:t>
      </w:r>
      <w:r w:rsidRPr="00C638DA">
        <w:rPr>
          <w:rStyle w:val="Strong"/>
        </w:rPr>
        <w:t xml:space="preserve"> </w:t>
      </w:r>
      <w:r w:rsidRPr="00C638DA">
        <w:rPr>
          <w:rStyle w:val="Strong"/>
          <w:b w:val="0"/>
          <w:bCs w:val="0"/>
        </w:rPr>
        <w:t>3%</w:t>
      </w:r>
      <w:r w:rsidRPr="00C638DA">
        <w:rPr>
          <w:b/>
          <w:bCs/>
        </w:rPr>
        <w:t xml:space="preserve">. </w:t>
      </w:r>
      <w:r w:rsidRPr="00C638DA">
        <w:t xml:space="preserve">The rising fiscal deficit reflects increasing debt obligations, which, if sustained, could impose a significant burden on </w:t>
      </w:r>
      <w:r w:rsidRPr="00C638DA">
        <w:rPr>
          <w:rStyle w:val="Strong"/>
          <w:b w:val="0"/>
          <w:bCs w:val="0"/>
        </w:rPr>
        <w:t>future generations</w:t>
      </w:r>
      <w:r w:rsidRPr="00C638DA">
        <w:t>. This pronounced volatility underscores the vulnerability of smaller states to crisis-driven fiscal shocks, as highlighted in previous studies (</w:t>
      </w:r>
      <w:r w:rsidR="000004CC">
        <w:rPr>
          <w:rFonts w:ascii="Helvetica" w:hAnsi="Helvetica" w:cs="Helvetica"/>
          <w:color w:val="000000"/>
          <w:spacing w:val="-5"/>
          <w:shd w:val="clear" w:color="auto" w:fill="FFFFFF"/>
        </w:rPr>
        <w:t>Rangarajan, C., &amp; Srivastava, D. K. (2005)</w:t>
      </w:r>
      <w:r w:rsidRPr="00C638DA">
        <w:t xml:space="preserve">; </w:t>
      </w:r>
      <w:r w:rsidR="000317C4" w:rsidRPr="000317C4">
        <w:t>Tron Zano, M. (2013).</w:t>
      </w:r>
    </w:p>
    <w:p w14:paraId="04269CE6" w14:textId="3A13FD7A" w:rsidR="00D64A2F" w:rsidRPr="00C638DA" w:rsidRDefault="00D64A2F" w:rsidP="00A57A0A">
      <w:pPr>
        <w:pStyle w:val="NormalWeb"/>
        <w:spacing w:before="0" w:beforeAutospacing="0" w:after="0" w:afterAutospacing="0" w:line="276" w:lineRule="auto"/>
        <w:jc w:val="both"/>
      </w:pPr>
      <w:r w:rsidRPr="00C638DA">
        <w:t>Manipur recorded a primary surplus for several years, indicating debt sustainability. This implies that the state was able to pay part of the interest on its debt from its own revenue, rather than relying entirely on new borrowings, and the surplus could also be used to repay principal, reflecting prudent fiscal management. Notably, during this period, all Special Category States (SCSs), General Category States (GCSs), and the all-India average recorded primary deficits, highlighting Manipur’s relatively stronger fiscal position. However, this trend could not be sustained in the long run. Over the study period, surpluses gradually turned into primary deficits, reaching 9.1 percent of GSDP in 2020–21, primarily due to COVID-19 related expenditures, breaking all previous records. Despite generally performing better than other states throughout the period, the sharp rise in 2020–21 placed the state behind others, underscoring the vulnerability of its fiscal position.</w:t>
      </w:r>
    </w:p>
    <w:p w14:paraId="2356FC59" w14:textId="3D7ABB39" w:rsidR="00D64A2F" w:rsidRPr="00C638DA" w:rsidRDefault="006D0D4F" w:rsidP="00A57A0A">
      <w:pPr>
        <w:pStyle w:val="NormalWeb"/>
        <w:spacing w:before="0" w:beforeAutospacing="0" w:after="0" w:afterAutospacing="0" w:line="276" w:lineRule="auto"/>
        <w:jc w:val="both"/>
      </w:pPr>
      <w:r w:rsidRPr="00C638DA">
        <w:t>Overall, the analysis indicates that while Manipur has historically maintained a revenue and primary surplus, demonstrating relative fiscal strength compared to other states, both its revenue and primary surpluses have declined over time. The sharp rise in fiscal and primary deficits in 2020–21, largely due to COVID-19 related expenditures, highlights the state’s vulnerability to external shocks and the growing debt burden. These trends underscore the critical need for strengthening own revenue mobilization, prudent expenditure management, and proactive fiscal planning to ensure long-term fiscal sustainability and reduce dependence on central transfers.</w:t>
      </w:r>
    </w:p>
    <w:p w14:paraId="4EF08E4E" w14:textId="77777777" w:rsidR="00D06330" w:rsidRPr="00C638DA" w:rsidRDefault="00D06330" w:rsidP="00A57A0A">
      <w:pPr>
        <w:spacing w:line="276" w:lineRule="auto"/>
        <w:jc w:val="center"/>
        <w:outlineLvl w:val="2"/>
        <w:rPr>
          <w:rFonts w:ascii="Times New Roman" w:eastAsia="Times New Roman" w:hAnsi="Times New Roman" w:cs="Times New Roman"/>
          <w:b/>
          <w:bCs/>
          <w:kern w:val="0"/>
          <w:sz w:val="24"/>
          <w:szCs w:val="24"/>
          <w:lang w:eastAsia="en-IN"/>
          <w14:ligatures w14:val="none"/>
        </w:rPr>
      </w:pPr>
    </w:p>
    <w:p w14:paraId="51FC5E58" w14:textId="77777777" w:rsidR="00A57A0A" w:rsidRDefault="00A57A0A"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406E25BC" w14:textId="77777777" w:rsidR="00C60C56" w:rsidRDefault="00C60C56"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1147BB4C" w14:textId="77777777" w:rsidR="00C60C56" w:rsidRDefault="00C60C56"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12C35E59" w14:textId="77777777" w:rsidR="00C60C56" w:rsidRDefault="00C60C56"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6A51CEEA" w14:textId="77777777" w:rsidR="00C60C56" w:rsidRDefault="00C60C56"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6E29B575" w14:textId="268185F2" w:rsidR="00E83636" w:rsidRPr="00C638DA" w:rsidRDefault="00E83636"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 xml:space="preserve">Composition </w:t>
      </w:r>
      <w:r w:rsidR="000E45E3" w:rsidRPr="00C638DA">
        <w:rPr>
          <w:rFonts w:ascii="Times New Roman" w:eastAsia="Times New Roman" w:hAnsi="Times New Roman" w:cs="Times New Roman"/>
          <w:b/>
          <w:bCs/>
          <w:kern w:val="0"/>
          <w:sz w:val="24"/>
          <w:szCs w:val="24"/>
          <w:lang w:eastAsia="en-IN"/>
          <w14:ligatures w14:val="none"/>
        </w:rPr>
        <w:t>of</w:t>
      </w:r>
      <w:r w:rsidRPr="00C638DA">
        <w:rPr>
          <w:rFonts w:ascii="Times New Roman" w:eastAsia="Times New Roman" w:hAnsi="Times New Roman" w:cs="Times New Roman"/>
          <w:b/>
          <w:bCs/>
          <w:kern w:val="0"/>
          <w:sz w:val="24"/>
          <w:szCs w:val="24"/>
          <w:lang w:eastAsia="en-IN"/>
          <w14:ligatures w14:val="none"/>
        </w:rPr>
        <w:t xml:space="preserve"> Own Tax Revenue</w:t>
      </w:r>
      <w:r w:rsidR="00564C09" w:rsidRPr="00C638DA">
        <w:rPr>
          <w:rFonts w:ascii="Times New Roman" w:eastAsia="Times New Roman" w:hAnsi="Times New Roman" w:cs="Times New Roman"/>
          <w:b/>
          <w:bCs/>
          <w:kern w:val="0"/>
          <w:sz w:val="24"/>
          <w:szCs w:val="24"/>
          <w:lang w:eastAsia="en-IN"/>
          <w14:ligatures w14:val="none"/>
        </w:rPr>
        <w:t xml:space="preserve"> Receipts of Manipur State</w:t>
      </w:r>
    </w:p>
    <w:p w14:paraId="6DA5E40B" w14:textId="77777777" w:rsidR="00F16C03" w:rsidRPr="00C638DA" w:rsidRDefault="00F16C03" w:rsidP="00A57A0A">
      <w:pPr>
        <w:pStyle w:val="NormalWeb"/>
        <w:spacing w:before="0" w:beforeAutospacing="0" w:after="0" w:afterAutospacing="0" w:line="276" w:lineRule="auto"/>
        <w:jc w:val="both"/>
      </w:pPr>
      <w:r w:rsidRPr="00C638DA">
        <w:t>In Table 2, the composition of Manipur’s Own Tax Revenue in terms of percentage share has been presented. The state’s tax receipts are broadly classified under three major heads: Taxes on Income, Taxes on Property and Capital Transactions, and Taxes on Commodities and Services.</w:t>
      </w:r>
    </w:p>
    <w:p w14:paraId="102A781B" w14:textId="77777777" w:rsidR="00F16C03" w:rsidRPr="00C638DA" w:rsidRDefault="00F16C03" w:rsidP="00A57A0A">
      <w:pPr>
        <w:pStyle w:val="NormalWeb"/>
        <w:spacing w:before="0" w:beforeAutospacing="0" w:after="0" w:afterAutospacing="0" w:line="276" w:lineRule="auto"/>
        <w:jc w:val="both"/>
      </w:pPr>
      <w:r w:rsidRPr="00C638DA">
        <w:t xml:space="preserve">Revenue from Taxes on Income contributed 23 percent to the state’s total own tax revenue in 2001–02, but this declined sharply to 2 percent by the end of the study period. Within this head, revenue from agricultural income remained nil throughout the period, possibly due to the </w:t>
      </w:r>
      <w:r w:rsidRPr="00C638DA">
        <w:lastRenderedPageBreak/>
        <w:t>constitutional provision exempting agricultural income from taxation in India. Similarly, revenue from calling and employment was also nil. The only sub-head under which the state generated income was Taxes on Professions and Trades.</w:t>
      </w:r>
    </w:p>
    <w:p w14:paraId="484E4BE5" w14:textId="77777777" w:rsidR="00F16C03" w:rsidRPr="00C638DA" w:rsidRDefault="00F16C03" w:rsidP="00A57A0A">
      <w:pPr>
        <w:pStyle w:val="NormalWeb"/>
        <w:spacing w:before="0" w:beforeAutospacing="0" w:after="0" w:afterAutospacing="0" w:line="276" w:lineRule="auto"/>
        <w:jc w:val="both"/>
      </w:pPr>
      <w:r w:rsidRPr="00C638DA">
        <w:t>Revenue from Taxes on Property and Capital Transactions accounted for about 4–5 percent of the state’s own revenue during the initial years of the study. However, this figure declined drastically to just 1 percent by the end of the study period, which is a matter of concern. Land revenue almost disappeared, reducing to zero, while stamp duty and registration fees were the only contributors under this head. These too exhibited a declining trend. Consequently, the contribution of this category became marginal and negligible, adversely affecting the state’s overall financial condition.</w:t>
      </w:r>
    </w:p>
    <w:p w14:paraId="7EC270D8" w14:textId="4092D3EE" w:rsidR="00F16C03" w:rsidRPr="00C638DA" w:rsidRDefault="00F16C03" w:rsidP="00A57A0A">
      <w:pPr>
        <w:pStyle w:val="NormalWeb"/>
        <w:spacing w:before="0" w:beforeAutospacing="0" w:after="0" w:afterAutospacing="0" w:line="276" w:lineRule="auto"/>
        <w:jc w:val="both"/>
      </w:pPr>
      <w:r w:rsidRPr="00C638DA">
        <w:t>Taxes on Commodities and Services contributed the major share of the state’s own tax revenue receipts. Their contribution increased from 71 percent in 2001</w:t>
      </w:r>
      <w:r w:rsidR="00956A15" w:rsidRPr="00C638DA">
        <w:t>-</w:t>
      </w:r>
      <w:r w:rsidRPr="00C638DA">
        <w:t>02 to 97 percent by the end of the study period. Within this head, state sales tax occupied the prime position as a revenue-generating source. The contribution of state sales tax rose from 58 percent in 2001</w:t>
      </w:r>
      <w:r w:rsidR="00956A15" w:rsidRPr="00C638DA">
        <w:t>-</w:t>
      </w:r>
      <w:r w:rsidRPr="00C638DA">
        <w:t>02 to 85 percent in 2016</w:t>
      </w:r>
      <w:r w:rsidR="00956A15" w:rsidRPr="00C638DA">
        <w:t>-</w:t>
      </w:r>
      <w:r w:rsidRPr="00C638DA">
        <w:t xml:space="preserve">17, but it significantly declined to 26 percent after the implementation of GST. Following the introduction of GST, </w:t>
      </w:r>
      <w:r w:rsidR="00006E48" w:rsidRPr="00C638DA">
        <w:t xml:space="preserve">GST </w:t>
      </w:r>
      <w:r w:rsidRPr="00C638DA">
        <w:t>replaced sales tax and emerged as the primary revenue source under this head.</w:t>
      </w:r>
    </w:p>
    <w:p w14:paraId="04701AD0" w14:textId="32F4F673" w:rsidR="00F16C03" w:rsidRPr="00C638DA" w:rsidRDefault="00F16C03" w:rsidP="00A57A0A">
      <w:pPr>
        <w:pStyle w:val="NormalWeb"/>
        <w:spacing w:before="0" w:beforeAutospacing="0" w:after="0" w:afterAutospacing="0" w:line="276" w:lineRule="auto"/>
        <w:jc w:val="both"/>
      </w:pPr>
      <w:r w:rsidRPr="00C638DA">
        <w:t>Other taxes such as taxes on goods and passengers, electricity duty, and miscellaneous taxes contributed about 1</w:t>
      </w:r>
      <w:r w:rsidR="00956A15" w:rsidRPr="00C638DA">
        <w:t>-</w:t>
      </w:r>
      <w:r w:rsidRPr="00C638DA">
        <w:t>4 percent of revenue during the initial years of the study, but their contribution reduced to nil by the end of the period. A similar trend was observed in the case of state excise and taxes on vehicles, which eventually disappeared. Interestingly, entertainment tax did not generate any revenue throughout the entire study period.</w:t>
      </w:r>
    </w:p>
    <w:p w14:paraId="5BC15947" w14:textId="08AA8DCC" w:rsidR="00F16C03" w:rsidRPr="00C638DA" w:rsidRDefault="00F16C03" w:rsidP="00A57A0A">
      <w:pPr>
        <w:pStyle w:val="NormalWeb"/>
        <w:spacing w:before="0" w:beforeAutospacing="0" w:after="0" w:afterAutospacing="0" w:line="276" w:lineRule="auto"/>
        <w:jc w:val="both"/>
      </w:pPr>
      <w:r w:rsidRPr="00C638DA">
        <w:t>Overall, the analysis reveals that Manipur’s tax structure has become highly dependent on Taxes on Commodities and Services, particularly after the implementation of GST, while the share of Taxes on Income and Taxes on Property and Capital Transactions has steadily declined. This over-reliance on a single category indicates structural imbalance and highlights the need for diversification of the state’s own tax base to ensure fiscal stability and long-term sustainability.</w:t>
      </w:r>
    </w:p>
    <w:p w14:paraId="2CD73BE2" w14:textId="4B9A00FB" w:rsidR="00F16C03" w:rsidRPr="00C638DA" w:rsidRDefault="00F16C03" w:rsidP="00F16C03">
      <w:pPr>
        <w:pStyle w:val="NormalWeb"/>
        <w:spacing w:before="0" w:beforeAutospacing="0" w:after="0" w:afterAutospacing="0"/>
        <w:jc w:val="both"/>
        <w:sectPr w:rsidR="00F16C03" w:rsidRPr="00C638DA" w:rsidSect="007130F2">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18" w:left="1418" w:header="708" w:footer="708" w:gutter="0"/>
          <w:cols w:space="708"/>
          <w:docGrid w:linePitch="360"/>
        </w:sectPr>
      </w:pPr>
    </w:p>
    <w:tbl>
      <w:tblPr>
        <w:tblpPr w:leftFromText="180" w:rightFromText="180" w:vertAnchor="text" w:horzAnchor="page" w:tblpXSpec="center" w:tblpY="376"/>
        <w:tblW w:w="16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755"/>
        <w:gridCol w:w="696"/>
        <w:gridCol w:w="696"/>
        <w:gridCol w:w="696"/>
        <w:gridCol w:w="696"/>
        <w:gridCol w:w="696"/>
        <w:gridCol w:w="696"/>
        <w:gridCol w:w="696"/>
        <w:gridCol w:w="696"/>
        <w:gridCol w:w="696"/>
        <w:gridCol w:w="696"/>
        <w:gridCol w:w="696"/>
        <w:gridCol w:w="696"/>
        <w:gridCol w:w="696"/>
        <w:gridCol w:w="696"/>
        <w:gridCol w:w="696"/>
        <w:gridCol w:w="776"/>
        <w:gridCol w:w="696"/>
        <w:gridCol w:w="805"/>
        <w:gridCol w:w="7"/>
      </w:tblGrid>
      <w:tr w:rsidR="00C638DA" w:rsidRPr="00C638DA" w14:paraId="6FFB2738" w14:textId="77777777" w:rsidTr="002A6325">
        <w:trPr>
          <w:trHeight w:val="271"/>
        </w:trPr>
        <w:tc>
          <w:tcPr>
            <w:tcW w:w="16123" w:type="dxa"/>
            <w:gridSpan w:val="21"/>
            <w:noWrap/>
            <w:vAlign w:val="bottom"/>
          </w:tcPr>
          <w:p w14:paraId="75C05EA0" w14:textId="465849C2" w:rsidR="00951386" w:rsidRPr="00C638DA" w:rsidRDefault="00951386" w:rsidP="00CB653B">
            <w:pPr>
              <w:pStyle w:val="NormalWeb"/>
              <w:spacing w:before="0" w:beforeAutospacing="0" w:after="0" w:afterAutospacing="0"/>
              <w:ind w:left="720"/>
              <w:jc w:val="center"/>
              <w:rPr>
                <w:sz w:val="22"/>
                <w:szCs w:val="22"/>
                <w:lang w:bidi="hi-IN"/>
              </w:rPr>
            </w:pPr>
            <w:r w:rsidRPr="00C638DA">
              <w:rPr>
                <w:b/>
                <w:bCs/>
                <w:sz w:val="22"/>
                <w:szCs w:val="22"/>
              </w:rPr>
              <w:lastRenderedPageBreak/>
              <w:t xml:space="preserve">Table 2: Composition of </w:t>
            </w:r>
            <w:r w:rsidR="007A1637" w:rsidRPr="00C638DA">
              <w:rPr>
                <w:b/>
                <w:bCs/>
                <w:sz w:val="22"/>
                <w:szCs w:val="22"/>
              </w:rPr>
              <w:t xml:space="preserve">Manipur </w:t>
            </w:r>
            <w:r w:rsidRPr="00C638DA">
              <w:rPr>
                <w:b/>
                <w:bCs/>
                <w:sz w:val="22"/>
                <w:szCs w:val="22"/>
              </w:rPr>
              <w:t>State's Own Tax Revenue (in Percentage)</w:t>
            </w:r>
          </w:p>
        </w:tc>
      </w:tr>
      <w:tr w:rsidR="00C638DA" w:rsidRPr="00C638DA" w14:paraId="0821AFB2" w14:textId="7EF48C8A" w:rsidTr="00571CEB">
        <w:trPr>
          <w:gridAfter w:val="1"/>
          <w:wAfter w:w="7" w:type="dxa"/>
          <w:trHeight w:val="291"/>
        </w:trPr>
        <w:tc>
          <w:tcPr>
            <w:tcW w:w="2644" w:type="dxa"/>
            <w:noWrap/>
            <w:vAlign w:val="bottom"/>
            <w:hideMark/>
          </w:tcPr>
          <w:p w14:paraId="54244E5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Particulars</w:t>
            </w:r>
          </w:p>
        </w:tc>
        <w:tc>
          <w:tcPr>
            <w:tcW w:w="755" w:type="dxa"/>
            <w:tcBorders>
              <w:bottom w:val="single" w:sz="4" w:space="0" w:color="auto"/>
            </w:tcBorders>
            <w:noWrap/>
            <w:vAlign w:val="bottom"/>
            <w:hideMark/>
          </w:tcPr>
          <w:p w14:paraId="0FDD4D80"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2001</w:t>
            </w:r>
          </w:p>
          <w:p w14:paraId="37F2D355"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-02</w:t>
            </w:r>
          </w:p>
        </w:tc>
        <w:tc>
          <w:tcPr>
            <w:tcW w:w="696" w:type="dxa"/>
            <w:tcBorders>
              <w:bottom w:val="single" w:sz="4" w:space="0" w:color="auto"/>
            </w:tcBorders>
            <w:noWrap/>
            <w:vAlign w:val="bottom"/>
            <w:hideMark/>
          </w:tcPr>
          <w:p w14:paraId="79A247AE"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2002</w:t>
            </w:r>
          </w:p>
          <w:p w14:paraId="61A4DC50"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-03</w:t>
            </w:r>
          </w:p>
        </w:tc>
        <w:tc>
          <w:tcPr>
            <w:tcW w:w="696" w:type="dxa"/>
            <w:tcBorders>
              <w:bottom w:val="single" w:sz="4" w:space="0" w:color="auto"/>
            </w:tcBorders>
            <w:noWrap/>
            <w:vAlign w:val="bottom"/>
            <w:hideMark/>
          </w:tcPr>
          <w:p w14:paraId="0CA4DDE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2004</w:t>
            </w:r>
          </w:p>
          <w:p w14:paraId="2BE0BB09"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-05</w:t>
            </w:r>
          </w:p>
        </w:tc>
        <w:tc>
          <w:tcPr>
            <w:tcW w:w="696" w:type="dxa"/>
            <w:tcBorders>
              <w:bottom w:val="single" w:sz="4" w:space="0" w:color="auto"/>
            </w:tcBorders>
            <w:noWrap/>
            <w:vAlign w:val="bottom"/>
            <w:hideMark/>
          </w:tcPr>
          <w:p w14:paraId="677407E2"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2005</w:t>
            </w:r>
          </w:p>
          <w:p w14:paraId="695F4B1B"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-06</w:t>
            </w:r>
          </w:p>
        </w:tc>
        <w:tc>
          <w:tcPr>
            <w:tcW w:w="696" w:type="dxa"/>
            <w:tcBorders>
              <w:bottom w:val="single" w:sz="4" w:space="0" w:color="auto"/>
            </w:tcBorders>
            <w:noWrap/>
            <w:vAlign w:val="bottom"/>
            <w:hideMark/>
          </w:tcPr>
          <w:p w14:paraId="07D13B2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2006</w:t>
            </w:r>
          </w:p>
          <w:p w14:paraId="00D61F2F"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-07</w:t>
            </w:r>
          </w:p>
        </w:tc>
        <w:tc>
          <w:tcPr>
            <w:tcW w:w="696" w:type="dxa"/>
            <w:tcBorders>
              <w:bottom w:val="single" w:sz="4" w:space="0" w:color="auto"/>
            </w:tcBorders>
            <w:noWrap/>
            <w:vAlign w:val="bottom"/>
            <w:hideMark/>
          </w:tcPr>
          <w:p w14:paraId="3176F869"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2007</w:t>
            </w:r>
          </w:p>
          <w:p w14:paraId="3C249FA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-08</w:t>
            </w:r>
          </w:p>
        </w:tc>
        <w:tc>
          <w:tcPr>
            <w:tcW w:w="696" w:type="dxa"/>
            <w:tcBorders>
              <w:bottom w:val="single" w:sz="4" w:space="0" w:color="auto"/>
            </w:tcBorders>
            <w:noWrap/>
            <w:vAlign w:val="bottom"/>
            <w:hideMark/>
          </w:tcPr>
          <w:p w14:paraId="640E726B"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2008</w:t>
            </w:r>
          </w:p>
          <w:p w14:paraId="19486ECE"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-09</w:t>
            </w:r>
          </w:p>
        </w:tc>
        <w:tc>
          <w:tcPr>
            <w:tcW w:w="696" w:type="dxa"/>
            <w:tcBorders>
              <w:bottom w:val="single" w:sz="4" w:space="0" w:color="auto"/>
            </w:tcBorders>
            <w:noWrap/>
            <w:vAlign w:val="bottom"/>
            <w:hideMark/>
          </w:tcPr>
          <w:p w14:paraId="0ACF98F3"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2009</w:t>
            </w:r>
          </w:p>
          <w:p w14:paraId="592B5A06"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w:t>
            </w:r>
          </w:p>
        </w:tc>
        <w:tc>
          <w:tcPr>
            <w:tcW w:w="696" w:type="dxa"/>
            <w:tcBorders>
              <w:bottom w:val="single" w:sz="4" w:space="0" w:color="auto"/>
            </w:tcBorders>
            <w:noWrap/>
            <w:vAlign w:val="bottom"/>
            <w:hideMark/>
          </w:tcPr>
          <w:p w14:paraId="6F297769"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2010</w:t>
            </w:r>
          </w:p>
          <w:p w14:paraId="24D6F22E"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-11</w:t>
            </w:r>
          </w:p>
        </w:tc>
        <w:tc>
          <w:tcPr>
            <w:tcW w:w="696" w:type="dxa"/>
            <w:tcBorders>
              <w:bottom w:val="single" w:sz="4" w:space="0" w:color="auto"/>
            </w:tcBorders>
            <w:noWrap/>
            <w:vAlign w:val="bottom"/>
            <w:hideMark/>
          </w:tcPr>
          <w:p w14:paraId="65158C13"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2011</w:t>
            </w:r>
          </w:p>
          <w:p w14:paraId="06ABAC0B"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-12</w:t>
            </w:r>
          </w:p>
        </w:tc>
        <w:tc>
          <w:tcPr>
            <w:tcW w:w="696" w:type="dxa"/>
            <w:tcBorders>
              <w:bottom w:val="single" w:sz="4" w:space="0" w:color="auto"/>
            </w:tcBorders>
            <w:noWrap/>
            <w:vAlign w:val="bottom"/>
            <w:hideMark/>
          </w:tcPr>
          <w:p w14:paraId="02F3CE22"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2012</w:t>
            </w:r>
          </w:p>
          <w:p w14:paraId="5E37A14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-13</w:t>
            </w:r>
          </w:p>
        </w:tc>
        <w:tc>
          <w:tcPr>
            <w:tcW w:w="696" w:type="dxa"/>
            <w:tcBorders>
              <w:bottom w:val="single" w:sz="4" w:space="0" w:color="auto"/>
            </w:tcBorders>
            <w:noWrap/>
            <w:vAlign w:val="bottom"/>
            <w:hideMark/>
          </w:tcPr>
          <w:p w14:paraId="1733F499"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2013</w:t>
            </w:r>
          </w:p>
          <w:p w14:paraId="3F3B5218"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-14</w:t>
            </w:r>
          </w:p>
        </w:tc>
        <w:tc>
          <w:tcPr>
            <w:tcW w:w="696" w:type="dxa"/>
            <w:tcBorders>
              <w:bottom w:val="single" w:sz="4" w:space="0" w:color="auto"/>
            </w:tcBorders>
            <w:noWrap/>
            <w:vAlign w:val="bottom"/>
            <w:hideMark/>
          </w:tcPr>
          <w:p w14:paraId="61C94B9E"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2014</w:t>
            </w:r>
          </w:p>
          <w:p w14:paraId="0266D1A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-15</w:t>
            </w:r>
          </w:p>
        </w:tc>
        <w:tc>
          <w:tcPr>
            <w:tcW w:w="696" w:type="dxa"/>
            <w:tcBorders>
              <w:bottom w:val="single" w:sz="4" w:space="0" w:color="auto"/>
            </w:tcBorders>
            <w:noWrap/>
            <w:vAlign w:val="bottom"/>
            <w:hideMark/>
          </w:tcPr>
          <w:p w14:paraId="3D84D02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2015</w:t>
            </w:r>
          </w:p>
          <w:p w14:paraId="2B331B27"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-16</w:t>
            </w:r>
          </w:p>
        </w:tc>
        <w:tc>
          <w:tcPr>
            <w:tcW w:w="696" w:type="dxa"/>
            <w:tcBorders>
              <w:bottom w:val="single" w:sz="4" w:space="0" w:color="auto"/>
            </w:tcBorders>
            <w:noWrap/>
            <w:vAlign w:val="bottom"/>
            <w:hideMark/>
          </w:tcPr>
          <w:p w14:paraId="62A5789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2016</w:t>
            </w:r>
          </w:p>
          <w:p w14:paraId="011109E3"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-17</w:t>
            </w:r>
          </w:p>
        </w:tc>
        <w:tc>
          <w:tcPr>
            <w:tcW w:w="696" w:type="dxa"/>
            <w:tcBorders>
              <w:bottom w:val="single" w:sz="4" w:space="0" w:color="auto"/>
            </w:tcBorders>
            <w:noWrap/>
            <w:vAlign w:val="bottom"/>
            <w:hideMark/>
          </w:tcPr>
          <w:p w14:paraId="05B4FDB2"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2017</w:t>
            </w:r>
          </w:p>
          <w:p w14:paraId="0B7539EF"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-18</w:t>
            </w:r>
          </w:p>
        </w:tc>
        <w:tc>
          <w:tcPr>
            <w:tcW w:w="776" w:type="dxa"/>
            <w:tcBorders>
              <w:bottom w:val="single" w:sz="4" w:space="0" w:color="auto"/>
            </w:tcBorders>
            <w:noWrap/>
            <w:vAlign w:val="bottom"/>
            <w:hideMark/>
          </w:tcPr>
          <w:p w14:paraId="2B3C4180"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2018-</w:t>
            </w:r>
          </w:p>
          <w:p w14:paraId="41A9A47F"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19</w:t>
            </w:r>
          </w:p>
        </w:tc>
        <w:tc>
          <w:tcPr>
            <w:tcW w:w="696" w:type="dxa"/>
            <w:tcBorders>
              <w:bottom w:val="single" w:sz="4" w:space="0" w:color="auto"/>
            </w:tcBorders>
            <w:noWrap/>
            <w:vAlign w:val="bottom"/>
            <w:hideMark/>
          </w:tcPr>
          <w:p w14:paraId="241875C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2019</w:t>
            </w:r>
          </w:p>
          <w:p w14:paraId="596A29E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w:t>
            </w:r>
          </w:p>
        </w:tc>
        <w:tc>
          <w:tcPr>
            <w:tcW w:w="805" w:type="dxa"/>
            <w:tcBorders>
              <w:bottom w:val="single" w:sz="4" w:space="0" w:color="auto"/>
            </w:tcBorders>
            <w:noWrap/>
            <w:vAlign w:val="bottom"/>
            <w:hideMark/>
          </w:tcPr>
          <w:p w14:paraId="58D5827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2020</w:t>
            </w:r>
          </w:p>
          <w:p w14:paraId="11FBE8E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-21</w:t>
            </w:r>
          </w:p>
        </w:tc>
      </w:tr>
      <w:tr w:rsidR="00C638DA" w:rsidRPr="00C638DA" w14:paraId="1FCE5C5C" w14:textId="21DE6A22" w:rsidTr="00571CEB">
        <w:trPr>
          <w:gridAfter w:val="1"/>
          <w:wAfter w:w="7" w:type="dxa"/>
          <w:trHeight w:val="315"/>
        </w:trPr>
        <w:tc>
          <w:tcPr>
            <w:tcW w:w="2644" w:type="dxa"/>
            <w:noWrap/>
            <w:vAlign w:val="bottom"/>
            <w:hideMark/>
          </w:tcPr>
          <w:p w14:paraId="0F5DFCBC" w14:textId="7777777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Taxes on Income (</w:t>
            </w:r>
            <w:proofErr w:type="spellStart"/>
            <w:r w:rsidRPr="00C638DA">
              <w:rPr>
                <w:rFonts w:ascii="Times New Roman" w:eastAsia="Times New Roman" w:hAnsi="Times New Roman" w:cs="Times New Roman"/>
                <w:b/>
                <w:bCs/>
                <w:kern w:val="0"/>
                <w:lang w:eastAsia="en-IN" w:bidi="hi-IN"/>
                <w14:ligatures w14:val="none"/>
              </w:rPr>
              <w:t>i+ii</w:t>
            </w:r>
            <w:proofErr w:type="spellEnd"/>
            <w:r w:rsidRPr="00C638DA">
              <w:rPr>
                <w:rFonts w:ascii="Times New Roman" w:eastAsia="Times New Roman" w:hAnsi="Times New Roman" w:cs="Times New Roman"/>
                <w:b/>
                <w:bCs/>
                <w:kern w:val="0"/>
                <w:lang w:eastAsia="en-IN" w:bidi="hi-IN"/>
                <w14:ligatures w14:val="none"/>
              </w:rPr>
              <w:t>)</w:t>
            </w:r>
          </w:p>
        </w:tc>
        <w:tc>
          <w:tcPr>
            <w:tcW w:w="755" w:type="dxa"/>
            <w:tcBorders>
              <w:top w:val="single" w:sz="4" w:space="0" w:color="auto"/>
              <w:left w:val="nil"/>
              <w:bottom w:val="single" w:sz="4" w:space="0" w:color="auto"/>
              <w:right w:val="single" w:sz="4" w:space="0" w:color="auto"/>
            </w:tcBorders>
            <w:noWrap/>
            <w:vAlign w:val="bottom"/>
            <w:hideMark/>
          </w:tcPr>
          <w:p w14:paraId="23B56D33" w14:textId="195B198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22AFA26" w14:textId="2DD39B0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5CB3542" w14:textId="735CB131"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FC6FA53" w14:textId="058AE4D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F7E085D" w14:textId="2BF2E10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11392D5" w14:textId="2C7B420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6F4ADF3" w14:textId="44BCCB05"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3C2226F" w14:textId="4487C3F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9AFF064" w14:textId="54FCA44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A5EDAA" w14:textId="12464DF9"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19B7B95" w14:textId="1D601CE9"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4E0E165" w14:textId="78217FD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2338023" w14:textId="7FC02D9D"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CC78B24" w14:textId="2589F599"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E31C869" w14:textId="5F44092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6E21FEF" w14:textId="1FBCD0F0"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BF01214" w14:textId="3757EC7D"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F265A7" w14:textId="16763B7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25329016" w14:textId="0F0F592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r>
      <w:tr w:rsidR="00C638DA" w:rsidRPr="00C638DA" w14:paraId="252203EC" w14:textId="770D2B28" w:rsidTr="00571CEB">
        <w:trPr>
          <w:gridAfter w:val="1"/>
          <w:wAfter w:w="7" w:type="dxa"/>
          <w:trHeight w:val="315"/>
        </w:trPr>
        <w:tc>
          <w:tcPr>
            <w:tcW w:w="2644" w:type="dxa"/>
            <w:noWrap/>
            <w:vAlign w:val="bottom"/>
            <w:hideMark/>
          </w:tcPr>
          <w:p w14:paraId="4AB9EA05"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Agricultural Income Tax</w:t>
            </w:r>
          </w:p>
        </w:tc>
        <w:tc>
          <w:tcPr>
            <w:tcW w:w="755" w:type="dxa"/>
            <w:tcBorders>
              <w:top w:val="single" w:sz="4" w:space="0" w:color="auto"/>
              <w:left w:val="nil"/>
              <w:bottom w:val="single" w:sz="4" w:space="0" w:color="auto"/>
              <w:right w:val="single" w:sz="4" w:space="0" w:color="auto"/>
            </w:tcBorders>
            <w:noWrap/>
            <w:vAlign w:val="bottom"/>
            <w:hideMark/>
          </w:tcPr>
          <w:p w14:paraId="5953AF49" w14:textId="26DCF04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A786BD1" w14:textId="205F8BF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8CD2B21" w14:textId="0910A87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FC9B14" w14:textId="603AE8F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2D6457B" w14:textId="7CB775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3432DB" w14:textId="3AFEA55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A8FFE15" w14:textId="64270E3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1136C96" w14:textId="56A23FB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395AD5" w14:textId="3EA3C7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05E7AE3" w14:textId="2390CD2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9D5624" w14:textId="16D0C31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FE90B2" w14:textId="53B48D4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201F2FA" w14:textId="2878C69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FD33377" w14:textId="0D1BE5B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46A437B" w14:textId="21CE267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BABAB10" w14:textId="26AF533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43CE556F" w14:textId="749BAC6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B06E3F" w14:textId="1CD8D78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54824871" w14:textId="27CA93C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r>
      <w:tr w:rsidR="00C638DA" w:rsidRPr="00C638DA" w14:paraId="43194781" w14:textId="0B2C37C9" w:rsidTr="00571CEB">
        <w:trPr>
          <w:gridAfter w:val="1"/>
          <w:wAfter w:w="7" w:type="dxa"/>
          <w:trHeight w:val="315"/>
        </w:trPr>
        <w:tc>
          <w:tcPr>
            <w:tcW w:w="2644" w:type="dxa"/>
            <w:noWrap/>
            <w:vAlign w:val="bottom"/>
            <w:hideMark/>
          </w:tcPr>
          <w:p w14:paraId="24FD4BA7"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Taxes on Professions, Trades,</w:t>
            </w:r>
          </w:p>
        </w:tc>
        <w:tc>
          <w:tcPr>
            <w:tcW w:w="755" w:type="dxa"/>
            <w:tcBorders>
              <w:top w:val="single" w:sz="4" w:space="0" w:color="auto"/>
              <w:left w:val="nil"/>
              <w:bottom w:val="single" w:sz="4" w:space="0" w:color="auto"/>
              <w:right w:val="single" w:sz="4" w:space="0" w:color="auto"/>
            </w:tcBorders>
            <w:noWrap/>
            <w:vAlign w:val="bottom"/>
            <w:hideMark/>
          </w:tcPr>
          <w:p w14:paraId="244C141F" w14:textId="6E943C8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5ACA38F" w14:textId="051F879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B0B6491" w14:textId="50C6B4B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F1DCA52" w14:textId="63A5FCA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4E775BE" w14:textId="7B7D74A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E9CDE94" w14:textId="401FDB1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13A476" w14:textId="78BB2BC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39934C2" w14:textId="0D8F630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789D3EA" w14:textId="366EB1A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D937EE4" w14:textId="7A7F049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E77C439" w14:textId="12F8A74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3AF9EEB" w14:textId="26D7E9D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705989" w14:textId="77A7468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827D781" w14:textId="28690DB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B8337B8" w14:textId="5DE525C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FD6F1A" w14:textId="2A1C7FB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4C9C0998" w14:textId="7146CD1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28DB32" w14:textId="099E82A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F6DD1DF" w14:textId="07E6D71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r>
      <w:tr w:rsidR="00C638DA" w:rsidRPr="00C638DA" w14:paraId="1D8AC9AA" w14:textId="4B039217" w:rsidTr="00571CEB">
        <w:trPr>
          <w:gridAfter w:val="1"/>
          <w:wAfter w:w="7" w:type="dxa"/>
          <w:trHeight w:val="315"/>
        </w:trPr>
        <w:tc>
          <w:tcPr>
            <w:tcW w:w="2644" w:type="dxa"/>
            <w:noWrap/>
            <w:vAlign w:val="bottom"/>
            <w:hideMark/>
          </w:tcPr>
          <w:p w14:paraId="3BD9047E"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Callings and Employment</w:t>
            </w:r>
          </w:p>
        </w:tc>
        <w:tc>
          <w:tcPr>
            <w:tcW w:w="755" w:type="dxa"/>
            <w:tcBorders>
              <w:top w:val="single" w:sz="4" w:space="0" w:color="auto"/>
              <w:left w:val="nil"/>
              <w:bottom w:val="single" w:sz="4" w:space="0" w:color="auto"/>
              <w:right w:val="single" w:sz="4" w:space="0" w:color="auto"/>
            </w:tcBorders>
            <w:noWrap/>
            <w:vAlign w:val="bottom"/>
            <w:hideMark/>
          </w:tcPr>
          <w:p w14:paraId="0F8E2D71" w14:textId="7F00F24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C720F75" w14:textId="7CBCB0A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EC7D951" w14:textId="3F2052B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E8BBC9" w14:textId="6E98559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278F32C" w14:textId="5A30658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515C137" w14:textId="4997E8C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EA239D8" w14:textId="52A250D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091C54C" w14:textId="68AF49B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4AC66F" w14:textId="0C43A2A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6AB5149" w14:textId="7F5EFDE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5A49DE" w14:textId="4BAEDD8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D0AD28" w14:textId="5CE9839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8F9365" w14:textId="3648A17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A168EEA" w14:textId="57F15DD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E757F5A" w14:textId="50A2552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CA35917" w14:textId="4543C16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19DA670" w14:textId="12B10C4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80703DC" w14:textId="62E9E1A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302BDB5A" w14:textId="6999F41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1729B06A" w14:textId="50C8BA61" w:rsidTr="00571CEB">
        <w:trPr>
          <w:gridAfter w:val="1"/>
          <w:wAfter w:w="7" w:type="dxa"/>
          <w:trHeight w:val="315"/>
        </w:trPr>
        <w:tc>
          <w:tcPr>
            <w:tcW w:w="2644" w:type="dxa"/>
            <w:noWrap/>
            <w:vAlign w:val="bottom"/>
            <w:hideMark/>
          </w:tcPr>
          <w:p w14:paraId="281120F4" w14:textId="7777777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 xml:space="preserve">Taxes on Property and Capital transactions </w:t>
            </w:r>
          </w:p>
          <w:p w14:paraId="70673A8C" w14:textId="2FB0AE0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(i to iii)</w:t>
            </w:r>
          </w:p>
        </w:tc>
        <w:tc>
          <w:tcPr>
            <w:tcW w:w="755" w:type="dxa"/>
            <w:tcBorders>
              <w:top w:val="single" w:sz="4" w:space="0" w:color="auto"/>
              <w:left w:val="nil"/>
              <w:bottom w:val="single" w:sz="4" w:space="0" w:color="auto"/>
              <w:right w:val="single" w:sz="4" w:space="0" w:color="auto"/>
            </w:tcBorders>
            <w:noWrap/>
            <w:vAlign w:val="bottom"/>
            <w:hideMark/>
          </w:tcPr>
          <w:p w14:paraId="433E0B1D" w14:textId="528709E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3D33EC" w14:textId="443A4E61"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CFDBD26" w14:textId="52CA54A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D4E4188" w14:textId="4D99C1E0"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E34D95E" w14:textId="4F99312F"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C83D89E" w14:textId="104286D1"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91A0DC5" w14:textId="5E40853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8F3FBD" w14:textId="1CEF191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D8D3B8E" w14:textId="26452F0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32A734" w14:textId="478F2A9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8454FF5" w14:textId="53AA2E3D"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6192A37" w14:textId="5FD8CD10"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E75735F" w14:textId="78171F44"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AD7D2DD" w14:textId="5FACA9B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4C12979" w14:textId="0E77752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60E1D8" w14:textId="0D5EBD3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CC501F8" w14:textId="69022554"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CE97385" w14:textId="5FFA8F1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7301626C" w14:textId="47FBB0B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1.0</w:t>
            </w:r>
          </w:p>
        </w:tc>
      </w:tr>
      <w:tr w:rsidR="00C638DA" w:rsidRPr="00C638DA" w14:paraId="416C7F43" w14:textId="6BF996E8" w:rsidTr="00571CEB">
        <w:trPr>
          <w:gridAfter w:val="1"/>
          <w:wAfter w:w="7" w:type="dxa"/>
          <w:trHeight w:val="315"/>
        </w:trPr>
        <w:tc>
          <w:tcPr>
            <w:tcW w:w="2644" w:type="dxa"/>
            <w:noWrap/>
            <w:vAlign w:val="bottom"/>
            <w:hideMark/>
          </w:tcPr>
          <w:p w14:paraId="35618AA1"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Land Revenue</w:t>
            </w:r>
          </w:p>
        </w:tc>
        <w:tc>
          <w:tcPr>
            <w:tcW w:w="755" w:type="dxa"/>
            <w:tcBorders>
              <w:top w:val="single" w:sz="4" w:space="0" w:color="auto"/>
              <w:left w:val="nil"/>
              <w:bottom w:val="single" w:sz="4" w:space="0" w:color="auto"/>
              <w:right w:val="single" w:sz="4" w:space="0" w:color="auto"/>
            </w:tcBorders>
            <w:noWrap/>
            <w:vAlign w:val="bottom"/>
            <w:hideMark/>
          </w:tcPr>
          <w:p w14:paraId="7A101E33" w14:textId="1E99752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76370F4" w14:textId="782CC64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CF1262C" w14:textId="7C8383F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A521E2E" w14:textId="12256C9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B5CAD64" w14:textId="1EFF77B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74B7A2" w14:textId="427EE74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B5A7AD" w14:textId="20E21C5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0EE9249" w14:textId="0EA5526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B6EA65B" w14:textId="0C35DC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EF0AE80" w14:textId="7893AC3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2633C3F" w14:textId="29A9733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0AE4E6" w14:textId="04EE824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0FC2540" w14:textId="3F51887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42DBCA1" w14:textId="42FC76E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9AA1EB0" w14:textId="0CB0A1E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683A9A" w14:textId="169A4D7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3F9CF8AB" w14:textId="16A33A2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FC7FFB" w14:textId="2FF4479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08C67B15" w14:textId="42A89F3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0D1B89E0" w14:textId="049D1F86" w:rsidTr="00571CEB">
        <w:trPr>
          <w:gridAfter w:val="1"/>
          <w:wAfter w:w="7" w:type="dxa"/>
          <w:trHeight w:val="315"/>
        </w:trPr>
        <w:tc>
          <w:tcPr>
            <w:tcW w:w="2644" w:type="dxa"/>
            <w:noWrap/>
            <w:vAlign w:val="bottom"/>
            <w:hideMark/>
          </w:tcPr>
          <w:p w14:paraId="7A5B14BD"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Stamps and Reg. fees</w:t>
            </w:r>
          </w:p>
        </w:tc>
        <w:tc>
          <w:tcPr>
            <w:tcW w:w="755" w:type="dxa"/>
            <w:tcBorders>
              <w:top w:val="single" w:sz="4" w:space="0" w:color="auto"/>
              <w:left w:val="nil"/>
              <w:bottom w:val="single" w:sz="4" w:space="0" w:color="auto"/>
              <w:right w:val="single" w:sz="4" w:space="0" w:color="auto"/>
            </w:tcBorders>
            <w:noWrap/>
            <w:vAlign w:val="bottom"/>
            <w:hideMark/>
          </w:tcPr>
          <w:p w14:paraId="133789FA" w14:textId="69715C3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4B50446" w14:textId="5DE6295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F71E412" w14:textId="2EA4D44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F475CEF" w14:textId="666CEC1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FC500DC" w14:textId="52601E3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BECF11" w14:textId="7E46653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A1A7C2B" w14:textId="7CED609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1A51EA" w14:textId="663E8FC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DC5651D" w14:textId="1CFBD53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8C4BA9C" w14:textId="01F468E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E37F1E6" w14:textId="6D3D1C4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47EEBB" w14:textId="4641810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9E3E2C" w14:textId="585E4D4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6C3E756" w14:textId="733BDCF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48EC7C8" w14:textId="0F0CAFB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492E898" w14:textId="4E78CB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42F1FE1D" w14:textId="3FCA173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8AE71C8" w14:textId="0AC8F03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374FD7EE" w14:textId="55BAB3F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r>
      <w:tr w:rsidR="00C638DA" w:rsidRPr="00C638DA" w14:paraId="346B3074" w14:textId="12D4FBC0" w:rsidTr="00571CEB">
        <w:trPr>
          <w:gridAfter w:val="1"/>
          <w:wAfter w:w="7" w:type="dxa"/>
          <w:trHeight w:val="373"/>
        </w:trPr>
        <w:tc>
          <w:tcPr>
            <w:tcW w:w="2644" w:type="dxa"/>
            <w:noWrap/>
            <w:vAlign w:val="bottom"/>
            <w:hideMark/>
          </w:tcPr>
          <w:p w14:paraId="748503A1"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Urban immovable Property Tax</w:t>
            </w:r>
          </w:p>
        </w:tc>
        <w:tc>
          <w:tcPr>
            <w:tcW w:w="755" w:type="dxa"/>
            <w:tcBorders>
              <w:top w:val="single" w:sz="4" w:space="0" w:color="auto"/>
              <w:left w:val="nil"/>
              <w:bottom w:val="single" w:sz="4" w:space="0" w:color="auto"/>
              <w:right w:val="single" w:sz="4" w:space="0" w:color="auto"/>
            </w:tcBorders>
            <w:noWrap/>
            <w:vAlign w:val="bottom"/>
            <w:hideMark/>
          </w:tcPr>
          <w:p w14:paraId="2DE92C9A" w14:textId="01DA6C6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560E630" w14:textId="64A11A1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16B9BE6" w14:textId="28BFB70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848A5F1" w14:textId="186B080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612CACC" w14:textId="132FA9C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FAA916" w14:textId="0BDF675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0357494" w14:textId="52FDF42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C62576" w14:textId="6D6CD2A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597F597" w14:textId="600E8B1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1B54D8B" w14:textId="276648B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6C7D01" w14:textId="383D1E7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40448FD" w14:textId="09A5349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70D02E" w14:textId="72D2C2C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EF2604" w14:textId="7C621FA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6922EDD" w14:textId="556B7D6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11C8BBC" w14:textId="35B8FD8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2F296EA9" w14:textId="011F202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387082F" w14:textId="43A9AD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E51D528" w14:textId="09D6B50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r>
      <w:tr w:rsidR="00C638DA" w:rsidRPr="00C638DA" w14:paraId="6173AD19" w14:textId="6EFD4FB6" w:rsidTr="00571CEB">
        <w:trPr>
          <w:gridAfter w:val="1"/>
          <w:wAfter w:w="7" w:type="dxa"/>
          <w:trHeight w:val="437"/>
        </w:trPr>
        <w:tc>
          <w:tcPr>
            <w:tcW w:w="2644" w:type="dxa"/>
            <w:noWrap/>
            <w:vAlign w:val="bottom"/>
            <w:hideMark/>
          </w:tcPr>
          <w:p w14:paraId="0F2EB294" w14:textId="7777777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Taxes on commodities and services (I to vii)</w:t>
            </w:r>
          </w:p>
        </w:tc>
        <w:tc>
          <w:tcPr>
            <w:tcW w:w="755" w:type="dxa"/>
            <w:tcBorders>
              <w:top w:val="single" w:sz="4" w:space="0" w:color="auto"/>
              <w:left w:val="nil"/>
              <w:bottom w:val="single" w:sz="4" w:space="0" w:color="auto"/>
              <w:right w:val="single" w:sz="4" w:space="0" w:color="auto"/>
            </w:tcBorders>
            <w:noWrap/>
            <w:vAlign w:val="bottom"/>
            <w:hideMark/>
          </w:tcPr>
          <w:p w14:paraId="0D85827A" w14:textId="2935C93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71.0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EB4A53" w14:textId="7D0CCD7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78.0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8F4159" w14:textId="0350C13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8CABC17" w14:textId="6000FDAD"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9E8025" w14:textId="182DE4B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FA6D15A" w14:textId="0F85D9D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BA2F3A" w14:textId="0C0D980A"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AB2B37D" w14:textId="737639EB"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49CA025" w14:textId="1848DCA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7B88E32" w14:textId="3AD169A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E33FD71" w14:textId="1AA7C53A"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B8E9366" w14:textId="632EF5F0"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7B95E23" w14:textId="10640A2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D5D3364" w14:textId="6AA41AB1"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B895286" w14:textId="1E789DE4"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E2FDEA9" w14:textId="0E476F2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97.0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D7DB629" w14:textId="5F8E0EF6"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AC228A6" w14:textId="38A2BF9B"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96.0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59E3568" w14:textId="6EDA420A"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97.0</w:t>
            </w:r>
          </w:p>
        </w:tc>
      </w:tr>
      <w:tr w:rsidR="00C638DA" w:rsidRPr="00C638DA" w14:paraId="2D75D27B" w14:textId="09AB4F44" w:rsidTr="00571CEB">
        <w:trPr>
          <w:gridAfter w:val="1"/>
          <w:wAfter w:w="7" w:type="dxa"/>
          <w:trHeight w:val="315"/>
        </w:trPr>
        <w:tc>
          <w:tcPr>
            <w:tcW w:w="2644" w:type="dxa"/>
            <w:noWrap/>
            <w:vAlign w:val="bottom"/>
            <w:hideMark/>
          </w:tcPr>
          <w:p w14:paraId="2DC47B83"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State Sales Tax</w:t>
            </w:r>
          </w:p>
        </w:tc>
        <w:tc>
          <w:tcPr>
            <w:tcW w:w="755" w:type="dxa"/>
            <w:tcBorders>
              <w:top w:val="single" w:sz="4" w:space="0" w:color="auto"/>
              <w:left w:val="nil"/>
              <w:bottom w:val="single" w:sz="4" w:space="0" w:color="auto"/>
              <w:right w:val="single" w:sz="4" w:space="0" w:color="auto"/>
            </w:tcBorders>
            <w:noWrap/>
            <w:vAlign w:val="bottom"/>
            <w:hideMark/>
          </w:tcPr>
          <w:p w14:paraId="65C32BDA" w14:textId="7DAE17B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B762D2E" w14:textId="692A1FD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FAFEF2A" w14:textId="7D976E2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B76F39A" w14:textId="67309A8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D6C3084" w14:textId="3DEEAF8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A8DFC11" w14:textId="1D84A16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40BCFED" w14:textId="01F0280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4346FF8" w14:textId="0843E04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AB851C2" w14:textId="45E4539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C25896C" w14:textId="2E8A0B4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715B726" w14:textId="4481EC6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71FE826" w14:textId="7D6C7C9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E19CE3F" w14:textId="711159B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F0A3BED" w14:textId="6617F65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6A9C24B" w14:textId="2DB12F1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8FB73A" w14:textId="0B88F19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32.0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3974E8D6" w14:textId="351A180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153F7E" w14:textId="30E5CD8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2B31B83D" w14:textId="4601A80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26.0</w:t>
            </w:r>
          </w:p>
        </w:tc>
      </w:tr>
      <w:tr w:rsidR="00C638DA" w:rsidRPr="00C638DA" w14:paraId="73A3487C" w14:textId="58F9BDED" w:rsidTr="00571CEB">
        <w:trPr>
          <w:gridAfter w:val="1"/>
          <w:wAfter w:w="7" w:type="dxa"/>
          <w:trHeight w:val="315"/>
        </w:trPr>
        <w:tc>
          <w:tcPr>
            <w:tcW w:w="2644" w:type="dxa"/>
            <w:noWrap/>
            <w:vAlign w:val="bottom"/>
            <w:hideMark/>
          </w:tcPr>
          <w:p w14:paraId="1C1875C1"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State Excise</w:t>
            </w:r>
          </w:p>
        </w:tc>
        <w:tc>
          <w:tcPr>
            <w:tcW w:w="755" w:type="dxa"/>
            <w:tcBorders>
              <w:top w:val="single" w:sz="4" w:space="0" w:color="auto"/>
              <w:left w:val="nil"/>
              <w:bottom w:val="single" w:sz="4" w:space="0" w:color="auto"/>
              <w:right w:val="single" w:sz="4" w:space="0" w:color="auto"/>
            </w:tcBorders>
            <w:noWrap/>
            <w:vAlign w:val="bottom"/>
            <w:hideMark/>
          </w:tcPr>
          <w:p w14:paraId="716A2203" w14:textId="686F9E8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FA7B013" w14:textId="3C09203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F1A7A6E" w14:textId="67FD93A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5D7AA46" w14:textId="0BDC7D1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AC10E0" w14:textId="106509D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D104C39" w14:textId="5504822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549014B" w14:textId="3C54355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CC38B3D" w14:textId="521F14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C179B4" w14:textId="5A43D0F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66C05C" w14:textId="5E91EDB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9EE7EAF" w14:textId="21349FD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7EE3C0" w14:textId="49A48BF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7F43756" w14:textId="5A7296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FB9803" w14:textId="09365E4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0386A7" w14:textId="7AC856F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518D2A" w14:textId="0357FAD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6AA12539" w14:textId="23BE488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31DF8EA" w14:textId="3D224B9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6FE3077D" w14:textId="0EDAD8E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r>
      <w:tr w:rsidR="00C638DA" w:rsidRPr="00C638DA" w14:paraId="0F292363" w14:textId="6B87BBD4" w:rsidTr="00571CEB">
        <w:trPr>
          <w:gridAfter w:val="1"/>
          <w:wAfter w:w="7" w:type="dxa"/>
          <w:trHeight w:val="315"/>
        </w:trPr>
        <w:tc>
          <w:tcPr>
            <w:tcW w:w="2644" w:type="dxa"/>
            <w:noWrap/>
            <w:vAlign w:val="bottom"/>
            <w:hideMark/>
          </w:tcPr>
          <w:p w14:paraId="5A20A379"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Taxes on Vehicles</w:t>
            </w:r>
          </w:p>
        </w:tc>
        <w:tc>
          <w:tcPr>
            <w:tcW w:w="755" w:type="dxa"/>
            <w:tcBorders>
              <w:top w:val="single" w:sz="4" w:space="0" w:color="auto"/>
              <w:left w:val="nil"/>
              <w:bottom w:val="single" w:sz="4" w:space="0" w:color="auto"/>
              <w:right w:val="single" w:sz="4" w:space="0" w:color="auto"/>
            </w:tcBorders>
            <w:noWrap/>
            <w:vAlign w:val="bottom"/>
            <w:hideMark/>
          </w:tcPr>
          <w:p w14:paraId="312C3E7C" w14:textId="0589FE2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965F99C" w14:textId="1B8E64D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82591FE" w14:textId="74447D9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45E7937" w14:textId="64A6E61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5D18CE" w14:textId="5D365FA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98D9145" w14:textId="3336E0E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70AD669" w14:textId="0D103E3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D06BE2" w14:textId="3CBF869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7C7B2F7" w14:textId="22B8B28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297CDC" w14:textId="6D25B35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9A7B034" w14:textId="6B88A3F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1FA224" w14:textId="4072FA9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59C3B76" w14:textId="1C0AA16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5A1E56D" w14:textId="397065E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EEB4BFB" w14:textId="02AF58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3CEBDAB" w14:textId="2DCABE8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1D4F08AA" w14:textId="5DFA923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C0C166E" w14:textId="76039DE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76C56E66" w14:textId="04A5159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r>
      <w:tr w:rsidR="00C638DA" w:rsidRPr="00C638DA" w14:paraId="57320D43" w14:textId="4491389D" w:rsidTr="00571CEB">
        <w:trPr>
          <w:gridAfter w:val="1"/>
          <w:wAfter w:w="7" w:type="dxa"/>
          <w:trHeight w:val="315"/>
        </w:trPr>
        <w:tc>
          <w:tcPr>
            <w:tcW w:w="2644" w:type="dxa"/>
            <w:noWrap/>
            <w:vAlign w:val="bottom"/>
            <w:hideMark/>
          </w:tcPr>
          <w:p w14:paraId="383F48D5"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Taxes on Goods and Passengers</w:t>
            </w:r>
          </w:p>
        </w:tc>
        <w:tc>
          <w:tcPr>
            <w:tcW w:w="755" w:type="dxa"/>
            <w:tcBorders>
              <w:top w:val="single" w:sz="4" w:space="0" w:color="auto"/>
              <w:left w:val="nil"/>
              <w:bottom w:val="single" w:sz="4" w:space="0" w:color="auto"/>
              <w:right w:val="single" w:sz="4" w:space="0" w:color="auto"/>
            </w:tcBorders>
            <w:noWrap/>
            <w:vAlign w:val="bottom"/>
            <w:hideMark/>
          </w:tcPr>
          <w:p w14:paraId="6ED9F23C" w14:textId="7133348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A2EE65A" w14:textId="0C865F1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47DC98" w14:textId="47D70C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3E67B26" w14:textId="1C21EA4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C0F4907" w14:textId="7D012F4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7184C8" w14:textId="1FEC1C5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AFFD495" w14:textId="2B12C5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38B2F92" w14:textId="35EC6CD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ACCCE7" w14:textId="1327D33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93DA417" w14:textId="7586FF3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CCCEF07" w14:textId="3716021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CFAD63A" w14:textId="599C173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DF9647C" w14:textId="7A3564E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90B4BA" w14:textId="1888BDA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720894" w14:textId="6E00443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EBFFAC4" w14:textId="013BC65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6042BB6" w14:textId="2F736ED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90DBE5B" w14:textId="5C23B40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1F4C8FB6" w14:textId="56EEB34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6EA9D285" w14:textId="2F41FABC" w:rsidTr="00571CEB">
        <w:trPr>
          <w:gridAfter w:val="1"/>
          <w:wAfter w:w="7" w:type="dxa"/>
          <w:trHeight w:val="315"/>
        </w:trPr>
        <w:tc>
          <w:tcPr>
            <w:tcW w:w="2644" w:type="dxa"/>
            <w:noWrap/>
            <w:vAlign w:val="bottom"/>
            <w:hideMark/>
          </w:tcPr>
          <w:p w14:paraId="36339C81"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Electricity Duty</w:t>
            </w:r>
          </w:p>
        </w:tc>
        <w:tc>
          <w:tcPr>
            <w:tcW w:w="755" w:type="dxa"/>
            <w:tcBorders>
              <w:top w:val="single" w:sz="4" w:space="0" w:color="auto"/>
              <w:left w:val="nil"/>
              <w:bottom w:val="single" w:sz="4" w:space="0" w:color="auto"/>
              <w:right w:val="single" w:sz="4" w:space="0" w:color="auto"/>
            </w:tcBorders>
            <w:noWrap/>
            <w:vAlign w:val="bottom"/>
            <w:hideMark/>
          </w:tcPr>
          <w:p w14:paraId="7507E08B" w14:textId="113327F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A3E32FA" w14:textId="63810D6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F366BAC" w14:textId="5DD2A51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CD90EE" w14:textId="26E39D2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A3DE66E" w14:textId="796288F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3BE006C" w14:textId="6D81425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B230FBF" w14:textId="7BDC97F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B1FC410" w14:textId="0659AB5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CB1840F" w14:textId="19BC4F6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242304" w14:textId="5C5EBA0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2603C21" w14:textId="68A8AB4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0EF7237" w14:textId="5FBF4E2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CFD729C" w14:textId="65FF4C3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222A137" w14:textId="67B779B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8F8CF3" w14:textId="10B1BE0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F1F3B8B" w14:textId="0DD3FCD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0C3C0151" w14:textId="1377E3A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0B2E47" w14:textId="598E9FD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8FB604A" w14:textId="1707812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1F60CFA1" w14:textId="6240164C" w:rsidTr="00571CEB">
        <w:trPr>
          <w:gridAfter w:val="1"/>
          <w:wAfter w:w="7" w:type="dxa"/>
          <w:trHeight w:val="315"/>
        </w:trPr>
        <w:tc>
          <w:tcPr>
            <w:tcW w:w="2644" w:type="dxa"/>
            <w:noWrap/>
            <w:vAlign w:val="bottom"/>
            <w:hideMark/>
          </w:tcPr>
          <w:p w14:paraId="03FE17C7"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Entertainment Tax</w:t>
            </w:r>
          </w:p>
        </w:tc>
        <w:tc>
          <w:tcPr>
            <w:tcW w:w="755" w:type="dxa"/>
            <w:tcBorders>
              <w:top w:val="single" w:sz="4" w:space="0" w:color="auto"/>
              <w:left w:val="nil"/>
              <w:bottom w:val="single" w:sz="4" w:space="0" w:color="auto"/>
              <w:right w:val="single" w:sz="4" w:space="0" w:color="auto"/>
            </w:tcBorders>
            <w:noWrap/>
            <w:vAlign w:val="bottom"/>
            <w:hideMark/>
          </w:tcPr>
          <w:p w14:paraId="45E2F0A7" w14:textId="0675FD6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E371BD3" w14:textId="17D0E8F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3332960" w14:textId="6209F80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CC6F270" w14:textId="631FC33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74F6CC1" w14:textId="07ED8E2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D0C1F8C" w14:textId="5D9CE68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5232C3C" w14:textId="42E696F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1649C57" w14:textId="4084DC9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BCE8553" w14:textId="22EB526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CDDCB8C" w14:textId="74F7A7E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D68038" w14:textId="60F9D5F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01AD52" w14:textId="54998F7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6631FD9" w14:textId="670CB5D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C98173" w14:textId="59CC1F9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4780CC5" w14:textId="7424EBA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C8E9BEF" w14:textId="0EEC439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66010CC5" w14:textId="7FD93B5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153BF73" w14:textId="054C67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14E48F79" w14:textId="74E1003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4AA8B461" w14:textId="6B3E944D" w:rsidTr="00571CEB">
        <w:trPr>
          <w:gridAfter w:val="1"/>
          <w:wAfter w:w="7" w:type="dxa"/>
          <w:trHeight w:val="315"/>
        </w:trPr>
        <w:tc>
          <w:tcPr>
            <w:tcW w:w="2644" w:type="dxa"/>
            <w:noWrap/>
            <w:vAlign w:val="bottom"/>
            <w:hideMark/>
          </w:tcPr>
          <w:p w14:paraId="600A0F94" w14:textId="3A97CCD0" w:rsidR="00571CEB" w:rsidRPr="00C638DA" w:rsidRDefault="008573B2"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Miscellaneous</w:t>
            </w:r>
            <w:r w:rsidR="00571CEB" w:rsidRPr="00C638DA">
              <w:rPr>
                <w:rFonts w:ascii="Times New Roman" w:eastAsia="Times New Roman" w:hAnsi="Times New Roman" w:cs="Times New Roman"/>
                <w:kern w:val="0"/>
                <w:lang w:eastAsia="en-IN" w:bidi="hi-IN"/>
                <w14:ligatures w14:val="none"/>
              </w:rPr>
              <w:t xml:space="preserve"> Taxes and Duties</w:t>
            </w:r>
          </w:p>
        </w:tc>
        <w:tc>
          <w:tcPr>
            <w:tcW w:w="755" w:type="dxa"/>
            <w:tcBorders>
              <w:top w:val="single" w:sz="4" w:space="0" w:color="auto"/>
              <w:left w:val="nil"/>
              <w:bottom w:val="single" w:sz="4" w:space="0" w:color="auto"/>
              <w:right w:val="single" w:sz="4" w:space="0" w:color="auto"/>
            </w:tcBorders>
            <w:noWrap/>
            <w:vAlign w:val="bottom"/>
            <w:hideMark/>
          </w:tcPr>
          <w:p w14:paraId="7D049487" w14:textId="597A40E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3C2F13C" w14:textId="4BBB433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8AD5DBE" w14:textId="45820E3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DF21ECA" w14:textId="7354FF6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C93D9EA" w14:textId="2EE605C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F1BB820" w14:textId="39DC2EF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573A6D4" w14:textId="49AC1C4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0D3C898" w14:textId="4CC19CF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7C31DD3" w14:textId="6FF7798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5C00BF" w14:textId="6B206FF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B9551BC" w14:textId="2B598CF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A6D9BE6" w14:textId="25F12CF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A02911C" w14:textId="015803D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F85AEBE" w14:textId="406166B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68DAB7B" w14:textId="005A613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F85C36" w14:textId="6570681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09F644E2" w14:textId="3FEB692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7BD4D98" w14:textId="29D551E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456A29A" w14:textId="1F68F25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029152EE" w14:textId="6664F99E" w:rsidTr="00571CEB">
        <w:trPr>
          <w:gridAfter w:val="1"/>
          <w:wAfter w:w="7" w:type="dxa"/>
          <w:trHeight w:val="315"/>
        </w:trPr>
        <w:tc>
          <w:tcPr>
            <w:tcW w:w="2644" w:type="dxa"/>
            <w:noWrap/>
            <w:vAlign w:val="bottom"/>
            <w:hideMark/>
          </w:tcPr>
          <w:p w14:paraId="451CBD30"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Goods and Service Tax</w:t>
            </w:r>
          </w:p>
        </w:tc>
        <w:tc>
          <w:tcPr>
            <w:tcW w:w="755" w:type="dxa"/>
            <w:tcBorders>
              <w:top w:val="single" w:sz="4" w:space="0" w:color="auto"/>
              <w:left w:val="nil"/>
              <w:bottom w:val="single" w:sz="4" w:space="0" w:color="auto"/>
              <w:right w:val="single" w:sz="4" w:space="0" w:color="auto"/>
            </w:tcBorders>
            <w:noWrap/>
            <w:vAlign w:val="bottom"/>
            <w:hideMark/>
          </w:tcPr>
          <w:p w14:paraId="7A92AD01" w14:textId="6E8C09C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8040602" w14:textId="1D4644E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67644C" w14:textId="72E6642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27FB531" w14:textId="50BAD22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856DCC2" w14:textId="471EF98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75FF504" w14:textId="69B3AF1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4772A4" w14:textId="2BBED0C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B05F5C4" w14:textId="1AF95E6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EB2212A" w14:textId="731B857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2AF349B" w14:textId="4BCDE4F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681EAF5" w14:textId="122A5F8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11FB23D" w14:textId="5254FCE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805A3F4" w14:textId="06AE5D1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B6FA0A7" w14:textId="28BADEE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731EC7" w14:textId="22C304A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F7098BA" w14:textId="594E843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D9FE8A4" w14:textId="337F260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AACC9F2" w14:textId="0E19463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71.0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31CC381C" w14:textId="5F596C8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67.0</w:t>
            </w:r>
          </w:p>
        </w:tc>
      </w:tr>
      <w:tr w:rsidR="00C638DA" w:rsidRPr="00C638DA" w14:paraId="3CD86841" w14:textId="2063E994" w:rsidTr="00571CEB">
        <w:trPr>
          <w:gridAfter w:val="1"/>
          <w:wAfter w:w="7" w:type="dxa"/>
          <w:trHeight w:val="315"/>
        </w:trPr>
        <w:tc>
          <w:tcPr>
            <w:tcW w:w="2644" w:type="dxa"/>
            <w:noWrap/>
            <w:vAlign w:val="bottom"/>
            <w:hideMark/>
          </w:tcPr>
          <w:p w14:paraId="1C273640" w14:textId="7777777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Sate’s Own Tax Revenue</w:t>
            </w:r>
          </w:p>
        </w:tc>
        <w:tc>
          <w:tcPr>
            <w:tcW w:w="755" w:type="dxa"/>
            <w:tcBorders>
              <w:top w:val="single" w:sz="4" w:space="0" w:color="auto"/>
            </w:tcBorders>
            <w:noWrap/>
            <w:vAlign w:val="bottom"/>
            <w:hideMark/>
          </w:tcPr>
          <w:p w14:paraId="2758FB2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1BA8306F"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1E56D251"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03CF258D"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3CE04792"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03269278"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79CDC4AE"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65FF452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0D0D5A11"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5444F0AD"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73D20705"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5B64336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2E15593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040CD93F"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7BF6EAD3"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4A9B8F8C"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776" w:type="dxa"/>
            <w:tcBorders>
              <w:top w:val="single" w:sz="4" w:space="0" w:color="auto"/>
            </w:tcBorders>
            <w:noWrap/>
            <w:vAlign w:val="bottom"/>
            <w:hideMark/>
          </w:tcPr>
          <w:p w14:paraId="4CDEC11B"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18A2FB15"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805" w:type="dxa"/>
            <w:tcBorders>
              <w:top w:val="single" w:sz="4" w:space="0" w:color="auto"/>
            </w:tcBorders>
            <w:noWrap/>
            <w:vAlign w:val="bottom"/>
            <w:hideMark/>
          </w:tcPr>
          <w:p w14:paraId="3F87190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r>
    </w:tbl>
    <w:p w14:paraId="42350FEF" w14:textId="77777777" w:rsidR="00B3322A" w:rsidRPr="00C638DA" w:rsidRDefault="00B3322A" w:rsidP="004C6FCA">
      <w:pPr>
        <w:pStyle w:val="NormalWeb"/>
        <w:spacing w:line="276" w:lineRule="auto"/>
        <w:jc w:val="both"/>
      </w:pPr>
    </w:p>
    <w:p w14:paraId="7BA8D769" w14:textId="77777777" w:rsidR="002A6325" w:rsidRPr="00C638DA" w:rsidRDefault="002A6325" w:rsidP="004C6FCA">
      <w:pPr>
        <w:pStyle w:val="NormalWeb"/>
        <w:spacing w:before="0" w:beforeAutospacing="0" w:after="0" w:afterAutospacing="0" w:line="276" w:lineRule="auto"/>
        <w:jc w:val="both"/>
        <w:rPr>
          <w:i/>
          <w:iCs/>
          <w:sz w:val="20"/>
          <w:szCs w:val="20"/>
        </w:rPr>
      </w:pPr>
      <w:bookmarkStart w:id="1" w:name="_Hlk187415664"/>
      <w:r w:rsidRPr="00C638DA">
        <w:rPr>
          <w:i/>
          <w:iCs/>
          <w:sz w:val="20"/>
          <w:szCs w:val="20"/>
        </w:rPr>
        <w:t>Source: Reserve Bank of India. (2022). State finances: A study of budgets 2021-22.</w:t>
      </w:r>
    </w:p>
    <w:bookmarkEnd w:id="1"/>
    <w:p w14:paraId="627520D8" w14:textId="77777777" w:rsidR="00E0097D" w:rsidRPr="00C638DA" w:rsidRDefault="00E0097D" w:rsidP="004C6FCA">
      <w:pPr>
        <w:pStyle w:val="NormalWeb"/>
        <w:spacing w:line="276" w:lineRule="auto"/>
        <w:jc w:val="both"/>
        <w:sectPr w:rsidR="00E0097D" w:rsidRPr="00C638DA" w:rsidSect="002A6325">
          <w:pgSz w:w="16838" w:h="11906" w:orient="landscape"/>
          <w:pgMar w:top="709" w:right="1440" w:bottom="1440" w:left="1276" w:header="709" w:footer="709" w:gutter="0"/>
          <w:cols w:space="708"/>
          <w:docGrid w:linePitch="360"/>
        </w:sectPr>
      </w:pPr>
    </w:p>
    <w:p w14:paraId="0C61418D" w14:textId="7CCE5052" w:rsidR="00B621CC" w:rsidRPr="00C638DA" w:rsidRDefault="00B621CC" w:rsidP="00B621CC">
      <w:pPr>
        <w:spacing w:after="0" w:line="276" w:lineRule="auto"/>
        <w:jc w:val="center"/>
        <w:rPr>
          <w:rFonts w:ascii="Times New Roman" w:eastAsia="Times New Roman" w:hAnsi="Times New Roman" w:cs="Times New Roman"/>
          <w:b/>
          <w:bCs/>
          <w:kern w:val="0"/>
          <w:sz w:val="24"/>
          <w:szCs w:val="24"/>
          <w:lang w:eastAsia="en-IN"/>
          <w14:ligatures w14:val="none"/>
        </w:rPr>
      </w:pPr>
      <w:r w:rsidRPr="00C638DA">
        <w:rPr>
          <w:rFonts w:ascii="Times New Roman" w:hAnsi="Times New Roman" w:cs="Times New Roman"/>
          <w:b/>
          <w:bCs/>
          <w:sz w:val="24"/>
          <w:szCs w:val="24"/>
        </w:rPr>
        <w:lastRenderedPageBreak/>
        <w:t>Buoyancy Estimation of Manipur’s Own Tax Revenue: Individual and Aggregate Tax Performance</w:t>
      </w:r>
    </w:p>
    <w:p w14:paraId="762C8C43" w14:textId="40F75ACD" w:rsidR="005A19FA" w:rsidRPr="00C638DA" w:rsidRDefault="009D0D5E" w:rsidP="00CF3A28">
      <w:pPr>
        <w:spacing w:after="0" w:line="276" w:lineRule="auto"/>
        <w:jc w:val="both"/>
        <w:rPr>
          <w:rFonts w:ascii="Times New Roman" w:eastAsia="Times New Roman" w:hAnsi="Times New Roman" w:cs="Times New Roman"/>
          <w:kern w:val="0"/>
          <w:sz w:val="24"/>
          <w:szCs w:val="24"/>
          <w:lang w:eastAsia="en-IN"/>
          <w14:ligatures w14:val="none"/>
        </w:rPr>
      </w:pPr>
      <w:r w:rsidRPr="00C638DA">
        <w:rPr>
          <w:rFonts w:ascii="Times New Roman" w:hAnsi="Times New Roman" w:cs="Times New Roman"/>
          <w:sz w:val="24"/>
          <w:szCs w:val="24"/>
        </w:rPr>
        <w:t>In this section of the study, buoyancy estimation has been carried out to assess the relationship between individual as well as aggregate taxes and changes in the economic growth of the economy. The buoyancy of Manipur’s tax system has been estimated using the regression method, as discussed earlier in the methodology section of this study.</w:t>
      </w:r>
    </w:p>
    <w:p w14:paraId="30A18708" w14:textId="5BCE2A3C" w:rsidR="009D0D5E" w:rsidRPr="00C02FC8" w:rsidRDefault="009D0D5E" w:rsidP="00CF3A28">
      <w:pPr>
        <w:spacing w:after="0" w:line="276" w:lineRule="auto"/>
        <w:jc w:val="both"/>
        <w:rPr>
          <w:rFonts w:ascii="Times New Roman" w:eastAsia="Times New Roman" w:hAnsi="Times New Roman" w:cs="Times New Roman"/>
          <w:kern w:val="0"/>
          <w:sz w:val="24"/>
          <w:szCs w:val="24"/>
          <w:lang w:eastAsia="en-IN"/>
          <w14:ligatures w14:val="none"/>
        </w:rPr>
      </w:pP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722"/>
        <w:gridCol w:w="1526"/>
        <w:gridCol w:w="1529"/>
      </w:tblGrid>
      <w:tr w:rsidR="00B666FD" w:rsidRPr="007664F0" w14:paraId="7A6B209A" w14:textId="77777777" w:rsidTr="00CF3A28">
        <w:trPr>
          <w:trHeight w:val="179"/>
          <w:jc w:val="center"/>
        </w:trPr>
        <w:tc>
          <w:tcPr>
            <w:tcW w:w="8467" w:type="dxa"/>
            <w:gridSpan w:val="4"/>
            <w:vAlign w:val="center"/>
          </w:tcPr>
          <w:p w14:paraId="1BE9FBBC" w14:textId="1CAB65EB" w:rsidR="00951386" w:rsidRPr="007664F0" w:rsidRDefault="00951386"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hAnsi="Times New Roman" w:cs="Times New Roman"/>
                <w:b/>
                <w:bCs/>
              </w:rPr>
              <w:t>Table</w:t>
            </w:r>
            <w:r w:rsidR="00CF1909" w:rsidRPr="007664F0">
              <w:rPr>
                <w:rFonts w:ascii="Times New Roman" w:hAnsi="Times New Roman" w:cs="Times New Roman"/>
                <w:b/>
                <w:bCs/>
              </w:rPr>
              <w:t xml:space="preserve"> </w:t>
            </w:r>
            <w:r w:rsidRPr="007664F0">
              <w:rPr>
                <w:rFonts w:ascii="Times New Roman" w:hAnsi="Times New Roman" w:cs="Times New Roman"/>
                <w:b/>
                <w:bCs/>
              </w:rPr>
              <w:t>3: Regression Results for Determinants of State's Own Tax Revenue</w:t>
            </w:r>
          </w:p>
        </w:tc>
      </w:tr>
      <w:tr w:rsidR="00B666FD" w:rsidRPr="007664F0" w14:paraId="28FCD00A" w14:textId="77777777" w:rsidTr="007028B6">
        <w:trPr>
          <w:trHeight w:val="520"/>
          <w:jc w:val="center"/>
        </w:trPr>
        <w:tc>
          <w:tcPr>
            <w:tcW w:w="3690" w:type="dxa"/>
            <w:vAlign w:val="center"/>
            <w:hideMark/>
          </w:tcPr>
          <w:p w14:paraId="3858F4BF" w14:textId="77777777" w:rsidR="00DB032B" w:rsidRPr="007664F0" w:rsidRDefault="00DB032B"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Dependent Variable</w:t>
            </w:r>
          </w:p>
        </w:tc>
        <w:tc>
          <w:tcPr>
            <w:tcW w:w="1722" w:type="dxa"/>
            <w:vAlign w:val="center"/>
            <w:hideMark/>
          </w:tcPr>
          <w:p w14:paraId="47B22398" w14:textId="77777777" w:rsidR="00DB032B" w:rsidRPr="007664F0" w:rsidRDefault="00DB032B"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Intercept</w:t>
            </w:r>
          </w:p>
          <w:p w14:paraId="180C60C1" w14:textId="77777777" w:rsidR="00DB032B" w:rsidRPr="007664F0" w:rsidRDefault="00DB032B" w:rsidP="007130F2">
            <w:pPr>
              <w:spacing w:after="0" w:line="276" w:lineRule="auto"/>
              <w:ind w:hanging="10"/>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(t-Value)</w:t>
            </w:r>
          </w:p>
        </w:tc>
        <w:tc>
          <w:tcPr>
            <w:tcW w:w="1526" w:type="dxa"/>
            <w:vAlign w:val="center"/>
            <w:hideMark/>
          </w:tcPr>
          <w:p w14:paraId="2DE87A1F" w14:textId="77777777" w:rsidR="00DB032B" w:rsidRPr="007664F0" w:rsidRDefault="00DB032B"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LN (Y)</w:t>
            </w:r>
          </w:p>
          <w:p w14:paraId="4AA1BEF8" w14:textId="77777777" w:rsidR="00DB032B" w:rsidRPr="007664F0" w:rsidRDefault="00DB032B" w:rsidP="007130F2">
            <w:pPr>
              <w:spacing w:after="0" w:line="276" w:lineRule="auto"/>
              <w:ind w:hanging="10"/>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(t-Value)</w:t>
            </w:r>
          </w:p>
        </w:tc>
        <w:tc>
          <w:tcPr>
            <w:tcW w:w="1527" w:type="dxa"/>
            <w:vAlign w:val="center"/>
            <w:hideMark/>
          </w:tcPr>
          <w:p w14:paraId="3A28036A" w14:textId="77777777" w:rsidR="00DB032B" w:rsidRPr="007664F0" w:rsidRDefault="00DB032B"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R2</w:t>
            </w:r>
          </w:p>
          <w:p w14:paraId="2C17D2C0" w14:textId="77777777" w:rsidR="00DB032B" w:rsidRPr="007664F0" w:rsidRDefault="00DB032B" w:rsidP="007130F2">
            <w:pPr>
              <w:spacing w:after="0" w:line="276" w:lineRule="auto"/>
              <w:ind w:hanging="10"/>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(F-Value)</w:t>
            </w:r>
          </w:p>
        </w:tc>
      </w:tr>
      <w:tr w:rsidR="00B666FD" w:rsidRPr="007664F0" w14:paraId="7F855C07" w14:textId="77777777" w:rsidTr="007130F2">
        <w:trPr>
          <w:trHeight w:val="420"/>
          <w:jc w:val="center"/>
        </w:trPr>
        <w:tc>
          <w:tcPr>
            <w:tcW w:w="3690" w:type="dxa"/>
            <w:noWrap/>
            <w:vAlign w:val="bottom"/>
          </w:tcPr>
          <w:p w14:paraId="05C5E3A2" w14:textId="77777777" w:rsidR="00DB032B" w:rsidRPr="007664F0" w:rsidRDefault="00DB032B" w:rsidP="007130F2">
            <w:pPr>
              <w:numPr>
                <w:ilvl w:val="0"/>
                <w:numId w:val="1"/>
              </w:numPr>
              <w:spacing w:after="0" w:line="276" w:lineRule="auto"/>
              <w:contextualSpacing/>
              <w:jc w:val="both"/>
              <w:rPr>
                <w:rFonts w:ascii="Times New Roman" w:eastAsia="Times New Roman" w:hAnsi="Times New Roman" w:cs="Mangal"/>
                <w:b/>
                <w:bCs/>
                <w:kern w:val="0"/>
                <w:lang w:eastAsia="en-IN" w:bidi="hi-IN"/>
                <w14:ligatures w14:val="none"/>
              </w:rPr>
            </w:pPr>
            <w:r w:rsidRPr="007664F0">
              <w:rPr>
                <w:rFonts w:ascii="Times New Roman" w:eastAsia="Times New Roman" w:hAnsi="Times New Roman" w:cs="Mangal"/>
                <w:b/>
                <w:bCs/>
                <w:kern w:val="0"/>
                <w:lang w:eastAsia="en-IN" w:bidi="hi-IN"/>
                <w14:ligatures w14:val="none"/>
              </w:rPr>
              <w:t>Own Tax Revenue</w:t>
            </w:r>
          </w:p>
          <w:p w14:paraId="13BA62B8" w14:textId="77777777" w:rsidR="00DB032B" w:rsidRPr="007664F0" w:rsidRDefault="00DB032B" w:rsidP="007130F2">
            <w:pPr>
              <w:spacing w:after="0" w:line="276" w:lineRule="auto"/>
              <w:ind w:left="318" w:hanging="318"/>
              <w:rPr>
                <w:rFonts w:ascii="Times New Roman" w:eastAsia="Times New Roman" w:hAnsi="Times New Roman" w:cs="Times New Roman"/>
                <w:b/>
                <w:bCs/>
                <w:kern w:val="0"/>
                <w:lang w:eastAsia="en-IN" w:bidi="hi-IN"/>
                <w14:ligatures w14:val="none"/>
              </w:rPr>
            </w:pPr>
          </w:p>
        </w:tc>
        <w:tc>
          <w:tcPr>
            <w:tcW w:w="1722" w:type="dxa"/>
            <w:noWrap/>
            <w:vAlign w:val="bottom"/>
          </w:tcPr>
          <w:p w14:paraId="7069EE67"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-7.463</w:t>
            </w:r>
          </w:p>
          <w:p w14:paraId="2AEBE326"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(1.418)</w:t>
            </w:r>
          </w:p>
        </w:tc>
        <w:tc>
          <w:tcPr>
            <w:tcW w:w="1526" w:type="dxa"/>
            <w:noWrap/>
            <w:vAlign w:val="bottom"/>
          </w:tcPr>
          <w:p w14:paraId="3675FADA"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1.418</w:t>
            </w:r>
          </w:p>
          <w:p w14:paraId="67255310"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(14.515)</w:t>
            </w:r>
          </w:p>
        </w:tc>
        <w:tc>
          <w:tcPr>
            <w:tcW w:w="1527" w:type="dxa"/>
            <w:noWrap/>
            <w:vAlign w:val="bottom"/>
          </w:tcPr>
          <w:p w14:paraId="1DF06CCC"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.921</w:t>
            </w:r>
          </w:p>
          <w:p w14:paraId="2B8A9BBD"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(210.678)</w:t>
            </w:r>
          </w:p>
        </w:tc>
      </w:tr>
      <w:tr w:rsidR="00B666FD" w:rsidRPr="007664F0" w14:paraId="5B7F7A42" w14:textId="77777777" w:rsidTr="007130F2">
        <w:trPr>
          <w:trHeight w:val="486"/>
          <w:jc w:val="center"/>
        </w:trPr>
        <w:tc>
          <w:tcPr>
            <w:tcW w:w="3690" w:type="dxa"/>
            <w:noWrap/>
            <w:vAlign w:val="bottom"/>
          </w:tcPr>
          <w:p w14:paraId="3A28657D" w14:textId="77777777" w:rsidR="00DB032B" w:rsidRPr="007664F0" w:rsidRDefault="00DB032B" w:rsidP="007130F2">
            <w:pPr>
              <w:numPr>
                <w:ilvl w:val="0"/>
                <w:numId w:val="1"/>
              </w:numPr>
              <w:spacing w:after="0" w:line="276" w:lineRule="auto"/>
              <w:contextualSpacing/>
              <w:jc w:val="both"/>
              <w:rPr>
                <w:rFonts w:ascii="Times New Roman" w:eastAsia="Times New Roman" w:hAnsi="Times New Roman" w:cs="Mangal"/>
                <w:b/>
                <w:bCs/>
                <w:kern w:val="0"/>
                <w:lang w:eastAsia="en-IN" w:bidi="hi-IN"/>
                <w14:ligatures w14:val="none"/>
              </w:rPr>
            </w:pPr>
            <w:r w:rsidRPr="007664F0">
              <w:rPr>
                <w:rFonts w:ascii="Times New Roman" w:eastAsia="Times New Roman" w:hAnsi="Times New Roman" w:cs="Mangal"/>
                <w:b/>
                <w:bCs/>
                <w:kern w:val="0"/>
                <w:lang w:eastAsia="en-IN" w:bidi="hi-IN"/>
                <w14:ligatures w14:val="none"/>
              </w:rPr>
              <w:t xml:space="preserve">Taxes on Income </w:t>
            </w:r>
          </w:p>
          <w:p w14:paraId="7D96CFAD" w14:textId="6AD602ED" w:rsidR="00DB032B" w:rsidRPr="007664F0" w:rsidRDefault="00DB032B" w:rsidP="007130F2">
            <w:pPr>
              <w:spacing w:after="0" w:line="276" w:lineRule="auto"/>
              <w:ind w:left="380"/>
              <w:contextualSpacing/>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Mangal"/>
                <w:i/>
                <w:iCs/>
                <w:kern w:val="0"/>
                <w:lang w:eastAsia="en-IN" w:bidi="hi-IN"/>
                <w14:ligatures w14:val="none"/>
              </w:rPr>
              <w:t xml:space="preserve">Includes: </w:t>
            </w:r>
            <w:r w:rsidRPr="007664F0">
              <w:rPr>
                <w:rFonts w:ascii="Times New Roman" w:eastAsia="Times New Roman" w:hAnsi="Times New Roman" w:cs="Mangal"/>
                <w:b/>
                <w:bCs/>
                <w:kern w:val="0"/>
                <w:lang w:eastAsia="en-IN" w:bidi="hi-IN"/>
                <w14:ligatures w14:val="none"/>
              </w:rPr>
              <w:t>(a+b)</w:t>
            </w:r>
          </w:p>
        </w:tc>
        <w:tc>
          <w:tcPr>
            <w:tcW w:w="1722" w:type="dxa"/>
            <w:noWrap/>
            <w:vAlign w:val="bottom"/>
          </w:tcPr>
          <w:p w14:paraId="1DAA1F01"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-2.209</w:t>
            </w:r>
          </w:p>
          <w:p w14:paraId="22742648"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(-2.062)</w:t>
            </w:r>
          </w:p>
        </w:tc>
        <w:tc>
          <w:tcPr>
            <w:tcW w:w="1526" w:type="dxa"/>
            <w:noWrap/>
            <w:vAlign w:val="bottom"/>
          </w:tcPr>
          <w:p w14:paraId="5CED657B" w14:textId="77777777" w:rsidR="00DB032B" w:rsidRPr="00D62D1B" w:rsidRDefault="00DB032B" w:rsidP="007130F2">
            <w:pPr>
              <w:spacing w:after="0" w:line="276" w:lineRule="auto"/>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.546</w:t>
            </w:r>
          </w:p>
          <w:p w14:paraId="1A5B0AE9" w14:textId="77777777" w:rsidR="00DB032B" w:rsidRPr="00D62D1B" w:rsidRDefault="00DB032B" w:rsidP="007130F2">
            <w:pPr>
              <w:spacing w:after="0" w:line="276" w:lineRule="auto"/>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(4.748)</w:t>
            </w:r>
          </w:p>
        </w:tc>
        <w:tc>
          <w:tcPr>
            <w:tcW w:w="1527" w:type="dxa"/>
            <w:noWrap/>
            <w:vAlign w:val="bottom"/>
          </w:tcPr>
          <w:p w14:paraId="31BE3D59"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.556</w:t>
            </w:r>
          </w:p>
          <w:p w14:paraId="6A445BB7"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(21.995)</w:t>
            </w:r>
          </w:p>
        </w:tc>
      </w:tr>
      <w:tr w:rsidR="00B666FD" w:rsidRPr="007664F0" w14:paraId="6E427417" w14:textId="77777777" w:rsidTr="007130F2">
        <w:trPr>
          <w:trHeight w:val="449"/>
          <w:jc w:val="center"/>
        </w:trPr>
        <w:tc>
          <w:tcPr>
            <w:tcW w:w="3690" w:type="dxa"/>
            <w:vAlign w:val="center"/>
            <w:hideMark/>
          </w:tcPr>
          <w:p w14:paraId="44821CB4"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(a)</w:t>
            </w:r>
          </w:p>
          <w:p w14:paraId="4E94005A"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Land revenue</w:t>
            </w:r>
          </w:p>
        </w:tc>
        <w:tc>
          <w:tcPr>
            <w:tcW w:w="1722" w:type="dxa"/>
            <w:vAlign w:val="center"/>
          </w:tcPr>
          <w:p w14:paraId="1EDE6A2B"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-4.837</w:t>
            </w:r>
          </w:p>
          <w:p w14:paraId="559BB58F"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(-4.547)</w:t>
            </w:r>
          </w:p>
        </w:tc>
        <w:tc>
          <w:tcPr>
            <w:tcW w:w="1526" w:type="dxa"/>
            <w:vAlign w:val="center"/>
          </w:tcPr>
          <w:p w14:paraId="519102CB" w14:textId="77777777" w:rsidR="00DB032B" w:rsidRPr="00D62D1B"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.549</w:t>
            </w:r>
          </w:p>
          <w:p w14:paraId="43250967" w14:textId="77777777" w:rsidR="00DB032B" w:rsidRPr="00D62D1B"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(4.748)</w:t>
            </w:r>
          </w:p>
        </w:tc>
        <w:tc>
          <w:tcPr>
            <w:tcW w:w="1527" w:type="dxa"/>
            <w:vAlign w:val="center"/>
          </w:tcPr>
          <w:p w14:paraId="7EE67E3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.556</w:t>
            </w:r>
          </w:p>
          <w:p w14:paraId="6B852752"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(22.545)</w:t>
            </w:r>
          </w:p>
        </w:tc>
      </w:tr>
      <w:tr w:rsidR="00B666FD" w:rsidRPr="007664F0" w14:paraId="029141B8" w14:textId="77777777" w:rsidTr="007130F2">
        <w:trPr>
          <w:trHeight w:val="399"/>
          <w:jc w:val="center"/>
        </w:trPr>
        <w:tc>
          <w:tcPr>
            <w:tcW w:w="3690" w:type="dxa"/>
            <w:vAlign w:val="center"/>
            <w:hideMark/>
          </w:tcPr>
          <w:p w14:paraId="066C8793"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(b)</w:t>
            </w:r>
          </w:p>
          <w:p w14:paraId="0C99D791"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Stamp and Registration Fee</w:t>
            </w:r>
          </w:p>
        </w:tc>
        <w:tc>
          <w:tcPr>
            <w:tcW w:w="1722" w:type="dxa"/>
            <w:vAlign w:val="center"/>
          </w:tcPr>
          <w:p w14:paraId="04EF7BE5"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-7.982</w:t>
            </w:r>
          </w:p>
          <w:p w14:paraId="7270A5B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(-7.460)</w:t>
            </w:r>
          </w:p>
        </w:tc>
        <w:tc>
          <w:tcPr>
            <w:tcW w:w="1526" w:type="dxa"/>
            <w:vAlign w:val="center"/>
          </w:tcPr>
          <w:p w14:paraId="6692D0D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1.044</w:t>
            </w:r>
          </w:p>
          <w:p w14:paraId="2962ED79"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(8.981)</w:t>
            </w:r>
          </w:p>
        </w:tc>
        <w:tc>
          <w:tcPr>
            <w:tcW w:w="1527" w:type="dxa"/>
            <w:vAlign w:val="center"/>
          </w:tcPr>
          <w:p w14:paraId="533D1039"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.818</w:t>
            </w:r>
          </w:p>
          <w:p w14:paraId="68A44FAB"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(80.660)</w:t>
            </w:r>
          </w:p>
        </w:tc>
      </w:tr>
      <w:tr w:rsidR="00B666FD" w:rsidRPr="007664F0" w14:paraId="158A1761" w14:textId="77777777" w:rsidTr="007130F2">
        <w:trPr>
          <w:trHeight w:val="505"/>
          <w:jc w:val="center"/>
        </w:trPr>
        <w:tc>
          <w:tcPr>
            <w:tcW w:w="3690" w:type="dxa"/>
            <w:vAlign w:val="center"/>
            <w:hideMark/>
          </w:tcPr>
          <w:p w14:paraId="1992E738" w14:textId="77777777" w:rsidR="00DB032B" w:rsidRPr="007664F0" w:rsidRDefault="00DB032B" w:rsidP="007130F2">
            <w:pPr>
              <w:numPr>
                <w:ilvl w:val="0"/>
                <w:numId w:val="1"/>
              </w:numPr>
              <w:spacing w:after="0" w:line="276" w:lineRule="auto"/>
              <w:contextualSpacing/>
              <w:jc w:val="both"/>
              <w:rPr>
                <w:rFonts w:ascii="Times New Roman" w:eastAsia="Times New Roman" w:hAnsi="Times New Roman" w:cs="Mangal"/>
                <w:kern w:val="0"/>
                <w:lang w:eastAsia="en-IN" w:bidi="hi-IN"/>
                <w14:ligatures w14:val="none"/>
              </w:rPr>
            </w:pPr>
            <w:r w:rsidRPr="007664F0">
              <w:rPr>
                <w:rFonts w:ascii="Times New Roman" w:eastAsia="Times New Roman" w:hAnsi="Times New Roman" w:cs="Mangal"/>
                <w:b/>
                <w:bCs/>
                <w:kern w:val="0"/>
                <w:lang w:eastAsia="en-IN" w:bidi="hi-IN"/>
                <w14:ligatures w14:val="none"/>
              </w:rPr>
              <w:t xml:space="preserve"> Total Revenue from Taxes on Commodities and Services </w:t>
            </w:r>
            <w:r w:rsidRPr="007664F0">
              <w:rPr>
                <w:rFonts w:ascii="Times New Roman" w:eastAsia="Times New Roman" w:hAnsi="Times New Roman" w:cs="Mangal"/>
                <w:i/>
                <w:iCs/>
                <w:kern w:val="0"/>
                <w:lang w:eastAsia="en-IN" w:bidi="hi-IN"/>
                <w14:ligatures w14:val="none"/>
              </w:rPr>
              <w:t>includes:</w:t>
            </w:r>
            <w:r w:rsidRPr="007664F0">
              <w:rPr>
                <w:rFonts w:ascii="Times New Roman" w:eastAsia="Times New Roman" w:hAnsi="Times New Roman" w:cs="Mangal"/>
                <w:b/>
                <w:bCs/>
                <w:kern w:val="0"/>
                <w:lang w:eastAsia="en-IN" w:bidi="hi-IN"/>
                <w14:ligatures w14:val="none"/>
              </w:rPr>
              <w:t xml:space="preserve"> (c+d+e+f+g+h+i)</w:t>
            </w:r>
          </w:p>
        </w:tc>
        <w:tc>
          <w:tcPr>
            <w:tcW w:w="1722" w:type="dxa"/>
            <w:vAlign w:val="center"/>
          </w:tcPr>
          <w:p w14:paraId="33BD0BBD"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-8.343</w:t>
            </w:r>
          </w:p>
          <w:p w14:paraId="76782B92"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(-10.585)</w:t>
            </w:r>
          </w:p>
        </w:tc>
        <w:tc>
          <w:tcPr>
            <w:tcW w:w="1526" w:type="dxa"/>
            <w:vAlign w:val="center"/>
          </w:tcPr>
          <w:p w14:paraId="7B2C7F0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1.503</w:t>
            </w:r>
          </w:p>
          <w:p w14:paraId="75129E56"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(17.550)</w:t>
            </w:r>
          </w:p>
        </w:tc>
        <w:tc>
          <w:tcPr>
            <w:tcW w:w="1527" w:type="dxa"/>
            <w:vAlign w:val="center"/>
          </w:tcPr>
          <w:p w14:paraId="6651453F"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.708</w:t>
            </w:r>
          </w:p>
          <w:p w14:paraId="56DA7367"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(43.614)</w:t>
            </w:r>
          </w:p>
        </w:tc>
      </w:tr>
      <w:tr w:rsidR="00B666FD" w:rsidRPr="007664F0" w14:paraId="11165612" w14:textId="77777777" w:rsidTr="007130F2">
        <w:trPr>
          <w:trHeight w:val="515"/>
          <w:jc w:val="center"/>
        </w:trPr>
        <w:tc>
          <w:tcPr>
            <w:tcW w:w="3690" w:type="dxa"/>
            <w:vAlign w:val="center"/>
            <w:hideMark/>
          </w:tcPr>
          <w:p w14:paraId="6DAF995C"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(c)</w:t>
            </w:r>
          </w:p>
          <w:p w14:paraId="049B5650"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State Excise Duty</w:t>
            </w:r>
          </w:p>
        </w:tc>
        <w:tc>
          <w:tcPr>
            <w:tcW w:w="1722" w:type="dxa"/>
            <w:vAlign w:val="center"/>
          </w:tcPr>
          <w:p w14:paraId="564AE027"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-4.980</w:t>
            </w:r>
          </w:p>
          <w:p w14:paraId="11860EA3"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(-4.921)</w:t>
            </w:r>
          </w:p>
        </w:tc>
        <w:tc>
          <w:tcPr>
            <w:tcW w:w="1526" w:type="dxa"/>
            <w:vAlign w:val="center"/>
          </w:tcPr>
          <w:p w14:paraId="5EEC4E37" w14:textId="77777777" w:rsidR="00DB032B" w:rsidRPr="00D62D1B"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.712</w:t>
            </w:r>
          </w:p>
          <w:p w14:paraId="2A818D5E"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(6.471)</w:t>
            </w:r>
          </w:p>
        </w:tc>
        <w:tc>
          <w:tcPr>
            <w:tcW w:w="1527" w:type="dxa"/>
            <w:vAlign w:val="center"/>
          </w:tcPr>
          <w:p w14:paraId="47190C84"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.699</w:t>
            </w:r>
          </w:p>
          <w:p w14:paraId="2701F4B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(41.871)</w:t>
            </w:r>
          </w:p>
        </w:tc>
      </w:tr>
      <w:tr w:rsidR="00B666FD" w:rsidRPr="007664F0" w14:paraId="069F026F" w14:textId="77777777" w:rsidTr="007130F2">
        <w:trPr>
          <w:trHeight w:val="551"/>
          <w:jc w:val="center"/>
        </w:trPr>
        <w:tc>
          <w:tcPr>
            <w:tcW w:w="3690" w:type="dxa"/>
            <w:vAlign w:val="center"/>
            <w:hideMark/>
          </w:tcPr>
          <w:p w14:paraId="20F0A37E"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(d)</w:t>
            </w:r>
          </w:p>
          <w:p w14:paraId="4ABCE008"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Sale Tax</w:t>
            </w:r>
          </w:p>
        </w:tc>
        <w:tc>
          <w:tcPr>
            <w:tcW w:w="1722" w:type="dxa"/>
            <w:vAlign w:val="center"/>
          </w:tcPr>
          <w:p w14:paraId="4AEB62C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-4.988</w:t>
            </w:r>
          </w:p>
          <w:p w14:paraId="43395E42"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(-3.240)</w:t>
            </w:r>
          </w:p>
        </w:tc>
        <w:tc>
          <w:tcPr>
            <w:tcW w:w="1526" w:type="dxa"/>
            <w:vAlign w:val="center"/>
          </w:tcPr>
          <w:p w14:paraId="0AE1EE62"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(1.105)</w:t>
            </w:r>
          </w:p>
          <w:p w14:paraId="1882E85E"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(6.604)</w:t>
            </w:r>
          </w:p>
        </w:tc>
        <w:tc>
          <w:tcPr>
            <w:tcW w:w="1527" w:type="dxa"/>
            <w:vAlign w:val="center"/>
          </w:tcPr>
          <w:p w14:paraId="71190B8D"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.708</w:t>
            </w:r>
          </w:p>
          <w:p w14:paraId="68DD2345"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(43.614)</w:t>
            </w:r>
          </w:p>
        </w:tc>
      </w:tr>
      <w:tr w:rsidR="00B666FD" w:rsidRPr="007664F0" w14:paraId="6655D0FE" w14:textId="77777777" w:rsidTr="007130F2">
        <w:trPr>
          <w:trHeight w:val="403"/>
          <w:jc w:val="center"/>
        </w:trPr>
        <w:tc>
          <w:tcPr>
            <w:tcW w:w="3690" w:type="dxa"/>
            <w:vAlign w:val="center"/>
            <w:hideMark/>
          </w:tcPr>
          <w:p w14:paraId="1D2D132D"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(e)</w:t>
            </w:r>
          </w:p>
          <w:p w14:paraId="65455753"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Taxes on Vehicles</w:t>
            </w:r>
          </w:p>
        </w:tc>
        <w:tc>
          <w:tcPr>
            <w:tcW w:w="1722" w:type="dxa"/>
            <w:vAlign w:val="center"/>
          </w:tcPr>
          <w:p w14:paraId="3033EAE9"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-13.385</w:t>
            </w:r>
          </w:p>
          <w:p w14:paraId="52C7CBB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(-10.198)</w:t>
            </w:r>
          </w:p>
        </w:tc>
        <w:tc>
          <w:tcPr>
            <w:tcW w:w="1526" w:type="dxa"/>
            <w:vAlign w:val="center"/>
          </w:tcPr>
          <w:p w14:paraId="55DF8BA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1.698</w:t>
            </w:r>
          </w:p>
          <w:p w14:paraId="7BFDE494"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(11.908)</w:t>
            </w:r>
          </w:p>
        </w:tc>
        <w:tc>
          <w:tcPr>
            <w:tcW w:w="1527" w:type="dxa"/>
            <w:vAlign w:val="center"/>
          </w:tcPr>
          <w:p w14:paraId="5636EA37"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.887</w:t>
            </w:r>
          </w:p>
          <w:p w14:paraId="13C421E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(141.808)</w:t>
            </w:r>
          </w:p>
        </w:tc>
      </w:tr>
      <w:tr w:rsidR="00B666FD" w:rsidRPr="007664F0" w14:paraId="6154078A" w14:textId="77777777" w:rsidTr="007130F2">
        <w:trPr>
          <w:trHeight w:val="411"/>
          <w:jc w:val="center"/>
        </w:trPr>
        <w:tc>
          <w:tcPr>
            <w:tcW w:w="3690" w:type="dxa"/>
            <w:vAlign w:val="center"/>
            <w:hideMark/>
          </w:tcPr>
          <w:p w14:paraId="053F88F4"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(f)</w:t>
            </w:r>
          </w:p>
          <w:p w14:paraId="7175A299"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Taxes on Goods and Passenger</w:t>
            </w:r>
          </w:p>
        </w:tc>
        <w:tc>
          <w:tcPr>
            <w:tcW w:w="1722" w:type="dxa"/>
            <w:vAlign w:val="center"/>
          </w:tcPr>
          <w:p w14:paraId="48EBBCFF"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.450</w:t>
            </w:r>
          </w:p>
          <w:p w14:paraId="16BE4E64"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(.192) *</w:t>
            </w:r>
          </w:p>
        </w:tc>
        <w:tc>
          <w:tcPr>
            <w:tcW w:w="1526" w:type="dxa"/>
            <w:vAlign w:val="center"/>
          </w:tcPr>
          <w:p w14:paraId="1DD21E4F" w14:textId="748B9576" w:rsidR="00DB032B" w:rsidRPr="00D62D1B"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-.71</w:t>
            </w:r>
            <w:r w:rsidR="00EB730D">
              <w:rPr>
                <w:rFonts w:ascii="Times New Roman" w:eastAsia="Times New Roman" w:hAnsi="Times New Roman" w:cs="Times New Roman"/>
                <w:color w:val="FF0000"/>
                <w:kern w:val="0"/>
                <w:lang w:eastAsia="en-IN" w:bidi="hi-IN"/>
                <w14:ligatures w14:val="none"/>
              </w:rPr>
              <w:t>0</w:t>
            </w:r>
          </w:p>
          <w:p w14:paraId="20E1773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 xml:space="preserve">(-.279) </w:t>
            </w:r>
            <w:r w:rsidRPr="007664F0">
              <w:rPr>
                <w:rFonts w:ascii="Times New Roman" w:eastAsia="Times New Roman" w:hAnsi="Times New Roman" w:cs="Times New Roman"/>
                <w:kern w:val="0"/>
                <w:lang w:eastAsia="en-IN" w:bidi="hi-IN"/>
                <w14:ligatures w14:val="none"/>
              </w:rPr>
              <w:t>*</w:t>
            </w:r>
          </w:p>
        </w:tc>
        <w:tc>
          <w:tcPr>
            <w:tcW w:w="1527" w:type="dxa"/>
            <w:vAlign w:val="center"/>
          </w:tcPr>
          <w:p w14:paraId="04A773DE"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.004</w:t>
            </w:r>
          </w:p>
          <w:p w14:paraId="2714BAEE"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(0.78)</w:t>
            </w:r>
          </w:p>
        </w:tc>
      </w:tr>
      <w:tr w:rsidR="00B666FD" w:rsidRPr="007664F0" w14:paraId="60A1E6D2" w14:textId="77777777" w:rsidTr="007130F2">
        <w:trPr>
          <w:trHeight w:val="433"/>
          <w:jc w:val="center"/>
        </w:trPr>
        <w:tc>
          <w:tcPr>
            <w:tcW w:w="3690" w:type="dxa"/>
            <w:vAlign w:val="center"/>
            <w:hideMark/>
          </w:tcPr>
          <w:p w14:paraId="6FB2131E"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(g)</w:t>
            </w:r>
          </w:p>
          <w:p w14:paraId="1D946BDF"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Duties on Electricity</w:t>
            </w:r>
          </w:p>
        </w:tc>
        <w:tc>
          <w:tcPr>
            <w:tcW w:w="1722" w:type="dxa"/>
            <w:vAlign w:val="center"/>
          </w:tcPr>
          <w:p w14:paraId="61FB1B2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31.702</w:t>
            </w:r>
          </w:p>
          <w:p w14:paraId="794DC2DE"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(7.008)</w:t>
            </w:r>
          </w:p>
        </w:tc>
        <w:tc>
          <w:tcPr>
            <w:tcW w:w="1526" w:type="dxa"/>
            <w:vAlign w:val="center"/>
          </w:tcPr>
          <w:p w14:paraId="3739A9B9" w14:textId="77777777" w:rsidR="00DB032B" w:rsidRPr="00866E81"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866E81">
              <w:rPr>
                <w:rFonts w:ascii="Times New Roman" w:eastAsia="Times New Roman" w:hAnsi="Times New Roman" w:cs="Times New Roman"/>
                <w:color w:val="FF0000"/>
                <w:kern w:val="0"/>
                <w:lang w:eastAsia="en-IN" w:bidi="hi-IN"/>
                <w14:ligatures w14:val="none"/>
              </w:rPr>
              <w:t>-3.792</w:t>
            </w:r>
          </w:p>
          <w:p w14:paraId="3A30E76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866E81">
              <w:rPr>
                <w:rFonts w:ascii="Times New Roman" w:eastAsia="Times New Roman" w:hAnsi="Times New Roman" w:cs="Times New Roman"/>
                <w:color w:val="FF0000"/>
                <w:kern w:val="0"/>
                <w:lang w:eastAsia="en-IN" w:bidi="hi-IN"/>
                <w14:ligatures w14:val="none"/>
              </w:rPr>
              <w:t>(-7.715)</w:t>
            </w:r>
          </w:p>
        </w:tc>
        <w:tc>
          <w:tcPr>
            <w:tcW w:w="1527" w:type="dxa"/>
            <w:vAlign w:val="center"/>
          </w:tcPr>
          <w:p w14:paraId="012A92BF"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.768</w:t>
            </w:r>
          </w:p>
          <w:p w14:paraId="594C5691"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(59.525)</w:t>
            </w:r>
          </w:p>
        </w:tc>
      </w:tr>
      <w:tr w:rsidR="00B666FD" w:rsidRPr="007664F0" w14:paraId="49FF4B08" w14:textId="77777777" w:rsidTr="007130F2">
        <w:trPr>
          <w:trHeight w:val="408"/>
          <w:jc w:val="center"/>
        </w:trPr>
        <w:tc>
          <w:tcPr>
            <w:tcW w:w="3690" w:type="dxa"/>
            <w:vAlign w:val="center"/>
            <w:hideMark/>
          </w:tcPr>
          <w:p w14:paraId="3E20EC0B"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(h)</w:t>
            </w:r>
          </w:p>
          <w:p w14:paraId="100C2F1A"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Goods and Service Tax</w:t>
            </w:r>
          </w:p>
        </w:tc>
        <w:tc>
          <w:tcPr>
            <w:tcW w:w="1722" w:type="dxa"/>
            <w:vAlign w:val="center"/>
          </w:tcPr>
          <w:p w14:paraId="3E77A866"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-24.388</w:t>
            </w:r>
          </w:p>
          <w:p w14:paraId="0F84347D"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(2.810)</w:t>
            </w:r>
          </w:p>
        </w:tc>
        <w:tc>
          <w:tcPr>
            <w:tcW w:w="1526" w:type="dxa"/>
            <w:vAlign w:val="center"/>
          </w:tcPr>
          <w:p w14:paraId="5DDE544F"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2.810</w:t>
            </w:r>
          </w:p>
          <w:p w14:paraId="35553DAE"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(4.104)</w:t>
            </w:r>
          </w:p>
        </w:tc>
        <w:tc>
          <w:tcPr>
            <w:tcW w:w="1527" w:type="dxa"/>
            <w:vAlign w:val="center"/>
          </w:tcPr>
          <w:p w14:paraId="222C1407"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.483</w:t>
            </w:r>
          </w:p>
          <w:p w14:paraId="100925E4"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(16.843)</w:t>
            </w:r>
          </w:p>
        </w:tc>
      </w:tr>
      <w:tr w:rsidR="00B666FD" w:rsidRPr="007664F0" w14:paraId="2BC7D6AA" w14:textId="77777777" w:rsidTr="007130F2">
        <w:trPr>
          <w:trHeight w:val="515"/>
          <w:jc w:val="center"/>
        </w:trPr>
        <w:tc>
          <w:tcPr>
            <w:tcW w:w="3690" w:type="dxa"/>
            <w:vAlign w:val="center"/>
            <w:hideMark/>
          </w:tcPr>
          <w:p w14:paraId="61EE5C61"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w:t>
            </w:r>
            <w:proofErr w:type="spellStart"/>
            <w:r w:rsidRPr="007664F0">
              <w:rPr>
                <w:rFonts w:ascii="Times New Roman" w:eastAsia="Times New Roman" w:hAnsi="Times New Roman" w:cs="Times New Roman"/>
                <w:i/>
                <w:iCs/>
                <w:kern w:val="0"/>
                <w:lang w:eastAsia="en-IN" w:bidi="hi-IN"/>
                <w14:ligatures w14:val="none"/>
              </w:rPr>
              <w:t>i</w:t>
            </w:r>
            <w:proofErr w:type="spellEnd"/>
            <w:r w:rsidRPr="007664F0">
              <w:rPr>
                <w:rFonts w:ascii="Times New Roman" w:eastAsia="Times New Roman" w:hAnsi="Times New Roman" w:cs="Times New Roman"/>
                <w:i/>
                <w:iCs/>
                <w:kern w:val="0"/>
                <w:lang w:eastAsia="en-IN" w:bidi="hi-IN"/>
                <w14:ligatures w14:val="none"/>
              </w:rPr>
              <w:t>)</w:t>
            </w:r>
          </w:p>
          <w:p w14:paraId="105AD35A"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Others</w:t>
            </w:r>
          </w:p>
        </w:tc>
        <w:tc>
          <w:tcPr>
            <w:tcW w:w="1722" w:type="dxa"/>
            <w:vAlign w:val="center"/>
          </w:tcPr>
          <w:p w14:paraId="076ADC92"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-18.031</w:t>
            </w:r>
          </w:p>
          <w:p w14:paraId="299C7B59"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(-3.848)</w:t>
            </w:r>
          </w:p>
        </w:tc>
        <w:tc>
          <w:tcPr>
            <w:tcW w:w="1526" w:type="dxa"/>
            <w:vAlign w:val="center"/>
          </w:tcPr>
          <w:p w14:paraId="7334C28C"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2.052</w:t>
            </w:r>
          </w:p>
          <w:p w14:paraId="4A185E0F"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(4.031)</w:t>
            </w:r>
          </w:p>
        </w:tc>
        <w:tc>
          <w:tcPr>
            <w:tcW w:w="1527" w:type="dxa"/>
            <w:vAlign w:val="center"/>
          </w:tcPr>
          <w:p w14:paraId="23DD4030"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.474</w:t>
            </w:r>
          </w:p>
          <w:p w14:paraId="79F44A00"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(16.245)</w:t>
            </w:r>
          </w:p>
        </w:tc>
      </w:tr>
    </w:tbl>
    <w:p w14:paraId="09210BC7" w14:textId="22B23934" w:rsidR="00653532" w:rsidRPr="00C638DA" w:rsidRDefault="00CF1909" w:rsidP="004C6FCA">
      <w:pPr>
        <w:pStyle w:val="NormalWeb"/>
        <w:spacing w:before="0" w:beforeAutospacing="0" w:line="276" w:lineRule="auto"/>
        <w:rPr>
          <w:sz w:val="20"/>
          <w:szCs w:val="20"/>
        </w:rPr>
      </w:pPr>
      <w:r w:rsidRPr="00C638DA">
        <w:tab/>
      </w:r>
      <w:r w:rsidRPr="00C638DA">
        <w:rPr>
          <w:i/>
          <w:iCs/>
          <w:sz w:val="20"/>
          <w:szCs w:val="20"/>
        </w:rPr>
        <w:t>Source: Author’s Calculations</w:t>
      </w:r>
      <w:r w:rsidR="00D62D1B" w:rsidRPr="00C638DA">
        <w:rPr>
          <w:i/>
          <w:iCs/>
          <w:sz w:val="20"/>
          <w:szCs w:val="20"/>
        </w:rPr>
        <w:t>.</w:t>
      </w:r>
    </w:p>
    <w:p w14:paraId="74510EC3" w14:textId="77777777" w:rsidR="000E2F95" w:rsidRPr="00C638DA" w:rsidRDefault="000E2F95" w:rsidP="00A57A0A">
      <w:pPr>
        <w:pStyle w:val="NormalWeb"/>
        <w:spacing w:before="0" w:beforeAutospacing="0" w:after="0" w:afterAutospacing="0" w:line="276" w:lineRule="auto"/>
        <w:jc w:val="both"/>
      </w:pPr>
      <w:r w:rsidRPr="00C638DA">
        <w:t>Table 3 shows that the buoyancy of the state’s own tax revenue is 1.142, indicating a strong responsiveness of revenue receipts to GSDP growth. In contrast, taxes on income have a buoyancy of 0.546, reflecting a non-buoyant response. Among its components, land revenue has a buoyancy of 0.549, suggesting scope for revenue enhancement, while stamp duty and registration fees, with a buoyancy of 1.044, already respond effectively to economic growth.</w:t>
      </w:r>
    </w:p>
    <w:p w14:paraId="64B0478C" w14:textId="77777777" w:rsidR="000E2F95" w:rsidRPr="00C638DA" w:rsidRDefault="000E2F95" w:rsidP="00A57A0A">
      <w:pPr>
        <w:pStyle w:val="NormalWeb"/>
        <w:spacing w:before="0" w:beforeAutospacing="0" w:after="0" w:afterAutospacing="0" w:line="276" w:lineRule="auto"/>
        <w:jc w:val="both"/>
      </w:pPr>
      <w:r w:rsidRPr="00C638DA">
        <w:t>The buoyancy of total revenue from taxes on commodities and services is 1.503, demonstrating that this category is highly responsive and generates substantial revenue with increases in state income. Despite comprising several taxes with varying performance, there is considerable scope for enhancing revenue from individual components.</w:t>
      </w:r>
    </w:p>
    <w:p w14:paraId="59B5B7AD" w14:textId="77777777" w:rsidR="000E2F95" w:rsidRPr="00C638DA" w:rsidRDefault="000E2F95" w:rsidP="00A57A0A">
      <w:pPr>
        <w:pStyle w:val="NormalWeb"/>
        <w:spacing w:before="0" w:beforeAutospacing="0" w:after="0" w:afterAutospacing="0" w:line="276" w:lineRule="auto"/>
        <w:jc w:val="both"/>
      </w:pPr>
      <w:r w:rsidRPr="00C638DA">
        <w:lastRenderedPageBreak/>
        <w:t>State excise duties, with a buoyancy of 0.712, are underperforming. The state could improve collections by implementing measures to reduce evasion, such as maintaining proper online records of production. Sales tax and taxes on vehicles are already buoyant, contributing significantly to revenue growth. Taxes on goods and passengers, with a buoyancy of 0.710, also offer potential for improvement through policies addressing free riders and tax evasion.</w:t>
      </w:r>
    </w:p>
    <w:p w14:paraId="2B543E51" w14:textId="77777777" w:rsidR="000E2F95" w:rsidRPr="00C638DA" w:rsidRDefault="000E2F95" w:rsidP="00A57A0A">
      <w:pPr>
        <w:pStyle w:val="NormalWeb"/>
        <w:spacing w:before="0" w:beforeAutospacing="0" w:after="0" w:afterAutospacing="0" w:line="276" w:lineRule="auto"/>
        <w:jc w:val="both"/>
      </w:pPr>
      <w:r w:rsidRPr="00C638DA">
        <w:t>Electricity duties appear negatively buoyant, declining with increases in state income. This may result from factors such as increased reliance on thermal or solar energy, theft, or transmission and distribution losses. Negative buoyancy in this sector indicates that revenue falls as income rises, increasing expenditure on subsidies and limiting funds available for capital investment.</w:t>
      </w:r>
    </w:p>
    <w:p w14:paraId="59E7746E" w14:textId="77777777" w:rsidR="000E2F95" w:rsidRPr="00C638DA" w:rsidRDefault="000E2F95" w:rsidP="00A57A0A">
      <w:pPr>
        <w:pStyle w:val="NormalWeb"/>
        <w:spacing w:before="0" w:beforeAutospacing="0" w:after="0" w:afterAutospacing="0" w:line="276" w:lineRule="auto"/>
        <w:jc w:val="both"/>
      </w:pPr>
      <w:r w:rsidRPr="00C638DA">
        <w:t>In contrast, GST and other minor taxes, with buoyancies above 2, perform exceptionally well, generating more than double the revenue with economic growth.</w:t>
      </w:r>
    </w:p>
    <w:p w14:paraId="1F6A72FC" w14:textId="77777777" w:rsidR="000E2F95" w:rsidRPr="00C638DA" w:rsidRDefault="000E2F95" w:rsidP="00A57A0A">
      <w:pPr>
        <w:pStyle w:val="NormalWeb"/>
        <w:spacing w:before="0" w:beforeAutospacing="0" w:after="0" w:afterAutospacing="0" w:line="276" w:lineRule="auto"/>
        <w:jc w:val="both"/>
        <w:rPr>
          <w:b/>
          <w:bCs/>
        </w:rPr>
      </w:pPr>
      <w:r w:rsidRPr="00C638DA">
        <w:rPr>
          <w:rStyle w:val="Strong"/>
          <w:b w:val="0"/>
          <w:bCs w:val="0"/>
        </w:rPr>
        <w:t>Overall, the analysis indicates that while taxes such as sales tax, taxes on vehicles, stamp duty, registration fees, GST, and other minor taxes are highly responsive to economic growth, underperforming areas like state excise duties, land revenue, taxes on goods and passengers, and electricity duties require targeted policy interventions to enhance revenue and support sustainable fiscal development.</w:t>
      </w:r>
    </w:p>
    <w:p w14:paraId="07B3A48A" w14:textId="77777777" w:rsidR="00C02FC8" w:rsidRPr="00C638DA" w:rsidRDefault="00C02FC8" w:rsidP="00A57A0A">
      <w:pPr>
        <w:pStyle w:val="NormalWeb"/>
        <w:spacing w:before="0" w:beforeAutospacing="0" w:after="0" w:afterAutospacing="0" w:line="276" w:lineRule="auto"/>
        <w:jc w:val="both"/>
      </w:pPr>
    </w:p>
    <w:p w14:paraId="7F2360D9" w14:textId="7CE78EA2" w:rsidR="00F045BE" w:rsidRPr="00C638DA" w:rsidRDefault="00C10920" w:rsidP="00A57A0A">
      <w:pPr>
        <w:pStyle w:val="NormalWeb"/>
        <w:spacing w:before="0" w:beforeAutospacing="0" w:after="0" w:afterAutospacing="0" w:line="276" w:lineRule="auto"/>
        <w:jc w:val="center"/>
        <w:rPr>
          <w:b/>
          <w:bCs/>
        </w:rPr>
      </w:pPr>
      <w:r w:rsidRPr="00C638DA">
        <w:rPr>
          <w:b/>
          <w:bCs/>
        </w:rPr>
        <w:t>Fiscal Effort and Revenue Mobilization Capacity of Manipur (OTR-to-GSDP Ratio)</w:t>
      </w:r>
    </w:p>
    <w:p w14:paraId="52A86EDF" w14:textId="2FDB29F2" w:rsidR="00D62D1B" w:rsidRPr="00C638DA" w:rsidRDefault="00E95A26" w:rsidP="00A57A0A">
      <w:pPr>
        <w:pStyle w:val="NormalWeb"/>
        <w:spacing w:before="0" w:beforeAutospacing="0" w:after="0" w:afterAutospacing="0" w:line="276" w:lineRule="auto"/>
        <w:jc w:val="both"/>
        <w:rPr>
          <w:b/>
          <w:bCs/>
        </w:rPr>
      </w:pPr>
      <w:r w:rsidRPr="00C638DA">
        <w:t>Buoyancies help assess the extent to which tax revenue increases in line with economic growth. However, even when taxes are buoyant, their relative performance can only be understood through comparison with other states. Table 4 presents the Own Tax Revenue (OTR) as a percentage of GSDP for Manipur, other Special Category States (SCSs), General Category States (GCSs), and the all-India average during 2012</w:t>
      </w:r>
      <w:r w:rsidR="0094111F" w:rsidRPr="00C638DA">
        <w:t>-</w:t>
      </w:r>
      <w:r w:rsidRPr="00C638DA">
        <w:t>22, facilitating a comparative assessment of revenue mobilization capacity</w:t>
      </w:r>
      <w:r w:rsidRPr="00C638DA">
        <w:rPr>
          <w:b/>
          <w:bCs/>
        </w:rPr>
        <w:t>.</w:t>
      </w:r>
    </w:p>
    <w:p w14:paraId="4391FD32" w14:textId="77777777" w:rsidR="00E95A26" w:rsidRPr="00C638DA" w:rsidRDefault="00E95A26" w:rsidP="00A57A0A">
      <w:pPr>
        <w:pStyle w:val="NormalWeb"/>
        <w:spacing w:before="0" w:beforeAutospacing="0" w:after="0" w:afterAutospacing="0" w:line="276" w:lineRule="auto"/>
        <w:jc w:val="both"/>
        <w:rPr>
          <w:b/>
          <w:bCs/>
        </w:rPr>
      </w:pPr>
    </w:p>
    <w:tbl>
      <w:tblPr>
        <w:tblW w:w="10343" w:type="dxa"/>
        <w:jc w:val="center"/>
        <w:tblLayout w:type="fixed"/>
        <w:tblLook w:val="04A0" w:firstRow="1" w:lastRow="0" w:firstColumn="1" w:lastColumn="0" w:noHBand="0" w:noVBand="1"/>
      </w:tblPr>
      <w:tblGrid>
        <w:gridCol w:w="2076"/>
        <w:gridCol w:w="818"/>
        <w:gridCol w:w="787"/>
        <w:gridCol w:w="850"/>
        <w:gridCol w:w="851"/>
        <w:gridCol w:w="850"/>
        <w:gridCol w:w="851"/>
        <w:gridCol w:w="850"/>
        <w:gridCol w:w="851"/>
        <w:gridCol w:w="850"/>
        <w:gridCol w:w="709"/>
      </w:tblGrid>
      <w:tr w:rsidR="00C638DA" w:rsidRPr="00C638DA" w14:paraId="0AC85535" w14:textId="77777777" w:rsidTr="00CF3A28">
        <w:trPr>
          <w:trHeight w:val="172"/>
          <w:jc w:val="center"/>
        </w:trPr>
        <w:tc>
          <w:tcPr>
            <w:tcW w:w="2076" w:type="dxa"/>
            <w:vMerge w:val="restart"/>
            <w:tcBorders>
              <w:top w:val="single" w:sz="4" w:space="0" w:color="auto"/>
              <w:left w:val="single" w:sz="4" w:space="0" w:color="auto"/>
              <w:bottom w:val="nil"/>
              <w:right w:val="single" w:sz="4" w:space="0" w:color="auto"/>
            </w:tcBorders>
            <w:shd w:val="clear" w:color="000000" w:fill="FFFFFF"/>
            <w:vAlign w:val="center"/>
            <w:hideMark/>
          </w:tcPr>
          <w:p w14:paraId="52DFD820" w14:textId="77777777" w:rsidR="00F806FE" w:rsidRPr="00C638DA" w:rsidRDefault="00F806FE" w:rsidP="004C6FCA">
            <w:pPr>
              <w:spacing w:after="0" w:line="276" w:lineRule="auto"/>
              <w:jc w:val="center"/>
              <w:rPr>
                <w:rFonts w:ascii="Times New Roman" w:eastAsia="Times New Roman" w:hAnsi="Times New Roman" w:cs="Times New Roman"/>
                <w:b/>
                <w:bCs/>
                <w:kern w:val="0"/>
                <w:lang w:eastAsia="en-IN"/>
                <w14:ligatures w14:val="none"/>
              </w:rPr>
            </w:pPr>
            <w:bookmarkStart w:id="2" w:name="_Hlk206212703"/>
            <w:r w:rsidRPr="00C638DA">
              <w:rPr>
                <w:rFonts w:ascii="Times New Roman" w:eastAsia="Times New Roman" w:hAnsi="Times New Roman" w:cs="Times New Roman"/>
                <w:b/>
                <w:bCs/>
                <w:kern w:val="0"/>
                <w:lang w:eastAsia="en-IN"/>
                <w14:ligatures w14:val="none"/>
              </w:rPr>
              <w:t>State/Union Territory</w:t>
            </w:r>
          </w:p>
        </w:tc>
        <w:tc>
          <w:tcPr>
            <w:tcW w:w="8267" w:type="dxa"/>
            <w:gridSpan w:val="10"/>
            <w:tcBorders>
              <w:top w:val="single" w:sz="4" w:space="0" w:color="auto"/>
              <w:left w:val="nil"/>
              <w:bottom w:val="single" w:sz="4" w:space="0" w:color="auto"/>
              <w:right w:val="single" w:sz="4" w:space="0" w:color="000000"/>
            </w:tcBorders>
            <w:noWrap/>
            <w:vAlign w:val="bottom"/>
            <w:hideMark/>
          </w:tcPr>
          <w:p w14:paraId="70731A64" w14:textId="77777777" w:rsidR="00F806FE" w:rsidRPr="00C638DA" w:rsidRDefault="00F806FE" w:rsidP="004C6FCA">
            <w:pPr>
              <w:spacing w:after="0" w:line="276" w:lineRule="auto"/>
              <w:jc w:val="center"/>
              <w:rPr>
                <w:rFonts w:ascii="Times New Roman" w:eastAsia="Times New Roman" w:hAnsi="Times New Roman" w:cs="Times New Roman"/>
                <w:b/>
                <w:bCs/>
                <w:kern w:val="0"/>
                <w:lang w:eastAsia="en-IN"/>
                <w14:ligatures w14:val="none"/>
              </w:rPr>
            </w:pPr>
            <w:r w:rsidRPr="00C638DA">
              <w:rPr>
                <w:rFonts w:ascii="Times New Roman" w:eastAsia="Times New Roman" w:hAnsi="Times New Roman" w:cs="Times New Roman"/>
                <w:b/>
                <w:bCs/>
                <w:kern w:val="0"/>
                <w:lang w:eastAsia="en-IN"/>
                <w14:ligatures w14:val="none"/>
              </w:rPr>
              <w:t>Table 4: Own Tax Revenue (OTR) as a percentage of GSDP</w:t>
            </w:r>
          </w:p>
        </w:tc>
      </w:tr>
      <w:tr w:rsidR="00C638DA" w:rsidRPr="00C638DA" w14:paraId="0AE7FEE7" w14:textId="77777777" w:rsidTr="00CF3A28">
        <w:trPr>
          <w:trHeight w:val="172"/>
          <w:jc w:val="center"/>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427994DE"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p>
        </w:tc>
        <w:tc>
          <w:tcPr>
            <w:tcW w:w="818" w:type="dxa"/>
            <w:tcBorders>
              <w:top w:val="single" w:sz="4" w:space="0" w:color="auto"/>
              <w:left w:val="nil"/>
              <w:bottom w:val="single" w:sz="4" w:space="0" w:color="auto"/>
              <w:right w:val="single" w:sz="4" w:space="0" w:color="auto"/>
            </w:tcBorders>
            <w:shd w:val="clear" w:color="000000" w:fill="FFFFFF"/>
            <w:vAlign w:val="center"/>
            <w:hideMark/>
          </w:tcPr>
          <w:p w14:paraId="4D50CE7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2012-13</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300E299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2013-14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A5F393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2014-15</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222A9E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2015-16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6DCE23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2016-17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2DFA6B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2017-18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90B4D3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2018-19</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19DFA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2019-20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494180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2020-21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6A591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2021-22</w:t>
            </w:r>
          </w:p>
        </w:tc>
      </w:tr>
      <w:tr w:rsidR="00C638DA" w:rsidRPr="00C638DA" w14:paraId="72484AC8"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AA4F6"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Arunachal Pr.</w:t>
            </w:r>
          </w:p>
        </w:tc>
        <w:tc>
          <w:tcPr>
            <w:tcW w:w="818" w:type="dxa"/>
            <w:tcBorders>
              <w:top w:val="single" w:sz="4" w:space="0" w:color="auto"/>
              <w:left w:val="nil"/>
              <w:bottom w:val="single" w:sz="4" w:space="0" w:color="auto"/>
              <w:right w:val="single" w:sz="4" w:space="0" w:color="auto"/>
            </w:tcBorders>
            <w:noWrap/>
            <w:vAlign w:val="bottom"/>
            <w:hideMark/>
          </w:tcPr>
          <w:p w14:paraId="5C07237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2.5</w:t>
            </w:r>
          </w:p>
        </w:tc>
        <w:tc>
          <w:tcPr>
            <w:tcW w:w="787" w:type="dxa"/>
            <w:tcBorders>
              <w:top w:val="single" w:sz="4" w:space="0" w:color="auto"/>
              <w:left w:val="nil"/>
              <w:bottom w:val="single" w:sz="4" w:space="0" w:color="auto"/>
              <w:right w:val="single" w:sz="4" w:space="0" w:color="auto"/>
            </w:tcBorders>
            <w:noWrap/>
            <w:vAlign w:val="bottom"/>
            <w:hideMark/>
          </w:tcPr>
          <w:p w14:paraId="18E8168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3.0</w:t>
            </w:r>
          </w:p>
        </w:tc>
        <w:tc>
          <w:tcPr>
            <w:tcW w:w="850" w:type="dxa"/>
            <w:tcBorders>
              <w:top w:val="single" w:sz="4" w:space="0" w:color="auto"/>
              <w:left w:val="nil"/>
              <w:bottom w:val="single" w:sz="4" w:space="0" w:color="auto"/>
              <w:right w:val="single" w:sz="4" w:space="0" w:color="auto"/>
            </w:tcBorders>
            <w:noWrap/>
            <w:vAlign w:val="bottom"/>
            <w:hideMark/>
          </w:tcPr>
          <w:p w14:paraId="1AB556F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2.6</w:t>
            </w:r>
          </w:p>
        </w:tc>
        <w:tc>
          <w:tcPr>
            <w:tcW w:w="851" w:type="dxa"/>
            <w:tcBorders>
              <w:top w:val="single" w:sz="4" w:space="0" w:color="auto"/>
              <w:left w:val="nil"/>
              <w:bottom w:val="single" w:sz="4" w:space="0" w:color="auto"/>
              <w:right w:val="single" w:sz="4" w:space="0" w:color="auto"/>
            </w:tcBorders>
            <w:noWrap/>
            <w:vAlign w:val="bottom"/>
            <w:hideMark/>
          </w:tcPr>
          <w:p w14:paraId="39D7243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2.9</w:t>
            </w:r>
          </w:p>
        </w:tc>
        <w:tc>
          <w:tcPr>
            <w:tcW w:w="850" w:type="dxa"/>
            <w:tcBorders>
              <w:top w:val="single" w:sz="4" w:space="0" w:color="auto"/>
              <w:left w:val="nil"/>
              <w:bottom w:val="single" w:sz="4" w:space="0" w:color="auto"/>
              <w:right w:val="single" w:sz="4" w:space="0" w:color="auto"/>
            </w:tcBorders>
            <w:noWrap/>
            <w:vAlign w:val="bottom"/>
            <w:hideMark/>
          </w:tcPr>
          <w:p w14:paraId="0D9538E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3.6</w:t>
            </w:r>
          </w:p>
        </w:tc>
        <w:tc>
          <w:tcPr>
            <w:tcW w:w="851" w:type="dxa"/>
            <w:tcBorders>
              <w:top w:val="single" w:sz="4" w:space="0" w:color="auto"/>
              <w:left w:val="nil"/>
              <w:bottom w:val="single" w:sz="4" w:space="0" w:color="auto"/>
              <w:right w:val="single" w:sz="4" w:space="0" w:color="auto"/>
            </w:tcBorders>
            <w:noWrap/>
            <w:vAlign w:val="bottom"/>
            <w:hideMark/>
          </w:tcPr>
          <w:p w14:paraId="30B5F25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7.8</w:t>
            </w:r>
          </w:p>
        </w:tc>
        <w:tc>
          <w:tcPr>
            <w:tcW w:w="850" w:type="dxa"/>
            <w:tcBorders>
              <w:top w:val="single" w:sz="4" w:space="0" w:color="auto"/>
              <w:left w:val="nil"/>
              <w:bottom w:val="single" w:sz="4" w:space="0" w:color="auto"/>
              <w:right w:val="single" w:sz="4" w:space="0" w:color="auto"/>
            </w:tcBorders>
            <w:noWrap/>
            <w:vAlign w:val="bottom"/>
            <w:hideMark/>
          </w:tcPr>
          <w:p w14:paraId="4F1E619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5.0</w:t>
            </w:r>
          </w:p>
        </w:tc>
        <w:tc>
          <w:tcPr>
            <w:tcW w:w="851" w:type="dxa"/>
            <w:tcBorders>
              <w:top w:val="single" w:sz="4" w:space="0" w:color="auto"/>
              <w:left w:val="nil"/>
              <w:bottom w:val="single" w:sz="4" w:space="0" w:color="auto"/>
              <w:right w:val="single" w:sz="4" w:space="0" w:color="auto"/>
            </w:tcBorders>
            <w:noWrap/>
            <w:vAlign w:val="bottom"/>
            <w:hideMark/>
          </w:tcPr>
          <w:p w14:paraId="5B93FA2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4.1</w:t>
            </w:r>
          </w:p>
        </w:tc>
        <w:tc>
          <w:tcPr>
            <w:tcW w:w="850" w:type="dxa"/>
            <w:tcBorders>
              <w:top w:val="single" w:sz="4" w:space="0" w:color="auto"/>
              <w:left w:val="nil"/>
              <w:bottom w:val="single" w:sz="4" w:space="0" w:color="auto"/>
              <w:right w:val="single" w:sz="4" w:space="0" w:color="auto"/>
            </w:tcBorders>
            <w:noWrap/>
            <w:vAlign w:val="bottom"/>
            <w:hideMark/>
          </w:tcPr>
          <w:p w14:paraId="56F1CCB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709" w:type="dxa"/>
            <w:tcBorders>
              <w:top w:val="single" w:sz="4" w:space="0" w:color="auto"/>
              <w:left w:val="nil"/>
              <w:bottom w:val="single" w:sz="4" w:space="0" w:color="auto"/>
              <w:right w:val="single" w:sz="4" w:space="0" w:color="auto"/>
            </w:tcBorders>
            <w:noWrap/>
            <w:vAlign w:val="bottom"/>
            <w:hideMark/>
          </w:tcPr>
          <w:p w14:paraId="15477B0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2E416B48"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9C92D"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Assam</w:t>
            </w:r>
          </w:p>
        </w:tc>
        <w:tc>
          <w:tcPr>
            <w:tcW w:w="818" w:type="dxa"/>
            <w:tcBorders>
              <w:top w:val="single" w:sz="4" w:space="0" w:color="auto"/>
              <w:left w:val="nil"/>
              <w:bottom w:val="single" w:sz="4" w:space="0" w:color="auto"/>
              <w:right w:val="single" w:sz="4" w:space="0" w:color="auto"/>
            </w:tcBorders>
            <w:noWrap/>
            <w:vAlign w:val="bottom"/>
            <w:hideMark/>
          </w:tcPr>
          <w:p w14:paraId="27579A3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5.3</w:t>
            </w:r>
          </w:p>
        </w:tc>
        <w:tc>
          <w:tcPr>
            <w:tcW w:w="787" w:type="dxa"/>
            <w:tcBorders>
              <w:top w:val="single" w:sz="4" w:space="0" w:color="auto"/>
              <w:left w:val="nil"/>
              <w:bottom w:val="single" w:sz="4" w:space="0" w:color="auto"/>
              <w:right w:val="single" w:sz="4" w:space="0" w:color="auto"/>
            </w:tcBorders>
            <w:noWrap/>
            <w:vAlign w:val="bottom"/>
            <w:hideMark/>
          </w:tcPr>
          <w:p w14:paraId="66C3114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5.1</w:t>
            </w:r>
          </w:p>
        </w:tc>
        <w:tc>
          <w:tcPr>
            <w:tcW w:w="850" w:type="dxa"/>
            <w:tcBorders>
              <w:top w:val="single" w:sz="4" w:space="0" w:color="auto"/>
              <w:left w:val="nil"/>
              <w:bottom w:val="single" w:sz="4" w:space="0" w:color="auto"/>
              <w:right w:val="single" w:sz="4" w:space="0" w:color="auto"/>
            </w:tcBorders>
            <w:noWrap/>
            <w:vAlign w:val="bottom"/>
            <w:hideMark/>
          </w:tcPr>
          <w:p w14:paraId="647ADBE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851" w:type="dxa"/>
            <w:tcBorders>
              <w:top w:val="single" w:sz="4" w:space="0" w:color="auto"/>
              <w:left w:val="nil"/>
              <w:bottom w:val="single" w:sz="4" w:space="0" w:color="auto"/>
              <w:right w:val="single" w:sz="4" w:space="0" w:color="auto"/>
            </w:tcBorders>
            <w:noWrap/>
            <w:vAlign w:val="bottom"/>
            <w:hideMark/>
          </w:tcPr>
          <w:p w14:paraId="5854456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4.4</w:t>
            </w:r>
          </w:p>
        </w:tc>
        <w:tc>
          <w:tcPr>
            <w:tcW w:w="850" w:type="dxa"/>
            <w:tcBorders>
              <w:top w:val="single" w:sz="4" w:space="0" w:color="auto"/>
              <w:left w:val="nil"/>
              <w:bottom w:val="single" w:sz="4" w:space="0" w:color="auto"/>
              <w:right w:val="single" w:sz="4" w:space="0" w:color="auto"/>
            </w:tcBorders>
            <w:noWrap/>
            <w:vAlign w:val="bottom"/>
            <w:hideMark/>
          </w:tcPr>
          <w:p w14:paraId="33F84C20"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4.7</w:t>
            </w:r>
          </w:p>
        </w:tc>
        <w:tc>
          <w:tcPr>
            <w:tcW w:w="851" w:type="dxa"/>
            <w:tcBorders>
              <w:top w:val="single" w:sz="4" w:space="0" w:color="auto"/>
              <w:left w:val="nil"/>
              <w:bottom w:val="single" w:sz="4" w:space="0" w:color="auto"/>
              <w:right w:val="single" w:sz="4" w:space="0" w:color="auto"/>
            </w:tcBorders>
            <w:noWrap/>
            <w:vAlign w:val="bottom"/>
            <w:hideMark/>
          </w:tcPr>
          <w:p w14:paraId="578D462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5.5</w:t>
            </w:r>
          </w:p>
        </w:tc>
        <w:tc>
          <w:tcPr>
            <w:tcW w:w="850" w:type="dxa"/>
            <w:tcBorders>
              <w:top w:val="single" w:sz="4" w:space="0" w:color="auto"/>
              <w:left w:val="nil"/>
              <w:bottom w:val="single" w:sz="4" w:space="0" w:color="auto"/>
              <w:right w:val="single" w:sz="4" w:space="0" w:color="auto"/>
            </w:tcBorders>
            <w:noWrap/>
            <w:vAlign w:val="bottom"/>
            <w:hideMark/>
          </w:tcPr>
          <w:p w14:paraId="61CA5BC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5.3</w:t>
            </w:r>
          </w:p>
        </w:tc>
        <w:tc>
          <w:tcPr>
            <w:tcW w:w="851" w:type="dxa"/>
            <w:tcBorders>
              <w:top w:val="single" w:sz="4" w:space="0" w:color="auto"/>
              <w:left w:val="nil"/>
              <w:bottom w:val="single" w:sz="4" w:space="0" w:color="auto"/>
              <w:right w:val="single" w:sz="4" w:space="0" w:color="auto"/>
            </w:tcBorders>
            <w:noWrap/>
            <w:vAlign w:val="bottom"/>
            <w:hideMark/>
          </w:tcPr>
          <w:p w14:paraId="2B2EDD6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850" w:type="dxa"/>
            <w:tcBorders>
              <w:top w:val="single" w:sz="4" w:space="0" w:color="auto"/>
              <w:left w:val="nil"/>
              <w:bottom w:val="single" w:sz="4" w:space="0" w:color="auto"/>
              <w:right w:val="single" w:sz="4" w:space="0" w:color="auto"/>
            </w:tcBorders>
            <w:noWrap/>
            <w:vAlign w:val="bottom"/>
            <w:hideMark/>
          </w:tcPr>
          <w:p w14:paraId="3FF137B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5.5</w:t>
            </w:r>
          </w:p>
        </w:tc>
        <w:tc>
          <w:tcPr>
            <w:tcW w:w="709" w:type="dxa"/>
            <w:tcBorders>
              <w:top w:val="single" w:sz="4" w:space="0" w:color="auto"/>
              <w:left w:val="nil"/>
              <w:bottom w:val="single" w:sz="4" w:space="0" w:color="auto"/>
              <w:right w:val="single" w:sz="4" w:space="0" w:color="auto"/>
            </w:tcBorders>
            <w:noWrap/>
            <w:vAlign w:val="bottom"/>
            <w:hideMark/>
          </w:tcPr>
          <w:p w14:paraId="23F2A21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2515DEDF"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D669A"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Himachal Pr.</w:t>
            </w:r>
          </w:p>
        </w:tc>
        <w:tc>
          <w:tcPr>
            <w:tcW w:w="818" w:type="dxa"/>
            <w:tcBorders>
              <w:top w:val="single" w:sz="4" w:space="0" w:color="auto"/>
              <w:left w:val="nil"/>
              <w:bottom w:val="single" w:sz="4" w:space="0" w:color="auto"/>
              <w:right w:val="single" w:sz="4" w:space="0" w:color="auto"/>
            </w:tcBorders>
            <w:noWrap/>
            <w:vAlign w:val="bottom"/>
            <w:hideMark/>
          </w:tcPr>
          <w:p w14:paraId="6315D35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5.6</w:t>
            </w:r>
          </w:p>
        </w:tc>
        <w:tc>
          <w:tcPr>
            <w:tcW w:w="787" w:type="dxa"/>
            <w:tcBorders>
              <w:top w:val="single" w:sz="4" w:space="0" w:color="auto"/>
              <w:left w:val="nil"/>
              <w:bottom w:val="single" w:sz="4" w:space="0" w:color="auto"/>
              <w:right w:val="single" w:sz="4" w:space="0" w:color="auto"/>
            </w:tcBorders>
            <w:noWrap/>
            <w:vAlign w:val="bottom"/>
            <w:hideMark/>
          </w:tcPr>
          <w:p w14:paraId="5758E58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5.4</w:t>
            </w:r>
          </w:p>
        </w:tc>
        <w:tc>
          <w:tcPr>
            <w:tcW w:w="850" w:type="dxa"/>
            <w:tcBorders>
              <w:top w:val="single" w:sz="4" w:space="0" w:color="auto"/>
              <w:left w:val="nil"/>
              <w:bottom w:val="single" w:sz="4" w:space="0" w:color="auto"/>
              <w:right w:val="single" w:sz="4" w:space="0" w:color="auto"/>
            </w:tcBorders>
            <w:noWrap/>
            <w:vAlign w:val="bottom"/>
            <w:hideMark/>
          </w:tcPr>
          <w:p w14:paraId="086A45B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5.7</w:t>
            </w:r>
          </w:p>
        </w:tc>
        <w:tc>
          <w:tcPr>
            <w:tcW w:w="851" w:type="dxa"/>
            <w:tcBorders>
              <w:top w:val="single" w:sz="4" w:space="0" w:color="auto"/>
              <w:left w:val="nil"/>
              <w:bottom w:val="single" w:sz="4" w:space="0" w:color="auto"/>
              <w:right w:val="single" w:sz="4" w:space="0" w:color="auto"/>
            </w:tcBorders>
            <w:noWrap/>
            <w:vAlign w:val="bottom"/>
            <w:hideMark/>
          </w:tcPr>
          <w:p w14:paraId="7002010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5.9</w:t>
            </w:r>
          </w:p>
        </w:tc>
        <w:tc>
          <w:tcPr>
            <w:tcW w:w="850" w:type="dxa"/>
            <w:tcBorders>
              <w:top w:val="single" w:sz="4" w:space="0" w:color="auto"/>
              <w:left w:val="nil"/>
              <w:bottom w:val="single" w:sz="4" w:space="0" w:color="auto"/>
              <w:right w:val="single" w:sz="4" w:space="0" w:color="auto"/>
            </w:tcBorders>
            <w:noWrap/>
            <w:vAlign w:val="bottom"/>
            <w:hideMark/>
          </w:tcPr>
          <w:p w14:paraId="17EE718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5.6</w:t>
            </w:r>
          </w:p>
        </w:tc>
        <w:tc>
          <w:tcPr>
            <w:tcW w:w="851" w:type="dxa"/>
            <w:tcBorders>
              <w:top w:val="single" w:sz="4" w:space="0" w:color="auto"/>
              <w:left w:val="nil"/>
              <w:bottom w:val="single" w:sz="4" w:space="0" w:color="auto"/>
              <w:right w:val="single" w:sz="4" w:space="0" w:color="auto"/>
            </w:tcBorders>
            <w:noWrap/>
            <w:vAlign w:val="bottom"/>
            <w:hideMark/>
          </w:tcPr>
          <w:p w14:paraId="318688A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5.5</w:t>
            </w:r>
          </w:p>
        </w:tc>
        <w:tc>
          <w:tcPr>
            <w:tcW w:w="850" w:type="dxa"/>
            <w:tcBorders>
              <w:top w:val="single" w:sz="4" w:space="0" w:color="auto"/>
              <w:left w:val="nil"/>
              <w:bottom w:val="single" w:sz="4" w:space="0" w:color="auto"/>
              <w:right w:val="single" w:sz="4" w:space="0" w:color="auto"/>
            </w:tcBorders>
            <w:noWrap/>
            <w:vAlign w:val="bottom"/>
            <w:hideMark/>
          </w:tcPr>
          <w:p w14:paraId="11367B5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5.2</w:t>
            </w:r>
          </w:p>
        </w:tc>
        <w:tc>
          <w:tcPr>
            <w:tcW w:w="851" w:type="dxa"/>
            <w:tcBorders>
              <w:top w:val="single" w:sz="4" w:space="0" w:color="auto"/>
              <w:left w:val="nil"/>
              <w:bottom w:val="single" w:sz="4" w:space="0" w:color="auto"/>
              <w:right w:val="single" w:sz="4" w:space="0" w:color="auto"/>
            </w:tcBorders>
            <w:noWrap/>
            <w:vAlign w:val="bottom"/>
            <w:hideMark/>
          </w:tcPr>
          <w:p w14:paraId="7226834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850" w:type="dxa"/>
            <w:tcBorders>
              <w:top w:val="single" w:sz="4" w:space="0" w:color="auto"/>
              <w:left w:val="nil"/>
              <w:bottom w:val="single" w:sz="4" w:space="0" w:color="auto"/>
              <w:right w:val="single" w:sz="4" w:space="0" w:color="auto"/>
            </w:tcBorders>
            <w:noWrap/>
            <w:vAlign w:val="bottom"/>
            <w:hideMark/>
          </w:tcPr>
          <w:p w14:paraId="4A884B3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5.1</w:t>
            </w:r>
          </w:p>
        </w:tc>
        <w:tc>
          <w:tcPr>
            <w:tcW w:w="709" w:type="dxa"/>
            <w:tcBorders>
              <w:top w:val="single" w:sz="4" w:space="0" w:color="auto"/>
              <w:left w:val="nil"/>
              <w:bottom w:val="single" w:sz="4" w:space="0" w:color="auto"/>
              <w:right w:val="single" w:sz="4" w:space="0" w:color="auto"/>
            </w:tcBorders>
            <w:noWrap/>
            <w:vAlign w:val="bottom"/>
            <w:hideMark/>
          </w:tcPr>
          <w:p w14:paraId="69BA247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5.3</w:t>
            </w:r>
          </w:p>
        </w:tc>
      </w:tr>
      <w:tr w:rsidR="00C638DA" w:rsidRPr="00C638DA" w14:paraId="53DB6A94"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3CB3B"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Jammu &amp; Kashmir</w:t>
            </w:r>
          </w:p>
        </w:tc>
        <w:tc>
          <w:tcPr>
            <w:tcW w:w="818" w:type="dxa"/>
            <w:tcBorders>
              <w:top w:val="single" w:sz="4" w:space="0" w:color="auto"/>
              <w:left w:val="nil"/>
              <w:bottom w:val="single" w:sz="4" w:space="0" w:color="auto"/>
              <w:right w:val="single" w:sz="4" w:space="0" w:color="auto"/>
            </w:tcBorders>
            <w:noWrap/>
            <w:vAlign w:val="bottom"/>
            <w:hideMark/>
          </w:tcPr>
          <w:p w14:paraId="3968757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6.7</w:t>
            </w:r>
          </w:p>
        </w:tc>
        <w:tc>
          <w:tcPr>
            <w:tcW w:w="787" w:type="dxa"/>
            <w:tcBorders>
              <w:top w:val="single" w:sz="4" w:space="0" w:color="auto"/>
              <w:left w:val="nil"/>
              <w:bottom w:val="single" w:sz="4" w:space="0" w:color="auto"/>
              <w:right w:val="single" w:sz="4" w:space="0" w:color="auto"/>
            </w:tcBorders>
            <w:noWrap/>
            <w:vAlign w:val="bottom"/>
            <w:hideMark/>
          </w:tcPr>
          <w:p w14:paraId="776E562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6.6</w:t>
            </w:r>
          </w:p>
        </w:tc>
        <w:tc>
          <w:tcPr>
            <w:tcW w:w="850" w:type="dxa"/>
            <w:tcBorders>
              <w:top w:val="single" w:sz="4" w:space="0" w:color="auto"/>
              <w:left w:val="nil"/>
              <w:bottom w:val="single" w:sz="4" w:space="0" w:color="auto"/>
              <w:right w:val="single" w:sz="4" w:space="0" w:color="auto"/>
            </w:tcBorders>
            <w:noWrap/>
            <w:vAlign w:val="bottom"/>
            <w:hideMark/>
          </w:tcPr>
          <w:p w14:paraId="5EECEC4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6.4</w:t>
            </w:r>
          </w:p>
        </w:tc>
        <w:tc>
          <w:tcPr>
            <w:tcW w:w="851" w:type="dxa"/>
            <w:tcBorders>
              <w:top w:val="single" w:sz="4" w:space="0" w:color="auto"/>
              <w:left w:val="nil"/>
              <w:bottom w:val="single" w:sz="4" w:space="0" w:color="auto"/>
              <w:right w:val="single" w:sz="4" w:space="0" w:color="auto"/>
            </w:tcBorders>
            <w:noWrap/>
            <w:vAlign w:val="bottom"/>
            <w:hideMark/>
          </w:tcPr>
          <w:p w14:paraId="4231BB1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6.3</w:t>
            </w:r>
          </w:p>
        </w:tc>
        <w:tc>
          <w:tcPr>
            <w:tcW w:w="850" w:type="dxa"/>
            <w:tcBorders>
              <w:top w:val="single" w:sz="4" w:space="0" w:color="auto"/>
              <w:left w:val="nil"/>
              <w:bottom w:val="single" w:sz="4" w:space="0" w:color="auto"/>
              <w:right w:val="single" w:sz="4" w:space="0" w:color="auto"/>
            </w:tcBorders>
            <w:noWrap/>
            <w:vAlign w:val="bottom"/>
            <w:hideMark/>
          </w:tcPr>
          <w:p w14:paraId="08E3EE0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6.3</w:t>
            </w:r>
          </w:p>
        </w:tc>
        <w:tc>
          <w:tcPr>
            <w:tcW w:w="851" w:type="dxa"/>
            <w:tcBorders>
              <w:top w:val="single" w:sz="4" w:space="0" w:color="auto"/>
              <w:left w:val="nil"/>
              <w:bottom w:val="single" w:sz="4" w:space="0" w:color="auto"/>
              <w:right w:val="single" w:sz="4" w:space="0" w:color="auto"/>
            </w:tcBorders>
            <w:noWrap/>
            <w:vAlign w:val="bottom"/>
            <w:hideMark/>
          </w:tcPr>
          <w:p w14:paraId="2B302A2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7.7</w:t>
            </w:r>
          </w:p>
        </w:tc>
        <w:tc>
          <w:tcPr>
            <w:tcW w:w="850" w:type="dxa"/>
            <w:tcBorders>
              <w:top w:val="single" w:sz="4" w:space="0" w:color="auto"/>
              <w:left w:val="nil"/>
              <w:bottom w:val="single" w:sz="4" w:space="0" w:color="auto"/>
              <w:right w:val="single" w:sz="4" w:space="0" w:color="auto"/>
            </w:tcBorders>
            <w:noWrap/>
            <w:vAlign w:val="bottom"/>
            <w:hideMark/>
          </w:tcPr>
          <w:p w14:paraId="71CD4A2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6.3</w:t>
            </w:r>
          </w:p>
        </w:tc>
        <w:tc>
          <w:tcPr>
            <w:tcW w:w="851" w:type="dxa"/>
            <w:tcBorders>
              <w:top w:val="single" w:sz="4" w:space="0" w:color="auto"/>
              <w:left w:val="nil"/>
              <w:bottom w:val="single" w:sz="4" w:space="0" w:color="auto"/>
              <w:right w:val="single" w:sz="4" w:space="0" w:color="auto"/>
            </w:tcBorders>
            <w:noWrap/>
            <w:vAlign w:val="bottom"/>
            <w:hideMark/>
          </w:tcPr>
          <w:p w14:paraId="6BA2479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5.8</w:t>
            </w:r>
          </w:p>
        </w:tc>
        <w:tc>
          <w:tcPr>
            <w:tcW w:w="850" w:type="dxa"/>
            <w:tcBorders>
              <w:top w:val="single" w:sz="4" w:space="0" w:color="auto"/>
              <w:left w:val="nil"/>
              <w:bottom w:val="single" w:sz="4" w:space="0" w:color="auto"/>
              <w:right w:val="single" w:sz="4" w:space="0" w:color="auto"/>
            </w:tcBorders>
            <w:noWrap/>
            <w:vAlign w:val="bottom"/>
            <w:hideMark/>
          </w:tcPr>
          <w:p w14:paraId="4BA0E66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6.4</w:t>
            </w:r>
          </w:p>
        </w:tc>
        <w:tc>
          <w:tcPr>
            <w:tcW w:w="709" w:type="dxa"/>
            <w:tcBorders>
              <w:top w:val="single" w:sz="4" w:space="0" w:color="auto"/>
              <w:left w:val="nil"/>
              <w:bottom w:val="single" w:sz="4" w:space="0" w:color="auto"/>
              <w:right w:val="single" w:sz="4" w:space="0" w:color="auto"/>
            </w:tcBorders>
            <w:noWrap/>
            <w:vAlign w:val="bottom"/>
            <w:hideMark/>
          </w:tcPr>
          <w:p w14:paraId="76B333E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8.3</w:t>
            </w:r>
          </w:p>
        </w:tc>
      </w:tr>
      <w:tr w:rsidR="00C638DA" w:rsidRPr="00C638DA" w14:paraId="3D7F7BAC"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49033"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Manipur</w:t>
            </w:r>
          </w:p>
        </w:tc>
        <w:tc>
          <w:tcPr>
            <w:tcW w:w="818" w:type="dxa"/>
            <w:tcBorders>
              <w:top w:val="single" w:sz="4" w:space="0" w:color="auto"/>
              <w:left w:val="nil"/>
              <w:bottom w:val="single" w:sz="4" w:space="0" w:color="auto"/>
              <w:right w:val="single" w:sz="4" w:space="0" w:color="auto"/>
            </w:tcBorders>
            <w:noWrap/>
            <w:vAlign w:val="bottom"/>
            <w:hideMark/>
          </w:tcPr>
          <w:p w14:paraId="156CC59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2.4</w:t>
            </w:r>
          </w:p>
        </w:tc>
        <w:tc>
          <w:tcPr>
            <w:tcW w:w="787" w:type="dxa"/>
            <w:tcBorders>
              <w:top w:val="single" w:sz="4" w:space="0" w:color="auto"/>
              <w:left w:val="nil"/>
              <w:bottom w:val="single" w:sz="4" w:space="0" w:color="auto"/>
              <w:right w:val="single" w:sz="4" w:space="0" w:color="auto"/>
            </w:tcBorders>
            <w:noWrap/>
            <w:vAlign w:val="bottom"/>
            <w:hideMark/>
          </w:tcPr>
          <w:p w14:paraId="08E56CF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2.9</w:t>
            </w:r>
          </w:p>
        </w:tc>
        <w:tc>
          <w:tcPr>
            <w:tcW w:w="850" w:type="dxa"/>
            <w:tcBorders>
              <w:top w:val="single" w:sz="4" w:space="0" w:color="auto"/>
              <w:left w:val="nil"/>
              <w:bottom w:val="single" w:sz="4" w:space="0" w:color="auto"/>
              <w:right w:val="single" w:sz="4" w:space="0" w:color="auto"/>
            </w:tcBorders>
            <w:noWrap/>
            <w:vAlign w:val="bottom"/>
            <w:hideMark/>
          </w:tcPr>
          <w:p w14:paraId="6491957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2.9</w:t>
            </w:r>
          </w:p>
        </w:tc>
        <w:tc>
          <w:tcPr>
            <w:tcW w:w="851" w:type="dxa"/>
            <w:tcBorders>
              <w:top w:val="single" w:sz="4" w:space="0" w:color="auto"/>
              <w:left w:val="nil"/>
              <w:bottom w:val="single" w:sz="4" w:space="0" w:color="auto"/>
              <w:right w:val="single" w:sz="4" w:space="0" w:color="auto"/>
            </w:tcBorders>
            <w:noWrap/>
            <w:vAlign w:val="bottom"/>
            <w:hideMark/>
          </w:tcPr>
          <w:p w14:paraId="40200BB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2.8</w:t>
            </w:r>
          </w:p>
        </w:tc>
        <w:tc>
          <w:tcPr>
            <w:tcW w:w="850" w:type="dxa"/>
            <w:tcBorders>
              <w:top w:val="single" w:sz="4" w:space="0" w:color="auto"/>
              <w:left w:val="nil"/>
              <w:bottom w:val="single" w:sz="4" w:space="0" w:color="auto"/>
              <w:right w:val="single" w:sz="4" w:space="0" w:color="auto"/>
            </w:tcBorders>
            <w:noWrap/>
            <w:vAlign w:val="bottom"/>
            <w:hideMark/>
          </w:tcPr>
          <w:p w14:paraId="286E2D4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2.8</w:t>
            </w:r>
          </w:p>
        </w:tc>
        <w:tc>
          <w:tcPr>
            <w:tcW w:w="851" w:type="dxa"/>
            <w:tcBorders>
              <w:top w:val="single" w:sz="4" w:space="0" w:color="auto"/>
              <w:left w:val="nil"/>
              <w:bottom w:val="single" w:sz="4" w:space="0" w:color="auto"/>
              <w:right w:val="single" w:sz="4" w:space="0" w:color="auto"/>
            </w:tcBorders>
            <w:noWrap/>
            <w:vAlign w:val="bottom"/>
            <w:hideMark/>
          </w:tcPr>
          <w:p w14:paraId="25CB75F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4.7</w:t>
            </w:r>
          </w:p>
        </w:tc>
        <w:tc>
          <w:tcPr>
            <w:tcW w:w="850" w:type="dxa"/>
            <w:tcBorders>
              <w:top w:val="single" w:sz="4" w:space="0" w:color="auto"/>
              <w:left w:val="nil"/>
              <w:bottom w:val="single" w:sz="4" w:space="0" w:color="auto"/>
              <w:right w:val="single" w:sz="4" w:space="0" w:color="auto"/>
            </w:tcBorders>
            <w:noWrap/>
            <w:vAlign w:val="bottom"/>
            <w:hideMark/>
          </w:tcPr>
          <w:p w14:paraId="0979BD5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4.2</w:t>
            </w:r>
          </w:p>
        </w:tc>
        <w:tc>
          <w:tcPr>
            <w:tcW w:w="851" w:type="dxa"/>
            <w:tcBorders>
              <w:top w:val="single" w:sz="4" w:space="0" w:color="auto"/>
              <w:left w:val="nil"/>
              <w:bottom w:val="single" w:sz="4" w:space="0" w:color="auto"/>
              <w:right w:val="single" w:sz="4" w:space="0" w:color="auto"/>
            </w:tcBorders>
            <w:noWrap/>
            <w:vAlign w:val="bottom"/>
            <w:hideMark/>
          </w:tcPr>
          <w:p w14:paraId="1E62151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3.8</w:t>
            </w:r>
          </w:p>
        </w:tc>
        <w:tc>
          <w:tcPr>
            <w:tcW w:w="850" w:type="dxa"/>
            <w:tcBorders>
              <w:top w:val="single" w:sz="4" w:space="0" w:color="auto"/>
              <w:left w:val="nil"/>
              <w:bottom w:val="single" w:sz="4" w:space="0" w:color="auto"/>
              <w:right w:val="single" w:sz="4" w:space="0" w:color="auto"/>
            </w:tcBorders>
            <w:noWrap/>
            <w:vAlign w:val="bottom"/>
            <w:hideMark/>
          </w:tcPr>
          <w:p w14:paraId="33D0D7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709" w:type="dxa"/>
            <w:tcBorders>
              <w:top w:val="single" w:sz="4" w:space="0" w:color="auto"/>
              <w:left w:val="nil"/>
              <w:bottom w:val="single" w:sz="4" w:space="0" w:color="auto"/>
              <w:right w:val="single" w:sz="4" w:space="0" w:color="auto"/>
            </w:tcBorders>
            <w:noWrap/>
            <w:vAlign w:val="bottom"/>
            <w:hideMark/>
          </w:tcPr>
          <w:p w14:paraId="6DDC74F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594F0713"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856D1"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Meghalaya</w:t>
            </w:r>
          </w:p>
        </w:tc>
        <w:tc>
          <w:tcPr>
            <w:tcW w:w="818" w:type="dxa"/>
            <w:tcBorders>
              <w:top w:val="single" w:sz="4" w:space="0" w:color="auto"/>
              <w:left w:val="nil"/>
              <w:bottom w:val="single" w:sz="4" w:space="0" w:color="auto"/>
              <w:right w:val="single" w:sz="4" w:space="0" w:color="auto"/>
            </w:tcBorders>
            <w:noWrap/>
            <w:vAlign w:val="bottom"/>
            <w:hideMark/>
          </w:tcPr>
          <w:p w14:paraId="60E767E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3.9</w:t>
            </w:r>
          </w:p>
        </w:tc>
        <w:tc>
          <w:tcPr>
            <w:tcW w:w="787" w:type="dxa"/>
            <w:tcBorders>
              <w:top w:val="single" w:sz="4" w:space="0" w:color="auto"/>
              <w:left w:val="nil"/>
              <w:bottom w:val="single" w:sz="4" w:space="0" w:color="auto"/>
              <w:right w:val="single" w:sz="4" w:space="0" w:color="auto"/>
            </w:tcBorders>
            <w:noWrap/>
            <w:vAlign w:val="bottom"/>
            <w:hideMark/>
          </w:tcPr>
          <w:p w14:paraId="2889791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4.1</w:t>
            </w:r>
          </w:p>
        </w:tc>
        <w:tc>
          <w:tcPr>
            <w:tcW w:w="850" w:type="dxa"/>
            <w:tcBorders>
              <w:top w:val="single" w:sz="4" w:space="0" w:color="auto"/>
              <w:left w:val="nil"/>
              <w:bottom w:val="single" w:sz="4" w:space="0" w:color="auto"/>
              <w:right w:val="single" w:sz="4" w:space="0" w:color="auto"/>
            </w:tcBorders>
            <w:noWrap/>
            <w:vAlign w:val="bottom"/>
            <w:hideMark/>
          </w:tcPr>
          <w:p w14:paraId="3CF7F480"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851" w:type="dxa"/>
            <w:tcBorders>
              <w:top w:val="single" w:sz="4" w:space="0" w:color="auto"/>
              <w:left w:val="nil"/>
              <w:bottom w:val="single" w:sz="4" w:space="0" w:color="auto"/>
              <w:right w:val="single" w:sz="4" w:space="0" w:color="auto"/>
            </w:tcBorders>
            <w:noWrap/>
            <w:vAlign w:val="bottom"/>
            <w:hideMark/>
          </w:tcPr>
          <w:p w14:paraId="0F6B975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4.2</w:t>
            </w:r>
          </w:p>
        </w:tc>
        <w:tc>
          <w:tcPr>
            <w:tcW w:w="850" w:type="dxa"/>
            <w:tcBorders>
              <w:top w:val="single" w:sz="4" w:space="0" w:color="auto"/>
              <w:left w:val="nil"/>
              <w:bottom w:val="single" w:sz="4" w:space="0" w:color="auto"/>
              <w:right w:val="single" w:sz="4" w:space="0" w:color="auto"/>
            </w:tcBorders>
            <w:noWrap/>
            <w:vAlign w:val="bottom"/>
            <w:hideMark/>
          </w:tcPr>
          <w:p w14:paraId="2D9A7B7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4.3</w:t>
            </w:r>
          </w:p>
        </w:tc>
        <w:tc>
          <w:tcPr>
            <w:tcW w:w="851" w:type="dxa"/>
            <w:tcBorders>
              <w:top w:val="single" w:sz="4" w:space="0" w:color="auto"/>
              <w:left w:val="nil"/>
              <w:bottom w:val="single" w:sz="4" w:space="0" w:color="auto"/>
              <w:right w:val="single" w:sz="4" w:space="0" w:color="auto"/>
            </w:tcBorders>
            <w:noWrap/>
            <w:vAlign w:val="bottom"/>
            <w:hideMark/>
          </w:tcPr>
          <w:p w14:paraId="1A8046C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6.4</w:t>
            </w:r>
          </w:p>
        </w:tc>
        <w:tc>
          <w:tcPr>
            <w:tcW w:w="850" w:type="dxa"/>
            <w:tcBorders>
              <w:top w:val="single" w:sz="4" w:space="0" w:color="auto"/>
              <w:left w:val="nil"/>
              <w:bottom w:val="single" w:sz="4" w:space="0" w:color="auto"/>
              <w:right w:val="single" w:sz="4" w:space="0" w:color="auto"/>
            </w:tcBorders>
            <w:noWrap/>
            <w:vAlign w:val="bottom"/>
            <w:hideMark/>
          </w:tcPr>
          <w:p w14:paraId="4628D88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5.9</w:t>
            </w:r>
          </w:p>
        </w:tc>
        <w:tc>
          <w:tcPr>
            <w:tcW w:w="851" w:type="dxa"/>
            <w:tcBorders>
              <w:top w:val="single" w:sz="4" w:space="0" w:color="auto"/>
              <w:left w:val="nil"/>
              <w:bottom w:val="single" w:sz="4" w:space="0" w:color="auto"/>
              <w:right w:val="single" w:sz="4" w:space="0" w:color="auto"/>
            </w:tcBorders>
            <w:noWrap/>
            <w:vAlign w:val="bottom"/>
            <w:hideMark/>
          </w:tcPr>
          <w:p w14:paraId="2807736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5.4</w:t>
            </w:r>
          </w:p>
        </w:tc>
        <w:tc>
          <w:tcPr>
            <w:tcW w:w="850" w:type="dxa"/>
            <w:tcBorders>
              <w:top w:val="single" w:sz="4" w:space="0" w:color="auto"/>
              <w:left w:val="nil"/>
              <w:bottom w:val="single" w:sz="4" w:space="0" w:color="auto"/>
              <w:right w:val="single" w:sz="4" w:space="0" w:color="auto"/>
            </w:tcBorders>
            <w:noWrap/>
            <w:vAlign w:val="bottom"/>
            <w:hideMark/>
          </w:tcPr>
          <w:p w14:paraId="40E337B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c>
          <w:tcPr>
            <w:tcW w:w="709" w:type="dxa"/>
            <w:tcBorders>
              <w:top w:val="single" w:sz="4" w:space="0" w:color="auto"/>
              <w:left w:val="nil"/>
              <w:bottom w:val="single" w:sz="4" w:space="0" w:color="auto"/>
              <w:right w:val="single" w:sz="4" w:space="0" w:color="auto"/>
            </w:tcBorders>
            <w:noWrap/>
            <w:vAlign w:val="bottom"/>
            <w:hideMark/>
          </w:tcPr>
          <w:p w14:paraId="67DE617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r>
      <w:tr w:rsidR="00C638DA" w:rsidRPr="00C638DA" w14:paraId="4BC9B922"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F37BF"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Mizoram</w:t>
            </w:r>
          </w:p>
        </w:tc>
        <w:tc>
          <w:tcPr>
            <w:tcW w:w="818" w:type="dxa"/>
            <w:tcBorders>
              <w:top w:val="single" w:sz="4" w:space="0" w:color="auto"/>
              <w:left w:val="nil"/>
              <w:bottom w:val="single" w:sz="4" w:space="0" w:color="auto"/>
              <w:right w:val="single" w:sz="4" w:space="0" w:color="auto"/>
            </w:tcBorders>
            <w:noWrap/>
            <w:vAlign w:val="bottom"/>
            <w:hideMark/>
          </w:tcPr>
          <w:p w14:paraId="739A7E0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2.7</w:t>
            </w:r>
          </w:p>
        </w:tc>
        <w:tc>
          <w:tcPr>
            <w:tcW w:w="787" w:type="dxa"/>
            <w:tcBorders>
              <w:top w:val="single" w:sz="4" w:space="0" w:color="auto"/>
              <w:left w:val="nil"/>
              <w:bottom w:val="single" w:sz="4" w:space="0" w:color="auto"/>
              <w:right w:val="single" w:sz="4" w:space="0" w:color="auto"/>
            </w:tcBorders>
            <w:noWrap/>
            <w:vAlign w:val="bottom"/>
            <w:hideMark/>
          </w:tcPr>
          <w:p w14:paraId="08E235C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2.2</w:t>
            </w:r>
          </w:p>
        </w:tc>
        <w:tc>
          <w:tcPr>
            <w:tcW w:w="850" w:type="dxa"/>
            <w:tcBorders>
              <w:top w:val="single" w:sz="4" w:space="0" w:color="auto"/>
              <w:left w:val="nil"/>
              <w:bottom w:val="single" w:sz="4" w:space="0" w:color="auto"/>
              <w:right w:val="single" w:sz="4" w:space="0" w:color="auto"/>
            </w:tcBorders>
            <w:noWrap/>
            <w:vAlign w:val="bottom"/>
            <w:hideMark/>
          </w:tcPr>
          <w:p w14:paraId="6936D02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w:t>
            </w:r>
          </w:p>
        </w:tc>
        <w:tc>
          <w:tcPr>
            <w:tcW w:w="851" w:type="dxa"/>
            <w:tcBorders>
              <w:top w:val="single" w:sz="4" w:space="0" w:color="auto"/>
              <w:left w:val="nil"/>
              <w:bottom w:val="single" w:sz="4" w:space="0" w:color="auto"/>
              <w:right w:val="single" w:sz="4" w:space="0" w:color="auto"/>
            </w:tcBorders>
            <w:noWrap/>
            <w:vAlign w:val="bottom"/>
            <w:hideMark/>
          </w:tcPr>
          <w:p w14:paraId="76DCBB2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2.4</w:t>
            </w:r>
          </w:p>
        </w:tc>
        <w:tc>
          <w:tcPr>
            <w:tcW w:w="850" w:type="dxa"/>
            <w:tcBorders>
              <w:top w:val="single" w:sz="4" w:space="0" w:color="auto"/>
              <w:left w:val="nil"/>
              <w:bottom w:val="single" w:sz="4" w:space="0" w:color="auto"/>
              <w:right w:val="single" w:sz="4" w:space="0" w:color="auto"/>
            </w:tcBorders>
            <w:noWrap/>
            <w:vAlign w:val="bottom"/>
            <w:hideMark/>
          </w:tcPr>
          <w:p w14:paraId="0D05274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2.6</w:t>
            </w:r>
          </w:p>
        </w:tc>
        <w:tc>
          <w:tcPr>
            <w:tcW w:w="851" w:type="dxa"/>
            <w:tcBorders>
              <w:top w:val="single" w:sz="4" w:space="0" w:color="auto"/>
              <w:left w:val="nil"/>
              <w:bottom w:val="single" w:sz="4" w:space="0" w:color="auto"/>
              <w:right w:val="single" w:sz="4" w:space="0" w:color="auto"/>
            </w:tcBorders>
            <w:noWrap/>
            <w:vAlign w:val="bottom"/>
            <w:hideMark/>
          </w:tcPr>
          <w:p w14:paraId="19C0B3B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4.4</w:t>
            </w:r>
          </w:p>
        </w:tc>
        <w:tc>
          <w:tcPr>
            <w:tcW w:w="850" w:type="dxa"/>
            <w:tcBorders>
              <w:top w:val="single" w:sz="4" w:space="0" w:color="auto"/>
              <w:left w:val="nil"/>
              <w:bottom w:val="single" w:sz="4" w:space="0" w:color="auto"/>
              <w:right w:val="single" w:sz="4" w:space="0" w:color="auto"/>
            </w:tcBorders>
            <w:noWrap/>
            <w:vAlign w:val="bottom"/>
            <w:hideMark/>
          </w:tcPr>
          <w:p w14:paraId="10BB8D6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3.6</w:t>
            </w:r>
          </w:p>
        </w:tc>
        <w:tc>
          <w:tcPr>
            <w:tcW w:w="851" w:type="dxa"/>
            <w:tcBorders>
              <w:top w:val="single" w:sz="4" w:space="0" w:color="auto"/>
              <w:left w:val="nil"/>
              <w:bottom w:val="single" w:sz="4" w:space="0" w:color="auto"/>
              <w:right w:val="single" w:sz="4" w:space="0" w:color="auto"/>
            </w:tcBorders>
            <w:noWrap/>
            <w:vAlign w:val="bottom"/>
            <w:hideMark/>
          </w:tcPr>
          <w:p w14:paraId="062BC5E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3.5</w:t>
            </w:r>
          </w:p>
        </w:tc>
        <w:tc>
          <w:tcPr>
            <w:tcW w:w="850" w:type="dxa"/>
            <w:tcBorders>
              <w:top w:val="single" w:sz="4" w:space="0" w:color="auto"/>
              <w:left w:val="nil"/>
              <w:bottom w:val="single" w:sz="4" w:space="0" w:color="auto"/>
              <w:right w:val="single" w:sz="4" w:space="0" w:color="auto"/>
            </w:tcBorders>
            <w:noWrap/>
            <w:vAlign w:val="bottom"/>
            <w:hideMark/>
          </w:tcPr>
          <w:p w14:paraId="585374C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3.7</w:t>
            </w:r>
          </w:p>
        </w:tc>
        <w:tc>
          <w:tcPr>
            <w:tcW w:w="709" w:type="dxa"/>
            <w:tcBorders>
              <w:top w:val="single" w:sz="4" w:space="0" w:color="auto"/>
              <w:left w:val="nil"/>
              <w:bottom w:val="single" w:sz="4" w:space="0" w:color="auto"/>
              <w:right w:val="single" w:sz="4" w:space="0" w:color="auto"/>
            </w:tcBorders>
            <w:noWrap/>
            <w:vAlign w:val="bottom"/>
            <w:hideMark/>
          </w:tcPr>
          <w:p w14:paraId="14B3AB9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0CFD6338"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036EE"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Nagaland</w:t>
            </w:r>
          </w:p>
        </w:tc>
        <w:tc>
          <w:tcPr>
            <w:tcW w:w="818" w:type="dxa"/>
            <w:tcBorders>
              <w:top w:val="single" w:sz="4" w:space="0" w:color="auto"/>
              <w:left w:val="nil"/>
              <w:bottom w:val="single" w:sz="4" w:space="0" w:color="auto"/>
              <w:right w:val="single" w:sz="4" w:space="0" w:color="auto"/>
            </w:tcBorders>
            <w:noWrap/>
            <w:vAlign w:val="bottom"/>
            <w:hideMark/>
          </w:tcPr>
          <w:p w14:paraId="12D7F95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2.4</w:t>
            </w:r>
          </w:p>
        </w:tc>
        <w:tc>
          <w:tcPr>
            <w:tcW w:w="787" w:type="dxa"/>
            <w:tcBorders>
              <w:top w:val="single" w:sz="4" w:space="0" w:color="auto"/>
              <w:left w:val="nil"/>
              <w:bottom w:val="single" w:sz="4" w:space="0" w:color="auto"/>
              <w:right w:val="single" w:sz="4" w:space="0" w:color="auto"/>
            </w:tcBorders>
            <w:noWrap/>
            <w:vAlign w:val="bottom"/>
            <w:hideMark/>
          </w:tcPr>
          <w:p w14:paraId="02845C6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w:t>
            </w:r>
          </w:p>
        </w:tc>
        <w:tc>
          <w:tcPr>
            <w:tcW w:w="850" w:type="dxa"/>
            <w:tcBorders>
              <w:top w:val="single" w:sz="4" w:space="0" w:color="auto"/>
              <w:left w:val="nil"/>
              <w:bottom w:val="single" w:sz="4" w:space="0" w:color="auto"/>
              <w:right w:val="single" w:sz="4" w:space="0" w:color="auto"/>
            </w:tcBorders>
            <w:noWrap/>
            <w:vAlign w:val="bottom"/>
            <w:hideMark/>
          </w:tcPr>
          <w:p w14:paraId="2AD9122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2.1</w:t>
            </w:r>
          </w:p>
        </w:tc>
        <w:tc>
          <w:tcPr>
            <w:tcW w:w="851" w:type="dxa"/>
            <w:tcBorders>
              <w:top w:val="single" w:sz="4" w:space="0" w:color="auto"/>
              <w:left w:val="nil"/>
              <w:bottom w:val="single" w:sz="4" w:space="0" w:color="auto"/>
              <w:right w:val="single" w:sz="4" w:space="0" w:color="auto"/>
            </w:tcBorders>
            <w:noWrap/>
            <w:vAlign w:val="bottom"/>
            <w:hideMark/>
          </w:tcPr>
          <w:p w14:paraId="6499B03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2.2</w:t>
            </w:r>
          </w:p>
        </w:tc>
        <w:tc>
          <w:tcPr>
            <w:tcW w:w="850" w:type="dxa"/>
            <w:tcBorders>
              <w:top w:val="single" w:sz="4" w:space="0" w:color="auto"/>
              <w:left w:val="nil"/>
              <w:bottom w:val="single" w:sz="4" w:space="0" w:color="auto"/>
              <w:right w:val="single" w:sz="4" w:space="0" w:color="auto"/>
            </w:tcBorders>
            <w:noWrap/>
            <w:vAlign w:val="bottom"/>
            <w:hideMark/>
          </w:tcPr>
          <w:p w14:paraId="770932B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2.4</w:t>
            </w:r>
          </w:p>
        </w:tc>
        <w:tc>
          <w:tcPr>
            <w:tcW w:w="851" w:type="dxa"/>
            <w:tcBorders>
              <w:top w:val="single" w:sz="4" w:space="0" w:color="auto"/>
              <w:left w:val="nil"/>
              <w:bottom w:val="single" w:sz="4" w:space="0" w:color="auto"/>
              <w:right w:val="single" w:sz="4" w:space="0" w:color="auto"/>
            </w:tcBorders>
            <w:noWrap/>
            <w:vAlign w:val="bottom"/>
            <w:hideMark/>
          </w:tcPr>
          <w:p w14:paraId="36EBC4C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850" w:type="dxa"/>
            <w:tcBorders>
              <w:top w:val="single" w:sz="4" w:space="0" w:color="auto"/>
              <w:left w:val="nil"/>
              <w:bottom w:val="single" w:sz="4" w:space="0" w:color="auto"/>
              <w:right w:val="single" w:sz="4" w:space="0" w:color="auto"/>
            </w:tcBorders>
            <w:noWrap/>
            <w:vAlign w:val="bottom"/>
            <w:hideMark/>
          </w:tcPr>
          <w:p w14:paraId="0DE859D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3.5</w:t>
            </w:r>
          </w:p>
        </w:tc>
        <w:tc>
          <w:tcPr>
            <w:tcW w:w="851" w:type="dxa"/>
            <w:tcBorders>
              <w:top w:val="single" w:sz="4" w:space="0" w:color="auto"/>
              <w:left w:val="nil"/>
              <w:bottom w:val="single" w:sz="4" w:space="0" w:color="auto"/>
              <w:right w:val="single" w:sz="4" w:space="0" w:color="auto"/>
            </w:tcBorders>
            <w:noWrap/>
            <w:vAlign w:val="bottom"/>
            <w:hideMark/>
          </w:tcPr>
          <w:p w14:paraId="25CC31C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3.2</w:t>
            </w:r>
          </w:p>
        </w:tc>
        <w:tc>
          <w:tcPr>
            <w:tcW w:w="850" w:type="dxa"/>
            <w:tcBorders>
              <w:top w:val="single" w:sz="4" w:space="0" w:color="auto"/>
              <w:left w:val="nil"/>
              <w:bottom w:val="single" w:sz="4" w:space="0" w:color="auto"/>
              <w:right w:val="single" w:sz="4" w:space="0" w:color="auto"/>
            </w:tcBorders>
            <w:noWrap/>
            <w:vAlign w:val="bottom"/>
            <w:hideMark/>
          </w:tcPr>
          <w:p w14:paraId="259E658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3.1</w:t>
            </w:r>
          </w:p>
        </w:tc>
        <w:tc>
          <w:tcPr>
            <w:tcW w:w="709" w:type="dxa"/>
            <w:tcBorders>
              <w:top w:val="single" w:sz="4" w:space="0" w:color="auto"/>
              <w:left w:val="nil"/>
              <w:bottom w:val="single" w:sz="4" w:space="0" w:color="auto"/>
              <w:right w:val="single" w:sz="4" w:space="0" w:color="auto"/>
            </w:tcBorders>
            <w:noWrap/>
            <w:vAlign w:val="bottom"/>
            <w:hideMark/>
          </w:tcPr>
          <w:p w14:paraId="48A8C0E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156D0D98"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D41423"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Sikkim</w:t>
            </w:r>
          </w:p>
        </w:tc>
        <w:tc>
          <w:tcPr>
            <w:tcW w:w="818" w:type="dxa"/>
            <w:tcBorders>
              <w:top w:val="single" w:sz="4" w:space="0" w:color="auto"/>
              <w:left w:val="nil"/>
              <w:bottom w:val="single" w:sz="4" w:space="0" w:color="auto"/>
              <w:right w:val="single" w:sz="4" w:space="0" w:color="auto"/>
            </w:tcBorders>
            <w:noWrap/>
            <w:vAlign w:val="bottom"/>
            <w:hideMark/>
          </w:tcPr>
          <w:p w14:paraId="361576C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3.5</w:t>
            </w:r>
          </w:p>
        </w:tc>
        <w:tc>
          <w:tcPr>
            <w:tcW w:w="787" w:type="dxa"/>
            <w:tcBorders>
              <w:top w:val="single" w:sz="4" w:space="0" w:color="auto"/>
              <w:left w:val="nil"/>
              <w:bottom w:val="single" w:sz="4" w:space="0" w:color="auto"/>
              <w:right w:val="single" w:sz="4" w:space="0" w:color="auto"/>
            </w:tcBorders>
            <w:noWrap/>
            <w:vAlign w:val="bottom"/>
            <w:hideMark/>
          </w:tcPr>
          <w:p w14:paraId="707A981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3.8</w:t>
            </w:r>
          </w:p>
        </w:tc>
        <w:tc>
          <w:tcPr>
            <w:tcW w:w="850" w:type="dxa"/>
            <w:tcBorders>
              <w:top w:val="single" w:sz="4" w:space="0" w:color="auto"/>
              <w:left w:val="nil"/>
              <w:bottom w:val="single" w:sz="4" w:space="0" w:color="auto"/>
              <w:right w:val="single" w:sz="4" w:space="0" w:color="auto"/>
            </w:tcBorders>
            <w:noWrap/>
            <w:vAlign w:val="bottom"/>
            <w:hideMark/>
          </w:tcPr>
          <w:p w14:paraId="2A28B3F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3.4</w:t>
            </w:r>
          </w:p>
        </w:tc>
        <w:tc>
          <w:tcPr>
            <w:tcW w:w="851" w:type="dxa"/>
            <w:tcBorders>
              <w:top w:val="single" w:sz="4" w:space="0" w:color="auto"/>
              <w:left w:val="nil"/>
              <w:bottom w:val="single" w:sz="4" w:space="0" w:color="auto"/>
              <w:right w:val="single" w:sz="4" w:space="0" w:color="auto"/>
            </w:tcBorders>
            <w:noWrap/>
            <w:vAlign w:val="bottom"/>
            <w:hideMark/>
          </w:tcPr>
          <w:p w14:paraId="768D0B3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3.1</w:t>
            </w:r>
          </w:p>
        </w:tc>
        <w:tc>
          <w:tcPr>
            <w:tcW w:w="850" w:type="dxa"/>
            <w:tcBorders>
              <w:top w:val="single" w:sz="4" w:space="0" w:color="auto"/>
              <w:left w:val="nil"/>
              <w:bottom w:val="single" w:sz="4" w:space="0" w:color="auto"/>
              <w:right w:val="single" w:sz="4" w:space="0" w:color="auto"/>
            </w:tcBorders>
            <w:noWrap/>
            <w:vAlign w:val="bottom"/>
            <w:hideMark/>
          </w:tcPr>
          <w:p w14:paraId="1BF4C3F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3.2</w:t>
            </w:r>
          </w:p>
        </w:tc>
        <w:tc>
          <w:tcPr>
            <w:tcW w:w="851" w:type="dxa"/>
            <w:tcBorders>
              <w:top w:val="single" w:sz="4" w:space="0" w:color="auto"/>
              <w:left w:val="nil"/>
              <w:bottom w:val="single" w:sz="4" w:space="0" w:color="auto"/>
              <w:right w:val="single" w:sz="4" w:space="0" w:color="auto"/>
            </w:tcBorders>
            <w:noWrap/>
            <w:vAlign w:val="bottom"/>
            <w:hideMark/>
          </w:tcPr>
          <w:p w14:paraId="180F3D3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3.6</w:t>
            </w:r>
          </w:p>
        </w:tc>
        <w:tc>
          <w:tcPr>
            <w:tcW w:w="850" w:type="dxa"/>
            <w:tcBorders>
              <w:top w:val="single" w:sz="4" w:space="0" w:color="auto"/>
              <w:left w:val="nil"/>
              <w:bottom w:val="single" w:sz="4" w:space="0" w:color="auto"/>
              <w:right w:val="single" w:sz="4" w:space="0" w:color="auto"/>
            </w:tcBorders>
            <w:noWrap/>
            <w:vAlign w:val="bottom"/>
            <w:hideMark/>
          </w:tcPr>
          <w:p w14:paraId="1BAD2AD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3.3</w:t>
            </w:r>
          </w:p>
        </w:tc>
        <w:tc>
          <w:tcPr>
            <w:tcW w:w="851" w:type="dxa"/>
            <w:tcBorders>
              <w:top w:val="single" w:sz="4" w:space="0" w:color="auto"/>
              <w:left w:val="nil"/>
              <w:bottom w:val="single" w:sz="4" w:space="0" w:color="auto"/>
              <w:right w:val="single" w:sz="4" w:space="0" w:color="auto"/>
            </w:tcBorders>
            <w:noWrap/>
            <w:vAlign w:val="bottom"/>
            <w:hideMark/>
          </w:tcPr>
          <w:p w14:paraId="5D50961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3.1</w:t>
            </w:r>
          </w:p>
        </w:tc>
        <w:tc>
          <w:tcPr>
            <w:tcW w:w="850" w:type="dxa"/>
            <w:tcBorders>
              <w:top w:val="single" w:sz="4" w:space="0" w:color="auto"/>
              <w:left w:val="nil"/>
              <w:bottom w:val="single" w:sz="4" w:space="0" w:color="auto"/>
              <w:right w:val="single" w:sz="4" w:space="0" w:color="auto"/>
            </w:tcBorders>
            <w:noWrap/>
            <w:vAlign w:val="bottom"/>
            <w:hideMark/>
          </w:tcPr>
          <w:p w14:paraId="779A444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2.8</w:t>
            </w:r>
          </w:p>
        </w:tc>
        <w:tc>
          <w:tcPr>
            <w:tcW w:w="709" w:type="dxa"/>
            <w:tcBorders>
              <w:top w:val="single" w:sz="4" w:space="0" w:color="auto"/>
              <w:left w:val="nil"/>
              <w:bottom w:val="single" w:sz="4" w:space="0" w:color="auto"/>
              <w:right w:val="single" w:sz="4" w:space="0" w:color="auto"/>
            </w:tcBorders>
            <w:noWrap/>
            <w:vAlign w:val="bottom"/>
            <w:hideMark/>
          </w:tcPr>
          <w:p w14:paraId="743AF8F0"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3.2</w:t>
            </w:r>
          </w:p>
        </w:tc>
      </w:tr>
      <w:tr w:rsidR="00C638DA" w:rsidRPr="00C638DA" w14:paraId="119543E1"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F442F"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Tripura</w:t>
            </w:r>
          </w:p>
        </w:tc>
        <w:tc>
          <w:tcPr>
            <w:tcW w:w="818" w:type="dxa"/>
            <w:tcBorders>
              <w:top w:val="single" w:sz="4" w:space="0" w:color="auto"/>
              <w:left w:val="nil"/>
              <w:bottom w:val="single" w:sz="4" w:space="0" w:color="auto"/>
              <w:right w:val="single" w:sz="4" w:space="0" w:color="auto"/>
            </w:tcBorders>
            <w:noWrap/>
            <w:vAlign w:val="bottom"/>
            <w:hideMark/>
          </w:tcPr>
          <w:p w14:paraId="45D768E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4.6</w:t>
            </w:r>
          </w:p>
        </w:tc>
        <w:tc>
          <w:tcPr>
            <w:tcW w:w="787" w:type="dxa"/>
            <w:tcBorders>
              <w:top w:val="single" w:sz="4" w:space="0" w:color="auto"/>
              <w:left w:val="nil"/>
              <w:bottom w:val="single" w:sz="4" w:space="0" w:color="auto"/>
              <w:right w:val="single" w:sz="4" w:space="0" w:color="auto"/>
            </w:tcBorders>
            <w:noWrap/>
            <w:vAlign w:val="bottom"/>
            <w:hideMark/>
          </w:tcPr>
          <w:p w14:paraId="73DF8D9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4.2</w:t>
            </w:r>
          </w:p>
        </w:tc>
        <w:tc>
          <w:tcPr>
            <w:tcW w:w="850" w:type="dxa"/>
            <w:tcBorders>
              <w:top w:val="single" w:sz="4" w:space="0" w:color="auto"/>
              <w:left w:val="nil"/>
              <w:bottom w:val="single" w:sz="4" w:space="0" w:color="auto"/>
              <w:right w:val="single" w:sz="4" w:space="0" w:color="auto"/>
            </w:tcBorders>
            <w:noWrap/>
            <w:vAlign w:val="bottom"/>
            <w:hideMark/>
          </w:tcPr>
          <w:p w14:paraId="62473AA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851" w:type="dxa"/>
            <w:tcBorders>
              <w:top w:val="single" w:sz="4" w:space="0" w:color="auto"/>
              <w:left w:val="nil"/>
              <w:bottom w:val="single" w:sz="4" w:space="0" w:color="auto"/>
              <w:right w:val="single" w:sz="4" w:space="0" w:color="auto"/>
            </w:tcBorders>
            <w:noWrap/>
            <w:vAlign w:val="bottom"/>
            <w:hideMark/>
          </w:tcPr>
          <w:p w14:paraId="61A336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3.7</w:t>
            </w:r>
          </w:p>
        </w:tc>
        <w:tc>
          <w:tcPr>
            <w:tcW w:w="850" w:type="dxa"/>
            <w:tcBorders>
              <w:top w:val="single" w:sz="4" w:space="0" w:color="auto"/>
              <w:left w:val="nil"/>
              <w:bottom w:val="single" w:sz="4" w:space="0" w:color="auto"/>
              <w:right w:val="single" w:sz="4" w:space="0" w:color="auto"/>
            </w:tcBorders>
            <w:noWrap/>
            <w:vAlign w:val="bottom"/>
            <w:hideMark/>
          </w:tcPr>
          <w:p w14:paraId="4D63083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3.6</w:t>
            </w:r>
          </w:p>
        </w:tc>
        <w:tc>
          <w:tcPr>
            <w:tcW w:w="851" w:type="dxa"/>
            <w:tcBorders>
              <w:top w:val="single" w:sz="4" w:space="0" w:color="auto"/>
              <w:left w:val="nil"/>
              <w:bottom w:val="single" w:sz="4" w:space="0" w:color="auto"/>
              <w:right w:val="single" w:sz="4" w:space="0" w:color="auto"/>
            </w:tcBorders>
            <w:noWrap/>
            <w:vAlign w:val="bottom"/>
            <w:hideMark/>
          </w:tcPr>
          <w:p w14:paraId="6B3ED69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4.3</w:t>
            </w:r>
          </w:p>
        </w:tc>
        <w:tc>
          <w:tcPr>
            <w:tcW w:w="850" w:type="dxa"/>
            <w:tcBorders>
              <w:top w:val="single" w:sz="4" w:space="0" w:color="auto"/>
              <w:left w:val="nil"/>
              <w:bottom w:val="single" w:sz="4" w:space="0" w:color="auto"/>
              <w:right w:val="single" w:sz="4" w:space="0" w:color="auto"/>
            </w:tcBorders>
            <w:noWrap/>
            <w:vAlign w:val="bottom"/>
            <w:hideMark/>
          </w:tcPr>
          <w:p w14:paraId="64BBF41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3.7</w:t>
            </w:r>
          </w:p>
        </w:tc>
        <w:tc>
          <w:tcPr>
            <w:tcW w:w="851" w:type="dxa"/>
            <w:tcBorders>
              <w:top w:val="single" w:sz="4" w:space="0" w:color="auto"/>
              <w:left w:val="nil"/>
              <w:bottom w:val="single" w:sz="4" w:space="0" w:color="auto"/>
              <w:right w:val="single" w:sz="4" w:space="0" w:color="auto"/>
            </w:tcBorders>
            <w:noWrap/>
            <w:vAlign w:val="bottom"/>
            <w:hideMark/>
          </w:tcPr>
          <w:p w14:paraId="198FF2E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3.9</w:t>
            </w:r>
          </w:p>
        </w:tc>
        <w:tc>
          <w:tcPr>
            <w:tcW w:w="850" w:type="dxa"/>
            <w:tcBorders>
              <w:top w:val="single" w:sz="4" w:space="0" w:color="auto"/>
              <w:left w:val="nil"/>
              <w:bottom w:val="single" w:sz="4" w:space="0" w:color="auto"/>
              <w:right w:val="single" w:sz="4" w:space="0" w:color="auto"/>
            </w:tcBorders>
            <w:noWrap/>
            <w:vAlign w:val="bottom"/>
            <w:hideMark/>
          </w:tcPr>
          <w:p w14:paraId="4265FB2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709" w:type="dxa"/>
            <w:tcBorders>
              <w:top w:val="single" w:sz="4" w:space="0" w:color="auto"/>
              <w:left w:val="nil"/>
              <w:bottom w:val="single" w:sz="4" w:space="0" w:color="auto"/>
              <w:right w:val="single" w:sz="4" w:space="0" w:color="auto"/>
            </w:tcBorders>
            <w:noWrap/>
            <w:vAlign w:val="bottom"/>
            <w:hideMark/>
          </w:tcPr>
          <w:p w14:paraId="5D61F2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3.7</w:t>
            </w:r>
          </w:p>
        </w:tc>
      </w:tr>
      <w:tr w:rsidR="00C638DA" w:rsidRPr="00C638DA" w14:paraId="0E2C6D6B"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9CECE"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Uttarakhand</w:t>
            </w:r>
          </w:p>
        </w:tc>
        <w:tc>
          <w:tcPr>
            <w:tcW w:w="818" w:type="dxa"/>
            <w:tcBorders>
              <w:top w:val="single" w:sz="4" w:space="0" w:color="auto"/>
              <w:left w:val="nil"/>
              <w:bottom w:val="single" w:sz="4" w:space="0" w:color="auto"/>
              <w:right w:val="single" w:sz="4" w:space="0" w:color="auto"/>
            </w:tcBorders>
            <w:noWrap/>
            <w:vAlign w:val="bottom"/>
            <w:hideMark/>
          </w:tcPr>
          <w:p w14:paraId="5E5F73E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787" w:type="dxa"/>
            <w:tcBorders>
              <w:top w:val="single" w:sz="4" w:space="0" w:color="auto"/>
              <w:left w:val="nil"/>
              <w:bottom w:val="single" w:sz="4" w:space="0" w:color="auto"/>
              <w:right w:val="single" w:sz="4" w:space="0" w:color="auto"/>
            </w:tcBorders>
            <w:noWrap/>
            <w:vAlign w:val="bottom"/>
            <w:hideMark/>
          </w:tcPr>
          <w:p w14:paraId="0EEF22B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0" w:type="dxa"/>
            <w:tcBorders>
              <w:top w:val="single" w:sz="4" w:space="0" w:color="auto"/>
              <w:left w:val="nil"/>
              <w:bottom w:val="single" w:sz="4" w:space="0" w:color="auto"/>
              <w:right w:val="single" w:sz="4" w:space="0" w:color="auto"/>
            </w:tcBorders>
            <w:noWrap/>
            <w:vAlign w:val="bottom"/>
            <w:hideMark/>
          </w:tcPr>
          <w:p w14:paraId="0712A0B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5.2</w:t>
            </w:r>
          </w:p>
        </w:tc>
        <w:tc>
          <w:tcPr>
            <w:tcW w:w="851" w:type="dxa"/>
            <w:tcBorders>
              <w:top w:val="single" w:sz="4" w:space="0" w:color="auto"/>
              <w:left w:val="nil"/>
              <w:bottom w:val="single" w:sz="4" w:space="0" w:color="auto"/>
              <w:right w:val="single" w:sz="4" w:space="0" w:color="auto"/>
            </w:tcBorders>
            <w:noWrap/>
            <w:vAlign w:val="bottom"/>
            <w:hideMark/>
          </w:tcPr>
          <w:p w14:paraId="70AD549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5.3</w:t>
            </w:r>
          </w:p>
        </w:tc>
        <w:tc>
          <w:tcPr>
            <w:tcW w:w="850" w:type="dxa"/>
            <w:tcBorders>
              <w:top w:val="single" w:sz="4" w:space="0" w:color="auto"/>
              <w:left w:val="nil"/>
              <w:bottom w:val="single" w:sz="4" w:space="0" w:color="auto"/>
              <w:right w:val="single" w:sz="4" w:space="0" w:color="auto"/>
            </w:tcBorders>
            <w:noWrap/>
            <w:vAlign w:val="bottom"/>
            <w:hideMark/>
          </w:tcPr>
          <w:p w14:paraId="44930E3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5.6</w:t>
            </w:r>
          </w:p>
        </w:tc>
        <w:tc>
          <w:tcPr>
            <w:tcW w:w="851" w:type="dxa"/>
            <w:tcBorders>
              <w:top w:val="single" w:sz="4" w:space="0" w:color="auto"/>
              <w:left w:val="nil"/>
              <w:bottom w:val="single" w:sz="4" w:space="0" w:color="auto"/>
              <w:right w:val="single" w:sz="4" w:space="0" w:color="auto"/>
            </w:tcBorders>
            <w:noWrap/>
            <w:vAlign w:val="bottom"/>
            <w:hideMark/>
          </w:tcPr>
          <w:p w14:paraId="5894C9B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0" w:type="dxa"/>
            <w:tcBorders>
              <w:top w:val="single" w:sz="4" w:space="0" w:color="auto"/>
              <w:left w:val="nil"/>
              <w:bottom w:val="single" w:sz="4" w:space="0" w:color="auto"/>
              <w:right w:val="single" w:sz="4" w:space="0" w:color="auto"/>
            </w:tcBorders>
            <w:noWrap/>
            <w:vAlign w:val="bottom"/>
            <w:hideMark/>
          </w:tcPr>
          <w:p w14:paraId="5F0B4FB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5.4</w:t>
            </w:r>
          </w:p>
        </w:tc>
        <w:tc>
          <w:tcPr>
            <w:tcW w:w="851" w:type="dxa"/>
            <w:tcBorders>
              <w:top w:val="single" w:sz="4" w:space="0" w:color="auto"/>
              <w:left w:val="nil"/>
              <w:bottom w:val="single" w:sz="4" w:space="0" w:color="auto"/>
              <w:right w:val="single" w:sz="4" w:space="0" w:color="auto"/>
            </w:tcBorders>
            <w:noWrap/>
            <w:vAlign w:val="bottom"/>
            <w:hideMark/>
          </w:tcPr>
          <w:p w14:paraId="4FFEF2D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0" w:type="dxa"/>
            <w:tcBorders>
              <w:top w:val="single" w:sz="4" w:space="0" w:color="auto"/>
              <w:left w:val="nil"/>
              <w:bottom w:val="single" w:sz="4" w:space="0" w:color="auto"/>
              <w:right w:val="single" w:sz="4" w:space="0" w:color="auto"/>
            </w:tcBorders>
            <w:noWrap/>
            <w:vAlign w:val="bottom"/>
            <w:hideMark/>
          </w:tcPr>
          <w:p w14:paraId="02B6A1C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4.6</w:t>
            </w:r>
          </w:p>
        </w:tc>
        <w:tc>
          <w:tcPr>
            <w:tcW w:w="709" w:type="dxa"/>
            <w:tcBorders>
              <w:top w:val="single" w:sz="4" w:space="0" w:color="auto"/>
              <w:left w:val="nil"/>
              <w:bottom w:val="single" w:sz="4" w:space="0" w:color="auto"/>
              <w:right w:val="single" w:sz="4" w:space="0" w:color="auto"/>
            </w:tcBorders>
            <w:noWrap/>
            <w:vAlign w:val="bottom"/>
            <w:hideMark/>
          </w:tcPr>
          <w:p w14:paraId="336A402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5.0</w:t>
            </w:r>
          </w:p>
        </w:tc>
      </w:tr>
      <w:tr w:rsidR="00C638DA" w:rsidRPr="00C638DA" w14:paraId="33C83206" w14:textId="77777777" w:rsidTr="00CF3A28">
        <w:trPr>
          <w:trHeight w:val="347"/>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E6A67" w14:textId="769AD800"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Average OTR of SCS</w:t>
            </w:r>
            <w:r w:rsidR="001D0B67" w:rsidRPr="00C638DA">
              <w:rPr>
                <w:rFonts w:ascii="Times New Roman" w:eastAsia="Times New Roman" w:hAnsi="Times New Roman" w:cs="Times New Roman"/>
                <w:kern w:val="0"/>
                <w:lang w:eastAsia="en-IN"/>
                <w14:ligatures w14:val="none"/>
              </w:rPr>
              <w:t>s</w:t>
            </w:r>
            <w:r w:rsidRPr="00C638DA">
              <w:rPr>
                <w:rFonts w:ascii="Times New Roman" w:eastAsia="Times New Roman" w:hAnsi="Times New Roman" w:cs="Times New Roman"/>
                <w:kern w:val="0"/>
                <w:lang w:eastAsia="en-IN"/>
                <w14:ligatures w14:val="none"/>
              </w:rPr>
              <w:t xml:space="preserve"> at Agg. Level</w:t>
            </w:r>
          </w:p>
        </w:tc>
        <w:tc>
          <w:tcPr>
            <w:tcW w:w="818" w:type="dxa"/>
            <w:tcBorders>
              <w:top w:val="single" w:sz="4" w:space="0" w:color="auto"/>
              <w:left w:val="nil"/>
              <w:bottom w:val="single" w:sz="4" w:space="0" w:color="auto"/>
              <w:right w:val="single" w:sz="4" w:space="0" w:color="auto"/>
            </w:tcBorders>
            <w:noWrap/>
            <w:vAlign w:val="bottom"/>
            <w:hideMark/>
          </w:tcPr>
          <w:p w14:paraId="7BF4C4A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5.1</w:t>
            </w:r>
          </w:p>
        </w:tc>
        <w:tc>
          <w:tcPr>
            <w:tcW w:w="787" w:type="dxa"/>
            <w:tcBorders>
              <w:top w:val="single" w:sz="4" w:space="0" w:color="auto"/>
              <w:left w:val="nil"/>
              <w:bottom w:val="single" w:sz="4" w:space="0" w:color="auto"/>
              <w:right w:val="single" w:sz="4" w:space="0" w:color="auto"/>
            </w:tcBorders>
            <w:noWrap/>
            <w:vAlign w:val="bottom"/>
            <w:hideMark/>
          </w:tcPr>
          <w:p w14:paraId="7829800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5.0</w:t>
            </w:r>
          </w:p>
        </w:tc>
        <w:tc>
          <w:tcPr>
            <w:tcW w:w="850" w:type="dxa"/>
            <w:tcBorders>
              <w:top w:val="single" w:sz="4" w:space="0" w:color="auto"/>
              <w:left w:val="nil"/>
              <w:bottom w:val="single" w:sz="4" w:space="0" w:color="auto"/>
              <w:right w:val="single" w:sz="4" w:space="0" w:color="auto"/>
            </w:tcBorders>
            <w:noWrap/>
            <w:vAlign w:val="bottom"/>
            <w:hideMark/>
          </w:tcPr>
          <w:p w14:paraId="6B21777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1" w:type="dxa"/>
            <w:tcBorders>
              <w:top w:val="single" w:sz="4" w:space="0" w:color="auto"/>
              <w:left w:val="nil"/>
              <w:bottom w:val="single" w:sz="4" w:space="0" w:color="auto"/>
              <w:right w:val="single" w:sz="4" w:space="0" w:color="auto"/>
            </w:tcBorders>
            <w:noWrap/>
            <w:vAlign w:val="bottom"/>
            <w:hideMark/>
          </w:tcPr>
          <w:p w14:paraId="7DF0F1D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0" w:type="dxa"/>
            <w:tcBorders>
              <w:top w:val="single" w:sz="4" w:space="0" w:color="auto"/>
              <w:left w:val="nil"/>
              <w:bottom w:val="single" w:sz="4" w:space="0" w:color="auto"/>
              <w:right w:val="single" w:sz="4" w:space="0" w:color="auto"/>
            </w:tcBorders>
            <w:noWrap/>
            <w:vAlign w:val="bottom"/>
            <w:hideMark/>
          </w:tcPr>
          <w:p w14:paraId="1F7B78D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5.0</w:t>
            </w:r>
          </w:p>
        </w:tc>
        <w:tc>
          <w:tcPr>
            <w:tcW w:w="851" w:type="dxa"/>
            <w:tcBorders>
              <w:top w:val="single" w:sz="4" w:space="0" w:color="auto"/>
              <w:left w:val="nil"/>
              <w:bottom w:val="single" w:sz="4" w:space="0" w:color="auto"/>
              <w:right w:val="single" w:sz="4" w:space="0" w:color="auto"/>
            </w:tcBorders>
            <w:noWrap/>
            <w:vAlign w:val="bottom"/>
            <w:hideMark/>
          </w:tcPr>
          <w:p w14:paraId="5ED7839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5.6</w:t>
            </w:r>
          </w:p>
        </w:tc>
        <w:tc>
          <w:tcPr>
            <w:tcW w:w="850" w:type="dxa"/>
            <w:tcBorders>
              <w:top w:val="single" w:sz="4" w:space="0" w:color="auto"/>
              <w:left w:val="nil"/>
              <w:bottom w:val="single" w:sz="4" w:space="0" w:color="auto"/>
              <w:right w:val="single" w:sz="4" w:space="0" w:color="auto"/>
            </w:tcBorders>
            <w:noWrap/>
            <w:vAlign w:val="bottom"/>
            <w:hideMark/>
          </w:tcPr>
          <w:p w14:paraId="0CDFBCC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5.2</w:t>
            </w:r>
          </w:p>
        </w:tc>
        <w:tc>
          <w:tcPr>
            <w:tcW w:w="851" w:type="dxa"/>
            <w:tcBorders>
              <w:top w:val="single" w:sz="4" w:space="0" w:color="auto"/>
              <w:left w:val="nil"/>
              <w:bottom w:val="single" w:sz="4" w:space="0" w:color="auto"/>
              <w:right w:val="single" w:sz="4" w:space="0" w:color="auto"/>
            </w:tcBorders>
            <w:noWrap/>
            <w:vAlign w:val="bottom"/>
            <w:hideMark/>
          </w:tcPr>
          <w:p w14:paraId="7E5ADDD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850" w:type="dxa"/>
            <w:tcBorders>
              <w:top w:val="single" w:sz="4" w:space="0" w:color="auto"/>
              <w:left w:val="nil"/>
              <w:bottom w:val="single" w:sz="4" w:space="0" w:color="auto"/>
              <w:right w:val="single" w:sz="4" w:space="0" w:color="auto"/>
            </w:tcBorders>
            <w:noWrap/>
            <w:vAlign w:val="bottom"/>
            <w:hideMark/>
          </w:tcPr>
          <w:p w14:paraId="7EFE358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5.1</w:t>
            </w:r>
          </w:p>
        </w:tc>
        <w:tc>
          <w:tcPr>
            <w:tcW w:w="709" w:type="dxa"/>
            <w:tcBorders>
              <w:top w:val="single" w:sz="4" w:space="0" w:color="auto"/>
              <w:left w:val="nil"/>
              <w:bottom w:val="single" w:sz="4" w:space="0" w:color="auto"/>
              <w:right w:val="single" w:sz="4" w:space="0" w:color="auto"/>
            </w:tcBorders>
            <w:noWrap/>
            <w:vAlign w:val="bottom"/>
            <w:hideMark/>
          </w:tcPr>
          <w:p w14:paraId="7957AE5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9.4</w:t>
            </w:r>
          </w:p>
        </w:tc>
      </w:tr>
      <w:tr w:rsidR="00C638DA" w:rsidRPr="00C638DA" w14:paraId="7078810E" w14:textId="77777777" w:rsidTr="00CF3A28">
        <w:trPr>
          <w:trHeight w:val="347"/>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3D1BE" w14:textId="2D5D81CB"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Average OTR of GCS</w:t>
            </w:r>
            <w:r w:rsidR="001D0B67" w:rsidRPr="00C638DA">
              <w:rPr>
                <w:rFonts w:ascii="Times New Roman" w:eastAsia="Times New Roman" w:hAnsi="Times New Roman" w:cs="Times New Roman"/>
                <w:kern w:val="0"/>
                <w:lang w:eastAsia="en-IN"/>
                <w14:ligatures w14:val="none"/>
              </w:rPr>
              <w:t>s</w:t>
            </w:r>
            <w:r w:rsidRPr="00C638DA">
              <w:rPr>
                <w:rFonts w:ascii="Times New Roman" w:eastAsia="Times New Roman" w:hAnsi="Times New Roman" w:cs="Times New Roman"/>
                <w:kern w:val="0"/>
                <w:lang w:eastAsia="en-IN"/>
                <w14:ligatures w14:val="none"/>
              </w:rPr>
              <w:t xml:space="preserve"> at Agg. Level</w:t>
            </w:r>
          </w:p>
        </w:tc>
        <w:tc>
          <w:tcPr>
            <w:tcW w:w="818" w:type="dxa"/>
            <w:tcBorders>
              <w:top w:val="single" w:sz="4" w:space="0" w:color="auto"/>
              <w:left w:val="nil"/>
              <w:bottom w:val="single" w:sz="4" w:space="0" w:color="auto"/>
              <w:right w:val="single" w:sz="4" w:space="0" w:color="auto"/>
            </w:tcBorders>
            <w:noWrap/>
            <w:vAlign w:val="bottom"/>
            <w:hideMark/>
          </w:tcPr>
          <w:p w14:paraId="39023D6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7.1</w:t>
            </w:r>
          </w:p>
        </w:tc>
        <w:tc>
          <w:tcPr>
            <w:tcW w:w="787" w:type="dxa"/>
            <w:tcBorders>
              <w:top w:val="single" w:sz="4" w:space="0" w:color="auto"/>
              <w:left w:val="nil"/>
              <w:bottom w:val="single" w:sz="4" w:space="0" w:color="auto"/>
              <w:right w:val="single" w:sz="4" w:space="0" w:color="auto"/>
            </w:tcBorders>
            <w:noWrap/>
            <w:vAlign w:val="bottom"/>
            <w:hideMark/>
          </w:tcPr>
          <w:p w14:paraId="25F9F73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c>
          <w:tcPr>
            <w:tcW w:w="850" w:type="dxa"/>
            <w:tcBorders>
              <w:top w:val="single" w:sz="4" w:space="0" w:color="auto"/>
              <w:left w:val="nil"/>
              <w:bottom w:val="single" w:sz="4" w:space="0" w:color="auto"/>
              <w:right w:val="single" w:sz="4" w:space="0" w:color="auto"/>
            </w:tcBorders>
            <w:noWrap/>
            <w:vAlign w:val="bottom"/>
            <w:hideMark/>
          </w:tcPr>
          <w:p w14:paraId="018E340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c>
          <w:tcPr>
            <w:tcW w:w="851" w:type="dxa"/>
            <w:tcBorders>
              <w:top w:val="single" w:sz="4" w:space="0" w:color="auto"/>
              <w:left w:val="nil"/>
              <w:bottom w:val="single" w:sz="4" w:space="0" w:color="auto"/>
              <w:right w:val="single" w:sz="4" w:space="0" w:color="auto"/>
            </w:tcBorders>
            <w:noWrap/>
            <w:vAlign w:val="bottom"/>
            <w:hideMark/>
          </w:tcPr>
          <w:p w14:paraId="476DCC3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6.6</w:t>
            </w:r>
          </w:p>
        </w:tc>
        <w:tc>
          <w:tcPr>
            <w:tcW w:w="850" w:type="dxa"/>
            <w:tcBorders>
              <w:top w:val="single" w:sz="4" w:space="0" w:color="auto"/>
              <w:left w:val="nil"/>
              <w:bottom w:val="single" w:sz="4" w:space="0" w:color="auto"/>
              <w:right w:val="single" w:sz="4" w:space="0" w:color="auto"/>
            </w:tcBorders>
            <w:noWrap/>
            <w:vAlign w:val="bottom"/>
            <w:hideMark/>
          </w:tcPr>
          <w:p w14:paraId="5A4099F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6.3</w:t>
            </w:r>
          </w:p>
        </w:tc>
        <w:tc>
          <w:tcPr>
            <w:tcW w:w="851" w:type="dxa"/>
            <w:tcBorders>
              <w:top w:val="single" w:sz="4" w:space="0" w:color="auto"/>
              <w:left w:val="nil"/>
              <w:bottom w:val="single" w:sz="4" w:space="0" w:color="auto"/>
              <w:right w:val="single" w:sz="4" w:space="0" w:color="auto"/>
            </w:tcBorders>
            <w:noWrap/>
            <w:vAlign w:val="bottom"/>
            <w:hideMark/>
          </w:tcPr>
          <w:p w14:paraId="7B5ECC2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c>
          <w:tcPr>
            <w:tcW w:w="850" w:type="dxa"/>
            <w:tcBorders>
              <w:top w:val="single" w:sz="4" w:space="0" w:color="auto"/>
              <w:left w:val="nil"/>
              <w:bottom w:val="single" w:sz="4" w:space="0" w:color="auto"/>
              <w:right w:val="single" w:sz="4" w:space="0" w:color="auto"/>
            </w:tcBorders>
            <w:noWrap/>
            <w:vAlign w:val="bottom"/>
            <w:hideMark/>
          </w:tcPr>
          <w:p w14:paraId="7ECADBF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6.6</w:t>
            </w:r>
          </w:p>
        </w:tc>
        <w:tc>
          <w:tcPr>
            <w:tcW w:w="851" w:type="dxa"/>
            <w:tcBorders>
              <w:top w:val="single" w:sz="4" w:space="0" w:color="auto"/>
              <w:left w:val="nil"/>
              <w:bottom w:val="single" w:sz="4" w:space="0" w:color="auto"/>
              <w:right w:val="single" w:sz="4" w:space="0" w:color="auto"/>
            </w:tcBorders>
            <w:noWrap/>
            <w:vAlign w:val="bottom"/>
            <w:hideMark/>
          </w:tcPr>
          <w:p w14:paraId="47649C6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6.1</w:t>
            </w:r>
          </w:p>
        </w:tc>
        <w:tc>
          <w:tcPr>
            <w:tcW w:w="850" w:type="dxa"/>
            <w:tcBorders>
              <w:top w:val="single" w:sz="4" w:space="0" w:color="auto"/>
              <w:left w:val="nil"/>
              <w:bottom w:val="single" w:sz="4" w:space="0" w:color="auto"/>
              <w:right w:val="single" w:sz="4" w:space="0" w:color="auto"/>
            </w:tcBorders>
            <w:noWrap/>
            <w:vAlign w:val="bottom"/>
            <w:hideMark/>
          </w:tcPr>
          <w:p w14:paraId="79D1960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6.1</w:t>
            </w:r>
          </w:p>
        </w:tc>
        <w:tc>
          <w:tcPr>
            <w:tcW w:w="709" w:type="dxa"/>
            <w:tcBorders>
              <w:top w:val="single" w:sz="4" w:space="0" w:color="auto"/>
              <w:left w:val="nil"/>
              <w:bottom w:val="single" w:sz="4" w:space="0" w:color="auto"/>
              <w:right w:val="single" w:sz="4" w:space="0" w:color="auto"/>
            </w:tcBorders>
            <w:noWrap/>
            <w:vAlign w:val="bottom"/>
            <w:hideMark/>
          </w:tcPr>
          <w:p w14:paraId="7876611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7.1</w:t>
            </w:r>
          </w:p>
        </w:tc>
      </w:tr>
      <w:tr w:rsidR="00C638DA" w:rsidRPr="00C638DA" w14:paraId="7F1BBB5C" w14:textId="77777777" w:rsidTr="00CF3A28">
        <w:trPr>
          <w:trHeight w:val="460"/>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BE91A"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Average OTR of All Indian States at Agg. Level</w:t>
            </w:r>
          </w:p>
        </w:tc>
        <w:tc>
          <w:tcPr>
            <w:tcW w:w="818" w:type="dxa"/>
            <w:tcBorders>
              <w:top w:val="single" w:sz="4" w:space="0" w:color="auto"/>
              <w:left w:val="nil"/>
              <w:bottom w:val="single" w:sz="4" w:space="0" w:color="auto"/>
              <w:right w:val="single" w:sz="4" w:space="0" w:color="auto"/>
            </w:tcBorders>
            <w:noWrap/>
            <w:vAlign w:val="bottom"/>
            <w:hideMark/>
          </w:tcPr>
          <w:p w14:paraId="302A5D6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7.0</w:t>
            </w:r>
          </w:p>
        </w:tc>
        <w:tc>
          <w:tcPr>
            <w:tcW w:w="787" w:type="dxa"/>
            <w:tcBorders>
              <w:top w:val="single" w:sz="4" w:space="0" w:color="auto"/>
              <w:left w:val="nil"/>
              <w:bottom w:val="single" w:sz="4" w:space="0" w:color="auto"/>
              <w:right w:val="single" w:sz="4" w:space="0" w:color="auto"/>
            </w:tcBorders>
            <w:noWrap/>
            <w:vAlign w:val="bottom"/>
            <w:hideMark/>
          </w:tcPr>
          <w:p w14:paraId="644DA21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6.7</w:t>
            </w:r>
          </w:p>
        </w:tc>
        <w:tc>
          <w:tcPr>
            <w:tcW w:w="850" w:type="dxa"/>
            <w:tcBorders>
              <w:top w:val="single" w:sz="4" w:space="0" w:color="auto"/>
              <w:left w:val="nil"/>
              <w:bottom w:val="single" w:sz="4" w:space="0" w:color="auto"/>
              <w:right w:val="single" w:sz="4" w:space="0" w:color="auto"/>
            </w:tcBorders>
            <w:noWrap/>
            <w:vAlign w:val="bottom"/>
            <w:hideMark/>
          </w:tcPr>
          <w:p w14:paraId="1150214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6.7</w:t>
            </w:r>
          </w:p>
        </w:tc>
        <w:tc>
          <w:tcPr>
            <w:tcW w:w="851" w:type="dxa"/>
            <w:tcBorders>
              <w:top w:val="single" w:sz="4" w:space="0" w:color="auto"/>
              <w:left w:val="nil"/>
              <w:bottom w:val="single" w:sz="4" w:space="0" w:color="auto"/>
              <w:right w:val="single" w:sz="4" w:space="0" w:color="auto"/>
            </w:tcBorders>
            <w:noWrap/>
            <w:vAlign w:val="bottom"/>
            <w:hideMark/>
          </w:tcPr>
          <w:p w14:paraId="4A18665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6.5</w:t>
            </w:r>
          </w:p>
        </w:tc>
        <w:tc>
          <w:tcPr>
            <w:tcW w:w="850" w:type="dxa"/>
            <w:tcBorders>
              <w:top w:val="single" w:sz="4" w:space="0" w:color="auto"/>
              <w:left w:val="nil"/>
              <w:bottom w:val="single" w:sz="4" w:space="0" w:color="auto"/>
              <w:right w:val="single" w:sz="4" w:space="0" w:color="auto"/>
            </w:tcBorders>
            <w:noWrap/>
            <w:vAlign w:val="bottom"/>
            <w:hideMark/>
          </w:tcPr>
          <w:p w14:paraId="251C275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6.2</w:t>
            </w:r>
          </w:p>
        </w:tc>
        <w:tc>
          <w:tcPr>
            <w:tcW w:w="851" w:type="dxa"/>
            <w:tcBorders>
              <w:top w:val="single" w:sz="4" w:space="0" w:color="auto"/>
              <w:left w:val="nil"/>
              <w:bottom w:val="single" w:sz="4" w:space="0" w:color="auto"/>
              <w:right w:val="single" w:sz="4" w:space="0" w:color="auto"/>
            </w:tcBorders>
            <w:noWrap/>
            <w:vAlign w:val="bottom"/>
            <w:hideMark/>
          </w:tcPr>
          <w:p w14:paraId="441E5D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6.7</w:t>
            </w:r>
          </w:p>
        </w:tc>
        <w:tc>
          <w:tcPr>
            <w:tcW w:w="850" w:type="dxa"/>
            <w:tcBorders>
              <w:top w:val="single" w:sz="4" w:space="0" w:color="auto"/>
              <w:left w:val="nil"/>
              <w:bottom w:val="single" w:sz="4" w:space="0" w:color="auto"/>
              <w:right w:val="single" w:sz="4" w:space="0" w:color="auto"/>
            </w:tcBorders>
            <w:noWrap/>
            <w:vAlign w:val="bottom"/>
            <w:hideMark/>
          </w:tcPr>
          <w:p w14:paraId="5BEA152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6.5</w:t>
            </w:r>
          </w:p>
        </w:tc>
        <w:tc>
          <w:tcPr>
            <w:tcW w:w="851" w:type="dxa"/>
            <w:tcBorders>
              <w:top w:val="single" w:sz="4" w:space="0" w:color="auto"/>
              <w:left w:val="nil"/>
              <w:bottom w:val="single" w:sz="4" w:space="0" w:color="auto"/>
              <w:right w:val="single" w:sz="4" w:space="0" w:color="auto"/>
            </w:tcBorders>
            <w:noWrap/>
            <w:vAlign w:val="bottom"/>
            <w:hideMark/>
          </w:tcPr>
          <w:p w14:paraId="3E3AC97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6.0</w:t>
            </w:r>
          </w:p>
        </w:tc>
        <w:tc>
          <w:tcPr>
            <w:tcW w:w="850" w:type="dxa"/>
            <w:tcBorders>
              <w:top w:val="single" w:sz="4" w:space="0" w:color="auto"/>
              <w:left w:val="nil"/>
              <w:bottom w:val="single" w:sz="4" w:space="0" w:color="auto"/>
              <w:right w:val="single" w:sz="4" w:space="0" w:color="auto"/>
            </w:tcBorders>
            <w:noWrap/>
            <w:vAlign w:val="bottom"/>
            <w:hideMark/>
          </w:tcPr>
          <w:p w14:paraId="704FD8E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6.1</w:t>
            </w:r>
          </w:p>
        </w:tc>
        <w:tc>
          <w:tcPr>
            <w:tcW w:w="709" w:type="dxa"/>
            <w:tcBorders>
              <w:top w:val="single" w:sz="4" w:space="0" w:color="auto"/>
              <w:left w:val="nil"/>
              <w:bottom w:val="single" w:sz="4" w:space="0" w:color="auto"/>
              <w:right w:val="single" w:sz="4" w:space="0" w:color="auto"/>
            </w:tcBorders>
            <w:noWrap/>
            <w:vAlign w:val="bottom"/>
            <w:hideMark/>
          </w:tcPr>
          <w:p w14:paraId="4242289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7.0</w:t>
            </w:r>
          </w:p>
        </w:tc>
      </w:tr>
    </w:tbl>
    <w:p w14:paraId="0249AC6F" w14:textId="51B8C8FE" w:rsidR="00AB0C8D" w:rsidRPr="00C638DA" w:rsidRDefault="00F806FE" w:rsidP="00AB0C8D">
      <w:pPr>
        <w:pStyle w:val="NormalWeb"/>
        <w:spacing w:before="0" w:beforeAutospacing="0" w:after="0" w:afterAutospacing="0" w:line="276" w:lineRule="auto"/>
        <w:jc w:val="both"/>
        <w:rPr>
          <w:i/>
          <w:iCs/>
          <w:sz w:val="20"/>
          <w:szCs w:val="20"/>
        </w:rPr>
      </w:pPr>
      <w:bookmarkStart w:id="3" w:name="_Hlk206276723"/>
      <w:bookmarkEnd w:id="2"/>
      <w:r w:rsidRPr="00C638DA">
        <w:rPr>
          <w:sz w:val="20"/>
          <w:szCs w:val="20"/>
        </w:rPr>
        <w:t xml:space="preserve">Source: Reserve Bank of India. (2022). </w:t>
      </w:r>
      <w:r w:rsidRPr="00C638DA">
        <w:rPr>
          <w:i/>
          <w:iCs/>
          <w:sz w:val="20"/>
          <w:szCs w:val="20"/>
        </w:rPr>
        <w:t>State finances: A study of budgets 2021-2</w:t>
      </w:r>
      <w:bookmarkEnd w:id="3"/>
      <w:r w:rsidR="00AB0C8D" w:rsidRPr="00C638DA">
        <w:rPr>
          <w:i/>
          <w:iCs/>
          <w:sz w:val="20"/>
          <w:szCs w:val="20"/>
        </w:rPr>
        <w:t>2.</w:t>
      </w:r>
    </w:p>
    <w:p w14:paraId="5B67B8EB" w14:textId="77777777" w:rsidR="00AB0C8D" w:rsidRPr="00C638DA" w:rsidRDefault="00AB0C8D" w:rsidP="00AB0C8D">
      <w:pPr>
        <w:pStyle w:val="NormalWeb"/>
        <w:spacing w:before="0" w:beforeAutospacing="0" w:after="0" w:afterAutospacing="0" w:line="276" w:lineRule="auto"/>
        <w:jc w:val="both"/>
        <w:rPr>
          <w:i/>
          <w:iCs/>
          <w:sz w:val="20"/>
          <w:szCs w:val="20"/>
        </w:rPr>
      </w:pPr>
    </w:p>
    <w:p w14:paraId="08E8505D" w14:textId="77777777" w:rsidR="0091212A" w:rsidRPr="00C638DA" w:rsidRDefault="0091212A" w:rsidP="00A57A0A">
      <w:pPr>
        <w:spacing w:after="0" w:line="276" w:lineRule="auto"/>
        <w:jc w:val="both"/>
        <w:outlineLvl w:val="2"/>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It can be observed from Table 4 that Manipur’s Own Tax Revenue (OTR) as a percentage of GSDP remained below 3% until 2016–17. Although the share rose marginally thereafter, peaking at just above 4% towards the end of the study period, it still reflected relatively weak performance, as Manipur’s OTR remained consistently much lower than that of other Special Category States. Jammu &amp; Kashmir occupied the top position, mobilizing revenue of more than 6% of GSDP throughout the period and even touching 8% in some years, except in 2019–20 when revenues were adversely affected by the Covid-19 pandemic-induced decline in tourism. Himachal Pradesh, Uttarakhand, Arunachal Pradesh, Assam, and Meghalaya also performed significantly better than Manipur, maintaining higher OTR–GSDP ratios. By contrast, states such as Mizoram, Nagaland, and Sikkim recorded performances broadly like Manipur, with revenues hovering around 3–4% of GSDP without following a consistent upward trend. Overall, Manipur clearly emerges as a lower-end performer in terms of the OTR–GSDP ratio, underscoring its limited fiscal effort compared to other Special Category States.</w:t>
      </w:r>
    </w:p>
    <w:p w14:paraId="535FA300" w14:textId="77777777" w:rsidR="0091212A" w:rsidRPr="00C638DA" w:rsidRDefault="0091212A" w:rsidP="00A57A0A">
      <w:pPr>
        <w:spacing w:after="0" w:line="276" w:lineRule="auto"/>
        <w:jc w:val="both"/>
        <w:outlineLvl w:val="2"/>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 xml:space="preserve">The same picture for Manipur i.e., lower performance in mobilizing OTR as a percentage of GSDP, is also observed when compared with the average OTR of Special Category States, General Category States, and the all-India level. </w:t>
      </w:r>
    </w:p>
    <w:p w14:paraId="4E51BE0C" w14:textId="16FD1F14" w:rsidR="0091212A" w:rsidRPr="00C638DA" w:rsidRDefault="0091212A" w:rsidP="00A57A0A">
      <w:pPr>
        <w:spacing w:after="0" w:line="276" w:lineRule="auto"/>
        <w:jc w:val="both"/>
        <w:outlineLvl w:val="2"/>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Most of the taxes were found to be buoyant, indicating their potential to generate revenue in line with GSDP growth. However, the persistently low OTR–GSDP ratio points to shortcomings in policy implementation and administrative inefficiencies. This underscores the need for adequate, effective, and transparent measures to strengthen efficiency and accountability in mobilizing existing own tax revenue resources.</w:t>
      </w:r>
    </w:p>
    <w:p w14:paraId="35B2AFDF" w14:textId="77777777" w:rsidR="0091212A" w:rsidRPr="00C638DA" w:rsidRDefault="0091212A"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09674942" w14:textId="77777777" w:rsidR="00A57A0A" w:rsidRDefault="00A57A0A" w:rsidP="00A57A0A">
      <w:pPr>
        <w:spacing w:after="0" w:line="276" w:lineRule="auto"/>
        <w:outlineLvl w:val="2"/>
        <w:rPr>
          <w:rFonts w:ascii="Times New Roman" w:eastAsia="Times New Roman" w:hAnsi="Times New Roman" w:cs="Times New Roman"/>
          <w:b/>
          <w:bCs/>
          <w:kern w:val="0"/>
          <w:sz w:val="24"/>
          <w:szCs w:val="24"/>
          <w:lang w:eastAsia="en-IN"/>
          <w14:ligatures w14:val="none"/>
        </w:rPr>
      </w:pPr>
    </w:p>
    <w:p w14:paraId="66C403C0" w14:textId="1A855DAC" w:rsidR="0071643C" w:rsidRPr="00C638DA" w:rsidRDefault="00306100" w:rsidP="00A57A0A">
      <w:pPr>
        <w:spacing w:after="0" w:line="276" w:lineRule="auto"/>
        <w:outlineLvl w:val="2"/>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Conclusion and Policy Implications</w:t>
      </w:r>
    </w:p>
    <w:p w14:paraId="6B186115" w14:textId="77777777" w:rsidR="003300E2" w:rsidRPr="00C638DA" w:rsidRDefault="003300E2" w:rsidP="00A57A0A">
      <w:pPr>
        <w:pStyle w:val="NormalWeb"/>
        <w:spacing w:before="0" w:beforeAutospacing="0" w:after="0" w:afterAutospacing="0" w:line="276" w:lineRule="auto"/>
        <w:jc w:val="both"/>
      </w:pPr>
      <w:r w:rsidRPr="00C638DA">
        <w:t>It may be concluded based on the present study that Manipur’s fiscal performance has historically maintained a revenue surplus and a low level of fiscal deficit below 3 percent, as set by the FRBM Act, indicating relative fiscal strength compared to other states. However, these revenue surpluses have declined over time, and fiscal deficits reached 11 percent of GSDP, which is above all the comparative states and averages.</w:t>
      </w:r>
    </w:p>
    <w:p w14:paraId="215144F0" w14:textId="6C150C1D" w:rsidR="003300E2" w:rsidRPr="00C638DA" w:rsidRDefault="003300E2" w:rsidP="00A57A0A">
      <w:pPr>
        <w:pStyle w:val="NormalWeb"/>
        <w:spacing w:before="0" w:beforeAutospacing="0" w:after="0" w:afterAutospacing="0" w:line="276" w:lineRule="auto"/>
        <w:jc w:val="both"/>
      </w:pPr>
      <w:r w:rsidRPr="00C638DA">
        <w:t xml:space="preserve">No doubt, this decrease in revenue surpluses and the hike in fiscal deficits have been due to COVID-19 related expenditures. On the other hand, the state’s own tax revenue mobilization remains low compared to Special Category States, averages of SCSs, General Category States, and the </w:t>
      </w:r>
      <w:r w:rsidR="00803EBC" w:rsidRPr="00C638DA">
        <w:t>All-India</w:t>
      </w:r>
      <w:r w:rsidRPr="00C638DA">
        <w:t xml:space="preserve"> average, highlighting its limited fiscal effort.</w:t>
      </w:r>
    </w:p>
    <w:p w14:paraId="45CE6AA7" w14:textId="77777777" w:rsidR="003300E2" w:rsidRPr="00C638DA" w:rsidRDefault="003300E2" w:rsidP="00A57A0A">
      <w:pPr>
        <w:pStyle w:val="NormalWeb"/>
        <w:spacing w:before="0" w:beforeAutospacing="0" w:after="0" w:afterAutospacing="0" w:line="276" w:lineRule="auto"/>
        <w:jc w:val="both"/>
      </w:pPr>
      <w:r w:rsidRPr="00C638DA">
        <w:t>Analysis of Manipur’s own tax revenue composition shows that the state has become heavily dependent on Taxes on Commodities and Services, particularly after GST implementation, while the share of income, property, and capital-related taxes has steadily declined, indicating a structural imbalance. Buoyancy estimates indicate that taxes such as sales tax, GST, vehicle tax, stamp duty, and registration fees respond well to economic growth, whereas underperforming areas like state excise, land revenue, electricity duties, and taxes on goods and passengers require targeted interventions.</w:t>
      </w:r>
    </w:p>
    <w:p w14:paraId="1ADE5CBD" w14:textId="7D9FBF19" w:rsidR="003300E2" w:rsidRPr="00C638DA" w:rsidRDefault="003300E2" w:rsidP="00A57A0A">
      <w:pPr>
        <w:pStyle w:val="NormalWeb"/>
        <w:spacing w:before="0" w:beforeAutospacing="0" w:after="0" w:afterAutospacing="0" w:line="276" w:lineRule="auto"/>
        <w:jc w:val="both"/>
      </w:pPr>
      <w:r w:rsidRPr="00C638DA">
        <w:t>In spite of most buoyant taxes, the state’s OTR</w:t>
      </w:r>
      <w:r w:rsidR="000A7901">
        <w:t>-</w:t>
      </w:r>
      <w:r w:rsidRPr="00C638DA">
        <w:t xml:space="preserve">GSDP ratio remains persistently low compared to other Special Category States and the averages of SCSs, GCSs, and the All India, further underscoring administrative inefficiencies in mobilizing revenue from existing tax sources and structural imbalance. Over-reliance on a single tax category, underperformance in certain taxes, </w:t>
      </w:r>
      <w:r w:rsidRPr="00C638DA">
        <w:lastRenderedPageBreak/>
        <w:t>and lower OTR</w:t>
      </w:r>
      <w:r w:rsidR="000A7901">
        <w:t>-</w:t>
      </w:r>
      <w:r w:rsidRPr="00C638DA">
        <w:t>GSDP despite most buoyant taxes highlight the need for structural reforms, strengthened own revenue mobilization, improved administrative efficiency, and prudent expenditure management to ensure long-term fiscal sustainability and reduce dependence on central transfers.</w:t>
      </w:r>
    </w:p>
    <w:p w14:paraId="5F9890DB" w14:textId="77777777" w:rsidR="003300E2" w:rsidRPr="00C638DA" w:rsidRDefault="003300E2" w:rsidP="00A57A0A">
      <w:pPr>
        <w:pStyle w:val="NormalWeb"/>
        <w:spacing w:before="0" w:beforeAutospacing="0" w:line="276" w:lineRule="auto"/>
        <w:jc w:val="both"/>
      </w:pPr>
      <w:r w:rsidRPr="00C638DA">
        <w:t>To address these issues, the state should diversify its tax base by enhancing income, property, and capital-related taxes, improve collection efficiency in underperforming areas such as state excise, land revenue, electricity duties, and taxes on goods and passengers, adopt prudent expenditure control measures, strengthen fiscal planning and monitoring, and enhance transparency, accountability, and capacity building in tax administration.</w:t>
      </w:r>
    </w:p>
    <w:p w14:paraId="4B483F47" w14:textId="77777777" w:rsidR="00190CF1" w:rsidRPr="00C638DA" w:rsidRDefault="00190CF1" w:rsidP="00A57A0A">
      <w:pPr>
        <w:spacing w:after="0" w:line="276" w:lineRule="auto"/>
        <w:jc w:val="both"/>
        <w:rPr>
          <w:rFonts w:ascii="Times New Roman" w:eastAsia="Times New Roman" w:hAnsi="Times New Roman" w:cs="Times New Roman"/>
          <w:b/>
          <w:bCs/>
          <w:kern w:val="0"/>
          <w:sz w:val="24"/>
          <w:szCs w:val="24"/>
          <w:lang w:eastAsia="en-IN"/>
          <w14:ligatures w14:val="none"/>
        </w:rPr>
      </w:pPr>
    </w:p>
    <w:p w14:paraId="5E9DF621" w14:textId="77777777" w:rsidR="00A23817" w:rsidRPr="00B10758" w:rsidRDefault="00A23817"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184719FB" w14:textId="2322CBF0" w:rsidR="00B53D80" w:rsidRPr="00FC5652" w:rsidRDefault="00B53D80" w:rsidP="00B53D80">
      <w:pPr>
        <w:pStyle w:val="NormalWeb"/>
        <w:spacing w:before="0" w:beforeAutospacing="0" w:after="0" w:afterAutospacing="0"/>
        <w:jc w:val="both"/>
        <w:rPr>
          <w:b/>
          <w:bCs/>
          <w:sz w:val="20"/>
          <w:szCs w:val="20"/>
        </w:rPr>
      </w:pPr>
      <w:r w:rsidRPr="00FC5652">
        <w:rPr>
          <w:b/>
          <w:bCs/>
          <w:sz w:val="20"/>
          <w:szCs w:val="20"/>
        </w:rPr>
        <w:t xml:space="preserve">References: </w:t>
      </w:r>
    </w:p>
    <w:p w14:paraId="7ABC61FC" w14:textId="77777777" w:rsidR="00B53D80" w:rsidRPr="00977097" w:rsidRDefault="00B53D80" w:rsidP="00B53D80">
      <w:pPr>
        <w:pStyle w:val="NormalWeb"/>
        <w:numPr>
          <w:ilvl w:val="0"/>
          <w:numId w:val="2"/>
        </w:numPr>
        <w:spacing w:before="0" w:beforeAutospacing="0" w:after="0" w:afterAutospacing="0"/>
        <w:jc w:val="both"/>
      </w:pPr>
      <w:r w:rsidRPr="00977097">
        <w:t xml:space="preserve">Bahl, R. W., &amp; Bird, R. M. (2008). Tax policy in developing countries: Looking back—and forward. </w:t>
      </w:r>
      <w:r w:rsidRPr="00977097">
        <w:rPr>
          <w:rStyle w:val="Emphasis"/>
        </w:rPr>
        <w:t>National Tax Journal, 61</w:t>
      </w:r>
      <w:r w:rsidRPr="00977097">
        <w:t xml:space="preserve">(2), 279–301. </w:t>
      </w:r>
      <w:hyperlink r:id="rId14" w:tgtFrame="_new" w:history="1">
        <w:r w:rsidRPr="00977097">
          <w:rPr>
            <w:rStyle w:val="Hyperlink"/>
            <w:color w:val="auto"/>
          </w:rPr>
          <w:t>http://www.jstor.org/stable/41790445</w:t>
        </w:r>
      </w:hyperlink>
    </w:p>
    <w:p w14:paraId="3D93FEAD" w14:textId="77777777" w:rsidR="000317C4" w:rsidRPr="00977097" w:rsidRDefault="000317C4" w:rsidP="000317C4">
      <w:pPr>
        <w:pStyle w:val="ListParagraph"/>
        <w:numPr>
          <w:ilvl w:val="0"/>
          <w:numId w:val="2"/>
        </w:numPr>
        <w:spacing w:after="0" w:line="240" w:lineRule="auto"/>
        <w:rPr>
          <w:rFonts w:ascii="Times New Roman" w:eastAsia="Times New Roman" w:hAnsi="Times New Roman" w:cs="Times New Roman"/>
          <w:kern w:val="0"/>
          <w:sz w:val="24"/>
          <w:szCs w:val="24"/>
          <w:lang w:eastAsia="en-IN"/>
          <w14:ligatures w14:val="none"/>
        </w:rPr>
      </w:pPr>
      <w:bookmarkStart w:id="4" w:name="_Hlk210970724"/>
      <w:r w:rsidRPr="00977097">
        <w:rPr>
          <w:rFonts w:ascii="Times New Roman" w:eastAsia="Times New Roman" w:hAnsi="Times New Roman" w:cs="Times New Roman"/>
          <w:kern w:val="0"/>
          <w:sz w:val="24"/>
          <w:szCs w:val="24"/>
          <w:lang w:eastAsia="en-IN"/>
          <w14:ligatures w14:val="none"/>
        </w:rPr>
        <w:t xml:space="preserve">Tronzano, M. (2013). </w:t>
      </w:r>
      <w:bookmarkEnd w:id="4"/>
      <w:r w:rsidRPr="00977097">
        <w:rPr>
          <w:rFonts w:ascii="Times New Roman" w:eastAsia="Times New Roman" w:hAnsi="Times New Roman" w:cs="Times New Roman"/>
          <w:kern w:val="0"/>
          <w:sz w:val="24"/>
          <w:szCs w:val="24"/>
          <w:lang w:eastAsia="en-IN"/>
          <w14:ligatures w14:val="none"/>
        </w:rPr>
        <w:t xml:space="preserve">The Sustainability of Indian Fiscal Policy: A Reassessment of the Empirical Evidence. </w:t>
      </w:r>
      <w:r w:rsidRPr="00977097">
        <w:rPr>
          <w:rFonts w:ascii="Times New Roman" w:eastAsia="Times New Roman" w:hAnsi="Times New Roman" w:cs="Times New Roman"/>
          <w:i/>
          <w:iCs/>
          <w:kern w:val="0"/>
          <w:sz w:val="24"/>
          <w:szCs w:val="24"/>
          <w:lang w:eastAsia="en-IN"/>
          <w14:ligatures w14:val="none"/>
        </w:rPr>
        <w:t>Emerging Markets Finance &amp; Trade</w:t>
      </w:r>
      <w:r w:rsidRPr="00977097">
        <w:rPr>
          <w:rFonts w:ascii="Times New Roman" w:eastAsia="Times New Roman" w:hAnsi="Times New Roman" w:cs="Times New Roman"/>
          <w:kern w:val="0"/>
          <w:sz w:val="24"/>
          <w:szCs w:val="24"/>
          <w:lang w:eastAsia="en-IN"/>
          <w14:ligatures w14:val="none"/>
        </w:rPr>
        <w:t xml:space="preserve">, </w:t>
      </w:r>
      <w:r w:rsidRPr="00977097">
        <w:rPr>
          <w:rFonts w:ascii="Times New Roman" w:eastAsia="Times New Roman" w:hAnsi="Times New Roman" w:cs="Times New Roman"/>
          <w:i/>
          <w:iCs/>
          <w:kern w:val="0"/>
          <w:sz w:val="24"/>
          <w:szCs w:val="24"/>
          <w:lang w:eastAsia="en-IN"/>
          <w14:ligatures w14:val="none"/>
        </w:rPr>
        <w:t>49</w:t>
      </w:r>
      <w:r w:rsidRPr="00977097">
        <w:rPr>
          <w:rFonts w:ascii="Times New Roman" w:eastAsia="Times New Roman" w:hAnsi="Times New Roman" w:cs="Times New Roman"/>
          <w:kern w:val="0"/>
          <w:sz w:val="24"/>
          <w:szCs w:val="24"/>
          <w:lang w:eastAsia="en-IN"/>
          <w14:ligatures w14:val="none"/>
        </w:rPr>
        <w:t>, 63–76. http://www.jstor.org/stable/23437715</w:t>
      </w:r>
    </w:p>
    <w:p w14:paraId="2A28C377" w14:textId="77777777" w:rsidR="002B4C16" w:rsidRPr="00977097" w:rsidRDefault="002B4C16" w:rsidP="00B53D80">
      <w:pPr>
        <w:pStyle w:val="NormalWeb"/>
        <w:numPr>
          <w:ilvl w:val="0"/>
          <w:numId w:val="2"/>
        </w:numPr>
        <w:spacing w:before="0" w:beforeAutospacing="0" w:after="0" w:afterAutospacing="0"/>
        <w:jc w:val="both"/>
        <w:rPr>
          <w:color w:val="EE0000"/>
        </w:rPr>
      </w:pPr>
      <w:bookmarkStart w:id="5" w:name="_Hlk210970928"/>
      <w:r w:rsidRPr="00977097">
        <w:rPr>
          <w:color w:val="222222"/>
          <w:shd w:val="clear" w:color="auto" w:fill="FFFFFF"/>
        </w:rPr>
        <w:t xml:space="preserve">Dash, A. K., &amp; Rath, S. S. (2016). </w:t>
      </w:r>
      <w:bookmarkEnd w:id="5"/>
      <w:r w:rsidRPr="00977097">
        <w:rPr>
          <w:color w:val="222222"/>
          <w:shd w:val="clear" w:color="auto" w:fill="FFFFFF"/>
        </w:rPr>
        <w:t>State fiscal problems and role of central assistance: The case of North Eastern states of India. </w:t>
      </w:r>
      <w:r w:rsidRPr="00977097">
        <w:rPr>
          <w:i/>
          <w:iCs/>
          <w:color w:val="222222"/>
          <w:shd w:val="clear" w:color="auto" w:fill="FFFFFF"/>
        </w:rPr>
        <w:t>Indian Journal of Finance</w:t>
      </w:r>
      <w:r w:rsidRPr="00977097">
        <w:rPr>
          <w:color w:val="222222"/>
          <w:shd w:val="clear" w:color="auto" w:fill="FFFFFF"/>
        </w:rPr>
        <w:t>, </w:t>
      </w:r>
      <w:r w:rsidRPr="00977097">
        <w:rPr>
          <w:i/>
          <w:iCs/>
          <w:color w:val="222222"/>
          <w:shd w:val="clear" w:color="auto" w:fill="FFFFFF"/>
        </w:rPr>
        <w:t>10</w:t>
      </w:r>
      <w:r w:rsidRPr="00977097">
        <w:rPr>
          <w:color w:val="222222"/>
          <w:shd w:val="clear" w:color="auto" w:fill="FFFFFF"/>
        </w:rPr>
        <w:t>(5), 33-49.</w:t>
      </w:r>
    </w:p>
    <w:p w14:paraId="290E2EF7" w14:textId="77777777" w:rsidR="002B4C16" w:rsidRPr="00977097" w:rsidRDefault="002B4C16" w:rsidP="00B53D80">
      <w:pPr>
        <w:pStyle w:val="NormalWeb"/>
        <w:numPr>
          <w:ilvl w:val="0"/>
          <w:numId w:val="2"/>
        </w:numPr>
        <w:spacing w:before="0" w:beforeAutospacing="0" w:after="0" w:afterAutospacing="0"/>
        <w:jc w:val="both"/>
        <w:rPr>
          <w:color w:val="EE0000"/>
        </w:rPr>
      </w:pPr>
      <w:r w:rsidRPr="00977097">
        <w:t xml:space="preserve">Chelliah, R. J., &amp; Nath, S. (1977). </w:t>
      </w:r>
      <w:r w:rsidRPr="00977097">
        <w:rPr>
          <w:rStyle w:val="Emphasis"/>
        </w:rPr>
        <w:t>Buoyancy and elasticity of important state indirect taxes (1960–61 to 1974–75)</w:t>
      </w:r>
      <w:r w:rsidRPr="00977097">
        <w:t>. Submitted to the Indirect Taxation Enquiry Committee, Government of India. National Institute of Public Finance and Policy.</w:t>
      </w:r>
    </w:p>
    <w:p w14:paraId="2C277D7B" w14:textId="0E4F0A10" w:rsidR="00B53D80" w:rsidRPr="00977097" w:rsidRDefault="0064239C" w:rsidP="00B53D80">
      <w:pPr>
        <w:pStyle w:val="NormalWeb"/>
        <w:numPr>
          <w:ilvl w:val="0"/>
          <w:numId w:val="2"/>
        </w:numPr>
        <w:spacing w:before="0" w:beforeAutospacing="0" w:after="0" w:afterAutospacing="0"/>
        <w:jc w:val="both"/>
        <w:rPr>
          <w:color w:val="EE0000"/>
        </w:rPr>
      </w:pPr>
      <w:r w:rsidRPr="00977097">
        <w:rPr>
          <w:rFonts w:eastAsiaTheme="minorHAnsi"/>
          <w:kern w:val="2"/>
          <w:lang w:eastAsia="en-US"/>
          <w14:ligatures w14:val="standardContextual"/>
        </w:rPr>
        <w:t xml:space="preserve">Acharya, H. (2011). </w:t>
      </w:r>
      <w:r w:rsidRPr="00977097">
        <w:rPr>
          <w:rFonts w:eastAsiaTheme="minorHAnsi"/>
          <w:i/>
          <w:iCs/>
          <w:kern w:val="2"/>
          <w:lang w:eastAsia="en-US"/>
          <w14:ligatures w14:val="standardContextual"/>
        </w:rPr>
        <w:t>The measurement of tax elasticity in India: A time series approach</w:t>
      </w:r>
      <w:r w:rsidRPr="00977097">
        <w:rPr>
          <w:rFonts w:eastAsiaTheme="minorHAnsi"/>
          <w:kern w:val="2"/>
          <w:lang w:eastAsia="en-US"/>
          <w14:ligatures w14:val="standardContextual"/>
        </w:rPr>
        <w:t xml:space="preserve"> (MPRA Paper No. 47090). University of Delhi, Faculty of Management Studies. Munich Personal RePEc Archive. </w:t>
      </w:r>
      <w:hyperlink r:id="rId15" w:tgtFrame="_new" w:history="1">
        <w:r w:rsidRPr="00977097">
          <w:rPr>
            <w:rFonts w:eastAsiaTheme="minorHAnsi"/>
            <w:color w:val="0000FF"/>
            <w:kern w:val="2"/>
            <w:u w:val="single"/>
            <w:lang w:eastAsia="en-US"/>
            <w14:ligatures w14:val="standardContextual"/>
          </w:rPr>
          <w:t>https://mpra.ub.uni-muenchen.de/47090/</w:t>
        </w:r>
      </w:hyperlink>
      <w:r w:rsidR="00B53D80" w:rsidRPr="00977097">
        <w:rPr>
          <w:color w:val="EE0000"/>
        </w:rPr>
        <w:t>.</w:t>
      </w:r>
    </w:p>
    <w:p w14:paraId="42AAF660" w14:textId="77777777" w:rsidR="000674C0" w:rsidRPr="00977097" w:rsidRDefault="000674C0" w:rsidP="00B53D80">
      <w:pPr>
        <w:pStyle w:val="NormalWeb"/>
        <w:numPr>
          <w:ilvl w:val="0"/>
          <w:numId w:val="2"/>
        </w:numPr>
        <w:spacing w:before="0" w:beforeAutospacing="0" w:after="0" w:afterAutospacing="0"/>
        <w:jc w:val="both"/>
        <w:rPr>
          <w:color w:val="EE0000"/>
        </w:rPr>
      </w:pPr>
      <w:r w:rsidRPr="00977097">
        <w:rPr>
          <w:color w:val="222222"/>
          <w:shd w:val="clear" w:color="auto" w:fill="FFFFFF"/>
        </w:rPr>
        <w:t>Jha, R. (2017). Decentralization, Indirect Tax Reform. </w:t>
      </w:r>
      <w:r w:rsidRPr="00977097">
        <w:rPr>
          <w:i/>
          <w:iCs/>
          <w:color w:val="222222"/>
          <w:shd w:val="clear" w:color="auto" w:fill="FFFFFF"/>
        </w:rPr>
        <w:t>India's Fiscal Policy: Prescriptions, Pragmatics and Practice</w:t>
      </w:r>
      <w:r w:rsidRPr="00977097">
        <w:rPr>
          <w:color w:val="222222"/>
          <w:shd w:val="clear" w:color="auto" w:fill="FFFFFF"/>
        </w:rPr>
        <w:t>, 35.</w:t>
      </w:r>
      <w:r w:rsidRPr="00977097">
        <w:rPr>
          <w:color w:val="EE0000"/>
        </w:rPr>
        <w:t xml:space="preserve"> </w:t>
      </w:r>
    </w:p>
    <w:p w14:paraId="2F4A356C" w14:textId="1ABE02EE" w:rsidR="00B53D80" w:rsidRPr="00977097" w:rsidRDefault="000674C0" w:rsidP="00B53D80">
      <w:pPr>
        <w:pStyle w:val="NormalWeb"/>
        <w:numPr>
          <w:ilvl w:val="0"/>
          <w:numId w:val="2"/>
        </w:numPr>
        <w:spacing w:before="0" w:beforeAutospacing="0" w:after="0" w:afterAutospacing="0"/>
        <w:jc w:val="both"/>
        <w:rPr>
          <w:color w:val="EE0000"/>
        </w:rPr>
      </w:pPr>
      <w:r w:rsidRPr="00977097">
        <w:rPr>
          <w:color w:val="222222"/>
          <w:shd w:val="clear" w:color="auto" w:fill="FFFFFF"/>
        </w:rPr>
        <w:t>Shah, M. J. (2024). Effectiveness of Information Technology on Tax Administration in India. </w:t>
      </w:r>
      <w:r w:rsidRPr="00977097">
        <w:rPr>
          <w:i/>
          <w:iCs/>
          <w:color w:val="222222"/>
          <w:shd w:val="clear" w:color="auto" w:fill="FFFFFF"/>
        </w:rPr>
        <w:t xml:space="preserve">Law Foyer Int'l J. Doctrinal Legal </w:t>
      </w:r>
      <w:proofErr w:type="spellStart"/>
      <w:r w:rsidRPr="00977097">
        <w:rPr>
          <w:i/>
          <w:iCs/>
          <w:color w:val="222222"/>
          <w:shd w:val="clear" w:color="auto" w:fill="FFFFFF"/>
        </w:rPr>
        <w:t>Rsch</w:t>
      </w:r>
      <w:proofErr w:type="spellEnd"/>
      <w:r w:rsidRPr="00977097">
        <w:rPr>
          <w:i/>
          <w:iCs/>
          <w:color w:val="222222"/>
          <w:shd w:val="clear" w:color="auto" w:fill="FFFFFF"/>
        </w:rPr>
        <w:t>.</w:t>
      </w:r>
      <w:r w:rsidRPr="00977097">
        <w:rPr>
          <w:color w:val="222222"/>
          <w:shd w:val="clear" w:color="auto" w:fill="FFFFFF"/>
        </w:rPr>
        <w:t>, </w:t>
      </w:r>
      <w:r w:rsidRPr="00977097">
        <w:rPr>
          <w:i/>
          <w:iCs/>
          <w:color w:val="222222"/>
          <w:shd w:val="clear" w:color="auto" w:fill="FFFFFF"/>
        </w:rPr>
        <w:t>2</w:t>
      </w:r>
      <w:r w:rsidRPr="00977097">
        <w:rPr>
          <w:color w:val="222222"/>
          <w:shd w:val="clear" w:color="auto" w:fill="FFFFFF"/>
        </w:rPr>
        <w:t>, 282.</w:t>
      </w:r>
    </w:p>
    <w:p w14:paraId="4CF03ED6" w14:textId="7DCAB52A" w:rsidR="00B53D80" w:rsidRPr="00977097" w:rsidRDefault="00761672" w:rsidP="00B53D80">
      <w:pPr>
        <w:pStyle w:val="NormalWeb"/>
        <w:numPr>
          <w:ilvl w:val="0"/>
          <w:numId w:val="2"/>
        </w:numPr>
        <w:spacing w:before="0" w:beforeAutospacing="0" w:after="0" w:afterAutospacing="0"/>
        <w:jc w:val="both"/>
        <w:rPr>
          <w:color w:val="EE0000"/>
        </w:rPr>
      </w:pPr>
      <w:r w:rsidRPr="00977097">
        <w:rPr>
          <w:color w:val="222222"/>
          <w:shd w:val="clear" w:color="auto" w:fill="FFFFFF"/>
        </w:rPr>
        <w:t>Rajaraman, I., Goyal, R., &amp; Khundrakpam, J. K. (2006). Tax buoyancy estimates for Indian states. </w:t>
      </w:r>
      <w:r w:rsidRPr="00977097">
        <w:rPr>
          <w:i/>
          <w:iCs/>
          <w:color w:val="222222"/>
          <w:shd w:val="clear" w:color="auto" w:fill="FFFFFF"/>
        </w:rPr>
        <w:t>Economic and Political Weekly</w:t>
      </w:r>
      <w:r w:rsidRPr="00977097">
        <w:rPr>
          <w:color w:val="222222"/>
          <w:shd w:val="clear" w:color="auto" w:fill="FFFFFF"/>
        </w:rPr>
        <w:t>, 1570-1573.</w:t>
      </w:r>
    </w:p>
    <w:p w14:paraId="2BDF400C" w14:textId="77777777" w:rsidR="000004CC" w:rsidRPr="00977097" w:rsidRDefault="000004CC" w:rsidP="00B53D80">
      <w:pPr>
        <w:pStyle w:val="NormalWeb"/>
        <w:numPr>
          <w:ilvl w:val="0"/>
          <w:numId w:val="2"/>
        </w:numPr>
        <w:spacing w:before="0" w:beforeAutospacing="0" w:after="0" w:afterAutospacing="0"/>
        <w:jc w:val="both"/>
        <w:rPr>
          <w:color w:val="EE0000"/>
        </w:rPr>
      </w:pPr>
      <w:r w:rsidRPr="00977097">
        <w:rPr>
          <w:color w:val="000000"/>
          <w:spacing w:val="-5"/>
          <w:shd w:val="clear" w:color="auto" w:fill="FFFFFF"/>
        </w:rPr>
        <w:t>Rangarajan, C., &amp; Srivastava, D. K. (2005). Fiscal Deficits and Government Debt: Implications for Growth and Stabilisation. </w:t>
      </w:r>
      <w:r w:rsidRPr="00977097">
        <w:rPr>
          <w:i/>
          <w:iCs/>
          <w:color w:val="000000"/>
          <w:spacing w:val="-5"/>
          <w:shd w:val="clear" w:color="auto" w:fill="FFFFFF"/>
        </w:rPr>
        <w:t>Economic and Political Weekly</w:t>
      </w:r>
      <w:r w:rsidRPr="00977097">
        <w:rPr>
          <w:color w:val="000000"/>
          <w:spacing w:val="-5"/>
          <w:shd w:val="clear" w:color="auto" w:fill="FFFFFF"/>
        </w:rPr>
        <w:t>, </w:t>
      </w:r>
      <w:r w:rsidRPr="00977097">
        <w:rPr>
          <w:i/>
          <w:iCs/>
          <w:color w:val="000000"/>
          <w:spacing w:val="-5"/>
          <w:shd w:val="clear" w:color="auto" w:fill="FFFFFF"/>
        </w:rPr>
        <w:t>40</w:t>
      </w:r>
      <w:r w:rsidRPr="00977097">
        <w:rPr>
          <w:color w:val="000000"/>
          <w:spacing w:val="-5"/>
          <w:shd w:val="clear" w:color="auto" w:fill="FFFFFF"/>
        </w:rPr>
        <w:t>(27), 2919–2934. http://www.jstor.org/stable/4416847</w:t>
      </w:r>
      <w:r w:rsidRPr="00977097">
        <w:rPr>
          <w:color w:val="EE0000"/>
        </w:rPr>
        <w:t xml:space="preserve"> </w:t>
      </w:r>
    </w:p>
    <w:p w14:paraId="2E8C297E" w14:textId="6FE422BD" w:rsidR="00B53D80" w:rsidRPr="00977097" w:rsidRDefault="002C7D7F" w:rsidP="00B53D80">
      <w:pPr>
        <w:pStyle w:val="NormalWeb"/>
        <w:numPr>
          <w:ilvl w:val="0"/>
          <w:numId w:val="2"/>
        </w:numPr>
        <w:spacing w:before="0" w:beforeAutospacing="0" w:after="0" w:afterAutospacing="0"/>
        <w:jc w:val="both"/>
        <w:rPr>
          <w:color w:val="EE0000"/>
        </w:rPr>
      </w:pPr>
      <w:r w:rsidRPr="00977097">
        <w:rPr>
          <w:color w:val="222222"/>
          <w:shd w:val="clear" w:color="auto" w:fill="FFFFFF"/>
        </w:rPr>
        <w:t>Rao, M. G. (2000). Tax reform in India: Achievements and challenges. </w:t>
      </w:r>
      <w:r w:rsidRPr="00977097">
        <w:rPr>
          <w:i/>
          <w:iCs/>
          <w:color w:val="222222"/>
          <w:shd w:val="clear" w:color="auto" w:fill="FFFFFF"/>
        </w:rPr>
        <w:t>Asia Pacific Development Journal</w:t>
      </w:r>
      <w:r w:rsidRPr="00977097">
        <w:rPr>
          <w:color w:val="222222"/>
          <w:shd w:val="clear" w:color="auto" w:fill="FFFFFF"/>
        </w:rPr>
        <w:t>, </w:t>
      </w:r>
      <w:r w:rsidRPr="00977097">
        <w:rPr>
          <w:i/>
          <w:iCs/>
          <w:color w:val="222222"/>
          <w:shd w:val="clear" w:color="auto" w:fill="FFFFFF"/>
        </w:rPr>
        <w:t>7</w:t>
      </w:r>
      <w:r w:rsidRPr="00977097">
        <w:rPr>
          <w:color w:val="222222"/>
          <w:shd w:val="clear" w:color="auto" w:fill="FFFFFF"/>
        </w:rPr>
        <w:t>(2), 59-</w:t>
      </w:r>
      <w:proofErr w:type="gramStart"/>
      <w:r w:rsidRPr="00977097">
        <w:rPr>
          <w:color w:val="222222"/>
          <w:shd w:val="clear" w:color="auto" w:fill="FFFFFF"/>
        </w:rPr>
        <w:t>74.</w:t>
      </w:r>
      <w:r w:rsidR="00B53D80" w:rsidRPr="00977097">
        <w:rPr>
          <w:color w:val="EE0000"/>
        </w:rPr>
        <w:t>.</w:t>
      </w:r>
      <w:proofErr w:type="gramEnd"/>
    </w:p>
    <w:p w14:paraId="6942C925" w14:textId="77777777" w:rsidR="00977097" w:rsidRPr="00977097" w:rsidRDefault="00977097" w:rsidP="00B53D80">
      <w:pPr>
        <w:pStyle w:val="NormalWeb"/>
        <w:numPr>
          <w:ilvl w:val="0"/>
          <w:numId w:val="2"/>
        </w:numPr>
        <w:spacing w:before="0" w:beforeAutospacing="0" w:after="0" w:afterAutospacing="0"/>
        <w:jc w:val="both"/>
      </w:pPr>
      <w:r w:rsidRPr="00977097">
        <w:rPr>
          <w:color w:val="222222"/>
          <w:shd w:val="clear" w:color="auto" w:fill="FFFFFF"/>
        </w:rPr>
        <w:t>Karnik, A., &amp; Raju, S. (2015). State fiscal capacity and tax effort: Evidence for Indian states. </w:t>
      </w:r>
      <w:r w:rsidRPr="00977097">
        <w:rPr>
          <w:i/>
          <w:iCs/>
          <w:color w:val="222222"/>
          <w:shd w:val="clear" w:color="auto" w:fill="FFFFFF"/>
        </w:rPr>
        <w:t>South Asian Journal of Macroeconomics and Public Finance</w:t>
      </w:r>
      <w:r w:rsidRPr="00977097">
        <w:rPr>
          <w:color w:val="222222"/>
          <w:shd w:val="clear" w:color="auto" w:fill="FFFFFF"/>
        </w:rPr>
        <w:t>, </w:t>
      </w:r>
      <w:r w:rsidRPr="00977097">
        <w:rPr>
          <w:i/>
          <w:iCs/>
          <w:color w:val="222222"/>
          <w:shd w:val="clear" w:color="auto" w:fill="FFFFFF"/>
        </w:rPr>
        <w:t>4</w:t>
      </w:r>
      <w:r w:rsidRPr="00977097">
        <w:rPr>
          <w:color w:val="222222"/>
          <w:shd w:val="clear" w:color="auto" w:fill="FFFFFF"/>
        </w:rPr>
        <w:t>(2), 141-177.</w:t>
      </w:r>
      <w:r w:rsidRPr="00977097">
        <w:rPr>
          <w:color w:val="EE0000"/>
        </w:rPr>
        <w:t xml:space="preserve"> </w:t>
      </w:r>
    </w:p>
    <w:p w14:paraId="22E44972" w14:textId="77777777" w:rsidR="00977097" w:rsidRPr="00977097" w:rsidRDefault="00977097" w:rsidP="00977097">
      <w:pPr>
        <w:pStyle w:val="ListParagraph"/>
        <w:numPr>
          <w:ilvl w:val="0"/>
          <w:numId w:val="2"/>
        </w:numPr>
        <w:spacing w:after="0" w:line="240" w:lineRule="auto"/>
        <w:rPr>
          <w:rFonts w:ascii="Times New Roman" w:eastAsia="Times New Roman" w:hAnsi="Times New Roman" w:cs="Times New Roman"/>
          <w:kern w:val="0"/>
          <w:sz w:val="24"/>
          <w:szCs w:val="24"/>
          <w:lang w:eastAsia="en-IN"/>
          <w14:ligatures w14:val="none"/>
        </w:rPr>
      </w:pPr>
      <w:r w:rsidRPr="00977097">
        <w:rPr>
          <w:rFonts w:ascii="Times New Roman" w:eastAsia="Times New Roman" w:hAnsi="Times New Roman" w:cs="Times New Roman"/>
          <w:kern w:val="0"/>
          <w:sz w:val="24"/>
          <w:szCs w:val="24"/>
          <w:lang w:eastAsia="en-IN"/>
          <w14:ligatures w14:val="none"/>
        </w:rPr>
        <w:t xml:space="preserve">Mukherjee, S. (2020). Goods and Services Tax efficiency across Indian States: panel stochastic frontier analysis. </w:t>
      </w:r>
      <w:r w:rsidRPr="00977097">
        <w:rPr>
          <w:rFonts w:ascii="Times New Roman" w:eastAsia="Times New Roman" w:hAnsi="Times New Roman" w:cs="Times New Roman"/>
          <w:i/>
          <w:iCs/>
          <w:kern w:val="0"/>
          <w:sz w:val="24"/>
          <w:szCs w:val="24"/>
          <w:lang w:eastAsia="en-IN"/>
          <w14:ligatures w14:val="none"/>
        </w:rPr>
        <w:t>Indian Economic Review</w:t>
      </w:r>
      <w:r w:rsidRPr="00977097">
        <w:rPr>
          <w:rFonts w:ascii="Times New Roman" w:eastAsia="Times New Roman" w:hAnsi="Times New Roman" w:cs="Times New Roman"/>
          <w:kern w:val="0"/>
          <w:sz w:val="24"/>
          <w:szCs w:val="24"/>
          <w:lang w:eastAsia="en-IN"/>
          <w14:ligatures w14:val="none"/>
        </w:rPr>
        <w:t xml:space="preserve">, </w:t>
      </w:r>
      <w:r w:rsidRPr="00977097">
        <w:rPr>
          <w:rFonts w:ascii="Times New Roman" w:eastAsia="Times New Roman" w:hAnsi="Times New Roman" w:cs="Times New Roman"/>
          <w:i/>
          <w:iCs/>
          <w:kern w:val="0"/>
          <w:sz w:val="24"/>
          <w:szCs w:val="24"/>
          <w:lang w:eastAsia="en-IN"/>
          <w14:ligatures w14:val="none"/>
        </w:rPr>
        <w:t>55</w:t>
      </w:r>
      <w:r w:rsidRPr="00977097">
        <w:rPr>
          <w:rFonts w:ascii="Times New Roman" w:eastAsia="Times New Roman" w:hAnsi="Times New Roman" w:cs="Times New Roman"/>
          <w:kern w:val="0"/>
          <w:sz w:val="24"/>
          <w:szCs w:val="24"/>
          <w:lang w:eastAsia="en-IN"/>
          <w14:ligatures w14:val="none"/>
        </w:rPr>
        <w:t>(2), 225–251. https://www.jstor.org/stable/48730406</w:t>
      </w:r>
    </w:p>
    <w:p w14:paraId="36FD25B4" w14:textId="77777777" w:rsidR="00A12905" w:rsidRPr="00977097" w:rsidRDefault="00A12905" w:rsidP="00B53D80">
      <w:pPr>
        <w:pStyle w:val="NormalWeb"/>
        <w:spacing w:before="0" w:beforeAutospacing="0" w:after="0" w:afterAutospacing="0"/>
        <w:ind w:left="720"/>
        <w:jc w:val="both"/>
      </w:pPr>
    </w:p>
    <w:sectPr w:rsidR="00A12905" w:rsidRPr="00977097" w:rsidSect="00A57A0A">
      <w:pgSz w:w="11906" w:h="16838"/>
      <w:pgMar w:top="1134" w:right="1440"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7FD3E" w14:textId="77777777" w:rsidR="00482BC6" w:rsidRDefault="00482BC6" w:rsidP="00FE6775">
      <w:pPr>
        <w:spacing w:after="0" w:line="240" w:lineRule="auto"/>
      </w:pPr>
      <w:r>
        <w:separator/>
      </w:r>
    </w:p>
  </w:endnote>
  <w:endnote w:type="continuationSeparator" w:id="0">
    <w:p w14:paraId="0951267D" w14:textId="77777777" w:rsidR="00482BC6" w:rsidRDefault="00482BC6" w:rsidP="00FE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9619F" w14:textId="77777777" w:rsidR="00C94871" w:rsidRDefault="00C94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223761"/>
      <w:docPartObj>
        <w:docPartGallery w:val="Page Numbers (Bottom of Page)"/>
        <w:docPartUnique/>
      </w:docPartObj>
    </w:sdtPr>
    <w:sdtEndPr/>
    <w:sdtContent>
      <w:p w14:paraId="725CDC5A" w14:textId="71C26A77" w:rsidR="00FE6775" w:rsidRDefault="00FE6775">
        <w:pPr>
          <w:pStyle w:val="Footer"/>
          <w:jc w:val="center"/>
        </w:pPr>
        <w:r>
          <w:fldChar w:fldCharType="begin"/>
        </w:r>
        <w:r>
          <w:instrText>PAGE   \* MERGEFORMAT</w:instrText>
        </w:r>
        <w:r>
          <w:fldChar w:fldCharType="separate"/>
        </w:r>
        <w:r>
          <w:rPr>
            <w:lang w:val="en-GB"/>
          </w:rPr>
          <w:t>2</w:t>
        </w:r>
        <w:r>
          <w:fldChar w:fldCharType="end"/>
        </w:r>
      </w:p>
    </w:sdtContent>
  </w:sdt>
  <w:p w14:paraId="32DE41AE" w14:textId="77777777" w:rsidR="00FE6775" w:rsidRDefault="00FE6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F09E7" w14:textId="77777777" w:rsidR="00C94871" w:rsidRDefault="00C9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DFC32" w14:textId="77777777" w:rsidR="00482BC6" w:rsidRDefault="00482BC6" w:rsidP="00FE6775">
      <w:pPr>
        <w:spacing w:after="0" w:line="240" w:lineRule="auto"/>
      </w:pPr>
      <w:r>
        <w:separator/>
      </w:r>
    </w:p>
  </w:footnote>
  <w:footnote w:type="continuationSeparator" w:id="0">
    <w:p w14:paraId="285F0711" w14:textId="77777777" w:rsidR="00482BC6" w:rsidRDefault="00482BC6" w:rsidP="00FE6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E443F" w14:textId="709F226A" w:rsidR="00C94871" w:rsidRDefault="00C94871">
    <w:pPr>
      <w:pStyle w:val="Header"/>
    </w:pPr>
    <w:r>
      <w:rPr>
        <w:noProof/>
      </w:rPr>
      <w:pict w14:anchorId="70BF2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29094" o:spid="_x0000_s2050" type="#_x0000_t136" style="position:absolute;margin-left:0;margin-top:0;width:546.95pt;height:10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76523" w14:textId="28094D92" w:rsidR="00C94871" w:rsidRDefault="00C94871">
    <w:pPr>
      <w:pStyle w:val="Header"/>
    </w:pPr>
    <w:r>
      <w:rPr>
        <w:noProof/>
      </w:rPr>
      <w:pict w14:anchorId="00892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29095" o:spid="_x0000_s2051" type="#_x0000_t136" style="position:absolute;margin-left:0;margin-top:0;width:546.95pt;height:102.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F61A" w14:textId="76DAF612" w:rsidR="00C94871" w:rsidRDefault="00C94871">
    <w:pPr>
      <w:pStyle w:val="Header"/>
    </w:pPr>
    <w:r>
      <w:rPr>
        <w:noProof/>
      </w:rPr>
      <w:pict w14:anchorId="60CEC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29093" o:spid="_x0000_s2049" type="#_x0000_t136" style="position:absolute;margin-left:0;margin-top:0;width:546.95pt;height:102.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40577"/>
    <w:multiLevelType w:val="hybridMultilevel"/>
    <w:tmpl w:val="A6C43EC6"/>
    <w:lvl w:ilvl="0" w:tplc="8B8CF1F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A54BA4"/>
    <w:multiLevelType w:val="multilevel"/>
    <w:tmpl w:val="1EB6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52C56"/>
    <w:multiLevelType w:val="multilevel"/>
    <w:tmpl w:val="EF986042"/>
    <w:lvl w:ilvl="0">
      <w:start w:val="1"/>
      <w:numFmt w:val="decimal"/>
      <w:lvlText w:val="%1."/>
      <w:lvlJc w:val="left"/>
      <w:pPr>
        <w:tabs>
          <w:tab w:val="num" w:pos="786"/>
        </w:tabs>
        <w:ind w:left="786"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BC4DF6"/>
    <w:multiLevelType w:val="multilevel"/>
    <w:tmpl w:val="3CF8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C7DBA"/>
    <w:multiLevelType w:val="hybridMultilevel"/>
    <w:tmpl w:val="1A9A0C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51CE20D0"/>
    <w:multiLevelType w:val="multilevel"/>
    <w:tmpl w:val="AB789D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850533"/>
    <w:multiLevelType w:val="multilevel"/>
    <w:tmpl w:val="5254F3A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E632B2"/>
    <w:multiLevelType w:val="hybridMultilevel"/>
    <w:tmpl w:val="EE6C43AC"/>
    <w:lvl w:ilvl="0" w:tplc="6BC4B97A">
      <w:start w:val="1"/>
      <w:numFmt w:val="decimal"/>
      <w:lvlText w:val="(%1)"/>
      <w:lvlJc w:val="left"/>
      <w:pPr>
        <w:ind w:left="380" w:hanging="360"/>
      </w:pPr>
      <w:rPr>
        <w:rFonts w:hint="default"/>
        <w:b/>
        <w:bCs/>
      </w:rPr>
    </w:lvl>
    <w:lvl w:ilvl="1" w:tplc="40090019" w:tentative="1">
      <w:start w:val="1"/>
      <w:numFmt w:val="lowerLetter"/>
      <w:lvlText w:val="%2."/>
      <w:lvlJc w:val="left"/>
      <w:pPr>
        <w:ind w:left="1100" w:hanging="360"/>
      </w:pPr>
    </w:lvl>
    <w:lvl w:ilvl="2" w:tplc="4009001B" w:tentative="1">
      <w:start w:val="1"/>
      <w:numFmt w:val="lowerRoman"/>
      <w:lvlText w:val="%3."/>
      <w:lvlJc w:val="right"/>
      <w:pPr>
        <w:ind w:left="1820" w:hanging="180"/>
      </w:pPr>
    </w:lvl>
    <w:lvl w:ilvl="3" w:tplc="4009000F" w:tentative="1">
      <w:start w:val="1"/>
      <w:numFmt w:val="decimal"/>
      <w:lvlText w:val="%4."/>
      <w:lvlJc w:val="left"/>
      <w:pPr>
        <w:ind w:left="2540" w:hanging="360"/>
      </w:pPr>
    </w:lvl>
    <w:lvl w:ilvl="4" w:tplc="40090019" w:tentative="1">
      <w:start w:val="1"/>
      <w:numFmt w:val="lowerLetter"/>
      <w:lvlText w:val="%5."/>
      <w:lvlJc w:val="left"/>
      <w:pPr>
        <w:ind w:left="3260" w:hanging="360"/>
      </w:pPr>
    </w:lvl>
    <w:lvl w:ilvl="5" w:tplc="4009001B" w:tentative="1">
      <w:start w:val="1"/>
      <w:numFmt w:val="lowerRoman"/>
      <w:lvlText w:val="%6."/>
      <w:lvlJc w:val="right"/>
      <w:pPr>
        <w:ind w:left="3980" w:hanging="180"/>
      </w:pPr>
    </w:lvl>
    <w:lvl w:ilvl="6" w:tplc="4009000F" w:tentative="1">
      <w:start w:val="1"/>
      <w:numFmt w:val="decimal"/>
      <w:lvlText w:val="%7."/>
      <w:lvlJc w:val="left"/>
      <w:pPr>
        <w:ind w:left="4700" w:hanging="360"/>
      </w:pPr>
    </w:lvl>
    <w:lvl w:ilvl="7" w:tplc="40090019" w:tentative="1">
      <w:start w:val="1"/>
      <w:numFmt w:val="lowerLetter"/>
      <w:lvlText w:val="%8."/>
      <w:lvlJc w:val="left"/>
      <w:pPr>
        <w:ind w:left="5420" w:hanging="360"/>
      </w:pPr>
    </w:lvl>
    <w:lvl w:ilvl="8" w:tplc="4009001B" w:tentative="1">
      <w:start w:val="1"/>
      <w:numFmt w:val="lowerRoman"/>
      <w:lvlText w:val="%9."/>
      <w:lvlJc w:val="right"/>
      <w:pPr>
        <w:ind w:left="6140" w:hanging="180"/>
      </w:pPr>
    </w:lvl>
  </w:abstractNum>
  <w:num w:numId="1">
    <w:abstractNumId w:val="7"/>
  </w:num>
  <w:num w:numId="2">
    <w:abstractNumId w:val="0"/>
  </w:num>
  <w:num w:numId="3">
    <w:abstractNumId w:val="2"/>
  </w:num>
  <w:num w:numId="4">
    <w:abstractNumId w:val="6"/>
  </w:num>
  <w:num w:numId="5">
    <w:abstractNumId w:val="5"/>
  </w:num>
  <w:num w:numId="6">
    <w:abstractNumId w:val="4"/>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31"/>
    <w:rsid w:val="000004CC"/>
    <w:rsid w:val="00006E48"/>
    <w:rsid w:val="00010452"/>
    <w:rsid w:val="000317C4"/>
    <w:rsid w:val="000340B8"/>
    <w:rsid w:val="0004623A"/>
    <w:rsid w:val="00053FBE"/>
    <w:rsid w:val="0006083A"/>
    <w:rsid w:val="0006586F"/>
    <w:rsid w:val="00067018"/>
    <w:rsid w:val="000674C0"/>
    <w:rsid w:val="000726E4"/>
    <w:rsid w:val="00074A23"/>
    <w:rsid w:val="000800B6"/>
    <w:rsid w:val="00080F28"/>
    <w:rsid w:val="00083FBD"/>
    <w:rsid w:val="00086DB8"/>
    <w:rsid w:val="00087CD9"/>
    <w:rsid w:val="00094045"/>
    <w:rsid w:val="000A7901"/>
    <w:rsid w:val="000C02AE"/>
    <w:rsid w:val="000C1E57"/>
    <w:rsid w:val="000C4D35"/>
    <w:rsid w:val="000C531E"/>
    <w:rsid w:val="000C7425"/>
    <w:rsid w:val="000D270E"/>
    <w:rsid w:val="000D3CE4"/>
    <w:rsid w:val="000D5BC2"/>
    <w:rsid w:val="000D7E9F"/>
    <w:rsid w:val="000E2F95"/>
    <w:rsid w:val="000E4167"/>
    <w:rsid w:val="000E4267"/>
    <w:rsid w:val="000E45E3"/>
    <w:rsid w:val="000E6A55"/>
    <w:rsid w:val="000E7C81"/>
    <w:rsid w:val="000F27C7"/>
    <w:rsid w:val="00101F06"/>
    <w:rsid w:val="00103597"/>
    <w:rsid w:val="00106610"/>
    <w:rsid w:val="00112E2C"/>
    <w:rsid w:val="001177E5"/>
    <w:rsid w:val="001202F6"/>
    <w:rsid w:val="00120D81"/>
    <w:rsid w:val="0012248A"/>
    <w:rsid w:val="0012533D"/>
    <w:rsid w:val="001340B9"/>
    <w:rsid w:val="001416C7"/>
    <w:rsid w:val="00150628"/>
    <w:rsid w:val="001539E5"/>
    <w:rsid w:val="0016186C"/>
    <w:rsid w:val="00190CF1"/>
    <w:rsid w:val="001963EB"/>
    <w:rsid w:val="001978AD"/>
    <w:rsid w:val="00197ABD"/>
    <w:rsid w:val="001A243A"/>
    <w:rsid w:val="001A2A8E"/>
    <w:rsid w:val="001A64E5"/>
    <w:rsid w:val="001B07A0"/>
    <w:rsid w:val="001B2E07"/>
    <w:rsid w:val="001B3619"/>
    <w:rsid w:val="001C26AA"/>
    <w:rsid w:val="001C6132"/>
    <w:rsid w:val="001C62BE"/>
    <w:rsid w:val="001C7E2C"/>
    <w:rsid w:val="001D0B67"/>
    <w:rsid w:val="001D5D9B"/>
    <w:rsid w:val="001E2EB1"/>
    <w:rsid w:val="001E6FDC"/>
    <w:rsid w:val="001F7682"/>
    <w:rsid w:val="002016DB"/>
    <w:rsid w:val="002037E8"/>
    <w:rsid w:val="002176D0"/>
    <w:rsid w:val="002205F3"/>
    <w:rsid w:val="002221C0"/>
    <w:rsid w:val="00223E11"/>
    <w:rsid w:val="0022429D"/>
    <w:rsid w:val="0022671D"/>
    <w:rsid w:val="002304EC"/>
    <w:rsid w:val="00244D1C"/>
    <w:rsid w:val="0024615D"/>
    <w:rsid w:val="00246877"/>
    <w:rsid w:val="00255C2E"/>
    <w:rsid w:val="00256B67"/>
    <w:rsid w:val="002647A1"/>
    <w:rsid w:val="00267554"/>
    <w:rsid w:val="002700D4"/>
    <w:rsid w:val="00280160"/>
    <w:rsid w:val="00282C0D"/>
    <w:rsid w:val="002844F0"/>
    <w:rsid w:val="00284EBB"/>
    <w:rsid w:val="002906B7"/>
    <w:rsid w:val="00290DFE"/>
    <w:rsid w:val="002932E3"/>
    <w:rsid w:val="00296F4A"/>
    <w:rsid w:val="002A0C4E"/>
    <w:rsid w:val="002A6325"/>
    <w:rsid w:val="002B4C16"/>
    <w:rsid w:val="002B7DB0"/>
    <w:rsid w:val="002C5C96"/>
    <w:rsid w:val="002C7D7F"/>
    <w:rsid w:val="002D1B96"/>
    <w:rsid w:val="002E1915"/>
    <w:rsid w:val="002E25F0"/>
    <w:rsid w:val="002E4B43"/>
    <w:rsid w:val="00305FB9"/>
    <w:rsid w:val="00306100"/>
    <w:rsid w:val="003163F7"/>
    <w:rsid w:val="003245AF"/>
    <w:rsid w:val="003259DC"/>
    <w:rsid w:val="003265B6"/>
    <w:rsid w:val="00326DE1"/>
    <w:rsid w:val="003300E2"/>
    <w:rsid w:val="003311FA"/>
    <w:rsid w:val="0034220A"/>
    <w:rsid w:val="00345A35"/>
    <w:rsid w:val="00353AD1"/>
    <w:rsid w:val="00357182"/>
    <w:rsid w:val="003605FE"/>
    <w:rsid w:val="003651DE"/>
    <w:rsid w:val="00365385"/>
    <w:rsid w:val="00370287"/>
    <w:rsid w:val="00375430"/>
    <w:rsid w:val="00392994"/>
    <w:rsid w:val="0039348A"/>
    <w:rsid w:val="003A2F46"/>
    <w:rsid w:val="003A5D0D"/>
    <w:rsid w:val="003A6682"/>
    <w:rsid w:val="003B24AC"/>
    <w:rsid w:val="003B5EAC"/>
    <w:rsid w:val="003D4EC5"/>
    <w:rsid w:val="003D7B7F"/>
    <w:rsid w:val="003E0FAB"/>
    <w:rsid w:val="003E3F8E"/>
    <w:rsid w:val="003F00BF"/>
    <w:rsid w:val="003F0D7C"/>
    <w:rsid w:val="003F413E"/>
    <w:rsid w:val="003F69E6"/>
    <w:rsid w:val="003F7B20"/>
    <w:rsid w:val="00400011"/>
    <w:rsid w:val="00400A70"/>
    <w:rsid w:val="00401E98"/>
    <w:rsid w:val="00404A28"/>
    <w:rsid w:val="0041012E"/>
    <w:rsid w:val="0041050D"/>
    <w:rsid w:val="00414C34"/>
    <w:rsid w:val="004152BD"/>
    <w:rsid w:val="004154DE"/>
    <w:rsid w:val="00416A7F"/>
    <w:rsid w:val="00420643"/>
    <w:rsid w:val="00421813"/>
    <w:rsid w:val="00425A7D"/>
    <w:rsid w:val="0042607E"/>
    <w:rsid w:val="00434D37"/>
    <w:rsid w:val="00445374"/>
    <w:rsid w:val="00452654"/>
    <w:rsid w:val="00455E69"/>
    <w:rsid w:val="00456FD7"/>
    <w:rsid w:val="00457E2D"/>
    <w:rsid w:val="00460A6B"/>
    <w:rsid w:val="00466449"/>
    <w:rsid w:val="0047152A"/>
    <w:rsid w:val="00476E2C"/>
    <w:rsid w:val="00477119"/>
    <w:rsid w:val="00482BC6"/>
    <w:rsid w:val="00486CE4"/>
    <w:rsid w:val="00487449"/>
    <w:rsid w:val="00491727"/>
    <w:rsid w:val="00493A33"/>
    <w:rsid w:val="004A2ED9"/>
    <w:rsid w:val="004A4B7C"/>
    <w:rsid w:val="004A6E6C"/>
    <w:rsid w:val="004B22A0"/>
    <w:rsid w:val="004B59B1"/>
    <w:rsid w:val="004C2750"/>
    <w:rsid w:val="004C6FCA"/>
    <w:rsid w:val="004D6296"/>
    <w:rsid w:val="004E46D4"/>
    <w:rsid w:val="004E776E"/>
    <w:rsid w:val="004E7BC6"/>
    <w:rsid w:val="004F155A"/>
    <w:rsid w:val="004F2FF9"/>
    <w:rsid w:val="005033B4"/>
    <w:rsid w:val="005042BA"/>
    <w:rsid w:val="00504C34"/>
    <w:rsid w:val="00505465"/>
    <w:rsid w:val="00512C59"/>
    <w:rsid w:val="00515AD3"/>
    <w:rsid w:val="0052235A"/>
    <w:rsid w:val="00530B70"/>
    <w:rsid w:val="00532425"/>
    <w:rsid w:val="0053674A"/>
    <w:rsid w:val="00540C38"/>
    <w:rsid w:val="0054155C"/>
    <w:rsid w:val="00544066"/>
    <w:rsid w:val="00545A38"/>
    <w:rsid w:val="005532BD"/>
    <w:rsid w:val="0056330D"/>
    <w:rsid w:val="00564C09"/>
    <w:rsid w:val="00571CBE"/>
    <w:rsid w:val="00571CEB"/>
    <w:rsid w:val="0057719F"/>
    <w:rsid w:val="00583E0C"/>
    <w:rsid w:val="00591554"/>
    <w:rsid w:val="0059248D"/>
    <w:rsid w:val="00593506"/>
    <w:rsid w:val="005A021D"/>
    <w:rsid w:val="005A19FA"/>
    <w:rsid w:val="005A33F0"/>
    <w:rsid w:val="005A3566"/>
    <w:rsid w:val="005B2D1E"/>
    <w:rsid w:val="005B782A"/>
    <w:rsid w:val="005D571A"/>
    <w:rsid w:val="005D6039"/>
    <w:rsid w:val="005D773D"/>
    <w:rsid w:val="005E5EE9"/>
    <w:rsid w:val="005E705A"/>
    <w:rsid w:val="005E764E"/>
    <w:rsid w:val="005F10FE"/>
    <w:rsid w:val="00605510"/>
    <w:rsid w:val="00621943"/>
    <w:rsid w:val="006367A8"/>
    <w:rsid w:val="0064233F"/>
    <w:rsid w:val="0064239C"/>
    <w:rsid w:val="00647AD2"/>
    <w:rsid w:val="00650AB7"/>
    <w:rsid w:val="00653532"/>
    <w:rsid w:val="006540F9"/>
    <w:rsid w:val="00656129"/>
    <w:rsid w:val="006601B0"/>
    <w:rsid w:val="006805AA"/>
    <w:rsid w:val="00694846"/>
    <w:rsid w:val="006A4C4C"/>
    <w:rsid w:val="006A528E"/>
    <w:rsid w:val="006B33D7"/>
    <w:rsid w:val="006B6123"/>
    <w:rsid w:val="006B7F60"/>
    <w:rsid w:val="006C2DE3"/>
    <w:rsid w:val="006D095E"/>
    <w:rsid w:val="006D0D4F"/>
    <w:rsid w:val="006D558D"/>
    <w:rsid w:val="006E179B"/>
    <w:rsid w:val="006F0BA4"/>
    <w:rsid w:val="006F7938"/>
    <w:rsid w:val="0070052C"/>
    <w:rsid w:val="007028B6"/>
    <w:rsid w:val="00703531"/>
    <w:rsid w:val="00705FB6"/>
    <w:rsid w:val="007101DB"/>
    <w:rsid w:val="007130F2"/>
    <w:rsid w:val="007149CA"/>
    <w:rsid w:val="00715587"/>
    <w:rsid w:val="0071643C"/>
    <w:rsid w:val="00717DDC"/>
    <w:rsid w:val="0072112A"/>
    <w:rsid w:val="00721261"/>
    <w:rsid w:val="0072190E"/>
    <w:rsid w:val="0072292E"/>
    <w:rsid w:val="0073486B"/>
    <w:rsid w:val="00735CFB"/>
    <w:rsid w:val="00736F66"/>
    <w:rsid w:val="0074034E"/>
    <w:rsid w:val="0074175B"/>
    <w:rsid w:val="007436F2"/>
    <w:rsid w:val="0074395C"/>
    <w:rsid w:val="0074606C"/>
    <w:rsid w:val="00753185"/>
    <w:rsid w:val="00754DF5"/>
    <w:rsid w:val="00755CA6"/>
    <w:rsid w:val="00756309"/>
    <w:rsid w:val="00761672"/>
    <w:rsid w:val="007664F0"/>
    <w:rsid w:val="0076729A"/>
    <w:rsid w:val="00785E0B"/>
    <w:rsid w:val="00786779"/>
    <w:rsid w:val="00792ECC"/>
    <w:rsid w:val="00796354"/>
    <w:rsid w:val="007A1637"/>
    <w:rsid w:val="007A2312"/>
    <w:rsid w:val="007A5283"/>
    <w:rsid w:val="007C65E2"/>
    <w:rsid w:val="007C6A90"/>
    <w:rsid w:val="007C7662"/>
    <w:rsid w:val="007D04B1"/>
    <w:rsid w:val="007D0BBC"/>
    <w:rsid w:val="007E07F6"/>
    <w:rsid w:val="007E21B1"/>
    <w:rsid w:val="007E3049"/>
    <w:rsid w:val="007E3EEA"/>
    <w:rsid w:val="007F0BAA"/>
    <w:rsid w:val="00803EBC"/>
    <w:rsid w:val="008060F6"/>
    <w:rsid w:val="00807AD4"/>
    <w:rsid w:val="00831E45"/>
    <w:rsid w:val="00834A49"/>
    <w:rsid w:val="00841C06"/>
    <w:rsid w:val="00846E4E"/>
    <w:rsid w:val="00856780"/>
    <w:rsid w:val="008573B2"/>
    <w:rsid w:val="00862CD0"/>
    <w:rsid w:val="00864411"/>
    <w:rsid w:val="00865181"/>
    <w:rsid w:val="0086568A"/>
    <w:rsid w:val="008656B9"/>
    <w:rsid w:val="00866E81"/>
    <w:rsid w:val="008737B3"/>
    <w:rsid w:val="00880B09"/>
    <w:rsid w:val="008824AE"/>
    <w:rsid w:val="00886B48"/>
    <w:rsid w:val="00890855"/>
    <w:rsid w:val="0089265A"/>
    <w:rsid w:val="0089326C"/>
    <w:rsid w:val="00896987"/>
    <w:rsid w:val="008A24A2"/>
    <w:rsid w:val="008A25AB"/>
    <w:rsid w:val="008B1108"/>
    <w:rsid w:val="008B1B1C"/>
    <w:rsid w:val="008C5F2F"/>
    <w:rsid w:val="008D0612"/>
    <w:rsid w:val="008D1691"/>
    <w:rsid w:val="008D709B"/>
    <w:rsid w:val="008E1010"/>
    <w:rsid w:val="008E41CA"/>
    <w:rsid w:val="008E7990"/>
    <w:rsid w:val="008F228F"/>
    <w:rsid w:val="008F4C66"/>
    <w:rsid w:val="0091212A"/>
    <w:rsid w:val="009209AF"/>
    <w:rsid w:val="009214E3"/>
    <w:rsid w:val="00923A65"/>
    <w:rsid w:val="009317B9"/>
    <w:rsid w:val="0093432F"/>
    <w:rsid w:val="00935A34"/>
    <w:rsid w:val="0094111F"/>
    <w:rsid w:val="00942879"/>
    <w:rsid w:val="00951386"/>
    <w:rsid w:val="00951F2B"/>
    <w:rsid w:val="009521E2"/>
    <w:rsid w:val="00956058"/>
    <w:rsid w:val="00956714"/>
    <w:rsid w:val="00956A15"/>
    <w:rsid w:val="00957911"/>
    <w:rsid w:val="00957A72"/>
    <w:rsid w:val="00962495"/>
    <w:rsid w:val="00964558"/>
    <w:rsid w:val="0097420F"/>
    <w:rsid w:val="0097563F"/>
    <w:rsid w:val="00977097"/>
    <w:rsid w:val="00983C6F"/>
    <w:rsid w:val="00990D61"/>
    <w:rsid w:val="0099223E"/>
    <w:rsid w:val="009939F5"/>
    <w:rsid w:val="00996AB7"/>
    <w:rsid w:val="009B5DCB"/>
    <w:rsid w:val="009B6103"/>
    <w:rsid w:val="009B63A4"/>
    <w:rsid w:val="009C289C"/>
    <w:rsid w:val="009C2F49"/>
    <w:rsid w:val="009D0D5E"/>
    <w:rsid w:val="009E3333"/>
    <w:rsid w:val="009F14D8"/>
    <w:rsid w:val="009F448C"/>
    <w:rsid w:val="009F5D3C"/>
    <w:rsid w:val="009F6C02"/>
    <w:rsid w:val="00A10012"/>
    <w:rsid w:val="00A10AB5"/>
    <w:rsid w:val="00A12905"/>
    <w:rsid w:val="00A15EC0"/>
    <w:rsid w:val="00A232E2"/>
    <w:rsid w:val="00A23817"/>
    <w:rsid w:val="00A356A6"/>
    <w:rsid w:val="00A53771"/>
    <w:rsid w:val="00A57A0A"/>
    <w:rsid w:val="00A64F86"/>
    <w:rsid w:val="00A6515B"/>
    <w:rsid w:val="00A65771"/>
    <w:rsid w:val="00A75D1F"/>
    <w:rsid w:val="00A77354"/>
    <w:rsid w:val="00A80825"/>
    <w:rsid w:val="00A833B8"/>
    <w:rsid w:val="00AA377B"/>
    <w:rsid w:val="00AA4AAE"/>
    <w:rsid w:val="00AA5290"/>
    <w:rsid w:val="00AB0C8D"/>
    <w:rsid w:val="00AB5EF4"/>
    <w:rsid w:val="00AC08C0"/>
    <w:rsid w:val="00AC1E2A"/>
    <w:rsid w:val="00AC3B94"/>
    <w:rsid w:val="00AD222B"/>
    <w:rsid w:val="00AD235A"/>
    <w:rsid w:val="00AE546D"/>
    <w:rsid w:val="00AF76F9"/>
    <w:rsid w:val="00B01A84"/>
    <w:rsid w:val="00B02F72"/>
    <w:rsid w:val="00B05936"/>
    <w:rsid w:val="00B10758"/>
    <w:rsid w:val="00B172D1"/>
    <w:rsid w:val="00B202BB"/>
    <w:rsid w:val="00B22F52"/>
    <w:rsid w:val="00B2338F"/>
    <w:rsid w:val="00B3322A"/>
    <w:rsid w:val="00B4189E"/>
    <w:rsid w:val="00B45EDF"/>
    <w:rsid w:val="00B46410"/>
    <w:rsid w:val="00B50017"/>
    <w:rsid w:val="00B51A39"/>
    <w:rsid w:val="00B52069"/>
    <w:rsid w:val="00B53D80"/>
    <w:rsid w:val="00B621CC"/>
    <w:rsid w:val="00B63954"/>
    <w:rsid w:val="00B653E5"/>
    <w:rsid w:val="00B660DC"/>
    <w:rsid w:val="00B666FD"/>
    <w:rsid w:val="00B67F8C"/>
    <w:rsid w:val="00B70B57"/>
    <w:rsid w:val="00B70F54"/>
    <w:rsid w:val="00B87948"/>
    <w:rsid w:val="00B92CCC"/>
    <w:rsid w:val="00B930ED"/>
    <w:rsid w:val="00B9473B"/>
    <w:rsid w:val="00B96DBF"/>
    <w:rsid w:val="00BA27DD"/>
    <w:rsid w:val="00BA5797"/>
    <w:rsid w:val="00BB7187"/>
    <w:rsid w:val="00BC0BFA"/>
    <w:rsid w:val="00BC427D"/>
    <w:rsid w:val="00BD16DE"/>
    <w:rsid w:val="00BD3127"/>
    <w:rsid w:val="00BD3AC3"/>
    <w:rsid w:val="00BD4D93"/>
    <w:rsid w:val="00BD4E8D"/>
    <w:rsid w:val="00BD5FFB"/>
    <w:rsid w:val="00BD7090"/>
    <w:rsid w:val="00BD793B"/>
    <w:rsid w:val="00BE3363"/>
    <w:rsid w:val="00BE67FE"/>
    <w:rsid w:val="00BE76F0"/>
    <w:rsid w:val="00BF14D1"/>
    <w:rsid w:val="00BF339F"/>
    <w:rsid w:val="00BF59C0"/>
    <w:rsid w:val="00C023AB"/>
    <w:rsid w:val="00C02FC8"/>
    <w:rsid w:val="00C10462"/>
    <w:rsid w:val="00C10920"/>
    <w:rsid w:val="00C140E9"/>
    <w:rsid w:val="00C1698B"/>
    <w:rsid w:val="00C255D1"/>
    <w:rsid w:val="00C25990"/>
    <w:rsid w:val="00C25D1D"/>
    <w:rsid w:val="00C30692"/>
    <w:rsid w:val="00C35528"/>
    <w:rsid w:val="00C3627A"/>
    <w:rsid w:val="00C40067"/>
    <w:rsid w:val="00C41139"/>
    <w:rsid w:val="00C41EDD"/>
    <w:rsid w:val="00C41FF2"/>
    <w:rsid w:val="00C447D4"/>
    <w:rsid w:val="00C53DA6"/>
    <w:rsid w:val="00C54EEE"/>
    <w:rsid w:val="00C604DF"/>
    <w:rsid w:val="00C60C56"/>
    <w:rsid w:val="00C61F33"/>
    <w:rsid w:val="00C638DA"/>
    <w:rsid w:val="00C67906"/>
    <w:rsid w:val="00C7003E"/>
    <w:rsid w:val="00C71CE3"/>
    <w:rsid w:val="00C71D50"/>
    <w:rsid w:val="00C767EF"/>
    <w:rsid w:val="00C93658"/>
    <w:rsid w:val="00C93D6F"/>
    <w:rsid w:val="00C94871"/>
    <w:rsid w:val="00CA01D5"/>
    <w:rsid w:val="00CA0A8B"/>
    <w:rsid w:val="00CA10AC"/>
    <w:rsid w:val="00CA206E"/>
    <w:rsid w:val="00CB653B"/>
    <w:rsid w:val="00CC135B"/>
    <w:rsid w:val="00CC21A7"/>
    <w:rsid w:val="00CC25FA"/>
    <w:rsid w:val="00CC2DB3"/>
    <w:rsid w:val="00CC3E51"/>
    <w:rsid w:val="00CC3F30"/>
    <w:rsid w:val="00CC5D32"/>
    <w:rsid w:val="00CD5831"/>
    <w:rsid w:val="00CD6264"/>
    <w:rsid w:val="00CD6DE4"/>
    <w:rsid w:val="00CF1909"/>
    <w:rsid w:val="00CF3A28"/>
    <w:rsid w:val="00CF717C"/>
    <w:rsid w:val="00D06330"/>
    <w:rsid w:val="00D106D8"/>
    <w:rsid w:val="00D1325E"/>
    <w:rsid w:val="00D2047B"/>
    <w:rsid w:val="00D24269"/>
    <w:rsid w:val="00D25A43"/>
    <w:rsid w:val="00D262B4"/>
    <w:rsid w:val="00D30382"/>
    <w:rsid w:val="00D309D8"/>
    <w:rsid w:val="00D44000"/>
    <w:rsid w:val="00D52376"/>
    <w:rsid w:val="00D525A7"/>
    <w:rsid w:val="00D56A8E"/>
    <w:rsid w:val="00D62D1B"/>
    <w:rsid w:val="00D63231"/>
    <w:rsid w:val="00D64A2F"/>
    <w:rsid w:val="00D67433"/>
    <w:rsid w:val="00D67613"/>
    <w:rsid w:val="00D70914"/>
    <w:rsid w:val="00D73E3B"/>
    <w:rsid w:val="00D74F70"/>
    <w:rsid w:val="00D84495"/>
    <w:rsid w:val="00D844CE"/>
    <w:rsid w:val="00D87576"/>
    <w:rsid w:val="00D9461D"/>
    <w:rsid w:val="00DB032B"/>
    <w:rsid w:val="00DB2525"/>
    <w:rsid w:val="00DB6959"/>
    <w:rsid w:val="00DC0D43"/>
    <w:rsid w:val="00DC46A4"/>
    <w:rsid w:val="00DE4235"/>
    <w:rsid w:val="00DF2225"/>
    <w:rsid w:val="00E0097D"/>
    <w:rsid w:val="00E00BBA"/>
    <w:rsid w:val="00E07B42"/>
    <w:rsid w:val="00E12372"/>
    <w:rsid w:val="00E13973"/>
    <w:rsid w:val="00E15BF1"/>
    <w:rsid w:val="00E16719"/>
    <w:rsid w:val="00E25B57"/>
    <w:rsid w:val="00E32FFB"/>
    <w:rsid w:val="00E36065"/>
    <w:rsid w:val="00E36160"/>
    <w:rsid w:val="00E427C6"/>
    <w:rsid w:val="00E4747C"/>
    <w:rsid w:val="00E63B7F"/>
    <w:rsid w:val="00E65CAB"/>
    <w:rsid w:val="00E73444"/>
    <w:rsid w:val="00E7771E"/>
    <w:rsid w:val="00E83636"/>
    <w:rsid w:val="00E90EDF"/>
    <w:rsid w:val="00E95A26"/>
    <w:rsid w:val="00EA4499"/>
    <w:rsid w:val="00EB3740"/>
    <w:rsid w:val="00EB730D"/>
    <w:rsid w:val="00EE03CC"/>
    <w:rsid w:val="00EE1412"/>
    <w:rsid w:val="00EE746E"/>
    <w:rsid w:val="00F037E7"/>
    <w:rsid w:val="00F045BE"/>
    <w:rsid w:val="00F0629A"/>
    <w:rsid w:val="00F14C6A"/>
    <w:rsid w:val="00F16C03"/>
    <w:rsid w:val="00F21B98"/>
    <w:rsid w:val="00F2494D"/>
    <w:rsid w:val="00F260E5"/>
    <w:rsid w:val="00F31067"/>
    <w:rsid w:val="00F331A6"/>
    <w:rsid w:val="00F36F9C"/>
    <w:rsid w:val="00F67E1B"/>
    <w:rsid w:val="00F73962"/>
    <w:rsid w:val="00F77204"/>
    <w:rsid w:val="00F806FE"/>
    <w:rsid w:val="00F80DB4"/>
    <w:rsid w:val="00F84DF8"/>
    <w:rsid w:val="00F90228"/>
    <w:rsid w:val="00FA01AF"/>
    <w:rsid w:val="00FA172D"/>
    <w:rsid w:val="00FA2AF2"/>
    <w:rsid w:val="00FB2D61"/>
    <w:rsid w:val="00FC5089"/>
    <w:rsid w:val="00FC5652"/>
    <w:rsid w:val="00FD205C"/>
    <w:rsid w:val="00FE46D9"/>
    <w:rsid w:val="00FE67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6370C4"/>
  <w15:chartTrackingRefBased/>
  <w15:docId w15:val="{08ABDEFB-025F-4D07-A1B5-81BE83A4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045B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semiHidden/>
    <w:unhideWhenUsed/>
    <w:qFormat/>
    <w:rsid w:val="005A19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23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63231"/>
    <w:rPr>
      <w:b/>
      <w:bCs/>
    </w:rPr>
  </w:style>
  <w:style w:type="character" w:styleId="Emphasis">
    <w:name w:val="Emphasis"/>
    <w:basedOn w:val="DefaultParagraphFont"/>
    <w:uiPriority w:val="20"/>
    <w:qFormat/>
    <w:rsid w:val="00CC21A7"/>
    <w:rPr>
      <w:i/>
      <w:iCs/>
    </w:rPr>
  </w:style>
  <w:style w:type="character" w:styleId="Hyperlink">
    <w:name w:val="Hyperlink"/>
    <w:basedOn w:val="DefaultParagraphFont"/>
    <w:uiPriority w:val="99"/>
    <w:unhideWhenUsed/>
    <w:rsid w:val="00DB032B"/>
    <w:rPr>
      <w:color w:val="0563C1" w:themeColor="hyperlink"/>
      <w:u w:val="single"/>
    </w:rPr>
  </w:style>
  <w:style w:type="character" w:styleId="UnresolvedMention">
    <w:name w:val="Unresolved Mention"/>
    <w:basedOn w:val="DefaultParagraphFont"/>
    <w:uiPriority w:val="99"/>
    <w:semiHidden/>
    <w:unhideWhenUsed/>
    <w:rsid w:val="00DB032B"/>
    <w:rPr>
      <w:color w:val="605E5C"/>
      <w:shd w:val="clear" w:color="auto" w:fill="E1DFDD"/>
    </w:rPr>
  </w:style>
  <w:style w:type="character" w:customStyle="1" w:styleId="ng-star-inserted">
    <w:name w:val="ng-star-inserted"/>
    <w:basedOn w:val="DefaultParagraphFont"/>
    <w:rsid w:val="005B2D1E"/>
  </w:style>
  <w:style w:type="character" w:customStyle="1" w:styleId="bold">
    <w:name w:val="bold"/>
    <w:basedOn w:val="DefaultParagraphFont"/>
    <w:rsid w:val="005B2D1E"/>
  </w:style>
  <w:style w:type="paragraph" w:styleId="ListParagraph">
    <w:name w:val="List Paragraph"/>
    <w:basedOn w:val="Normal"/>
    <w:uiPriority w:val="34"/>
    <w:qFormat/>
    <w:rsid w:val="005B2D1E"/>
    <w:pPr>
      <w:ind w:left="720"/>
      <w:contextualSpacing/>
    </w:pPr>
  </w:style>
  <w:style w:type="character" w:customStyle="1" w:styleId="mop">
    <w:name w:val="mop"/>
    <w:basedOn w:val="DefaultParagraphFont"/>
    <w:rsid w:val="007101DB"/>
  </w:style>
  <w:style w:type="character" w:customStyle="1" w:styleId="mopen">
    <w:name w:val="mopen"/>
    <w:basedOn w:val="DefaultParagraphFont"/>
    <w:rsid w:val="007101DB"/>
  </w:style>
  <w:style w:type="character" w:customStyle="1" w:styleId="mord">
    <w:name w:val="mord"/>
    <w:basedOn w:val="DefaultParagraphFont"/>
    <w:rsid w:val="007101DB"/>
  </w:style>
  <w:style w:type="character" w:customStyle="1" w:styleId="vlist-s">
    <w:name w:val="vlist-s"/>
    <w:basedOn w:val="DefaultParagraphFont"/>
    <w:rsid w:val="007101DB"/>
  </w:style>
  <w:style w:type="character" w:customStyle="1" w:styleId="mclose">
    <w:name w:val="mclose"/>
    <w:basedOn w:val="DefaultParagraphFont"/>
    <w:rsid w:val="007101DB"/>
  </w:style>
  <w:style w:type="character" w:customStyle="1" w:styleId="mrel">
    <w:name w:val="mrel"/>
    <w:basedOn w:val="DefaultParagraphFont"/>
    <w:rsid w:val="007101DB"/>
  </w:style>
  <w:style w:type="character" w:customStyle="1" w:styleId="mbin">
    <w:name w:val="mbin"/>
    <w:basedOn w:val="DefaultParagraphFont"/>
    <w:rsid w:val="007101DB"/>
  </w:style>
  <w:style w:type="paragraph" w:styleId="Header">
    <w:name w:val="header"/>
    <w:basedOn w:val="Normal"/>
    <w:link w:val="HeaderChar"/>
    <w:uiPriority w:val="99"/>
    <w:unhideWhenUsed/>
    <w:rsid w:val="00FE6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775"/>
  </w:style>
  <w:style w:type="paragraph" w:styleId="Footer">
    <w:name w:val="footer"/>
    <w:basedOn w:val="Normal"/>
    <w:link w:val="FooterChar"/>
    <w:uiPriority w:val="99"/>
    <w:unhideWhenUsed/>
    <w:rsid w:val="00FE6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775"/>
  </w:style>
  <w:style w:type="paragraph" w:styleId="FootnoteText">
    <w:name w:val="footnote text"/>
    <w:basedOn w:val="Normal"/>
    <w:link w:val="FootnoteTextChar"/>
    <w:uiPriority w:val="99"/>
    <w:semiHidden/>
    <w:unhideWhenUsed/>
    <w:rsid w:val="00A100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012"/>
    <w:rPr>
      <w:sz w:val="20"/>
      <w:szCs w:val="20"/>
    </w:rPr>
  </w:style>
  <w:style w:type="character" w:styleId="FootnoteReference">
    <w:name w:val="footnote reference"/>
    <w:basedOn w:val="DefaultParagraphFont"/>
    <w:uiPriority w:val="99"/>
    <w:semiHidden/>
    <w:unhideWhenUsed/>
    <w:rsid w:val="00A10012"/>
    <w:rPr>
      <w:vertAlign w:val="superscript"/>
    </w:rPr>
  </w:style>
  <w:style w:type="character" w:styleId="CommentReference">
    <w:name w:val="annotation reference"/>
    <w:basedOn w:val="DefaultParagraphFont"/>
    <w:uiPriority w:val="99"/>
    <w:semiHidden/>
    <w:unhideWhenUsed/>
    <w:rsid w:val="00571CBE"/>
    <w:rPr>
      <w:sz w:val="16"/>
      <w:szCs w:val="16"/>
    </w:rPr>
  </w:style>
  <w:style w:type="paragraph" w:styleId="CommentText">
    <w:name w:val="annotation text"/>
    <w:basedOn w:val="Normal"/>
    <w:link w:val="CommentTextChar"/>
    <w:uiPriority w:val="99"/>
    <w:unhideWhenUsed/>
    <w:rsid w:val="00571CBE"/>
    <w:pPr>
      <w:spacing w:line="240" w:lineRule="auto"/>
    </w:pPr>
    <w:rPr>
      <w:sz w:val="20"/>
      <w:szCs w:val="20"/>
    </w:rPr>
  </w:style>
  <w:style w:type="character" w:customStyle="1" w:styleId="CommentTextChar">
    <w:name w:val="Comment Text Char"/>
    <w:basedOn w:val="DefaultParagraphFont"/>
    <w:link w:val="CommentText"/>
    <w:uiPriority w:val="99"/>
    <w:rsid w:val="00571CBE"/>
    <w:rPr>
      <w:sz w:val="20"/>
      <w:szCs w:val="20"/>
    </w:rPr>
  </w:style>
  <w:style w:type="paragraph" w:styleId="CommentSubject">
    <w:name w:val="annotation subject"/>
    <w:basedOn w:val="CommentText"/>
    <w:next w:val="CommentText"/>
    <w:link w:val="CommentSubjectChar"/>
    <w:uiPriority w:val="99"/>
    <w:semiHidden/>
    <w:unhideWhenUsed/>
    <w:rsid w:val="00571CBE"/>
    <w:rPr>
      <w:b/>
      <w:bCs/>
    </w:rPr>
  </w:style>
  <w:style w:type="character" w:customStyle="1" w:styleId="CommentSubjectChar">
    <w:name w:val="Comment Subject Char"/>
    <w:basedOn w:val="CommentTextChar"/>
    <w:link w:val="CommentSubject"/>
    <w:uiPriority w:val="99"/>
    <w:semiHidden/>
    <w:rsid w:val="00571CBE"/>
    <w:rPr>
      <w:b/>
      <w:bCs/>
      <w:sz w:val="20"/>
      <w:szCs w:val="20"/>
    </w:rPr>
  </w:style>
  <w:style w:type="character" w:styleId="PlaceholderText">
    <w:name w:val="Placeholder Text"/>
    <w:basedOn w:val="DefaultParagraphFont"/>
    <w:uiPriority w:val="99"/>
    <w:semiHidden/>
    <w:rsid w:val="008656B9"/>
    <w:rPr>
      <w:color w:val="666666"/>
    </w:rPr>
  </w:style>
  <w:style w:type="character" w:customStyle="1" w:styleId="katex-mathml">
    <w:name w:val="katex-mathml"/>
    <w:basedOn w:val="DefaultParagraphFont"/>
    <w:rsid w:val="008656B9"/>
  </w:style>
  <w:style w:type="character" w:customStyle="1" w:styleId="Heading2Char">
    <w:name w:val="Heading 2 Char"/>
    <w:basedOn w:val="DefaultParagraphFont"/>
    <w:link w:val="Heading2"/>
    <w:uiPriority w:val="9"/>
    <w:rsid w:val="00F045BE"/>
    <w:rPr>
      <w:rFonts w:ascii="Times New Roman" w:eastAsia="Times New Roman" w:hAnsi="Times New Roman" w:cs="Times New Roman"/>
      <w:b/>
      <w:bCs/>
      <w:kern w:val="0"/>
      <w:sz w:val="36"/>
      <w:szCs w:val="36"/>
      <w:lang w:eastAsia="en-IN"/>
      <w14:ligatures w14:val="none"/>
    </w:rPr>
  </w:style>
  <w:style w:type="character" w:customStyle="1" w:styleId="Heading3Char">
    <w:name w:val="Heading 3 Char"/>
    <w:basedOn w:val="DefaultParagraphFont"/>
    <w:link w:val="Heading3"/>
    <w:uiPriority w:val="9"/>
    <w:semiHidden/>
    <w:rsid w:val="005A19F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1405">
      <w:bodyDiv w:val="1"/>
      <w:marLeft w:val="0"/>
      <w:marRight w:val="0"/>
      <w:marTop w:val="0"/>
      <w:marBottom w:val="0"/>
      <w:divBdr>
        <w:top w:val="none" w:sz="0" w:space="0" w:color="auto"/>
        <w:left w:val="none" w:sz="0" w:space="0" w:color="auto"/>
        <w:bottom w:val="none" w:sz="0" w:space="0" w:color="auto"/>
        <w:right w:val="none" w:sz="0" w:space="0" w:color="auto"/>
      </w:divBdr>
      <w:divsChild>
        <w:div w:id="12534769">
          <w:marLeft w:val="0"/>
          <w:marRight w:val="0"/>
          <w:marTop w:val="0"/>
          <w:marBottom w:val="0"/>
          <w:divBdr>
            <w:top w:val="none" w:sz="0" w:space="0" w:color="auto"/>
            <w:left w:val="none" w:sz="0" w:space="0" w:color="auto"/>
            <w:bottom w:val="none" w:sz="0" w:space="0" w:color="auto"/>
            <w:right w:val="none" w:sz="0" w:space="0" w:color="auto"/>
          </w:divBdr>
          <w:divsChild>
            <w:div w:id="1378091612">
              <w:marLeft w:val="0"/>
              <w:marRight w:val="0"/>
              <w:marTop w:val="0"/>
              <w:marBottom w:val="0"/>
              <w:divBdr>
                <w:top w:val="none" w:sz="0" w:space="0" w:color="auto"/>
                <w:left w:val="none" w:sz="0" w:space="0" w:color="auto"/>
                <w:bottom w:val="none" w:sz="0" w:space="0" w:color="auto"/>
                <w:right w:val="none" w:sz="0" w:space="0" w:color="auto"/>
              </w:divBdr>
              <w:divsChild>
                <w:div w:id="163134874">
                  <w:marLeft w:val="0"/>
                  <w:marRight w:val="0"/>
                  <w:marTop w:val="0"/>
                  <w:marBottom w:val="0"/>
                  <w:divBdr>
                    <w:top w:val="none" w:sz="0" w:space="0" w:color="auto"/>
                    <w:left w:val="none" w:sz="0" w:space="0" w:color="auto"/>
                    <w:bottom w:val="none" w:sz="0" w:space="0" w:color="auto"/>
                    <w:right w:val="none" w:sz="0" w:space="0" w:color="auto"/>
                  </w:divBdr>
                  <w:divsChild>
                    <w:div w:id="20307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4763">
          <w:marLeft w:val="0"/>
          <w:marRight w:val="0"/>
          <w:marTop w:val="0"/>
          <w:marBottom w:val="0"/>
          <w:divBdr>
            <w:top w:val="none" w:sz="0" w:space="0" w:color="auto"/>
            <w:left w:val="none" w:sz="0" w:space="0" w:color="auto"/>
            <w:bottom w:val="none" w:sz="0" w:space="0" w:color="auto"/>
            <w:right w:val="none" w:sz="0" w:space="0" w:color="auto"/>
          </w:divBdr>
          <w:divsChild>
            <w:div w:id="1769229491">
              <w:marLeft w:val="0"/>
              <w:marRight w:val="0"/>
              <w:marTop w:val="0"/>
              <w:marBottom w:val="0"/>
              <w:divBdr>
                <w:top w:val="none" w:sz="0" w:space="0" w:color="auto"/>
                <w:left w:val="none" w:sz="0" w:space="0" w:color="auto"/>
                <w:bottom w:val="none" w:sz="0" w:space="0" w:color="auto"/>
                <w:right w:val="none" w:sz="0" w:space="0" w:color="auto"/>
              </w:divBdr>
              <w:divsChild>
                <w:div w:id="1749770339">
                  <w:marLeft w:val="0"/>
                  <w:marRight w:val="0"/>
                  <w:marTop w:val="0"/>
                  <w:marBottom w:val="0"/>
                  <w:divBdr>
                    <w:top w:val="none" w:sz="0" w:space="0" w:color="auto"/>
                    <w:left w:val="none" w:sz="0" w:space="0" w:color="auto"/>
                    <w:bottom w:val="none" w:sz="0" w:space="0" w:color="auto"/>
                    <w:right w:val="none" w:sz="0" w:space="0" w:color="auto"/>
                  </w:divBdr>
                  <w:divsChild>
                    <w:div w:id="2407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23014">
      <w:bodyDiv w:val="1"/>
      <w:marLeft w:val="0"/>
      <w:marRight w:val="0"/>
      <w:marTop w:val="0"/>
      <w:marBottom w:val="0"/>
      <w:divBdr>
        <w:top w:val="none" w:sz="0" w:space="0" w:color="auto"/>
        <w:left w:val="none" w:sz="0" w:space="0" w:color="auto"/>
        <w:bottom w:val="none" w:sz="0" w:space="0" w:color="auto"/>
        <w:right w:val="none" w:sz="0" w:space="0" w:color="auto"/>
      </w:divBdr>
    </w:div>
    <w:div w:id="45766353">
      <w:bodyDiv w:val="1"/>
      <w:marLeft w:val="0"/>
      <w:marRight w:val="0"/>
      <w:marTop w:val="0"/>
      <w:marBottom w:val="0"/>
      <w:divBdr>
        <w:top w:val="none" w:sz="0" w:space="0" w:color="auto"/>
        <w:left w:val="none" w:sz="0" w:space="0" w:color="auto"/>
        <w:bottom w:val="none" w:sz="0" w:space="0" w:color="auto"/>
        <w:right w:val="none" w:sz="0" w:space="0" w:color="auto"/>
      </w:divBdr>
      <w:divsChild>
        <w:div w:id="63796452">
          <w:marLeft w:val="0"/>
          <w:marRight w:val="0"/>
          <w:marTop w:val="0"/>
          <w:marBottom w:val="0"/>
          <w:divBdr>
            <w:top w:val="none" w:sz="0" w:space="0" w:color="auto"/>
            <w:left w:val="none" w:sz="0" w:space="0" w:color="auto"/>
            <w:bottom w:val="none" w:sz="0" w:space="0" w:color="auto"/>
            <w:right w:val="none" w:sz="0" w:space="0" w:color="auto"/>
          </w:divBdr>
        </w:div>
        <w:div w:id="120610693">
          <w:marLeft w:val="0"/>
          <w:marRight w:val="0"/>
          <w:marTop w:val="0"/>
          <w:marBottom w:val="0"/>
          <w:divBdr>
            <w:top w:val="none" w:sz="0" w:space="0" w:color="auto"/>
            <w:left w:val="none" w:sz="0" w:space="0" w:color="auto"/>
            <w:bottom w:val="none" w:sz="0" w:space="0" w:color="auto"/>
            <w:right w:val="none" w:sz="0" w:space="0" w:color="auto"/>
          </w:divBdr>
        </w:div>
        <w:div w:id="148640970">
          <w:marLeft w:val="0"/>
          <w:marRight w:val="0"/>
          <w:marTop w:val="0"/>
          <w:marBottom w:val="0"/>
          <w:divBdr>
            <w:top w:val="none" w:sz="0" w:space="0" w:color="auto"/>
            <w:left w:val="none" w:sz="0" w:space="0" w:color="auto"/>
            <w:bottom w:val="none" w:sz="0" w:space="0" w:color="auto"/>
            <w:right w:val="none" w:sz="0" w:space="0" w:color="auto"/>
          </w:divBdr>
        </w:div>
        <w:div w:id="163015005">
          <w:marLeft w:val="0"/>
          <w:marRight w:val="0"/>
          <w:marTop w:val="0"/>
          <w:marBottom w:val="0"/>
          <w:divBdr>
            <w:top w:val="none" w:sz="0" w:space="0" w:color="auto"/>
            <w:left w:val="none" w:sz="0" w:space="0" w:color="auto"/>
            <w:bottom w:val="none" w:sz="0" w:space="0" w:color="auto"/>
            <w:right w:val="none" w:sz="0" w:space="0" w:color="auto"/>
          </w:divBdr>
        </w:div>
        <w:div w:id="181359114">
          <w:marLeft w:val="0"/>
          <w:marRight w:val="0"/>
          <w:marTop w:val="0"/>
          <w:marBottom w:val="0"/>
          <w:divBdr>
            <w:top w:val="none" w:sz="0" w:space="0" w:color="auto"/>
            <w:left w:val="none" w:sz="0" w:space="0" w:color="auto"/>
            <w:bottom w:val="none" w:sz="0" w:space="0" w:color="auto"/>
            <w:right w:val="none" w:sz="0" w:space="0" w:color="auto"/>
          </w:divBdr>
        </w:div>
        <w:div w:id="358625377">
          <w:marLeft w:val="0"/>
          <w:marRight w:val="0"/>
          <w:marTop w:val="0"/>
          <w:marBottom w:val="0"/>
          <w:divBdr>
            <w:top w:val="none" w:sz="0" w:space="0" w:color="auto"/>
            <w:left w:val="none" w:sz="0" w:space="0" w:color="auto"/>
            <w:bottom w:val="none" w:sz="0" w:space="0" w:color="auto"/>
            <w:right w:val="none" w:sz="0" w:space="0" w:color="auto"/>
          </w:divBdr>
        </w:div>
        <w:div w:id="467404761">
          <w:marLeft w:val="0"/>
          <w:marRight w:val="0"/>
          <w:marTop w:val="0"/>
          <w:marBottom w:val="0"/>
          <w:divBdr>
            <w:top w:val="none" w:sz="0" w:space="0" w:color="auto"/>
            <w:left w:val="none" w:sz="0" w:space="0" w:color="auto"/>
            <w:bottom w:val="none" w:sz="0" w:space="0" w:color="auto"/>
            <w:right w:val="none" w:sz="0" w:space="0" w:color="auto"/>
          </w:divBdr>
        </w:div>
        <w:div w:id="474760520">
          <w:marLeft w:val="0"/>
          <w:marRight w:val="0"/>
          <w:marTop w:val="0"/>
          <w:marBottom w:val="0"/>
          <w:divBdr>
            <w:top w:val="none" w:sz="0" w:space="0" w:color="auto"/>
            <w:left w:val="none" w:sz="0" w:space="0" w:color="auto"/>
            <w:bottom w:val="none" w:sz="0" w:space="0" w:color="auto"/>
            <w:right w:val="none" w:sz="0" w:space="0" w:color="auto"/>
          </w:divBdr>
        </w:div>
        <w:div w:id="586698035">
          <w:marLeft w:val="0"/>
          <w:marRight w:val="0"/>
          <w:marTop w:val="0"/>
          <w:marBottom w:val="0"/>
          <w:divBdr>
            <w:top w:val="none" w:sz="0" w:space="0" w:color="auto"/>
            <w:left w:val="none" w:sz="0" w:space="0" w:color="auto"/>
            <w:bottom w:val="none" w:sz="0" w:space="0" w:color="auto"/>
            <w:right w:val="none" w:sz="0" w:space="0" w:color="auto"/>
          </w:divBdr>
        </w:div>
        <w:div w:id="647250506">
          <w:marLeft w:val="0"/>
          <w:marRight w:val="0"/>
          <w:marTop w:val="0"/>
          <w:marBottom w:val="0"/>
          <w:divBdr>
            <w:top w:val="none" w:sz="0" w:space="0" w:color="auto"/>
            <w:left w:val="none" w:sz="0" w:space="0" w:color="auto"/>
            <w:bottom w:val="none" w:sz="0" w:space="0" w:color="auto"/>
            <w:right w:val="none" w:sz="0" w:space="0" w:color="auto"/>
          </w:divBdr>
        </w:div>
        <w:div w:id="651712876">
          <w:marLeft w:val="0"/>
          <w:marRight w:val="0"/>
          <w:marTop w:val="0"/>
          <w:marBottom w:val="0"/>
          <w:divBdr>
            <w:top w:val="none" w:sz="0" w:space="0" w:color="auto"/>
            <w:left w:val="none" w:sz="0" w:space="0" w:color="auto"/>
            <w:bottom w:val="none" w:sz="0" w:space="0" w:color="auto"/>
            <w:right w:val="none" w:sz="0" w:space="0" w:color="auto"/>
          </w:divBdr>
        </w:div>
        <w:div w:id="655646279">
          <w:marLeft w:val="0"/>
          <w:marRight w:val="0"/>
          <w:marTop w:val="0"/>
          <w:marBottom w:val="0"/>
          <w:divBdr>
            <w:top w:val="none" w:sz="0" w:space="0" w:color="auto"/>
            <w:left w:val="none" w:sz="0" w:space="0" w:color="auto"/>
            <w:bottom w:val="none" w:sz="0" w:space="0" w:color="auto"/>
            <w:right w:val="none" w:sz="0" w:space="0" w:color="auto"/>
          </w:divBdr>
        </w:div>
        <w:div w:id="666447182">
          <w:marLeft w:val="0"/>
          <w:marRight w:val="0"/>
          <w:marTop w:val="0"/>
          <w:marBottom w:val="0"/>
          <w:divBdr>
            <w:top w:val="none" w:sz="0" w:space="0" w:color="auto"/>
            <w:left w:val="none" w:sz="0" w:space="0" w:color="auto"/>
            <w:bottom w:val="none" w:sz="0" w:space="0" w:color="auto"/>
            <w:right w:val="none" w:sz="0" w:space="0" w:color="auto"/>
          </w:divBdr>
        </w:div>
        <w:div w:id="716703923">
          <w:marLeft w:val="0"/>
          <w:marRight w:val="0"/>
          <w:marTop w:val="0"/>
          <w:marBottom w:val="0"/>
          <w:divBdr>
            <w:top w:val="none" w:sz="0" w:space="0" w:color="auto"/>
            <w:left w:val="none" w:sz="0" w:space="0" w:color="auto"/>
            <w:bottom w:val="none" w:sz="0" w:space="0" w:color="auto"/>
            <w:right w:val="none" w:sz="0" w:space="0" w:color="auto"/>
          </w:divBdr>
        </w:div>
        <w:div w:id="777412850">
          <w:marLeft w:val="0"/>
          <w:marRight w:val="0"/>
          <w:marTop w:val="0"/>
          <w:marBottom w:val="0"/>
          <w:divBdr>
            <w:top w:val="none" w:sz="0" w:space="0" w:color="auto"/>
            <w:left w:val="none" w:sz="0" w:space="0" w:color="auto"/>
            <w:bottom w:val="none" w:sz="0" w:space="0" w:color="auto"/>
            <w:right w:val="none" w:sz="0" w:space="0" w:color="auto"/>
          </w:divBdr>
        </w:div>
        <w:div w:id="849875431">
          <w:marLeft w:val="0"/>
          <w:marRight w:val="0"/>
          <w:marTop w:val="0"/>
          <w:marBottom w:val="0"/>
          <w:divBdr>
            <w:top w:val="none" w:sz="0" w:space="0" w:color="auto"/>
            <w:left w:val="none" w:sz="0" w:space="0" w:color="auto"/>
            <w:bottom w:val="none" w:sz="0" w:space="0" w:color="auto"/>
            <w:right w:val="none" w:sz="0" w:space="0" w:color="auto"/>
          </w:divBdr>
        </w:div>
        <w:div w:id="911961952">
          <w:marLeft w:val="0"/>
          <w:marRight w:val="0"/>
          <w:marTop w:val="0"/>
          <w:marBottom w:val="0"/>
          <w:divBdr>
            <w:top w:val="none" w:sz="0" w:space="0" w:color="auto"/>
            <w:left w:val="none" w:sz="0" w:space="0" w:color="auto"/>
            <w:bottom w:val="none" w:sz="0" w:space="0" w:color="auto"/>
            <w:right w:val="none" w:sz="0" w:space="0" w:color="auto"/>
          </w:divBdr>
        </w:div>
        <w:div w:id="1102460969">
          <w:marLeft w:val="0"/>
          <w:marRight w:val="0"/>
          <w:marTop w:val="0"/>
          <w:marBottom w:val="0"/>
          <w:divBdr>
            <w:top w:val="none" w:sz="0" w:space="0" w:color="auto"/>
            <w:left w:val="none" w:sz="0" w:space="0" w:color="auto"/>
            <w:bottom w:val="none" w:sz="0" w:space="0" w:color="auto"/>
            <w:right w:val="none" w:sz="0" w:space="0" w:color="auto"/>
          </w:divBdr>
        </w:div>
        <w:div w:id="1232958653">
          <w:marLeft w:val="0"/>
          <w:marRight w:val="0"/>
          <w:marTop w:val="0"/>
          <w:marBottom w:val="0"/>
          <w:divBdr>
            <w:top w:val="none" w:sz="0" w:space="0" w:color="auto"/>
            <w:left w:val="none" w:sz="0" w:space="0" w:color="auto"/>
            <w:bottom w:val="none" w:sz="0" w:space="0" w:color="auto"/>
            <w:right w:val="none" w:sz="0" w:space="0" w:color="auto"/>
          </w:divBdr>
        </w:div>
        <w:div w:id="1296066467">
          <w:marLeft w:val="0"/>
          <w:marRight w:val="0"/>
          <w:marTop w:val="0"/>
          <w:marBottom w:val="0"/>
          <w:divBdr>
            <w:top w:val="none" w:sz="0" w:space="0" w:color="auto"/>
            <w:left w:val="none" w:sz="0" w:space="0" w:color="auto"/>
            <w:bottom w:val="none" w:sz="0" w:space="0" w:color="auto"/>
            <w:right w:val="none" w:sz="0" w:space="0" w:color="auto"/>
          </w:divBdr>
        </w:div>
        <w:div w:id="1299526868">
          <w:marLeft w:val="0"/>
          <w:marRight w:val="0"/>
          <w:marTop w:val="0"/>
          <w:marBottom w:val="0"/>
          <w:divBdr>
            <w:top w:val="none" w:sz="0" w:space="0" w:color="auto"/>
            <w:left w:val="none" w:sz="0" w:space="0" w:color="auto"/>
            <w:bottom w:val="none" w:sz="0" w:space="0" w:color="auto"/>
            <w:right w:val="none" w:sz="0" w:space="0" w:color="auto"/>
          </w:divBdr>
        </w:div>
        <w:div w:id="1331981153">
          <w:marLeft w:val="0"/>
          <w:marRight w:val="0"/>
          <w:marTop w:val="0"/>
          <w:marBottom w:val="0"/>
          <w:divBdr>
            <w:top w:val="none" w:sz="0" w:space="0" w:color="auto"/>
            <w:left w:val="none" w:sz="0" w:space="0" w:color="auto"/>
            <w:bottom w:val="none" w:sz="0" w:space="0" w:color="auto"/>
            <w:right w:val="none" w:sz="0" w:space="0" w:color="auto"/>
          </w:divBdr>
        </w:div>
        <w:div w:id="1476726652">
          <w:marLeft w:val="0"/>
          <w:marRight w:val="0"/>
          <w:marTop w:val="0"/>
          <w:marBottom w:val="0"/>
          <w:divBdr>
            <w:top w:val="none" w:sz="0" w:space="0" w:color="auto"/>
            <w:left w:val="none" w:sz="0" w:space="0" w:color="auto"/>
            <w:bottom w:val="none" w:sz="0" w:space="0" w:color="auto"/>
            <w:right w:val="none" w:sz="0" w:space="0" w:color="auto"/>
          </w:divBdr>
        </w:div>
        <w:div w:id="1614091770">
          <w:marLeft w:val="0"/>
          <w:marRight w:val="0"/>
          <w:marTop w:val="0"/>
          <w:marBottom w:val="0"/>
          <w:divBdr>
            <w:top w:val="none" w:sz="0" w:space="0" w:color="auto"/>
            <w:left w:val="none" w:sz="0" w:space="0" w:color="auto"/>
            <w:bottom w:val="none" w:sz="0" w:space="0" w:color="auto"/>
            <w:right w:val="none" w:sz="0" w:space="0" w:color="auto"/>
          </w:divBdr>
        </w:div>
        <w:div w:id="1737164321">
          <w:marLeft w:val="0"/>
          <w:marRight w:val="0"/>
          <w:marTop w:val="0"/>
          <w:marBottom w:val="0"/>
          <w:divBdr>
            <w:top w:val="none" w:sz="0" w:space="0" w:color="auto"/>
            <w:left w:val="none" w:sz="0" w:space="0" w:color="auto"/>
            <w:bottom w:val="none" w:sz="0" w:space="0" w:color="auto"/>
            <w:right w:val="none" w:sz="0" w:space="0" w:color="auto"/>
          </w:divBdr>
        </w:div>
        <w:div w:id="1738168197">
          <w:marLeft w:val="0"/>
          <w:marRight w:val="0"/>
          <w:marTop w:val="0"/>
          <w:marBottom w:val="0"/>
          <w:divBdr>
            <w:top w:val="none" w:sz="0" w:space="0" w:color="auto"/>
            <w:left w:val="none" w:sz="0" w:space="0" w:color="auto"/>
            <w:bottom w:val="none" w:sz="0" w:space="0" w:color="auto"/>
            <w:right w:val="none" w:sz="0" w:space="0" w:color="auto"/>
          </w:divBdr>
        </w:div>
        <w:div w:id="1864515764">
          <w:marLeft w:val="0"/>
          <w:marRight w:val="0"/>
          <w:marTop w:val="0"/>
          <w:marBottom w:val="0"/>
          <w:divBdr>
            <w:top w:val="none" w:sz="0" w:space="0" w:color="auto"/>
            <w:left w:val="none" w:sz="0" w:space="0" w:color="auto"/>
            <w:bottom w:val="none" w:sz="0" w:space="0" w:color="auto"/>
            <w:right w:val="none" w:sz="0" w:space="0" w:color="auto"/>
          </w:divBdr>
        </w:div>
        <w:div w:id="1942489775">
          <w:marLeft w:val="0"/>
          <w:marRight w:val="0"/>
          <w:marTop w:val="0"/>
          <w:marBottom w:val="0"/>
          <w:divBdr>
            <w:top w:val="none" w:sz="0" w:space="0" w:color="auto"/>
            <w:left w:val="none" w:sz="0" w:space="0" w:color="auto"/>
            <w:bottom w:val="none" w:sz="0" w:space="0" w:color="auto"/>
            <w:right w:val="none" w:sz="0" w:space="0" w:color="auto"/>
          </w:divBdr>
        </w:div>
        <w:div w:id="2026515426">
          <w:marLeft w:val="0"/>
          <w:marRight w:val="0"/>
          <w:marTop w:val="0"/>
          <w:marBottom w:val="0"/>
          <w:divBdr>
            <w:top w:val="none" w:sz="0" w:space="0" w:color="auto"/>
            <w:left w:val="none" w:sz="0" w:space="0" w:color="auto"/>
            <w:bottom w:val="none" w:sz="0" w:space="0" w:color="auto"/>
            <w:right w:val="none" w:sz="0" w:space="0" w:color="auto"/>
          </w:divBdr>
        </w:div>
        <w:div w:id="2099711564">
          <w:marLeft w:val="0"/>
          <w:marRight w:val="0"/>
          <w:marTop w:val="0"/>
          <w:marBottom w:val="0"/>
          <w:divBdr>
            <w:top w:val="none" w:sz="0" w:space="0" w:color="auto"/>
            <w:left w:val="none" w:sz="0" w:space="0" w:color="auto"/>
            <w:bottom w:val="none" w:sz="0" w:space="0" w:color="auto"/>
            <w:right w:val="none" w:sz="0" w:space="0" w:color="auto"/>
          </w:divBdr>
        </w:div>
        <w:div w:id="2106730678">
          <w:marLeft w:val="0"/>
          <w:marRight w:val="0"/>
          <w:marTop w:val="0"/>
          <w:marBottom w:val="0"/>
          <w:divBdr>
            <w:top w:val="none" w:sz="0" w:space="0" w:color="auto"/>
            <w:left w:val="none" w:sz="0" w:space="0" w:color="auto"/>
            <w:bottom w:val="none" w:sz="0" w:space="0" w:color="auto"/>
            <w:right w:val="none" w:sz="0" w:space="0" w:color="auto"/>
          </w:divBdr>
        </w:div>
      </w:divsChild>
    </w:div>
    <w:div w:id="77992142">
      <w:bodyDiv w:val="1"/>
      <w:marLeft w:val="0"/>
      <w:marRight w:val="0"/>
      <w:marTop w:val="0"/>
      <w:marBottom w:val="0"/>
      <w:divBdr>
        <w:top w:val="none" w:sz="0" w:space="0" w:color="auto"/>
        <w:left w:val="none" w:sz="0" w:space="0" w:color="auto"/>
        <w:bottom w:val="none" w:sz="0" w:space="0" w:color="auto"/>
        <w:right w:val="none" w:sz="0" w:space="0" w:color="auto"/>
      </w:divBdr>
      <w:divsChild>
        <w:div w:id="9259951">
          <w:marLeft w:val="0"/>
          <w:marRight w:val="0"/>
          <w:marTop w:val="0"/>
          <w:marBottom w:val="0"/>
          <w:divBdr>
            <w:top w:val="none" w:sz="0" w:space="0" w:color="auto"/>
            <w:left w:val="none" w:sz="0" w:space="0" w:color="auto"/>
            <w:bottom w:val="none" w:sz="0" w:space="0" w:color="auto"/>
            <w:right w:val="none" w:sz="0" w:space="0" w:color="auto"/>
          </w:divBdr>
        </w:div>
        <w:div w:id="23363013">
          <w:marLeft w:val="0"/>
          <w:marRight w:val="0"/>
          <w:marTop w:val="0"/>
          <w:marBottom w:val="0"/>
          <w:divBdr>
            <w:top w:val="none" w:sz="0" w:space="0" w:color="auto"/>
            <w:left w:val="none" w:sz="0" w:space="0" w:color="auto"/>
            <w:bottom w:val="none" w:sz="0" w:space="0" w:color="auto"/>
            <w:right w:val="none" w:sz="0" w:space="0" w:color="auto"/>
          </w:divBdr>
        </w:div>
        <w:div w:id="47187570">
          <w:marLeft w:val="0"/>
          <w:marRight w:val="0"/>
          <w:marTop w:val="0"/>
          <w:marBottom w:val="0"/>
          <w:divBdr>
            <w:top w:val="none" w:sz="0" w:space="0" w:color="auto"/>
            <w:left w:val="none" w:sz="0" w:space="0" w:color="auto"/>
            <w:bottom w:val="none" w:sz="0" w:space="0" w:color="auto"/>
            <w:right w:val="none" w:sz="0" w:space="0" w:color="auto"/>
          </w:divBdr>
        </w:div>
        <w:div w:id="90706137">
          <w:marLeft w:val="0"/>
          <w:marRight w:val="0"/>
          <w:marTop w:val="0"/>
          <w:marBottom w:val="0"/>
          <w:divBdr>
            <w:top w:val="none" w:sz="0" w:space="0" w:color="auto"/>
            <w:left w:val="none" w:sz="0" w:space="0" w:color="auto"/>
            <w:bottom w:val="none" w:sz="0" w:space="0" w:color="auto"/>
            <w:right w:val="none" w:sz="0" w:space="0" w:color="auto"/>
          </w:divBdr>
        </w:div>
        <w:div w:id="102001932">
          <w:marLeft w:val="0"/>
          <w:marRight w:val="0"/>
          <w:marTop w:val="0"/>
          <w:marBottom w:val="0"/>
          <w:divBdr>
            <w:top w:val="none" w:sz="0" w:space="0" w:color="auto"/>
            <w:left w:val="none" w:sz="0" w:space="0" w:color="auto"/>
            <w:bottom w:val="none" w:sz="0" w:space="0" w:color="auto"/>
            <w:right w:val="none" w:sz="0" w:space="0" w:color="auto"/>
          </w:divBdr>
        </w:div>
        <w:div w:id="108860910">
          <w:marLeft w:val="0"/>
          <w:marRight w:val="0"/>
          <w:marTop w:val="0"/>
          <w:marBottom w:val="0"/>
          <w:divBdr>
            <w:top w:val="none" w:sz="0" w:space="0" w:color="auto"/>
            <w:left w:val="none" w:sz="0" w:space="0" w:color="auto"/>
            <w:bottom w:val="none" w:sz="0" w:space="0" w:color="auto"/>
            <w:right w:val="none" w:sz="0" w:space="0" w:color="auto"/>
          </w:divBdr>
        </w:div>
        <w:div w:id="112940601">
          <w:marLeft w:val="0"/>
          <w:marRight w:val="0"/>
          <w:marTop w:val="0"/>
          <w:marBottom w:val="0"/>
          <w:divBdr>
            <w:top w:val="none" w:sz="0" w:space="0" w:color="auto"/>
            <w:left w:val="none" w:sz="0" w:space="0" w:color="auto"/>
            <w:bottom w:val="none" w:sz="0" w:space="0" w:color="auto"/>
            <w:right w:val="none" w:sz="0" w:space="0" w:color="auto"/>
          </w:divBdr>
        </w:div>
        <w:div w:id="147134627">
          <w:marLeft w:val="0"/>
          <w:marRight w:val="0"/>
          <w:marTop w:val="0"/>
          <w:marBottom w:val="0"/>
          <w:divBdr>
            <w:top w:val="none" w:sz="0" w:space="0" w:color="auto"/>
            <w:left w:val="none" w:sz="0" w:space="0" w:color="auto"/>
            <w:bottom w:val="none" w:sz="0" w:space="0" w:color="auto"/>
            <w:right w:val="none" w:sz="0" w:space="0" w:color="auto"/>
          </w:divBdr>
        </w:div>
        <w:div w:id="162822837">
          <w:marLeft w:val="0"/>
          <w:marRight w:val="0"/>
          <w:marTop w:val="0"/>
          <w:marBottom w:val="0"/>
          <w:divBdr>
            <w:top w:val="none" w:sz="0" w:space="0" w:color="auto"/>
            <w:left w:val="none" w:sz="0" w:space="0" w:color="auto"/>
            <w:bottom w:val="none" w:sz="0" w:space="0" w:color="auto"/>
            <w:right w:val="none" w:sz="0" w:space="0" w:color="auto"/>
          </w:divBdr>
        </w:div>
        <w:div w:id="212353287">
          <w:marLeft w:val="0"/>
          <w:marRight w:val="0"/>
          <w:marTop w:val="0"/>
          <w:marBottom w:val="0"/>
          <w:divBdr>
            <w:top w:val="none" w:sz="0" w:space="0" w:color="auto"/>
            <w:left w:val="none" w:sz="0" w:space="0" w:color="auto"/>
            <w:bottom w:val="none" w:sz="0" w:space="0" w:color="auto"/>
            <w:right w:val="none" w:sz="0" w:space="0" w:color="auto"/>
          </w:divBdr>
        </w:div>
        <w:div w:id="224875876">
          <w:marLeft w:val="0"/>
          <w:marRight w:val="0"/>
          <w:marTop w:val="0"/>
          <w:marBottom w:val="0"/>
          <w:divBdr>
            <w:top w:val="none" w:sz="0" w:space="0" w:color="auto"/>
            <w:left w:val="none" w:sz="0" w:space="0" w:color="auto"/>
            <w:bottom w:val="none" w:sz="0" w:space="0" w:color="auto"/>
            <w:right w:val="none" w:sz="0" w:space="0" w:color="auto"/>
          </w:divBdr>
        </w:div>
        <w:div w:id="247229157">
          <w:marLeft w:val="0"/>
          <w:marRight w:val="0"/>
          <w:marTop w:val="0"/>
          <w:marBottom w:val="0"/>
          <w:divBdr>
            <w:top w:val="none" w:sz="0" w:space="0" w:color="auto"/>
            <w:left w:val="none" w:sz="0" w:space="0" w:color="auto"/>
            <w:bottom w:val="none" w:sz="0" w:space="0" w:color="auto"/>
            <w:right w:val="none" w:sz="0" w:space="0" w:color="auto"/>
          </w:divBdr>
        </w:div>
        <w:div w:id="286739406">
          <w:marLeft w:val="0"/>
          <w:marRight w:val="0"/>
          <w:marTop w:val="0"/>
          <w:marBottom w:val="0"/>
          <w:divBdr>
            <w:top w:val="none" w:sz="0" w:space="0" w:color="auto"/>
            <w:left w:val="none" w:sz="0" w:space="0" w:color="auto"/>
            <w:bottom w:val="none" w:sz="0" w:space="0" w:color="auto"/>
            <w:right w:val="none" w:sz="0" w:space="0" w:color="auto"/>
          </w:divBdr>
        </w:div>
        <w:div w:id="311982590">
          <w:marLeft w:val="0"/>
          <w:marRight w:val="0"/>
          <w:marTop w:val="0"/>
          <w:marBottom w:val="0"/>
          <w:divBdr>
            <w:top w:val="none" w:sz="0" w:space="0" w:color="auto"/>
            <w:left w:val="none" w:sz="0" w:space="0" w:color="auto"/>
            <w:bottom w:val="none" w:sz="0" w:space="0" w:color="auto"/>
            <w:right w:val="none" w:sz="0" w:space="0" w:color="auto"/>
          </w:divBdr>
        </w:div>
        <w:div w:id="333069995">
          <w:marLeft w:val="0"/>
          <w:marRight w:val="0"/>
          <w:marTop w:val="0"/>
          <w:marBottom w:val="0"/>
          <w:divBdr>
            <w:top w:val="none" w:sz="0" w:space="0" w:color="auto"/>
            <w:left w:val="none" w:sz="0" w:space="0" w:color="auto"/>
            <w:bottom w:val="none" w:sz="0" w:space="0" w:color="auto"/>
            <w:right w:val="none" w:sz="0" w:space="0" w:color="auto"/>
          </w:divBdr>
        </w:div>
        <w:div w:id="358705367">
          <w:marLeft w:val="0"/>
          <w:marRight w:val="0"/>
          <w:marTop w:val="0"/>
          <w:marBottom w:val="0"/>
          <w:divBdr>
            <w:top w:val="none" w:sz="0" w:space="0" w:color="auto"/>
            <w:left w:val="none" w:sz="0" w:space="0" w:color="auto"/>
            <w:bottom w:val="none" w:sz="0" w:space="0" w:color="auto"/>
            <w:right w:val="none" w:sz="0" w:space="0" w:color="auto"/>
          </w:divBdr>
        </w:div>
        <w:div w:id="382141842">
          <w:marLeft w:val="0"/>
          <w:marRight w:val="0"/>
          <w:marTop w:val="0"/>
          <w:marBottom w:val="0"/>
          <w:divBdr>
            <w:top w:val="none" w:sz="0" w:space="0" w:color="auto"/>
            <w:left w:val="none" w:sz="0" w:space="0" w:color="auto"/>
            <w:bottom w:val="none" w:sz="0" w:space="0" w:color="auto"/>
            <w:right w:val="none" w:sz="0" w:space="0" w:color="auto"/>
          </w:divBdr>
        </w:div>
        <w:div w:id="405617626">
          <w:marLeft w:val="0"/>
          <w:marRight w:val="0"/>
          <w:marTop w:val="0"/>
          <w:marBottom w:val="0"/>
          <w:divBdr>
            <w:top w:val="none" w:sz="0" w:space="0" w:color="auto"/>
            <w:left w:val="none" w:sz="0" w:space="0" w:color="auto"/>
            <w:bottom w:val="none" w:sz="0" w:space="0" w:color="auto"/>
            <w:right w:val="none" w:sz="0" w:space="0" w:color="auto"/>
          </w:divBdr>
        </w:div>
        <w:div w:id="449134350">
          <w:marLeft w:val="0"/>
          <w:marRight w:val="0"/>
          <w:marTop w:val="0"/>
          <w:marBottom w:val="0"/>
          <w:divBdr>
            <w:top w:val="none" w:sz="0" w:space="0" w:color="auto"/>
            <w:left w:val="none" w:sz="0" w:space="0" w:color="auto"/>
            <w:bottom w:val="none" w:sz="0" w:space="0" w:color="auto"/>
            <w:right w:val="none" w:sz="0" w:space="0" w:color="auto"/>
          </w:divBdr>
        </w:div>
        <w:div w:id="451099603">
          <w:marLeft w:val="0"/>
          <w:marRight w:val="0"/>
          <w:marTop w:val="0"/>
          <w:marBottom w:val="0"/>
          <w:divBdr>
            <w:top w:val="none" w:sz="0" w:space="0" w:color="auto"/>
            <w:left w:val="none" w:sz="0" w:space="0" w:color="auto"/>
            <w:bottom w:val="none" w:sz="0" w:space="0" w:color="auto"/>
            <w:right w:val="none" w:sz="0" w:space="0" w:color="auto"/>
          </w:divBdr>
        </w:div>
        <w:div w:id="468086950">
          <w:marLeft w:val="0"/>
          <w:marRight w:val="0"/>
          <w:marTop w:val="0"/>
          <w:marBottom w:val="0"/>
          <w:divBdr>
            <w:top w:val="none" w:sz="0" w:space="0" w:color="auto"/>
            <w:left w:val="none" w:sz="0" w:space="0" w:color="auto"/>
            <w:bottom w:val="none" w:sz="0" w:space="0" w:color="auto"/>
            <w:right w:val="none" w:sz="0" w:space="0" w:color="auto"/>
          </w:divBdr>
        </w:div>
        <w:div w:id="500051012">
          <w:marLeft w:val="0"/>
          <w:marRight w:val="0"/>
          <w:marTop w:val="0"/>
          <w:marBottom w:val="0"/>
          <w:divBdr>
            <w:top w:val="none" w:sz="0" w:space="0" w:color="auto"/>
            <w:left w:val="none" w:sz="0" w:space="0" w:color="auto"/>
            <w:bottom w:val="none" w:sz="0" w:space="0" w:color="auto"/>
            <w:right w:val="none" w:sz="0" w:space="0" w:color="auto"/>
          </w:divBdr>
        </w:div>
        <w:div w:id="512191122">
          <w:marLeft w:val="0"/>
          <w:marRight w:val="0"/>
          <w:marTop w:val="0"/>
          <w:marBottom w:val="0"/>
          <w:divBdr>
            <w:top w:val="none" w:sz="0" w:space="0" w:color="auto"/>
            <w:left w:val="none" w:sz="0" w:space="0" w:color="auto"/>
            <w:bottom w:val="none" w:sz="0" w:space="0" w:color="auto"/>
            <w:right w:val="none" w:sz="0" w:space="0" w:color="auto"/>
          </w:divBdr>
        </w:div>
        <w:div w:id="534973192">
          <w:marLeft w:val="0"/>
          <w:marRight w:val="0"/>
          <w:marTop w:val="0"/>
          <w:marBottom w:val="0"/>
          <w:divBdr>
            <w:top w:val="none" w:sz="0" w:space="0" w:color="auto"/>
            <w:left w:val="none" w:sz="0" w:space="0" w:color="auto"/>
            <w:bottom w:val="none" w:sz="0" w:space="0" w:color="auto"/>
            <w:right w:val="none" w:sz="0" w:space="0" w:color="auto"/>
          </w:divBdr>
        </w:div>
        <w:div w:id="592512522">
          <w:marLeft w:val="0"/>
          <w:marRight w:val="0"/>
          <w:marTop w:val="0"/>
          <w:marBottom w:val="0"/>
          <w:divBdr>
            <w:top w:val="none" w:sz="0" w:space="0" w:color="auto"/>
            <w:left w:val="none" w:sz="0" w:space="0" w:color="auto"/>
            <w:bottom w:val="none" w:sz="0" w:space="0" w:color="auto"/>
            <w:right w:val="none" w:sz="0" w:space="0" w:color="auto"/>
          </w:divBdr>
        </w:div>
        <w:div w:id="643313282">
          <w:marLeft w:val="0"/>
          <w:marRight w:val="0"/>
          <w:marTop w:val="0"/>
          <w:marBottom w:val="0"/>
          <w:divBdr>
            <w:top w:val="none" w:sz="0" w:space="0" w:color="auto"/>
            <w:left w:val="none" w:sz="0" w:space="0" w:color="auto"/>
            <w:bottom w:val="none" w:sz="0" w:space="0" w:color="auto"/>
            <w:right w:val="none" w:sz="0" w:space="0" w:color="auto"/>
          </w:divBdr>
        </w:div>
        <w:div w:id="650792080">
          <w:marLeft w:val="0"/>
          <w:marRight w:val="0"/>
          <w:marTop w:val="0"/>
          <w:marBottom w:val="0"/>
          <w:divBdr>
            <w:top w:val="none" w:sz="0" w:space="0" w:color="auto"/>
            <w:left w:val="none" w:sz="0" w:space="0" w:color="auto"/>
            <w:bottom w:val="none" w:sz="0" w:space="0" w:color="auto"/>
            <w:right w:val="none" w:sz="0" w:space="0" w:color="auto"/>
          </w:divBdr>
        </w:div>
        <w:div w:id="691690686">
          <w:marLeft w:val="0"/>
          <w:marRight w:val="0"/>
          <w:marTop w:val="0"/>
          <w:marBottom w:val="0"/>
          <w:divBdr>
            <w:top w:val="none" w:sz="0" w:space="0" w:color="auto"/>
            <w:left w:val="none" w:sz="0" w:space="0" w:color="auto"/>
            <w:bottom w:val="none" w:sz="0" w:space="0" w:color="auto"/>
            <w:right w:val="none" w:sz="0" w:space="0" w:color="auto"/>
          </w:divBdr>
        </w:div>
        <w:div w:id="740369158">
          <w:marLeft w:val="0"/>
          <w:marRight w:val="0"/>
          <w:marTop w:val="0"/>
          <w:marBottom w:val="0"/>
          <w:divBdr>
            <w:top w:val="none" w:sz="0" w:space="0" w:color="auto"/>
            <w:left w:val="none" w:sz="0" w:space="0" w:color="auto"/>
            <w:bottom w:val="none" w:sz="0" w:space="0" w:color="auto"/>
            <w:right w:val="none" w:sz="0" w:space="0" w:color="auto"/>
          </w:divBdr>
        </w:div>
        <w:div w:id="741636724">
          <w:marLeft w:val="0"/>
          <w:marRight w:val="0"/>
          <w:marTop w:val="0"/>
          <w:marBottom w:val="0"/>
          <w:divBdr>
            <w:top w:val="none" w:sz="0" w:space="0" w:color="auto"/>
            <w:left w:val="none" w:sz="0" w:space="0" w:color="auto"/>
            <w:bottom w:val="none" w:sz="0" w:space="0" w:color="auto"/>
            <w:right w:val="none" w:sz="0" w:space="0" w:color="auto"/>
          </w:divBdr>
        </w:div>
        <w:div w:id="745569914">
          <w:marLeft w:val="0"/>
          <w:marRight w:val="0"/>
          <w:marTop w:val="0"/>
          <w:marBottom w:val="0"/>
          <w:divBdr>
            <w:top w:val="none" w:sz="0" w:space="0" w:color="auto"/>
            <w:left w:val="none" w:sz="0" w:space="0" w:color="auto"/>
            <w:bottom w:val="none" w:sz="0" w:space="0" w:color="auto"/>
            <w:right w:val="none" w:sz="0" w:space="0" w:color="auto"/>
          </w:divBdr>
        </w:div>
        <w:div w:id="756754191">
          <w:marLeft w:val="0"/>
          <w:marRight w:val="0"/>
          <w:marTop w:val="0"/>
          <w:marBottom w:val="0"/>
          <w:divBdr>
            <w:top w:val="none" w:sz="0" w:space="0" w:color="auto"/>
            <w:left w:val="none" w:sz="0" w:space="0" w:color="auto"/>
            <w:bottom w:val="none" w:sz="0" w:space="0" w:color="auto"/>
            <w:right w:val="none" w:sz="0" w:space="0" w:color="auto"/>
          </w:divBdr>
        </w:div>
        <w:div w:id="766273687">
          <w:marLeft w:val="0"/>
          <w:marRight w:val="0"/>
          <w:marTop w:val="0"/>
          <w:marBottom w:val="0"/>
          <w:divBdr>
            <w:top w:val="none" w:sz="0" w:space="0" w:color="auto"/>
            <w:left w:val="none" w:sz="0" w:space="0" w:color="auto"/>
            <w:bottom w:val="none" w:sz="0" w:space="0" w:color="auto"/>
            <w:right w:val="none" w:sz="0" w:space="0" w:color="auto"/>
          </w:divBdr>
        </w:div>
        <w:div w:id="790130000">
          <w:marLeft w:val="0"/>
          <w:marRight w:val="0"/>
          <w:marTop w:val="0"/>
          <w:marBottom w:val="0"/>
          <w:divBdr>
            <w:top w:val="none" w:sz="0" w:space="0" w:color="auto"/>
            <w:left w:val="none" w:sz="0" w:space="0" w:color="auto"/>
            <w:bottom w:val="none" w:sz="0" w:space="0" w:color="auto"/>
            <w:right w:val="none" w:sz="0" w:space="0" w:color="auto"/>
          </w:divBdr>
        </w:div>
        <w:div w:id="856389801">
          <w:marLeft w:val="0"/>
          <w:marRight w:val="0"/>
          <w:marTop w:val="0"/>
          <w:marBottom w:val="0"/>
          <w:divBdr>
            <w:top w:val="none" w:sz="0" w:space="0" w:color="auto"/>
            <w:left w:val="none" w:sz="0" w:space="0" w:color="auto"/>
            <w:bottom w:val="none" w:sz="0" w:space="0" w:color="auto"/>
            <w:right w:val="none" w:sz="0" w:space="0" w:color="auto"/>
          </w:divBdr>
        </w:div>
        <w:div w:id="867449327">
          <w:marLeft w:val="0"/>
          <w:marRight w:val="0"/>
          <w:marTop w:val="0"/>
          <w:marBottom w:val="0"/>
          <w:divBdr>
            <w:top w:val="none" w:sz="0" w:space="0" w:color="auto"/>
            <w:left w:val="none" w:sz="0" w:space="0" w:color="auto"/>
            <w:bottom w:val="none" w:sz="0" w:space="0" w:color="auto"/>
            <w:right w:val="none" w:sz="0" w:space="0" w:color="auto"/>
          </w:divBdr>
        </w:div>
        <w:div w:id="886532770">
          <w:marLeft w:val="0"/>
          <w:marRight w:val="0"/>
          <w:marTop w:val="0"/>
          <w:marBottom w:val="0"/>
          <w:divBdr>
            <w:top w:val="none" w:sz="0" w:space="0" w:color="auto"/>
            <w:left w:val="none" w:sz="0" w:space="0" w:color="auto"/>
            <w:bottom w:val="none" w:sz="0" w:space="0" w:color="auto"/>
            <w:right w:val="none" w:sz="0" w:space="0" w:color="auto"/>
          </w:divBdr>
        </w:div>
        <w:div w:id="915819111">
          <w:marLeft w:val="0"/>
          <w:marRight w:val="0"/>
          <w:marTop w:val="0"/>
          <w:marBottom w:val="0"/>
          <w:divBdr>
            <w:top w:val="none" w:sz="0" w:space="0" w:color="auto"/>
            <w:left w:val="none" w:sz="0" w:space="0" w:color="auto"/>
            <w:bottom w:val="none" w:sz="0" w:space="0" w:color="auto"/>
            <w:right w:val="none" w:sz="0" w:space="0" w:color="auto"/>
          </w:divBdr>
        </w:div>
        <w:div w:id="918559856">
          <w:marLeft w:val="0"/>
          <w:marRight w:val="0"/>
          <w:marTop w:val="0"/>
          <w:marBottom w:val="0"/>
          <w:divBdr>
            <w:top w:val="none" w:sz="0" w:space="0" w:color="auto"/>
            <w:left w:val="none" w:sz="0" w:space="0" w:color="auto"/>
            <w:bottom w:val="none" w:sz="0" w:space="0" w:color="auto"/>
            <w:right w:val="none" w:sz="0" w:space="0" w:color="auto"/>
          </w:divBdr>
        </w:div>
        <w:div w:id="1004240210">
          <w:marLeft w:val="0"/>
          <w:marRight w:val="0"/>
          <w:marTop w:val="0"/>
          <w:marBottom w:val="0"/>
          <w:divBdr>
            <w:top w:val="none" w:sz="0" w:space="0" w:color="auto"/>
            <w:left w:val="none" w:sz="0" w:space="0" w:color="auto"/>
            <w:bottom w:val="none" w:sz="0" w:space="0" w:color="auto"/>
            <w:right w:val="none" w:sz="0" w:space="0" w:color="auto"/>
          </w:divBdr>
        </w:div>
        <w:div w:id="1007828377">
          <w:marLeft w:val="0"/>
          <w:marRight w:val="0"/>
          <w:marTop w:val="0"/>
          <w:marBottom w:val="0"/>
          <w:divBdr>
            <w:top w:val="none" w:sz="0" w:space="0" w:color="auto"/>
            <w:left w:val="none" w:sz="0" w:space="0" w:color="auto"/>
            <w:bottom w:val="none" w:sz="0" w:space="0" w:color="auto"/>
            <w:right w:val="none" w:sz="0" w:space="0" w:color="auto"/>
          </w:divBdr>
        </w:div>
        <w:div w:id="1014959878">
          <w:marLeft w:val="0"/>
          <w:marRight w:val="0"/>
          <w:marTop w:val="0"/>
          <w:marBottom w:val="0"/>
          <w:divBdr>
            <w:top w:val="none" w:sz="0" w:space="0" w:color="auto"/>
            <w:left w:val="none" w:sz="0" w:space="0" w:color="auto"/>
            <w:bottom w:val="none" w:sz="0" w:space="0" w:color="auto"/>
            <w:right w:val="none" w:sz="0" w:space="0" w:color="auto"/>
          </w:divBdr>
        </w:div>
        <w:div w:id="1037588213">
          <w:marLeft w:val="0"/>
          <w:marRight w:val="0"/>
          <w:marTop w:val="0"/>
          <w:marBottom w:val="0"/>
          <w:divBdr>
            <w:top w:val="none" w:sz="0" w:space="0" w:color="auto"/>
            <w:left w:val="none" w:sz="0" w:space="0" w:color="auto"/>
            <w:bottom w:val="none" w:sz="0" w:space="0" w:color="auto"/>
            <w:right w:val="none" w:sz="0" w:space="0" w:color="auto"/>
          </w:divBdr>
        </w:div>
        <w:div w:id="1080979718">
          <w:marLeft w:val="0"/>
          <w:marRight w:val="0"/>
          <w:marTop w:val="0"/>
          <w:marBottom w:val="0"/>
          <w:divBdr>
            <w:top w:val="none" w:sz="0" w:space="0" w:color="auto"/>
            <w:left w:val="none" w:sz="0" w:space="0" w:color="auto"/>
            <w:bottom w:val="none" w:sz="0" w:space="0" w:color="auto"/>
            <w:right w:val="none" w:sz="0" w:space="0" w:color="auto"/>
          </w:divBdr>
        </w:div>
        <w:div w:id="1089814570">
          <w:marLeft w:val="0"/>
          <w:marRight w:val="0"/>
          <w:marTop w:val="0"/>
          <w:marBottom w:val="0"/>
          <w:divBdr>
            <w:top w:val="none" w:sz="0" w:space="0" w:color="auto"/>
            <w:left w:val="none" w:sz="0" w:space="0" w:color="auto"/>
            <w:bottom w:val="none" w:sz="0" w:space="0" w:color="auto"/>
            <w:right w:val="none" w:sz="0" w:space="0" w:color="auto"/>
          </w:divBdr>
        </w:div>
        <w:div w:id="1099370454">
          <w:marLeft w:val="0"/>
          <w:marRight w:val="0"/>
          <w:marTop w:val="0"/>
          <w:marBottom w:val="0"/>
          <w:divBdr>
            <w:top w:val="none" w:sz="0" w:space="0" w:color="auto"/>
            <w:left w:val="none" w:sz="0" w:space="0" w:color="auto"/>
            <w:bottom w:val="none" w:sz="0" w:space="0" w:color="auto"/>
            <w:right w:val="none" w:sz="0" w:space="0" w:color="auto"/>
          </w:divBdr>
        </w:div>
        <w:div w:id="1118448339">
          <w:marLeft w:val="0"/>
          <w:marRight w:val="0"/>
          <w:marTop w:val="0"/>
          <w:marBottom w:val="0"/>
          <w:divBdr>
            <w:top w:val="none" w:sz="0" w:space="0" w:color="auto"/>
            <w:left w:val="none" w:sz="0" w:space="0" w:color="auto"/>
            <w:bottom w:val="none" w:sz="0" w:space="0" w:color="auto"/>
            <w:right w:val="none" w:sz="0" w:space="0" w:color="auto"/>
          </w:divBdr>
        </w:div>
        <w:div w:id="1245339149">
          <w:marLeft w:val="0"/>
          <w:marRight w:val="0"/>
          <w:marTop w:val="0"/>
          <w:marBottom w:val="0"/>
          <w:divBdr>
            <w:top w:val="none" w:sz="0" w:space="0" w:color="auto"/>
            <w:left w:val="none" w:sz="0" w:space="0" w:color="auto"/>
            <w:bottom w:val="none" w:sz="0" w:space="0" w:color="auto"/>
            <w:right w:val="none" w:sz="0" w:space="0" w:color="auto"/>
          </w:divBdr>
        </w:div>
        <w:div w:id="1259800278">
          <w:marLeft w:val="0"/>
          <w:marRight w:val="0"/>
          <w:marTop w:val="0"/>
          <w:marBottom w:val="0"/>
          <w:divBdr>
            <w:top w:val="none" w:sz="0" w:space="0" w:color="auto"/>
            <w:left w:val="none" w:sz="0" w:space="0" w:color="auto"/>
            <w:bottom w:val="none" w:sz="0" w:space="0" w:color="auto"/>
            <w:right w:val="none" w:sz="0" w:space="0" w:color="auto"/>
          </w:divBdr>
        </w:div>
        <w:div w:id="1266109690">
          <w:marLeft w:val="0"/>
          <w:marRight w:val="0"/>
          <w:marTop w:val="0"/>
          <w:marBottom w:val="0"/>
          <w:divBdr>
            <w:top w:val="none" w:sz="0" w:space="0" w:color="auto"/>
            <w:left w:val="none" w:sz="0" w:space="0" w:color="auto"/>
            <w:bottom w:val="none" w:sz="0" w:space="0" w:color="auto"/>
            <w:right w:val="none" w:sz="0" w:space="0" w:color="auto"/>
          </w:divBdr>
        </w:div>
        <w:div w:id="1288271926">
          <w:marLeft w:val="0"/>
          <w:marRight w:val="0"/>
          <w:marTop w:val="0"/>
          <w:marBottom w:val="0"/>
          <w:divBdr>
            <w:top w:val="none" w:sz="0" w:space="0" w:color="auto"/>
            <w:left w:val="none" w:sz="0" w:space="0" w:color="auto"/>
            <w:bottom w:val="none" w:sz="0" w:space="0" w:color="auto"/>
            <w:right w:val="none" w:sz="0" w:space="0" w:color="auto"/>
          </w:divBdr>
        </w:div>
        <w:div w:id="1305351257">
          <w:marLeft w:val="0"/>
          <w:marRight w:val="0"/>
          <w:marTop w:val="0"/>
          <w:marBottom w:val="0"/>
          <w:divBdr>
            <w:top w:val="none" w:sz="0" w:space="0" w:color="auto"/>
            <w:left w:val="none" w:sz="0" w:space="0" w:color="auto"/>
            <w:bottom w:val="none" w:sz="0" w:space="0" w:color="auto"/>
            <w:right w:val="none" w:sz="0" w:space="0" w:color="auto"/>
          </w:divBdr>
        </w:div>
        <w:div w:id="1344818864">
          <w:marLeft w:val="0"/>
          <w:marRight w:val="0"/>
          <w:marTop w:val="0"/>
          <w:marBottom w:val="0"/>
          <w:divBdr>
            <w:top w:val="none" w:sz="0" w:space="0" w:color="auto"/>
            <w:left w:val="none" w:sz="0" w:space="0" w:color="auto"/>
            <w:bottom w:val="none" w:sz="0" w:space="0" w:color="auto"/>
            <w:right w:val="none" w:sz="0" w:space="0" w:color="auto"/>
          </w:divBdr>
        </w:div>
        <w:div w:id="1357345904">
          <w:marLeft w:val="0"/>
          <w:marRight w:val="0"/>
          <w:marTop w:val="0"/>
          <w:marBottom w:val="0"/>
          <w:divBdr>
            <w:top w:val="none" w:sz="0" w:space="0" w:color="auto"/>
            <w:left w:val="none" w:sz="0" w:space="0" w:color="auto"/>
            <w:bottom w:val="none" w:sz="0" w:space="0" w:color="auto"/>
            <w:right w:val="none" w:sz="0" w:space="0" w:color="auto"/>
          </w:divBdr>
        </w:div>
        <w:div w:id="1367097638">
          <w:marLeft w:val="0"/>
          <w:marRight w:val="0"/>
          <w:marTop w:val="0"/>
          <w:marBottom w:val="0"/>
          <w:divBdr>
            <w:top w:val="none" w:sz="0" w:space="0" w:color="auto"/>
            <w:left w:val="none" w:sz="0" w:space="0" w:color="auto"/>
            <w:bottom w:val="none" w:sz="0" w:space="0" w:color="auto"/>
            <w:right w:val="none" w:sz="0" w:space="0" w:color="auto"/>
          </w:divBdr>
        </w:div>
        <w:div w:id="1373001219">
          <w:marLeft w:val="0"/>
          <w:marRight w:val="0"/>
          <w:marTop w:val="0"/>
          <w:marBottom w:val="0"/>
          <w:divBdr>
            <w:top w:val="none" w:sz="0" w:space="0" w:color="auto"/>
            <w:left w:val="none" w:sz="0" w:space="0" w:color="auto"/>
            <w:bottom w:val="none" w:sz="0" w:space="0" w:color="auto"/>
            <w:right w:val="none" w:sz="0" w:space="0" w:color="auto"/>
          </w:divBdr>
        </w:div>
        <w:div w:id="1437409142">
          <w:marLeft w:val="0"/>
          <w:marRight w:val="0"/>
          <w:marTop w:val="0"/>
          <w:marBottom w:val="0"/>
          <w:divBdr>
            <w:top w:val="none" w:sz="0" w:space="0" w:color="auto"/>
            <w:left w:val="none" w:sz="0" w:space="0" w:color="auto"/>
            <w:bottom w:val="none" w:sz="0" w:space="0" w:color="auto"/>
            <w:right w:val="none" w:sz="0" w:space="0" w:color="auto"/>
          </w:divBdr>
        </w:div>
        <w:div w:id="1477339012">
          <w:marLeft w:val="0"/>
          <w:marRight w:val="0"/>
          <w:marTop w:val="0"/>
          <w:marBottom w:val="0"/>
          <w:divBdr>
            <w:top w:val="none" w:sz="0" w:space="0" w:color="auto"/>
            <w:left w:val="none" w:sz="0" w:space="0" w:color="auto"/>
            <w:bottom w:val="none" w:sz="0" w:space="0" w:color="auto"/>
            <w:right w:val="none" w:sz="0" w:space="0" w:color="auto"/>
          </w:divBdr>
        </w:div>
        <w:div w:id="1602030279">
          <w:marLeft w:val="0"/>
          <w:marRight w:val="0"/>
          <w:marTop w:val="0"/>
          <w:marBottom w:val="0"/>
          <w:divBdr>
            <w:top w:val="none" w:sz="0" w:space="0" w:color="auto"/>
            <w:left w:val="none" w:sz="0" w:space="0" w:color="auto"/>
            <w:bottom w:val="none" w:sz="0" w:space="0" w:color="auto"/>
            <w:right w:val="none" w:sz="0" w:space="0" w:color="auto"/>
          </w:divBdr>
        </w:div>
        <w:div w:id="1685476203">
          <w:marLeft w:val="0"/>
          <w:marRight w:val="0"/>
          <w:marTop w:val="0"/>
          <w:marBottom w:val="0"/>
          <w:divBdr>
            <w:top w:val="none" w:sz="0" w:space="0" w:color="auto"/>
            <w:left w:val="none" w:sz="0" w:space="0" w:color="auto"/>
            <w:bottom w:val="none" w:sz="0" w:space="0" w:color="auto"/>
            <w:right w:val="none" w:sz="0" w:space="0" w:color="auto"/>
          </w:divBdr>
        </w:div>
        <w:div w:id="1710105928">
          <w:marLeft w:val="0"/>
          <w:marRight w:val="0"/>
          <w:marTop w:val="0"/>
          <w:marBottom w:val="0"/>
          <w:divBdr>
            <w:top w:val="none" w:sz="0" w:space="0" w:color="auto"/>
            <w:left w:val="none" w:sz="0" w:space="0" w:color="auto"/>
            <w:bottom w:val="none" w:sz="0" w:space="0" w:color="auto"/>
            <w:right w:val="none" w:sz="0" w:space="0" w:color="auto"/>
          </w:divBdr>
        </w:div>
        <w:div w:id="1731029978">
          <w:marLeft w:val="0"/>
          <w:marRight w:val="0"/>
          <w:marTop w:val="0"/>
          <w:marBottom w:val="0"/>
          <w:divBdr>
            <w:top w:val="none" w:sz="0" w:space="0" w:color="auto"/>
            <w:left w:val="none" w:sz="0" w:space="0" w:color="auto"/>
            <w:bottom w:val="none" w:sz="0" w:space="0" w:color="auto"/>
            <w:right w:val="none" w:sz="0" w:space="0" w:color="auto"/>
          </w:divBdr>
        </w:div>
        <w:div w:id="1736002366">
          <w:marLeft w:val="0"/>
          <w:marRight w:val="0"/>
          <w:marTop w:val="0"/>
          <w:marBottom w:val="0"/>
          <w:divBdr>
            <w:top w:val="none" w:sz="0" w:space="0" w:color="auto"/>
            <w:left w:val="none" w:sz="0" w:space="0" w:color="auto"/>
            <w:bottom w:val="none" w:sz="0" w:space="0" w:color="auto"/>
            <w:right w:val="none" w:sz="0" w:space="0" w:color="auto"/>
          </w:divBdr>
        </w:div>
        <w:div w:id="1784228931">
          <w:marLeft w:val="0"/>
          <w:marRight w:val="0"/>
          <w:marTop w:val="0"/>
          <w:marBottom w:val="0"/>
          <w:divBdr>
            <w:top w:val="none" w:sz="0" w:space="0" w:color="auto"/>
            <w:left w:val="none" w:sz="0" w:space="0" w:color="auto"/>
            <w:bottom w:val="none" w:sz="0" w:space="0" w:color="auto"/>
            <w:right w:val="none" w:sz="0" w:space="0" w:color="auto"/>
          </w:divBdr>
        </w:div>
        <w:div w:id="1786925358">
          <w:marLeft w:val="0"/>
          <w:marRight w:val="0"/>
          <w:marTop w:val="0"/>
          <w:marBottom w:val="0"/>
          <w:divBdr>
            <w:top w:val="none" w:sz="0" w:space="0" w:color="auto"/>
            <w:left w:val="none" w:sz="0" w:space="0" w:color="auto"/>
            <w:bottom w:val="none" w:sz="0" w:space="0" w:color="auto"/>
            <w:right w:val="none" w:sz="0" w:space="0" w:color="auto"/>
          </w:divBdr>
        </w:div>
        <w:div w:id="1809853595">
          <w:marLeft w:val="0"/>
          <w:marRight w:val="0"/>
          <w:marTop w:val="0"/>
          <w:marBottom w:val="0"/>
          <w:divBdr>
            <w:top w:val="none" w:sz="0" w:space="0" w:color="auto"/>
            <w:left w:val="none" w:sz="0" w:space="0" w:color="auto"/>
            <w:bottom w:val="none" w:sz="0" w:space="0" w:color="auto"/>
            <w:right w:val="none" w:sz="0" w:space="0" w:color="auto"/>
          </w:divBdr>
        </w:div>
        <w:div w:id="1873036064">
          <w:marLeft w:val="0"/>
          <w:marRight w:val="0"/>
          <w:marTop w:val="0"/>
          <w:marBottom w:val="0"/>
          <w:divBdr>
            <w:top w:val="none" w:sz="0" w:space="0" w:color="auto"/>
            <w:left w:val="none" w:sz="0" w:space="0" w:color="auto"/>
            <w:bottom w:val="none" w:sz="0" w:space="0" w:color="auto"/>
            <w:right w:val="none" w:sz="0" w:space="0" w:color="auto"/>
          </w:divBdr>
        </w:div>
        <w:div w:id="1888184124">
          <w:marLeft w:val="0"/>
          <w:marRight w:val="0"/>
          <w:marTop w:val="0"/>
          <w:marBottom w:val="0"/>
          <w:divBdr>
            <w:top w:val="none" w:sz="0" w:space="0" w:color="auto"/>
            <w:left w:val="none" w:sz="0" w:space="0" w:color="auto"/>
            <w:bottom w:val="none" w:sz="0" w:space="0" w:color="auto"/>
            <w:right w:val="none" w:sz="0" w:space="0" w:color="auto"/>
          </w:divBdr>
        </w:div>
        <w:div w:id="1942762467">
          <w:marLeft w:val="0"/>
          <w:marRight w:val="0"/>
          <w:marTop w:val="0"/>
          <w:marBottom w:val="0"/>
          <w:divBdr>
            <w:top w:val="none" w:sz="0" w:space="0" w:color="auto"/>
            <w:left w:val="none" w:sz="0" w:space="0" w:color="auto"/>
            <w:bottom w:val="none" w:sz="0" w:space="0" w:color="auto"/>
            <w:right w:val="none" w:sz="0" w:space="0" w:color="auto"/>
          </w:divBdr>
        </w:div>
        <w:div w:id="2009093901">
          <w:marLeft w:val="0"/>
          <w:marRight w:val="0"/>
          <w:marTop w:val="0"/>
          <w:marBottom w:val="0"/>
          <w:divBdr>
            <w:top w:val="none" w:sz="0" w:space="0" w:color="auto"/>
            <w:left w:val="none" w:sz="0" w:space="0" w:color="auto"/>
            <w:bottom w:val="none" w:sz="0" w:space="0" w:color="auto"/>
            <w:right w:val="none" w:sz="0" w:space="0" w:color="auto"/>
          </w:divBdr>
        </w:div>
      </w:divsChild>
    </w:div>
    <w:div w:id="89200342">
      <w:bodyDiv w:val="1"/>
      <w:marLeft w:val="0"/>
      <w:marRight w:val="0"/>
      <w:marTop w:val="0"/>
      <w:marBottom w:val="0"/>
      <w:divBdr>
        <w:top w:val="none" w:sz="0" w:space="0" w:color="auto"/>
        <w:left w:val="none" w:sz="0" w:space="0" w:color="auto"/>
        <w:bottom w:val="none" w:sz="0" w:space="0" w:color="auto"/>
        <w:right w:val="none" w:sz="0" w:space="0" w:color="auto"/>
      </w:divBdr>
    </w:div>
    <w:div w:id="144710572">
      <w:bodyDiv w:val="1"/>
      <w:marLeft w:val="0"/>
      <w:marRight w:val="0"/>
      <w:marTop w:val="0"/>
      <w:marBottom w:val="0"/>
      <w:divBdr>
        <w:top w:val="none" w:sz="0" w:space="0" w:color="auto"/>
        <w:left w:val="none" w:sz="0" w:space="0" w:color="auto"/>
        <w:bottom w:val="none" w:sz="0" w:space="0" w:color="auto"/>
        <w:right w:val="none" w:sz="0" w:space="0" w:color="auto"/>
      </w:divBdr>
    </w:div>
    <w:div w:id="163862886">
      <w:bodyDiv w:val="1"/>
      <w:marLeft w:val="0"/>
      <w:marRight w:val="0"/>
      <w:marTop w:val="0"/>
      <w:marBottom w:val="0"/>
      <w:divBdr>
        <w:top w:val="none" w:sz="0" w:space="0" w:color="auto"/>
        <w:left w:val="none" w:sz="0" w:space="0" w:color="auto"/>
        <w:bottom w:val="none" w:sz="0" w:space="0" w:color="auto"/>
        <w:right w:val="none" w:sz="0" w:space="0" w:color="auto"/>
      </w:divBdr>
    </w:div>
    <w:div w:id="178782326">
      <w:bodyDiv w:val="1"/>
      <w:marLeft w:val="0"/>
      <w:marRight w:val="0"/>
      <w:marTop w:val="0"/>
      <w:marBottom w:val="0"/>
      <w:divBdr>
        <w:top w:val="none" w:sz="0" w:space="0" w:color="auto"/>
        <w:left w:val="none" w:sz="0" w:space="0" w:color="auto"/>
        <w:bottom w:val="none" w:sz="0" w:space="0" w:color="auto"/>
        <w:right w:val="none" w:sz="0" w:space="0" w:color="auto"/>
      </w:divBdr>
    </w:div>
    <w:div w:id="214512550">
      <w:bodyDiv w:val="1"/>
      <w:marLeft w:val="0"/>
      <w:marRight w:val="0"/>
      <w:marTop w:val="0"/>
      <w:marBottom w:val="0"/>
      <w:divBdr>
        <w:top w:val="none" w:sz="0" w:space="0" w:color="auto"/>
        <w:left w:val="none" w:sz="0" w:space="0" w:color="auto"/>
        <w:bottom w:val="none" w:sz="0" w:space="0" w:color="auto"/>
        <w:right w:val="none" w:sz="0" w:space="0" w:color="auto"/>
      </w:divBdr>
    </w:div>
    <w:div w:id="221136462">
      <w:bodyDiv w:val="1"/>
      <w:marLeft w:val="0"/>
      <w:marRight w:val="0"/>
      <w:marTop w:val="0"/>
      <w:marBottom w:val="0"/>
      <w:divBdr>
        <w:top w:val="none" w:sz="0" w:space="0" w:color="auto"/>
        <w:left w:val="none" w:sz="0" w:space="0" w:color="auto"/>
        <w:bottom w:val="none" w:sz="0" w:space="0" w:color="auto"/>
        <w:right w:val="none" w:sz="0" w:space="0" w:color="auto"/>
      </w:divBdr>
    </w:div>
    <w:div w:id="224293141">
      <w:bodyDiv w:val="1"/>
      <w:marLeft w:val="0"/>
      <w:marRight w:val="0"/>
      <w:marTop w:val="0"/>
      <w:marBottom w:val="0"/>
      <w:divBdr>
        <w:top w:val="none" w:sz="0" w:space="0" w:color="auto"/>
        <w:left w:val="none" w:sz="0" w:space="0" w:color="auto"/>
        <w:bottom w:val="none" w:sz="0" w:space="0" w:color="auto"/>
        <w:right w:val="none" w:sz="0" w:space="0" w:color="auto"/>
      </w:divBdr>
    </w:div>
    <w:div w:id="303851269">
      <w:bodyDiv w:val="1"/>
      <w:marLeft w:val="0"/>
      <w:marRight w:val="0"/>
      <w:marTop w:val="0"/>
      <w:marBottom w:val="0"/>
      <w:divBdr>
        <w:top w:val="none" w:sz="0" w:space="0" w:color="auto"/>
        <w:left w:val="none" w:sz="0" w:space="0" w:color="auto"/>
        <w:bottom w:val="none" w:sz="0" w:space="0" w:color="auto"/>
        <w:right w:val="none" w:sz="0" w:space="0" w:color="auto"/>
      </w:divBdr>
    </w:div>
    <w:div w:id="309869920">
      <w:bodyDiv w:val="1"/>
      <w:marLeft w:val="0"/>
      <w:marRight w:val="0"/>
      <w:marTop w:val="0"/>
      <w:marBottom w:val="0"/>
      <w:divBdr>
        <w:top w:val="none" w:sz="0" w:space="0" w:color="auto"/>
        <w:left w:val="none" w:sz="0" w:space="0" w:color="auto"/>
        <w:bottom w:val="none" w:sz="0" w:space="0" w:color="auto"/>
        <w:right w:val="none" w:sz="0" w:space="0" w:color="auto"/>
      </w:divBdr>
    </w:div>
    <w:div w:id="340621686">
      <w:bodyDiv w:val="1"/>
      <w:marLeft w:val="0"/>
      <w:marRight w:val="0"/>
      <w:marTop w:val="0"/>
      <w:marBottom w:val="0"/>
      <w:divBdr>
        <w:top w:val="none" w:sz="0" w:space="0" w:color="auto"/>
        <w:left w:val="none" w:sz="0" w:space="0" w:color="auto"/>
        <w:bottom w:val="none" w:sz="0" w:space="0" w:color="auto"/>
        <w:right w:val="none" w:sz="0" w:space="0" w:color="auto"/>
      </w:divBdr>
      <w:divsChild>
        <w:div w:id="33240971">
          <w:marLeft w:val="0"/>
          <w:marRight w:val="0"/>
          <w:marTop w:val="0"/>
          <w:marBottom w:val="0"/>
          <w:divBdr>
            <w:top w:val="none" w:sz="0" w:space="0" w:color="auto"/>
            <w:left w:val="none" w:sz="0" w:space="0" w:color="auto"/>
            <w:bottom w:val="none" w:sz="0" w:space="0" w:color="auto"/>
            <w:right w:val="none" w:sz="0" w:space="0" w:color="auto"/>
          </w:divBdr>
        </w:div>
        <w:div w:id="36588110">
          <w:marLeft w:val="0"/>
          <w:marRight w:val="0"/>
          <w:marTop w:val="0"/>
          <w:marBottom w:val="0"/>
          <w:divBdr>
            <w:top w:val="none" w:sz="0" w:space="0" w:color="auto"/>
            <w:left w:val="none" w:sz="0" w:space="0" w:color="auto"/>
            <w:bottom w:val="none" w:sz="0" w:space="0" w:color="auto"/>
            <w:right w:val="none" w:sz="0" w:space="0" w:color="auto"/>
          </w:divBdr>
        </w:div>
        <w:div w:id="301738737">
          <w:marLeft w:val="0"/>
          <w:marRight w:val="0"/>
          <w:marTop w:val="0"/>
          <w:marBottom w:val="0"/>
          <w:divBdr>
            <w:top w:val="none" w:sz="0" w:space="0" w:color="auto"/>
            <w:left w:val="none" w:sz="0" w:space="0" w:color="auto"/>
            <w:bottom w:val="none" w:sz="0" w:space="0" w:color="auto"/>
            <w:right w:val="none" w:sz="0" w:space="0" w:color="auto"/>
          </w:divBdr>
        </w:div>
        <w:div w:id="475412755">
          <w:marLeft w:val="0"/>
          <w:marRight w:val="0"/>
          <w:marTop w:val="0"/>
          <w:marBottom w:val="0"/>
          <w:divBdr>
            <w:top w:val="none" w:sz="0" w:space="0" w:color="auto"/>
            <w:left w:val="none" w:sz="0" w:space="0" w:color="auto"/>
            <w:bottom w:val="none" w:sz="0" w:space="0" w:color="auto"/>
            <w:right w:val="none" w:sz="0" w:space="0" w:color="auto"/>
          </w:divBdr>
        </w:div>
        <w:div w:id="547231573">
          <w:marLeft w:val="0"/>
          <w:marRight w:val="0"/>
          <w:marTop w:val="0"/>
          <w:marBottom w:val="0"/>
          <w:divBdr>
            <w:top w:val="none" w:sz="0" w:space="0" w:color="auto"/>
            <w:left w:val="none" w:sz="0" w:space="0" w:color="auto"/>
            <w:bottom w:val="none" w:sz="0" w:space="0" w:color="auto"/>
            <w:right w:val="none" w:sz="0" w:space="0" w:color="auto"/>
          </w:divBdr>
        </w:div>
        <w:div w:id="611283640">
          <w:marLeft w:val="0"/>
          <w:marRight w:val="0"/>
          <w:marTop w:val="0"/>
          <w:marBottom w:val="0"/>
          <w:divBdr>
            <w:top w:val="none" w:sz="0" w:space="0" w:color="auto"/>
            <w:left w:val="none" w:sz="0" w:space="0" w:color="auto"/>
            <w:bottom w:val="none" w:sz="0" w:space="0" w:color="auto"/>
            <w:right w:val="none" w:sz="0" w:space="0" w:color="auto"/>
          </w:divBdr>
        </w:div>
        <w:div w:id="889344066">
          <w:marLeft w:val="0"/>
          <w:marRight w:val="0"/>
          <w:marTop w:val="0"/>
          <w:marBottom w:val="0"/>
          <w:divBdr>
            <w:top w:val="none" w:sz="0" w:space="0" w:color="auto"/>
            <w:left w:val="none" w:sz="0" w:space="0" w:color="auto"/>
            <w:bottom w:val="none" w:sz="0" w:space="0" w:color="auto"/>
            <w:right w:val="none" w:sz="0" w:space="0" w:color="auto"/>
          </w:divBdr>
        </w:div>
        <w:div w:id="1251814179">
          <w:marLeft w:val="0"/>
          <w:marRight w:val="0"/>
          <w:marTop w:val="0"/>
          <w:marBottom w:val="0"/>
          <w:divBdr>
            <w:top w:val="none" w:sz="0" w:space="0" w:color="auto"/>
            <w:left w:val="none" w:sz="0" w:space="0" w:color="auto"/>
            <w:bottom w:val="none" w:sz="0" w:space="0" w:color="auto"/>
            <w:right w:val="none" w:sz="0" w:space="0" w:color="auto"/>
          </w:divBdr>
        </w:div>
        <w:div w:id="1770807840">
          <w:marLeft w:val="0"/>
          <w:marRight w:val="0"/>
          <w:marTop w:val="0"/>
          <w:marBottom w:val="0"/>
          <w:divBdr>
            <w:top w:val="none" w:sz="0" w:space="0" w:color="auto"/>
            <w:left w:val="none" w:sz="0" w:space="0" w:color="auto"/>
            <w:bottom w:val="none" w:sz="0" w:space="0" w:color="auto"/>
            <w:right w:val="none" w:sz="0" w:space="0" w:color="auto"/>
          </w:divBdr>
        </w:div>
        <w:div w:id="1973557866">
          <w:marLeft w:val="0"/>
          <w:marRight w:val="0"/>
          <w:marTop w:val="0"/>
          <w:marBottom w:val="0"/>
          <w:divBdr>
            <w:top w:val="none" w:sz="0" w:space="0" w:color="auto"/>
            <w:left w:val="none" w:sz="0" w:space="0" w:color="auto"/>
            <w:bottom w:val="none" w:sz="0" w:space="0" w:color="auto"/>
            <w:right w:val="none" w:sz="0" w:space="0" w:color="auto"/>
          </w:divBdr>
        </w:div>
        <w:div w:id="2003849022">
          <w:marLeft w:val="0"/>
          <w:marRight w:val="0"/>
          <w:marTop w:val="0"/>
          <w:marBottom w:val="0"/>
          <w:divBdr>
            <w:top w:val="none" w:sz="0" w:space="0" w:color="auto"/>
            <w:left w:val="none" w:sz="0" w:space="0" w:color="auto"/>
            <w:bottom w:val="none" w:sz="0" w:space="0" w:color="auto"/>
            <w:right w:val="none" w:sz="0" w:space="0" w:color="auto"/>
          </w:divBdr>
        </w:div>
      </w:divsChild>
    </w:div>
    <w:div w:id="348724211">
      <w:bodyDiv w:val="1"/>
      <w:marLeft w:val="0"/>
      <w:marRight w:val="0"/>
      <w:marTop w:val="0"/>
      <w:marBottom w:val="0"/>
      <w:divBdr>
        <w:top w:val="none" w:sz="0" w:space="0" w:color="auto"/>
        <w:left w:val="none" w:sz="0" w:space="0" w:color="auto"/>
        <w:bottom w:val="none" w:sz="0" w:space="0" w:color="auto"/>
        <w:right w:val="none" w:sz="0" w:space="0" w:color="auto"/>
      </w:divBdr>
    </w:div>
    <w:div w:id="353387699">
      <w:bodyDiv w:val="1"/>
      <w:marLeft w:val="0"/>
      <w:marRight w:val="0"/>
      <w:marTop w:val="0"/>
      <w:marBottom w:val="0"/>
      <w:divBdr>
        <w:top w:val="none" w:sz="0" w:space="0" w:color="auto"/>
        <w:left w:val="none" w:sz="0" w:space="0" w:color="auto"/>
        <w:bottom w:val="none" w:sz="0" w:space="0" w:color="auto"/>
        <w:right w:val="none" w:sz="0" w:space="0" w:color="auto"/>
      </w:divBdr>
    </w:div>
    <w:div w:id="439254299">
      <w:bodyDiv w:val="1"/>
      <w:marLeft w:val="0"/>
      <w:marRight w:val="0"/>
      <w:marTop w:val="0"/>
      <w:marBottom w:val="0"/>
      <w:divBdr>
        <w:top w:val="none" w:sz="0" w:space="0" w:color="auto"/>
        <w:left w:val="none" w:sz="0" w:space="0" w:color="auto"/>
        <w:bottom w:val="none" w:sz="0" w:space="0" w:color="auto"/>
        <w:right w:val="none" w:sz="0" w:space="0" w:color="auto"/>
      </w:divBdr>
    </w:div>
    <w:div w:id="477959776">
      <w:bodyDiv w:val="1"/>
      <w:marLeft w:val="0"/>
      <w:marRight w:val="0"/>
      <w:marTop w:val="0"/>
      <w:marBottom w:val="0"/>
      <w:divBdr>
        <w:top w:val="none" w:sz="0" w:space="0" w:color="auto"/>
        <w:left w:val="none" w:sz="0" w:space="0" w:color="auto"/>
        <w:bottom w:val="none" w:sz="0" w:space="0" w:color="auto"/>
        <w:right w:val="none" w:sz="0" w:space="0" w:color="auto"/>
      </w:divBdr>
    </w:div>
    <w:div w:id="505294602">
      <w:bodyDiv w:val="1"/>
      <w:marLeft w:val="0"/>
      <w:marRight w:val="0"/>
      <w:marTop w:val="0"/>
      <w:marBottom w:val="0"/>
      <w:divBdr>
        <w:top w:val="none" w:sz="0" w:space="0" w:color="auto"/>
        <w:left w:val="none" w:sz="0" w:space="0" w:color="auto"/>
        <w:bottom w:val="none" w:sz="0" w:space="0" w:color="auto"/>
        <w:right w:val="none" w:sz="0" w:space="0" w:color="auto"/>
      </w:divBdr>
    </w:div>
    <w:div w:id="561450847">
      <w:bodyDiv w:val="1"/>
      <w:marLeft w:val="0"/>
      <w:marRight w:val="0"/>
      <w:marTop w:val="0"/>
      <w:marBottom w:val="0"/>
      <w:divBdr>
        <w:top w:val="none" w:sz="0" w:space="0" w:color="auto"/>
        <w:left w:val="none" w:sz="0" w:space="0" w:color="auto"/>
        <w:bottom w:val="none" w:sz="0" w:space="0" w:color="auto"/>
        <w:right w:val="none" w:sz="0" w:space="0" w:color="auto"/>
      </w:divBdr>
    </w:div>
    <w:div w:id="635447539">
      <w:bodyDiv w:val="1"/>
      <w:marLeft w:val="0"/>
      <w:marRight w:val="0"/>
      <w:marTop w:val="0"/>
      <w:marBottom w:val="0"/>
      <w:divBdr>
        <w:top w:val="none" w:sz="0" w:space="0" w:color="auto"/>
        <w:left w:val="none" w:sz="0" w:space="0" w:color="auto"/>
        <w:bottom w:val="none" w:sz="0" w:space="0" w:color="auto"/>
        <w:right w:val="none" w:sz="0" w:space="0" w:color="auto"/>
      </w:divBdr>
    </w:div>
    <w:div w:id="655499118">
      <w:bodyDiv w:val="1"/>
      <w:marLeft w:val="0"/>
      <w:marRight w:val="0"/>
      <w:marTop w:val="0"/>
      <w:marBottom w:val="0"/>
      <w:divBdr>
        <w:top w:val="none" w:sz="0" w:space="0" w:color="auto"/>
        <w:left w:val="none" w:sz="0" w:space="0" w:color="auto"/>
        <w:bottom w:val="none" w:sz="0" w:space="0" w:color="auto"/>
        <w:right w:val="none" w:sz="0" w:space="0" w:color="auto"/>
      </w:divBdr>
      <w:divsChild>
        <w:div w:id="38479178">
          <w:marLeft w:val="0"/>
          <w:marRight w:val="0"/>
          <w:marTop w:val="0"/>
          <w:marBottom w:val="0"/>
          <w:divBdr>
            <w:top w:val="none" w:sz="0" w:space="0" w:color="auto"/>
            <w:left w:val="none" w:sz="0" w:space="0" w:color="auto"/>
            <w:bottom w:val="none" w:sz="0" w:space="0" w:color="auto"/>
            <w:right w:val="none" w:sz="0" w:space="0" w:color="auto"/>
          </w:divBdr>
          <w:divsChild>
            <w:div w:id="1966884162">
              <w:marLeft w:val="0"/>
              <w:marRight w:val="0"/>
              <w:marTop w:val="0"/>
              <w:marBottom w:val="0"/>
              <w:divBdr>
                <w:top w:val="none" w:sz="0" w:space="0" w:color="auto"/>
                <w:left w:val="none" w:sz="0" w:space="0" w:color="auto"/>
                <w:bottom w:val="none" w:sz="0" w:space="0" w:color="auto"/>
                <w:right w:val="none" w:sz="0" w:space="0" w:color="auto"/>
              </w:divBdr>
              <w:divsChild>
                <w:div w:id="1872260740">
                  <w:marLeft w:val="0"/>
                  <w:marRight w:val="0"/>
                  <w:marTop w:val="0"/>
                  <w:marBottom w:val="0"/>
                  <w:divBdr>
                    <w:top w:val="none" w:sz="0" w:space="0" w:color="auto"/>
                    <w:left w:val="none" w:sz="0" w:space="0" w:color="auto"/>
                    <w:bottom w:val="none" w:sz="0" w:space="0" w:color="auto"/>
                    <w:right w:val="none" w:sz="0" w:space="0" w:color="auto"/>
                  </w:divBdr>
                  <w:divsChild>
                    <w:div w:id="8531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75114">
          <w:marLeft w:val="0"/>
          <w:marRight w:val="0"/>
          <w:marTop w:val="0"/>
          <w:marBottom w:val="0"/>
          <w:divBdr>
            <w:top w:val="none" w:sz="0" w:space="0" w:color="auto"/>
            <w:left w:val="none" w:sz="0" w:space="0" w:color="auto"/>
            <w:bottom w:val="none" w:sz="0" w:space="0" w:color="auto"/>
            <w:right w:val="none" w:sz="0" w:space="0" w:color="auto"/>
          </w:divBdr>
          <w:divsChild>
            <w:div w:id="355158221">
              <w:marLeft w:val="0"/>
              <w:marRight w:val="0"/>
              <w:marTop w:val="0"/>
              <w:marBottom w:val="0"/>
              <w:divBdr>
                <w:top w:val="none" w:sz="0" w:space="0" w:color="auto"/>
                <w:left w:val="none" w:sz="0" w:space="0" w:color="auto"/>
                <w:bottom w:val="none" w:sz="0" w:space="0" w:color="auto"/>
                <w:right w:val="none" w:sz="0" w:space="0" w:color="auto"/>
              </w:divBdr>
              <w:divsChild>
                <w:div w:id="256716627">
                  <w:marLeft w:val="0"/>
                  <w:marRight w:val="0"/>
                  <w:marTop w:val="0"/>
                  <w:marBottom w:val="0"/>
                  <w:divBdr>
                    <w:top w:val="none" w:sz="0" w:space="0" w:color="auto"/>
                    <w:left w:val="none" w:sz="0" w:space="0" w:color="auto"/>
                    <w:bottom w:val="none" w:sz="0" w:space="0" w:color="auto"/>
                    <w:right w:val="none" w:sz="0" w:space="0" w:color="auto"/>
                  </w:divBdr>
                  <w:divsChild>
                    <w:div w:id="9082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04656">
      <w:bodyDiv w:val="1"/>
      <w:marLeft w:val="0"/>
      <w:marRight w:val="0"/>
      <w:marTop w:val="0"/>
      <w:marBottom w:val="0"/>
      <w:divBdr>
        <w:top w:val="none" w:sz="0" w:space="0" w:color="auto"/>
        <w:left w:val="none" w:sz="0" w:space="0" w:color="auto"/>
        <w:bottom w:val="none" w:sz="0" w:space="0" w:color="auto"/>
        <w:right w:val="none" w:sz="0" w:space="0" w:color="auto"/>
      </w:divBdr>
    </w:div>
    <w:div w:id="697701869">
      <w:bodyDiv w:val="1"/>
      <w:marLeft w:val="0"/>
      <w:marRight w:val="0"/>
      <w:marTop w:val="0"/>
      <w:marBottom w:val="0"/>
      <w:divBdr>
        <w:top w:val="none" w:sz="0" w:space="0" w:color="auto"/>
        <w:left w:val="none" w:sz="0" w:space="0" w:color="auto"/>
        <w:bottom w:val="none" w:sz="0" w:space="0" w:color="auto"/>
        <w:right w:val="none" w:sz="0" w:space="0" w:color="auto"/>
      </w:divBdr>
    </w:div>
    <w:div w:id="712997965">
      <w:bodyDiv w:val="1"/>
      <w:marLeft w:val="0"/>
      <w:marRight w:val="0"/>
      <w:marTop w:val="0"/>
      <w:marBottom w:val="0"/>
      <w:divBdr>
        <w:top w:val="none" w:sz="0" w:space="0" w:color="auto"/>
        <w:left w:val="none" w:sz="0" w:space="0" w:color="auto"/>
        <w:bottom w:val="none" w:sz="0" w:space="0" w:color="auto"/>
        <w:right w:val="none" w:sz="0" w:space="0" w:color="auto"/>
      </w:divBdr>
      <w:divsChild>
        <w:div w:id="894050284">
          <w:marLeft w:val="0"/>
          <w:marRight w:val="0"/>
          <w:marTop w:val="0"/>
          <w:marBottom w:val="0"/>
          <w:divBdr>
            <w:top w:val="none" w:sz="0" w:space="0" w:color="auto"/>
            <w:left w:val="none" w:sz="0" w:space="0" w:color="auto"/>
            <w:bottom w:val="none" w:sz="0" w:space="0" w:color="auto"/>
            <w:right w:val="none" w:sz="0" w:space="0" w:color="auto"/>
          </w:divBdr>
        </w:div>
      </w:divsChild>
    </w:div>
    <w:div w:id="776603221">
      <w:bodyDiv w:val="1"/>
      <w:marLeft w:val="0"/>
      <w:marRight w:val="0"/>
      <w:marTop w:val="0"/>
      <w:marBottom w:val="0"/>
      <w:divBdr>
        <w:top w:val="none" w:sz="0" w:space="0" w:color="auto"/>
        <w:left w:val="none" w:sz="0" w:space="0" w:color="auto"/>
        <w:bottom w:val="none" w:sz="0" w:space="0" w:color="auto"/>
        <w:right w:val="none" w:sz="0" w:space="0" w:color="auto"/>
      </w:divBdr>
    </w:div>
    <w:div w:id="820998261">
      <w:bodyDiv w:val="1"/>
      <w:marLeft w:val="0"/>
      <w:marRight w:val="0"/>
      <w:marTop w:val="0"/>
      <w:marBottom w:val="0"/>
      <w:divBdr>
        <w:top w:val="none" w:sz="0" w:space="0" w:color="auto"/>
        <w:left w:val="none" w:sz="0" w:space="0" w:color="auto"/>
        <w:bottom w:val="none" w:sz="0" w:space="0" w:color="auto"/>
        <w:right w:val="none" w:sz="0" w:space="0" w:color="auto"/>
      </w:divBdr>
    </w:div>
    <w:div w:id="835875912">
      <w:bodyDiv w:val="1"/>
      <w:marLeft w:val="0"/>
      <w:marRight w:val="0"/>
      <w:marTop w:val="0"/>
      <w:marBottom w:val="0"/>
      <w:divBdr>
        <w:top w:val="none" w:sz="0" w:space="0" w:color="auto"/>
        <w:left w:val="none" w:sz="0" w:space="0" w:color="auto"/>
        <w:bottom w:val="none" w:sz="0" w:space="0" w:color="auto"/>
        <w:right w:val="none" w:sz="0" w:space="0" w:color="auto"/>
      </w:divBdr>
    </w:div>
    <w:div w:id="922959137">
      <w:bodyDiv w:val="1"/>
      <w:marLeft w:val="0"/>
      <w:marRight w:val="0"/>
      <w:marTop w:val="0"/>
      <w:marBottom w:val="0"/>
      <w:divBdr>
        <w:top w:val="none" w:sz="0" w:space="0" w:color="auto"/>
        <w:left w:val="none" w:sz="0" w:space="0" w:color="auto"/>
        <w:bottom w:val="none" w:sz="0" w:space="0" w:color="auto"/>
        <w:right w:val="none" w:sz="0" w:space="0" w:color="auto"/>
      </w:divBdr>
    </w:div>
    <w:div w:id="924649460">
      <w:bodyDiv w:val="1"/>
      <w:marLeft w:val="0"/>
      <w:marRight w:val="0"/>
      <w:marTop w:val="0"/>
      <w:marBottom w:val="0"/>
      <w:divBdr>
        <w:top w:val="none" w:sz="0" w:space="0" w:color="auto"/>
        <w:left w:val="none" w:sz="0" w:space="0" w:color="auto"/>
        <w:bottom w:val="none" w:sz="0" w:space="0" w:color="auto"/>
        <w:right w:val="none" w:sz="0" w:space="0" w:color="auto"/>
      </w:divBdr>
      <w:divsChild>
        <w:div w:id="31616085">
          <w:marLeft w:val="0"/>
          <w:marRight w:val="0"/>
          <w:marTop w:val="0"/>
          <w:marBottom w:val="0"/>
          <w:divBdr>
            <w:top w:val="none" w:sz="0" w:space="0" w:color="auto"/>
            <w:left w:val="none" w:sz="0" w:space="0" w:color="auto"/>
            <w:bottom w:val="none" w:sz="0" w:space="0" w:color="auto"/>
            <w:right w:val="none" w:sz="0" w:space="0" w:color="auto"/>
          </w:divBdr>
        </w:div>
        <w:div w:id="47729134">
          <w:marLeft w:val="0"/>
          <w:marRight w:val="0"/>
          <w:marTop w:val="0"/>
          <w:marBottom w:val="0"/>
          <w:divBdr>
            <w:top w:val="none" w:sz="0" w:space="0" w:color="auto"/>
            <w:left w:val="none" w:sz="0" w:space="0" w:color="auto"/>
            <w:bottom w:val="none" w:sz="0" w:space="0" w:color="auto"/>
            <w:right w:val="none" w:sz="0" w:space="0" w:color="auto"/>
          </w:divBdr>
        </w:div>
        <w:div w:id="84310491">
          <w:marLeft w:val="0"/>
          <w:marRight w:val="0"/>
          <w:marTop w:val="0"/>
          <w:marBottom w:val="0"/>
          <w:divBdr>
            <w:top w:val="none" w:sz="0" w:space="0" w:color="auto"/>
            <w:left w:val="none" w:sz="0" w:space="0" w:color="auto"/>
            <w:bottom w:val="none" w:sz="0" w:space="0" w:color="auto"/>
            <w:right w:val="none" w:sz="0" w:space="0" w:color="auto"/>
          </w:divBdr>
        </w:div>
        <w:div w:id="126167942">
          <w:marLeft w:val="0"/>
          <w:marRight w:val="0"/>
          <w:marTop w:val="0"/>
          <w:marBottom w:val="0"/>
          <w:divBdr>
            <w:top w:val="none" w:sz="0" w:space="0" w:color="auto"/>
            <w:left w:val="none" w:sz="0" w:space="0" w:color="auto"/>
            <w:bottom w:val="none" w:sz="0" w:space="0" w:color="auto"/>
            <w:right w:val="none" w:sz="0" w:space="0" w:color="auto"/>
          </w:divBdr>
        </w:div>
        <w:div w:id="238486750">
          <w:marLeft w:val="0"/>
          <w:marRight w:val="0"/>
          <w:marTop w:val="0"/>
          <w:marBottom w:val="0"/>
          <w:divBdr>
            <w:top w:val="none" w:sz="0" w:space="0" w:color="auto"/>
            <w:left w:val="none" w:sz="0" w:space="0" w:color="auto"/>
            <w:bottom w:val="none" w:sz="0" w:space="0" w:color="auto"/>
            <w:right w:val="none" w:sz="0" w:space="0" w:color="auto"/>
          </w:divBdr>
        </w:div>
        <w:div w:id="364405372">
          <w:marLeft w:val="0"/>
          <w:marRight w:val="0"/>
          <w:marTop w:val="0"/>
          <w:marBottom w:val="0"/>
          <w:divBdr>
            <w:top w:val="none" w:sz="0" w:space="0" w:color="auto"/>
            <w:left w:val="none" w:sz="0" w:space="0" w:color="auto"/>
            <w:bottom w:val="none" w:sz="0" w:space="0" w:color="auto"/>
            <w:right w:val="none" w:sz="0" w:space="0" w:color="auto"/>
          </w:divBdr>
        </w:div>
        <w:div w:id="387725184">
          <w:marLeft w:val="0"/>
          <w:marRight w:val="0"/>
          <w:marTop w:val="0"/>
          <w:marBottom w:val="0"/>
          <w:divBdr>
            <w:top w:val="none" w:sz="0" w:space="0" w:color="auto"/>
            <w:left w:val="none" w:sz="0" w:space="0" w:color="auto"/>
            <w:bottom w:val="none" w:sz="0" w:space="0" w:color="auto"/>
            <w:right w:val="none" w:sz="0" w:space="0" w:color="auto"/>
          </w:divBdr>
        </w:div>
        <w:div w:id="448279455">
          <w:marLeft w:val="0"/>
          <w:marRight w:val="0"/>
          <w:marTop w:val="0"/>
          <w:marBottom w:val="0"/>
          <w:divBdr>
            <w:top w:val="none" w:sz="0" w:space="0" w:color="auto"/>
            <w:left w:val="none" w:sz="0" w:space="0" w:color="auto"/>
            <w:bottom w:val="none" w:sz="0" w:space="0" w:color="auto"/>
            <w:right w:val="none" w:sz="0" w:space="0" w:color="auto"/>
          </w:divBdr>
        </w:div>
        <w:div w:id="500048290">
          <w:marLeft w:val="0"/>
          <w:marRight w:val="0"/>
          <w:marTop w:val="0"/>
          <w:marBottom w:val="0"/>
          <w:divBdr>
            <w:top w:val="none" w:sz="0" w:space="0" w:color="auto"/>
            <w:left w:val="none" w:sz="0" w:space="0" w:color="auto"/>
            <w:bottom w:val="none" w:sz="0" w:space="0" w:color="auto"/>
            <w:right w:val="none" w:sz="0" w:space="0" w:color="auto"/>
          </w:divBdr>
        </w:div>
        <w:div w:id="635529558">
          <w:marLeft w:val="0"/>
          <w:marRight w:val="0"/>
          <w:marTop w:val="0"/>
          <w:marBottom w:val="0"/>
          <w:divBdr>
            <w:top w:val="none" w:sz="0" w:space="0" w:color="auto"/>
            <w:left w:val="none" w:sz="0" w:space="0" w:color="auto"/>
            <w:bottom w:val="none" w:sz="0" w:space="0" w:color="auto"/>
            <w:right w:val="none" w:sz="0" w:space="0" w:color="auto"/>
          </w:divBdr>
        </w:div>
        <w:div w:id="640575383">
          <w:marLeft w:val="0"/>
          <w:marRight w:val="0"/>
          <w:marTop w:val="0"/>
          <w:marBottom w:val="0"/>
          <w:divBdr>
            <w:top w:val="none" w:sz="0" w:space="0" w:color="auto"/>
            <w:left w:val="none" w:sz="0" w:space="0" w:color="auto"/>
            <w:bottom w:val="none" w:sz="0" w:space="0" w:color="auto"/>
            <w:right w:val="none" w:sz="0" w:space="0" w:color="auto"/>
          </w:divBdr>
        </w:div>
        <w:div w:id="716315680">
          <w:marLeft w:val="0"/>
          <w:marRight w:val="0"/>
          <w:marTop w:val="0"/>
          <w:marBottom w:val="0"/>
          <w:divBdr>
            <w:top w:val="none" w:sz="0" w:space="0" w:color="auto"/>
            <w:left w:val="none" w:sz="0" w:space="0" w:color="auto"/>
            <w:bottom w:val="none" w:sz="0" w:space="0" w:color="auto"/>
            <w:right w:val="none" w:sz="0" w:space="0" w:color="auto"/>
          </w:divBdr>
        </w:div>
        <w:div w:id="747962577">
          <w:marLeft w:val="0"/>
          <w:marRight w:val="0"/>
          <w:marTop w:val="0"/>
          <w:marBottom w:val="0"/>
          <w:divBdr>
            <w:top w:val="none" w:sz="0" w:space="0" w:color="auto"/>
            <w:left w:val="none" w:sz="0" w:space="0" w:color="auto"/>
            <w:bottom w:val="none" w:sz="0" w:space="0" w:color="auto"/>
            <w:right w:val="none" w:sz="0" w:space="0" w:color="auto"/>
          </w:divBdr>
        </w:div>
        <w:div w:id="805590977">
          <w:marLeft w:val="0"/>
          <w:marRight w:val="0"/>
          <w:marTop w:val="0"/>
          <w:marBottom w:val="0"/>
          <w:divBdr>
            <w:top w:val="none" w:sz="0" w:space="0" w:color="auto"/>
            <w:left w:val="none" w:sz="0" w:space="0" w:color="auto"/>
            <w:bottom w:val="none" w:sz="0" w:space="0" w:color="auto"/>
            <w:right w:val="none" w:sz="0" w:space="0" w:color="auto"/>
          </w:divBdr>
        </w:div>
        <w:div w:id="827206302">
          <w:marLeft w:val="0"/>
          <w:marRight w:val="0"/>
          <w:marTop w:val="0"/>
          <w:marBottom w:val="0"/>
          <w:divBdr>
            <w:top w:val="none" w:sz="0" w:space="0" w:color="auto"/>
            <w:left w:val="none" w:sz="0" w:space="0" w:color="auto"/>
            <w:bottom w:val="none" w:sz="0" w:space="0" w:color="auto"/>
            <w:right w:val="none" w:sz="0" w:space="0" w:color="auto"/>
          </w:divBdr>
        </w:div>
        <w:div w:id="914438443">
          <w:marLeft w:val="0"/>
          <w:marRight w:val="0"/>
          <w:marTop w:val="0"/>
          <w:marBottom w:val="0"/>
          <w:divBdr>
            <w:top w:val="none" w:sz="0" w:space="0" w:color="auto"/>
            <w:left w:val="none" w:sz="0" w:space="0" w:color="auto"/>
            <w:bottom w:val="none" w:sz="0" w:space="0" w:color="auto"/>
            <w:right w:val="none" w:sz="0" w:space="0" w:color="auto"/>
          </w:divBdr>
        </w:div>
        <w:div w:id="952593432">
          <w:marLeft w:val="0"/>
          <w:marRight w:val="0"/>
          <w:marTop w:val="0"/>
          <w:marBottom w:val="0"/>
          <w:divBdr>
            <w:top w:val="none" w:sz="0" w:space="0" w:color="auto"/>
            <w:left w:val="none" w:sz="0" w:space="0" w:color="auto"/>
            <w:bottom w:val="none" w:sz="0" w:space="0" w:color="auto"/>
            <w:right w:val="none" w:sz="0" w:space="0" w:color="auto"/>
          </w:divBdr>
        </w:div>
        <w:div w:id="955677546">
          <w:marLeft w:val="0"/>
          <w:marRight w:val="0"/>
          <w:marTop w:val="0"/>
          <w:marBottom w:val="0"/>
          <w:divBdr>
            <w:top w:val="none" w:sz="0" w:space="0" w:color="auto"/>
            <w:left w:val="none" w:sz="0" w:space="0" w:color="auto"/>
            <w:bottom w:val="none" w:sz="0" w:space="0" w:color="auto"/>
            <w:right w:val="none" w:sz="0" w:space="0" w:color="auto"/>
          </w:divBdr>
        </w:div>
        <w:div w:id="1106731452">
          <w:marLeft w:val="0"/>
          <w:marRight w:val="0"/>
          <w:marTop w:val="0"/>
          <w:marBottom w:val="0"/>
          <w:divBdr>
            <w:top w:val="none" w:sz="0" w:space="0" w:color="auto"/>
            <w:left w:val="none" w:sz="0" w:space="0" w:color="auto"/>
            <w:bottom w:val="none" w:sz="0" w:space="0" w:color="auto"/>
            <w:right w:val="none" w:sz="0" w:space="0" w:color="auto"/>
          </w:divBdr>
        </w:div>
        <w:div w:id="1113088158">
          <w:marLeft w:val="0"/>
          <w:marRight w:val="0"/>
          <w:marTop w:val="0"/>
          <w:marBottom w:val="0"/>
          <w:divBdr>
            <w:top w:val="none" w:sz="0" w:space="0" w:color="auto"/>
            <w:left w:val="none" w:sz="0" w:space="0" w:color="auto"/>
            <w:bottom w:val="none" w:sz="0" w:space="0" w:color="auto"/>
            <w:right w:val="none" w:sz="0" w:space="0" w:color="auto"/>
          </w:divBdr>
        </w:div>
        <w:div w:id="1139028290">
          <w:marLeft w:val="0"/>
          <w:marRight w:val="0"/>
          <w:marTop w:val="0"/>
          <w:marBottom w:val="0"/>
          <w:divBdr>
            <w:top w:val="none" w:sz="0" w:space="0" w:color="auto"/>
            <w:left w:val="none" w:sz="0" w:space="0" w:color="auto"/>
            <w:bottom w:val="none" w:sz="0" w:space="0" w:color="auto"/>
            <w:right w:val="none" w:sz="0" w:space="0" w:color="auto"/>
          </w:divBdr>
        </w:div>
        <w:div w:id="1154686080">
          <w:marLeft w:val="0"/>
          <w:marRight w:val="0"/>
          <w:marTop w:val="0"/>
          <w:marBottom w:val="0"/>
          <w:divBdr>
            <w:top w:val="none" w:sz="0" w:space="0" w:color="auto"/>
            <w:left w:val="none" w:sz="0" w:space="0" w:color="auto"/>
            <w:bottom w:val="none" w:sz="0" w:space="0" w:color="auto"/>
            <w:right w:val="none" w:sz="0" w:space="0" w:color="auto"/>
          </w:divBdr>
        </w:div>
        <w:div w:id="1193685161">
          <w:marLeft w:val="0"/>
          <w:marRight w:val="0"/>
          <w:marTop w:val="0"/>
          <w:marBottom w:val="0"/>
          <w:divBdr>
            <w:top w:val="none" w:sz="0" w:space="0" w:color="auto"/>
            <w:left w:val="none" w:sz="0" w:space="0" w:color="auto"/>
            <w:bottom w:val="none" w:sz="0" w:space="0" w:color="auto"/>
            <w:right w:val="none" w:sz="0" w:space="0" w:color="auto"/>
          </w:divBdr>
        </w:div>
        <w:div w:id="1233468001">
          <w:marLeft w:val="0"/>
          <w:marRight w:val="0"/>
          <w:marTop w:val="0"/>
          <w:marBottom w:val="0"/>
          <w:divBdr>
            <w:top w:val="none" w:sz="0" w:space="0" w:color="auto"/>
            <w:left w:val="none" w:sz="0" w:space="0" w:color="auto"/>
            <w:bottom w:val="none" w:sz="0" w:space="0" w:color="auto"/>
            <w:right w:val="none" w:sz="0" w:space="0" w:color="auto"/>
          </w:divBdr>
        </w:div>
        <w:div w:id="1291012929">
          <w:marLeft w:val="0"/>
          <w:marRight w:val="0"/>
          <w:marTop w:val="0"/>
          <w:marBottom w:val="0"/>
          <w:divBdr>
            <w:top w:val="none" w:sz="0" w:space="0" w:color="auto"/>
            <w:left w:val="none" w:sz="0" w:space="0" w:color="auto"/>
            <w:bottom w:val="none" w:sz="0" w:space="0" w:color="auto"/>
            <w:right w:val="none" w:sz="0" w:space="0" w:color="auto"/>
          </w:divBdr>
        </w:div>
        <w:div w:id="1330715858">
          <w:marLeft w:val="0"/>
          <w:marRight w:val="0"/>
          <w:marTop w:val="0"/>
          <w:marBottom w:val="0"/>
          <w:divBdr>
            <w:top w:val="none" w:sz="0" w:space="0" w:color="auto"/>
            <w:left w:val="none" w:sz="0" w:space="0" w:color="auto"/>
            <w:bottom w:val="none" w:sz="0" w:space="0" w:color="auto"/>
            <w:right w:val="none" w:sz="0" w:space="0" w:color="auto"/>
          </w:divBdr>
        </w:div>
        <w:div w:id="1349605106">
          <w:marLeft w:val="0"/>
          <w:marRight w:val="0"/>
          <w:marTop w:val="0"/>
          <w:marBottom w:val="0"/>
          <w:divBdr>
            <w:top w:val="none" w:sz="0" w:space="0" w:color="auto"/>
            <w:left w:val="none" w:sz="0" w:space="0" w:color="auto"/>
            <w:bottom w:val="none" w:sz="0" w:space="0" w:color="auto"/>
            <w:right w:val="none" w:sz="0" w:space="0" w:color="auto"/>
          </w:divBdr>
        </w:div>
        <w:div w:id="1363632822">
          <w:marLeft w:val="0"/>
          <w:marRight w:val="0"/>
          <w:marTop w:val="0"/>
          <w:marBottom w:val="0"/>
          <w:divBdr>
            <w:top w:val="none" w:sz="0" w:space="0" w:color="auto"/>
            <w:left w:val="none" w:sz="0" w:space="0" w:color="auto"/>
            <w:bottom w:val="none" w:sz="0" w:space="0" w:color="auto"/>
            <w:right w:val="none" w:sz="0" w:space="0" w:color="auto"/>
          </w:divBdr>
        </w:div>
        <w:div w:id="1389768758">
          <w:marLeft w:val="0"/>
          <w:marRight w:val="0"/>
          <w:marTop w:val="0"/>
          <w:marBottom w:val="0"/>
          <w:divBdr>
            <w:top w:val="none" w:sz="0" w:space="0" w:color="auto"/>
            <w:left w:val="none" w:sz="0" w:space="0" w:color="auto"/>
            <w:bottom w:val="none" w:sz="0" w:space="0" w:color="auto"/>
            <w:right w:val="none" w:sz="0" w:space="0" w:color="auto"/>
          </w:divBdr>
        </w:div>
        <w:div w:id="1544824409">
          <w:marLeft w:val="0"/>
          <w:marRight w:val="0"/>
          <w:marTop w:val="0"/>
          <w:marBottom w:val="0"/>
          <w:divBdr>
            <w:top w:val="none" w:sz="0" w:space="0" w:color="auto"/>
            <w:left w:val="none" w:sz="0" w:space="0" w:color="auto"/>
            <w:bottom w:val="none" w:sz="0" w:space="0" w:color="auto"/>
            <w:right w:val="none" w:sz="0" w:space="0" w:color="auto"/>
          </w:divBdr>
        </w:div>
        <w:div w:id="1554660602">
          <w:marLeft w:val="0"/>
          <w:marRight w:val="0"/>
          <w:marTop w:val="0"/>
          <w:marBottom w:val="0"/>
          <w:divBdr>
            <w:top w:val="none" w:sz="0" w:space="0" w:color="auto"/>
            <w:left w:val="none" w:sz="0" w:space="0" w:color="auto"/>
            <w:bottom w:val="none" w:sz="0" w:space="0" w:color="auto"/>
            <w:right w:val="none" w:sz="0" w:space="0" w:color="auto"/>
          </w:divBdr>
        </w:div>
        <w:div w:id="1596816897">
          <w:marLeft w:val="0"/>
          <w:marRight w:val="0"/>
          <w:marTop w:val="0"/>
          <w:marBottom w:val="0"/>
          <w:divBdr>
            <w:top w:val="none" w:sz="0" w:space="0" w:color="auto"/>
            <w:left w:val="none" w:sz="0" w:space="0" w:color="auto"/>
            <w:bottom w:val="none" w:sz="0" w:space="0" w:color="auto"/>
            <w:right w:val="none" w:sz="0" w:space="0" w:color="auto"/>
          </w:divBdr>
        </w:div>
        <w:div w:id="1724871414">
          <w:marLeft w:val="0"/>
          <w:marRight w:val="0"/>
          <w:marTop w:val="0"/>
          <w:marBottom w:val="0"/>
          <w:divBdr>
            <w:top w:val="none" w:sz="0" w:space="0" w:color="auto"/>
            <w:left w:val="none" w:sz="0" w:space="0" w:color="auto"/>
            <w:bottom w:val="none" w:sz="0" w:space="0" w:color="auto"/>
            <w:right w:val="none" w:sz="0" w:space="0" w:color="auto"/>
          </w:divBdr>
        </w:div>
        <w:div w:id="1793787391">
          <w:marLeft w:val="0"/>
          <w:marRight w:val="0"/>
          <w:marTop w:val="0"/>
          <w:marBottom w:val="0"/>
          <w:divBdr>
            <w:top w:val="none" w:sz="0" w:space="0" w:color="auto"/>
            <w:left w:val="none" w:sz="0" w:space="0" w:color="auto"/>
            <w:bottom w:val="none" w:sz="0" w:space="0" w:color="auto"/>
            <w:right w:val="none" w:sz="0" w:space="0" w:color="auto"/>
          </w:divBdr>
        </w:div>
        <w:div w:id="2000882740">
          <w:marLeft w:val="0"/>
          <w:marRight w:val="0"/>
          <w:marTop w:val="0"/>
          <w:marBottom w:val="0"/>
          <w:divBdr>
            <w:top w:val="none" w:sz="0" w:space="0" w:color="auto"/>
            <w:left w:val="none" w:sz="0" w:space="0" w:color="auto"/>
            <w:bottom w:val="none" w:sz="0" w:space="0" w:color="auto"/>
            <w:right w:val="none" w:sz="0" w:space="0" w:color="auto"/>
          </w:divBdr>
        </w:div>
        <w:div w:id="2010983229">
          <w:marLeft w:val="0"/>
          <w:marRight w:val="0"/>
          <w:marTop w:val="0"/>
          <w:marBottom w:val="0"/>
          <w:divBdr>
            <w:top w:val="none" w:sz="0" w:space="0" w:color="auto"/>
            <w:left w:val="none" w:sz="0" w:space="0" w:color="auto"/>
            <w:bottom w:val="none" w:sz="0" w:space="0" w:color="auto"/>
            <w:right w:val="none" w:sz="0" w:space="0" w:color="auto"/>
          </w:divBdr>
        </w:div>
        <w:div w:id="2119638423">
          <w:marLeft w:val="0"/>
          <w:marRight w:val="0"/>
          <w:marTop w:val="0"/>
          <w:marBottom w:val="0"/>
          <w:divBdr>
            <w:top w:val="none" w:sz="0" w:space="0" w:color="auto"/>
            <w:left w:val="none" w:sz="0" w:space="0" w:color="auto"/>
            <w:bottom w:val="none" w:sz="0" w:space="0" w:color="auto"/>
            <w:right w:val="none" w:sz="0" w:space="0" w:color="auto"/>
          </w:divBdr>
        </w:div>
      </w:divsChild>
    </w:div>
    <w:div w:id="1006907357">
      <w:bodyDiv w:val="1"/>
      <w:marLeft w:val="0"/>
      <w:marRight w:val="0"/>
      <w:marTop w:val="0"/>
      <w:marBottom w:val="0"/>
      <w:divBdr>
        <w:top w:val="none" w:sz="0" w:space="0" w:color="auto"/>
        <w:left w:val="none" w:sz="0" w:space="0" w:color="auto"/>
        <w:bottom w:val="none" w:sz="0" w:space="0" w:color="auto"/>
        <w:right w:val="none" w:sz="0" w:space="0" w:color="auto"/>
      </w:divBdr>
    </w:div>
    <w:div w:id="1049575251">
      <w:bodyDiv w:val="1"/>
      <w:marLeft w:val="0"/>
      <w:marRight w:val="0"/>
      <w:marTop w:val="0"/>
      <w:marBottom w:val="0"/>
      <w:divBdr>
        <w:top w:val="none" w:sz="0" w:space="0" w:color="auto"/>
        <w:left w:val="none" w:sz="0" w:space="0" w:color="auto"/>
        <w:bottom w:val="none" w:sz="0" w:space="0" w:color="auto"/>
        <w:right w:val="none" w:sz="0" w:space="0" w:color="auto"/>
      </w:divBdr>
    </w:div>
    <w:div w:id="1051612972">
      <w:bodyDiv w:val="1"/>
      <w:marLeft w:val="0"/>
      <w:marRight w:val="0"/>
      <w:marTop w:val="0"/>
      <w:marBottom w:val="0"/>
      <w:divBdr>
        <w:top w:val="none" w:sz="0" w:space="0" w:color="auto"/>
        <w:left w:val="none" w:sz="0" w:space="0" w:color="auto"/>
        <w:bottom w:val="none" w:sz="0" w:space="0" w:color="auto"/>
        <w:right w:val="none" w:sz="0" w:space="0" w:color="auto"/>
      </w:divBdr>
    </w:div>
    <w:div w:id="1157644540">
      <w:bodyDiv w:val="1"/>
      <w:marLeft w:val="0"/>
      <w:marRight w:val="0"/>
      <w:marTop w:val="0"/>
      <w:marBottom w:val="0"/>
      <w:divBdr>
        <w:top w:val="none" w:sz="0" w:space="0" w:color="auto"/>
        <w:left w:val="none" w:sz="0" w:space="0" w:color="auto"/>
        <w:bottom w:val="none" w:sz="0" w:space="0" w:color="auto"/>
        <w:right w:val="none" w:sz="0" w:space="0" w:color="auto"/>
      </w:divBdr>
      <w:divsChild>
        <w:div w:id="87238859">
          <w:marLeft w:val="0"/>
          <w:marRight w:val="0"/>
          <w:marTop w:val="0"/>
          <w:marBottom w:val="0"/>
          <w:divBdr>
            <w:top w:val="none" w:sz="0" w:space="0" w:color="auto"/>
            <w:left w:val="none" w:sz="0" w:space="0" w:color="auto"/>
            <w:bottom w:val="none" w:sz="0" w:space="0" w:color="auto"/>
            <w:right w:val="none" w:sz="0" w:space="0" w:color="auto"/>
          </w:divBdr>
        </w:div>
        <w:div w:id="148713144">
          <w:marLeft w:val="0"/>
          <w:marRight w:val="0"/>
          <w:marTop w:val="0"/>
          <w:marBottom w:val="0"/>
          <w:divBdr>
            <w:top w:val="none" w:sz="0" w:space="0" w:color="auto"/>
            <w:left w:val="none" w:sz="0" w:space="0" w:color="auto"/>
            <w:bottom w:val="none" w:sz="0" w:space="0" w:color="auto"/>
            <w:right w:val="none" w:sz="0" w:space="0" w:color="auto"/>
          </w:divBdr>
        </w:div>
        <w:div w:id="158545793">
          <w:marLeft w:val="0"/>
          <w:marRight w:val="0"/>
          <w:marTop w:val="0"/>
          <w:marBottom w:val="0"/>
          <w:divBdr>
            <w:top w:val="none" w:sz="0" w:space="0" w:color="auto"/>
            <w:left w:val="none" w:sz="0" w:space="0" w:color="auto"/>
            <w:bottom w:val="none" w:sz="0" w:space="0" w:color="auto"/>
            <w:right w:val="none" w:sz="0" w:space="0" w:color="auto"/>
          </w:divBdr>
        </w:div>
        <w:div w:id="159125068">
          <w:marLeft w:val="0"/>
          <w:marRight w:val="0"/>
          <w:marTop w:val="0"/>
          <w:marBottom w:val="0"/>
          <w:divBdr>
            <w:top w:val="none" w:sz="0" w:space="0" w:color="auto"/>
            <w:left w:val="none" w:sz="0" w:space="0" w:color="auto"/>
            <w:bottom w:val="none" w:sz="0" w:space="0" w:color="auto"/>
            <w:right w:val="none" w:sz="0" w:space="0" w:color="auto"/>
          </w:divBdr>
        </w:div>
        <w:div w:id="198905396">
          <w:marLeft w:val="0"/>
          <w:marRight w:val="0"/>
          <w:marTop w:val="0"/>
          <w:marBottom w:val="0"/>
          <w:divBdr>
            <w:top w:val="none" w:sz="0" w:space="0" w:color="auto"/>
            <w:left w:val="none" w:sz="0" w:space="0" w:color="auto"/>
            <w:bottom w:val="none" w:sz="0" w:space="0" w:color="auto"/>
            <w:right w:val="none" w:sz="0" w:space="0" w:color="auto"/>
          </w:divBdr>
        </w:div>
        <w:div w:id="304167647">
          <w:marLeft w:val="0"/>
          <w:marRight w:val="0"/>
          <w:marTop w:val="0"/>
          <w:marBottom w:val="0"/>
          <w:divBdr>
            <w:top w:val="none" w:sz="0" w:space="0" w:color="auto"/>
            <w:left w:val="none" w:sz="0" w:space="0" w:color="auto"/>
            <w:bottom w:val="none" w:sz="0" w:space="0" w:color="auto"/>
            <w:right w:val="none" w:sz="0" w:space="0" w:color="auto"/>
          </w:divBdr>
        </w:div>
        <w:div w:id="359669636">
          <w:marLeft w:val="0"/>
          <w:marRight w:val="0"/>
          <w:marTop w:val="0"/>
          <w:marBottom w:val="0"/>
          <w:divBdr>
            <w:top w:val="none" w:sz="0" w:space="0" w:color="auto"/>
            <w:left w:val="none" w:sz="0" w:space="0" w:color="auto"/>
            <w:bottom w:val="none" w:sz="0" w:space="0" w:color="auto"/>
            <w:right w:val="none" w:sz="0" w:space="0" w:color="auto"/>
          </w:divBdr>
        </w:div>
        <w:div w:id="425420574">
          <w:marLeft w:val="0"/>
          <w:marRight w:val="0"/>
          <w:marTop w:val="0"/>
          <w:marBottom w:val="0"/>
          <w:divBdr>
            <w:top w:val="none" w:sz="0" w:space="0" w:color="auto"/>
            <w:left w:val="none" w:sz="0" w:space="0" w:color="auto"/>
            <w:bottom w:val="none" w:sz="0" w:space="0" w:color="auto"/>
            <w:right w:val="none" w:sz="0" w:space="0" w:color="auto"/>
          </w:divBdr>
        </w:div>
        <w:div w:id="439102879">
          <w:marLeft w:val="0"/>
          <w:marRight w:val="0"/>
          <w:marTop w:val="0"/>
          <w:marBottom w:val="0"/>
          <w:divBdr>
            <w:top w:val="none" w:sz="0" w:space="0" w:color="auto"/>
            <w:left w:val="none" w:sz="0" w:space="0" w:color="auto"/>
            <w:bottom w:val="none" w:sz="0" w:space="0" w:color="auto"/>
            <w:right w:val="none" w:sz="0" w:space="0" w:color="auto"/>
          </w:divBdr>
        </w:div>
        <w:div w:id="446390094">
          <w:marLeft w:val="0"/>
          <w:marRight w:val="0"/>
          <w:marTop w:val="0"/>
          <w:marBottom w:val="0"/>
          <w:divBdr>
            <w:top w:val="none" w:sz="0" w:space="0" w:color="auto"/>
            <w:left w:val="none" w:sz="0" w:space="0" w:color="auto"/>
            <w:bottom w:val="none" w:sz="0" w:space="0" w:color="auto"/>
            <w:right w:val="none" w:sz="0" w:space="0" w:color="auto"/>
          </w:divBdr>
        </w:div>
        <w:div w:id="449982760">
          <w:marLeft w:val="0"/>
          <w:marRight w:val="0"/>
          <w:marTop w:val="0"/>
          <w:marBottom w:val="0"/>
          <w:divBdr>
            <w:top w:val="none" w:sz="0" w:space="0" w:color="auto"/>
            <w:left w:val="none" w:sz="0" w:space="0" w:color="auto"/>
            <w:bottom w:val="none" w:sz="0" w:space="0" w:color="auto"/>
            <w:right w:val="none" w:sz="0" w:space="0" w:color="auto"/>
          </w:divBdr>
        </w:div>
        <w:div w:id="477650642">
          <w:marLeft w:val="0"/>
          <w:marRight w:val="0"/>
          <w:marTop w:val="0"/>
          <w:marBottom w:val="0"/>
          <w:divBdr>
            <w:top w:val="none" w:sz="0" w:space="0" w:color="auto"/>
            <w:left w:val="none" w:sz="0" w:space="0" w:color="auto"/>
            <w:bottom w:val="none" w:sz="0" w:space="0" w:color="auto"/>
            <w:right w:val="none" w:sz="0" w:space="0" w:color="auto"/>
          </w:divBdr>
        </w:div>
        <w:div w:id="525873581">
          <w:marLeft w:val="0"/>
          <w:marRight w:val="0"/>
          <w:marTop w:val="0"/>
          <w:marBottom w:val="0"/>
          <w:divBdr>
            <w:top w:val="none" w:sz="0" w:space="0" w:color="auto"/>
            <w:left w:val="none" w:sz="0" w:space="0" w:color="auto"/>
            <w:bottom w:val="none" w:sz="0" w:space="0" w:color="auto"/>
            <w:right w:val="none" w:sz="0" w:space="0" w:color="auto"/>
          </w:divBdr>
        </w:div>
        <w:div w:id="534998462">
          <w:marLeft w:val="0"/>
          <w:marRight w:val="0"/>
          <w:marTop w:val="0"/>
          <w:marBottom w:val="0"/>
          <w:divBdr>
            <w:top w:val="none" w:sz="0" w:space="0" w:color="auto"/>
            <w:left w:val="none" w:sz="0" w:space="0" w:color="auto"/>
            <w:bottom w:val="none" w:sz="0" w:space="0" w:color="auto"/>
            <w:right w:val="none" w:sz="0" w:space="0" w:color="auto"/>
          </w:divBdr>
        </w:div>
        <w:div w:id="608783661">
          <w:marLeft w:val="0"/>
          <w:marRight w:val="0"/>
          <w:marTop w:val="0"/>
          <w:marBottom w:val="0"/>
          <w:divBdr>
            <w:top w:val="none" w:sz="0" w:space="0" w:color="auto"/>
            <w:left w:val="none" w:sz="0" w:space="0" w:color="auto"/>
            <w:bottom w:val="none" w:sz="0" w:space="0" w:color="auto"/>
            <w:right w:val="none" w:sz="0" w:space="0" w:color="auto"/>
          </w:divBdr>
        </w:div>
        <w:div w:id="655769749">
          <w:marLeft w:val="0"/>
          <w:marRight w:val="0"/>
          <w:marTop w:val="0"/>
          <w:marBottom w:val="0"/>
          <w:divBdr>
            <w:top w:val="none" w:sz="0" w:space="0" w:color="auto"/>
            <w:left w:val="none" w:sz="0" w:space="0" w:color="auto"/>
            <w:bottom w:val="none" w:sz="0" w:space="0" w:color="auto"/>
            <w:right w:val="none" w:sz="0" w:space="0" w:color="auto"/>
          </w:divBdr>
        </w:div>
        <w:div w:id="797649848">
          <w:marLeft w:val="0"/>
          <w:marRight w:val="0"/>
          <w:marTop w:val="0"/>
          <w:marBottom w:val="0"/>
          <w:divBdr>
            <w:top w:val="none" w:sz="0" w:space="0" w:color="auto"/>
            <w:left w:val="none" w:sz="0" w:space="0" w:color="auto"/>
            <w:bottom w:val="none" w:sz="0" w:space="0" w:color="auto"/>
            <w:right w:val="none" w:sz="0" w:space="0" w:color="auto"/>
          </w:divBdr>
        </w:div>
        <w:div w:id="829640151">
          <w:marLeft w:val="0"/>
          <w:marRight w:val="0"/>
          <w:marTop w:val="0"/>
          <w:marBottom w:val="0"/>
          <w:divBdr>
            <w:top w:val="none" w:sz="0" w:space="0" w:color="auto"/>
            <w:left w:val="none" w:sz="0" w:space="0" w:color="auto"/>
            <w:bottom w:val="none" w:sz="0" w:space="0" w:color="auto"/>
            <w:right w:val="none" w:sz="0" w:space="0" w:color="auto"/>
          </w:divBdr>
        </w:div>
        <w:div w:id="984510213">
          <w:marLeft w:val="0"/>
          <w:marRight w:val="0"/>
          <w:marTop w:val="0"/>
          <w:marBottom w:val="0"/>
          <w:divBdr>
            <w:top w:val="none" w:sz="0" w:space="0" w:color="auto"/>
            <w:left w:val="none" w:sz="0" w:space="0" w:color="auto"/>
            <w:bottom w:val="none" w:sz="0" w:space="0" w:color="auto"/>
            <w:right w:val="none" w:sz="0" w:space="0" w:color="auto"/>
          </w:divBdr>
        </w:div>
        <w:div w:id="1075392627">
          <w:marLeft w:val="0"/>
          <w:marRight w:val="0"/>
          <w:marTop w:val="0"/>
          <w:marBottom w:val="0"/>
          <w:divBdr>
            <w:top w:val="none" w:sz="0" w:space="0" w:color="auto"/>
            <w:left w:val="none" w:sz="0" w:space="0" w:color="auto"/>
            <w:bottom w:val="none" w:sz="0" w:space="0" w:color="auto"/>
            <w:right w:val="none" w:sz="0" w:space="0" w:color="auto"/>
          </w:divBdr>
        </w:div>
        <w:div w:id="1080761541">
          <w:marLeft w:val="0"/>
          <w:marRight w:val="0"/>
          <w:marTop w:val="0"/>
          <w:marBottom w:val="0"/>
          <w:divBdr>
            <w:top w:val="none" w:sz="0" w:space="0" w:color="auto"/>
            <w:left w:val="none" w:sz="0" w:space="0" w:color="auto"/>
            <w:bottom w:val="none" w:sz="0" w:space="0" w:color="auto"/>
            <w:right w:val="none" w:sz="0" w:space="0" w:color="auto"/>
          </w:divBdr>
        </w:div>
        <w:div w:id="1109350415">
          <w:marLeft w:val="0"/>
          <w:marRight w:val="0"/>
          <w:marTop w:val="0"/>
          <w:marBottom w:val="0"/>
          <w:divBdr>
            <w:top w:val="none" w:sz="0" w:space="0" w:color="auto"/>
            <w:left w:val="none" w:sz="0" w:space="0" w:color="auto"/>
            <w:bottom w:val="none" w:sz="0" w:space="0" w:color="auto"/>
            <w:right w:val="none" w:sz="0" w:space="0" w:color="auto"/>
          </w:divBdr>
        </w:div>
        <w:div w:id="1158157027">
          <w:marLeft w:val="0"/>
          <w:marRight w:val="0"/>
          <w:marTop w:val="0"/>
          <w:marBottom w:val="0"/>
          <w:divBdr>
            <w:top w:val="none" w:sz="0" w:space="0" w:color="auto"/>
            <w:left w:val="none" w:sz="0" w:space="0" w:color="auto"/>
            <w:bottom w:val="none" w:sz="0" w:space="0" w:color="auto"/>
            <w:right w:val="none" w:sz="0" w:space="0" w:color="auto"/>
          </w:divBdr>
        </w:div>
        <w:div w:id="1168718109">
          <w:marLeft w:val="0"/>
          <w:marRight w:val="0"/>
          <w:marTop w:val="0"/>
          <w:marBottom w:val="0"/>
          <w:divBdr>
            <w:top w:val="none" w:sz="0" w:space="0" w:color="auto"/>
            <w:left w:val="none" w:sz="0" w:space="0" w:color="auto"/>
            <w:bottom w:val="none" w:sz="0" w:space="0" w:color="auto"/>
            <w:right w:val="none" w:sz="0" w:space="0" w:color="auto"/>
          </w:divBdr>
        </w:div>
        <w:div w:id="1170873969">
          <w:marLeft w:val="0"/>
          <w:marRight w:val="0"/>
          <w:marTop w:val="0"/>
          <w:marBottom w:val="0"/>
          <w:divBdr>
            <w:top w:val="none" w:sz="0" w:space="0" w:color="auto"/>
            <w:left w:val="none" w:sz="0" w:space="0" w:color="auto"/>
            <w:bottom w:val="none" w:sz="0" w:space="0" w:color="auto"/>
            <w:right w:val="none" w:sz="0" w:space="0" w:color="auto"/>
          </w:divBdr>
        </w:div>
        <w:div w:id="1233852224">
          <w:marLeft w:val="0"/>
          <w:marRight w:val="0"/>
          <w:marTop w:val="0"/>
          <w:marBottom w:val="0"/>
          <w:divBdr>
            <w:top w:val="none" w:sz="0" w:space="0" w:color="auto"/>
            <w:left w:val="none" w:sz="0" w:space="0" w:color="auto"/>
            <w:bottom w:val="none" w:sz="0" w:space="0" w:color="auto"/>
            <w:right w:val="none" w:sz="0" w:space="0" w:color="auto"/>
          </w:divBdr>
        </w:div>
        <w:div w:id="1272974024">
          <w:marLeft w:val="0"/>
          <w:marRight w:val="0"/>
          <w:marTop w:val="0"/>
          <w:marBottom w:val="0"/>
          <w:divBdr>
            <w:top w:val="none" w:sz="0" w:space="0" w:color="auto"/>
            <w:left w:val="none" w:sz="0" w:space="0" w:color="auto"/>
            <w:bottom w:val="none" w:sz="0" w:space="0" w:color="auto"/>
            <w:right w:val="none" w:sz="0" w:space="0" w:color="auto"/>
          </w:divBdr>
        </w:div>
        <w:div w:id="1316762418">
          <w:marLeft w:val="0"/>
          <w:marRight w:val="0"/>
          <w:marTop w:val="0"/>
          <w:marBottom w:val="0"/>
          <w:divBdr>
            <w:top w:val="none" w:sz="0" w:space="0" w:color="auto"/>
            <w:left w:val="none" w:sz="0" w:space="0" w:color="auto"/>
            <w:bottom w:val="none" w:sz="0" w:space="0" w:color="auto"/>
            <w:right w:val="none" w:sz="0" w:space="0" w:color="auto"/>
          </w:divBdr>
        </w:div>
        <w:div w:id="1393037401">
          <w:marLeft w:val="0"/>
          <w:marRight w:val="0"/>
          <w:marTop w:val="0"/>
          <w:marBottom w:val="0"/>
          <w:divBdr>
            <w:top w:val="none" w:sz="0" w:space="0" w:color="auto"/>
            <w:left w:val="none" w:sz="0" w:space="0" w:color="auto"/>
            <w:bottom w:val="none" w:sz="0" w:space="0" w:color="auto"/>
            <w:right w:val="none" w:sz="0" w:space="0" w:color="auto"/>
          </w:divBdr>
        </w:div>
        <w:div w:id="1423641242">
          <w:marLeft w:val="0"/>
          <w:marRight w:val="0"/>
          <w:marTop w:val="0"/>
          <w:marBottom w:val="0"/>
          <w:divBdr>
            <w:top w:val="none" w:sz="0" w:space="0" w:color="auto"/>
            <w:left w:val="none" w:sz="0" w:space="0" w:color="auto"/>
            <w:bottom w:val="none" w:sz="0" w:space="0" w:color="auto"/>
            <w:right w:val="none" w:sz="0" w:space="0" w:color="auto"/>
          </w:divBdr>
        </w:div>
        <w:div w:id="1534927794">
          <w:marLeft w:val="0"/>
          <w:marRight w:val="0"/>
          <w:marTop w:val="0"/>
          <w:marBottom w:val="0"/>
          <w:divBdr>
            <w:top w:val="none" w:sz="0" w:space="0" w:color="auto"/>
            <w:left w:val="none" w:sz="0" w:space="0" w:color="auto"/>
            <w:bottom w:val="none" w:sz="0" w:space="0" w:color="auto"/>
            <w:right w:val="none" w:sz="0" w:space="0" w:color="auto"/>
          </w:divBdr>
        </w:div>
        <w:div w:id="1535773961">
          <w:marLeft w:val="0"/>
          <w:marRight w:val="0"/>
          <w:marTop w:val="0"/>
          <w:marBottom w:val="0"/>
          <w:divBdr>
            <w:top w:val="none" w:sz="0" w:space="0" w:color="auto"/>
            <w:left w:val="none" w:sz="0" w:space="0" w:color="auto"/>
            <w:bottom w:val="none" w:sz="0" w:space="0" w:color="auto"/>
            <w:right w:val="none" w:sz="0" w:space="0" w:color="auto"/>
          </w:divBdr>
        </w:div>
        <w:div w:id="1637904408">
          <w:marLeft w:val="0"/>
          <w:marRight w:val="0"/>
          <w:marTop w:val="0"/>
          <w:marBottom w:val="0"/>
          <w:divBdr>
            <w:top w:val="none" w:sz="0" w:space="0" w:color="auto"/>
            <w:left w:val="none" w:sz="0" w:space="0" w:color="auto"/>
            <w:bottom w:val="none" w:sz="0" w:space="0" w:color="auto"/>
            <w:right w:val="none" w:sz="0" w:space="0" w:color="auto"/>
          </w:divBdr>
        </w:div>
        <w:div w:id="1678537106">
          <w:marLeft w:val="0"/>
          <w:marRight w:val="0"/>
          <w:marTop w:val="0"/>
          <w:marBottom w:val="0"/>
          <w:divBdr>
            <w:top w:val="none" w:sz="0" w:space="0" w:color="auto"/>
            <w:left w:val="none" w:sz="0" w:space="0" w:color="auto"/>
            <w:bottom w:val="none" w:sz="0" w:space="0" w:color="auto"/>
            <w:right w:val="none" w:sz="0" w:space="0" w:color="auto"/>
          </w:divBdr>
        </w:div>
        <w:div w:id="1836724969">
          <w:marLeft w:val="0"/>
          <w:marRight w:val="0"/>
          <w:marTop w:val="0"/>
          <w:marBottom w:val="0"/>
          <w:divBdr>
            <w:top w:val="none" w:sz="0" w:space="0" w:color="auto"/>
            <w:left w:val="none" w:sz="0" w:space="0" w:color="auto"/>
            <w:bottom w:val="none" w:sz="0" w:space="0" w:color="auto"/>
            <w:right w:val="none" w:sz="0" w:space="0" w:color="auto"/>
          </w:divBdr>
        </w:div>
        <w:div w:id="1850219152">
          <w:marLeft w:val="0"/>
          <w:marRight w:val="0"/>
          <w:marTop w:val="0"/>
          <w:marBottom w:val="0"/>
          <w:divBdr>
            <w:top w:val="none" w:sz="0" w:space="0" w:color="auto"/>
            <w:left w:val="none" w:sz="0" w:space="0" w:color="auto"/>
            <w:bottom w:val="none" w:sz="0" w:space="0" w:color="auto"/>
            <w:right w:val="none" w:sz="0" w:space="0" w:color="auto"/>
          </w:divBdr>
        </w:div>
        <w:div w:id="1939874325">
          <w:marLeft w:val="0"/>
          <w:marRight w:val="0"/>
          <w:marTop w:val="0"/>
          <w:marBottom w:val="0"/>
          <w:divBdr>
            <w:top w:val="none" w:sz="0" w:space="0" w:color="auto"/>
            <w:left w:val="none" w:sz="0" w:space="0" w:color="auto"/>
            <w:bottom w:val="none" w:sz="0" w:space="0" w:color="auto"/>
            <w:right w:val="none" w:sz="0" w:space="0" w:color="auto"/>
          </w:divBdr>
        </w:div>
        <w:div w:id="1967079390">
          <w:marLeft w:val="0"/>
          <w:marRight w:val="0"/>
          <w:marTop w:val="0"/>
          <w:marBottom w:val="0"/>
          <w:divBdr>
            <w:top w:val="none" w:sz="0" w:space="0" w:color="auto"/>
            <w:left w:val="none" w:sz="0" w:space="0" w:color="auto"/>
            <w:bottom w:val="none" w:sz="0" w:space="0" w:color="auto"/>
            <w:right w:val="none" w:sz="0" w:space="0" w:color="auto"/>
          </w:divBdr>
        </w:div>
        <w:div w:id="2139758489">
          <w:marLeft w:val="0"/>
          <w:marRight w:val="0"/>
          <w:marTop w:val="0"/>
          <w:marBottom w:val="0"/>
          <w:divBdr>
            <w:top w:val="none" w:sz="0" w:space="0" w:color="auto"/>
            <w:left w:val="none" w:sz="0" w:space="0" w:color="auto"/>
            <w:bottom w:val="none" w:sz="0" w:space="0" w:color="auto"/>
            <w:right w:val="none" w:sz="0" w:space="0" w:color="auto"/>
          </w:divBdr>
        </w:div>
      </w:divsChild>
    </w:div>
    <w:div w:id="1166475759">
      <w:bodyDiv w:val="1"/>
      <w:marLeft w:val="0"/>
      <w:marRight w:val="0"/>
      <w:marTop w:val="0"/>
      <w:marBottom w:val="0"/>
      <w:divBdr>
        <w:top w:val="none" w:sz="0" w:space="0" w:color="auto"/>
        <w:left w:val="none" w:sz="0" w:space="0" w:color="auto"/>
        <w:bottom w:val="none" w:sz="0" w:space="0" w:color="auto"/>
        <w:right w:val="none" w:sz="0" w:space="0" w:color="auto"/>
      </w:divBdr>
    </w:div>
    <w:div w:id="1174760513">
      <w:bodyDiv w:val="1"/>
      <w:marLeft w:val="0"/>
      <w:marRight w:val="0"/>
      <w:marTop w:val="0"/>
      <w:marBottom w:val="0"/>
      <w:divBdr>
        <w:top w:val="none" w:sz="0" w:space="0" w:color="auto"/>
        <w:left w:val="none" w:sz="0" w:space="0" w:color="auto"/>
        <w:bottom w:val="none" w:sz="0" w:space="0" w:color="auto"/>
        <w:right w:val="none" w:sz="0" w:space="0" w:color="auto"/>
      </w:divBdr>
      <w:divsChild>
        <w:div w:id="49309149">
          <w:marLeft w:val="0"/>
          <w:marRight w:val="0"/>
          <w:marTop w:val="0"/>
          <w:marBottom w:val="0"/>
          <w:divBdr>
            <w:top w:val="none" w:sz="0" w:space="0" w:color="auto"/>
            <w:left w:val="none" w:sz="0" w:space="0" w:color="auto"/>
            <w:bottom w:val="none" w:sz="0" w:space="0" w:color="auto"/>
            <w:right w:val="none" w:sz="0" w:space="0" w:color="auto"/>
          </w:divBdr>
        </w:div>
        <w:div w:id="97875145">
          <w:marLeft w:val="0"/>
          <w:marRight w:val="0"/>
          <w:marTop w:val="0"/>
          <w:marBottom w:val="0"/>
          <w:divBdr>
            <w:top w:val="none" w:sz="0" w:space="0" w:color="auto"/>
            <w:left w:val="none" w:sz="0" w:space="0" w:color="auto"/>
            <w:bottom w:val="none" w:sz="0" w:space="0" w:color="auto"/>
            <w:right w:val="none" w:sz="0" w:space="0" w:color="auto"/>
          </w:divBdr>
        </w:div>
        <w:div w:id="103421809">
          <w:marLeft w:val="0"/>
          <w:marRight w:val="0"/>
          <w:marTop w:val="0"/>
          <w:marBottom w:val="0"/>
          <w:divBdr>
            <w:top w:val="none" w:sz="0" w:space="0" w:color="auto"/>
            <w:left w:val="none" w:sz="0" w:space="0" w:color="auto"/>
            <w:bottom w:val="none" w:sz="0" w:space="0" w:color="auto"/>
            <w:right w:val="none" w:sz="0" w:space="0" w:color="auto"/>
          </w:divBdr>
        </w:div>
        <w:div w:id="119108994">
          <w:marLeft w:val="0"/>
          <w:marRight w:val="0"/>
          <w:marTop w:val="0"/>
          <w:marBottom w:val="0"/>
          <w:divBdr>
            <w:top w:val="none" w:sz="0" w:space="0" w:color="auto"/>
            <w:left w:val="none" w:sz="0" w:space="0" w:color="auto"/>
            <w:bottom w:val="none" w:sz="0" w:space="0" w:color="auto"/>
            <w:right w:val="none" w:sz="0" w:space="0" w:color="auto"/>
          </w:divBdr>
        </w:div>
        <w:div w:id="139885685">
          <w:marLeft w:val="0"/>
          <w:marRight w:val="0"/>
          <w:marTop w:val="0"/>
          <w:marBottom w:val="0"/>
          <w:divBdr>
            <w:top w:val="none" w:sz="0" w:space="0" w:color="auto"/>
            <w:left w:val="none" w:sz="0" w:space="0" w:color="auto"/>
            <w:bottom w:val="none" w:sz="0" w:space="0" w:color="auto"/>
            <w:right w:val="none" w:sz="0" w:space="0" w:color="auto"/>
          </w:divBdr>
        </w:div>
        <w:div w:id="253520363">
          <w:marLeft w:val="0"/>
          <w:marRight w:val="0"/>
          <w:marTop w:val="0"/>
          <w:marBottom w:val="0"/>
          <w:divBdr>
            <w:top w:val="none" w:sz="0" w:space="0" w:color="auto"/>
            <w:left w:val="none" w:sz="0" w:space="0" w:color="auto"/>
            <w:bottom w:val="none" w:sz="0" w:space="0" w:color="auto"/>
            <w:right w:val="none" w:sz="0" w:space="0" w:color="auto"/>
          </w:divBdr>
        </w:div>
        <w:div w:id="323583939">
          <w:marLeft w:val="0"/>
          <w:marRight w:val="0"/>
          <w:marTop w:val="0"/>
          <w:marBottom w:val="0"/>
          <w:divBdr>
            <w:top w:val="none" w:sz="0" w:space="0" w:color="auto"/>
            <w:left w:val="none" w:sz="0" w:space="0" w:color="auto"/>
            <w:bottom w:val="none" w:sz="0" w:space="0" w:color="auto"/>
            <w:right w:val="none" w:sz="0" w:space="0" w:color="auto"/>
          </w:divBdr>
        </w:div>
        <w:div w:id="327565775">
          <w:marLeft w:val="0"/>
          <w:marRight w:val="0"/>
          <w:marTop w:val="0"/>
          <w:marBottom w:val="0"/>
          <w:divBdr>
            <w:top w:val="none" w:sz="0" w:space="0" w:color="auto"/>
            <w:left w:val="none" w:sz="0" w:space="0" w:color="auto"/>
            <w:bottom w:val="none" w:sz="0" w:space="0" w:color="auto"/>
            <w:right w:val="none" w:sz="0" w:space="0" w:color="auto"/>
          </w:divBdr>
        </w:div>
        <w:div w:id="359746593">
          <w:marLeft w:val="0"/>
          <w:marRight w:val="0"/>
          <w:marTop w:val="0"/>
          <w:marBottom w:val="0"/>
          <w:divBdr>
            <w:top w:val="none" w:sz="0" w:space="0" w:color="auto"/>
            <w:left w:val="none" w:sz="0" w:space="0" w:color="auto"/>
            <w:bottom w:val="none" w:sz="0" w:space="0" w:color="auto"/>
            <w:right w:val="none" w:sz="0" w:space="0" w:color="auto"/>
          </w:divBdr>
        </w:div>
        <w:div w:id="486288325">
          <w:marLeft w:val="0"/>
          <w:marRight w:val="0"/>
          <w:marTop w:val="0"/>
          <w:marBottom w:val="0"/>
          <w:divBdr>
            <w:top w:val="none" w:sz="0" w:space="0" w:color="auto"/>
            <w:left w:val="none" w:sz="0" w:space="0" w:color="auto"/>
            <w:bottom w:val="none" w:sz="0" w:space="0" w:color="auto"/>
            <w:right w:val="none" w:sz="0" w:space="0" w:color="auto"/>
          </w:divBdr>
        </w:div>
        <w:div w:id="713965873">
          <w:marLeft w:val="0"/>
          <w:marRight w:val="0"/>
          <w:marTop w:val="0"/>
          <w:marBottom w:val="0"/>
          <w:divBdr>
            <w:top w:val="none" w:sz="0" w:space="0" w:color="auto"/>
            <w:left w:val="none" w:sz="0" w:space="0" w:color="auto"/>
            <w:bottom w:val="none" w:sz="0" w:space="0" w:color="auto"/>
            <w:right w:val="none" w:sz="0" w:space="0" w:color="auto"/>
          </w:divBdr>
        </w:div>
        <w:div w:id="731273485">
          <w:marLeft w:val="0"/>
          <w:marRight w:val="0"/>
          <w:marTop w:val="0"/>
          <w:marBottom w:val="0"/>
          <w:divBdr>
            <w:top w:val="none" w:sz="0" w:space="0" w:color="auto"/>
            <w:left w:val="none" w:sz="0" w:space="0" w:color="auto"/>
            <w:bottom w:val="none" w:sz="0" w:space="0" w:color="auto"/>
            <w:right w:val="none" w:sz="0" w:space="0" w:color="auto"/>
          </w:divBdr>
        </w:div>
        <w:div w:id="818814633">
          <w:marLeft w:val="0"/>
          <w:marRight w:val="0"/>
          <w:marTop w:val="0"/>
          <w:marBottom w:val="0"/>
          <w:divBdr>
            <w:top w:val="none" w:sz="0" w:space="0" w:color="auto"/>
            <w:left w:val="none" w:sz="0" w:space="0" w:color="auto"/>
            <w:bottom w:val="none" w:sz="0" w:space="0" w:color="auto"/>
            <w:right w:val="none" w:sz="0" w:space="0" w:color="auto"/>
          </w:divBdr>
        </w:div>
        <w:div w:id="824663915">
          <w:marLeft w:val="0"/>
          <w:marRight w:val="0"/>
          <w:marTop w:val="0"/>
          <w:marBottom w:val="0"/>
          <w:divBdr>
            <w:top w:val="none" w:sz="0" w:space="0" w:color="auto"/>
            <w:left w:val="none" w:sz="0" w:space="0" w:color="auto"/>
            <w:bottom w:val="none" w:sz="0" w:space="0" w:color="auto"/>
            <w:right w:val="none" w:sz="0" w:space="0" w:color="auto"/>
          </w:divBdr>
        </w:div>
        <w:div w:id="874655955">
          <w:marLeft w:val="0"/>
          <w:marRight w:val="0"/>
          <w:marTop w:val="0"/>
          <w:marBottom w:val="0"/>
          <w:divBdr>
            <w:top w:val="none" w:sz="0" w:space="0" w:color="auto"/>
            <w:left w:val="none" w:sz="0" w:space="0" w:color="auto"/>
            <w:bottom w:val="none" w:sz="0" w:space="0" w:color="auto"/>
            <w:right w:val="none" w:sz="0" w:space="0" w:color="auto"/>
          </w:divBdr>
        </w:div>
        <w:div w:id="875772724">
          <w:marLeft w:val="0"/>
          <w:marRight w:val="0"/>
          <w:marTop w:val="0"/>
          <w:marBottom w:val="0"/>
          <w:divBdr>
            <w:top w:val="none" w:sz="0" w:space="0" w:color="auto"/>
            <w:left w:val="none" w:sz="0" w:space="0" w:color="auto"/>
            <w:bottom w:val="none" w:sz="0" w:space="0" w:color="auto"/>
            <w:right w:val="none" w:sz="0" w:space="0" w:color="auto"/>
          </w:divBdr>
        </w:div>
        <w:div w:id="890534802">
          <w:marLeft w:val="0"/>
          <w:marRight w:val="0"/>
          <w:marTop w:val="0"/>
          <w:marBottom w:val="0"/>
          <w:divBdr>
            <w:top w:val="none" w:sz="0" w:space="0" w:color="auto"/>
            <w:left w:val="none" w:sz="0" w:space="0" w:color="auto"/>
            <w:bottom w:val="none" w:sz="0" w:space="0" w:color="auto"/>
            <w:right w:val="none" w:sz="0" w:space="0" w:color="auto"/>
          </w:divBdr>
        </w:div>
        <w:div w:id="935677214">
          <w:marLeft w:val="0"/>
          <w:marRight w:val="0"/>
          <w:marTop w:val="0"/>
          <w:marBottom w:val="0"/>
          <w:divBdr>
            <w:top w:val="none" w:sz="0" w:space="0" w:color="auto"/>
            <w:left w:val="none" w:sz="0" w:space="0" w:color="auto"/>
            <w:bottom w:val="none" w:sz="0" w:space="0" w:color="auto"/>
            <w:right w:val="none" w:sz="0" w:space="0" w:color="auto"/>
          </w:divBdr>
        </w:div>
        <w:div w:id="957951926">
          <w:marLeft w:val="0"/>
          <w:marRight w:val="0"/>
          <w:marTop w:val="0"/>
          <w:marBottom w:val="0"/>
          <w:divBdr>
            <w:top w:val="none" w:sz="0" w:space="0" w:color="auto"/>
            <w:left w:val="none" w:sz="0" w:space="0" w:color="auto"/>
            <w:bottom w:val="none" w:sz="0" w:space="0" w:color="auto"/>
            <w:right w:val="none" w:sz="0" w:space="0" w:color="auto"/>
          </w:divBdr>
        </w:div>
        <w:div w:id="958295218">
          <w:marLeft w:val="0"/>
          <w:marRight w:val="0"/>
          <w:marTop w:val="0"/>
          <w:marBottom w:val="0"/>
          <w:divBdr>
            <w:top w:val="none" w:sz="0" w:space="0" w:color="auto"/>
            <w:left w:val="none" w:sz="0" w:space="0" w:color="auto"/>
            <w:bottom w:val="none" w:sz="0" w:space="0" w:color="auto"/>
            <w:right w:val="none" w:sz="0" w:space="0" w:color="auto"/>
          </w:divBdr>
        </w:div>
        <w:div w:id="975569265">
          <w:marLeft w:val="0"/>
          <w:marRight w:val="0"/>
          <w:marTop w:val="0"/>
          <w:marBottom w:val="0"/>
          <w:divBdr>
            <w:top w:val="none" w:sz="0" w:space="0" w:color="auto"/>
            <w:left w:val="none" w:sz="0" w:space="0" w:color="auto"/>
            <w:bottom w:val="none" w:sz="0" w:space="0" w:color="auto"/>
            <w:right w:val="none" w:sz="0" w:space="0" w:color="auto"/>
          </w:divBdr>
        </w:div>
        <w:div w:id="993291653">
          <w:marLeft w:val="0"/>
          <w:marRight w:val="0"/>
          <w:marTop w:val="0"/>
          <w:marBottom w:val="0"/>
          <w:divBdr>
            <w:top w:val="none" w:sz="0" w:space="0" w:color="auto"/>
            <w:left w:val="none" w:sz="0" w:space="0" w:color="auto"/>
            <w:bottom w:val="none" w:sz="0" w:space="0" w:color="auto"/>
            <w:right w:val="none" w:sz="0" w:space="0" w:color="auto"/>
          </w:divBdr>
        </w:div>
        <w:div w:id="1069309453">
          <w:marLeft w:val="0"/>
          <w:marRight w:val="0"/>
          <w:marTop w:val="0"/>
          <w:marBottom w:val="0"/>
          <w:divBdr>
            <w:top w:val="none" w:sz="0" w:space="0" w:color="auto"/>
            <w:left w:val="none" w:sz="0" w:space="0" w:color="auto"/>
            <w:bottom w:val="none" w:sz="0" w:space="0" w:color="auto"/>
            <w:right w:val="none" w:sz="0" w:space="0" w:color="auto"/>
          </w:divBdr>
        </w:div>
        <w:div w:id="1236011185">
          <w:marLeft w:val="0"/>
          <w:marRight w:val="0"/>
          <w:marTop w:val="0"/>
          <w:marBottom w:val="0"/>
          <w:divBdr>
            <w:top w:val="none" w:sz="0" w:space="0" w:color="auto"/>
            <w:left w:val="none" w:sz="0" w:space="0" w:color="auto"/>
            <w:bottom w:val="none" w:sz="0" w:space="0" w:color="auto"/>
            <w:right w:val="none" w:sz="0" w:space="0" w:color="auto"/>
          </w:divBdr>
        </w:div>
        <w:div w:id="1251543977">
          <w:marLeft w:val="0"/>
          <w:marRight w:val="0"/>
          <w:marTop w:val="0"/>
          <w:marBottom w:val="0"/>
          <w:divBdr>
            <w:top w:val="none" w:sz="0" w:space="0" w:color="auto"/>
            <w:left w:val="none" w:sz="0" w:space="0" w:color="auto"/>
            <w:bottom w:val="none" w:sz="0" w:space="0" w:color="auto"/>
            <w:right w:val="none" w:sz="0" w:space="0" w:color="auto"/>
          </w:divBdr>
        </w:div>
        <w:div w:id="1339769824">
          <w:marLeft w:val="0"/>
          <w:marRight w:val="0"/>
          <w:marTop w:val="0"/>
          <w:marBottom w:val="0"/>
          <w:divBdr>
            <w:top w:val="none" w:sz="0" w:space="0" w:color="auto"/>
            <w:left w:val="none" w:sz="0" w:space="0" w:color="auto"/>
            <w:bottom w:val="none" w:sz="0" w:space="0" w:color="auto"/>
            <w:right w:val="none" w:sz="0" w:space="0" w:color="auto"/>
          </w:divBdr>
        </w:div>
        <w:div w:id="1512334908">
          <w:marLeft w:val="0"/>
          <w:marRight w:val="0"/>
          <w:marTop w:val="0"/>
          <w:marBottom w:val="0"/>
          <w:divBdr>
            <w:top w:val="none" w:sz="0" w:space="0" w:color="auto"/>
            <w:left w:val="none" w:sz="0" w:space="0" w:color="auto"/>
            <w:bottom w:val="none" w:sz="0" w:space="0" w:color="auto"/>
            <w:right w:val="none" w:sz="0" w:space="0" w:color="auto"/>
          </w:divBdr>
        </w:div>
        <w:div w:id="1516309733">
          <w:marLeft w:val="0"/>
          <w:marRight w:val="0"/>
          <w:marTop w:val="0"/>
          <w:marBottom w:val="0"/>
          <w:divBdr>
            <w:top w:val="none" w:sz="0" w:space="0" w:color="auto"/>
            <w:left w:val="none" w:sz="0" w:space="0" w:color="auto"/>
            <w:bottom w:val="none" w:sz="0" w:space="0" w:color="auto"/>
            <w:right w:val="none" w:sz="0" w:space="0" w:color="auto"/>
          </w:divBdr>
        </w:div>
        <w:div w:id="1611543250">
          <w:marLeft w:val="0"/>
          <w:marRight w:val="0"/>
          <w:marTop w:val="0"/>
          <w:marBottom w:val="0"/>
          <w:divBdr>
            <w:top w:val="none" w:sz="0" w:space="0" w:color="auto"/>
            <w:left w:val="none" w:sz="0" w:space="0" w:color="auto"/>
            <w:bottom w:val="none" w:sz="0" w:space="0" w:color="auto"/>
            <w:right w:val="none" w:sz="0" w:space="0" w:color="auto"/>
          </w:divBdr>
        </w:div>
        <w:div w:id="1758282720">
          <w:marLeft w:val="0"/>
          <w:marRight w:val="0"/>
          <w:marTop w:val="0"/>
          <w:marBottom w:val="0"/>
          <w:divBdr>
            <w:top w:val="none" w:sz="0" w:space="0" w:color="auto"/>
            <w:left w:val="none" w:sz="0" w:space="0" w:color="auto"/>
            <w:bottom w:val="none" w:sz="0" w:space="0" w:color="auto"/>
            <w:right w:val="none" w:sz="0" w:space="0" w:color="auto"/>
          </w:divBdr>
        </w:div>
        <w:div w:id="1831481086">
          <w:marLeft w:val="0"/>
          <w:marRight w:val="0"/>
          <w:marTop w:val="0"/>
          <w:marBottom w:val="0"/>
          <w:divBdr>
            <w:top w:val="none" w:sz="0" w:space="0" w:color="auto"/>
            <w:left w:val="none" w:sz="0" w:space="0" w:color="auto"/>
            <w:bottom w:val="none" w:sz="0" w:space="0" w:color="auto"/>
            <w:right w:val="none" w:sz="0" w:space="0" w:color="auto"/>
          </w:divBdr>
        </w:div>
        <w:div w:id="1942834555">
          <w:marLeft w:val="0"/>
          <w:marRight w:val="0"/>
          <w:marTop w:val="0"/>
          <w:marBottom w:val="0"/>
          <w:divBdr>
            <w:top w:val="none" w:sz="0" w:space="0" w:color="auto"/>
            <w:left w:val="none" w:sz="0" w:space="0" w:color="auto"/>
            <w:bottom w:val="none" w:sz="0" w:space="0" w:color="auto"/>
            <w:right w:val="none" w:sz="0" w:space="0" w:color="auto"/>
          </w:divBdr>
        </w:div>
        <w:div w:id="1948148472">
          <w:marLeft w:val="0"/>
          <w:marRight w:val="0"/>
          <w:marTop w:val="0"/>
          <w:marBottom w:val="0"/>
          <w:divBdr>
            <w:top w:val="none" w:sz="0" w:space="0" w:color="auto"/>
            <w:left w:val="none" w:sz="0" w:space="0" w:color="auto"/>
            <w:bottom w:val="none" w:sz="0" w:space="0" w:color="auto"/>
            <w:right w:val="none" w:sz="0" w:space="0" w:color="auto"/>
          </w:divBdr>
        </w:div>
        <w:div w:id="1971282318">
          <w:marLeft w:val="0"/>
          <w:marRight w:val="0"/>
          <w:marTop w:val="0"/>
          <w:marBottom w:val="0"/>
          <w:divBdr>
            <w:top w:val="none" w:sz="0" w:space="0" w:color="auto"/>
            <w:left w:val="none" w:sz="0" w:space="0" w:color="auto"/>
            <w:bottom w:val="none" w:sz="0" w:space="0" w:color="auto"/>
            <w:right w:val="none" w:sz="0" w:space="0" w:color="auto"/>
          </w:divBdr>
        </w:div>
        <w:div w:id="1993025924">
          <w:marLeft w:val="0"/>
          <w:marRight w:val="0"/>
          <w:marTop w:val="0"/>
          <w:marBottom w:val="0"/>
          <w:divBdr>
            <w:top w:val="none" w:sz="0" w:space="0" w:color="auto"/>
            <w:left w:val="none" w:sz="0" w:space="0" w:color="auto"/>
            <w:bottom w:val="none" w:sz="0" w:space="0" w:color="auto"/>
            <w:right w:val="none" w:sz="0" w:space="0" w:color="auto"/>
          </w:divBdr>
        </w:div>
        <w:div w:id="2018580421">
          <w:marLeft w:val="0"/>
          <w:marRight w:val="0"/>
          <w:marTop w:val="0"/>
          <w:marBottom w:val="0"/>
          <w:divBdr>
            <w:top w:val="none" w:sz="0" w:space="0" w:color="auto"/>
            <w:left w:val="none" w:sz="0" w:space="0" w:color="auto"/>
            <w:bottom w:val="none" w:sz="0" w:space="0" w:color="auto"/>
            <w:right w:val="none" w:sz="0" w:space="0" w:color="auto"/>
          </w:divBdr>
        </w:div>
        <w:div w:id="2039119235">
          <w:marLeft w:val="0"/>
          <w:marRight w:val="0"/>
          <w:marTop w:val="0"/>
          <w:marBottom w:val="0"/>
          <w:divBdr>
            <w:top w:val="none" w:sz="0" w:space="0" w:color="auto"/>
            <w:left w:val="none" w:sz="0" w:space="0" w:color="auto"/>
            <w:bottom w:val="none" w:sz="0" w:space="0" w:color="auto"/>
            <w:right w:val="none" w:sz="0" w:space="0" w:color="auto"/>
          </w:divBdr>
        </w:div>
        <w:div w:id="2050105730">
          <w:marLeft w:val="0"/>
          <w:marRight w:val="0"/>
          <w:marTop w:val="0"/>
          <w:marBottom w:val="0"/>
          <w:divBdr>
            <w:top w:val="none" w:sz="0" w:space="0" w:color="auto"/>
            <w:left w:val="none" w:sz="0" w:space="0" w:color="auto"/>
            <w:bottom w:val="none" w:sz="0" w:space="0" w:color="auto"/>
            <w:right w:val="none" w:sz="0" w:space="0" w:color="auto"/>
          </w:divBdr>
        </w:div>
      </w:divsChild>
    </w:div>
    <w:div w:id="1312443722">
      <w:bodyDiv w:val="1"/>
      <w:marLeft w:val="0"/>
      <w:marRight w:val="0"/>
      <w:marTop w:val="0"/>
      <w:marBottom w:val="0"/>
      <w:divBdr>
        <w:top w:val="none" w:sz="0" w:space="0" w:color="auto"/>
        <w:left w:val="none" w:sz="0" w:space="0" w:color="auto"/>
        <w:bottom w:val="none" w:sz="0" w:space="0" w:color="auto"/>
        <w:right w:val="none" w:sz="0" w:space="0" w:color="auto"/>
      </w:divBdr>
    </w:div>
    <w:div w:id="1313869364">
      <w:bodyDiv w:val="1"/>
      <w:marLeft w:val="0"/>
      <w:marRight w:val="0"/>
      <w:marTop w:val="0"/>
      <w:marBottom w:val="0"/>
      <w:divBdr>
        <w:top w:val="none" w:sz="0" w:space="0" w:color="auto"/>
        <w:left w:val="none" w:sz="0" w:space="0" w:color="auto"/>
        <w:bottom w:val="none" w:sz="0" w:space="0" w:color="auto"/>
        <w:right w:val="none" w:sz="0" w:space="0" w:color="auto"/>
      </w:divBdr>
    </w:div>
    <w:div w:id="1327635387">
      <w:bodyDiv w:val="1"/>
      <w:marLeft w:val="0"/>
      <w:marRight w:val="0"/>
      <w:marTop w:val="0"/>
      <w:marBottom w:val="0"/>
      <w:divBdr>
        <w:top w:val="none" w:sz="0" w:space="0" w:color="auto"/>
        <w:left w:val="none" w:sz="0" w:space="0" w:color="auto"/>
        <w:bottom w:val="none" w:sz="0" w:space="0" w:color="auto"/>
        <w:right w:val="none" w:sz="0" w:space="0" w:color="auto"/>
      </w:divBdr>
    </w:div>
    <w:div w:id="1361663890">
      <w:bodyDiv w:val="1"/>
      <w:marLeft w:val="0"/>
      <w:marRight w:val="0"/>
      <w:marTop w:val="0"/>
      <w:marBottom w:val="0"/>
      <w:divBdr>
        <w:top w:val="none" w:sz="0" w:space="0" w:color="auto"/>
        <w:left w:val="none" w:sz="0" w:space="0" w:color="auto"/>
        <w:bottom w:val="none" w:sz="0" w:space="0" w:color="auto"/>
        <w:right w:val="none" w:sz="0" w:space="0" w:color="auto"/>
      </w:divBdr>
    </w:div>
    <w:div w:id="1365518438">
      <w:bodyDiv w:val="1"/>
      <w:marLeft w:val="0"/>
      <w:marRight w:val="0"/>
      <w:marTop w:val="0"/>
      <w:marBottom w:val="0"/>
      <w:divBdr>
        <w:top w:val="none" w:sz="0" w:space="0" w:color="auto"/>
        <w:left w:val="none" w:sz="0" w:space="0" w:color="auto"/>
        <w:bottom w:val="none" w:sz="0" w:space="0" w:color="auto"/>
        <w:right w:val="none" w:sz="0" w:space="0" w:color="auto"/>
      </w:divBdr>
      <w:divsChild>
        <w:div w:id="20009721">
          <w:marLeft w:val="0"/>
          <w:marRight w:val="0"/>
          <w:marTop w:val="0"/>
          <w:marBottom w:val="0"/>
          <w:divBdr>
            <w:top w:val="none" w:sz="0" w:space="0" w:color="auto"/>
            <w:left w:val="none" w:sz="0" w:space="0" w:color="auto"/>
            <w:bottom w:val="none" w:sz="0" w:space="0" w:color="auto"/>
            <w:right w:val="none" w:sz="0" w:space="0" w:color="auto"/>
          </w:divBdr>
          <w:divsChild>
            <w:div w:id="1560363146">
              <w:marLeft w:val="0"/>
              <w:marRight w:val="0"/>
              <w:marTop w:val="0"/>
              <w:marBottom w:val="0"/>
              <w:divBdr>
                <w:top w:val="none" w:sz="0" w:space="0" w:color="auto"/>
                <w:left w:val="none" w:sz="0" w:space="0" w:color="auto"/>
                <w:bottom w:val="none" w:sz="0" w:space="0" w:color="auto"/>
                <w:right w:val="none" w:sz="0" w:space="0" w:color="auto"/>
              </w:divBdr>
              <w:divsChild>
                <w:div w:id="1356540847">
                  <w:marLeft w:val="0"/>
                  <w:marRight w:val="0"/>
                  <w:marTop w:val="0"/>
                  <w:marBottom w:val="0"/>
                  <w:divBdr>
                    <w:top w:val="none" w:sz="0" w:space="0" w:color="auto"/>
                    <w:left w:val="none" w:sz="0" w:space="0" w:color="auto"/>
                    <w:bottom w:val="none" w:sz="0" w:space="0" w:color="auto"/>
                    <w:right w:val="none" w:sz="0" w:space="0" w:color="auto"/>
                  </w:divBdr>
                  <w:divsChild>
                    <w:div w:id="8112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1440">
          <w:marLeft w:val="0"/>
          <w:marRight w:val="0"/>
          <w:marTop w:val="0"/>
          <w:marBottom w:val="0"/>
          <w:divBdr>
            <w:top w:val="none" w:sz="0" w:space="0" w:color="auto"/>
            <w:left w:val="none" w:sz="0" w:space="0" w:color="auto"/>
            <w:bottom w:val="none" w:sz="0" w:space="0" w:color="auto"/>
            <w:right w:val="none" w:sz="0" w:space="0" w:color="auto"/>
          </w:divBdr>
          <w:divsChild>
            <w:div w:id="775907699">
              <w:marLeft w:val="0"/>
              <w:marRight w:val="0"/>
              <w:marTop w:val="0"/>
              <w:marBottom w:val="0"/>
              <w:divBdr>
                <w:top w:val="none" w:sz="0" w:space="0" w:color="auto"/>
                <w:left w:val="none" w:sz="0" w:space="0" w:color="auto"/>
                <w:bottom w:val="none" w:sz="0" w:space="0" w:color="auto"/>
                <w:right w:val="none" w:sz="0" w:space="0" w:color="auto"/>
              </w:divBdr>
              <w:divsChild>
                <w:div w:id="1947033498">
                  <w:marLeft w:val="0"/>
                  <w:marRight w:val="0"/>
                  <w:marTop w:val="0"/>
                  <w:marBottom w:val="0"/>
                  <w:divBdr>
                    <w:top w:val="none" w:sz="0" w:space="0" w:color="auto"/>
                    <w:left w:val="none" w:sz="0" w:space="0" w:color="auto"/>
                    <w:bottom w:val="none" w:sz="0" w:space="0" w:color="auto"/>
                    <w:right w:val="none" w:sz="0" w:space="0" w:color="auto"/>
                  </w:divBdr>
                  <w:divsChild>
                    <w:div w:id="8873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70789">
      <w:bodyDiv w:val="1"/>
      <w:marLeft w:val="0"/>
      <w:marRight w:val="0"/>
      <w:marTop w:val="0"/>
      <w:marBottom w:val="0"/>
      <w:divBdr>
        <w:top w:val="none" w:sz="0" w:space="0" w:color="auto"/>
        <w:left w:val="none" w:sz="0" w:space="0" w:color="auto"/>
        <w:bottom w:val="none" w:sz="0" w:space="0" w:color="auto"/>
        <w:right w:val="none" w:sz="0" w:space="0" w:color="auto"/>
      </w:divBdr>
    </w:div>
    <w:div w:id="1375928586">
      <w:bodyDiv w:val="1"/>
      <w:marLeft w:val="0"/>
      <w:marRight w:val="0"/>
      <w:marTop w:val="0"/>
      <w:marBottom w:val="0"/>
      <w:divBdr>
        <w:top w:val="none" w:sz="0" w:space="0" w:color="auto"/>
        <w:left w:val="none" w:sz="0" w:space="0" w:color="auto"/>
        <w:bottom w:val="none" w:sz="0" w:space="0" w:color="auto"/>
        <w:right w:val="none" w:sz="0" w:space="0" w:color="auto"/>
      </w:divBdr>
    </w:div>
    <w:div w:id="1401292009">
      <w:bodyDiv w:val="1"/>
      <w:marLeft w:val="0"/>
      <w:marRight w:val="0"/>
      <w:marTop w:val="0"/>
      <w:marBottom w:val="0"/>
      <w:divBdr>
        <w:top w:val="none" w:sz="0" w:space="0" w:color="auto"/>
        <w:left w:val="none" w:sz="0" w:space="0" w:color="auto"/>
        <w:bottom w:val="none" w:sz="0" w:space="0" w:color="auto"/>
        <w:right w:val="none" w:sz="0" w:space="0" w:color="auto"/>
      </w:divBdr>
      <w:divsChild>
        <w:div w:id="2142380980">
          <w:marLeft w:val="0"/>
          <w:marRight w:val="0"/>
          <w:marTop w:val="0"/>
          <w:marBottom w:val="0"/>
          <w:divBdr>
            <w:top w:val="none" w:sz="0" w:space="0" w:color="auto"/>
            <w:left w:val="none" w:sz="0" w:space="0" w:color="auto"/>
            <w:bottom w:val="none" w:sz="0" w:space="0" w:color="auto"/>
            <w:right w:val="none" w:sz="0" w:space="0" w:color="auto"/>
          </w:divBdr>
          <w:divsChild>
            <w:div w:id="322512849">
              <w:marLeft w:val="0"/>
              <w:marRight w:val="0"/>
              <w:marTop w:val="0"/>
              <w:marBottom w:val="0"/>
              <w:divBdr>
                <w:top w:val="none" w:sz="0" w:space="0" w:color="auto"/>
                <w:left w:val="none" w:sz="0" w:space="0" w:color="auto"/>
                <w:bottom w:val="none" w:sz="0" w:space="0" w:color="auto"/>
                <w:right w:val="none" w:sz="0" w:space="0" w:color="auto"/>
              </w:divBdr>
              <w:divsChild>
                <w:div w:id="919143491">
                  <w:marLeft w:val="0"/>
                  <w:marRight w:val="0"/>
                  <w:marTop w:val="0"/>
                  <w:marBottom w:val="0"/>
                  <w:divBdr>
                    <w:top w:val="none" w:sz="0" w:space="0" w:color="auto"/>
                    <w:left w:val="none" w:sz="0" w:space="0" w:color="auto"/>
                    <w:bottom w:val="none" w:sz="0" w:space="0" w:color="auto"/>
                    <w:right w:val="none" w:sz="0" w:space="0" w:color="auto"/>
                  </w:divBdr>
                  <w:divsChild>
                    <w:div w:id="1854762490">
                      <w:marLeft w:val="0"/>
                      <w:marRight w:val="0"/>
                      <w:marTop w:val="0"/>
                      <w:marBottom w:val="0"/>
                      <w:divBdr>
                        <w:top w:val="none" w:sz="0" w:space="0" w:color="auto"/>
                        <w:left w:val="none" w:sz="0" w:space="0" w:color="auto"/>
                        <w:bottom w:val="none" w:sz="0" w:space="0" w:color="auto"/>
                        <w:right w:val="none" w:sz="0" w:space="0" w:color="auto"/>
                      </w:divBdr>
                      <w:divsChild>
                        <w:div w:id="151721071">
                          <w:marLeft w:val="0"/>
                          <w:marRight w:val="0"/>
                          <w:marTop w:val="0"/>
                          <w:marBottom w:val="0"/>
                          <w:divBdr>
                            <w:top w:val="none" w:sz="0" w:space="0" w:color="auto"/>
                            <w:left w:val="none" w:sz="0" w:space="0" w:color="auto"/>
                            <w:bottom w:val="none" w:sz="0" w:space="0" w:color="auto"/>
                            <w:right w:val="none" w:sz="0" w:space="0" w:color="auto"/>
                          </w:divBdr>
                          <w:divsChild>
                            <w:div w:id="561911973">
                              <w:marLeft w:val="0"/>
                              <w:marRight w:val="0"/>
                              <w:marTop w:val="0"/>
                              <w:marBottom w:val="0"/>
                              <w:divBdr>
                                <w:top w:val="none" w:sz="0" w:space="0" w:color="auto"/>
                                <w:left w:val="none" w:sz="0" w:space="0" w:color="auto"/>
                                <w:bottom w:val="none" w:sz="0" w:space="0" w:color="auto"/>
                                <w:right w:val="none" w:sz="0" w:space="0" w:color="auto"/>
                              </w:divBdr>
                              <w:divsChild>
                                <w:div w:id="510339880">
                                  <w:marLeft w:val="0"/>
                                  <w:marRight w:val="0"/>
                                  <w:marTop w:val="0"/>
                                  <w:marBottom w:val="0"/>
                                  <w:divBdr>
                                    <w:top w:val="none" w:sz="0" w:space="0" w:color="auto"/>
                                    <w:left w:val="none" w:sz="0" w:space="0" w:color="auto"/>
                                    <w:bottom w:val="none" w:sz="0" w:space="0" w:color="auto"/>
                                    <w:right w:val="none" w:sz="0" w:space="0" w:color="auto"/>
                                  </w:divBdr>
                                  <w:divsChild>
                                    <w:div w:id="1269891340">
                                      <w:marLeft w:val="0"/>
                                      <w:marRight w:val="0"/>
                                      <w:marTop w:val="0"/>
                                      <w:marBottom w:val="0"/>
                                      <w:divBdr>
                                        <w:top w:val="none" w:sz="0" w:space="0" w:color="auto"/>
                                        <w:left w:val="none" w:sz="0" w:space="0" w:color="auto"/>
                                        <w:bottom w:val="none" w:sz="0" w:space="0" w:color="auto"/>
                                        <w:right w:val="none" w:sz="0" w:space="0" w:color="auto"/>
                                      </w:divBdr>
                                      <w:divsChild>
                                        <w:div w:id="1301812744">
                                          <w:marLeft w:val="0"/>
                                          <w:marRight w:val="0"/>
                                          <w:marTop w:val="0"/>
                                          <w:marBottom w:val="0"/>
                                          <w:divBdr>
                                            <w:top w:val="none" w:sz="0" w:space="0" w:color="auto"/>
                                            <w:left w:val="none" w:sz="0" w:space="0" w:color="auto"/>
                                            <w:bottom w:val="none" w:sz="0" w:space="0" w:color="auto"/>
                                            <w:right w:val="none" w:sz="0" w:space="0" w:color="auto"/>
                                          </w:divBdr>
                                          <w:divsChild>
                                            <w:div w:id="770974426">
                                              <w:marLeft w:val="0"/>
                                              <w:marRight w:val="0"/>
                                              <w:marTop w:val="0"/>
                                              <w:marBottom w:val="0"/>
                                              <w:divBdr>
                                                <w:top w:val="none" w:sz="0" w:space="0" w:color="auto"/>
                                                <w:left w:val="none" w:sz="0" w:space="0" w:color="auto"/>
                                                <w:bottom w:val="none" w:sz="0" w:space="0" w:color="auto"/>
                                                <w:right w:val="none" w:sz="0" w:space="0" w:color="auto"/>
                                              </w:divBdr>
                                              <w:divsChild>
                                                <w:div w:id="697319900">
                                                  <w:marLeft w:val="0"/>
                                                  <w:marRight w:val="0"/>
                                                  <w:marTop w:val="0"/>
                                                  <w:marBottom w:val="0"/>
                                                  <w:divBdr>
                                                    <w:top w:val="none" w:sz="0" w:space="0" w:color="auto"/>
                                                    <w:left w:val="none" w:sz="0" w:space="0" w:color="auto"/>
                                                    <w:bottom w:val="none" w:sz="0" w:space="0" w:color="auto"/>
                                                    <w:right w:val="none" w:sz="0" w:space="0" w:color="auto"/>
                                                  </w:divBdr>
                                                  <w:divsChild>
                                                    <w:div w:id="688945315">
                                                      <w:marLeft w:val="0"/>
                                                      <w:marRight w:val="0"/>
                                                      <w:marTop w:val="0"/>
                                                      <w:marBottom w:val="0"/>
                                                      <w:divBdr>
                                                        <w:top w:val="none" w:sz="0" w:space="0" w:color="auto"/>
                                                        <w:left w:val="none" w:sz="0" w:space="0" w:color="auto"/>
                                                        <w:bottom w:val="none" w:sz="0" w:space="0" w:color="auto"/>
                                                        <w:right w:val="none" w:sz="0" w:space="0" w:color="auto"/>
                                                      </w:divBdr>
                                                      <w:divsChild>
                                                        <w:div w:id="1092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21018">
                                              <w:marLeft w:val="0"/>
                                              <w:marRight w:val="0"/>
                                              <w:marTop w:val="0"/>
                                              <w:marBottom w:val="0"/>
                                              <w:divBdr>
                                                <w:top w:val="none" w:sz="0" w:space="0" w:color="auto"/>
                                                <w:left w:val="none" w:sz="0" w:space="0" w:color="auto"/>
                                                <w:bottom w:val="none" w:sz="0" w:space="0" w:color="auto"/>
                                                <w:right w:val="none" w:sz="0" w:space="0" w:color="auto"/>
                                              </w:divBdr>
                                              <w:divsChild>
                                                <w:div w:id="85393920">
                                                  <w:marLeft w:val="0"/>
                                                  <w:marRight w:val="0"/>
                                                  <w:marTop w:val="0"/>
                                                  <w:marBottom w:val="0"/>
                                                  <w:divBdr>
                                                    <w:top w:val="none" w:sz="0" w:space="0" w:color="auto"/>
                                                    <w:left w:val="none" w:sz="0" w:space="0" w:color="auto"/>
                                                    <w:bottom w:val="none" w:sz="0" w:space="0" w:color="auto"/>
                                                    <w:right w:val="none" w:sz="0" w:space="0" w:color="auto"/>
                                                  </w:divBdr>
                                                  <w:divsChild>
                                                    <w:div w:id="1012143609">
                                                      <w:marLeft w:val="0"/>
                                                      <w:marRight w:val="0"/>
                                                      <w:marTop w:val="0"/>
                                                      <w:marBottom w:val="0"/>
                                                      <w:divBdr>
                                                        <w:top w:val="none" w:sz="0" w:space="0" w:color="auto"/>
                                                        <w:left w:val="none" w:sz="0" w:space="0" w:color="auto"/>
                                                        <w:bottom w:val="none" w:sz="0" w:space="0" w:color="auto"/>
                                                        <w:right w:val="none" w:sz="0" w:space="0" w:color="auto"/>
                                                      </w:divBdr>
                                                      <w:divsChild>
                                                        <w:div w:id="5220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3423695">
      <w:bodyDiv w:val="1"/>
      <w:marLeft w:val="0"/>
      <w:marRight w:val="0"/>
      <w:marTop w:val="0"/>
      <w:marBottom w:val="0"/>
      <w:divBdr>
        <w:top w:val="none" w:sz="0" w:space="0" w:color="auto"/>
        <w:left w:val="none" w:sz="0" w:space="0" w:color="auto"/>
        <w:bottom w:val="none" w:sz="0" w:space="0" w:color="auto"/>
        <w:right w:val="none" w:sz="0" w:space="0" w:color="auto"/>
      </w:divBdr>
    </w:div>
    <w:div w:id="1530948473">
      <w:bodyDiv w:val="1"/>
      <w:marLeft w:val="0"/>
      <w:marRight w:val="0"/>
      <w:marTop w:val="0"/>
      <w:marBottom w:val="0"/>
      <w:divBdr>
        <w:top w:val="none" w:sz="0" w:space="0" w:color="auto"/>
        <w:left w:val="none" w:sz="0" w:space="0" w:color="auto"/>
        <w:bottom w:val="none" w:sz="0" w:space="0" w:color="auto"/>
        <w:right w:val="none" w:sz="0" w:space="0" w:color="auto"/>
      </w:divBdr>
    </w:div>
    <w:div w:id="1548033572">
      <w:bodyDiv w:val="1"/>
      <w:marLeft w:val="0"/>
      <w:marRight w:val="0"/>
      <w:marTop w:val="0"/>
      <w:marBottom w:val="0"/>
      <w:divBdr>
        <w:top w:val="none" w:sz="0" w:space="0" w:color="auto"/>
        <w:left w:val="none" w:sz="0" w:space="0" w:color="auto"/>
        <w:bottom w:val="none" w:sz="0" w:space="0" w:color="auto"/>
        <w:right w:val="none" w:sz="0" w:space="0" w:color="auto"/>
      </w:divBdr>
    </w:div>
    <w:div w:id="1575242564">
      <w:bodyDiv w:val="1"/>
      <w:marLeft w:val="0"/>
      <w:marRight w:val="0"/>
      <w:marTop w:val="0"/>
      <w:marBottom w:val="0"/>
      <w:divBdr>
        <w:top w:val="none" w:sz="0" w:space="0" w:color="auto"/>
        <w:left w:val="none" w:sz="0" w:space="0" w:color="auto"/>
        <w:bottom w:val="none" w:sz="0" w:space="0" w:color="auto"/>
        <w:right w:val="none" w:sz="0" w:space="0" w:color="auto"/>
      </w:divBdr>
    </w:div>
    <w:div w:id="1599676805">
      <w:bodyDiv w:val="1"/>
      <w:marLeft w:val="0"/>
      <w:marRight w:val="0"/>
      <w:marTop w:val="0"/>
      <w:marBottom w:val="0"/>
      <w:divBdr>
        <w:top w:val="none" w:sz="0" w:space="0" w:color="auto"/>
        <w:left w:val="none" w:sz="0" w:space="0" w:color="auto"/>
        <w:bottom w:val="none" w:sz="0" w:space="0" w:color="auto"/>
        <w:right w:val="none" w:sz="0" w:space="0" w:color="auto"/>
      </w:divBdr>
      <w:divsChild>
        <w:div w:id="8602077">
          <w:marLeft w:val="0"/>
          <w:marRight w:val="0"/>
          <w:marTop w:val="0"/>
          <w:marBottom w:val="0"/>
          <w:divBdr>
            <w:top w:val="none" w:sz="0" w:space="0" w:color="auto"/>
            <w:left w:val="none" w:sz="0" w:space="0" w:color="auto"/>
            <w:bottom w:val="none" w:sz="0" w:space="0" w:color="auto"/>
            <w:right w:val="none" w:sz="0" w:space="0" w:color="auto"/>
          </w:divBdr>
        </w:div>
        <w:div w:id="64376794">
          <w:marLeft w:val="0"/>
          <w:marRight w:val="0"/>
          <w:marTop w:val="0"/>
          <w:marBottom w:val="0"/>
          <w:divBdr>
            <w:top w:val="none" w:sz="0" w:space="0" w:color="auto"/>
            <w:left w:val="none" w:sz="0" w:space="0" w:color="auto"/>
            <w:bottom w:val="none" w:sz="0" w:space="0" w:color="auto"/>
            <w:right w:val="none" w:sz="0" w:space="0" w:color="auto"/>
          </w:divBdr>
        </w:div>
        <w:div w:id="139536703">
          <w:marLeft w:val="0"/>
          <w:marRight w:val="0"/>
          <w:marTop w:val="0"/>
          <w:marBottom w:val="0"/>
          <w:divBdr>
            <w:top w:val="none" w:sz="0" w:space="0" w:color="auto"/>
            <w:left w:val="none" w:sz="0" w:space="0" w:color="auto"/>
            <w:bottom w:val="none" w:sz="0" w:space="0" w:color="auto"/>
            <w:right w:val="none" w:sz="0" w:space="0" w:color="auto"/>
          </w:divBdr>
        </w:div>
        <w:div w:id="167017214">
          <w:marLeft w:val="0"/>
          <w:marRight w:val="0"/>
          <w:marTop w:val="0"/>
          <w:marBottom w:val="0"/>
          <w:divBdr>
            <w:top w:val="none" w:sz="0" w:space="0" w:color="auto"/>
            <w:left w:val="none" w:sz="0" w:space="0" w:color="auto"/>
            <w:bottom w:val="none" w:sz="0" w:space="0" w:color="auto"/>
            <w:right w:val="none" w:sz="0" w:space="0" w:color="auto"/>
          </w:divBdr>
        </w:div>
        <w:div w:id="204565762">
          <w:marLeft w:val="0"/>
          <w:marRight w:val="0"/>
          <w:marTop w:val="0"/>
          <w:marBottom w:val="0"/>
          <w:divBdr>
            <w:top w:val="none" w:sz="0" w:space="0" w:color="auto"/>
            <w:left w:val="none" w:sz="0" w:space="0" w:color="auto"/>
            <w:bottom w:val="none" w:sz="0" w:space="0" w:color="auto"/>
            <w:right w:val="none" w:sz="0" w:space="0" w:color="auto"/>
          </w:divBdr>
        </w:div>
        <w:div w:id="262539332">
          <w:marLeft w:val="0"/>
          <w:marRight w:val="0"/>
          <w:marTop w:val="0"/>
          <w:marBottom w:val="0"/>
          <w:divBdr>
            <w:top w:val="none" w:sz="0" w:space="0" w:color="auto"/>
            <w:left w:val="none" w:sz="0" w:space="0" w:color="auto"/>
            <w:bottom w:val="none" w:sz="0" w:space="0" w:color="auto"/>
            <w:right w:val="none" w:sz="0" w:space="0" w:color="auto"/>
          </w:divBdr>
        </w:div>
        <w:div w:id="308900232">
          <w:marLeft w:val="0"/>
          <w:marRight w:val="0"/>
          <w:marTop w:val="0"/>
          <w:marBottom w:val="0"/>
          <w:divBdr>
            <w:top w:val="none" w:sz="0" w:space="0" w:color="auto"/>
            <w:left w:val="none" w:sz="0" w:space="0" w:color="auto"/>
            <w:bottom w:val="none" w:sz="0" w:space="0" w:color="auto"/>
            <w:right w:val="none" w:sz="0" w:space="0" w:color="auto"/>
          </w:divBdr>
        </w:div>
        <w:div w:id="332490180">
          <w:marLeft w:val="0"/>
          <w:marRight w:val="0"/>
          <w:marTop w:val="0"/>
          <w:marBottom w:val="0"/>
          <w:divBdr>
            <w:top w:val="none" w:sz="0" w:space="0" w:color="auto"/>
            <w:left w:val="none" w:sz="0" w:space="0" w:color="auto"/>
            <w:bottom w:val="none" w:sz="0" w:space="0" w:color="auto"/>
            <w:right w:val="none" w:sz="0" w:space="0" w:color="auto"/>
          </w:divBdr>
        </w:div>
        <w:div w:id="394091317">
          <w:marLeft w:val="0"/>
          <w:marRight w:val="0"/>
          <w:marTop w:val="0"/>
          <w:marBottom w:val="0"/>
          <w:divBdr>
            <w:top w:val="none" w:sz="0" w:space="0" w:color="auto"/>
            <w:left w:val="none" w:sz="0" w:space="0" w:color="auto"/>
            <w:bottom w:val="none" w:sz="0" w:space="0" w:color="auto"/>
            <w:right w:val="none" w:sz="0" w:space="0" w:color="auto"/>
          </w:divBdr>
        </w:div>
        <w:div w:id="396972676">
          <w:marLeft w:val="0"/>
          <w:marRight w:val="0"/>
          <w:marTop w:val="0"/>
          <w:marBottom w:val="0"/>
          <w:divBdr>
            <w:top w:val="none" w:sz="0" w:space="0" w:color="auto"/>
            <w:left w:val="none" w:sz="0" w:space="0" w:color="auto"/>
            <w:bottom w:val="none" w:sz="0" w:space="0" w:color="auto"/>
            <w:right w:val="none" w:sz="0" w:space="0" w:color="auto"/>
          </w:divBdr>
        </w:div>
        <w:div w:id="538783570">
          <w:marLeft w:val="0"/>
          <w:marRight w:val="0"/>
          <w:marTop w:val="0"/>
          <w:marBottom w:val="0"/>
          <w:divBdr>
            <w:top w:val="none" w:sz="0" w:space="0" w:color="auto"/>
            <w:left w:val="none" w:sz="0" w:space="0" w:color="auto"/>
            <w:bottom w:val="none" w:sz="0" w:space="0" w:color="auto"/>
            <w:right w:val="none" w:sz="0" w:space="0" w:color="auto"/>
          </w:divBdr>
        </w:div>
        <w:div w:id="602424954">
          <w:marLeft w:val="0"/>
          <w:marRight w:val="0"/>
          <w:marTop w:val="0"/>
          <w:marBottom w:val="0"/>
          <w:divBdr>
            <w:top w:val="none" w:sz="0" w:space="0" w:color="auto"/>
            <w:left w:val="none" w:sz="0" w:space="0" w:color="auto"/>
            <w:bottom w:val="none" w:sz="0" w:space="0" w:color="auto"/>
            <w:right w:val="none" w:sz="0" w:space="0" w:color="auto"/>
          </w:divBdr>
        </w:div>
        <w:div w:id="627590165">
          <w:marLeft w:val="0"/>
          <w:marRight w:val="0"/>
          <w:marTop w:val="0"/>
          <w:marBottom w:val="0"/>
          <w:divBdr>
            <w:top w:val="none" w:sz="0" w:space="0" w:color="auto"/>
            <w:left w:val="none" w:sz="0" w:space="0" w:color="auto"/>
            <w:bottom w:val="none" w:sz="0" w:space="0" w:color="auto"/>
            <w:right w:val="none" w:sz="0" w:space="0" w:color="auto"/>
          </w:divBdr>
        </w:div>
        <w:div w:id="635523259">
          <w:marLeft w:val="0"/>
          <w:marRight w:val="0"/>
          <w:marTop w:val="0"/>
          <w:marBottom w:val="0"/>
          <w:divBdr>
            <w:top w:val="none" w:sz="0" w:space="0" w:color="auto"/>
            <w:left w:val="none" w:sz="0" w:space="0" w:color="auto"/>
            <w:bottom w:val="none" w:sz="0" w:space="0" w:color="auto"/>
            <w:right w:val="none" w:sz="0" w:space="0" w:color="auto"/>
          </w:divBdr>
        </w:div>
        <w:div w:id="711610863">
          <w:marLeft w:val="0"/>
          <w:marRight w:val="0"/>
          <w:marTop w:val="0"/>
          <w:marBottom w:val="0"/>
          <w:divBdr>
            <w:top w:val="none" w:sz="0" w:space="0" w:color="auto"/>
            <w:left w:val="none" w:sz="0" w:space="0" w:color="auto"/>
            <w:bottom w:val="none" w:sz="0" w:space="0" w:color="auto"/>
            <w:right w:val="none" w:sz="0" w:space="0" w:color="auto"/>
          </w:divBdr>
        </w:div>
        <w:div w:id="721247790">
          <w:marLeft w:val="0"/>
          <w:marRight w:val="0"/>
          <w:marTop w:val="0"/>
          <w:marBottom w:val="0"/>
          <w:divBdr>
            <w:top w:val="none" w:sz="0" w:space="0" w:color="auto"/>
            <w:left w:val="none" w:sz="0" w:space="0" w:color="auto"/>
            <w:bottom w:val="none" w:sz="0" w:space="0" w:color="auto"/>
            <w:right w:val="none" w:sz="0" w:space="0" w:color="auto"/>
          </w:divBdr>
        </w:div>
        <w:div w:id="746075197">
          <w:marLeft w:val="0"/>
          <w:marRight w:val="0"/>
          <w:marTop w:val="0"/>
          <w:marBottom w:val="0"/>
          <w:divBdr>
            <w:top w:val="none" w:sz="0" w:space="0" w:color="auto"/>
            <w:left w:val="none" w:sz="0" w:space="0" w:color="auto"/>
            <w:bottom w:val="none" w:sz="0" w:space="0" w:color="auto"/>
            <w:right w:val="none" w:sz="0" w:space="0" w:color="auto"/>
          </w:divBdr>
        </w:div>
        <w:div w:id="901256145">
          <w:marLeft w:val="0"/>
          <w:marRight w:val="0"/>
          <w:marTop w:val="0"/>
          <w:marBottom w:val="0"/>
          <w:divBdr>
            <w:top w:val="none" w:sz="0" w:space="0" w:color="auto"/>
            <w:left w:val="none" w:sz="0" w:space="0" w:color="auto"/>
            <w:bottom w:val="none" w:sz="0" w:space="0" w:color="auto"/>
            <w:right w:val="none" w:sz="0" w:space="0" w:color="auto"/>
          </w:divBdr>
        </w:div>
        <w:div w:id="922299489">
          <w:marLeft w:val="0"/>
          <w:marRight w:val="0"/>
          <w:marTop w:val="0"/>
          <w:marBottom w:val="0"/>
          <w:divBdr>
            <w:top w:val="none" w:sz="0" w:space="0" w:color="auto"/>
            <w:left w:val="none" w:sz="0" w:space="0" w:color="auto"/>
            <w:bottom w:val="none" w:sz="0" w:space="0" w:color="auto"/>
            <w:right w:val="none" w:sz="0" w:space="0" w:color="auto"/>
          </w:divBdr>
        </w:div>
        <w:div w:id="929196495">
          <w:marLeft w:val="0"/>
          <w:marRight w:val="0"/>
          <w:marTop w:val="0"/>
          <w:marBottom w:val="0"/>
          <w:divBdr>
            <w:top w:val="none" w:sz="0" w:space="0" w:color="auto"/>
            <w:left w:val="none" w:sz="0" w:space="0" w:color="auto"/>
            <w:bottom w:val="none" w:sz="0" w:space="0" w:color="auto"/>
            <w:right w:val="none" w:sz="0" w:space="0" w:color="auto"/>
          </w:divBdr>
        </w:div>
        <w:div w:id="937643074">
          <w:marLeft w:val="0"/>
          <w:marRight w:val="0"/>
          <w:marTop w:val="0"/>
          <w:marBottom w:val="0"/>
          <w:divBdr>
            <w:top w:val="none" w:sz="0" w:space="0" w:color="auto"/>
            <w:left w:val="none" w:sz="0" w:space="0" w:color="auto"/>
            <w:bottom w:val="none" w:sz="0" w:space="0" w:color="auto"/>
            <w:right w:val="none" w:sz="0" w:space="0" w:color="auto"/>
          </w:divBdr>
        </w:div>
        <w:div w:id="1025248679">
          <w:marLeft w:val="0"/>
          <w:marRight w:val="0"/>
          <w:marTop w:val="0"/>
          <w:marBottom w:val="0"/>
          <w:divBdr>
            <w:top w:val="none" w:sz="0" w:space="0" w:color="auto"/>
            <w:left w:val="none" w:sz="0" w:space="0" w:color="auto"/>
            <w:bottom w:val="none" w:sz="0" w:space="0" w:color="auto"/>
            <w:right w:val="none" w:sz="0" w:space="0" w:color="auto"/>
          </w:divBdr>
        </w:div>
        <w:div w:id="1042287095">
          <w:marLeft w:val="0"/>
          <w:marRight w:val="0"/>
          <w:marTop w:val="0"/>
          <w:marBottom w:val="0"/>
          <w:divBdr>
            <w:top w:val="none" w:sz="0" w:space="0" w:color="auto"/>
            <w:left w:val="none" w:sz="0" w:space="0" w:color="auto"/>
            <w:bottom w:val="none" w:sz="0" w:space="0" w:color="auto"/>
            <w:right w:val="none" w:sz="0" w:space="0" w:color="auto"/>
          </w:divBdr>
        </w:div>
        <w:div w:id="1073744294">
          <w:marLeft w:val="0"/>
          <w:marRight w:val="0"/>
          <w:marTop w:val="0"/>
          <w:marBottom w:val="0"/>
          <w:divBdr>
            <w:top w:val="none" w:sz="0" w:space="0" w:color="auto"/>
            <w:left w:val="none" w:sz="0" w:space="0" w:color="auto"/>
            <w:bottom w:val="none" w:sz="0" w:space="0" w:color="auto"/>
            <w:right w:val="none" w:sz="0" w:space="0" w:color="auto"/>
          </w:divBdr>
        </w:div>
        <w:div w:id="1115754889">
          <w:marLeft w:val="0"/>
          <w:marRight w:val="0"/>
          <w:marTop w:val="0"/>
          <w:marBottom w:val="0"/>
          <w:divBdr>
            <w:top w:val="none" w:sz="0" w:space="0" w:color="auto"/>
            <w:left w:val="none" w:sz="0" w:space="0" w:color="auto"/>
            <w:bottom w:val="none" w:sz="0" w:space="0" w:color="auto"/>
            <w:right w:val="none" w:sz="0" w:space="0" w:color="auto"/>
          </w:divBdr>
        </w:div>
        <w:div w:id="1131172869">
          <w:marLeft w:val="0"/>
          <w:marRight w:val="0"/>
          <w:marTop w:val="0"/>
          <w:marBottom w:val="0"/>
          <w:divBdr>
            <w:top w:val="none" w:sz="0" w:space="0" w:color="auto"/>
            <w:left w:val="none" w:sz="0" w:space="0" w:color="auto"/>
            <w:bottom w:val="none" w:sz="0" w:space="0" w:color="auto"/>
            <w:right w:val="none" w:sz="0" w:space="0" w:color="auto"/>
          </w:divBdr>
        </w:div>
        <w:div w:id="1156341682">
          <w:marLeft w:val="0"/>
          <w:marRight w:val="0"/>
          <w:marTop w:val="0"/>
          <w:marBottom w:val="0"/>
          <w:divBdr>
            <w:top w:val="none" w:sz="0" w:space="0" w:color="auto"/>
            <w:left w:val="none" w:sz="0" w:space="0" w:color="auto"/>
            <w:bottom w:val="none" w:sz="0" w:space="0" w:color="auto"/>
            <w:right w:val="none" w:sz="0" w:space="0" w:color="auto"/>
          </w:divBdr>
        </w:div>
        <w:div w:id="1181315067">
          <w:marLeft w:val="0"/>
          <w:marRight w:val="0"/>
          <w:marTop w:val="0"/>
          <w:marBottom w:val="0"/>
          <w:divBdr>
            <w:top w:val="none" w:sz="0" w:space="0" w:color="auto"/>
            <w:left w:val="none" w:sz="0" w:space="0" w:color="auto"/>
            <w:bottom w:val="none" w:sz="0" w:space="0" w:color="auto"/>
            <w:right w:val="none" w:sz="0" w:space="0" w:color="auto"/>
          </w:divBdr>
        </w:div>
        <w:div w:id="1184518962">
          <w:marLeft w:val="0"/>
          <w:marRight w:val="0"/>
          <w:marTop w:val="0"/>
          <w:marBottom w:val="0"/>
          <w:divBdr>
            <w:top w:val="none" w:sz="0" w:space="0" w:color="auto"/>
            <w:left w:val="none" w:sz="0" w:space="0" w:color="auto"/>
            <w:bottom w:val="none" w:sz="0" w:space="0" w:color="auto"/>
            <w:right w:val="none" w:sz="0" w:space="0" w:color="auto"/>
          </w:divBdr>
        </w:div>
        <w:div w:id="1226067056">
          <w:marLeft w:val="0"/>
          <w:marRight w:val="0"/>
          <w:marTop w:val="0"/>
          <w:marBottom w:val="0"/>
          <w:divBdr>
            <w:top w:val="none" w:sz="0" w:space="0" w:color="auto"/>
            <w:left w:val="none" w:sz="0" w:space="0" w:color="auto"/>
            <w:bottom w:val="none" w:sz="0" w:space="0" w:color="auto"/>
            <w:right w:val="none" w:sz="0" w:space="0" w:color="auto"/>
          </w:divBdr>
        </w:div>
        <w:div w:id="1234391128">
          <w:marLeft w:val="0"/>
          <w:marRight w:val="0"/>
          <w:marTop w:val="0"/>
          <w:marBottom w:val="0"/>
          <w:divBdr>
            <w:top w:val="none" w:sz="0" w:space="0" w:color="auto"/>
            <w:left w:val="none" w:sz="0" w:space="0" w:color="auto"/>
            <w:bottom w:val="none" w:sz="0" w:space="0" w:color="auto"/>
            <w:right w:val="none" w:sz="0" w:space="0" w:color="auto"/>
          </w:divBdr>
        </w:div>
        <w:div w:id="1243368378">
          <w:marLeft w:val="0"/>
          <w:marRight w:val="0"/>
          <w:marTop w:val="0"/>
          <w:marBottom w:val="0"/>
          <w:divBdr>
            <w:top w:val="none" w:sz="0" w:space="0" w:color="auto"/>
            <w:left w:val="none" w:sz="0" w:space="0" w:color="auto"/>
            <w:bottom w:val="none" w:sz="0" w:space="0" w:color="auto"/>
            <w:right w:val="none" w:sz="0" w:space="0" w:color="auto"/>
          </w:divBdr>
        </w:div>
        <w:div w:id="1278636716">
          <w:marLeft w:val="0"/>
          <w:marRight w:val="0"/>
          <w:marTop w:val="0"/>
          <w:marBottom w:val="0"/>
          <w:divBdr>
            <w:top w:val="none" w:sz="0" w:space="0" w:color="auto"/>
            <w:left w:val="none" w:sz="0" w:space="0" w:color="auto"/>
            <w:bottom w:val="none" w:sz="0" w:space="0" w:color="auto"/>
            <w:right w:val="none" w:sz="0" w:space="0" w:color="auto"/>
          </w:divBdr>
        </w:div>
        <w:div w:id="1350453485">
          <w:marLeft w:val="0"/>
          <w:marRight w:val="0"/>
          <w:marTop w:val="0"/>
          <w:marBottom w:val="0"/>
          <w:divBdr>
            <w:top w:val="none" w:sz="0" w:space="0" w:color="auto"/>
            <w:left w:val="none" w:sz="0" w:space="0" w:color="auto"/>
            <w:bottom w:val="none" w:sz="0" w:space="0" w:color="auto"/>
            <w:right w:val="none" w:sz="0" w:space="0" w:color="auto"/>
          </w:divBdr>
        </w:div>
        <w:div w:id="1351957145">
          <w:marLeft w:val="0"/>
          <w:marRight w:val="0"/>
          <w:marTop w:val="0"/>
          <w:marBottom w:val="0"/>
          <w:divBdr>
            <w:top w:val="none" w:sz="0" w:space="0" w:color="auto"/>
            <w:left w:val="none" w:sz="0" w:space="0" w:color="auto"/>
            <w:bottom w:val="none" w:sz="0" w:space="0" w:color="auto"/>
            <w:right w:val="none" w:sz="0" w:space="0" w:color="auto"/>
          </w:divBdr>
        </w:div>
        <w:div w:id="1374230608">
          <w:marLeft w:val="0"/>
          <w:marRight w:val="0"/>
          <w:marTop w:val="0"/>
          <w:marBottom w:val="0"/>
          <w:divBdr>
            <w:top w:val="none" w:sz="0" w:space="0" w:color="auto"/>
            <w:left w:val="none" w:sz="0" w:space="0" w:color="auto"/>
            <w:bottom w:val="none" w:sz="0" w:space="0" w:color="auto"/>
            <w:right w:val="none" w:sz="0" w:space="0" w:color="auto"/>
          </w:divBdr>
        </w:div>
        <w:div w:id="1435245495">
          <w:marLeft w:val="0"/>
          <w:marRight w:val="0"/>
          <w:marTop w:val="0"/>
          <w:marBottom w:val="0"/>
          <w:divBdr>
            <w:top w:val="none" w:sz="0" w:space="0" w:color="auto"/>
            <w:left w:val="none" w:sz="0" w:space="0" w:color="auto"/>
            <w:bottom w:val="none" w:sz="0" w:space="0" w:color="auto"/>
            <w:right w:val="none" w:sz="0" w:space="0" w:color="auto"/>
          </w:divBdr>
        </w:div>
        <w:div w:id="1478492536">
          <w:marLeft w:val="0"/>
          <w:marRight w:val="0"/>
          <w:marTop w:val="0"/>
          <w:marBottom w:val="0"/>
          <w:divBdr>
            <w:top w:val="none" w:sz="0" w:space="0" w:color="auto"/>
            <w:left w:val="none" w:sz="0" w:space="0" w:color="auto"/>
            <w:bottom w:val="none" w:sz="0" w:space="0" w:color="auto"/>
            <w:right w:val="none" w:sz="0" w:space="0" w:color="auto"/>
          </w:divBdr>
        </w:div>
        <w:div w:id="1483808115">
          <w:marLeft w:val="0"/>
          <w:marRight w:val="0"/>
          <w:marTop w:val="0"/>
          <w:marBottom w:val="0"/>
          <w:divBdr>
            <w:top w:val="none" w:sz="0" w:space="0" w:color="auto"/>
            <w:left w:val="none" w:sz="0" w:space="0" w:color="auto"/>
            <w:bottom w:val="none" w:sz="0" w:space="0" w:color="auto"/>
            <w:right w:val="none" w:sz="0" w:space="0" w:color="auto"/>
          </w:divBdr>
        </w:div>
        <w:div w:id="1496529641">
          <w:marLeft w:val="0"/>
          <w:marRight w:val="0"/>
          <w:marTop w:val="0"/>
          <w:marBottom w:val="0"/>
          <w:divBdr>
            <w:top w:val="none" w:sz="0" w:space="0" w:color="auto"/>
            <w:left w:val="none" w:sz="0" w:space="0" w:color="auto"/>
            <w:bottom w:val="none" w:sz="0" w:space="0" w:color="auto"/>
            <w:right w:val="none" w:sz="0" w:space="0" w:color="auto"/>
          </w:divBdr>
        </w:div>
        <w:div w:id="1521429206">
          <w:marLeft w:val="0"/>
          <w:marRight w:val="0"/>
          <w:marTop w:val="0"/>
          <w:marBottom w:val="0"/>
          <w:divBdr>
            <w:top w:val="none" w:sz="0" w:space="0" w:color="auto"/>
            <w:left w:val="none" w:sz="0" w:space="0" w:color="auto"/>
            <w:bottom w:val="none" w:sz="0" w:space="0" w:color="auto"/>
            <w:right w:val="none" w:sz="0" w:space="0" w:color="auto"/>
          </w:divBdr>
        </w:div>
        <w:div w:id="1554728778">
          <w:marLeft w:val="0"/>
          <w:marRight w:val="0"/>
          <w:marTop w:val="0"/>
          <w:marBottom w:val="0"/>
          <w:divBdr>
            <w:top w:val="none" w:sz="0" w:space="0" w:color="auto"/>
            <w:left w:val="none" w:sz="0" w:space="0" w:color="auto"/>
            <w:bottom w:val="none" w:sz="0" w:space="0" w:color="auto"/>
            <w:right w:val="none" w:sz="0" w:space="0" w:color="auto"/>
          </w:divBdr>
        </w:div>
        <w:div w:id="1603297669">
          <w:marLeft w:val="0"/>
          <w:marRight w:val="0"/>
          <w:marTop w:val="0"/>
          <w:marBottom w:val="0"/>
          <w:divBdr>
            <w:top w:val="none" w:sz="0" w:space="0" w:color="auto"/>
            <w:left w:val="none" w:sz="0" w:space="0" w:color="auto"/>
            <w:bottom w:val="none" w:sz="0" w:space="0" w:color="auto"/>
            <w:right w:val="none" w:sz="0" w:space="0" w:color="auto"/>
          </w:divBdr>
        </w:div>
        <w:div w:id="1607536991">
          <w:marLeft w:val="0"/>
          <w:marRight w:val="0"/>
          <w:marTop w:val="0"/>
          <w:marBottom w:val="0"/>
          <w:divBdr>
            <w:top w:val="none" w:sz="0" w:space="0" w:color="auto"/>
            <w:left w:val="none" w:sz="0" w:space="0" w:color="auto"/>
            <w:bottom w:val="none" w:sz="0" w:space="0" w:color="auto"/>
            <w:right w:val="none" w:sz="0" w:space="0" w:color="auto"/>
          </w:divBdr>
        </w:div>
        <w:div w:id="1670210459">
          <w:marLeft w:val="0"/>
          <w:marRight w:val="0"/>
          <w:marTop w:val="0"/>
          <w:marBottom w:val="0"/>
          <w:divBdr>
            <w:top w:val="none" w:sz="0" w:space="0" w:color="auto"/>
            <w:left w:val="none" w:sz="0" w:space="0" w:color="auto"/>
            <w:bottom w:val="none" w:sz="0" w:space="0" w:color="auto"/>
            <w:right w:val="none" w:sz="0" w:space="0" w:color="auto"/>
          </w:divBdr>
        </w:div>
        <w:div w:id="1693415387">
          <w:marLeft w:val="0"/>
          <w:marRight w:val="0"/>
          <w:marTop w:val="0"/>
          <w:marBottom w:val="0"/>
          <w:divBdr>
            <w:top w:val="none" w:sz="0" w:space="0" w:color="auto"/>
            <w:left w:val="none" w:sz="0" w:space="0" w:color="auto"/>
            <w:bottom w:val="none" w:sz="0" w:space="0" w:color="auto"/>
            <w:right w:val="none" w:sz="0" w:space="0" w:color="auto"/>
          </w:divBdr>
        </w:div>
        <w:div w:id="1765031082">
          <w:marLeft w:val="0"/>
          <w:marRight w:val="0"/>
          <w:marTop w:val="0"/>
          <w:marBottom w:val="0"/>
          <w:divBdr>
            <w:top w:val="none" w:sz="0" w:space="0" w:color="auto"/>
            <w:left w:val="none" w:sz="0" w:space="0" w:color="auto"/>
            <w:bottom w:val="none" w:sz="0" w:space="0" w:color="auto"/>
            <w:right w:val="none" w:sz="0" w:space="0" w:color="auto"/>
          </w:divBdr>
        </w:div>
        <w:div w:id="1812408582">
          <w:marLeft w:val="0"/>
          <w:marRight w:val="0"/>
          <w:marTop w:val="0"/>
          <w:marBottom w:val="0"/>
          <w:divBdr>
            <w:top w:val="none" w:sz="0" w:space="0" w:color="auto"/>
            <w:left w:val="none" w:sz="0" w:space="0" w:color="auto"/>
            <w:bottom w:val="none" w:sz="0" w:space="0" w:color="auto"/>
            <w:right w:val="none" w:sz="0" w:space="0" w:color="auto"/>
          </w:divBdr>
        </w:div>
        <w:div w:id="1898473854">
          <w:marLeft w:val="0"/>
          <w:marRight w:val="0"/>
          <w:marTop w:val="0"/>
          <w:marBottom w:val="0"/>
          <w:divBdr>
            <w:top w:val="none" w:sz="0" w:space="0" w:color="auto"/>
            <w:left w:val="none" w:sz="0" w:space="0" w:color="auto"/>
            <w:bottom w:val="none" w:sz="0" w:space="0" w:color="auto"/>
            <w:right w:val="none" w:sz="0" w:space="0" w:color="auto"/>
          </w:divBdr>
        </w:div>
        <w:div w:id="1930308736">
          <w:marLeft w:val="0"/>
          <w:marRight w:val="0"/>
          <w:marTop w:val="0"/>
          <w:marBottom w:val="0"/>
          <w:divBdr>
            <w:top w:val="none" w:sz="0" w:space="0" w:color="auto"/>
            <w:left w:val="none" w:sz="0" w:space="0" w:color="auto"/>
            <w:bottom w:val="none" w:sz="0" w:space="0" w:color="auto"/>
            <w:right w:val="none" w:sz="0" w:space="0" w:color="auto"/>
          </w:divBdr>
        </w:div>
        <w:div w:id="1946880547">
          <w:marLeft w:val="0"/>
          <w:marRight w:val="0"/>
          <w:marTop w:val="0"/>
          <w:marBottom w:val="0"/>
          <w:divBdr>
            <w:top w:val="none" w:sz="0" w:space="0" w:color="auto"/>
            <w:left w:val="none" w:sz="0" w:space="0" w:color="auto"/>
            <w:bottom w:val="none" w:sz="0" w:space="0" w:color="auto"/>
            <w:right w:val="none" w:sz="0" w:space="0" w:color="auto"/>
          </w:divBdr>
        </w:div>
        <w:div w:id="1999917361">
          <w:marLeft w:val="0"/>
          <w:marRight w:val="0"/>
          <w:marTop w:val="0"/>
          <w:marBottom w:val="0"/>
          <w:divBdr>
            <w:top w:val="none" w:sz="0" w:space="0" w:color="auto"/>
            <w:left w:val="none" w:sz="0" w:space="0" w:color="auto"/>
            <w:bottom w:val="none" w:sz="0" w:space="0" w:color="auto"/>
            <w:right w:val="none" w:sz="0" w:space="0" w:color="auto"/>
          </w:divBdr>
        </w:div>
        <w:div w:id="2067726440">
          <w:marLeft w:val="0"/>
          <w:marRight w:val="0"/>
          <w:marTop w:val="0"/>
          <w:marBottom w:val="0"/>
          <w:divBdr>
            <w:top w:val="none" w:sz="0" w:space="0" w:color="auto"/>
            <w:left w:val="none" w:sz="0" w:space="0" w:color="auto"/>
            <w:bottom w:val="none" w:sz="0" w:space="0" w:color="auto"/>
            <w:right w:val="none" w:sz="0" w:space="0" w:color="auto"/>
          </w:divBdr>
        </w:div>
      </w:divsChild>
    </w:div>
    <w:div w:id="1665352173">
      <w:bodyDiv w:val="1"/>
      <w:marLeft w:val="0"/>
      <w:marRight w:val="0"/>
      <w:marTop w:val="0"/>
      <w:marBottom w:val="0"/>
      <w:divBdr>
        <w:top w:val="none" w:sz="0" w:space="0" w:color="auto"/>
        <w:left w:val="none" w:sz="0" w:space="0" w:color="auto"/>
        <w:bottom w:val="none" w:sz="0" w:space="0" w:color="auto"/>
        <w:right w:val="none" w:sz="0" w:space="0" w:color="auto"/>
      </w:divBdr>
    </w:div>
    <w:div w:id="1673676362">
      <w:bodyDiv w:val="1"/>
      <w:marLeft w:val="0"/>
      <w:marRight w:val="0"/>
      <w:marTop w:val="0"/>
      <w:marBottom w:val="0"/>
      <w:divBdr>
        <w:top w:val="none" w:sz="0" w:space="0" w:color="auto"/>
        <w:left w:val="none" w:sz="0" w:space="0" w:color="auto"/>
        <w:bottom w:val="none" w:sz="0" w:space="0" w:color="auto"/>
        <w:right w:val="none" w:sz="0" w:space="0" w:color="auto"/>
      </w:divBdr>
    </w:div>
    <w:div w:id="1691031437">
      <w:bodyDiv w:val="1"/>
      <w:marLeft w:val="0"/>
      <w:marRight w:val="0"/>
      <w:marTop w:val="0"/>
      <w:marBottom w:val="0"/>
      <w:divBdr>
        <w:top w:val="none" w:sz="0" w:space="0" w:color="auto"/>
        <w:left w:val="none" w:sz="0" w:space="0" w:color="auto"/>
        <w:bottom w:val="none" w:sz="0" w:space="0" w:color="auto"/>
        <w:right w:val="none" w:sz="0" w:space="0" w:color="auto"/>
      </w:divBdr>
    </w:div>
    <w:div w:id="1697729567">
      <w:bodyDiv w:val="1"/>
      <w:marLeft w:val="0"/>
      <w:marRight w:val="0"/>
      <w:marTop w:val="0"/>
      <w:marBottom w:val="0"/>
      <w:divBdr>
        <w:top w:val="none" w:sz="0" w:space="0" w:color="auto"/>
        <w:left w:val="none" w:sz="0" w:space="0" w:color="auto"/>
        <w:bottom w:val="none" w:sz="0" w:space="0" w:color="auto"/>
        <w:right w:val="none" w:sz="0" w:space="0" w:color="auto"/>
      </w:divBdr>
    </w:div>
    <w:div w:id="1720400379">
      <w:bodyDiv w:val="1"/>
      <w:marLeft w:val="0"/>
      <w:marRight w:val="0"/>
      <w:marTop w:val="0"/>
      <w:marBottom w:val="0"/>
      <w:divBdr>
        <w:top w:val="none" w:sz="0" w:space="0" w:color="auto"/>
        <w:left w:val="none" w:sz="0" w:space="0" w:color="auto"/>
        <w:bottom w:val="none" w:sz="0" w:space="0" w:color="auto"/>
        <w:right w:val="none" w:sz="0" w:space="0" w:color="auto"/>
      </w:divBdr>
    </w:div>
    <w:div w:id="1753502501">
      <w:bodyDiv w:val="1"/>
      <w:marLeft w:val="0"/>
      <w:marRight w:val="0"/>
      <w:marTop w:val="0"/>
      <w:marBottom w:val="0"/>
      <w:divBdr>
        <w:top w:val="none" w:sz="0" w:space="0" w:color="auto"/>
        <w:left w:val="none" w:sz="0" w:space="0" w:color="auto"/>
        <w:bottom w:val="none" w:sz="0" w:space="0" w:color="auto"/>
        <w:right w:val="none" w:sz="0" w:space="0" w:color="auto"/>
      </w:divBdr>
      <w:divsChild>
        <w:div w:id="1818498178">
          <w:marLeft w:val="0"/>
          <w:marRight w:val="0"/>
          <w:marTop w:val="0"/>
          <w:marBottom w:val="0"/>
          <w:divBdr>
            <w:top w:val="none" w:sz="0" w:space="0" w:color="auto"/>
            <w:left w:val="none" w:sz="0" w:space="0" w:color="auto"/>
            <w:bottom w:val="none" w:sz="0" w:space="0" w:color="auto"/>
            <w:right w:val="none" w:sz="0" w:space="0" w:color="auto"/>
          </w:divBdr>
          <w:divsChild>
            <w:div w:id="1505629909">
              <w:marLeft w:val="0"/>
              <w:marRight w:val="0"/>
              <w:marTop w:val="0"/>
              <w:marBottom w:val="0"/>
              <w:divBdr>
                <w:top w:val="none" w:sz="0" w:space="0" w:color="auto"/>
                <w:left w:val="none" w:sz="0" w:space="0" w:color="auto"/>
                <w:bottom w:val="none" w:sz="0" w:space="0" w:color="auto"/>
                <w:right w:val="none" w:sz="0" w:space="0" w:color="auto"/>
              </w:divBdr>
              <w:divsChild>
                <w:div w:id="30958643">
                  <w:marLeft w:val="0"/>
                  <w:marRight w:val="0"/>
                  <w:marTop w:val="0"/>
                  <w:marBottom w:val="0"/>
                  <w:divBdr>
                    <w:top w:val="none" w:sz="0" w:space="0" w:color="auto"/>
                    <w:left w:val="none" w:sz="0" w:space="0" w:color="auto"/>
                    <w:bottom w:val="none" w:sz="0" w:space="0" w:color="auto"/>
                    <w:right w:val="none" w:sz="0" w:space="0" w:color="auto"/>
                  </w:divBdr>
                  <w:divsChild>
                    <w:div w:id="1598126859">
                      <w:marLeft w:val="0"/>
                      <w:marRight w:val="0"/>
                      <w:marTop w:val="0"/>
                      <w:marBottom w:val="0"/>
                      <w:divBdr>
                        <w:top w:val="none" w:sz="0" w:space="0" w:color="auto"/>
                        <w:left w:val="none" w:sz="0" w:space="0" w:color="auto"/>
                        <w:bottom w:val="none" w:sz="0" w:space="0" w:color="auto"/>
                        <w:right w:val="none" w:sz="0" w:space="0" w:color="auto"/>
                      </w:divBdr>
                      <w:divsChild>
                        <w:div w:id="30158975">
                          <w:marLeft w:val="0"/>
                          <w:marRight w:val="0"/>
                          <w:marTop w:val="0"/>
                          <w:marBottom w:val="0"/>
                          <w:divBdr>
                            <w:top w:val="none" w:sz="0" w:space="0" w:color="auto"/>
                            <w:left w:val="none" w:sz="0" w:space="0" w:color="auto"/>
                            <w:bottom w:val="none" w:sz="0" w:space="0" w:color="auto"/>
                            <w:right w:val="none" w:sz="0" w:space="0" w:color="auto"/>
                          </w:divBdr>
                        </w:div>
                        <w:div w:id="55320087">
                          <w:marLeft w:val="0"/>
                          <w:marRight w:val="0"/>
                          <w:marTop w:val="0"/>
                          <w:marBottom w:val="0"/>
                          <w:divBdr>
                            <w:top w:val="none" w:sz="0" w:space="0" w:color="auto"/>
                            <w:left w:val="none" w:sz="0" w:space="0" w:color="auto"/>
                            <w:bottom w:val="none" w:sz="0" w:space="0" w:color="auto"/>
                            <w:right w:val="none" w:sz="0" w:space="0" w:color="auto"/>
                          </w:divBdr>
                        </w:div>
                        <w:div w:id="57486045">
                          <w:marLeft w:val="0"/>
                          <w:marRight w:val="0"/>
                          <w:marTop w:val="0"/>
                          <w:marBottom w:val="0"/>
                          <w:divBdr>
                            <w:top w:val="none" w:sz="0" w:space="0" w:color="auto"/>
                            <w:left w:val="none" w:sz="0" w:space="0" w:color="auto"/>
                            <w:bottom w:val="none" w:sz="0" w:space="0" w:color="auto"/>
                            <w:right w:val="none" w:sz="0" w:space="0" w:color="auto"/>
                          </w:divBdr>
                        </w:div>
                        <w:div w:id="78328790">
                          <w:marLeft w:val="0"/>
                          <w:marRight w:val="0"/>
                          <w:marTop w:val="0"/>
                          <w:marBottom w:val="0"/>
                          <w:divBdr>
                            <w:top w:val="none" w:sz="0" w:space="0" w:color="auto"/>
                            <w:left w:val="none" w:sz="0" w:space="0" w:color="auto"/>
                            <w:bottom w:val="none" w:sz="0" w:space="0" w:color="auto"/>
                            <w:right w:val="none" w:sz="0" w:space="0" w:color="auto"/>
                          </w:divBdr>
                        </w:div>
                        <w:div w:id="90781105">
                          <w:marLeft w:val="0"/>
                          <w:marRight w:val="0"/>
                          <w:marTop w:val="0"/>
                          <w:marBottom w:val="0"/>
                          <w:divBdr>
                            <w:top w:val="none" w:sz="0" w:space="0" w:color="auto"/>
                            <w:left w:val="none" w:sz="0" w:space="0" w:color="auto"/>
                            <w:bottom w:val="none" w:sz="0" w:space="0" w:color="auto"/>
                            <w:right w:val="none" w:sz="0" w:space="0" w:color="auto"/>
                          </w:divBdr>
                        </w:div>
                        <w:div w:id="167257701">
                          <w:marLeft w:val="0"/>
                          <w:marRight w:val="0"/>
                          <w:marTop w:val="0"/>
                          <w:marBottom w:val="0"/>
                          <w:divBdr>
                            <w:top w:val="none" w:sz="0" w:space="0" w:color="auto"/>
                            <w:left w:val="none" w:sz="0" w:space="0" w:color="auto"/>
                            <w:bottom w:val="none" w:sz="0" w:space="0" w:color="auto"/>
                            <w:right w:val="none" w:sz="0" w:space="0" w:color="auto"/>
                          </w:divBdr>
                        </w:div>
                        <w:div w:id="184901233">
                          <w:marLeft w:val="0"/>
                          <w:marRight w:val="0"/>
                          <w:marTop w:val="0"/>
                          <w:marBottom w:val="0"/>
                          <w:divBdr>
                            <w:top w:val="none" w:sz="0" w:space="0" w:color="auto"/>
                            <w:left w:val="none" w:sz="0" w:space="0" w:color="auto"/>
                            <w:bottom w:val="none" w:sz="0" w:space="0" w:color="auto"/>
                            <w:right w:val="none" w:sz="0" w:space="0" w:color="auto"/>
                          </w:divBdr>
                        </w:div>
                        <w:div w:id="187110573">
                          <w:marLeft w:val="0"/>
                          <w:marRight w:val="0"/>
                          <w:marTop w:val="0"/>
                          <w:marBottom w:val="0"/>
                          <w:divBdr>
                            <w:top w:val="none" w:sz="0" w:space="0" w:color="auto"/>
                            <w:left w:val="none" w:sz="0" w:space="0" w:color="auto"/>
                            <w:bottom w:val="none" w:sz="0" w:space="0" w:color="auto"/>
                            <w:right w:val="none" w:sz="0" w:space="0" w:color="auto"/>
                          </w:divBdr>
                        </w:div>
                        <w:div w:id="190842126">
                          <w:marLeft w:val="0"/>
                          <w:marRight w:val="0"/>
                          <w:marTop w:val="0"/>
                          <w:marBottom w:val="0"/>
                          <w:divBdr>
                            <w:top w:val="none" w:sz="0" w:space="0" w:color="auto"/>
                            <w:left w:val="none" w:sz="0" w:space="0" w:color="auto"/>
                            <w:bottom w:val="none" w:sz="0" w:space="0" w:color="auto"/>
                            <w:right w:val="none" w:sz="0" w:space="0" w:color="auto"/>
                          </w:divBdr>
                        </w:div>
                        <w:div w:id="473181503">
                          <w:marLeft w:val="0"/>
                          <w:marRight w:val="0"/>
                          <w:marTop w:val="0"/>
                          <w:marBottom w:val="0"/>
                          <w:divBdr>
                            <w:top w:val="none" w:sz="0" w:space="0" w:color="auto"/>
                            <w:left w:val="none" w:sz="0" w:space="0" w:color="auto"/>
                            <w:bottom w:val="none" w:sz="0" w:space="0" w:color="auto"/>
                            <w:right w:val="none" w:sz="0" w:space="0" w:color="auto"/>
                          </w:divBdr>
                        </w:div>
                        <w:div w:id="515965853">
                          <w:marLeft w:val="0"/>
                          <w:marRight w:val="0"/>
                          <w:marTop w:val="0"/>
                          <w:marBottom w:val="0"/>
                          <w:divBdr>
                            <w:top w:val="none" w:sz="0" w:space="0" w:color="auto"/>
                            <w:left w:val="none" w:sz="0" w:space="0" w:color="auto"/>
                            <w:bottom w:val="none" w:sz="0" w:space="0" w:color="auto"/>
                            <w:right w:val="none" w:sz="0" w:space="0" w:color="auto"/>
                          </w:divBdr>
                        </w:div>
                        <w:div w:id="606887955">
                          <w:marLeft w:val="0"/>
                          <w:marRight w:val="0"/>
                          <w:marTop w:val="0"/>
                          <w:marBottom w:val="0"/>
                          <w:divBdr>
                            <w:top w:val="none" w:sz="0" w:space="0" w:color="auto"/>
                            <w:left w:val="none" w:sz="0" w:space="0" w:color="auto"/>
                            <w:bottom w:val="none" w:sz="0" w:space="0" w:color="auto"/>
                            <w:right w:val="none" w:sz="0" w:space="0" w:color="auto"/>
                          </w:divBdr>
                        </w:div>
                        <w:div w:id="646319431">
                          <w:marLeft w:val="0"/>
                          <w:marRight w:val="0"/>
                          <w:marTop w:val="0"/>
                          <w:marBottom w:val="0"/>
                          <w:divBdr>
                            <w:top w:val="none" w:sz="0" w:space="0" w:color="auto"/>
                            <w:left w:val="none" w:sz="0" w:space="0" w:color="auto"/>
                            <w:bottom w:val="none" w:sz="0" w:space="0" w:color="auto"/>
                            <w:right w:val="none" w:sz="0" w:space="0" w:color="auto"/>
                          </w:divBdr>
                        </w:div>
                        <w:div w:id="704984875">
                          <w:marLeft w:val="0"/>
                          <w:marRight w:val="0"/>
                          <w:marTop w:val="0"/>
                          <w:marBottom w:val="0"/>
                          <w:divBdr>
                            <w:top w:val="none" w:sz="0" w:space="0" w:color="auto"/>
                            <w:left w:val="none" w:sz="0" w:space="0" w:color="auto"/>
                            <w:bottom w:val="none" w:sz="0" w:space="0" w:color="auto"/>
                            <w:right w:val="none" w:sz="0" w:space="0" w:color="auto"/>
                          </w:divBdr>
                        </w:div>
                        <w:div w:id="752052486">
                          <w:marLeft w:val="0"/>
                          <w:marRight w:val="0"/>
                          <w:marTop w:val="0"/>
                          <w:marBottom w:val="0"/>
                          <w:divBdr>
                            <w:top w:val="none" w:sz="0" w:space="0" w:color="auto"/>
                            <w:left w:val="none" w:sz="0" w:space="0" w:color="auto"/>
                            <w:bottom w:val="none" w:sz="0" w:space="0" w:color="auto"/>
                            <w:right w:val="none" w:sz="0" w:space="0" w:color="auto"/>
                          </w:divBdr>
                        </w:div>
                        <w:div w:id="788209419">
                          <w:marLeft w:val="0"/>
                          <w:marRight w:val="0"/>
                          <w:marTop w:val="0"/>
                          <w:marBottom w:val="0"/>
                          <w:divBdr>
                            <w:top w:val="none" w:sz="0" w:space="0" w:color="auto"/>
                            <w:left w:val="none" w:sz="0" w:space="0" w:color="auto"/>
                            <w:bottom w:val="none" w:sz="0" w:space="0" w:color="auto"/>
                            <w:right w:val="none" w:sz="0" w:space="0" w:color="auto"/>
                          </w:divBdr>
                        </w:div>
                        <w:div w:id="788934267">
                          <w:marLeft w:val="0"/>
                          <w:marRight w:val="0"/>
                          <w:marTop w:val="0"/>
                          <w:marBottom w:val="0"/>
                          <w:divBdr>
                            <w:top w:val="none" w:sz="0" w:space="0" w:color="auto"/>
                            <w:left w:val="none" w:sz="0" w:space="0" w:color="auto"/>
                            <w:bottom w:val="none" w:sz="0" w:space="0" w:color="auto"/>
                            <w:right w:val="none" w:sz="0" w:space="0" w:color="auto"/>
                          </w:divBdr>
                        </w:div>
                        <w:div w:id="869533854">
                          <w:marLeft w:val="0"/>
                          <w:marRight w:val="0"/>
                          <w:marTop w:val="0"/>
                          <w:marBottom w:val="0"/>
                          <w:divBdr>
                            <w:top w:val="none" w:sz="0" w:space="0" w:color="auto"/>
                            <w:left w:val="none" w:sz="0" w:space="0" w:color="auto"/>
                            <w:bottom w:val="none" w:sz="0" w:space="0" w:color="auto"/>
                            <w:right w:val="none" w:sz="0" w:space="0" w:color="auto"/>
                          </w:divBdr>
                        </w:div>
                        <w:div w:id="919681030">
                          <w:marLeft w:val="0"/>
                          <w:marRight w:val="0"/>
                          <w:marTop w:val="0"/>
                          <w:marBottom w:val="0"/>
                          <w:divBdr>
                            <w:top w:val="none" w:sz="0" w:space="0" w:color="auto"/>
                            <w:left w:val="none" w:sz="0" w:space="0" w:color="auto"/>
                            <w:bottom w:val="none" w:sz="0" w:space="0" w:color="auto"/>
                            <w:right w:val="none" w:sz="0" w:space="0" w:color="auto"/>
                          </w:divBdr>
                        </w:div>
                        <w:div w:id="945384691">
                          <w:marLeft w:val="0"/>
                          <w:marRight w:val="0"/>
                          <w:marTop w:val="0"/>
                          <w:marBottom w:val="0"/>
                          <w:divBdr>
                            <w:top w:val="none" w:sz="0" w:space="0" w:color="auto"/>
                            <w:left w:val="none" w:sz="0" w:space="0" w:color="auto"/>
                            <w:bottom w:val="none" w:sz="0" w:space="0" w:color="auto"/>
                            <w:right w:val="none" w:sz="0" w:space="0" w:color="auto"/>
                          </w:divBdr>
                        </w:div>
                        <w:div w:id="948387967">
                          <w:marLeft w:val="0"/>
                          <w:marRight w:val="0"/>
                          <w:marTop w:val="0"/>
                          <w:marBottom w:val="0"/>
                          <w:divBdr>
                            <w:top w:val="none" w:sz="0" w:space="0" w:color="auto"/>
                            <w:left w:val="none" w:sz="0" w:space="0" w:color="auto"/>
                            <w:bottom w:val="none" w:sz="0" w:space="0" w:color="auto"/>
                            <w:right w:val="none" w:sz="0" w:space="0" w:color="auto"/>
                          </w:divBdr>
                        </w:div>
                        <w:div w:id="988483070">
                          <w:marLeft w:val="0"/>
                          <w:marRight w:val="0"/>
                          <w:marTop w:val="0"/>
                          <w:marBottom w:val="0"/>
                          <w:divBdr>
                            <w:top w:val="none" w:sz="0" w:space="0" w:color="auto"/>
                            <w:left w:val="none" w:sz="0" w:space="0" w:color="auto"/>
                            <w:bottom w:val="none" w:sz="0" w:space="0" w:color="auto"/>
                            <w:right w:val="none" w:sz="0" w:space="0" w:color="auto"/>
                          </w:divBdr>
                        </w:div>
                        <w:div w:id="1037120421">
                          <w:marLeft w:val="0"/>
                          <w:marRight w:val="0"/>
                          <w:marTop w:val="0"/>
                          <w:marBottom w:val="0"/>
                          <w:divBdr>
                            <w:top w:val="none" w:sz="0" w:space="0" w:color="auto"/>
                            <w:left w:val="none" w:sz="0" w:space="0" w:color="auto"/>
                            <w:bottom w:val="none" w:sz="0" w:space="0" w:color="auto"/>
                            <w:right w:val="none" w:sz="0" w:space="0" w:color="auto"/>
                          </w:divBdr>
                        </w:div>
                        <w:div w:id="1098327082">
                          <w:marLeft w:val="0"/>
                          <w:marRight w:val="0"/>
                          <w:marTop w:val="0"/>
                          <w:marBottom w:val="0"/>
                          <w:divBdr>
                            <w:top w:val="none" w:sz="0" w:space="0" w:color="auto"/>
                            <w:left w:val="none" w:sz="0" w:space="0" w:color="auto"/>
                            <w:bottom w:val="none" w:sz="0" w:space="0" w:color="auto"/>
                            <w:right w:val="none" w:sz="0" w:space="0" w:color="auto"/>
                          </w:divBdr>
                        </w:div>
                        <w:div w:id="1108966980">
                          <w:marLeft w:val="0"/>
                          <w:marRight w:val="0"/>
                          <w:marTop w:val="0"/>
                          <w:marBottom w:val="0"/>
                          <w:divBdr>
                            <w:top w:val="none" w:sz="0" w:space="0" w:color="auto"/>
                            <w:left w:val="none" w:sz="0" w:space="0" w:color="auto"/>
                            <w:bottom w:val="none" w:sz="0" w:space="0" w:color="auto"/>
                            <w:right w:val="none" w:sz="0" w:space="0" w:color="auto"/>
                          </w:divBdr>
                        </w:div>
                        <w:div w:id="1116094857">
                          <w:marLeft w:val="0"/>
                          <w:marRight w:val="0"/>
                          <w:marTop w:val="0"/>
                          <w:marBottom w:val="0"/>
                          <w:divBdr>
                            <w:top w:val="none" w:sz="0" w:space="0" w:color="auto"/>
                            <w:left w:val="none" w:sz="0" w:space="0" w:color="auto"/>
                            <w:bottom w:val="none" w:sz="0" w:space="0" w:color="auto"/>
                            <w:right w:val="none" w:sz="0" w:space="0" w:color="auto"/>
                          </w:divBdr>
                        </w:div>
                        <w:div w:id="1123959295">
                          <w:marLeft w:val="0"/>
                          <w:marRight w:val="0"/>
                          <w:marTop w:val="0"/>
                          <w:marBottom w:val="0"/>
                          <w:divBdr>
                            <w:top w:val="none" w:sz="0" w:space="0" w:color="auto"/>
                            <w:left w:val="none" w:sz="0" w:space="0" w:color="auto"/>
                            <w:bottom w:val="none" w:sz="0" w:space="0" w:color="auto"/>
                            <w:right w:val="none" w:sz="0" w:space="0" w:color="auto"/>
                          </w:divBdr>
                        </w:div>
                        <w:div w:id="1148354279">
                          <w:marLeft w:val="0"/>
                          <w:marRight w:val="0"/>
                          <w:marTop w:val="0"/>
                          <w:marBottom w:val="0"/>
                          <w:divBdr>
                            <w:top w:val="none" w:sz="0" w:space="0" w:color="auto"/>
                            <w:left w:val="none" w:sz="0" w:space="0" w:color="auto"/>
                            <w:bottom w:val="none" w:sz="0" w:space="0" w:color="auto"/>
                            <w:right w:val="none" w:sz="0" w:space="0" w:color="auto"/>
                          </w:divBdr>
                        </w:div>
                        <w:div w:id="1188249574">
                          <w:marLeft w:val="0"/>
                          <w:marRight w:val="0"/>
                          <w:marTop w:val="0"/>
                          <w:marBottom w:val="0"/>
                          <w:divBdr>
                            <w:top w:val="none" w:sz="0" w:space="0" w:color="auto"/>
                            <w:left w:val="none" w:sz="0" w:space="0" w:color="auto"/>
                            <w:bottom w:val="none" w:sz="0" w:space="0" w:color="auto"/>
                            <w:right w:val="none" w:sz="0" w:space="0" w:color="auto"/>
                          </w:divBdr>
                        </w:div>
                        <w:div w:id="1196306323">
                          <w:marLeft w:val="0"/>
                          <w:marRight w:val="0"/>
                          <w:marTop w:val="0"/>
                          <w:marBottom w:val="0"/>
                          <w:divBdr>
                            <w:top w:val="none" w:sz="0" w:space="0" w:color="auto"/>
                            <w:left w:val="none" w:sz="0" w:space="0" w:color="auto"/>
                            <w:bottom w:val="none" w:sz="0" w:space="0" w:color="auto"/>
                            <w:right w:val="none" w:sz="0" w:space="0" w:color="auto"/>
                          </w:divBdr>
                        </w:div>
                        <w:div w:id="1221404682">
                          <w:marLeft w:val="0"/>
                          <w:marRight w:val="0"/>
                          <w:marTop w:val="0"/>
                          <w:marBottom w:val="0"/>
                          <w:divBdr>
                            <w:top w:val="none" w:sz="0" w:space="0" w:color="auto"/>
                            <w:left w:val="none" w:sz="0" w:space="0" w:color="auto"/>
                            <w:bottom w:val="none" w:sz="0" w:space="0" w:color="auto"/>
                            <w:right w:val="none" w:sz="0" w:space="0" w:color="auto"/>
                          </w:divBdr>
                        </w:div>
                        <w:div w:id="1250850875">
                          <w:marLeft w:val="0"/>
                          <w:marRight w:val="0"/>
                          <w:marTop w:val="0"/>
                          <w:marBottom w:val="0"/>
                          <w:divBdr>
                            <w:top w:val="none" w:sz="0" w:space="0" w:color="auto"/>
                            <w:left w:val="none" w:sz="0" w:space="0" w:color="auto"/>
                            <w:bottom w:val="none" w:sz="0" w:space="0" w:color="auto"/>
                            <w:right w:val="none" w:sz="0" w:space="0" w:color="auto"/>
                          </w:divBdr>
                        </w:div>
                        <w:div w:id="1362978195">
                          <w:marLeft w:val="0"/>
                          <w:marRight w:val="0"/>
                          <w:marTop w:val="0"/>
                          <w:marBottom w:val="0"/>
                          <w:divBdr>
                            <w:top w:val="none" w:sz="0" w:space="0" w:color="auto"/>
                            <w:left w:val="none" w:sz="0" w:space="0" w:color="auto"/>
                            <w:bottom w:val="none" w:sz="0" w:space="0" w:color="auto"/>
                            <w:right w:val="none" w:sz="0" w:space="0" w:color="auto"/>
                          </w:divBdr>
                        </w:div>
                        <w:div w:id="1396853998">
                          <w:marLeft w:val="0"/>
                          <w:marRight w:val="0"/>
                          <w:marTop w:val="0"/>
                          <w:marBottom w:val="0"/>
                          <w:divBdr>
                            <w:top w:val="none" w:sz="0" w:space="0" w:color="auto"/>
                            <w:left w:val="none" w:sz="0" w:space="0" w:color="auto"/>
                            <w:bottom w:val="none" w:sz="0" w:space="0" w:color="auto"/>
                            <w:right w:val="none" w:sz="0" w:space="0" w:color="auto"/>
                          </w:divBdr>
                        </w:div>
                        <w:div w:id="1408648389">
                          <w:marLeft w:val="0"/>
                          <w:marRight w:val="0"/>
                          <w:marTop w:val="0"/>
                          <w:marBottom w:val="0"/>
                          <w:divBdr>
                            <w:top w:val="none" w:sz="0" w:space="0" w:color="auto"/>
                            <w:left w:val="none" w:sz="0" w:space="0" w:color="auto"/>
                            <w:bottom w:val="none" w:sz="0" w:space="0" w:color="auto"/>
                            <w:right w:val="none" w:sz="0" w:space="0" w:color="auto"/>
                          </w:divBdr>
                        </w:div>
                        <w:div w:id="1419980034">
                          <w:marLeft w:val="0"/>
                          <w:marRight w:val="0"/>
                          <w:marTop w:val="0"/>
                          <w:marBottom w:val="0"/>
                          <w:divBdr>
                            <w:top w:val="none" w:sz="0" w:space="0" w:color="auto"/>
                            <w:left w:val="none" w:sz="0" w:space="0" w:color="auto"/>
                            <w:bottom w:val="none" w:sz="0" w:space="0" w:color="auto"/>
                            <w:right w:val="none" w:sz="0" w:space="0" w:color="auto"/>
                          </w:divBdr>
                        </w:div>
                        <w:div w:id="1451897806">
                          <w:marLeft w:val="0"/>
                          <w:marRight w:val="0"/>
                          <w:marTop w:val="0"/>
                          <w:marBottom w:val="0"/>
                          <w:divBdr>
                            <w:top w:val="none" w:sz="0" w:space="0" w:color="auto"/>
                            <w:left w:val="none" w:sz="0" w:space="0" w:color="auto"/>
                            <w:bottom w:val="none" w:sz="0" w:space="0" w:color="auto"/>
                            <w:right w:val="none" w:sz="0" w:space="0" w:color="auto"/>
                          </w:divBdr>
                        </w:div>
                        <w:div w:id="1452364724">
                          <w:marLeft w:val="0"/>
                          <w:marRight w:val="0"/>
                          <w:marTop w:val="0"/>
                          <w:marBottom w:val="0"/>
                          <w:divBdr>
                            <w:top w:val="none" w:sz="0" w:space="0" w:color="auto"/>
                            <w:left w:val="none" w:sz="0" w:space="0" w:color="auto"/>
                            <w:bottom w:val="none" w:sz="0" w:space="0" w:color="auto"/>
                            <w:right w:val="none" w:sz="0" w:space="0" w:color="auto"/>
                          </w:divBdr>
                        </w:div>
                        <w:div w:id="1491098618">
                          <w:marLeft w:val="0"/>
                          <w:marRight w:val="0"/>
                          <w:marTop w:val="0"/>
                          <w:marBottom w:val="0"/>
                          <w:divBdr>
                            <w:top w:val="none" w:sz="0" w:space="0" w:color="auto"/>
                            <w:left w:val="none" w:sz="0" w:space="0" w:color="auto"/>
                            <w:bottom w:val="none" w:sz="0" w:space="0" w:color="auto"/>
                            <w:right w:val="none" w:sz="0" w:space="0" w:color="auto"/>
                          </w:divBdr>
                        </w:div>
                        <w:div w:id="1588877430">
                          <w:marLeft w:val="0"/>
                          <w:marRight w:val="0"/>
                          <w:marTop w:val="0"/>
                          <w:marBottom w:val="0"/>
                          <w:divBdr>
                            <w:top w:val="none" w:sz="0" w:space="0" w:color="auto"/>
                            <w:left w:val="none" w:sz="0" w:space="0" w:color="auto"/>
                            <w:bottom w:val="none" w:sz="0" w:space="0" w:color="auto"/>
                            <w:right w:val="none" w:sz="0" w:space="0" w:color="auto"/>
                          </w:divBdr>
                        </w:div>
                        <w:div w:id="1593391673">
                          <w:marLeft w:val="0"/>
                          <w:marRight w:val="0"/>
                          <w:marTop w:val="0"/>
                          <w:marBottom w:val="0"/>
                          <w:divBdr>
                            <w:top w:val="none" w:sz="0" w:space="0" w:color="auto"/>
                            <w:left w:val="none" w:sz="0" w:space="0" w:color="auto"/>
                            <w:bottom w:val="none" w:sz="0" w:space="0" w:color="auto"/>
                            <w:right w:val="none" w:sz="0" w:space="0" w:color="auto"/>
                          </w:divBdr>
                        </w:div>
                        <w:div w:id="1614557775">
                          <w:marLeft w:val="0"/>
                          <w:marRight w:val="0"/>
                          <w:marTop w:val="0"/>
                          <w:marBottom w:val="0"/>
                          <w:divBdr>
                            <w:top w:val="none" w:sz="0" w:space="0" w:color="auto"/>
                            <w:left w:val="none" w:sz="0" w:space="0" w:color="auto"/>
                            <w:bottom w:val="none" w:sz="0" w:space="0" w:color="auto"/>
                            <w:right w:val="none" w:sz="0" w:space="0" w:color="auto"/>
                          </w:divBdr>
                        </w:div>
                        <w:div w:id="1628779040">
                          <w:marLeft w:val="0"/>
                          <w:marRight w:val="0"/>
                          <w:marTop w:val="0"/>
                          <w:marBottom w:val="0"/>
                          <w:divBdr>
                            <w:top w:val="none" w:sz="0" w:space="0" w:color="auto"/>
                            <w:left w:val="none" w:sz="0" w:space="0" w:color="auto"/>
                            <w:bottom w:val="none" w:sz="0" w:space="0" w:color="auto"/>
                            <w:right w:val="none" w:sz="0" w:space="0" w:color="auto"/>
                          </w:divBdr>
                        </w:div>
                        <w:div w:id="1637876452">
                          <w:marLeft w:val="0"/>
                          <w:marRight w:val="0"/>
                          <w:marTop w:val="0"/>
                          <w:marBottom w:val="0"/>
                          <w:divBdr>
                            <w:top w:val="none" w:sz="0" w:space="0" w:color="auto"/>
                            <w:left w:val="none" w:sz="0" w:space="0" w:color="auto"/>
                            <w:bottom w:val="none" w:sz="0" w:space="0" w:color="auto"/>
                            <w:right w:val="none" w:sz="0" w:space="0" w:color="auto"/>
                          </w:divBdr>
                        </w:div>
                        <w:div w:id="1669401979">
                          <w:marLeft w:val="0"/>
                          <w:marRight w:val="0"/>
                          <w:marTop w:val="0"/>
                          <w:marBottom w:val="0"/>
                          <w:divBdr>
                            <w:top w:val="none" w:sz="0" w:space="0" w:color="auto"/>
                            <w:left w:val="none" w:sz="0" w:space="0" w:color="auto"/>
                            <w:bottom w:val="none" w:sz="0" w:space="0" w:color="auto"/>
                            <w:right w:val="none" w:sz="0" w:space="0" w:color="auto"/>
                          </w:divBdr>
                        </w:div>
                        <w:div w:id="1730610220">
                          <w:marLeft w:val="0"/>
                          <w:marRight w:val="0"/>
                          <w:marTop w:val="0"/>
                          <w:marBottom w:val="0"/>
                          <w:divBdr>
                            <w:top w:val="none" w:sz="0" w:space="0" w:color="auto"/>
                            <w:left w:val="none" w:sz="0" w:space="0" w:color="auto"/>
                            <w:bottom w:val="none" w:sz="0" w:space="0" w:color="auto"/>
                            <w:right w:val="none" w:sz="0" w:space="0" w:color="auto"/>
                          </w:divBdr>
                        </w:div>
                        <w:div w:id="1763867878">
                          <w:marLeft w:val="0"/>
                          <w:marRight w:val="0"/>
                          <w:marTop w:val="0"/>
                          <w:marBottom w:val="0"/>
                          <w:divBdr>
                            <w:top w:val="none" w:sz="0" w:space="0" w:color="auto"/>
                            <w:left w:val="none" w:sz="0" w:space="0" w:color="auto"/>
                            <w:bottom w:val="none" w:sz="0" w:space="0" w:color="auto"/>
                            <w:right w:val="none" w:sz="0" w:space="0" w:color="auto"/>
                          </w:divBdr>
                        </w:div>
                        <w:div w:id="1793405668">
                          <w:marLeft w:val="0"/>
                          <w:marRight w:val="0"/>
                          <w:marTop w:val="0"/>
                          <w:marBottom w:val="0"/>
                          <w:divBdr>
                            <w:top w:val="none" w:sz="0" w:space="0" w:color="auto"/>
                            <w:left w:val="none" w:sz="0" w:space="0" w:color="auto"/>
                            <w:bottom w:val="none" w:sz="0" w:space="0" w:color="auto"/>
                            <w:right w:val="none" w:sz="0" w:space="0" w:color="auto"/>
                          </w:divBdr>
                        </w:div>
                        <w:div w:id="1852528453">
                          <w:marLeft w:val="0"/>
                          <w:marRight w:val="0"/>
                          <w:marTop w:val="0"/>
                          <w:marBottom w:val="0"/>
                          <w:divBdr>
                            <w:top w:val="none" w:sz="0" w:space="0" w:color="auto"/>
                            <w:left w:val="none" w:sz="0" w:space="0" w:color="auto"/>
                            <w:bottom w:val="none" w:sz="0" w:space="0" w:color="auto"/>
                            <w:right w:val="none" w:sz="0" w:space="0" w:color="auto"/>
                          </w:divBdr>
                        </w:div>
                        <w:div w:id="1890875630">
                          <w:marLeft w:val="0"/>
                          <w:marRight w:val="0"/>
                          <w:marTop w:val="0"/>
                          <w:marBottom w:val="0"/>
                          <w:divBdr>
                            <w:top w:val="none" w:sz="0" w:space="0" w:color="auto"/>
                            <w:left w:val="none" w:sz="0" w:space="0" w:color="auto"/>
                            <w:bottom w:val="none" w:sz="0" w:space="0" w:color="auto"/>
                            <w:right w:val="none" w:sz="0" w:space="0" w:color="auto"/>
                          </w:divBdr>
                        </w:div>
                        <w:div w:id="1993943540">
                          <w:marLeft w:val="0"/>
                          <w:marRight w:val="0"/>
                          <w:marTop w:val="0"/>
                          <w:marBottom w:val="0"/>
                          <w:divBdr>
                            <w:top w:val="none" w:sz="0" w:space="0" w:color="auto"/>
                            <w:left w:val="none" w:sz="0" w:space="0" w:color="auto"/>
                            <w:bottom w:val="none" w:sz="0" w:space="0" w:color="auto"/>
                            <w:right w:val="none" w:sz="0" w:space="0" w:color="auto"/>
                          </w:divBdr>
                        </w:div>
                        <w:div w:id="2017027920">
                          <w:marLeft w:val="0"/>
                          <w:marRight w:val="0"/>
                          <w:marTop w:val="0"/>
                          <w:marBottom w:val="0"/>
                          <w:divBdr>
                            <w:top w:val="none" w:sz="0" w:space="0" w:color="auto"/>
                            <w:left w:val="none" w:sz="0" w:space="0" w:color="auto"/>
                            <w:bottom w:val="none" w:sz="0" w:space="0" w:color="auto"/>
                            <w:right w:val="none" w:sz="0" w:space="0" w:color="auto"/>
                          </w:divBdr>
                        </w:div>
                        <w:div w:id="2103641885">
                          <w:marLeft w:val="0"/>
                          <w:marRight w:val="0"/>
                          <w:marTop w:val="0"/>
                          <w:marBottom w:val="0"/>
                          <w:divBdr>
                            <w:top w:val="none" w:sz="0" w:space="0" w:color="auto"/>
                            <w:left w:val="none" w:sz="0" w:space="0" w:color="auto"/>
                            <w:bottom w:val="none" w:sz="0" w:space="0" w:color="auto"/>
                            <w:right w:val="none" w:sz="0" w:space="0" w:color="auto"/>
                          </w:divBdr>
                        </w:div>
                        <w:div w:id="21085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1706">
                  <w:marLeft w:val="0"/>
                  <w:marRight w:val="0"/>
                  <w:marTop w:val="0"/>
                  <w:marBottom w:val="0"/>
                  <w:divBdr>
                    <w:top w:val="none" w:sz="0" w:space="0" w:color="auto"/>
                    <w:left w:val="none" w:sz="0" w:space="0" w:color="auto"/>
                    <w:bottom w:val="none" w:sz="0" w:space="0" w:color="auto"/>
                    <w:right w:val="none" w:sz="0" w:space="0" w:color="auto"/>
                  </w:divBdr>
                  <w:divsChild>
                    <w:div w:id="642731158">
                      <w:marLeft w:val="0"/>
                      <w:marRight w:val="0"/>
                      <w:marTop w:val="0"/>
                      <w:marBottom w:val="0"/>
                      <w:divBdr>
                        <w:top w:val="none" w:sz="0" w:space="0" w:color="auto"/>
                        <w:left w:val="none" w:sz="0" w:space="0" w:color="auto"/>
                        <w:bottom w:val="none" w:sz="0" w:space="0" w:color="auto"/>
                        <w:right w:val="none" w:sz="0" w:space="0" w:color="auto"/>
                      </w:divBdr>
                    </w:div>
                  </w:divsChild>
                </w:div>
                <w:div w:id="595210849">
                  <w:marLeft w:val="0"/>
                  <w:marRight w:val="0"/>
                  <w:marTop w:val="0"/>
                  <w:marBottom w:val="0"/>
                  <w:divBdr>
                    <w:top w:val="none" w:sz="0" w:space="0" w:color="auto"/>
                    <w:left w:val="none" w:sz="0" w:space="0" w:color="auto"/>
                    <w:bottom w:val="none" w:sz="0" w:space="0" w:color="auto"/>
                    <w:right w:val="none" w:sz="0" w:space="0" w:color="auto"/>
                  </w:divBdr>
                  <w:divsChild>
                    <w:div w:id="317464622">
                      <w:marLeft w:val="0"/>
                      <w:marRight w:val="0"/>
                      <w:marTop w:val="0"/>
                      <w:marBottom w:val="0"/>
                      <w:divBdr>
                        <w:top w:val="none" w:sz="0" w:space="0" w:color="auto"/>
                        <w:left w:val="none" w:sz="0" w:space="0" w:color="auto"/>
                        <w:bottom w:val="none" w:sz="0" w:space="0" w:color="auto"/>
                        <w:right w:val="none" w:sz="0" w:space="0" w:color="auto"/>
                      </w:divBdr>
                    </w:div>
                  </w:divsChild>
                </w:div>
                <w:div w:id="1569456338">
                  <w:marLeft w:val="0"/>
                  <w:marRight w:val="0"/>
                  <w:marTop w:val="0"/>
                  <w:marBottom w:val="0"/>
                  <w:divBdr>
                    <w:top w:val="none" w:sz="0" w:space="0" w:color="auto"/>
                    <w:left w:val="none" w:sz="0" w:space="0" w:color="auto"/>
                    <w:bottom w:val="none" w:sz="0" w:space="0" w:color="auto"/>
                    <w:right w:val="none" w:sz="0" w:space="0" w:color="auto"/>
                  </w:divBdr>
                  <w:divsChild>
                    <w:div w:id="76372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796616">
      <w:bodyDiv w:val="1"/>
      <w:marLeft w:val="0"/>
      <w:marRight w:val="0"/>
      <w:marTop w:val="0"/>
      <w:marBottom w:val="0"/>
      <w:divBdr>
        <w:top w:val="none" w:sz="0" w:space="0" w:color="auto"/>
        <w:left w:val="none" w:sz="0" w:space="0" w:color="auto"/>
        <w:bottom w:val="none" w:sz="0" w:space="0" w:color="auto"/>
        <w:right w:val="none" w:sz="0" w:space="0" w:color="auto"/>
      </w:divBdr>
    </w:div>
    <w:div w:id="1805733852">
      <w:bodyDiv w:val="1"/>
      <w:marLeft w:val="0"/>
      <w:marRight w:val="0"/>
      <w:marTop w:val="0"/>
      <w:marBottom w:val="0"/>
      <w:divBdr>
        <w:top w:val="none" w:sz="0" w:space="0" w:color="auto"/>
        <w:left w:val="none" w:sz="0" w:space="0" w:color="auto"/>
        <w:bottom w:val="none" w:sz="0" w:space="0" w:color="auto"/>
        <w:right w:val="none" w:sz="0" w:space="0" w:color="auto"/>
      </w:divBdr>
    </w:div>
    <w:div w:id="1844006918">
      <w:bodyDiv w:val="1"/>
      <w:marLeft w:val="0"/>
      <w:marRight w:val="0"/>
      <w:marTop w:val="0"/>
      <w:marBottom w:val="0"/>
      <w:divBdr>
        <w:top w:val="none" w:sz="0" w:space="0" w:color="auto"/>
        <w:left w:val="none" w:sz="0" w:space="0" w:color="auto"/>
        <w:bottom w:val="none" w:sz="0" w:space="0" w:color="auto"/>
        <w:right w:val="none" w:sz="0" w:space="0" w:color="auto"/>
      </w:divBdr>
    </w:div>
    <w:div w:id="1844126283">
      <w:bodyDiv w:val="1"/>
      <w:marLeft w:val="0"/>
      <w:marRight w:val="0"/>
      <w:marTop w:val="0"/>
      <w:marBottom w:val="0"/>
      <w:divBdr>
        <w:top w:val="none" w:sz="0" w:space="0" w:color="auto"/>
        <w:left w:val="none" w:sz="0" w:space="0" w:color="auto"/>
        <w:bottom w:val="none" w:sz="0" w:space="0" w:color="auto"/>
        <w:right w:val="none" w:sz="0" w:space="0" w:color="auto"/>
      </w:divBdr>
    </w:div>
    <w:div w:id="1873835081">
      <w:bodyDiv w:val="1"/>
      <w:marLeft w:val="0"/>
      <w:marRight w:val="0"/>
      <w:marTop w:val="0"/>
      <w:marBottom w:val="0"/>
      <w:divBdr>
        <w:top w:val="none" w:sz="0" w:space="0" w:color="auto"/>
        <w:left w:val="none" w:sz="0" w:space="0" w:color="auto"/>
        <w:bottom w:val="none" w:sz="0" w:space="0" w:color="auto"/>
        <w:right w:val="none" w:sz="0" w:space="0" w:color="auto"/>
      </w:divBdr>
    </w:div>
    <w:div w:id="1902210799">
      <w:bodyDiv w:val="1"/>
      <w:marLeft w:val="0"/>
      <w:marRight w:val="0"/>
      <w:marTop w:val="0"/>
      <w:marBottom w:val="0"/>
      <w:divBdr>
        <w:top w:val="none" w:sz="0" w:space="0" w:color="auto"/>
        <w:left w:val="none" w:sz="0" w:space="0" w:color="auto"/>
        <w:bottom w:val="none" w:sz="0" w:space="0" w:color="auto"/>
        <w:right w:val="none" w:sz="0" w:space="0" w:color="auto"/>
      </w:divBdr>
      <w:divsChild>
        <w:div w:id="7024631">
          <w:marLeft w:val="0"/>
          <w:marRight w:val="0"/>
          <w:marTop w:val="0"/>
          <w:marBottom w:val="0"/>
          <w:divBdr>
            <w:top w:val="none" w:sz="0" w:space="0" w:color="auto"/>
            <w:left w:val="none" w:sz="0" w:space="0" w:color="auto"/>
            <w:bottom w:val="none" w:sz="0" w:space="0" w:color="auto"/>
            <w:right w:val="none" w:sz="0" w:space="0" w:color="auto"/>
          </w:divBdr>
        </w:div>
        <w:div w:id="19286430">
          <w:marLeft w:val="0"/>
          <w:marRight w:val="0"/>
          <w:marTop w:val="0"/>
          <w:marBottom w:val="0"/>
          <w:divBdr>
            <w:top w:val="none" w:sz="0" w:space="0" w:color="auto"/>
            <w:left w:val="none" w:sz="0" w:space="0" w:color="auto"/>
            <w:bottom w:val="none" w:sz="0" w:space="0" w:color="auto"/>
            <w:right w:val="none" w:sz="0" w:space="0" w:color="auto"/>
          </w:divBdr>
        </w:div>
        <w:div w:id="31810093">
          <w:marLeft w:val="0"/>
          <w:marRight w:val="0"/>
          <w:marTop w:val="0"/>
          <w:marBottom w:val="0"/>
          <w:divBdr>
            <w:top w:val="none" w:sz="0" w:space="0" w:color="auto"/>
            <w:left w:val="none" w:sz="0" w:space="0" w:color="auto"/>
            <w:bottom w:val="none" w:sz="0" w:space="0" w:color="auto"/>
            <w:right w:val="none" w:sz="0" w:space="0" w:color="auto"/>
          </w:divBdr>
        </w:div>
        <w:div w:id="74403998">
          <w:marLeft w:val="0"/>
          <w:marRight w:val="0"/>
          <w:marTop w:val="0"/>
          <w:marBottom w:val="0"/>
          <w:divBdr>
            <w:top w:val="none" w:sz="0" w:space="0" w:color="auto"/>
            <w:left w:val="none" w:sz="0" w:space="0" w:color="auto"/>
            <w:bottom w:val="none" w:sz="0" w:space="0" w:color="auto"/>
            <w:right w:val="none" w:sz="0" w:space="0" w:color="auto"/>
          </w:divBdr>
        </w:div>
        <w:div w:id="109056158">
          <w:marLeft w:val="0"/>
          <w:marRight w:val="0"/>
          <w:marTop w:val="0"/>
          <w:marBottom w:val="0"/>
          <w:divBdr>
            <w:top w:val="none" w:sz="0" w:space="0" w:color="auto"/>
            <w:left w:val="none" w:sz="0" w:space="0" w:color="auto"/>
            <w:bottom w:val="none" w:sz="0" w:space="0" w:color="auto"/>
            <w:right w:val="none" w:sz="0" w:space="0" w:color="auto"/>
          </w:divBdr>
        </w:div>
        <w:div w:id="126896670">
          <w:marLeft w:val="0"/>
          <w:marRight w:val="0"/>
          <w:marTop w:val="0"/>
          <w:marBottom w:val="0"/>
          <w:divBdr>
            <w:top w:val="none" w:sz="0" w:space="0" w:color="auto"/>
            <w:left w:val="none" w:sz="0" w:space="0" w:color="auto"/>
            <w:bottom w:val="none" w:sz="0" w:space="0" w:color="auto"/>
            <w:right w:val="none" w:sz="0" w:space="0" w:color="auto"/>
          </w:divBdr>
        </w:div>
        <w:div w:id="143280077">
          <w:marLeft w:val="0"/>
          <w:marRight w:val="0"/>
          <w:marTop w:val="0"/>
          <w:marBottom w:val="0"/>
          <w:divBdr>
            <w:top w:val="none" w:sz="0" w:space="0" w:color="auto"/>
            <w:left w:val="none" w:sz="0" w:space="0" w:color="auto"/>
            <w:bottom w:val="none" w:sz="0" w:space="0" w:color="auto"/>
            <w:right w:val="none" w:sz="0" w:space="0" w:color="auto"/>
          </w:divBdr>
        </w:div>
        <w:div w:id="212691959">
          <w:marLeft w:val="0"/>
          <w:marRight w:val="0"/>
          <w:marTop w:val="0"/>
          <w:marBottom w:val="0"/>
          <w:divBdr>
            <w:top w:val="none" w:sz="0" w:space="0" w:color="auto"/>
            <w:left w:val="none" w:sz="0" w:space="0" w:color="auto"/>
            <w:bottom w:val="none" w:sz="0" w:space="0" w:color="auto"/>
            <w:right w:val="none" w:sz="0" w:space="0" w:color="auto"/>
          </w:divBdr>
        </w:div>
        <w:div w:id="259415425">
          <w:marLeft w:val="0"/>
          <w:marRight w:val="0"/>
          <w:marTop w:val="0"/>
          <w:marBottom w:val="0"/>
          <w:divBdr>
            <w:top w:val="none" w:sz="0" w:space="0" w:color="auto"/>
            <w:left w:val="none" w:sz="0" w:space="0" w:color="auto"/>
            <w:bottom w:val="none" w:sz="0" w:space="0" w:color="auto"/>
            <w:right w:val="none" w:sz="0" w:space="0" w:color="auto"/>
          </w:divBdr>
        </w:div>
        <w:div w:id="274555766">
          <w:marLeft w:val="0"/>
          <w:marRight w:val="0"/>
          <w:marTop w:val="0"/>
          <w:marBottom w:val="0"/>
          <w:divBdr>
            <w:top w:val="none" w:sz="0" w:space="0" w:color="auto"/>
            <w:left w:val="none" w:sz="0" w:space="0" w:color="auto"/>
            <w:bottom w:val="none" w:sz="0" w:space="0" w:color="auto"/>
            <w:right w:val="none" w:sz="0" w:space="0" w:color="auto"/>
          </w:divBdr>
        </w:div>
        <w:div w:id="402728404">
          <w:marLeft w:val="0"/>
          <w:marRight w:val="0"/>
          <w:marTop w:val="0"/>
          <w:marBottom w:val="0"/>
          <w:divBdr>
            <w:top w:val="none" w:sz="0" w:space="0" w:color="auto"/>
            <w:left w:val="none" w:sz="0" w:space="0" w:color="auto"/>
            <w:bottom w:val="none" w:sz="0" w:space="0" w:color="auto"/>
            <w:right w:val="none" w:sz="0" w:space="0" w:color="auto"/>
          </w:divBdr>
        </w:div>
        <w:div w:id="473060007">
          <w:marLeft w:val="0"/>
          <w:marRight w:val="0"/>
          <w:marTop w:val="0"/>
          <w:marBottom w:val="0"/>
          <w:divBdr>
            <w:top w:val="none" w:sz="0" w:space="0" w:color="auto"/>
            <w:left w:val="none" w:sz="0" w:space="0" w:color="auto"/>
            <w:bottom w:val="none" w:sz="0" w:space="0" w:color="auto"/>
            <w:right w:val="none" w:sz="0" w:space="0" w:color="auto"/>
          </w:divBdr>
        </w:div>
        <w:div w:id="505369749">
          <w:marLeft w:val="0"/>
          <w:marRight w:val="0"/>
          <w:marTop w:val="0"/>
          <w:marBottom w:val="0"/>
          <w:divBdr>
            <w:top w:val="none" w:sz="0" w:space="0" w:color="auto"/>
            <w:left w:val="none" w:sz="0" w:space="0" w:color="auto"/>
            <w:bottom w:val="none" w:sz="0" w:space="0" w:color="auto"/>
            <w:right w:val="none" w:sz="0" w:space="0" w:color="auto"/>
          </w:divBdr>
        </w:div>
        <w:div w:id="511529972">
          <w:marLeft w:val="0"/>
          <w:marRight w:val="0"/>
          <w:marTop w:val="0"/>
          <w:marBottom w:val="0"/>
          <w:divBdr>
            <w:top w:val="none" w:sz="0" w:space="0" w:color="auto"/>
            <w:left w:val="none" w:sz="0" w:space="0" w:color="auto"/>
            <w:bottom w:val="none" w:sz="0" w:space="0" w:color="auto"/>
            <w:right w:val="none" w:sz="0" w:space="0" w:color="auto"/>
          </w:divBdr>
        </w:div>
        <w:div w:id="592395404">
          <w:marLeft w:val="0"/>
          <w:marRight w:val="0"/>
          <w:marTop w:val="0"/>
          <w:marBottom w:val="0"/>
          <w:divBdr>
            <w:top w:val="none" w:sz="0" w:space="0" w:color="auto"/>
            <w:left w:val="none" w:sz="0" w:space="0" w:color="auto"/>
            <w:bottom w:val="none" w:sz="0" w:space="0" w:color="auto"/>
            <w:right w:val="none" w:sz="0" w:space="0" w:color="auto"/>
          </w:divBdr>
        </w:div>
        <w:div w:id="609818510">
          <w:marLeft w:val="0"/>
          <w:marRight w:val="0"/>
          <w:marTop w:val="0"/>
          <w:marBottom w:val="0"/>
          <w:divBdr>
            <w:top w:val="none" w:sz="0" w:space="0" w:color="auto"/>
            <w:left w:val="none" w:sz="0" w:space="0" w:color="auto"/>
            <w:bottom w:val="none" w:sz="0" w:space="0" w:color="auto"/>
            <w:right w:val="none" w:sz="0" w:space="0" w:color="auto"/>
          </w:divBdr>
        </w:div>
        <w:div w:id="642200524">
          <w:marLeft w:val="0"/>
          <w:marRight w:val="0"/>
          <w:marTop w:val="0"/>
          <w:marBottom w:val="0"/>
          <w:divBdr>
            <w:top w:val="none" w:sz="0" w:space="0" w:color="auto"/>
            <w:left w:val="none" w:sz="0" w:space="0" w:color="auto"/>
            <w:bottom w:val="none" w:sz="0" w:space="0" w:color="auto"/>
            <w:right w:val="none" w:sz="0" w:space="0" w:color="auto"/>
          </w:divBdr>
        </w:div>
        <w:div w:id="653264398">
          <w:marLeft w:val="0"/>
          <w:marRight w:val="0"/>
          <w:marTop w:val="0"/>
          <w:marBottom w:val="0"/>
          <w:divBdr>
            <w:top w:val="none" w:sz="0" w:space="0" w:color="auto"/>
            <w:left w:val="none" w:sz="0" w:space="0" w:color="auto"/>
            <w:bottom w:val="none" w:sz="0" w:space="0" w:color="auto"/>
            <w:right w:val="none" w:sz="0" w:space="0" w:color="auto"/>
          </w:divBdr>
        </w:div>
        <w:div w:id="667096016">
          <w:marLeft w:val="0"/>
          <w:marRight w:val="0"/>
          <w:marTop w:val="0"/>
          <w:marBottom w:val="0"/>
          <w:divBdr>
            <w:top w:val="none" w:sz="0" w:space="0" w:color="auto"/>
            <w:left w:val="none" w:sz="0" w:space="0" w:color="auto"/>
            <w:bottom w:val="none" w:sz="0" w:space="0" w:color="auto"/>
            <w:right w:val="none" w:sz="0" w:space="0" w:color="auto"/>
          </w:divBdr>
        </w:div>
        <w:div w:id="676270862">
          <w:marLeft w:val="0"/>
          <w:marRight w:val="0"/>
          <w:marTop w:val="0"/>
          <w:marBottom w:val="0"/>
          <w:divBdr>
            <w:top w:val="none" w:sz="0" w:space="0" w:color="auto"/>
            <w:left w:val="none" w:sz="0" w:space="0" w:color="auto"/>
            <w:bottom w:val="none" w:sz="0" w:space="0" w:color="auto"/>
            <w:right w:val="none" w:sz="0" w:space="0" w:color="auto"/>
          </w:divBdr>
        </w:div>
        <w:div w:id="769013081">
          <w:marLeft w:val="0"/>
          <w:marRight w:val="0"/>
          <w:marTop w:val="0"/>
          <w:marBottom w:val="0"/>
          <w:divBdr>
            <w:top w:val="none" w:sz="0" w:space="0" w:color="auto"/>
            <w:left w:val="none" w:sz="0" w:space="0" w:color="auto"/>
            <w:bottom w:val="none" w:sz="0" w:space="0" w:color="auto"/>
            <w:right w:val="none" w:sz="0" w:space="0" w:color="auto"/>
          </w:divBdr>
        </w:div>
        <w:div w:id="817301477">
          <w:marLeft w:val="0"/>
          <w:marRight w:val="0"/>
          <w:marTop w:val="0"/>
          <w:marBottom w:val="0"/>
          <w:divBdr>
            <w:top w:val="none" w:sz="0" w:space="0" w:color="auto"/>
            <w:left w:val="none" w:sz="0" w:space="0" w:color="auto"/>
            <w:bottom w:val="none" w:sz="0" w:space="0" w:color="auto"/>
            <w:right w:val="none" w:sz="0" w:space="0" w:color="auto"/>
          </w:divBdr>
        </w:div>
        <w:div w:id="859782232">
          <w:marLeft w:val="0"/>
          <w:marRight w:val="0"/>
          <w:marTop w:val="0"/>
          <w:marBottom w:val="0"/>
          <w:divBdr>
            <w:top w:val="none" w:sz="0" w:space="0" w:color="auto"/>
            <w:left w:val="none" w:sz="0" w:space="0" w:color="auto"/>
            <w:bottom w:val="none" w:sz="0" w:space="0" w:color="auto"/>
            <w:right w:val="none" w:sz="0" w:space="0" w:color="auto"/>
          </w:divBdr>
        </w:div>
        <w:div w:id="860125878">
          <w:marLeft w:val="0"/>
          <w:marRight w:val="0"/>
          <w:marTop w:val="0"/>
          <w:marBottom w:val="0"/>
          <w:divBdr>
            <w:top w:val="none" w:sz="0" w:space="0" w:color="auto"/>
            <w:left w:val="none" w:sz="0" w:space="0" w:color="auto"/>
            <w:bottom w:val="none" w:sz="0" w:space="0" w:color="auto"/>
            <w:right w:val="none" w:sz="0" w:space="0" w:color="auto"/>
          </w:divBdr>
        </w:div>
        <w:div w:id="927428613">
          <w:marLeft w:val="0"/>
          <w:marRight w:val="0"/>
          <w:marTop w:val="0"/>
          <w:marBottom w:val="0"/>
          <w:divBdr>
            <w:top w:val="none" w:sz="0" w:space="0" w:color="auto"/>
            <w:left w:val="none" w:sz="0" w:space="0" w:color="auto"/>
            <w:bottom w:val="none" w:sz="0" w:space="0" w:color="auto"/>
            <w:right w:val="none" w:sz="0" w:space="0" w:color="auto"/>
          </w:divBdr>
        </w:div>
        <w:div w:id="932862881">
          <w:marLeft w:val="0"/>
          <w:marRight w:val="0"/>
          <w:marTop w:val="0"/>
          <w:marBottom w:val="0"/>
          <w:divBdr>
            <w:top w:val="none" w:sz="0" w:space="0" w:color="auto"/>
            <w:left w:val="none" w:sz="0" w:space="0" w:color="auto"/>
            <w:bottom w:val="none" w:sz="0" w:space="0" w:color="auto"/>
            <w:right w:val="none" w:sz="0" w:space="0" w:color="auto"/>
          </w:divBdr>
        </w:div>
        <w:div w:id="972447910">
          <w:marLeft w:val="0"/>
          <w:marRight w:val="0"/>
          <w:marTop w:val="0"/>
          <w:marBottom w:val="0"/>
          <w:divBdr>
            <w:top w:val="none" w:sz="0" w:space="0" w:color="auto"/>
            <w:left w:val="none" w:sz="0" w:space="0" w:color="auto"/>
            <w:bottom w:val="none" w:sz="0" w:space="0" w:color="auto"/>
            <w:right w:val="none" w:sz="0" w:space="0" w:color="auto"/>
          </w:divBdr>
        </w:div>
        <w:div w:id="974719016">
          <w:marLeft w:val="0"/>
          <w:marRight w:val="0"/>
          <w:marTop w:val="0"/>
          <w:marBottom w:val="0"/>
          <w:divBdr>
            <w:top w:val="none" w:sz="0" w:space="0" w:color="auto"/>
            <w:left w:val="none" w:sz="0" w:space="0" w:color="auto"/>
            <w:bottom w:val="none" w:sz="0" w:space="0" w:color="auto"/>
            <w:right w:val="none" w:sz="0" w:space="0" w:color="auto"/>
          </w:divBdr>
        </w:div>
        <w:div w:id="1015380266">
          <w:marLeft w:val="0"/>
          <w:marRight w:val="0"/>
          <w:marTop w:val="0"/>
          <w:marBottom w:val="0"/>
          <w:divBdr>
            <w:top w:val="none" w:sz="0" w:space="0" w:color="auto"/>
            <w:left w:val="none" w:sz="0" w:space="0" w:color="auto"/>
            <w:bottom w:val="none" w:sz="0" w:space="0" w:color="auto"/>
            <w:right w:val="none" w:sz="0" w:space="0" w:color="auto"/>
          </w:divBdr>
        </w:div>
        <w:div w:id="1103502662">
          <w:marLeft w:val="0"/>
          <w:marRight w:val="0"/>
          <w:marTop w:val="0"/>
          <w:marBottom w:val="0"/>
          <w:divBdr>
            <w:top w:val="none" w:sz="0" w:space="0" w:color="auto"/>
            <w:left w:val="none" w:sz="0" w:space="0" w:color="auto"/>
            <w:bottom w:val="none" w:sz="0" w:space="0" w:color="auto"/>
            <w:right w:val="none" w:sz="0" w:space="0" w:color="auto"/>
          </w:divBdr>
        </w:div>
        <w:div w:id="1116021163">
          <w:marLeft w:val="0"/>
          <w:marRight w:val="0"/>
          <w:marTop w:val="0"/>
          <w:marBottom w:val="0"/>
          <w:divBdr>
            <w:top w:val="none" w:sz="0" w:space="0" w:color="auto"/>
            <w:left w:val="none" w:sz="0" w:space="0" w:color="auto"/>
            <w:bottom w:val="none" w:sz="0" w:space="0" w:color="auto"/>
            <w:right w:val="none" w:sz="0" w:space="0" w:color="auto"/>
          </w:divBdr>
        </w:div>
        <w:div w:id="1172136043">
          <w:marLeft w:val="0"/>
          <w:marRight w:val="0"/>
          <w:marTop w:val="0"/>
          <w:marBottom w:val="0"/>
          <w:divBdr>
            <w:top w:val="none" w:sz="0" w:space="0" w:color="auto"/>
            <w:left w:val="none" w:sz="0" w:space="0" w:color="auto"/>
            <w:bottom w:val="none" w:sz="0" w:space="0" w:color="auto"/>
            <w:right w:val="none" w:sz="0" w:space="0" w:color="auto"/>
          </w:divBdr>
        </w:div>
        <w:div w:id="1178228419">
          <w:marLeft w:val="0"/>
          <w:marRight w:val="0"/>
          <w:marTop w:val="0"/>
          <w:marBottom w:val="0"/>
          <w:divBdr>
            <w:top w:val="none" w:sz="0" w:space="0" w:color="auto"/>
            <w:left w:val="none" w:sz="0" w:space="0" w:color="auto"/>
            <w:bottom w:val="none" w:sz="0" w:space="0" w:color="auto"/>
            <w:right w:val="none" w:sz="0" w:space="0" w:color="auto"/>
          </w:divBdr>
        </w:div>
        <w:div w:id="1213811396">
          <w:marLeft w:val="0"/>
          <w:marRight w:val="0"/>
          <w:marTop w:val="0"/>
          <w:marBottom w:val="0"/>
          <w:divBdr>
            <w:top w:val="none" w:sz="0" w:space="0" w:color="auto"/>
            <w:left w:val="none" w:sz="0" w:space="0" w:color="auto"/>
            <w:bottom w:val="none" w:sz="0" w:space="0" w:color="auto"/>
            <w:right w:val="none" w:sz="0" w:space="0" w:color="auto"/>
          </w:divBdr>
        </w:div>
        <w:div w:id="1220703228">
          <w:marLeft w:val="0"/>
          <w:marRight w:val="0"/>
          <w:marTop w:val="0"/>
          <w:marBottom w:val="0"/>
          <w:divBdr>
            <w:top w:val="none" w:sz="0" w:space="0" w:color="auto"/>
            <w:left w:val="none" w:sz="0" w:space="0" w:color="auto"/>
            <w:bottom w:val="none" w:sz="0" w:space="0" w:color="auto"/>
            <w:right w:val="none" w:sz="0" w:space="0" w:color="auto"/>
          </w:divBdr>
        </w:div>
        <w:div w:id="1255284010">
          <w:marLeft w:val="0"/>
          <w:marRight w:val="0"/>
          <w:marTop w:val="0"/>
          <w:marBottom w:val="0"/>
          <w:divBdr>
            <w:top w:val="none" w:sz="0" w:space="0" w:color="auto"/>
            <w:left w:val="none" w:sz="0" w:space="0" w:color="auto"/>
            <w:bottom w:val="none" w:sz="0" w:space="0" w:color="auto"/>
            <w:right w:val="none" w:sz="0" w:space="0" w:color="auto"/>
          </w:divBdr>
        </w:div>
        <w:div w:id="1333022011">
          <w:marLeft w:val="0"/>
          <w:marRight w:val="0"/>
          <w:marTop w:val="0"/>
          <w:marBottom w:val="0"/>
          <w:divBdr>
            <w:top w:val="none" w:sz="0" w:space="0" w:color="auto"/>
            <w:left w:val="none" w:sz="0" w:space="0" w:color="auto"/>
            <w:bottom w:val="none" w:sz="0" w:space="0" w:color="auto"/>
            <w:right w:val="none" w:sz="0" w:space="0" w:color="auto"/>
          </w:divBdr>
        </w:div>
        <w:div w:id="1360424536">
          <w:marLeft w:val="0"/>
          <w:marRight w:val="0"/>
          <w:marTop w:val="0"/>
          <w:marBottom w:val="0"/>
          <w:divBdr>
            <w:top w:val="none" w:sz="0" w:space="0" w:color="auto"/>
            <w:left w:val="none" w:sz="0" w:space="0" w:color="auto"/>
            <w:bottom w:val="none" w:sz="0" w:space="0" w:color="auto"/>
            <w:right w:val="none" w:sz="0" w:space="0" w:color="auto"/>
          </w:divBdr>
        </w:div>
        <w:div w:id="1377507161">
          <w:marLeft w:val="0"/>
          <w:marRight w:val="0"/>
          <w:marTop w:val="0"/>
          <w:marBottom w:val="0"/>
          <w:divBdr>
            <w:top w:val="none" w:sz="0" w:space="0" w:color="auto"/>
            <w:left w:val="none" w:sz="0" w:space="0" w:color="auto"/>
            <w:bottom w:val="none" w:sz="0" w:space="0" w:color="auto"/>
            <w:right w:val="none" w:sz="0" w:space="0" w:color="auto"/>
          </w:divBdr>
        </w:div>
        <w:div w:id="1386640783">
          <w:marLeft w:val="0"/>
          <w:marRight w:val="0"/>
          <w:marTop w:val="0"/>
          <w:marBottom w:val="0"/>
          <w:divBdr>
            <w:top w:val="none" w:sz="0" w:space="0" w:color="auto"/>
            <w:left w:val="none" w:sz="0" w:space="0" w:color="auto"/>
            <w:bottom w:val="none" w:sz="0" w:space="0" w:color="auto"/>
            <w:right w:val="none" w:sz="0" w:space="0" w:color="auto"/>
          </w:divBdr>
        </w:div>
        <w:div w:id="1405834562">
          <w:marLeft w:val="0"/>
          <w:marRight w:val="0"/>
          <w:marTop w:val="0"/>
          <w:marBottom w:val="0"/>
          <w:divBdr>
            <w:top w:val="none" w:sz="0" w:space="0" w:color="auto"/>
            <w:left w:val="none" w:sz="0" w:space="0" w:color="auto"/>
            <w:bottom w:val="none" w:sz="0" w:space="0" w:color="auto"/>
            <w:right w:val="none" w:sz="0" w:space="0" w:color="auto"/>
          </w:divBdr>
        </w:div>
        <w:div w:id="1452746728">
          <w:marLeft w:val="0"/>
          <w:marRight w:val="0"/>
          <w:marTop w:val="0"/>
          <w:marBottom w:val="0"/>
          <w:divBdr>
            <w:top w:val="none" w:sz="0" w:space="0" w:color="auto"/>
            <w:left w:val="none" w:sz="0" w:space="0" w:color="auto"/>
            <w:bottom w:val="none" w:sz="0" w:space="0" w:color="auto"/>
            <w:right w:val="none" w:sz="0" w:space="0" w:color="auto"/>
          </w:divBdr>
        </w:div>
        <w:div w:id="1504583872">
          <w:marLeft w:val="0"/>
          <w:marRight w:val="0"/>
          <w:marTop w:val="0"/>
          <w:marBottom w:val="0"/>
          <w:divBdr>
            <w:top w:val="none" w:sz="0" w:space="0" w:color="auto"/>
            <w:left w:val="none" w:sz="0" w:space="0" w:color="auto"/>
            <w:bottom w:val="none" w:sz="0" w:space="0" w:color="auto"/>
            <w:right w:val="none" w:sz="0" w:space="0" w:color="auto"/>
          </w:divBdr>
        </w:div>
        <w:div w:id="1576284667">
          <w:marLeft w:val="0"/>
          <w:marRight w:val="0"/>
          <w:marTop w:val="0"/>
          <w:marBottom w:val="0"/>
          <w:divBdr>
            <w:top w:val="none" w:sz="0" w:space="0" w:color="auto"/>
            <w:left w:val="none" w:sz="0" w:space="0" w:color="auto"/>
            <w:bottom w:val="none" w:sz="0" w:space="0" w:color="auto"/>
            <w:right w:val="none" w:sz="0" w:space="0" w:color="auto"/>
          </w:divBdr>
        </w:div>
        <w:div w:id="1584530183">
          <w:marLeft w:val="0"/>
          <w:marRight w:val="0"/>
          <w:marTop w:val="0"/>
          <w:marBottom w:val="0"/>
          <w:divBdr>
            <w:top w:val="none" w:sz="0" w:space="0" w:color="auto"/>
            <w:left w:val="none" w:sz="0" w:space="0" w:color="auto"/>
            <w:bottom w:val="none" w:sz="0" w:space="0" w:color="auto"/>
            <w:right w:val="none" w:sz="0" w:space="0" w:color="auto"/>
          </w:divBdr>
        </w:div>
        <w:div w:id="1593856838">
          <w:marLeft w:val="0"/>
          <w:marRight w:val="0"/>
          <w:marTop w:val="0"/>
          <w:marBottom w:val="0"/>
          <w:divBdr>
            <w:top w:val="none" w:sz="0" w:space="0" w:color="auto"/>
            <w:left w:val="none" w:sz="0" w:space="0" w:color="auto"/>
            <w:bottom w:val="none" w:sz="0" w:space="0" w:color="auto"/>
            <w:right w:val="none" w:sz="0" w:space="0" w:color="auto"/>
          </w:divBdr>
        </w:div>
        <w:div w:id="1618680288">
          <w:marLeft w:val="0"/>
          <w:marRight w:val="0"/>
          <w:marTop w:val="0"/>
          <w:marBottom w:val="0"/>
          <w:divBdr>
            <w:top w:val="none" w:sz="0" w:space="0" w:color="auto"/>
            <w:left w:val="none" w:sz="0" w:space="0" w:color="auto"/>
            <w:bottom w:val="none" w:sz="0" w:space="0" w:color="auto"/>
            <w:right w:val="none" w:sz="0" w:space="0" w:color="auto"/>
          </w:divBdr>
        </w:div>
        <w:div w:id="1618827982">
          <w:marLeft w:val="0"/>
          <w:marRight w:val="0"/>
          <w:marTop w:val="0"/>
          <w:marBottom w:val="0"/>
          <w:divBdr>
            <w:top w:val="none" w:sz="0" w:space="0" w:color="auto"/>
            <w:left w:val="none" w:sz="0" w:space="0" w:color="auto"/>
            <w:bottom w:val="none" w:sz="0" w:space="0" w:color="auto"/>
            <w:right w:val="none" w:sz="0" w:space="0" w:color="auto"/>
          </w:divBdr>
        </w:div>
        <w:div w:id="1637298995">
          <w:marLeft w:val="0"/>
          <w:marRight w:val="0"/>
          <w:marTop w:val="0"/>
          <w:marBottom w:val="0"/>
          <w:divBdr>
            <w:top w:val="none" w:sz="0" w:space="0" w:color="auto"/>
            <w:left w:val="none" w:sz="0" w:space="0" w:color="auto"/>
            <w:bottom w:val="none" w:sz="0" w:space="0" w:color="auto"/>
            <w:right w:val="none" w:sz="0" w:space="0" w:color="auto"/>
          </w:divBdr>
        </w:div>
        <w:div w:id="1812942798">
          <w:marLeft w:val="0"/>
          <w:marRight w:val="0"/>
          <w:marTop w:val="0"/>
          <w:marBottom w:val="0"/>
          <w:divBdr>
            <w:top w:val="none" w:sz="0" w:space="0" w:color="auto"/>
            <w:left w:val="none" w:sz="0" w:space="0" w:color="auto"/>
            <w:bottom w:val="none" w:sz="0" w:space="0" w:color="auto"/>
            <w:right w:val="none" w:sz="0" w:space="0" w:color="auto"/>
          </w:divBdr>
        </w:div>
        <w:div w:id="1819150677">
          <w:marLeft w:val="0"/>
          <w:marRight w:val="0"/>
          <w:marTop w:val="0"/>
          <w:marBottom w:val="0"/>
          <w:divBdr>
            <w:top w:val="none" w:sz="0" w:space="0" w:color="auto"/>
            <w:left w:val="none" w:sz="0" w:space="0" w:color="auto"/>
            <w:bottom w:val="none" w:sz="0" w:space="0" w:color="auto"/>
            <w:right w:val="none" w:sz="0" w:space="0" w:color="auto"/>
          </w:divBdr>
        </w:div>
        <w:div w:id="1842157814">
          <w:marLeft w:val="0"/>
          <w:marRight w:val="0"/>
          <w:marTop w:val="0"/>
          <w:marBottom w:val="0"/>
          <w:divBdr>
            <w:top w:val="none" w:sz="0" w:space="0" w:color="auto"/>
            <w:left w:val="none" w:sz="0" w:space="0" w:color="auto"/>
            <w:bottom w:val="none" w:sz="0" w:space="0" w:color="auto"/>
            <w:right w:val="none" w:sz="0" w:space="0" w:color="auto"/>
          </w:divBdr>
        </w:div>
        <w:div w:id="1898856169">
          <w:marLeft w:val="0"/>
          <w:marRight w:val="0"/>
          <w:marTop w:val="0"/>
          <w:marBottom w:val="0"/>
          <w:divBdr>
            <w:top w:val="none" w:sz="0" w:space="0" w:color="auto"/>
            <w:left w:val="none" w:sz="0" w:space="0" w:color="auto"/>
            <w:bottom w:val="none" w:sz="0" w:space="0" w:color="auto"/>
            <w:right w:val="none" w:sz="0" w:space="0" w:color="auto"/>
          </w:divBdr>
        </w:div>
        <w:div w:id="1911840768">
          <w:marLeft w:val="0"/>
          <w:marRight w:val="0"/>
          <w:marTop w:val="0"/>
          <w:marBottom w:val="0"/>
          <w:divBdr>
            <w:top w:val="none" w:sz="0" w:space="0" w:color="auto"/>
            <w:left w:val="none" w:sz="0" w:space="0" w:color="auto"/>
            <w:bottom w:val="none" w:sz="0" w:space="0" w:color="auto"/>
            <w:right w:val="none" w:sz="0" w:space="0" w:color="auto"/>
          </w:divBdr>
        </w:div>
        <w:div w:id="1922985875">
          <w:marLeft w:val="0"/>
          <w:marRight w:val="0"/>
          <w:marTop w:val="0"/>
          <w:marBottom w:val="0"/>
          <w:divBdr>
            <w:top w:val="none" w:sz="0" w:space="0" w:color="auto"/>
            <w:left w:val="none" w:sz="0" w:space="0" w:color="auto"/>
            <w:bottom w:val="none" w:sz="0" w:space="0" w:color="auto"/>
            <w:right w:val="none" w:sz="0" w:space="0" w:color="auto"/>
          </w:divBdr>
        </w:div>
        <w:div w:id="1982299721">
          <w:marLeft w:val="0"/>
          <w:marRight w:val="0"/>
          <w:marTop w:val="0"/>
          <w:marBottom w:val="0"/>
          <w:divBdr>
            <w:top w:val="none" w:sz="0" w:space="0" w:color="auto"/>
            <w:left w:val="none" w:sz="0" w:space="0" w:color="auto"/>
            <w:bottom w:val="none" w:sz="0" w:space="0" w:color="auto"/>
            <w:right w:val="none" w:sz="0" w:space="0" w:color="auto"/>
          </w:divBdr>
        </w:div>
        <w:div w:id="2017610331">
          <w:marLeft w:val="0"/>
          <w:marRight w:val="0"/>
          <w:marTop w:val="0"/>
          <w:marBottom w:val="0"/>
          <w:divBdr>
            <w:top w:val="none" w:sz="0" w:space="0" w:color="auto"/>
            <w:left w:val="none" w:sz="0" w:space="0" w:color="auto"/>
            <w:bottom w:val="none" w:sz="0" w:space="0" w:color="auto"/>
            <w:right w:val="none" w:sz="0" w:space="0" w:color="auto"/>
          </w:divBdr>
        </w:div>
        <w:div w:id="2052606223">
          <w:marLeft w:val="0"/>
          <w:marRight w:val="0"/>
          <w:marTop w:val="0"/>
          <w:marBottom w:val="0"/>
          <w:divBdr>
            <w:top w:val="none" w:sz="0" w:space="0" w:color="auto"/>
            <w:left w:val="none" w:sz="0" w:space="0" w:color="auto"/>
            <w:bottom w:val="none" w:sz="0" w:space="0" w:color="auto"/>
            <w:right w:val="none" w:sz="0" w:space="0" w:color="auto"/>
          </w:divBdr>
        </w:div>
        <w:div w:id="2061899987">
          <w:marLeft w:val="0"/>
          <w:marRight w:val="0"/>
          <w:marTop w:val="0"/>
          <w:marBottom w:val="0"/>
          <w:divBdr>
            <w:top w:val="none" w:sz="0" w:space="0" w:color="auto"/>
            <w:left w:val="none" w:sz="0" w:space="0" w:color="auto"/>
            <w:bottom w:val="none" w:sz="0" w:space="0" w:color="auto"/>
            <w:right w:val="none" w:sz="0" w:space="0" w:color="auto"/>
          </w:divBdr>
        </w:div>
        <w:div w:id="2098135086">
          <w:marLeft w:val="0"/>
          <w:marRight w:val="0"/>
          <w:marTop w:val="0"/>
          <w:marBottom w:val="0"/>
          <w:divBdr>
            <w:top w:val="none" w:sz="0" w:space="0" w:color="auto"/>
            <w:left w:val="none" w:sz="0" w:space="0" w:color="auto"/>
            <w:bottom w:val="none" w:sz="0" w:space="0" w:color="auto"/>
            <w:right w:val="none" w:sz="0" w:space="0" w:color="auto"/>
          </w:divBdr>
        </w:div>
        <w:div w:id="2100445301">
          <w:marLeft w:val="0"/>
          <w:marRight w:val="0"/>
          <w:marTop w:val="0"/>
          <w:marBottom w:val="0"/>
          <w:divBdr>
            <w:top w:val="none" w:sz="0" w:space="0" w:color="auto"/>
            <w:left w:val="none" w:sz="0" w:space="0" w:color="auto"/>
            <w:bottom w:val="none" w:sz="0" w:space="0" w:color="auto"/>
            <w:right w:val="none" w:sz="0" w:space="0" w:color="auto"/>
          </w:divBdr>
        </w:div>
        <w:div w:id="2124886430">
          <w:marLeft w:val="0"/>
          <w:marRight w:val="0"/>
          <w:marTop w:val="0"/>
          <w:marBottom w:val="0"/>
          <w:divBdr>
            <w:top w:val="none" w:sz="0" w:space="0" w:color="auto"/>
            <w:left w:val="none" w:sz="0" w:space="0" w:color="auto"/>
            <w:bottom w:val="none" w:sz="0" w:space="0" w:color="auto"/>
            <w:right w:val="none" w:sz="0" w:space="0" w:color="auto"/>
          </w:divBdr>
        </w:div>
      </w:divsChild>
    </w:div>
    <w:div w:id="1910379928">
      <w:bodyDiv w:val="1"/>
      <w:marLeft w:val="0"/>
      <w:marRight w:val="0"/>
      <w:marTop w:val="0"/>
      <w:marBottom w:val="0"/>
      <w:divBdr>
        <w:top w:val="none" w:sz="0" w:space="0" w:color="auto"/>
        <w:left w:val="none" w:sz="0" w:space="0" w:color="auto"/>
        <w:bottom w:val="none" w:sz="0" w:space="0" w:color="auto"/>
        <w:right w:val="none" w:sz="0" w:space="0" w:color="auto"/>
      </w:divBdr>
      <w:divsChild>
        <w:div w:id="719327586">
          <w:marLeft w:val="0"/>
          <w:marRight w:val="0"/>
          <w:marTop w:val="0"/>
          <w:marBottom w:val="0"/>
          <w:divBdr>
            <w:top w:val="none" w:sz="0" w:space="0" w:color="auto"/>
            <w:left w:val="none" w:sz="0" w:space="0" w:color="auto"/>
            <w:bottom w:val="none" w:sz="0" w:space="0" w:color="auto"/>
            <w:right w:val="none" w:sz="0" w:space="0" w:color="auto"/>
          </w:divBdr>
          <w:divsChild>
            <w:div w:id="1971281537">
              <w:marLeft w:val="0"/>
              <w:marRight w:val="0"/>
              <w:marTop w:val="0"/>
              <w:marBottom w:val="0"/>
              <w:divBdr>
                <w:top w:val="single" w:sz="6" w:space="0" w:color="37383B"/>
                <w:left w:val="none" w:sz="0" w:space="0" w:color="37383B"/>
                <w:bottom w:val="none" w:sz="0" w:space="0" w:color="37383B"/>
                <w:right w:val="none" w:sz="0" w:space="0" w:color="37383B"/>
              </w:divBdr>
            </w:div>
            <w:div w:id="1976326677">
              <w:marLeft w:val="0"/>
              <w:marRight w:val="0"/>
              <w:marTop w:val="0"/>
              <w:marBottom w:val="0"/>
              <w:divBdr>
                <w:top w:val="none" w:sz="0" w:space="0" w:color="auto"/>
                <w:left w:val="none" w:sz="0" w:space="0" w:color="auto"/>
                <w:bottom w:val="none" w:sz="0" w:space="0" w:color="auto"/>
                <w:right w:val="none" w:sz="0" w:space="0" w:color="auto"/>
              </w:divBdr>
              <w:divsChild>
                <w:div w:id="673920861">
                  <w:marLeft w:val="0"/>
                  <w:marRight w:val="0"/>
                  <w:marTop w:val="0"/>
                  <w:marBottom w:val="0"/>
                  <w:divBdr>
                    <w:top w:val="none" w:sz="0" w:space="0" w:color="auto"/>
                    <w:left w:val="none" w:sz="0" w:space="0" w:color="auto"/>
                    <w:bottom w:val="none" w:sz="0" w:space="0" w:color="auto"/>
                    <w:right w:val="none" w:sz="0" w:space="0" w:color="auto"/>
                  </w:divBdr>
                  <w:divsChild>
                    <w:div w:id="1505899428">
                      <w:marLeft w:val="0"/>
                      <w:marRight w:val="0"/>
                      <w:marTop w:val="0"/>
                      <w:marBottom w:val="0"/>
                      <w:divBdr>
                        <w:top w:val="none" w:sz="0" w:space="0" w:color="auto"/>
                        <w:left w:val="single" w:sz="6" w:space="0" w:color="CCCCCC"/>
                        <w:bottom w:val="single" w:sz="6" w:space="0" w:color="CCCCCC"/>
                        <w:right w:val="single" w:sz="6" w:space="0" w:color="CCCCCC"/>
                      </w:divBdr>
                      <w:divsChild>
                        <w:div w:id="4678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367797">
      <w:bodyDiv w:val="1"/>
      <w:marLeft w:val="0"/>
      <w:marRight w:val="0"/>
      <w:marTop w:val="0"/>
      <w:marBottom w:val="0"/>
      <w:divBdr>
        <w:top w:val="none" w:sz="0" w:space="0" w:color="auto"/>
        <w:left w:val="none" w:sz="0" w:space="0" w:color="auto"/>
        <w:bottom w:val="none" w:sz="0" w:space="0" w:color="auto"/>
        <w:right w:val="none" w:sz="0" w:space="0" w:color="auto"/>
      </w:divBdr>
    </w:div>
    <w:div w:id="1968466409">
      <w:bodyDiv w:val="1"/>
      <w:marLeft w:val="0"/>
      <w:marRight w:val="0"/>
      <w:marTop w:val="0"/>
      <w:marBottom w:val="0"/>
      <w:divBdr>
        <w:top w:val="none" w:sz="0" w:space="0" w:color="auto"/>
        <w:left w:val="none" w:sz="0" w:space="0" w:color="auto"/>
        <w:bottom w:val="none" w:sz="0" w:space="0" w:color="auto"/>
        <w:right w:val="none" w:sz="0" w:space="0" w:color="auto"/>
      </w:divBdr>
    </w:div>
    <w:div w:id="1991472072">
      <w:bodyDiv w:val="1"/>
      <w:marLeft w:val="0"/>
      <w:marRight w:val="0"/>
      <w:marTop w:val="0"/>
      <w:marBottom w:val="0"/>
      <w:divBdr>
        <w:top w:val="none" w:sz="0" w:space="0" w:color="auto"/>
        <w:left w:val="none" w:sz="0" w:space="0" w:color="auto"/>
        <w:bottom w:val="none" w:sz="0" w:space="0" w:color="auto"/>
        <w:right w:val="none" w:sz="0" w:space="0" w:color="auto"/>
      </w:divBdr>
    </w:div>
    <w:div w:id="1992245276">
      <w:bodyDiv w:val="1"/>
      <w:marLeft w:val="0"/>
      <w:marRight w:val="0"/>
      <w:marTop w:val="0"/>
      <w:marBottom w:val="0"/>
      <w:divBdr>
        <w:top w:val="none" w:sz="0" w:space="0" w:color="auto"/>
        <w:left w:val="none" w:sz="0" w:space="0" w:color="auto"/>
        <w:bottom w:val="none" w:sz="0" w:space="0" w:color="auto"/>
        <w:right w:val="none" w:sz="0" w:space="0" w:color="auto"/>
      </w:divBdr>
      <w:divsChild>
        <w:div w:id="983777741">
          <w:marLeft w:val="0"/>
          <w:marRight w:val="0"/>
          <w:marTop w:val="0"/>
          <w:marBottom w:val="0"/>
          <w:divBdr>
            <w:top w:val="none" w:sz="0" w:space="0" w:color="auto"/>
            <w:left w:val="none" w:sz="0" w:space="0" w:color="auto"/>
            <w:bottom w:val="none" w:sz="0" w:space="0" w:color="auto"/>
            <w:right w:val="none" w:sz="0" w:space="0" w:color="auto"/>
          </w:divBdr>
          <w:divsChild>
            <w:div w:id="1585871305">
              <w:marLeft w:val="0"/>
              <w:marRight w:val="0"/>
              <w:marTop w:val="0"/>
              <w:marBottom w:val="0"/>
              <w:divBdr>
                <w:top w:val="none" w:sz="0" w:space="0" w:color="auto"/>
                <w:left w:val="none" w:sz="0" w:space="0" w:color="auto"/>
                <w:bottom w:val="none" w:sz="0" w:space="0" w:color="auto"/>
                <w:right w:val="none" w:sz="0" w:space="0" w:color="auto"/>
              </w:divBdr>
              <w:divsChild>
                <w:div w:id="15028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83269">
      <w:bodyDiv w:val="1"/>
      <w:marLeft w:val="0"/>
      <w:marRight w:val="0"/>
      <w:marTop w:val="0"/>
      <w:marBottom w:val="0"/>
      <w:divBdr>
        <w:top w:val="none" w:sz="0" w:space="0" w:color="auto"/>
        <w:left w:val="none" w:sz="0" w:space="0" w:color="auto"/>
        <w:bottom w:val="none" w:sz="0" w:space="0" w:color="auto"/>
        <w:right w:val="none" w:sz="0" w:space="0" w:color="auto"/>
      </w:divBdr>
      <w:divsChild>
        <w:div w:id="2111390851">
          <w:marLeft w:val="0"/>
          <w:marRight w:val="0"/>
          <w:marTop w:val="0"/>
          <w:marBottom w:val="0"/>
          <w:divBdr>
            <w:top w:val="none" w:sz="0" w:space="0" w:color="auto"/>
            <w:left w:val="none" w:sz="0" w:space="0" w:color="auto"/>
            <w:bottom w:val="none" w:sz="0" w:space="0" w:color="auto"/>
            <w:right w:val="none" w:sz="0" w:space="0" w:color="auto"/>
          </w:divBdr>
          <w:divsChild>
            <w:div w:id="1473063785">
              <w:marLeft w:val="0"/>
              <w:marRight w:val="0"/>
              <w:marTop w:val="0"/>
              <w:marBottom w:val="0"/>
              <w:divBdr>
                <w:top w:val="none" w:sz="0" w:space="0" w:color="auto"/>
                <w:left w:val="none" w:sz="0" w:space="0" w:color="auto"/>
                <w:bottom w:val="none" w:sz="0" w:space="0" w:color="auto"/>
                <w:right w:val="none" w:sz="0" w:space="0" w:color="auto"/>
              </w:divBdr>
              <w:divsChild>
                <w:div w:id="1109740655">
                  <w:marLeft w:val="0"/>
                  <w:marRight w:val="0"/>
                  <w:marTop w:val="0"/>
                  <w:marBottom w:val="0"/>
                  <w:divBdr>
                    <w:top w:val="none" w:sz="0" w:space="0" w:color="auto"/>
                    <w:left w:val="none" w:sz="0" w:space="0" w:color="auto"/>
                    <w:bottom w:val="none" w:sz="0" w:space="0" w:color="auto"/>
                    <w:right w:val="none" w:sz="0" w:space="0" w:color="auto"/>
                  </w:divBdr>
                  <w:divsChild>
                    <w:div w:id="90204219">
                      <w:marLeft w:val="0"/>
                      <w:marRight w:val="0"/>
                      <w:marTop w:val="0"/>
                      <w:marBottom w:val="0"/>
                      <w:divBdr>
                        <w:top w:val="none" w:sz="0" w:space="0" w:color="auto"/>
                        <w:left w:val="none" w:sz="0" w:space="0" w:color="auto"/>
                        <w:bottom w:val="none" w:sz="0" w:space="0" w:color="auto"/>
                        <w:right w:val="none" w:sz="0" w:space="0" w:color="auto"/>
                      </w:divBdr>
                      <w:divsChild>
                        <w:div w:id="2631212">
                          <w:marLeft w:val="0"/>
                          <w:marRight w:val="0"/>
                          <w:marTop w:val="0"/>
                          <w:marBottom w:val="0"/>
                          <w:divBdr>
                            <w:top w:val="none" w:sz="0" w:space="0" w:color="auto"/>
                            <w:left w:val="none" w:sz="0" w:space="0" w:color="auto"/>
                            <w:bottom w:val="none" w:sz="0" w:space="0" w:color="auto"/>
                            <w:right w:val="none" w:sz="0" w:space="0" w:color="auto"/>
                          </w:divBdr>
                        </w:div>
                      </w:divsChild>
                    </w:div>
                    <w:div w:id="582419606">
                      <w:marLeft w:val="0"/>
                      <w:marRight w:val="0"/>
                      <w:marTop w:val="0"/>
                      <w:marBottom w:val="0"/>
                      <w:divBdr>
                        <w:top w:val="none" w:sz="0" w:space="0" w:color="auto"/>
                        <w:left w:val="none" w:sz="0" w:space="0" w:color="auto"/>
                        <w:bottom w:val="none" w:sz="0" w:space="0" w:color="auto"/>
                        <w:right w:val="none" w:sz="0" w:space="0" w:color="auto"/>
                      </w:divBdr>
                      <w:divsChild>
                        <w:div w:id="1737625969">
                          <w:marLeft w:val="0"/>
                          <w:marRight w:val="0"/>
                          <w:marTop w:val="0"/>
                          <w:marBottom w:val="0"/>
                          <w:divBdr>
                            <w:top w:val="none" w:sz="0" w:space="0" w:color="auto"/>
                            <w:left w:val="none" w:sz="0" w:space="0" w:color="auto"/>
                            <w:bottom w:val="none" w:sz="0" w:space="0" w:color="auto"/>
                            <w:right w:val="none" w:sz="0" w:space="0" w:color="auto"/>
                          </w:divBdr>
                          <w:divsChild>
                            <w:div w:id="1867718030">
                              <w:marLeft w:val="0"/>
                              <w:marRight w:val="0"/>
                              <w:marTop w:val="0"/>
                              <w:marBottom w:val="0"/>
                              <w:divBdr>
                                <w:top w:val="none" w:sz="0" w:space="0" w:color="auto"/>
                                <w:left w:val="none" w:sz="0" w:space="0" w:color="auto"/>
                                <w:bottom w:val="none" w:sz="0" w:space="0" w:color="auto"/>
                                <w:right w:val="none" w:sz="0" w:space="0" w:color="auto"/>
                              </w:divBdr>
                              <w:divsChild>
                                <w:div w:id="491868736">
                                  <w:marLeft w:val="0"/>
                                  <w:marRight w:val="0"/>
                                  <w:marTop w:val="0"/>
                                  <w:marBottom w:val="0"/>
                                  <w:divBdr>
                                    <w:top w:val="none" w:sz="0" w:space="0" w:color="auto"/>
                                    <w:left w:val="none" w:sz="0" w:space="0" w:color="auto"/>
                                    <w:bottom w:val="none" w:sz="0" w:space="0" w:color="auto"/>
                                    <w:right w:val="none" w:sz="0" w:space="0" w:color="auto"/>
                                  </w:divBdr>
                                  <w:divsChild>
                                    <w:div w:id="2468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69423">
      <w:bodyDiv w:val="1"/>
      <w:marLeft w:val="0"/>
      <w:marRight w:val="0"/>
      <w:marTop w:val="0"/>
      <w:marBottom w:val="0"/>
      <w:divBdr>
        <w:top w:val="none" w:sz="0" w:space="0" w:color="auto"/>
        <w:left w:val="none" w:sz="0" w:space="0" w:color="auto"/>
        <w:bottom w:val="none" w:sz="0" w:space="0" w:color="auto"/>
        <w:right w:val="none" w:sz="0" w:space="0" w:color="auto"/>
      </w:divBdr>
      <w:divsChild>
        <w:div w:id="51851070">
          <w:marLeft w:val="0"/>
          <w:marRight w:val="0"/>
          <w:marTop w:val="0"/>
          <w:marBottom w:val="0"/>
          <w:divBdr>
            <w:top w:val="none" w:sz="0" w:space="0" w:color="auto"/>
            <w:left w:val="none" w:sz="0" w:space="0" w:color="auto"/>
            <w:bottom w:val="none" w:sz="0" w:space="0" w:color="auto"/>
            <w:right w:val="none" w:sz="0" w:space="0" w:color="auto"/>
          </w:divBdr>
          <w:divsChild>
            <w:div w:id="1861969493">
              <w:marLeft w:val="0"/>
              <w:marRight w:val="0"/>
              <w:marTop w:val="0"/>
              <w:marBottom w:val="0"/>
              <w:divBdr>
                <w:top w:val="none" w:sz="0" w:space="0" w:color="auto"/>
                <w:left w:val="none" w:sz="0" w:space="0" w:color="auto"/>
                <w:bottom w:val="none" w:sz="0" w:space="0" w:color="auto"/>
                <w:right w:val="none" w:sz="0" w:space="0" w:color="auto"/>
              </w:divBdr>
              <w:divsChild>
                <w:div w:id="1666743010">
                  <w:marLeft w:val="0"/>
                  <w:marRight w:val="0"/>
                  <w:marTop w:val="0"/>
                  <w:marBottom w:val="0"/>
                  <w:divBdr>
                    <w:top w:val="none" w:sz="0" w:space="0" w:color="auto"/>
                    <w:left w:val="none" w:sz="0" w:space="0" w:color="auto"/>
                    <w:bottom w:val="none" w:sz="0" w:space="0" w:color="auto"/>
                    <w:right w:val="none" w:sz="0" w:space="0" w:color="auto"/>
                  </w:divBdr>
                  <w:divsChild>
                    <w:div w:id="313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6056">
          <w:marLeft w:val="0"/>
          <w:marRight w:val="0"/>
          <w:marTop w:val="0"/>
          <w:marBottom w:val="0"/>
          <w:divBdr>
            <w:top w:val="none" w:sz="0" w:space="0" w:color="auto"/>
            <w:left w:val="none" w:sz="0" w:space="0" w:color="auto"/>
            <w:bottom w:val="none" w:sz="0" w:space="0" w:color="auto"/>
            <w:right w:val="none" w:sz="0" w:space="0" w:color="auto"/>
          </w:divBdr>
          <w:divsChild>
            <w:div w:id="577863348">
              <w:marLeft w:val="0"/>
              <w:marRight w:val="0"/>
              <w:marTop w:val="0"/>
              <w:marBottom w:val="0"/>
              <w:divBdr>
                <w:top w:val="none" w:sz="0" w:space="0" w:color="auto"/>
                <w:left w:val="none" w:sz="0" w:space="0" w:color="auto"/>
                <w:bottom w:val="none" w:sz="0" w:space="0" w:color="auto"/>
                <w:right w:val="none" w:sz="0" w:space="0" w:color="auto"/>
              </w:divBdr>
              <w:divsChild>
                <w:div w:id="970403827">
                  <w:marLeft w:val="0"/>
                  <w:marRight w:val="0"/>
                  <w:marTop w:val="0"/>
                  <w:marBottom w:val="0"/>
                  <w:divBdr>
                    <w:top w:val="none" w:sz="0" w:space="0" w:color="auto"/>
                    <w:left w:val="none" w:sz="0" w:space="0" w:color="auto"/>
                    <w:bottom w:val="none" w:sz="0" w:space="0" w:color="auto"/>
                    <w:right w:val="none" w:sz="0" w:space="0" w:color="auto"/>
                  </w:divBdr>
                  <w:divsChild>
                    <w:div w:id="7873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040600">
      <w:bodyDiv w:val="1"/>
      <w:marLeft w:val="0"/>
      <w:marRight w:val="0"/>
      <w:marTop w:val="0"/>
      <w:marBottom w:val="0"/>
      <w:divBdr>
        <w:top w:val="none" w:sz="0" w:space="0" w:color="auto"/>
        <w:left w:val="none" w:sz="0" w:space="0" w:color="auto"/>
        <w:bottom w:val="none" w:sz="0" w:space="0" w:color="auto"/>
        <w:right w:val="none" w:sz="0" w:space="0" w:color="auto"/>
      </w:divBdr>
    </w:div>
    <w:div w:id="2103332811">
      <w:bodyDiv w:val="1"/>
      <w:marLeft w:val="0"/>
      <w:marRight w:val="0"/>
      <w:marTop w:val="0"/>
      <w:marBottom w:val="0"/>
      <w:divBdr>
        <w:top w:val="none" w:sz="0" w:space="0" w:color="auto"/>
        <w:left w:val="none" w:sz="0" w:space="0" w:color="auto"/>
        <w:bottom w:val="none" w:sz="0" w:space="0" w:color="auto"/>
        <w:right w:val="none" w:sz="0" w:space="0" w:color="auto"/>
      </w:divBdr>
    </w:div>
    <w:div w:id="21246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pra.ub.uni-muenchen.de/4709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jstor.org/stable/41790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BA800-09D3-467F-87F1-803C86AF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12</Pages>
  <Words>5030</Words>
  <Characters>28674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chefsandeep.singh4@outlook.com</dc:creator>
  <cp:keywords/>
  <dc:description/>
  <cp:lastModifiedBy>SDI 1084</cp:lastModifiedBy>
  <cp:revision>13</cp:revision>
  <dcterms:created xsi:type="dcterms:W3CDTF">2025-10-05T11:55:00Z</dcterms:created>
  <dcterms:modified xsi:type="dcterms:W3CDTF">2025-10-14T07:28:00Z</dcterms:modified>
</cp:coreProperties>
</file>