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AC72F" w14:textId="23549D30" w:rsidR="008A748D" w:rsidRPr="00CE4093" w:rsidRDefault="008A748D" w:rsidP="001E53CE">
      <w:pPr>
        <w:jc w:val="center"/>
        <w:rPr>
          <w:rFonts w:ascii="Arial" w:eastAsia="Times New Roman" w:hAnsi="Arial" w:cs="Arial"/>
          <w:b/>
          <w:iCs/>
          <w:kern w:val="28"/>
          <w:sz w:val="36"/>
          <w:szCs w:val="20"/>
        </w:rPr>
      </w:pPr>
      <w:r w:rsidRPr="00CE4093">
        <w:rPr>
          <w:rFonts w:ascii="Arial" w:eastAsia="Times New Roman" w:hAnsi="Arial" w:cs="Arial"/>
          <w:b/>
          <w:iCs/>
          <w:kern w:val="28"/>
          <w:sz w:val="36"/>
          <w:szCs w:val="20"/>
        </w:rPr>
        <w:t xml:space="preserve">Alternative Dispute Resolution Mechanisms </w:t>
      </w:r>
      <w:r w:rsidR="00CE4093" w:rsidRPr="00CE4093">
        <w:rPr>
          <w:rFonts w:ascii="Arial" w:eastAsia="Times New Roman" w:hAnsi="Arial" w:cs="Arial"/>
          <w:b/>
          <w:iCs/>
          <w:kern w:val="28"/>
          <w:sz w:val="36"/>
          <w:szCs w:val="20"/>
        </w:rPr>
        <w:t>a</w:t>
      </w:r>
      <w:r w:rsidRPr="00CE4093">
        <w:rPr>
          <w:rFonts w:ascii="Arial" w:eastAsia="Times New Roman" w:hAnsi="Arial" w:cs="Arial"/>
          <w:b/>
          <w:iCs/>
          <w:kern w:val="28"/>
          <w:sz w:val="36"/>
          <w:szCs w:val="20"/>
        </w:rPr>
        <w:t xml:space="preserve">nd Tax </w:t>
      </w:r>
      <w:r w:rsidR="00073DD4" w:rsidRPr="00CE4093">
        <w:rPr>
          <w:rFonts w:ascii="Arial" w:eastAsia="Times New Roman" w:hAnsi="Arial" w:cs="Arial"/>
          <w:b/>
          <w:iCs/>
          <w:kern w:val="28"/>
          <w:sz w:val="36"/>
          <w:szCs w:val="20"/>
        </w:rPr>
        <w:t>Compliance</w:t>
      </w:r>
      <w:r w:rsidR="00C51D4D">
        <w:rPr>
          <w:rFonts w:ascii="Arial" w:eastAsia="Times New Roman" w:hAnsi="Arial" w:cs="Arial"/>
          <w:b/>
          <w:iCs/>
          <w:kern w:val="28"/>
          <w:sz w:val="36"/>
          <w:szCs w:val="20"/>
        </w:rPr>
        <w:t>:</w:t>
      </w:r>
      <w:r w:rsidR="00073DD4" w:rsidRPr="00CE4093">
        <w:rPr>
          <w:rFonts w:ascii="Arial" w:eastAsia="Times New Roman" w:hAnsi="Arial" w:cs="Arial"/>
          <w:b/>
          <w:iCs/>
          <w:kern w:val="28"/>
          <w:sz w:val="36"/>
          <w:szCs w:val="20"/>
        </w:rPr>
        <w:t xml:space="preserve"> The</w:t>
      </w:r>
      <w:r w:rsidR="00CE4093" w:rsidRPr="00CE4093">
        <w:rPr>
          <w:rFonts w:ascii="Arial" w:eastAsia="Times New Roman" w:hAnsi="Arial" w:cs="Arial"/>
          <w:b/>
          <w:iCs/>
          <w:kern w:val="28"/>
          <w:sz w:val="36"/>
          <w:szCs w:val="20"/>
        </w:rPr>
        <w:t xml:space="preserve"> Moderating Role of Taxpayer Education</w:t>
      </w:r>
    </w:p>
    <w:p w14:paraId="28829C8E" w14:textId="5A498E1E" w:rsidR="00032A45" w:rsidRDefault="00032A45" w:rsidP="008A748D">
      <w:pPr>
        <w:spacing w:after="0" w:line="240" w:lineRule="auto"/>
        <w:rPr>
          <w:rFonts w:ascii="Arial" w:eastAsia="Times New Roman" w:hAnsi="Arial" w:cs="Arial"/>
          <w:b/>
          <w:caps/>
          <w:szCs w:val="20"/>
        </w:rPr>
      </w:pPr>
    </w:p>
    <w:p w14:paraId="52DDF69B" w14:textId="77777777" w:rsidR="009945E7" w:rsidRDefault="009945E7" w:rsidP="008A748D">
      <w:pPr>
        <w:spacing w:after="0" w:line="240" w:lineRule="auto"/>
        <w:rPr>
          <w:rFonts w:ascii="Arial" w:eastAsia="Times New Roman" w:hAnsi="Arial" w:cs="Arial"/>
          <w:b/>
          <w:caps/>
          <w:szCs w:val="20"/>
        </w:rPr>
      </w:pPr>
    </w:p>
    <w:p w14:paraId="578652BB"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7"/>
      </w:tblGrid>
      <w:tr w:rsidR="004D63F6" w:rsidRPr="004D63F6" w14:paraId="397E588A" w14:textId="77777777" w:rsidTr="006A5A50">
        <w:trPr>
          <w:trHeight w:val="4427"/>
        </w:trPr>
        <w:tc>
          <w:tcPr>
            <w:tcW w:w="9166" w:type="dxa"/>
            <w:shd w:val="clear" w:color="auto" w:fill="F2F2F2"/>
          </w:tcPr>
          <w:p w14:paraId="5720B755" w14:textId="77777777" w:rsidR="004D63F6" w:rsidRPr="004D63F6" w:rsidRDefault="004D63F6" w:rsidP="004D63F6">
            <w:pPr>
              <w:spacing w:after="0" w:line="240" w:lineRule="auto"/>
              <w:jc w:val="both"/>
              <w:rPr>
                <w:rFonts w:ascii="Arial" w:eastAsia="Calibri" w:hAnsi="Arial" w:cs="Arial"/>
                <w:b/>
                <w:sz w:val="20"/>
              </w:rPr>
            </w:pPr>
          </w:p>
          <w:p w14:paraId="1D262B32" w14:textId="77777777" w:rsidR="004D63F6" w:rsidRDefault="004D63F6" w:rsidP="00133BC6">
            <w:pPr>
              <w:spacing w:after="0"/>
              <w:jc w:val="both"/>
              <w:rPr>
                <w:rFonts w:ascii="Arial" w:eastAsia="Calibri" w:hAnsi="Arial" w:cs="Arial"/>
                <w:sz w:val="20"/>
              </w:rPr>
            </w:pPr>
            <w:r w:rsidRPr="004D63F6">
              <w:rPr>
                <w:rFonts w:ascii="Arial" w:eastAsia="Calibri" w:hAnsi="Arial" w:cs="Arial"/>
                <w:b/>
                <w:sz w:val="20"/>
              </w:rPr>
              <w:t xml:space="preserve">Aims: </w:t>
            </w:r>
            <w:r w:rsidR="004B5858" w:rsidRPr="00133BC6">
              <w:rPr>
                <w:rFonts w:ascii="Arial" w:eastAsia="Calibri" w:hAnsi="Arial" w:cs="Arial"/>
                <w:sz w:val="20"/>
              </w:rPr>
              <w:t>Th</w:t>
            </w:r>
            <w:r w:rsidR="004B5858">
              <w:rPr>
                <w:rFonts w:ascii="Arial" w:eastAsia="Calibri" w:hAnsi="Arial" w:cs="Arial"/>
                <w:sz w:val="20"/>
              </w:rPr>
              <w:t>is research</w:t>
            </w:r>
            <w:r w:rsidR="004B5858" w:rsidRPr="00133BC6">
              <w:rPr>
                <w:rFonts w:ascii="Arial" w:eastAsia="Calibri" w:hAnsi="Arial" w:cs="Arial"/>
                <w:sz w:val="20"/>
              </w:rPr>
              <w:t xml:space="preserve"> sought to determine the moderating role of taxpayer education on the relationship between Alternative Dispute Resolution mechanisms</w:t>
            </w:r>
            <w:r w:rsidR="004B5858">
              <w:rPr>
                <w:rFonts w:ascii="Arial" w:eastAsia="Calibri" w:hAnsi="Arial" w:cs="Arial"/>
                <w:sz w:val="20"/>
              </w:rPr>
              <w:t xml:space="preserve"> (</w:t>
            </w:r>
            <w:r w:rsidR="004B5858" w:rsidRPr="00133BC6">
              <w:rPr>
                <w:rFonts w:ascii="Arial" w:eastAsia="Calibri" w:hAnsi="Arial" w:cs="Arial"/>
                <w:sz w:val="20"/>
              </w:rPr>
              <w:t>mediation, arbitration, and Early Neutral Evaluation</w:t>
            </w:r>
            <w:r w:rsidR="004B5858">
              <w:rPr>
                <w:rFonts w:ascii="Arial" w:eastAsia="Calibri" w:hAnsi="Arial" w:cs="Arial"/>
                <w:sz w:val="20"/>
              </w:rPr>
              <w:t xml:space="preserve">), </w:t>
            </w:r>
            <w:r w:rsidR="004B5858" w:rsidRPr="00133BC6">
              <w:rPr>
                <w:rFonts w:ascii="Arial" w:eastAsia="Calibri" w:hAnsi="Arial" w:cs="Arial"/>
                <w:sz w:val="20"/>
              </w:rPr>
              <w:t>and tax compliance</w:t>
            </w:r>
            <w:r w:rsidR="004B5858">
              <w:rPr>
                <w:rFonts w:ascii="Arial" w:eastAsia="Calibri" w:hAnsi="Arial" w:cs="Arial"/>
                <w:sz w:val="20"/>
              </w:rPr>
              <w:t xml:space="preserve">. </w:t>
            </w:r>
          </w:p>
          <w:p w14:paraId="5C53E58B" w14:textId="77777777" w:rsidR="00617D0B" w:rsidRPr="004D63F6" w:rsidRDefault="00617D0B" w:rsidP="004D63F6">
            <w:pPr>
              <w:spacing w:after="0" w:line="240" w:lineRule="auto"/>
              <w:jc w:val="both"/>
              <w:rPr>
                <w:rFonts w:ascii="Arial" w:eastAsia="Calibri" w:hAnsi="Arial" w:cs="Arial"/>
                <w:sz w:val="20"/>
              </w:rPr>
            </w:pPr>
          </w:p>
          <w:p w14:paraId="1999F12C" w14:textId="77777777" w:rsidR="004D63F6" w:rsidRPr="004D63F6" w:rsidRDefault="004D63F6" w:rsidP="00133BC6">
            <w:pPr>
              <w:spacing w:after="240"/>
              <w:jc w:val="both"/>
              <w:rPr>
                <w:rFonts w:ascii="Arial" w:eastAsia="Calibri" w:hAnsi="Arial" w:cs="Arial"/>
                <w:sz w:val="20"/>
              </w:rPr>
            </w:pPr>
            <w:r w:rsidRPr="004D63F6">
              <w:rPr>
                <w:rFonts w:ascii="Arial" w:eastAsia="Calibri" w:hAnsi="Arial" w:cs="Arial"/>
                <w:b/>
                <w:sz w:val="20"/>
              </w:rPr>
              <w:t>Study design/ Methodology:</w:t>
            </w:r>
            <w:r w:rsidR="0060393E">
              <w:rPr>
                <w:rFonts w:ascii="Arial" w:eastAsia="Calibri" w:hAnsi="Arial" w:cs="Arial"/>
                <w:b/>
                <w:sz w:val="20"/>
              </w:rPr>
              <w:t xml:space="preserve"> </w:t>
            </w:r>
            <w:r w:rsidR="004B5858">
              <w:rPr>
                <w:rFonts w:ascii="Arial" w:eastAsia="Calibri" w:hAnsi="Arial" w:cs="Arial"/>
                <w:sz w:val="20"/>
              </w:rPr>
              <w:t>T</w:t>
            </w:r>
            <w:r w:rsidR="00133BC6" w:rsidRPr="00133BC6">
              <w:rPr>
                <w:rFonts w:ascii="Arial" w:eastAsia="Calibri" w:hAnsi="Arial" w:cs="Arial"/>
                <w:sz w:val="20"/>
              </w:rPr>
              <w:t xml:space="preserve">he </w:t>
            </w:r>
            <w:r w:rsidR="0060393E">
              <w:rPr>
                <w:rFonts w:ascii="Arial" w:eastAsia="Calibri" w:hAnsi="Arial" w:cs="Arial"/>
                <w:sz w:val="20"/>
              </w:rPr>
              <w:t>research</w:t>
            </w:r>
            <w:r w:rsidR="00133BC6" w:rsidRPr="00133BC6">
              <w:rPr>
                <w:rFonts w:ascii="Arial" w:eastAsia="Calibri" w:hAnsi="Arial" w:cs="Arial"/>
                <w:sz w:val="20"/>
              </w:rPr>
              <w:t xml:space="preserve"> used an explanatory design</w:t>
            </w:r>
            <w:r w:rsidR="0060393E">
              <w:rPr>
                <w:rFonts w:ascii="Arial" w:eastAsia="Calibri" w:hAnsi="Arial" w:cs="Arial"/>
                <w:sz w:val="20"/>
              </w:rPr>
              <w:t>, where</w:t>
            </w:r>
            <w:r w:rsidR="00133BC6" w:rsidRPr="00133BC6">
              <w:rPr>
                <w:rFonts w:ascii="Arial" w:eastAsia="Calibri" w:hAnsi="Arial" w:cs="Arial"/>
                <w:sz w:val="20"/>
              </w:rPr>
              <w:t xml:space="preserve"> </w:t>
            </w:r>
            <w:r w:rsidR="0060393E" w:rsidRPr="00133BC6">
              <w:rPr>
                <w:rFonts w:ascii="Arial" w:eastAsia="Calibri" w:hAnsi="Arial" w:cs="Arial"/>
                <w:sz w:val="20"/>
              </w:rPr>
              <w:t>questionnaires</w:t>
            </w:r>
            <w:r w:rsidR="0060393E">
              <w:rPr>
                <w:rFonts w:ascii="Arial" w:eastAsia="Calibri" w:hAnsi="Arial" w:cs="Arial"/>
                <w:sz w:val="20"/>
              </w:rPr>
              <w:t xml:space="preserve"> </w:t>
            </w:r>
            <w:r w:rsidR="0060393E" w:rsidRPr="00133BC6">
              <w:rPr>
                <w:rFonts w:ascii="Arial" w:eastAsia="Calibri" w:hAnsi="Arial" w:cs="Arial"/>
                <w:sz w:val="20"/>
              </w:rPr>
              <w:t>collected</w:t>
            </w:r>
            <w:r w:rsidR="00133BC6" w:rsidRPr="00133BC6">
              <w:rPr>
                <w:rFonts w:ascii="Arial" w:eastAsia="Calibri" w:hAnsi="Arial" w:cs="Arial"/>
                <w:sz w:val="20"/>
              </w:rPr>
              <w:t xml:space="preserve"> data from 252 SMEs. Hypotheses were tested using hierarchical regression analysis to assess direct effects and the moderating role of taxpayer education on </w:t>
            </w:r>
            <w:r w:rsidR="0060393E">
              <w:rPr>
                <w:rFonts w:ascii="Arial" w:eastAsia="Calibri" w:hAnsi="Arial" w:cs="Arial"/>
                <w:sz w:val="20"/>
              </w:rPr>
              <w:t xml:space="preserve">the </w:t>
            </w:r>
            <w:r w:rsidR="00CB6ACC">
              <w:rPr>
                <w:rFonts w:ascii="Arial" w:eastAsia="Calibri" w:hAnsi="Arial" w:cs="Arial"/>
                <w:sz w:val="20"/>
              </w:rPr>
              <w:t>later</w:t>
            </w:r>
            <w:r w:rsidR="00CE4093" w:rsidRPr="00133BC6">
              <w:rPr>
                <w:rFonts w:ascii="Arial" w:eastAsia="Calibri" w:hAnsi="Arial" w:cs="Arial"/>
                <w:sz w:val="20"/>
              </w:rPr>
              <w:t>.</w:t>
            </w:r>
          </w:p>
          <w:p w14:paraId="41C5D922" w14:textId="77777777" w:rsidR="00133BC6" w:rsidRPr="00133BC6" w:rsidRDefault="004D63F6" w:rsidP="00133BC6">
            <w:pPr>
              <w:spacing w:after="240"/>
              <w:jc w:val="both"/>
              <w:rPr>
                <w:rFonts w:ascii="Arial" w:eastAsia="Calibri" w:hAnsi="Arial" w:cs="Arial"/>
                <w:sz w:val="20"/>
              </w:rPr>
            </w:pPr>
            <w:r w:rsidRPr="004D63F6">
              <w:rPr>
                <w:rFonts w:ascii="Arial" w:eastAsia="Calibri" w:hAnsi="Arial" w:cs="Arial"/>
                <w:b/>
                <w:bCs/>
                <w:sz w:val="20"/>
              </w:rPr>
              <w:t>Findings:</w:t>
            </w:r>
            <w:r w:rsidRPr="004D63F6">
              <w:rPr>
                <w:rFonts w:ascii="Arial" w:eastAsia="Calibri" w:hAnsi="Arial" w:cs="Arial"/>
                <w:sz w:val="20"/>
              </w:rPr>
              <w:t xml:space="preserve"> </w:t>
            </w:r>
            <w:r w:rsidR="00CB6ACC">
              <w:rPr>
                <w:rFonts w:ascii="Arial" w:eastAsia="Calibri" w:hAnsi="Arial" w:cs="Arial"/>
                <w:sz w:val="20"/>
              </w:rPr>
              <w:t xml:space="preserve">The study found out that </w:t>
            </w:r>
            <w:r w:rsidR="00133BC6" w:rsidRPr="00133BC6">
              <w:rPr>
                <w:rFonts w:ascii="Arial" w:eastAsia="Calibri" w:hAnsi="Arial" w:cs="Arial"/>
                <w:sz w:val="20"/>
              </w:rPr>
              <w:t xml:space="preserve">Mediation, arbitration, and </w:t>
            </w:r>
            <w:r w:rsidR="00CB6ACC" w:rsidRPr="00CB6ACC">
              <w:rPr>
                <w:rFonts w:ascii="Arial" w:eastAsia="Calibri" w:hAnsi="Arial" w:cs="Arial"/>
                <w:sz w:val="20"/>
              </w:rPr>
              <w:t xml:space="preserve">Early Neutral Evaluation </w:t>
            </w:r>
            <w:r w:rsidR="00133BC6" w:rsidRPr="00133BC6">
              <w:rPr>
                <w:rFonts w:ascii="Arial" w:eastAsia="Calibri" w:hAnsi="Arial" w:cs="Arial"/>
                <w:sz w:val="20"/>
              </w:rPr>
              <w:t>significantly enhance tax compliance, fostering trust and efficiency among SMEs</w:t>
            </w:r>
            <w:r w:rsidR="006A5A50">
              <w:rPr>
                <w:rFonts w:ascii="Arial" w:eastAsia="Calibri" w:hAnsi="Arial" w:cs="Arial"/>
                <w:sz w:val="20"/>
              </w:rPr>
              <w:t xml:space="preserve">. </w:t>
            </w:r>
            <w:r w:rsidR="00133BC6" w:rsidRPr="00133BC6">
              <w:rPr>
                <w:rFonts w:ascii="Arial" w:eastAsia="Calibri" w:hAnsi="Arial" w:cs="Arial"/>
                <w:sz w:val="20"/>
              </w:rPr>
              <w:t xml:space="preserve">Taxpayer education </w:t>
            </w:r>
            <w:r w:rsidR="006A5A50" w:rsidRPr="00133BC6">
              <w:rPr>
                <w:rFonts w:ascii="Arial" w:eastAsia="Calibri" w:hAnsi="Arial" w:cs="Arial"/>
                <w:sz w:val="20"/>
              </w:rPr>
              <w:t>amplif</w:t>
            </w:r>
            <w:r w:rsidR="006A5A50">
              <w:rPr>
                <w:rFonts w:ascii="Arial" w:eastAsia="Calibri" w:hAnsi="Arial" w:cs="Arial"/>
                <w:sz w:val="20"/>
              </w:rPr>
              <w:t>ies</w:t>
            </w:r>
            <w:r w:rsidR="00133BC6" w:rsidRPr="00133BC6">
              <w:rPr>
                <w:rFonts w:ascii="Arial" w:eastAsia="Calibri" w:hAnsi="Arial" w:cs="Arial"/>
                <w:sz w:val="20"/>
              </w:rPr>
              <w:t xml:space="preserve"> these effects</w:t>
            </w:r>
            <w:r w:rsidR="006A5A50">
              <w:rPr>
                <w:rFonts w:ascii="Arial" w:eastAsia="Calibri" w:hAnsi="Arial" w:cs="Arial"/>
                <w:sz w:val="20"/>
              </w:rPr>
              <w:t xml:space="preserve">, enhance </w:t>
            </w:r>
            <w:r w:rsidR="00133BC6" w:rsidRPr="00133BC6">
              <w:rPr>
                <w:rFonts w:ascii="Arial" w:eastAsia="Calibri" w:hAnsi="Arial" w:cs="Arial"/>
                <w:sz w:val="20"/>
              </w:rPr>
              <w:t>compliance through increased awareness</w:t>
            </w:r>
            <w:r w:rsidR="001B4DCE">
              <w:rPr>
                <w:rFonts w:ascii="Arial" w:eastAsia="Calibri" w:hAnsi="Arial" w:cs="Arial"/>
                <w:sz w:val="20"/>
              </w:rPr>
              <w:t xml:space="preserve">. </w:t>
            </w:r>
            <w:r w:rsidR="00133BC6" w:rsidRPr="00133BC6">
              <w:rPr>
                <w:rFonts w:ascii="Arial" w:eastAsia="Calibri" w:hAnsi="Arial" w:cs="Arial"/>
                <w:sz w:val="20"/>
              </w:rPr>
              <w:t>Low awareness can hinder ADR’s impact</w:t>
            </w:r>
            <w:r w:rsidR="006A5A50">
              <w:rPr>
                <w:rFonts w:ascii="Arial" w:eastAsia="Calibri" w:hAnsi="Arial" w:cs="Arial"/>
                <w:sz w:val="20"/>
              </w:rPr>
              <w:t xml:space="preserve"> on tax compliance</w:t>
            </w:r>
            <w:r w:rsidR="00133BC6" w:rsidRPr="00133BC6">
              <w:rPr>
                <w:rFonts w:ascii="Arial" w:eastAsia="Calibri" w:hAnsi="Arial" w:cs="Arial"/>
                <w:sz w:val="20"/>
              </w:rPr>
              <w:t xml:space="preserve"> </w:t>
            </w:r>
            <w:r w:rsidR="006A5A50">
              <w:rPr>
                <w:rFonts w:ascii="Arial" w:eastAsia="Calibri" w:hAnsi="Arial" w:cs="Arial"/>
                <w:sz w:val="20"/>
              </w:rPr>
              <w:t xml:space="preserve">thus </w:t>
            </w:r>
            <w:r w:rsidR="00133BC6" w:rsidRPr="00133BC6">
              <w:rPr>
                <w:rFonts w:ascii="Arial" w:eastAsia="Calibri" w:hAnsi="Arial" w:cs="Arial"/>
                <w:sz w:val="20"/>
              </w:rPr>
              <w:t>emphasizing education’s critical role.</w:t>
            </w:r>
          </w:p>
          <w:p w14:paraId="5E27D760" w14:textId="77777777" w:rsidR="004D63F6" w:rsidRPr="004D63F6" w:rsidRDefault="004D63F6" w:rsidP="00133BC6">
            <w:pPr>
              <w:spacing w:after="0"/>
              <w:jc w:val="both"/>
              <w:rPr>
                <w:rFonts w:ascii="Arial" w:eastAsia="Calibri" w:hAnsi="Arial" w:cs="Arial"/>
                <w:sz w:val="20"/>
              </w:rPr>
            </w:pPr>
            <w:r w:rsidRPr="004D63F6">
              <w:rPr>
                <w:rFonts w:ascii="Arial" w:eastAsia="Calibri" w:hAnsi="Arial" w:cs="Arial"/>
                <w:b/>
                <w:bCs/>
                <w:sz w:val="20"/>
              </w:rPr>
              <w:t>Practical Implications:</w:t>
            </w:r>
            <w:r w:rsidRPr="004D63F6">
              <w:rPr>
                <w:rFonts w:ascii="Arial" w:eastAsia="Calibri" w:hAnsi="Arial" w:cs="Arial"/>
                <w:sz w:val="20"/>
              </w:rPr>
              <w:t xml:space="preserve"> </w:t>
            </w:r>
            <w:r w:rsidR="00133BC6" w:rsidRPr="00133BC6">
              <w:rPr>
                <w:rFonts w:ascii="Arial" w:eastAsia="Calibri" w:hAnsi="Arial" w:cs="Arial"/>
                <w:sz w:val="20"/>
              </w:rPr>
              <w:t xml:space="preserve">Revenue authorities should integrate mediation, arbitration, and </w:t>
            </w:r>
            <w:r w:rsidR="006A5A50" w:rsidRPr="006A5A50">
              <w:rPr>
                <w:rFonts w:ascii="Arial" w:eastAsia="Calibri" w:hAnsi="Arial" w:cs="Arial"/>
                <w:sz w:val="20"/>
              </w:rPr>
              <w:t xml:space="preserve">Early Neutral Evaluation </w:t>
            </w:r>
            <w:r w:rsidR="00133BC6" w:rsidRPr="00133BC6">
              <w:rPr>
                <w:rFonts w:ascii="Arial" w:eastAsia="Calibri" w:hAnsi="Arial" w:cs="Arial"/>
                <w:sz w:val="20"/>
              </w:rPr>
              <w:t xml:space="preserve">into tax frameworks, supported by </w:t>
            </w:r>
            <w:r w:rsidR="006A5A50">
              <w:rPr>
                <w:rFonts w:ascii="Arial" w:eastAsia="Calibri" w:hAnsi="Arial" w:cs="Arial"/>
                <w:sz w:val="20"/>
              </w:rPr>
              <w:t xml:space="preserve">a </w:t>
            </w:r>
            <w:r w:rsidR="00133BC6" w:rsidRPr="00133BC6">
              <w:rPr>
                <w:rFonts w:ascii="Arial" w:eastAsia="Calibri" w:hAnsi="Arial" w:cs="Arial"/>
                <w:sz w:val="20"/>
              </w:rPr>
              <w:t>robust taxpayer education to enhance compliance among SMEs and informal operators.</w:t>
            </w:r>
          </w:p>
        </w:tc>
      </w:tr>
    </w:tbl>
    <w:p w14:paraId="3F1777BB" w14:textId="77777777" w:rsidR="004D63F6" w:rsidRPr="004D63F6" w:rsidRDefault="004D63F6" w:rsidP="004D63F6">
      <w:pPr>
        <w:spacing w:after="0" w:line="240" w:lineRule="auto"/>
        <w:jc w:val="both"/>
        <w:rPr>
          <w:rFonts w:ascii="Arial" w:eastAsia="Times New Roman" w:hAnsi="Arial" w:cs="Arial"/>
          <w:i/>
          <w:sz w:val="20"/>
          <w:szCs w:val="20"/>
        </w:rPr>
      </w:pPr>
    </w:p>
    <w:p w14:paraId="0259135C" w14:textId="77777777" w:rsidR="004D63F6" w:rsidRPr="005939A6" w:rsidRDefault="004D63F6" w:rsidP="005939A6">
      <w:pPr>
        <w:spacing w:after="0"/>
        <w:jc w:val="both"/>
        <w:rPr>
          <w:rFonts w:ascii="Arial" w:hAnsi="Arial" w:cs="Arial"/>
          <w:i/>
          <w:sz w:val="20"/>
          <w:szCs w:val="20"/>
        </w:rPr>
      </w:pPr>
      <w:r w:rsidRPr="005939A6">
        <w:rPr>
          <w:rFonts w:ascii="Arial" w:eastAsia="Times New Roman" w:hAnsi="Arial" w:cs="Arial"/>
          <w:i/>
          <w:sz w:val="20"/>
          <w:szCs w:val="20"/>
        </w:rPr>
        <w:t xml:space="preserve">Keywords: </w:t>
      </w:r>
      <w:r w:rsidR="005939A6" w:rsidRPr="005939A6">
        <w:rPr>
          <w:rFonts w:ascii="Arial" w:hAnsi="Arial" w:cs="Arial"/>
          <w:i/>
          <w:sz w:val="20"/>
          <w:szCs w:val="20"/>
        </w:rPr>
        <w:t xml:space="preserve">Tax </w:t>
      </w:r>
      <w:r w:rsidR="0088770B" w:rsidRPr="005939A6">
        <w:rPr>
          <w:rFonts w:ascii="Arial" w:hAnsi="Arial" w:cs="Arial"/>
          <w:i/>
          <w:sz w:val="20"/>
          <w:szCs w:val="20"/>
        </w:rPr>
        <w:t>Compliance; Mediation; Arbitration; Early Neutral Evaluation; Taxpayer Education</w:t>
      </w:r>
    </w:p>
    <w:p w14:paraId="2E485C68" w14:textId="77777777" w:rsidR="004D63F6" w:rsidRPr="004D63F6" w:rsidRDefault="004D63F6" w:rsidP="004D63F6">
      <w:pPr>
        <w:spacing w:after="0" w:line="240" w:lineRule="auto"/>
        <w:jc w:val="both"/>
        <w:rPr>
          <w:rFonts w:ascii="Arial" w:eastAsia="Times New Roman" w:hAnsi="Arial" w:cs="Arial"/>
          <w:i/>
          <w:sz w:val="20"/>
          <w:szCs w:val="20"/>
        </w:rPr>
      </w:pPr>
    </w:p>
    <w:p w14:paraId="290DCD2A" w14:textId="77777777" w:rsidR="00617D0B" w:rsidRDefault="00617D0B" w:rsidP="004D63F6">
      <w:pPr>
        <w:keepNext/>
        <w:spacing w:after="0" w:line="240" w:lineRule="auto"/>
        <w:jc w:val="both"/>
        <w:rPr>
          <w:rFonts w:ascii="Arial" w:eastAsia="Times New Roman" w:hAnsi="Arial" w:cs="Arial"/>
          <w:b/>
          <w:caps/>
          <w:szCs w:val="20"/>
        </w:rPr>
        <w:sectPr w:rsidR="00617D0B" w:rsidSect="00061DC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11848466"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1. INTRODUCTION</w:t>
      </w:r>
    </w:p>
    <w:p w14:paraId="23D8031D" w14:textId="77777777" w:rsidR="004D63F6" w:rsidRPr="004D63F6" w:rsidRDefault="004D63F6" w:rsidP="004D63F6">
      <w:pPr>
        <w:keepNext/>
        <w:spacing w:after="0" w:line="240" w:lineRule="auto"/>
        <w:jc w:val="both"/>
        <w:rPr>
          <w:rFonts w:ascii="Arial" w:eastAsia="Times New Roman" w:hAnsi="Arial" w:cs="Arial"/>
          <w:b/>
          <w:caps/>
          <w:szCs w:val="20"/>
        </w:rPr>
      </w:pPr>
    </w:p>
    <w:p w14:paraId="30FC4302"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Tax compliance remains a foundation of sustainable revenue generation in modern economies, serving as the foundation of effective public service delivery and economic development. Yet, encouraging compliance has remained a prevalent challenge, specifically in areas struggling with complex tax systems, inconsistent enforcement and low levels of taxpayer engagement. Encouraging consistent and honest tax behavior necessitates more than enforcement, it requires approaches that can address both the informal gaps and systemic barriers to compliance. According to </w:t>
      </w:r>
      <w:r w:rsidR="000E0715">
        <w:rPr>
          <w:rFonts w:ascii="Arial" w:eastAsia="Times New Roman" w:hAnsi="Arial" w:cs="Arial"/>
          <w:sz w:val="20"/>
          <w:szCs w:val="20"/>
        </w:rPr>
        <w:t>[</w:t>
      </w:r>
      <w:r w:rsidR="000E0715" w:rsidRPr="004D63F6">
        <w:rPr>
          <w:rFonts w:ascii="Arial" w:eastAsia="Times New Roman" w:hAnsi="Arial" w:cs="Arial"/>
          <w:sz w:val="20"/>
          <w:szCs w:val="20"/>
        </w:rPr>
        <w:t>1</w:t>
      </w:r>
      <w:r w:rsidR="000E0715">
        <w:rPr>
          <w:rFonts w:ascii="Arial" w:eastAsia="Times New Roman" w:hAnsi="Arial" w:cs="Arial"/>
          <w:sz w:val="20"/>
          <w:szCs w:val="20"/>
        </w:rPr>
        <w:t>]</w:t>
      </w:r>
      <w:r w:rsidRPr="004D63F6">
        <w:rPr>
          <w:rFonts w:ascii="Arial" w:eastAsia="Times New Roman" w:hAnsi="Arial" w:cs="Arial"/>
          <w:sz w:val="20"/>
          <w:szCs w:val="20"/>
        </w:rPr>
        <w:t>, taxpayers are regularly faced with obstacles such as ambiguous tax legislation, limited access to reliable tax information, burdensome audit procedures and application of tax laws that are inconsistent. At the same time, the revenue authorities often operate under pressure to meet collection targets, and sometimes this result in use of aggressive measures. These factors together undermine taxpayer trust and reduce the like</w:t>
      </w:r>
      <w:r w:rsidR="008D1D04">
        <w:rPr>
          <w:rFonts w:ascii="Arial" w:eastAsia="Times New Roman" w:hAnsi="Arial" w:cs="Arial"/>
          <w:sz w:val="20"/>
          <w:szCs w:val="20"/>
        </w:rPr>
        <w:t>lihood of voluntary compliance [2]</w:t>
      </w:r>
      <w:r w:rsidRPr="004D63F6">
        <w:rPr>
          <w:rFonts w:ascii="Arial" w:eastAsia="Times New Roman" w:hAnsi="Arial" w:cs="Arial"/>
          <w:sz w:val="20"/>
          <w:szCs w:val="20"/>
        </w:rPr>
        <w:t xml:space="preserve">. </w:t>
      </w:r>
    </w:p>
    <w:p w14:paraId="58A3648A"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In dynamic and reforming economies, where the tax systems are most of the times in flux, compliance can further be strained by administrative opac</w:t>
      </w:r>
      <w:r w:rsidR="008A748D">
        <w:rPr>
          <w:rFonts w:ascii="Arial" w:eastAsia="Times New Roman" w:hAnsi="Arial" w:cs="Arial"/>
          <w:sz w:val="20"/>
          <w:szCs w:val="20"/>
        </w:rPr>
        <w:t>ity and limited outreach.</w:t>
      </w:r>
      <w:r w:rsidRPr="004D63F6">
        <w:rPr>
          <w:rFonts w:ascii="Arial" w:eastAsia="Times New Roman" w:hAnsi="Arial" w:cs="Arial"/>
          <w:sz w:val="20"/>
          <w:szCs w:val="20"/>
        </w:rPr>
        <w:t xml:space="preserve"> </w:t>
      </w:r>
      <w:r w:rsidR="00FD35E7">
        <w:rPr>
          <w:rFonts w:ascii="Arial" w:eastAsia="Times New Roman" w:hAnsi="Arial" w:cs="Arial"/>
          <w:sz w:val="20"/>
          <w:szCs w:val="20"/>
        </w:rPr>
        <w:t>[3]</w:t>
      </w:r>
      <w:r w:rsidRPr="004D63F6">
        <w:rPr>
          <w:rFonts w:ascii="Arial" w:eastAsia="Times New Roman" w:hAnsi="Arial" w:cs="Arial"/>
          <w:sz w:val="20"/>
          <w:szCs w:val="20"/>
        </w:rPr>
        <w:t xml:space="preserve"> notes that where taxpayers are not adequately informed or supported in understanding and fulfilling their obligations, resistance to compliance increases. This highlights the need for structured taxpayer education initiatives that are aimed at fueling business and personal growth with valuable knowledge, clarity and confidence to abide by tax regulations effectively. Taxpayer education refers to the deliberate and systematic efforts by revenue administrations to initiate public outreach, explain the tax procedures and clarify legal obligations and to promote a culture of accountability. </w:t>
      </w:r>
      <w:r w:rsidR="00FD35E7">
        <w:rPr>
          <w:rFonts w:ascii="Arial" w:eastAsia="Times New Roman" w:hAnsi="Arial" w:cs="Arial"/>
          <w:sz w:val="20"/>
          <w:szCs w:val="20"/>
        </w:rPr>
        <w:t>[4]</w:t>
      </w:r>
      <w:r w:rsidRPr="004D63F6">
        <w:rPr>
          <w:rFonts w:ascii="Arial" w:eastAsia="Times New Roman" w:hAnsi="Arial" w:cs="Arial"/>
          <w:sz w:val="20"/>
          <w:szCs w:val="20"/>
        </w:rPr>
        <w:t xml:space="preserve"> argue that well designed education programs greatly improve compliance by reducing ignorance base noncompliance and enhance a sense of civic duty. </w:t>
      </w:r>
    </w:p>
    <w:p w14:paraId="0F54E08C" w14:textId="77777777" w:rsidR="00A9491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Benson </w:t>
      </w:r>
      <w:r w:rsidR="00C12984">
        <w:rPr>
          <w:rFonts w:ascii="Arial" w:eastAsia="Times New Roman" w:hAnsi="Arial" w:cs="Arial"/>
          <w:sz w:val="20"/>
          <w:szCs w:val="20"/>
        </w:rPr>
        <w:t>[5]</w:t>
      </w:r>
      <w:r w:rsidRPr="004D63F6">
        <w:rPr>
          <w:rFonts w:ascii="Arial" w:eastAsia="Times New Roman" w:hAnsi="Arial" w:cs="Arial"/>
          <w:sz w:val="20"/>
          <w:szCs w:val="20"/>
        </w:rPr>
        <w:t xml:space="preserve"> supports this view, noting taxpayers possessing relevant information are better positioned to appreciate the significance of compliance and less prone to make errors that could lead to penalties and enforcement action. </w:t>
      </w:r>
      <w:r w:rsidRPr="004D63F6">
        <w:rPr>
          <w:rFonts w:ascii="Arial" w:eastAsia="Times New Roman" w:hAnsi="Arial" w:cs="Arial"/>
          <w:sz w:val="20"/>
          <w:szCs w:val="20"/>
        </w:rPr>
        <w:lastRenderedPageBreak/>
        <w:t>In addition to the efforts of education, the mechanisms through which disputes are resolved play an essential role in promoting a fair and compliant tax atmosphere. While still relevant in some cases, traditional litigation is mostly viewed as costly, time consum</w:t>
      </w:r>
      <w:r w:rsidR="00C12984">
        <w:rPr>
          <w:rFonts w:ascii="Arial" w:eastAsia="Times New Roman" w:hAnsi="Arial" w:cs="Arial"/>
          <w:sz w:val="20"/>
          <w:szCs w:val="20"/>
        </w:rPr>
        <w:t>ing and adversarial [6]</w:t>
      </w:r>
      <w:r w:rsidRPr="004D63F6">
        <w:rPr>
          <w:rFonts w:ascii="Arial" w:eastAsia="Times New Roman" w:hAnsi="Arial" w:cs="Arial"/>
          <w:sz w:val="20"/>
          <w:szCs w:val="20"/>
        </w:rPr>
        <w:t xml:space="preserve">. These characteristics can discourage taxpayers from engaging with tax authorities and unintentionally promote noncompliance due to frustration or fear. In response, mechanisms for ADR, including mediation, have emerged as practical and efficient tools within the tax administration. </w:t>
      </w:r>
      <w:r w:rsidR="0043375A">
        <w:rPr>
          <w:rFonts w:ascii="Arial" w:eastAsia="Times New Roman" w:hAnsi="Arial" w:cs="Arial"/>
          <w:sz w:val="20"/>
          <w:szCs w:val="20"/>
        </w:rPr>
        <w:t>[7]</w:t>
      </w:r>
      <w:r w:rsidRPr="004D63F6">
        <w:rPr>
          <w:rFonts w:ascii="Arial" w:eastAsia="Times New Roman" w:hAnsi="Arial" w:cs="Arial"/>
          <w:sz w:val="20"/>
          <w:szCs w:val="20"/>
        </w:rPr>
        <w:t xml:space="preserve"> noted that DR provides a less formal, more accessible avenue for resolving tax related disputes which might escalate or even go unresolved. This in turn helps in supporting a more cooperative compliance climate. ADR mechanisms play a significant role in reducing legal backlogs, increasing resolution speed and also enhance goodwill between taxpayers as well as authorities. Moreover, the incorporation of ADR into the tax administration aligns with the global core aspects of tax governance, with transparency being one, equity, accountability and responsiveness </w:t>
      </w:r>
      <w:r w:rsidR="0043375A">
        <w:rPr>
          <w:rFonts w:ascii="Arial" w:eastAsia="Times New Roman" w:hAnsi="Arial" w:cs="Arial"/>
          <w:sz w:val="20"/>
          <w:szCs w:val="20"/>
        </w:rPr>
        <w:t>[9]</w:t>
      </w:r>
      <w:r w:rsidRPr="004D63F6">
        <w:rPr>
          <w:rFonts w:ascii="Arial" w:eastAsia="Times New Roman" w:hAnsi="Arial" w:cs="Arial"/>
          <w:sz w:val="20"/>
          <w:szCs w:val="20"/>
        </w:rPr>
        <w:t>. Yet, the success of ADR in enhancing compliance is dependent on the degree to which taxpayers are aware of, and confident in, such mechanisms. When education and access are insufficient, ADR remains underutilized which limits its potential in</w:t>
      </w:r>
      <w:r w:rsidR="0043375A">
        <w:rPr>
          <w:rFonts w:ascii="Arial" w:eastAsia="Times New Roman" w:hAnsi="Arial" w:cs="Arial"/>
          <w:sz w:val="20"/>
          <w:szCs w:val="20"/>
        </w:rPr>
        <w:t xml:space="preserve"> driving compliance. [</w:t>
      </w:r>
      <w:r w:rsidRPr="004D63F6">
        <w:rPr>
          <w:rFonts w:ascii="Arial" w:eastAsia="Times New Roman" w:hAnsi="Arial" w:cs="Arial"/>
          <w:sz w:val="20"/>
          <w:szCs w:val="20"/>
        </w:rPr>
        <w:t>17</w:t>
      </w:r>
      <w:r w:rsidR="0043375A">
        <w:rPr>
          <w:rFonts w:ascii="Arial" w:eastAsia="Times New Roman" w:hAnsi="Arial" w:cs="Arial"/>
          <w:sz w:val="20"/>
          <w:szCs w:val="20"/>
        </w:rPr>
        <w:t>]</w:t>
      </w:r>
      <w:r w:rsidRPr="004D63F6">
        <w:rPr>
          <w:rFonts w:ascii="Arial" w:eastAsia="Times New Roman" w:hAnsi="Arial" w:cs="Arial"/>
          <w:sz w:val="20"/>
          <w:szCs w:val="20"/>
        </w:rPr>
        <w:t xml:space="preserve"> emphasizes that psychological and behavioral factor; public trust in revenue authorities and fairness perceptions are central to compliance decisions. Taxpayer education and the use of equitable, non-adversarial resolution methods therefore play complementary roles in ensuring a positive tax behavior. When individuals understand their obligations and have accessible, fair means of resolving challenges then compliance improves organically.   </w:t>
      </w:r>
    </w:p>
    <w:p w14:paraId="4637093D" w14:textId="77777777" w:rsidR="00A94916" w:rsidRDefault="00A94916" w:rsidP="004D63F6">
      <w:pPr>
        <w:spacing w:after="0" w:line="240" w:lineRule="auto"/>
        <w:jc w:val="both"/>
        <w:rPr>
          <w:rFonts w:ascii="Arial" w:eastAsia="Times New Roman" w:hAnsi="Arial" w:cs="Arial"/>
          <w:sz w:val="20"/>
          <w:szCs w:val="20"/>
        </w:rPr>
      </w:pPr>
    </w:p>
    <w:p w14:paraId="486A53B5" w14:textId="77777777" w:rsidR="001E53CE"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  </w:t>
      </w:r>
    </w:p>
    <w:p w14:paraId="321A2BD5" w14:textId="77777777" w:rsidR="00F10434" w:rsidRDefault="00F10434" w:rsidP="004D63F6">
      <w:pPr>
        <w:spacing w:after="0" w:line="240" w:lineRule="auto"/>
        <w:jc w:val="both"/>
        <w:rPr>
          <w:rFonts w:ascii="Arial" w:eastAsia="Times New Roman" w:hAnsi="Arial" w:cs="Arial"/>
          <w:sz w:val="20"/>
          <w:szCs w:val="20"/>
        </w:rPr>
      </w:pPr>
    </w:p>
    <w:p w14:paraId="3110657E" w14:textId="77777777" w:rsidR="00F10434" w:rsidRDefault="00F10434" w:rsidP="004D63F6">
      <w:pPr>
        <w:spacing w:after="0" w:line="240" w:lineRule="auto"/>
        <w:jc w:val="both"/>
        <w:rPr>
          <w:rFonts w:ascii="Arial" w:eastAsia="Times New Roman" w:hAnsi="Arial" w:cs="Arial"/>
          <w:sz w:val="20"/>
          <w:szCs w:val="20"/>
        </w:rPr>
      </w:pPr>
    </w:p>
    <w:p w14:paraId="5D1267D1" w14:textId="77777777" w:rsidR="001E53CE" w:rsidRDefault="001E53CE" w:rsidP="004D63F6">
      <w:pPr>
        <w:spacing w:after="0" w:line="240" w:lineRule="auto"/>
        <w:jc w:val="both"/>
        <w:rPr>
          <w:rFonts w:ascii="Arial" w:eastAsia="Times New Roman" w:hAnsi="Arial" w:cs="Arial"/>
          <w:sz w:val="20"/>
          <w:szCs w:val="20"/>
        </w:rPr>
      </w:pPr>
    </w:p>
    <w:p w14:paraId="26259CFC" w14:textId="77777777" w:rsid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  </w:t>
      </w:r>
    </w:p>
    <w:p w14:paraId="0C044425" w14:textId="77777777" w:rsidR="005265E1" w:rsidRDefault="005265E1" w:rsidP="004D63F6">
      <w:pPr>
        <w:spacing w:after="0" w:line="240" w:lineRule="auto"/>
        <w:jc w:val="both"/>
        <w:rPr>
          <w:rFonts w:ascii="Arial" w:eastAsia="Times New Roman" w:hAnsi="Arial" w:cs="Arial"/>
          <w:sz w:val="20"/>
          <w:szCs w:val="20"/>
        </w:rPr>
      </w:pPr>
    </w:p>
    <w:p w14:paraId="1AB6F5B1" w14:textId="77777777" w:rsidR="005265E1" w:rsidRPr="004D63F6" w:rsidRDefault="005265E1" w:rsidP="004D63F6">
      <w:pPr>
        <w:spacing w:after="0" w:line="240" w:lineRule="auto"/>
        <w:jc w:val="both"/>
        <w:rPr>
          <w:rFonts w:ascii="Arial" w:eastAsia="Times New Roman" w:hAnsi="Arial" w:cs="Arial"/>
          <w:sz w:val="20"/>
          <w:szCs w:val="20"/>
        </w:rPr>
      </w:pPr>
    </w:p>
    <w:p w14:paraId="77FC4E41" w14:textId="77777777" w:rsidR="004D63F6" w:rsidRPr="004D63F6" w:rsidRDefault="004D63F6" w:rsidP="004D63F6">
      <w:pPr>
        <w:spacing w:after="0" w:line="240" w:lineRule="auto"/>
        <w:jc w:val="both"/>
        <w:rPr>
          <w:rFonts w:ascii="Arial" w:eastAsia="Times New Roman" w:hAnsi="Arial" w:cs="Arial"/>
          <w:sz w:val="20"/>
          <w:szCs w:val="20"/>
        </w:rPr>
      </w:pPr>
    </w:p>
    <w:p w14:paraId="25531458"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 xml:space="preserve">2. </w:t>
      </w:r>
      <w:bookmarkStart w:id="1" w:name="_Toc208144699"/>
      <w:r w:rsidRPr="004D63F6">
        <w:rPr>
          <w:rFonts w:ascii="Arial" w:eastAsia="Times New Roman" w:hAnsi="Arial" w:cs="Arial"/>
          <w:b/>
          <w:caps/>
          <w:szCs w:val="20"/>
        </w:rPr>
        <w:t>LITERATURE REVIEW</w:t>
      </w:r>
      <w:bookmarkEnd w:id="1"/>
    </w:p>
    <w:p w14:paraId="7F4029D7" w14:textId="77777777" w:rsidR="00CD5B7E" w:rsidRDefault="00CD5B7E" w:rsidP="00CD5B7E">
      <w:pPr>
        <w:spacing w:after="0" w:line="240" w:lineRule="auto"/>
        <w:jc w:val="both"/>
        <w:rPr>
          <w:rFonts w:ascii="Arial" w:eastAsia="Times New Roman" w:hAnsi="Arial" w:cs="Arial"/>
          <w:b/>
          <w:szCs w:val="20"/>
        </w:rPr>
      </w:pPr>
    </w:p>
    <w:p w14:paraId="5B920DF2" w14:textId="77777777" w:rsidR="00CD5B7E" w:rsidRPr="00CD5B7E" w:rsidRDefault="00CD5B7E" w:rsidP="00CD5B7E">
      <w:pPr>
        <w:spacing w:after="0" w:line="240" w:lineRule="auto"/>
        <w:jc w:val="both"/>
        <w:rPr>
          <w:rFonts w:ascii="Arial" w:eastAsia="Times New Roman" w:hAnsi="Arial" w:cs="Arial"/>
          <w:b/>
          <w:caps/>
          <w:szCs w:val="20"/>
        </w:rPr>
      </w:pPr>
      <w:r>
        <w:rPr>
          <w:rFonts w:ascii="Arial" w:eastAsia="Times New Roman" w:hAnsi="Arial" w:cs="Arial"/>
          <w:b/>
          <w:szCs w:val="20"/>
        </w:rPr>
        <w:t>2.</w:t>
      </w:r>
      <w:r w:rsidRPr="004D63F6">
        <w:rPr>
          <w:rFonts w:ascii="Arial" w:eastAsia="Times New Roman" w:hAnsi="Arial" w:cs="Arial"/>
          <w:b/>
          <w:caps/>
          <w:szCs w:val="20"/>
        </w:rPr>
        <w:t>1</w:t>
      </w:r>
      <w:r>
        <w:rPr>
          <w:rFonts w:ascii="Arial" w:eastAsia="Times New Roman" w:hAnsi="Arial" w:cs="Arial"/>
          <w:b/>
          <w:caps/>
          <w:szCs w:val="20"/>
        </w:rPr>
        <w:t xml:space="preserve"> </w:t>
      </w:r>
      <w:r w:rsidRPr="00CD5B7E">
        <w:rPr>
          <w:rFonts w:ascii="Arial" w:eastAsia="Times New Roman" w:hAnsi="Arial" w:cs="Arial"/>
          <w:b/>
          <w:szCs w:val="20"/>
        </w:rPr>
        <w:t>Alternative Dispute Resolution Mechanisms</w:t>
      </w:r>
    </w:p>
    <w:p w14:paraId="0D2DEC09" w14:textId="77777777" w:rsidR="00CD5B7E" w:rsidRDefault="00CD5B7E" w:rsidP="004D63F6">
      <w:pPr>
        <w:spacing w:after="0" w:line="240" w:lineRule="auto"/>
        <w:jc w:val="both"/>
        <w:rPr>
          <w:rFonts w:ascii="Arial" w:eastAsia="Times New Roman" w:hAnsi="Arial" w:cs="Arial"/>
          <w:b/>
          <w:caps/>
          <w:szCs w:val="20"/>
        </w:rPr>
      </w:pPr>
    </w:p>
    <w:p w14:paraId="35C4D70F"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b/>
          <w:caps/>
          <w:szCs w:val="20"/>
        </w:rPr>
        <w:t>2.1</w:t>
      </w:r>
      <w:r w:rsidR="00CD5B7E">
        <w:rPr>
          <w:rFonts w:ascii="Arial" w:eastAsia="Times New Roman" w:hAnsi="Arial" w:cs="Arial"/>
          <w:b/>
          <w:caps/>
          <w:szCs w:val="20"/>
        </w:rPr>
        <w:t>.</w:t>
      </w:r>
      <w:r w:rsidR="00CD5B7E" w:rsidRPr="004D63F6">
        <w:rPr>
          <w:rFonts w:ascii="Arial" w:eastAsia="Times New Roman" w:hAnsi="Arial" w:cs="Arial"/>
          <w:b/>
          <w:caps/>
          <w:szCs w:val="20"/>
        </w:rPr>
        <w:t>1</w:t>
      </w:r>
      <w:r w:rsidRPr="004D63F6">
        <w:rPr>
          <w:rFonts w:ascii="Arial" w:eastAsia="Times New Roman" w:hAnsi="Arial" w:cs="Arial"/>
          <w:b/>
          <w:caps/>
          <w:szCs w:val="20"/>
        </w:rPr>
        <w:t xml:space="preserve"> </w:t>
      </w:r>
      <w:r w:rsidRPr="004D63F6">
        <w:rPr>
          <w:rFonts w:ascii="Arial" w:eastAsia="Times New Roman" w:hAnsi="Arial" w:cs="Arial"/>
          <w:b/>
          <w:szCs w:val="20"/>
        </w:rPr>
        <w:t>Tax Compliance</w:t>
      </w:r>
    </w:p>
    <w:p w14:paraId="5B7B205B" w14:textId="77777777" w:rsidR="004D63F6" w:rsidRPr="004D63F6" w:rsidRDefault="004D63F6" w:rsidP="004D63F6">
      <w:pPr>
        <w:spacing w:after="24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When taxpayers submit their returns on time and pay their dues promptly, it not only facilitates steady revenue collection but also </w:t>
      </w:r>
      <w:r w:rsidRPr="004D63F6">
        <w:rPr>
          <w:rFonts w:ascii="Arial" w:eastAsia="Times New Roman" w:hAnsi="Arial" w:cs="Arial"/>
          <w:sz w:val="20"/>
          <w:szCs w:val="20"/>
        </w:rPr>
        <w:t>promotes a sense of civ</w:t>
      </w:r>
      <w:r w:rsidR="0043375A">
        <w:rPr>
          <w:rFonts w:ascii="Arial" w:eastAsia="Times New Roman" w:hAnsi="Arial" w:cs="Arial"/>
          <w:sz w:val="20"/>
          <w:szCs w:val="20"/>
        </w:rPr>
        <w:t>ic responsibility [11]</w:t>
      </w:r>
      <w:r w:rsidRPr="004D63F6">
        <w:rPr>
          <w:rFonts w:ascii="Arial" w:eastAsia="Times New Roman" w:hAnsi="Arial" w:cs="Arial"/>
          <w:sz w:val="20"/>
          <w:szCs w:val="20"/>
        </w:rPr>
        <w:t>. However, challenges in enforcement, legal complexity and a limited knowledge of tax responsibilities often hinder full compliance. In light of these issues, many revenue administrations have stepped up efforts to ADR mechanisms to address tax-related conflicts outside the traditional court system. These mechanisms are particularly helpful in the burden of legal proceedings and supporting a more</w:t>
      </w:r>
      <w:r w:rsidR="0043375A">
        <w:rPr>
          <w:rFonts w:ascii="Arial" w:eastAsia="Times New Roman" w:hAnsi="Arial" w:cs="Arial"/>
          <w:sz w:val="20"/>
          <w:szCs w:val="20"/>
        </w:rPr>
        <w:t xml:space="preserve"> collaborative tax environment [12]</w:t>
      </w:r>
      <w:r w:rsidRPr="004D63F6">
        <w:rPr>
          <w:rFonts w:ascii="Arial" w:eastAsia="Times New Roman" w:hAnsi="Arial" w:cs="Arial"/>
          <w:sz w:val="20"/>
          <w:szCs w:val="20"/>
        </w:rPr>
        <w:t xml:space="preserve">. By resolving disputes efficiently, ADR reduces uncertainty around tax assessments, which in turn encourages timely payments and accurate filings </w:t>
      </w:r>
      <w:r w:rsidR="0043375A">
        <w:rPr>
          <w:rFonts w:ascii="Arial" w:eastAsia="Times New Roman" w:hAnsi="Arial" w:cs="Arial"/>
          <w:sz w:val="20"/>
          <w:szCs w:val="20"/>
        </w:rPr>
        <w:t>[13</w:t>
      </w:r>
      <w:r w:rsidR="00B822DA">
        <w:rPr>
          <w:rFonts w:ascii="Arial" w:eastAsia="Times New Roman" w:hAnsi="Arial" w:cs="Arial"/>
          <w:sz w:val="20"/>
          <w:szCs w:val="20"/>
        </w:rPr>
        <w:t>]</w:t>
      </w:r>
      <w:r w:rsidRPr="004D63F6">
        <w:rPr>
          <w:rFonts w:ascii="Arial" w:eastAsia="Times New Roman" w:hAnsi="Arial" w:cs="Arial"/>
          <w:sz w:val="20"/>
          <w:szCs w:val="20"/>
        </w:rPr>
        <w:t>. When taxpayers have clarity on what they owe and confidence in the impartiality of the resolution course, they are more probable to meet their obligations without delay.</w:t>
      </w:r>
    </w:p>
    <w:p w14:paraId="1D952EF5"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Nonetheless, the efficacy of ADR mechanisms is significantly moderated by the level of taxpayer education. Educated taxpayers are better equipped to understand their rights, responsibilities, and available legal options when disputes arise. They are more inclined to participate positively in ADR processes, comprehend the implications of tax laws, and avoid errors in their returns. Moreover, international bodies such as the OECD </w:t>
      </w:r>
      <w:r w:rsidR="00B822DA">
        <w:rPr>
          <w:rFonts w:ascii="Arial" w:eastAsia="Times New Roman" w:hAnsi="Arial" w:cs="Arial"/>
          <w:sz w:val="20"/>
          <w:szCs w:val="20"/>
        </w:rPr>
        <w:t>[14]</w:t>
      </w:r>
      <w:r w:rsidR="00B822DA" w:rsidRPr="004D63F6">
        <w:rPr>
          <w:rFonts w:ascii="Arial" w:eastAsia="Times New Roman" w:hAnsi="Arial" w:cs="Arial"/>
          <w:sz w:val="20"/>
          <w:szCs w:val="20"/>
        </w:rPr>
        <w:t xml:space="preserve"> </w:t>
      </w:r>
      <w:r w:rsidRPr="004D63F6">
        <w:rPr>
          <w:rFonts w:ascii="Arial" w:eastAsia="Times New Roman" w:hAnsi="Arial" w:cs="Arial"/>
          <w:sz w:val="20"/>
          <w:szCs w:val="20"/>
        </w:rPr>
        <w:t>recognized ADR as a primary tool for enhancing compliance rates among member jurisdictions. Countries like Canada and South Africa have institutionalized ADR mechanisms within their tax frameworks, leading to greater efficiency in resolving disputes and improved relations with taxpayers. These countries demonstrate that when taxpayers understand and trust the dispute resolution process, they are more prone to fulfill all their tax duties.</w:t>
      </w:r>
    </w:p>
    <w:p w14:paraId="7F37360E"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An integrated approach that combines the use of ADR mechanisms with robust taxpayer education initiatives offers a powerful tool for enhancing tax compliance. ADR contributes by resolving disputes amicably and efficiently, while taxpayer education empowers individuals and businesses to navigate their obligations with confidence and clarity. Together, they create a compliance environment characterized by mutual trust, transparency, and reduced administrative friction. Ultimately, promoting accurate filing and timely payment through such synergistic strategies ensures sustainable revenue collection and strengthens the overall tax ecosystem.</w:t>
      </w:r>
    </w:p>
    <w:p w14:paraId="0421BB1D" w14:textId="77777777" w:rsidR="004D63F6" w:rsidRPr="004D63F6" w:rsidRDefault="004D63F6"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 xml:space="preserve">H01: </w:t>
      </w:r>
      <w:r w:rsidR="00EB5E75" w:rsidRPr="00A601E6">
        <w:rPr>
          <w:rFonts w:ascii="Arial" w:eastAsia="Times New Roman" w:hAnsi="Arial" w:cs="Arial"/>
          <w:i/>
          <w:iCs/>
          <w:sz w:val="20"/>
          <w:szCs w:val="20"/>
        </w:rPr>
        <w:t>Mediation does not influence tax compliance in the Nairobi Region.</w:t>
      </w:r>
    </w:p>
    <w:p w14:paraId="1D13FD1D" w14:textId="77777777" w:rsidR="004D63F6" w:rsidRPr="004D63F6" w:rsidRDefault="004D63F6" w:rsidP="004D63F6">
      <w:pPr>
        <w:spacing w:after="0" w:line="240" w:lineRule="auto"/>
        <w:jc w:val="both"/>
        <w:rPr>
          <w:rFonts w:ascii="Arial" w:eastAsia="Times New Roman" w:hAnsi="Arial" w:cs="Arial"/>
          <w:b/>
          <w:caps/>
          <w:szCs w:val="20"/>
        </w:rPr>
      </w:pPr>
    </w:p>
    <w:p w14:paraId="22E1F025"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2 </w:t>
      </w:r>
      <w:r w:rsidRPr="004D63F6">
        <w:rPr>
          <w:rFonts w:ascii="Arial" w:eastAsia="Times New Roman" w:hAnsi="Arial" w:cs="Arial"/>
          <w:b/>
          <w:szCs w:val="20"/>
        </w:rPr>
        <w:t>Mediation</w:t>
      </w:r>
    </w:p>
    <w:p w14:paraId="50C66E2B" w14:textId="77777777" w:rsidR="004D63F6" w:rsidRDefault="004D63F6" w:rsidP="004D63F6">
      <w:pPr>
        <w:spacing w:after="0" w:line="240" w:lineRule="auto"/>
        <w:jc w:val="both"/>
        <w:rPr>
          <w:rFonts w:ascii="Arial" w:eastAsia="Times New Roman" w:hAnsi="Arial" w:cs="Arial"/>
          <w:sz w:val="20"/>
          <w:szCs w:val="20"/>
        </w:rPr>
      </w:pPr>
    </w:p>
    <w:p w14:paraId="677D4056"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lastRenderedPageBreak/>
        <w:t xml:space="preserve">One of the most compelling advantages of mediation in tax-related ADR is the efficiency and timeliness it brings to the table. Unlike traditional litigation, which is often marred by procedural red tape, protracted hearings and congested court dockets, mediation offers a </w:t>
      </w:r>
      <w:r w:rsidR="007F550A">
        <w:rPr>
          <w:rFonts w:ascii="Arial" w:eastAsia="Times New Roman" w:hAnsi="Arial" w:cs="Arial"/>
          <w:sz w:val="20"/>
          <w:szCs w:val="20"/>
        </w:rPr>
        <w:t>streamlined path to resolution [15]</w:t>
      </w:r>
      <w:r w:rsidRPr="004D63F6">
        <w:rPr>
          <w:rFonts w:ascii="Arial" w:eastAsia="Times New Roman" w:hAnsi="Arial" w:cs="Arial"/>
          <w:sz w:val="20"/>
          <w:szCs w:val="20"/>
        </w:rPr>
        <w:t>. Tax disputes in courts can extend for years, subjecting both parties to drawn-out and recurring litigation cycles, judicial reviews, and expensive delays. In stark contrast, mediation trims down these timelines significantly enabling quicker closure and improved administrative productivity.</w:t>
      </w:r>
    </w:p>
    <w:p w14:paraId="4B19FF7B"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 study by OECD </w:t>
      </w:r>
      <w:r w:rsidR="00B822DA">
        <w:rPr>
          <w:rFonts w:ascii="Arial" w:eastAsia="Times New Roman" w:hAnsi="Arial" w:cs="Arial"/>
          <w:sz w:val="20"/>
          <w:szCs w:val="20"/>
        </w:rPr>
        <w:t>[14]</w:t>
      </w:r>
      <w:r w:rsidR="00B822DA" w:rsidRPr="004D63F6">
        <w:rPr>
          <w:rFonts w:ascii="Arial" w:eastAsia="Times New Roman" w:hAnsi="Arial" w:cs="Arial"/>
          <w:sz w:val="20"/>
          <w:szCs w:val="20"/>
        </w:rPr>
        <w:t xml:space="preserve"> </w:t>
      </w:r>
      <w:r w:rsidRPr="004D63F6">
        <w:rPr>
          <w:rFonts w:ascii="Arial" w:eastAsia="Times New Roman" w:hAnsi="Arial" w:cs="Arial"/>
          <w:sz w:val="20"/>
          <w:szCs w:val="20"/>
        </w:rPr>
        <w:t>highlights this advantage, noting that jurisdictions with well-established mediation frameworks reported up to a 60% reduction in resolution time for tax-related disputes. This finding is particularly relevant to developing economies like Kenya, where judicial inefficiencies can significantly hamper revenue collection and erode taxpayer trust. The KRA, through its ADR Framework launched in 2015, has made significant progress in this area. As per KRA’s 2021 Annual Report, disputes resolved via mediation averaged just 42 days in the f</w:t>
      </w:r>
      <w:r w:rsidR="007F550A">
        <w:rPr>
          <w:rFonts w:ascii="Arial" w:eastAsia="Times New Roman" w:hAnsi="Arial" w:cs="Arial"/>
          <w:sz w:val="20"/>
          <w:szCs w:val="20"/>
        </w:rPr>
        <w:t>iscal year 2020/2021 [16]</w:t>
      </w:r>
      <w:r w:rsidRPr="004D63F6">
        <w:rPr>
          <w:rFonts w:ascii="Arial" w:eastAsia="Times New Roman" w:hAnsi="Arial" w:cs="Arial"/>
          <w:sz w:val="20"/>
          <w:szCs w:val="20"/>
        </w:rPr>
        <w:t>. Such timeliness not only relieves the revenue authority of administrative backlog but also cushions taxpayers from prolonged uncertainty and financial strain, thereby improving voluntary compliance and encouraging mutual cooperation within the tax system.</w:t>
      </w:r>
    </w:p>
    <w:p w14:paraId="3F6ADC2A"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Beyond efficiency, the high accomplishment rate of mediation in solving tax disputes highlights its effectiveness as a dispute resolution method. Mediation, by its very nature, is a collaborative and interest-based process, where both parties actively seek mutually acceptable solutions </w:t>
      </w:r>
      <w:r w:rsidR="001C50B6">
        <w:rPr>
          <w:rFonts w:ascii="Arial" w:eastAsia="Times New Roman" w:hAnsi="Arial" w:cs="Arial"/>
          <w:sz w:val="20"/>
          <w:szCs w:val="20"/>
        </w:rPr>
        <w:t>[</w:t>
      </w:r>
      <w:r w:rsidR="001C50B6" w:rsidRPr="004D63F6">
        <w:rPr>
          <w:rFonts w:ascii="Arial" w:eastAsia="Times New Roman" w:hAnsi="Arial" w:cs="Arial"/>
          <w:sz w:val="20"/>
          <w:szCs w:val="20"/>
        </w:rPr>
        <w:t>1</w:t>
      </w:r>
      <w:r w:rsidR="001C50B6">
        <w:rPr>
          <w:rFonts w:ascii="Arial" w:eastAsia="Times New Roman" w:hAnsi="Arial" w:cs="Arial"/>
          <w:sz w:val="20"/>
          <w:szCs w:val="20"/>
        </w:rPr>
        <w:t>7].</w:t>
      </w:r>
      <w:r w:rsidRPr="004D63F6">
        <w:rPr>
          <w:rFonts w:ascii="Arial" w:eastAsia="Times New Roman" w:hAnsi="Arial" w:cs="Arial"/>
          <w:sz w:val="20"/>
          <w:szCs w:val="20"/>
        </w:rPr>
        <w:t xml:space="preserve"> This approach contrasts sharply with adversarial court proceedings, which often result in win-lose outcomes and strained relationships. According to a global report by </w:t>
      </w:r>
      <w:proofErr w:type="spellStart"/>
      <w:r w:rsidRPr="004D63F6">
        <w:rPr>
          <w:rFonts w:ascii="Arial" w:eastAsia="Times New Roman" w:hAnsi="Arial" w:cs="Arial"/>
          <w:sz w:val="20"/>
          <w:szCs w:val="20"/>
        </w:rPr>
        <w:t>Pistone</w:t>
      </w:r>
      <w:proofErr w:type="spellEnd"/>
      <w:r w:rsidRPr="004D63F6">
        <w:rPr>
          <w:rFonts w:ascii="Arial" w:eastAsia="Times New Roman" w:hAnsi="Arial" w:cs="Arial"/>
          <w:sz w:val="20"/>
          <w:szCs w:val="20"/>
        </w:rPr>
        <w:t xml:space="preserve"> and Goede </w:t>
      </w:r>
      <w:r w:rsidR="001C50B6">
        <w:rPr>
          <w:rFonts w:ascii="Arial" w:eastAsia="Times New Roman" w:hAnsi="Arial" w:cs="Arial"/>
          <w:sz w:val="20"/>
          <w:szCs w:val="20"/>
        </w:rPr>
        <w:t>[</w:t>
      </w:r>
      <w:r w:rsidR="001C50B6" w:rsidRPr="001C50B6">
        <w:rPr>
          <w:rFonts w:ascii="Arial" w:eastAsia="Times New Roman" w:hAnsi="Arial" w:cs="Arial"/>
          <w:sz w:val="20"/>
          <w:szCs w:val="20"/>
        </w:rPr>
        <w:t>18</w:t>
      </w:r>
      <w:r w:rsidR="001C50B6">
        <w:rPr>
          <w:rFonts w:ascii="Arial" w:eastAsia="Times New Roman" w:hAnsi="Arial" w:cs="Arial"/>
          <w:sz w:val="20"/>
          <w:szCs w:val="20"/>
        </w:rPr>
        <w:t>],</w:t>
      </w:r>
      <w:r w:rsidRPr="004D63F6">
        <w:rPr>
          <w:rFonts w:ascii="Arial" w:eastAsia="Times New Roman" w:hAnsi="Arial" w:cs="Arial"/>
          <w:sz w:val="20"/>
          <w:szCs w:val="20"/>
        </w:rPr>
        <w:t xml:space="preserve"> countries that have embraced mediation in tax ADR, such as the Netherlands, Canada, and South Africa, report success rates exceeding 70%. Kenya’s experience aligns with this trend. In Fiscal year 2023/2024, the TAT and KRA reported </w:t>
      </w:r>
      <w:proofErr w:type="gramStart"/>
      <w:r w:rsidRPr="004D63F6">
        <w:rPr>
          <w:rFonts w:ascii="Arial" w:eastAsia="Times New Roman" w:hAnsi="Arial" w:cs="Arial"/>
          <w:sz w:val="20"/>
          <w:szCs w:val="20"/>
        </w:rPr>
        <w:t>a</w:t>
      </w:r>
      <w:proofErr w:type="gramEnd"/>
      <w:r w:rsidRPr="004D63F6">
        <w:rPr>
          <w:rFonts w:ascii="Arial" w:eastAsia="Times New Roman" w:hAnsi="Arial" w:cs="Arial"/>
          <w:sz w:val="20"/>
          <w:szCs w:val="20"/>
        </w:rPr>
        <w:t xml:space="preserve"> 81% resolution rate for cases referred to mediation as compared to 78% in financial year 2020/2021 </w:t>
      </w:r>
      <w:r w:rsidR="007F550A">
        <w:rPr>
          <w:rFonts w:ascii="Arial" w:eastAsia="Times New Roman" w:hAnsi="Arial" w:cs="Arial"/>
          <w:sz w:val="20"/>
          <w:szCs w:val="20"/>
        </w:rPr>
        <w:t>16]</w:t>
      </w:r>
      <w:r w:rsidR="007F550A" w:rsidRPr="004D63F6">
        <w:rPr>
          <w:rFonts w:ascii="Arial" w:eastAsia="Times New Roman" w:hAnsi="Arial" w:cs="Arial"/>
          <w:sz w:val="20"/>
          <w:szCs w:val="20"/>
        </w:rPr>
        <w:t xml:space="preserve">. </w:t>
      </w:r>
      <w:r w:rsidRPr="004D63F6">
        <w:rPr>
          <w:rFonts w:ascii="Arial" w:eastAsia="Times New Roman" w:hAnsi="Arial" w:cs="Arial"/>
          <w:sz w:val="20"/>
          <w:szCs w:val="20"/>
        </w:rPr>
        <w:t xml:space="preserve">This high success rate is particularly significant in disputes rooted in issues like ambiguous tax interpretations, procedural oversights or lack of taxpayer awareness areas where litigation may not offer the flexibility or nuanced understanding required to reach a fair outcome. </w:t>
      </w:r>
    </w:p>
    <w:p w14:paraId="018CFFDE"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Another pillar of mediation’s effectiveness lies in its perceived neutrality. Trust is a fragile commodity in tax administration and when disputes arise, taxpayers are often skeptical of processes managed solely by the revenue authority. Here, the role of a neutral mediator becomes indispensable. A mediator’s impartiality reassures both parties that the process is fair, unbiased and guided by principles of justice rather than institutional loyalty</w:t>
      </w:r>
      <w:r w:rsidR="001C50B6">
        <w:rPr>
          <w:rFonts w:ascii="Arial" w:eastAsia="Times New Roman" w:hAnsi="Arial" w:cs="Arial"/>
          <w:sz w:val="20"/>
          <w:szCs w:val="20"/>
        </w:rPr>
        <w:t>.</w:t>
      </w:r>
      <w:r w:rsidRPr="004D63F6">
        <w:rPr>
          <w:rFonts w:ascii="Arial" w:eastAsia="Times New Roman" w:hAnsi="Arial" w:cs="Arial"/>
          <w:sz w:val="20"/>
          <w:szCs w:val="20"/>
        </w:rPr>
        <w:t xml:space="preserve"> IMF </w:t>
      </w:r>
      <w:r w:rsidR="001C50B6">
        <w:rPr>
          <w:rFonts w:ascii="Arial" w:eastAsia="Times New Roman" w:hAnsi="Arial" w:cs="Arial"/>
          <w:sz w:val="20"/>
          <w:szCs w:val="20"/>
        </w:rPr>
        <w:t>[</w:t>
      </w:r>
      <w:r w:rsidR="001C50B6" w:rsidRPr="001C50B6">
        <w:rPr>
          <w:rFonts w:ascii="Arial" w:eastAsia="Times New Roman" w:hAnsi="Arial" w:cs="Arial"/>
          <w:sz w:val="20"/>
          <w:szCs w:val="20"/>
        </w:rPr>
        <w:t>19</w:t>
      </w:r>
      <w:r w:rsidR="001C50B6">
        <w:rPr>
          <w:rFonts w:ascii="Arial" w:eastAsia="Times New Roman" w:hAnsi="Arial" w:cs="Arial"/>
          <w:sz w:val="20"/>
          <w:szCs w:val="20"/>
        </w:rPr>
        <w:t>]</w:t>
      </w:r>
      <w:r w:rsidRPr="004D63F6">
        <w:rPr>
          <w:rFonts w:ascii="Arial" w:eastAsia="Times New Roman" w:hAnsi="Arial" w:cs="Arial"/>
          <w:sz w:val="20"/>
          <w:szCs w:val="20"/>
        </w:rPr>
        <w:t xml:space="preserve"> strongly emphasizes the need for neutrality in tax-related ADR mechanisms. It recommends that it is important that mediators are free from influence by both disputing sides and possess a deep understanding of tax law and dispute resolution. Kenya’s ADR framework adheres to this global best practice. Mediators are drawn from a vetted panel comprising tax professionals, legal experts and retired judges a deliberate effort to preserve imparti</w:t>
      </w:r>
      <w:r w:rsidR="001C50B6">
        <w:rPr>
          <w:rFonts w:ascii="Arial" w:eastAsia="Times New Roman" w:hAnsi="Arial" w:cs="Arial"/>
          <w:sz w:val="20"/>
          <w:szCs w:val="20"/>
        </w:rPr>
        <w:t xml:space="preserve">ality and credibility </w:t>
      </w:r>
      <w:proofErr w:type="spellStart"/>
      <w:r w:rsidRPr="004D63F6">
        <w:rPr>
          <w:rFonts w:ascii="Arial" w:eastAsia="Times New Roman" w:hAnsi="Arial" w:cs="Arial"/>
          <w:sz w:val="20"/>
          <w:szCs w:val="20"/>
        </w:rPr>
        <w:t>Maragia</w:t>
      </w:r>
      <w:proofErr w:type="spellEnd"/>
      <w:r w:rsidR="001C50B6">
        <w:rPr>
          <w:rFonts w:ascii="Arial" w:eastAsia="Times New Roman" w:hAnsi="Arial" w:cs="Arial"/>
          <w:sz w:val="20"/>
          <w:szCs w:val="20"/>
        </w:rPr>
        <w:t xml:space="preserve"> [</w:t>
      </w:r>
      <w:r w:rsidR="001C50B6" w:rsidRPr="001C50B6">
        <w:rPr>
          <w:rFonts w:ascii="Arial" w:eastAsia="Times New Roman" w:hAnsi="Arial" w:cs="Arial"/>
          <w:sz w:val="20"/>
          <w:szCs w:val="20"/>
        </w:rPr>
        <w:t>20</w:t>
      </w:r>
      <w:r w:rsidR="001C50B6">
        <w:rPr>
          <w:rFonts w:ascii="Arial" w:eastAsia="Times New Roman" w:hAnsi="Arial" w:cs="Arial"/>
          <w:sz w:val="20"/>
          <w:szCs w:val="20"/>
        </w:rPr>
        <w:t>].</w:t>
      </w:r>
      <w:r w:rsidRPr="004D63F6">
        <w:rPr>
          <w:rFonts w:ascii="Arial" w:eastAsia="Times New Roman" w:hAnsi="Arial" w:cs="Arial"/>
          <w:sz w:val="20"/>
          <w:szCs w:val="20"/>
        </w:rPr>
        <w:t xml:space="preserve"> This model mirrors approaches used in countries like Australia and U.S., where, for example, IRS mandates mediator neutrality as a conditio</w:t>
      </w:r>
      <w:r w:rsidR="001C50B6">
        <w:rPr>
          <w:rFonts w:ascii="Arial" w:eastAsia="Times New Roman" w:hAnsi="Arial" w:cs="Arial"/>
          <w:sz w:val="20"/>
          <w:szCs w:val="20"/>
        </w:rPr>
        <w:t>n for ADR engagement IRS [</w:t>
      </w:r>
      <w:r w:rsidR="001C50B6" w:rsidRPr="001C50B6">
        <w:rPr>
          <w:rFonts w:ascii="Arial" w:eastAsia="Times New Roman" w:hAnsi="Arial" w:cs="Arial"/>
          <w:sz w:val="20"/>
          <w:szCs w:val="20"/>
        </w:rPr>
        <w:t>21</w:t>
      </w:r>
      <w:r w:rsidR="001C50B6">
        <w:rPr>
          <w:rFonts w:ascii="Arial" w:eastAsia="Times New Roman" w:hAnsi="Arial" w:cs="Arial"/>
          <w:sz w:val="20"/>
          <w:szCs w:val="20"/>
        </w:rPr>
        <w:t>]</w:t>
      </w:r>
      <w:r w:rsidRPr="004D63F6">
        <w:rPr>
          <w:rFonts w:ascii="Arial" w:eastAsia="Times New Roman" w:hAnsi="Arial" w:cs="Arial"/>
          <w:sz w:val="20"/>
          <w:szCs w:val="20"/>
        </w:rPr>
        <w:t>.</w:t>
      </w:r>
    </w:p>
    <w:p w14:paraId="19409B80"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Furthermore, a study by the World Bank </w:t>
      </w:r>
      <w:r w:rsidR="002F4272">
        <w:rPr>
          <w:rFonts w:ascii="Arial" w:eastAsia="Times New Roman" w:hAnsi="Arial" w:cs="Arial"/>
          <w:sz w:val="20"/>
          <w:szCs w:val="20"/>
        </w:rPr>
        <w:t>[</w:t>
      </w:r>
      <w:r w:rsidR="002F4272" w:rsidRPr="002F4272">
        <w:rPr>
          <w:rFonts w:ascii="Arial" w:eastAsia="Times New Roman" w:hAnsi="Arial" w:cs="Arial"/>
          <w:sz w:val="20"/>
          <w:szCs w:val="20"/>
        </w:rPr>
        <w:t>22</w:t>
      </w:r>
      <w:r w:rsidR="002F4272">
        <w:rPr>
          <w:rFonts w:ascii="Arial" w:eastAsia="Times New Roman" w:hAnsi="Arial" w:cs="Arial"/>
          <w:sz w:val="20"/>
          <w:szCs w:val="20"/>
        </w:rPr>
        <w:t>]</w:t>
      </w:r>
      <w:r w:rsidRPr="004D63F6">
        <w:rPr>
          <w:rFonts w:ascii="Arial" w:eastAsia="Times New Roman" w:hAnsi="Arial" w:cs="Arial"/>
          <w:sz w:val="20"/>
          <w:szCs w:val="20"/>
        </w:rPr>
        <w:t xml:space="preserve"> noted that jurisdictions with transparent mediator selection processes and structured mediation protocols reported higher taxpayer satisfaction and post-resolution compliance. When taxpayers view the resolution mechanism as impartial and equitable, they are more probable to cooperate, accept outcomes and remain compliant in the future. This highlights the broader institutional benefits of mediation not just in resolving individual disputes, but in nurturing a system fostering trust, clarity and partnership between the government and the public.</w:t>
      </w:r>
    </w:p>
    <w:p w14:paraId="5E9A4BA6" w14:textId="77777777" w:rsidR="004D63F6" w:rsidRPr="004D63F6" w:rsidRDefault="00EB5E75"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H02: Arbitration does not influence tax compliance in Nairobi Region.</w:t>
      </w:r>
      <w:r>
        <w:rPr>
          <w:rFonts w:ascii="Arial" w:eastAsia="Times New Roman" w:hAnsi="Arial" w:cs="Arial"/>
          <w:i/>
          <w:iCs/>
          <w:sz w:val="20"/>
          <w:szCs w:val="20"/>
        </w:rPr>
        <w:t xml:space="preserve"> </w:t>
      </w:r>
    </w:p>
    <w:p w14:paraId="605515F4" w14:textId="77777777" w:rsidR="004D63F6" w:rsidRPr="004D63F6" w:rsidRDefault="004D63F6" w:rsidP="004D63F6">
      <w:pPr>
        <w:spacing w:after="0" w:line="240" w:lineRule="auto"/>
        <w:jc w:val="both"/>
        <w:rPr>
          <w:rFonts w:ascii="Arial" w:eastAsia="Times New Roman" w:hAnsi="Arial" w:cs="Arial"/>
          <w:sz w:val="20"/>
          <w:szCs w:val="20"/>
        </w:rPr>
      </w:pPr>
    </w:p>
    <w:p w14:paraId="3B38105A" w14:textId="77777777" w:rsidR="004D63F6" w:rsidRPr="004D63F6" w:rsidRDefault="004D63F6" w:rsidP="004D63F6">
      <w:pPr>
        <w:spacing w:after="240" w:line="240" w:lineRule="auto"/>
        <w:jc w:val="both"/>
        <w:rPr>
          <w:rFonts w:ascii="Arial" w:eastAsia="Times New Roman" w:hAnsi="Arial" w:cs="Arial"/>
          <w:b/>
          <w:bCs/>
          <w:sz w:val="20"/>
          <w:szCs w:val="20"/>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3 </w:t>
      </w:r>
      <w:r w:rsidRPr="004D63F6">
        <w:rPr>
          <w:rFonts w:ascii="Arial" w:eastAsia="Times New Roman" w:hAnsi="Arial" w:cs="Arial"/>
          <w:b/>
          <w:bCs/>
        </w:rPr>
        <w:t>Arbitration</w:t>
      </w:r>
    </w:p>
    <w:p w14:paraId="70D816F2"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Arbitration has increasingly become a point of interest in tax dispute resolution. As opposed to standard court proceedings, which tend to be combative, protracted and expensive, arbitration involves a neutral third-party arbitrator whose decision is typically binding </w:t>
      </w:r>
      <w:r w:rsidR="002F4272">
        <w:rPr>
          <w:rFonts w:ascii="Arial" w:eastAsia="Times New Roman" w:hAnsi="Arial" w:cs="Arial"/>
          <w:sz w:val="20"/>
          <w:szCs w:val="20"/>
        </w:rPr>
        <w:t>[</w:t>
      </w:r>
      <w:r w:rsidR="002F4272" w:rsidRPr="002F4272">
        <w:rPr>
          <w:rFonts w:ascii="Arial" w:eastAsia="Times New Roman" w:hAnsi="Arial" w:cs="Arial"/>
          <w:sz w:val="20"/>
          <w:szCs w:val="20"/>
        </w:rPr>
        <w:t>23</w:t>
      </w:r>
      <w:r w:rsidR="002F4272">
        <w:rPr>
          <w:rFonts w:ascii="Arial" w:eastAsia="Times New Roman" w:hAnsi="Arial" w:cs="Arial"/>
          <w:sz w:val="20"/>
          <w:szCs w:val="20"/>
        </w:rPr>
        <w:t>].</w:t>
      </w:r>
      <w:r w:rsidRPr="004D63F6">
        <w:rPr>
          <w:rFonts w:ascii="Arial" w:eastAsia="Times New Roman" w:hAnsi="Arial" w:cs="Arial"/>
          <w:sz w:val="20"/>
          <w:szCs w:val="20"/>
        </w:rPr>
        <w:t xml:space="preserve"> It presents a more streamlined and cooperative approach to addressing tax compliance disagreements between the public and fiscal authorities. In tax disputes, especially those involving complex or cross-border issues, arbitration is being embraced as a pragmatic and efficient substitute to the conventional court process </w:t>
      </w:r>
      <w:r w:rsidR="002F4272">
        <w:rPr>
          <w:rFonts w:ascii="Arial" w:eastAsia="Times New Roman" w:hAnsi="Arial" w:cs="Arial"/>
          <w:sz w:val="20"/>
          <w:szCs w:val="20"/>
        </w:rPr>
        <w:t>[</w:t>
      </w:r>
      <w:r w:rsidR="002F4272" w:rsidRPr="002F4272">
        <w:rPr>
          <w:rFonts w:ascii="Arial" w:eastAsia="Times New Roman" w:hAnsi="Arial" w:cs="Arial"/>
          <w:sz w:val="20"/>
          <w:szCs w:val="20"/>
        </w:rPr>
        <w:t>24</w:t>
      </w:r>
      <w:r w:rsidR="002F4272">
        <w:rPr>
          <w:rFonts w:ascii="Arial" w:eastAsia="Times New Roman" w:hAnsi="Arial" w:cs="Arial"/>
          <w:sz w:val="20"/>
          <w:szCs w:val="20"/>
        </w:rPr>
        <w:t>].</w:t>
      </w:r>
    </w:p>
    <w:p w14:paraId="2CF54258"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One of the most notable advantages of arbitration in tax matters is cost-effectiveness. </w:t>
      </w:r>
      <w:r w:rsidRPr="004D63F6">
        <w:rPr>
          <w:rFonts w:ascii="Arial" w:eastAsia="Times New Roman" w:hAnsi="Arial" w:cs="Arial"/>
          <w:sz w:val="20"/>
          <w:szCs w:val="20"/>
        </w:rPr>
        <w:lastRenderedPageBreak/>
        <w:t xml:space="preserve">Traditional court litigation often involves significant financial and administrative burdens, ranging from legal fees and court charges to the indirect costs associated with prolonged proceedings </w:t>
      </w:r>
      <w:r w:rsidR="002F4272">
        <w:rPr>
          <w:rFonts w:ascii="Arial" w:eastAsia="Times New Roman" w:hAnsi="Arial" w:cs="Arial"/>
          <w:sz w:val="20"/>
          <w:szCs w:val="20"/>
        </w:rPr>
        <w:t>[</w:t>
      </w:r>
      <w:r w:rsidR="002F4272" w:rsidRPr="002F4272">
        <w:rPr>
          <w:rFonts w:ascii="Arial" w:eastAsia="Times New Roman" w:hAnsi="Arial" w:cs="Arial"/>
          <w:sz w:val="20"/>
          <w:szCs w:val="20"/>
        </w:rPr>
        <w:t>25</w:t>
      </w:r>
      <w:r w:rsidR="002F4272">
        <w:rPr>
          <w:rFonts w:ascii="Arial" w:eastAsia="Times New Roman" w:hAnsi="Arial" w:cs="Arial"/>
          <w:sz w:val="20"/>
          <w:szCs w:val="20"/>
        </w:rPr>
        <w:t>]</w:t>
      </w:r>
      <w:r w:rsidRPr="004D63F6">
        <w:rPr>
          <w:rFonts w:ascii="Arial" w:eastAsia="Times New Roman" w:hAnsi="Arial" w:cs="Arial"/>
          <w:sz w:val="20"/>
          <w:szCs w:val="20"/>
        </w:rPr>
        <w:t xml:space="preserve">. Arbitration, by contrast, tends to reduce these expenses substantially by narrowing the scope of issues and expediting the resolution process. </w:t>
      </w:r>
      <w:proofErr w:type="spellStart"/>
      <w:r w:rsidRPr="004D63F6">
        <w:rPr>
          <w:rFonts w:ascii="Arial" w:eastAsia="Times New Roman" w:hAnsi="Arial" w:cs="Arial"/>
          <w:sz w:val="20"/>
          <w:szCs w:val="20"/>
        </w:rPr>
        <w:t>Aliu</w:t>
      </w:r>
      <w:proofErr w:type="spellEnd"/>
      <w:r w:rsidRPr="004D63F6">
        <w:rPr>
          <w:rFonts w:ascii="Arial" w:eastAsia="Times New Roman" w:hAnsi="Arial" w:cs="Arial"/>
          <w:sz w:val="20"/>
          <w:szCs w:val="20"/>
        </w:rPr>
        <w:t xml:space="preserve"> </w:t>
      </w:r>
      <w:r w:rsidR="003B372C">
        <w:rPr>
          <w:rFonts w:ascii="Arial" w:eastAsia="Times New Roman" w:hAnsi="Arial" w:cs="Arial"/>
          <w:sz w:val="20"/>
          <w:szCs w:val="20"/>
        </w:rPr>
        <w:t>[</w:t>
      </w:r>
      <w:r w:rsidR="003B372C" w:rsidRPr="003B372C">
        <w:rPr>
          <w:rFonts w:ascii="Arial" w:eastAsia="Times New Roman" w:hAnsi="Arial" w:cs="Arial"/>
          <w:sz w:val="20"/>
          <w:szCs w:val="20"/>
        </w:rPr>
        <w:t>26</w:t>
      </w:r>
      <w:r w:rsidR="003B372C">
        <w:rPr>
          <w:rFonts w:ascii="Arial" w:eastAsia="Times New Roman" w:hAnsi="Arial" w:cs="Arial"/>
          <w:sz w:val="20"/>
          <w:szCs w:val="20"/>
        </w:rPr>
        <w:t>]</w:t>
      </w:r>
      <w:r w:rsidRPr="004D63F6">
        <w:rPr>
          <w:rFonts w:ascii="Arial" w:eastAsia="Times New Roman" w:hAnsi="Arial" w:cs="Arial"/>
          <w:sz w:val="20"/>
          <w:szCs w:val="20"/>
        </w:rPr>
        <w:t xml:space="preserve"> emphasizes this point, underlining the shift toward including arbitration provisions in fiscal agreements particularly under the MAP has led to a noteworthy reduction in costs linked to protracted bilateral disputes. Similarly, Nairobi Centre for International Arbitration </w:t>
      </w:r>
      <w:r w:rsidR="007F550A">
        <w:rPr>
          <w:rFonts w:ascii="Arial" w:eastAsia="Times New Roman" w:hAnsi="Arial" w:cs="Arial"/>
          <w:sz w:val="20"/>
          <w:szCs w:val="20"/>
        </w:rPr>
        <w:t xml:space="preserve">[15] </w:t>
      </w:r>
      <w:r w:rsidRPr="004D63F6">
        <w:rPr>
          <w:rFonts w:ascii="Arial" w:eastAsia="Times New Roman" w:hAnsi="Arial" w:cs="Arial"/>
          <w:sz w:val="20"/>
          <w:szCs w:val="20"/>
        </w:rPr>
        <w:t>found that the average cost per dispute was markedly lower in jurisdictions that have institutionalized arbitration within their tax systems compared to those relying solely on court-based mechanisms.</w:t>
      </w:r>
    </w:p>
    <w:p w14:paraId="57FEEA55"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Equally important is the perceived fairness of arbitration, which contributes to its growing acceptance among stakeholders. Arbitration is typically characterized by neutrality, confidentiality and the appointment of expert arbitrators who possess a deep understanding of tax law. Unlike in traditional litigation where outcomes may be shaped by procedural complexities, delays or even public sentiment, arbitration focuses on substantive issues, thereby enhancing the sense of justice for all p</w:t>
      </w:r>
      <w:r w:rsidR="003B372C">
        <w:rPr>
          <w:rFonts w:ascii="Arial" w:eastAsia="Times New Roman" w:hAnsi="Arial" w:cs="Arial"/>
          <w:sz w:val="20"/>
          <w:szCs w:val="20"/>
        </w:rPr>
        <w:t>arties involved [27]</w:t>
      </w:r>
      <w:r w:rsidRPr="004D63F6">
        <w:rPr>
          <w:rFonts w:ascii="Arial" w:eastAsia="Times New Roman" w:hAnsi="Arial" w:cs="Arial"/>
          <w:sz w:val="20"/>
          <w:szCs w:val="20"/>
        </w:rPr>
        <w:t>. A global survey conducted by White and Case</w:t>
      </w:r>
      <w:r w:rsidR="003B372C">
        <w:rPr>
          <w:rFonts w:ascii="Arial" w:eastAsia="Times New Roman" w:hAnsi="Arial" w:cs="Arial"/>
          <w:sz w:val="20"/>
          <w:szCs w:val="20"/>
        </w:rPr>
        <w:t xml:space="preserve"> [</w:t>
      </w:r>
      <w:r w:rsidR="003B372C" w:rsidRPr="003B372C">
        <w:rPr>
          <w:rFonts w:ascii="Arial" w:eastAsia="Times New Roman" w:hAnsi="Arial" w:cs="Arial"/>
          <w:sz w:val="20"/>
          <w:szCs w:val="20"/>
        </w:rPr>
        <w:t>28</w:t>
      </w:r>
      <w:r w:rsidR="003B372C">
        <w:rPr>
          <w:rFonts w:ascii="Arial" w:eastAsia="Times New Roman" w:hAnsi="Arial" w:cs="Arial"/>
          <w:sz w:val="20"/>
          <w:szCs w:val="20"/>
        </w:rPr>
        <w:t>]</w:t>
      </w:r>
      <w:r w:rsidRPr="004D63F6">
        <w:rPr>
          <w:rFonts w:ascii="Arial" w:eastAsia="Times New Roman" w:hAnsi="Arial" w:cs="Arial"/>
          <w:sz w:val="20"/>
          <w:szCs w:val="20"/>
        </w:rPr>
        <w:t xml:space="preserve"> revealed that more than 56% of multinational corporations perceived arbitration to be a fairer process than litigation. Furthermore, </w:t>
      </w:r>
      <w:r w:rsidR="003B372C">
        <w:rPr>
          <w:rFonts w:ascii="Arial" w:eastAsia="Times New Roman" w:hAnsi="Arial" w:cs="Arial"/>
          <w:sz w:val="20"/>
          <w:szCs w:val="20"/>
        </w:rPr>
        <w:t>[</w:t>
      </w:r>
      <w:r w:rsidR="003B372C" w:rsidRPr="003B372C">
        <w:rPr>
          <w:rFonts w:ascii="Arial" w:eastAsia="Times New Roman" w:hAnsi="Arial" w:cs="Arial"/>
          <w:sz w:val="20"/>
          <w:szCs w:val="20"/>
        </w:rPr>
        <w:t>29</w:t>
      </w:r>
      <w:r w:rsidR="003B372C">
        <w:rPr>
          <w:rFonts w:ascii="Arial" w:eastAsia="Times New Roman" w:hAnsi="Arial" w:cs="Arial"/>
          <w:sz w:val="20"/>
          <w:szCs w:val="20"/>
        </w:rPr>
        <w:t>]</w:t>
      </w:r>
      <w:r w:rsidRPr="004D63F6">
        <w:rPr>
          <w:rFonts w:ascii="Arial" w:eastAsia="Times New Roman" w:hAnsi="Arial" w:cs="Arial"/>
          <w:sz w:val="20"/>
          <w:szCs w:val="20"/>
        </w:rPr>
        <w:t xml:space="preserve"> affirms that the consensual nature of arbitration enhances its legitimacy and fairness, particularly in high-stake or politically sensitive tax matters. </w:t>
      </w:r>
    </w:p>
    <w:p w14:paraId="697099D7"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Another compelling argument for arbitration in tax dispute resolution is timeliness. Tax litigation can often take years, particularly in cases involving large corporations or complex international arrangements. This delay contributes to financial uncertainty for both parties involved. Arbitration is typically governed by pre-agreed timelines, streamlined procedures and limited avenues for appeal, all of which contribute to swifter resolutions. According to </w:t>
      </w:r>
      <w:r w:rsidR="002E7AF5">
        <w:rPr>
          <w:rFonts w:ascii="Arial" w:eastAsia="Times New Roman" w:hAnsi="Arial" w:cs="Arial"/>
          <w:sz w:val="20"/>
          <w:szCs w:val="20"/>
        </w:rPr>
        <w:t>[</w:t>
      </w:r>
      <w:r w:rsidR="002E7AF5" w:rsidRPr="002E7AF5">
        <w:rPr>
          <w:rFonts w:ascii="Arial" w:eastAsia="Times New Roman" w:hAnsi="Arial" w:cs="Arial"/>
          <w:sz w:val="20"/>
          <w:szCs w:val="20"/>
        </w:rPr>
        <w:t>30</w:t>
      </w:r>
      <w:r w:rsidR="002E7AF5">
        <w:rPr>
          <w:rFonts w:ascii="Arial" w:eastAsia="Times New Roman" w:hAnsi="Arial" w:cs="Arial"/>
          <w:sz w:val="20"/>
          <w:szCs w:val="20"/>
        </w:rPr>
        <w:t>]</w:t>
      </w:r>
      <w:r w:rsidRPr="004D63F6">
        <w:rPr>
          <w:rFonts w:ascii="Arial" w:eastAsia="Times New Roman" w:hAnsi="Arial" w:cs="Arial"/>
          <w:sz w:val="20"/>
          <w:szCs w:val="20"/>
        </w:rPr>
        <w:t>, enforcing contracts through the court system in Kenya can take approximately 465 days, broken down into 40 days for filing and serving documents, 365 days for judgment delivery, and an additional 60 days for enforcement.</w:t>
      </w:r>
      <w:r w:rsidR="002E7AF5">
        <w:rPr>
          <w:rFonts w:ascii="Arial" w:eastAsia="Times New Roman" w:hAnsi="Arial" w:cs="Arial"/>
          <w:sz w:val="20"/>
          <w:szCs w:val="20"/>
        </w:rPr>
        <w:t xml:space="preserve"> In contrast, as noted by [</w:t>
      </w:r>
      <w:r w:rsidR="002E7AF5" w:rsidRPr="002E7AF5">
        <w:rPr>
          <w:rFonts w:ascii="Arial" w:eastAsia="Times New Roman" w:hAnsi="Arial" w:cs="Arial"/>
          <w:sz w:val="20"/>
          <w:szCs w:val="20"/>
        </w:rPr>
        <w:t>31</w:t>
      </w:r>
      <w:r w:rsidR="002E7AF5">
        <w:rPr>
          <w:rFonts w:ascii="Arial" w:eastAsia="Times New Roman" w:hAnsi="Arial" w:cs="Arial"/>
          <w:sz w:val="20"/>
          <w:szCs w:val="20"/>
        </w:rPr>
        <w:t>],</w:t>
      </w:r>
      <w:r w:rsidRPr="004D63F6">
        <w:rPr>
          <w:rFonts w:ascii="Arial" w:eastAsia="Times New Roman" w:hAnsi="Arial" w:cs="Arial"/>
          <w:sz w:val="20"/>
          <w:szCs w:val="20"/>
        </w:rPr>
        <w:t xml:space="preserve"> arbitration proceedings are typically expected to conclude within 30 days from initiation, with possible extensions of up to 15 days. This expedited timeline is particularly valuable in tax matters where delays can have wide-ranging </w:t>
      </w:r>
      <w:r w:rsidRPr="004D63F6">
        <w:rPr>
          <w:rFonts w:ascii="Arial" w:eastAsia="Times New Roman" w:hAnsi="Arial" w:cs="Arial"/>
          <w:sz w:val="20"/>
          <w:szCs w:val="20"/>
        </w:rPr>
        <w:t>fiscal implications from misaligned budgeting and planning to diminished taxpayer morale.</w:t>
      </w:r>
    </w:p>
    <w:p w14:paraId="1FCABA94" w14:textId="77777777" w:rsidR="004D63F6" w:rsidRPr="004D63F6" w:rsidRDefault="004D63F6"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 xml:space="preserve">H03: </w:t>
      </w:r>
      <w:r w:rsidR="002A6AAA" w:rsidRPr="00A601E6">
        <w:rPr>
          <w:rFonts w:ascii="Arial" w:eastAsia="Times New Roman" w:hAnsi="Arial" w:cs="Arial"/>
          <w:i/>
          <w:iCs/>
          <w:sz w:val="20"/>
          <w:szCs w:val="20"/>
        </w:rPr>
        <w:t>ENE does not influence tax compliance in Nairobi Region.</w:t>
      </w:r>
    </w:p>
    <w:p w14:paraId="3F6481B4" w14:textId="77777777" w:rsidR="004D63F6" w:rsidRPr="004D63F6" w:rsidRDefault="004D63F6" w:rsidP="004D63F6">
      <w:pPr>
        <w:spacing w:after="0" w:line="240" w:lineRule="auto"/>
        <w:jc w:val="both"/>
        <w:rPr>
          <w:rFonts w:ascii="Arial" w:eastAsia="Times New Roman" w:hAnsi="Arial" w:cs="Arial"/>
          <w:sz w:val="20"/>
          <w:szCs w:val="20"/>
        </w:rPr>
      </w:pPr>
    </w:p>
    <w:p w14:paraId="0DD0AA3D" w14:textId="77777777" w:rsidR="004D63F6" w:rsidRPr="004D63F6" w:rsidRDefault="004D63F6" w:rsidP="004D63F6">
      <w:pPr>
        <w:spacing w:after="240" w:line="240" w:lineRule="auto"/>
        <w:jc w:val="both"/>
        <w:rPr>
          <w:rFonts w:ascii="Arial" w:eastAsia="Times New Roman" w:hAnsi="Arial" w:cs="Arial"/>
          <w:b/>
          <w:bCs/>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4 </w:t>
      </w:r>
      <w:r w:rsidRPr="004D63F6">
        <w:rPr>
          <w:rFonts w:ascii="Arial" w:eastAsia="Times New Roman" w:hAnsi="Arial" w:cs="Arial"/>
          <w:b/>
          <w:bCs/>
        </w:rPr>
        <w:t>Early Neutral Evaluation (ENE)</w:t>
      </w:r>
    </w:p>
    <w:p w14:paraId="191FA374"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ENE is increasingly gaining attention as a strategic mechanism within the broader framework of ADR. ENE involves the appointment of an unbiased facilitator with expertise in the appropriate area to offer an initial, impartial and non-binding evaluation of the characteristics of a case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w:t>
      </w:r>
      <w:r w:rsidRPr="004D63F6">
        <w:rPr>
          <w:rFonts w:ascii="Arial" w:eastAsia="Times New Roman" w:hAnsi="Arial" w:cs="Arial"/>
          <w:sz w:val="20"/>
          <w:szCs w:val="20"/>
        </w:rPr>
        <w:t xml:space="preserve">. This approach is particularly significant in tax-related disputes, where technical interpretations of tax statutes and regulatory compliance often fuel prolonged disagreements. However, the practical utility of ENE in resolving tax disputes is heavily influenced by the level of awareness among key stakeholders including taxpayers, tax consultants and revenue authorities. Awareness remains a foundational factor in determining whether ENE is even considered as a viable resolution method. Despite the courts’ declared intent to support ADR under Article 159(2) (c) of Kenya’s 2010 Constitution, ENE remains relatively obscure in both legal practice and public consciousness. </w:t>
      </w:r>
      <w:r w:rsidR="002E7AF5">
        <w:rPr>
          <w:rFonts w:ascii="Arial" w:eastAsia="Times New Roman" w:hAnsi="Arial" w:cs="Arial"/>
          <w:sz w:val="20"/>
          <w:szCs w:val="20"/>
        </w:rPr>
        <w:t>[</w:t>
      </w:r>
      <w:r w:rsidR="002E7AF5" w:rsidRPr="002E7AF5">
        <w:rPr>
          <w:rFonts w:ascii="Arial" w:eastAsia="Times New Roman" w:hAnsi="Arial" w:cs="Arial"/>
          <w:sz w:val="20"/>
          <w:szCs w:val="20"/>
        </w:rPr>
        <w:t>33</w:t>
      </w:r>
      <w:r w:rsidR="002E7AF5">
        <w:rPr>
          <w:rFonts w:ascii="Arial" w:eastAsia="Times New Roman" w:hAnsi="Arial" w:cs="Arial"/>
          <w:sz w:val="20"/>
          <w:szCs w:val="20"/>
        </w:rPr>
        <w:t>]</w:t>
      </w:r>
      <w:r w:rsidRPr="004D63F6">
        <w:rPr>
          <w:rFonts w:ascii="Arial" w:eastAsia="Times New Roman" w:hAnsi="Arial" w:cs="Arial"/>
          <w:sz w:val="20"/>
          <w:szCs w:val="20"/>
        </w:rPr>
        <w:t xml:space="preserve"> notes that while mediation and arbitration have received considerable institutional support and are increasingly being applied in commercial and civil disputes; ENE continues to lag behind in visibility and adoption.</w:t>
      </w:r>
    </w:p>
    <w:p w14:paraId="6DCE62F1"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Nonetheless, systematic public education and awareness-raising activities have been shown to improve awareness and understanding of ENE. In Tanzania, for example, the TRA introduced targeted tax education forums designed to familiarize taxpayers with various dispute resolution mechanisms </w:t>
      </w:r>
      <w:r w:rsidR="00AC4056">
        <w:rPr>
          <w:rFonts w:ascii="Arial" w:eastAsia="Times New Roman" w:hAnsi="Arial" w:cs="Arial"/>
          <w:sz w:val="20"/>
          <w:szCs w:val="20"/>
        </w:rPr>
        <w:t>[</w:t>
      </w:r>
      <w:r w:rsidR="00AC4056" w:rsidRPr="00AC4056">
        <w:rPr>
          <w:rFonts w:ascii="Arial" w:eastAsia="Times New Roman" w:hAnsi="Arial" w:cs="Arial"/>
          <w:sz w:val="20"/>
          <w:szCs w:val="20"/>
        </w:rPr>
        <w:t>34</w:t>
      </w:r>
      <w:r w:rsidR="00AC4056">
        <w:rPr>
          <w:rFonts w:ascii="Arial" w:eastAsia="Times New Roman" w:hAnsi="Arial" w:cs="Arial"/>
          <w:sz w:val="20"/>
          <w:szCs w:val="20"/>
        </w:rPr>
        <w:t>].</w:t>
      </w:r>
      <w:r w:rsidRPr="004D63F6">
        <w:rPr>
          <w:rFonts w:ascii="Arial" w:eastAsia="Times New Roman" w:hAnsi="Arial" w:cs="Arial"/>
          <w:sz w:val="20"/>
          <w:szCs w:val="20"/>
        </w:rPr>
        <w:t xml:space="preserve"> The outcome was significant: </w:t>
      </w:r>
      <w:r w:rsidR="00AC4056">
        <w:rPr>
          <w:rFonts w:ascii="Arial" w:eastAsia="Times New Roman" w:hAnsi="Arial" w:cs="Arial"/>
          <w:sz w:val="20"/>
          <w:szCs w:val="20"/>
        </w:rPr>
        <w:t>[</w:t>
      </w:r>
      <w:r w:rsidR="00AC4056" w:rsidRPr="00AC4056">
        <w:rPr>
          <w:rFonts w:ascii="Arial" w:eastAsia="Times New Roman" w:hAnsi="Arial" w:cs="Arial"/>
          <w:sz w:val="20"/>
          <w:szCs w:val="20"/>
        </w:rPr>
        <w:t>35</w:t>
      </w:r>
      <w:r w:rsidR="00AC4056">
        <w:rPr>
          <w:rFonts w:ascii="Arial" w:eastAsia="Times New Roman" w:hAnsi="Arial" w:cs="Arial"/>
          <w:sz w:val="20"/>
          <w:szCs w:val="20"/>
        </w:rPr>
        <w:t>]</w:t>
      </w:r>
      <w:r w:rsidRPr="004D63F6">
        <w:rPr>
          <w:rFonts w:ascii="Arial" w:eastAsia="Times New Roman" w:hAnsi="Arial" w:cs="Arial"/>
          <w:sz w:val="20"/>
          <w:szCs w:val="20"/>
        </w:rPr>
        <w:t xml:space="preserve"> indicated an increase in the awareness and knowledge of ADR processes among forum participants. The study draws attention to the essential role of deliberate educational efforts as a catalyst for the broader adoption of ENE, particularly in jurisdictions where legal literacy among taxpayers is low. Educating taxpayers both informs them and reinforces institutional credibility and fosters a culture of compliance through improved understanding of legal options available to disputants.</w:t>
      </w:r>
    </w:p>
    <w:p w14:paraId="21B6B489"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Perceptions of ENE’s usefulness in resolving tax disputes are closely tied to its core attributes: objectivity, speed and cost-effectiveness. Stakeholders are more likely to view ENE positively when evaluations are conducted by qualified experts with deep knowledge of tax law. The apparent impartiality </w:t>
      </w:r>
      <w:r w:rsidRPr="004D63F6">
        <w:rPr>
          <w:rFonts w:ascii="Arial" w:eastAsia="Times New Roman" w:hAnsi="Arial" w:cs="Arial"/>
          <w:sz w:val="20"/>
          <w:szCs w:val="20"/>
        </w:rPr>
        <w:lastRenderedPageBreak/>
        <w:t xml:space="preserve">and credibility of the evaluator contribute to the credibility of the process and increase the likelihood that parties will accept the assessment as a basis for settlement </w:t>
      </w:r>
      <w:r w:rsidR="00AC4056">
        <w:rPr>
          <w:rFonts w:ascii="Arial" w:eastAsia="Times New Roman" w:hAnsi="Arial" w:cs="Arial"/>
          <w:sz w:val="20"/>
          <w:szCs w:val="20"/>
        </w:rPr>
        <w:t>[</w:t>
      </w:r>
      <w:r w:rsidR="00AC4056" w:rsidRPr="00AC4056">
        <w:rPr>
          <w:rFonts w:ascii="Arial" w:eastAsia="Times New Roman" w:hAnsi="Arial" w:cs="Arial"/>
          <w:sz w:val="20"/>
          <w:szCs w:val="20"/>
        </w:rPr>
        <w:t>36</w:t>
      </w:r>
      <w:r w:rsidR="00AC4056">
        <w:rPr>
          <w:rFonts w:ascii="Arial" w:eastAsia="Times New Roman" w:hAnsi="Arial" w:cs="Arial"/>
          <w:sz w:val="20"/>
          <w:szCs w:val="20"/>
        </w:rPr>
        <w:t>].</w:t>
      </w:r>
      <w:r w:rsidRPr="004D63F6">
        <w:rPr>
          <w:rFonts w:ascii="Arial" w:eastAsia="Times New Roman" w:hAnsi="Arial" w:cs="Arial"/>
          <w:sz w:val="20"/>
          <w:szCs w:val="20"/>
        </w:rPr>
        <w:t xml:space="preserve"> Unlike mediation, which often centers on compromise or arbitration, which mimics courtroom procedures, ENE introduces clarity early in the dispute cycle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w:t>
      </w:r>
      <w:r w:rsidRPr="004D63F6">
        <w:rPr>
          <w:rFonts w:ascii="Arial" w:eastAsia="Times New Roman" w:hAnsi="Arial" w:cs="Arial"/>
          <w:sz w:val="20"/>
          <w:szCs w:val="20"/>
        </w:rPr>
        <w:t xml:space="preserve"> The neutral evaluator’s expertise allows for a dispassionate review of evidence and applicable tax laws helping party’s correct misinterpretations or adjusts expectations before positions harden.</w:t>
      </w:r>
    </w:p>
    <w:p w14:paraId="79389E58" w14:textId="77777777" w:rsidR="004D63F6" w:rsidRPr="004D63F6" w:rsidRDefault="004D63F6" w:rsidP="004D63F6">
      <w:pPr>
        <w:spacing w:after="0" w:line="240" w:lineRule="auto"/>
        <w:jc w:val="both"/>
        <w:rPr>
          <w:rFonts w:ascii="Arial" w:eastAsia="Times New Roman" w:hAnsi="Arial" w:cs="Arial"/>
          <w:i/>
          <w:iCs/>
          <w:sz w:val="20"/>
          <w:szCs w:val="20"/>
        </w:rPr>
      </w:pPr>
      <w:r w:rsidRPr="00A601E6">
        <w:rPr>
          <w:rFonts w:ascii="Arial" w:eastAsia="Times New Roman" w:hAnsi="Arial" w:cs="Arial"/>
          <w:i/>
          <w:iCs/>
          <w:sz w:val="20"/>
          <w:szCs w:val="20"/>
        </w:rPr>
        <w:t xml:space="preserve">H04: </w:t>
      </w:r>
      <w:r w:rsidR="002A6AAA" w:rsidRPr="00A601E6">
        <w:rPr>
          <w:rFonts w:ascii="Arial" w:eastAsia="Times New Roman" w:hAnsi="Arial" w:cs="Arial"/>
          <w:i/>
          <w:iCs/>
          <w:sz w:val="20"/>
          <w:szCs w:val="20"/>
        </w:rPr>
        <w:t>Taxpayer education does not moderate the relationship between mediation and tax compliance in Nairobi Region.</w:t>
      </w:r>
    </w:p>
    <w:p w14:paraId="0C1F871D" w14:textId="77777777" w:rsidR="004D63F6" w:rsidRPr="004D63F6" w:rsidRDefault="004D63F6" w:rsidP="004D63F6">
      <w:pPr>
        <w:spacing w:after="0" w:line="240" w:lineRule="auto"/>
        <w:jc w:val="both"/>
        <w:rPr>
          <w:rFonts w:ascii="Arial" w:eastAsia="Times New Roman" w:hAnsi="Arial" w:cs="Arial"/>
          <w:sz w:val="20"/>
          <w:szCs w:val="20"/>
        </w:rPr>
      </w:pPr>
    </w:p>
    <w:p w14:paraId="308F21CD" w14:textId="77777777" w:rsidR="004D63F6" w:rsidRPr="004D63F6" w:rsidRDefault="004D63F6" w:rsidP="004D63F6">
      <w:pPr>
        <w:spacing w:after="240" w:line="240" w:lineRule="auto"/>
        <w:jc w:val="both"/>
        <w:rPr>
          <w:rFonts w:ascii="Arial" w:eastAsia="Times New Roman" w:hAnsi="Arial" w:cs="Arial"/>
          <w:b/>
          <w:bCs/>
        </w:rPr>
      </w:pPr>
      <w:r w:rsidRPr="004D63F6">
        <w:rPr>
          <w:rFonts w:ascii="Arial" w:eastAsia="Times New Roman" w:hAnsi="Arial" w:cs="Arial"/>
          <w:b/>
          <w:caps/>
          <w:szCs w:val="20"/>
        </w:rPr>
        <w:t>2.</w:t>
      </w:r>
      <w:r w:rsidR="00CD5B7E" w:rsidRPr="004D63F6">
        <w:rPr>
          <w:rFonts w:ascii="Arial" w:eastAsia="Times New Roman" w:hAnsi="Arial" w:cs="Arial"/>
          <w:b/>
          <w:caps/>
          <w:szCs w:val="20"/>
        </w:rPr>
        <w:t>1</w:t>
      </w:r>
      <w:r w:rsidR="00CD5B7E">
        <w:rPr>
          <w:rFonts w:ascii="Arial" w:eastAsia="Times New Roman" w:hAnsi="Arial" w:cs="Arial"/>
          <w:b/>
          <w:caps/>
          <w:szCs w:val="20"/>
        </w:rPr>
        <w:t>.</w:t>
      </w:r>
      <w:r w:rsidRPr="004D63F6">
        <w:rPr>
          <w:rFonts w:ascii="Arial" w:eastAsia="Times New Roman" w:hAnsi="Arial" w:cs="Arial"/>
          <w:b/>
          <w:caps/>
          <w:szCs w:val="20"/>
        </w:rPr>
        <w:t xml:space="preserve">5 </w:t>
      </w:r>
      <w:r w:rsidRPr="004D63F6">
        <w:rPr>
          <w:rFonts w:ascii="Arial" w:eastAsia="Times New Roman" w:hAnsi="Arial" w:cs="Arial"/>
          <w:b/>
          <w:bCs/>
        </w:rPr>
        <w:t>Taxpayer Education</w:t>
      </w:r>
    </w:p>
    <w:p w14:paraId="7E108D23"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Taxpayer education involves deliberate, structured initiatives by tax bodies to inform and guide taxpayers </w:t>
      </w:r>
      <w:r w:rsidR="00A94916" w:rsidRPr="00A94916">
        <w:rPr>
          <w:rFonts w:ascii="Arial" w:eastAsia="Times New Roman" w:hAnsi="Arial" w:cs="Arial"/>
          <w:sz w:val="20"/>
          <w:szCs w:val="20"/>
        </w:rPr>
        <w:t>[</w:t>
      </w:r>
      <w:r w:rsidR="00A94916">
        <w:rPr>
          <w:rFonts w:ascii="Arial" w:eastAsia="Times New Roman" w:hAnsi="Arial" w:cs="Arial"/>
          <w:sz w:val="20"/>
          <w:szCs w:val="20"/>
        </w:rPr>
        <w:t>5</w:t>
      </w:r>
      <w:r w:rsidR="00A94916" w:rsidRPr="00A94916">
        <w:rPr>
          <w:rFonts w:ascii="Arial" w:eastAsia="Times New Roman" w:hAnsi="Arial" w:cs="Arial"/>
          <w:sz w:val="20"/>
          <w:szCs w:val="20"/>
        </w:rPr>
        <w:t>]</w:t>
      </w:r>
      <w:r w:rsidRPr="004D63F6">
        <w:rPr>
          <w:rFonts w:ascii="Arial" w:eastAsia="Times New Roman" w:hAnsi="Arial" w:cs="Arial"/>
          <w:sz w:val="20"/>
          <w:szCs w:val="20"/>
        </w:rPr>
        <w:t xml:space="preserve">. The educational initiatives are instrumental in improving taxpayer understanding, demystifying complex tax concepts and equipping citizens with the necessary understanding to make prudent choices. When taxpayers understand their obligations and available recourses in the face of disagreements with the tax bodies, they are not only more probable to comply voluntarily but also more open to resolving issues through alternative means rather than allowing conflicts to fester or escalate into legal battles. Several channels have proven to be effective in delivering tax education campaigns, with mass media being among the most widely utilized. Governments and tax authorities often rely on radio, television, newspapers and digital platforms to broadcast critical information on tax compliance and dispute resolution. </w:t>
      </w:r>
      <w:r w:rsidR="001C5306">
        <w:rPr>
          <w:rFonts w:ascii="Arial" w:eastAsia="Times New Roman" w:hAnsi="Arial" w:cs="Arial"/>
          <w:sz w:val="20"/>
          <w:szCs w:val="20"/>
        </w:rPr>
        <w:t xml:space="preserve">[45] </w:t>
      </w:r>
      <w:r w:rsidRPr="004D63F6">
        <w:rPr>
          <w:rFonts w:ascii="Arial" w:eastAsia="Times New Roman" w:hAnsi="Arial" w:cs="Arial"/>
          <w:sz w:val="20"/>
          <w:szCs w:val="20"/>
        </w:rPr>
        <w:t>highlighted the power of mass media campaigns in boosting voluntary fulfillment of tax obligations among Nairobi's small business operators. The findings revealed that business owners exposed to tax education through radio and television were significantly more probable to file taxes precisely and consider ADR as a viable option in case of disputes.</w:t>
      </w:r>
    </w:p>
    <w:p w14:paraId="5C03657C"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In response to the digital transformation and increased internet penetration, tax authorities have also expanded their outreach by means of online social media channels such as Facebook</w:t>
      </w:r>
      <w:r w:rsidR="00AC4056">
        <w:rPr>
          <w:rFonts w:ascii="Arial" w:eastAsia="Times New Roman" w:hAnsi="Arial" w:cs="Arial"/>
          <w:sz w:val="20"/>
          <w:szCs w:val="20"/>
        </w:rPr>
        <w:t xml:space="preserve"> [</w:t>
      </w:r>
      <w:r w:rsidR="00AC4056" w:rsidRPr="00AC4056">
        <w:rPr>
          <w:rFonts w:ascii="Arial" w:eastAsia="Times New Roman" w:hAnsi="Arial" w:cs="Arial"/>
          <w:sz w:val="20"/>
          <w:szCs w:val="20"/>
        </w:rPr>
        <w:t>37</w:t>
      </w:r>
      <w:r w:rsidR="00AC4056">
        <w:rPr>
          <w:rFonts w:ascii="Arial" w:eastAsia="Times New Roman" w:hAnsi="Arial" w:cs="Arial"/>
          <w:sz w:val="20"/>
          <w:szCs w:val="20"/>
        </w:rPr>
        <w:t>]</w:t>
      </w:r>
      <w:r w:rsidRPr="004D63F6">
        <w:rPr>
          <w:rFonts w:ascii="Arial" w:eastAsia="Times New Roman" w:hAnsi="Arial" w:cs="Arial"/>
          <w:sz w:val="20"/>
          <w:szCs w:val="20"/>
        </w:rPr>
        <w:t xml:space="preserve">. KRA has embraced these platforms not only as information dissemination tools but also as interactive spaces enabling real-time interaction for inquiries and responses </w:t>
      </w:r>
      <w:r w:rsidR="00831155">
        <w:rPr>
          <w:rFonts w:ascii="Arial" w:eastAsia="Times New Roman" w:hAnsi="Arial" w:cs="Arial"/>
          <w:sz w:val="20"/>
          <w:szCs w:val="20"/>
        </w:rPr>
        <w:t>[</w:t>
      </w:r>
      <w:r w:rsidR="00831155" w:rsidRPr="00831155">
        <w:rPr>
          <w:rFonts w:ascii="Arial" w:eastAsia="Times New Roman" w:hAnsi="Arial" w:cs="Arial"/>
          <w:sz w:val="20"/>
          <w:szCs w:val="20"/>
        </w:rPr>
        <w:t>38</w:t>
      </w:r>
      <w:r w:rsidR="00831155">
        <w:rPr>
          <w:rFonts w:ascii="Arial" w:eastAsia="Times New Roman" w:hAnsi="Arial" w:cs="Arial"/>
          <w:sz w:val="20"/>
          <w:szCs w:val="20"/>
        </w:rPr>
        <w:t>].</w:t>
      </w:r>
      <w:r w:rsidRPr="004D63F6">
        <w:rPr>
          <w:rFonts w:ascii="Arial" w:eastAsia="Times New Roman" w:hAnsi="Arial" w:cs="Arial"/>
          <w:sz w:val="20"/>
          <w:szCs w:val="20"/>
        </w:rPr>
        <w:t xml:space="preserve"> Through engaging content such as info graphics, explainer videos on YouTube and Q&amp;A sessions, KRA has managed to make tax communication more accessible especially to the youth and urban populations </w:t>
      </w:r>
      <w:r w:rsidR="00831155">
        <w:rPr>
          <w:rFonts w:ascii="Arial" w:eastAsia="Times New Roman" w:hAnsi="Arial" w:cs="Arial"/>
          <w:sz w:val="20"/>
          <w:szCs w:val="20"/>
        </w:rPr>
        <w:t>[</w:t>
      </w:r>
      <w:r w:rsidR="00831155" w:rsidRPr="00831155">
        <w:rPr>
          <w:rFonts w:ascii="Arial" w:eastAsia="Times New Roman" w:hAnsi="Arial" w:cs="Arial"/>
          <w:sz w:val="20"/>
          <w:szCs w:val="20"/>
        </w:rPr>
        <w:t>39</w:t>
      </w:r>
      <w:r w:rsidR="00831155">
        <w:rPr>
          <w:rFonts w:ascii="Arial" w:eastAsia="Times New Roman" w:hAnsi="Arial" w:cs="Arial"/>
          <w:sz w:val="20"/>
          <w:szCs w:val="20"/>
        </w:rPr>
        <w:t>].</w:t>
      </w:r>
      <w:r w:rsidRPr="004D63F6">
        <w:rPr>
          <w:rFonts w:ascii="Arial" w:eastAsia="Times New Roman" w:hAnsi="Arial" w:cs="Arial"/>
          <w:sz w:val="20"/>
          <w:szCs w:val="20"/>
        </w:rPr>
        <w:t xml:space="preserve"> These </w:t>
      </w:r>
      <w:r w:rsidRPr="004D63F6">
        <w:rPr>
          <w:rFonts w:ascii="Arial" w:eastAsia="Times New Roman" w:hAnsi="Arial" w:cs="Arial"/>
          <w:sz w:val="20"/>
          <w:szCs w:val="20"/>
        </w:rPr>
        <w:t xml:space="preserve">platforms have also helped to humanize the institution, breaking down the image of a distant and intimidating authority by fostering open dialogue and transparency. The KRA’s own internal evaluations offer compelling evidence of the influence of education on achievement of ADR uptake. According to its 2021 Annual Report, KRA brought together over 1,500 participants across the country for the year’s end summit </w:t>
      </w:r>
      <w:r w:rsidR="00831155">
        <w:rPr>
          <w:rFonts w:ascii="Arial" w:eastAsia="Times New Roman" w:hAnsi="Arial" w:cs="Arial"/>
          <w:sz w:val="20"/>
          <w:szCs w:val="20"/>
        </w:rPr>
        <w:t>[</w:t>
      </w:r>
      <w:r w:rsidR="00831155" w:rsidRPr="00831155">
        <w:rPr>
          <w:rFonts w:ascii="Arial" w:eastAsia="Times New Roman" w:hAnsi="Arial" w:cs="Arial"/>
          <w:sz w:val="20"/>
          <w:szCs w:val="20"/>
        </w:rPr>
        <w:t>40</w:t>
      </w:r>
      <w:r w:rsidR="00831155">
        <w:rPr>
          <w:rFonts w:ascii="Arial" w:eastAsia="Times New Roman" w:hAnsi="Arial" w:cs="Arial"/>
          <w:sz w:val="20"/>
          <w:szCs w:val="20"/>
        </w:rPr>
        <w:t xml:space="preserve">]. </w:t>
      </w:r>
      <w:r w:rsidRPr="004D63F6">
        <w:rPr>
          <w:rFonts w:ascii="Arial" w:eastAsia="Times New Roman" w:hAnsi="Arial" w:cs="Arial"/>
          <w:sz w:val="20"/>
          <w:szCs w:val="20"/>
        </w:rPr>
        <w:t xml:space="preserve">This forum significantly contributed to the rise in the number of taxpayers opting for mediation as a conflict resolution approach, with 2022 recording a 31 percent jump in the number of cases handled through ADR </w:t>
      </w:r>
      <w:r w:rsidR="00831155" w:rsidRPr="00831155">
        <w:rPr>
          <w:rFonts w:ascii="Arial" w:eastAsia="Times New Roman" w:hAnsi="Arial" w:cs="Arial"/>
          <w:sz w:val="20"/>
          <w:szCs w:val="20"/>
        </w:rPr>
        <w:t>[41]</w:t>
      </w:r>
      <w:r w:rsidR="00831155">
        <w:rPr>
          <w:rFonts w:ascii="Arial" w:eastAsia="Times New Roman" w:hAnsi="Arial" w:cs="Arial"/>
          <w:sz w:val="20"/>
          <w:szCs w:val="20"/>
        </w:rPr>
        <w:t>.</w:t>
      </w:r>
    </w:p>
    <w:p w14:paraId="095923F0" w14:textId="77777777" w:rsidR="004D63F6" w:rsidRPr="00A601E6" w:rsidRDefault="004D63F6" w:rsidP="004D63F6">
      <w:pPr>
        <w:spacing w:after="0" w:line="240" w:lineRule="auto"/>
        <w:jc w:val="both"/>
        <w:rPr>
          <w:rFonts w:ascii="Arial" w:eastAsia="Times New Roman" w:hAnsi="Arial" w:cs="Arial"/>
          <w:sz w:val="20"/>
          <w:szCs w:val="20"/>
        </w:rPr>
      </w:pPr>
      <w:r w:rsidRPr="00A601E6">
        <w:rPr>
          <w:rFonts w:ascii="Arial" w:eastAsia="Times New Roman" w:hAnsi="Arial" w:cs="Arial"/>
          <w:i/>
          <w:iCs/>
          <w:sz w:val="20"/>
          <w:szCs w:val="20"/>
        </w:rPr>
        <w:t xml:space="preserve">H05: </w:t>
      </w:r>
      <w:r w:rsidR="002A6AAA" w:rsidRPr="00A601E6">
        <w:rPr>
          <w:rFonts w:ascii="Arial" w:eastAsia="Times New Roman" w:hAnsi="Arial" w:cs="Arial"/>
          <w:i/>
          <w:iCs/>
          <w:sz w:val="20"/>
          <w:szCs w:val="20"/>
        </w:rPr>
        <w:t>Taxpayer education does not moderate the relationship between arbitration and tax compliance in Nairobi Region.</w:t>
      </w:r>
    </w:p>
    <w:p w14:paraId="3BC45227" w14:textId="77777777" w:rsidR="004D63F6" w:rsidRPr="004D63F6" w:rsidRDefault="004D63F6" w:rsidP="004D63F6">
      <w:pPr>
        <w:spacing w:after="0" w:line="240" w:lineRule="auto"/>
        <w:jc w:val="both"/>
        <w:rPr>
          <w:rFonts w:ascii="Arial" w:eastAsia="Times New Roman" w:hAnsi="Arial" w:cs="Arial"/>
          <w:sz w:val="20"/>
          <w:szCs w:val="20"/>
          <w:highlight w:val="green"/>
        </w:rPr>
      </w:pPr>
    </w:p>
    <w:p w14:paraId="75908332"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3. METHODOLOGY</w:t>
      </w:r>
    </w:p>
    <w:p w14:paraId="44061DFC" w14:textId="77777777" w:rsidR="004D63F6" w:rsidRPr="004D63F6" w:rsidRDefault="004D63F6" w:rsidP="004D63F6">
      <w:pPr>
        <w:keepNext/>
        <w:spacing w:after="0" w:line="240" w:lineRule="auto"/>
        <w:jc w:val="both"/>
        <w:rPr>
          <w:rFonts w:ascii="Arial" w:eastAsia="Times New Roman" w:hAnsi="Arial" w:cs="Arial"/>
          <w:b/>
          <w:caps/>
          <w:szCs w:val="20"/>
        </w:rPr>
      </w:pPr>
    </w:p>
    <w:p w14:paraId="39B91A19" w14:textId="77777777" w:rsidR="00B03781" w:rsidRDefault="004D63F6" w:rsidP="00B03781">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This chapter outlines the research methodology used to investigate the moderating effect of taxpayer education on the relationship between Alternative Dispute Resolution (ADR) mechanisms and tax compliance in Nairobi’s CBD. An explanatory research design was employed to explore causality among variables. The study targeted 700 SMEs, individual taxpayers, and informal sector operators, with a sample size of 254 determined using the </w:t>
      </w:r>
      <w:proofErr w:type="spellStart"/>
      <w:r w:rsidRPr="004D63F6">
        <w:rPr>
          <w:rFonts w:ascii="Arial" w:eastAsia="Times New Roman" w:hAnsi="Arial" w:cs="Arial"/>
          <w:sz w:val="20"/>
          <w:szCs w:val="20"/>
        </w:rPr>
        <w:t>Slovin</w:t>
      </w:r>
      <w:proofErr w:type="spellEnd"/>
      <w:r w:rsidRPr="004D63F6">
        <w:rPr>
          <w:rFonts w:ascii="Arial" w:eastAsia="Times New Roman" w:hAnsi="Arial" w:cs="Arial"/>
          <w:sz w:val="20"/>
          <w:szCs w:val="20"/>
        </w:rPr>
        <w:t xml:space="preserve"> formula and stratified random sampling. Data was collected via structured questionnaires with closed-ended questions, pilot-tested in Kiambu County for validity and reliability (Cronbach’s alpha: 0.876). Variables like mediation, arbitration, early neutral evaluation, taxpayer education, and tax compliance were measured using a 5-point Likert scale. Data analysis involved descriptive and inferential statistics, including multiple regression models, with results presented in charts and tables. Ethical considerations included obtaining approvals, ensuring informed consent, and safeguarding confidentiality, adhering to academic and legal standards. </w:t>
      </w:r>
    </w:p>
    <w:p w14:paraId="0D2B0AD9" w14:textId="77777777" w:rsidR="00B03781" w:rsidRDefault="00B03781" w:rsidP="00B03781">
      <w:pPr>
        <w:spacing w:after="0" w:line="240" w:lineRule="auto"/>
        <w:jc w:val="both"/>
        <w:rPr>
          <w:rFonts w:ascii="Arial" w:eastAsia="Times New Roman" w:hAnsi="Arial" w:cs="Arial"/>
          <w:sz w:val="20"/>
          <w:szCs w:val="20"/>
        </w:rPr>
      </w:pPr>
    </w:p>
    <w:p w14:paraId="474BF189" w14:textId="77777777" w:rsidR="00B03781" w:rsidRDefault="00B03781" w:rsidP="00B03781">
      <w:pPr>
        <w:spacing w:after="0" w:line="240" w:lineRule="auto"/>
        <w:jc w:val="both"/>
        <w:rPr>
          <w:rFonts w:ascii="Arial" w:eastAsia="Times New Roman" w:hAnsi="Arial" w:cs="Arial"/>
          <w:sz w:val="20"/>
          <w:szCs w:val="20"/>
        </w:rPr>
      </w:pPr>
    </w:p>
    <w:p w14:paraId="477DF248" w14:textId="77777777" w:rsidR="00B03781" w:rsidRPr="00B03781" w:rsidRDefault="00B03781" w:rsidP="00B03781">
      <w:pPr>
        <w:spacing w:after="0" w:line="240" w:lineRule="auto"/>
        <w:jc w:val="both"/>
        <w:rPr>
          <w:rFonts w:ascii="Arial" w:eastAsia="Times New Roman" w:hAnsi="Arial" w:cs="Arial"/>
          <w:sz w:val="20"/>
          <w:szCs w:val="20"/>
        </w:rPr>
      </w:pPr>
    </w:p>
    <w:p w14:paraId="45C48202" w14:textId="77777777" w:rsidR="00B03781" w:rsidRDefault="00B03781" w:rsidP="001C7B98">
      <w:pPr>
        <w:keepNext/>
        <w:spacing w:after="0" w:line="240" w:lineRule="auto"/>
        <w:jc w:val="both"/>
        <w:rPr>
          <w:rFonts w:ascii="Arial" w:eastAsia="Times New Roman" w:hAnsi="Arial" w:cs="Arial"/>
          <w:b/>
          <w:caps/>
          <w:szCs w:val="20"/>
        </w:rPr>
      </w:pPr>
    </w:p>
    <w:p w14:paraId="1EBC5601" w14:textId="77777777" w:rsidR="004D63F6" w:rsidRPr="004D63F6" w:rsidRDefault="004D63F6" w:rsidP="001C7B98">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4. RESULTS AND DISCUSSION</w:t>
      </w:r>
    </w:p>
    <w:p w14:paraId="3A3C1E95" w14:textId="77777777" w:rsidR="00CD5B7E" w:rsidRDefault="00CD5B7E" w:rsidP="004D63F6">
      <w:pPr>
        <w:keepNext/>
        <w:spacing w:after="0" w:line="240" w:lineRule="auto"/>
        <w:jc w:val="both"/>
        <w:rPr>
          <w:rFonts w:ascii="Arial" w:eastAsia="Times New Roman" w:hAnsi="Arial" w:cs="Arial"/>
          <w:b/>
          <w:bCs/>
          <w:caps/>
          <w:szCs w:val="20"/>
        </w:rPr>
      </w:pPr>
    </w:p>
    <w:p w14:paraId="2F6E1924" w14:textId="77777777" w:rsidR="004D63F6" w:rsidRPr="004D63F6" w:rsidRDefault="004D63F6" w:rsidP="004D63F6">
      <w:pPr>
        <w:keepNext/>
        <w:spacing w:after="0" w:line="240" w:lineRule="auto"/>
        <w:jc w:val="both"/>
        <w:rPr>
          <w:rFonts w:ascii="Arial" w:eastAsia="Times New Roman" w:hAnsi="Arial" w:cs="Arial"/>
          <w:b/>
          <w:bCs/>
          <w:szCs w:val="20"/>
        </w:rPr>
      </w:pPr>
      <w:r w:rsidRPr="004D63F6">
        <w:rPr>
          <w:rFonts w:ascii="Arial" w:eastAsia="Times New Roman" w:hAnsi="Arial" w:cs="Arial"/>
          <w:b/>
          <w:bCs/>
          <w:caps/>
          <w:szCs w:val="20"/>
        </w:rPr>
        <w:t xml:space="preserve">4.1 </w:t>
      </w:r>
      <w:r w:rsidRPr="004D63F6">
        <w:rPr>
          <w:rFonts w:ascii="Arial" w:eastAsia="Times New Roman" w:hAnsi="Arial" w:cs="Arial"/>
          <w:b/>
          <w:bCs/>
          <w:szCs w:val="20"/>
        </w:rPr>
        <w:t>Descriptive Statistics</w:t>
      </w:r>
    </w:p>
    <w:p w14:paraId="2DC739D8" w14:textId="77777777" w:rsidR="00CD5B7E" w:rsidRDefault="00CD5B7E" w:rsidP="004D63F6">
      <w:pPr>
        <w:spacing w:after="0" w:line="240" w:lineRule="auto"/>
        <w:jc w:val="both"/>
        <w:rPr>
          <w:rFonts w:ascii="Arial" w:eastAsia="Times New Roman" w:hAnsi="Arial" w:cs="Arial"/>
          <w:sz w:val="20"/>
          <w:szCs w:val="20"/>
          <w:lang w:eastAsia="en-GB"/>
        </w:rPr>
      </w:pPr>
    </w:p>
    <w:p w14:paraId="4F02DD0C"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 xml:space="preserve">The study on the moderating effect of taxpayer education on the relationship between Alternative Dispute Resolution (ADR) mechanisms and tax compliance in Nairobi’s CBD utilized demographic statistics to characterize its 252 valid respondents. By </w:t>
      </w:r>
      <w:r w:rsidRPr="004D63F6">
        <w:rPr>
          <w:rFonts w:ascii="Arial" w:eastAsia="Times New Roman" w:hAnsi="Arial" w:cs="Arial"/>
          <w:sz w:val="20"/>
          <w:szCs w:val="20"/>
          <w:lang w:eastAsia="en-GB"/>
        </w:rPr>
        <w:lastRenderedPageBreak/>
        <w:t>computing frequencies and percentages, the study ensured a balanced representation across gender, age, and education, enhancing the credibility and inclusiveness of its findings. This demographic analysis provided a foundation for understanding how participant characteristics might influence perceptions of ADR mechanisms, taxpayer education, and compliance behavior, ensuring the results were reflective of Nairobi’s diverse taxpayer population.</w:t>
      </w:r>
    </w:p>
    <w:p w14:paraId="3BE6FD6F"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Gender distribution was nearly equal, with 53.2% male (134 respondents) and 46.8% female (118 respondents). This balance minimized gender bias, ensuring that perspectives from both male and female taxpayers were fairly captured. Such inclusivity was critical for generating findings that resonate with the broader taxpayer community in Nairobi’s CBD, a key commercial hub where tax compliance challenges are prevalent. The near-equal representation strengthened the study’s reliability and applicability to real-world tax dispute resolution contexts.</w:t>
      </w:r>
    </w:p>
    <w:p w14:paraId="279570A1"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 xml:space="preserve">Age distribution showed that respondents aged 31-40 years formed the largest group at 32.5% (82 respondents), followed closely by those aged 18-30 years at 31.3% (79 respondents). Participants aged 41-50 years accounted for 19.4% (49 respondents), while those 51 years </w:t>
      </w:r>
      <w:r w:rsidRPr="004D63F6">
        <w:rPr>
          <w:rFonts w:ascii="Arial" w:eastAsia="Times New Roman" w:hAnsi="Arial" w:cs="Arial"/>
          <w:sz w:val="20"/>
          <w:szCs w:val="20"/>
          <w:lang w:eastAsia="en-GB"/>
        </w:rPr>
        <w:t>and above comprised 16.7% (42 respondents). Nearly two-thirds of the sample fell within the 18-40 age bracket, reflecting younger and middle-aged taxpayers who are often more engaged with digital tax processes and education initiatives. The inclusion of older respondents enriched the findings with insights from individuals with longer tax compliance experiences, providing a comprehensive view of how age influences engagement with ADR mechanisms.</w:t>
      </w:r>
    </w:p>
    <w:p w14:paraId="2B0E9A25" w14:textId="77777777" w:rsidR="004D63F6" w:rsidRPr="004D63F6" w:rsidRDefault="004D63F6" w:rsidP="004D63F6">
      <w:pPr>
        <w:spacing w:after="0" w:line="240" w:lineRule="auto"/>
        <w:jc w:val="both"/>
        <w:rPr>
          <w:rFonts w:ascii="Arial" w:eastAsia="Times New Roman" w:hAnsi="Arial" w:cs="Arial"/>
          <w:sz w:val="20"/>
          <w:szCs w:val="20"/>
          <w:lang w:eastAsia="en-GB"/>
        </w:rPr>
      </w:pPr>
      <w:r w:rsidRPr="004D63F6">
        <w:rPr>
          <w:rFonts w:ascii="Arial" w:eastAsia="Times New Roman" w:hAnsi="Arial" w:cs="Arial"/>
          <w:sz w:val="20"/>
          <w:szCs w:val="20"/>
          <w:lang w:eastAsia="en-GB"/>
        </w:rPr>
        <w:t>Education levels highlighted a well-educated sample, with degree holders constituting the largest group at 31.0% (78 respondents), followed by diploma holders at 26.2% (66 respondents). Secondary education accounted for 20.2% (51 respondents), master’s degree holders 15.5% (39 respondents), and 7.1% (18 respondents) fell into the “Others” category. The dominance of degree and diploma holders indicated a sample capable of understanding complex issues like ADR mechanisms, taxpayer education, and tax compliance. This educational diversity ensured that the study captured informed perspectives, enhancing the validity of conclusions drawn. Presented in Table 1, these demographic statistics underscored a representative and diverse sample, making the study’s findings robust and applicable to Nairobi’s taxpayer population.</w:t>
      </w:r>
    </w:p>
    <w:p w14:paraId="6A3C461F" w14:textId="77777777" w:rsidR="00617D0B" w:rsidRDefault="00617D0B" w:rsidP="004D63F6">
      <w:pPr>
        <w:tabs>
          <w:tab w:val="left" w:pos="1080"/>
        </w:tabs>
        <w:spacing w:after="0" w:line="240" w:lineRule="auto"/>
        <w:jc w:val="both"/>
        <w:rPr>
          <w:rFonts w:ascii="Arial" w:eastAsia="Times New Roman" w:hAnsi="Arial" w:cs="Times New Roman"/>
          <w:b/>
          <w:sz w:val="20"/>
          <w:szCs w:val="20"/>
        </w:rPr>
        <w:sectPr w:rsidR="00617D0B" w:rsidSect="00C75C26">
          <w:type w:val="continuous"/>
          <w:pgSz w:w="11907" w:h="16839" w:code="9"/>
          <w:pgMar w:top="1440" w:right="1440" w:bottom="1440" w:left="1440" w:header="720" w:footer="720" w:gutter="0"/>
          <w:cols w:num="2" w:space="720"/>
          <w:docGrid w:linePitch="360"/>
        </w:sectPr>
      </w:pPr>
    </w:p>
    <w:p w14:paraId="255AF472" w14:textId="77777777" w:rsidR="004D63F6" w:rsidRPr="004D63F6" w:rsidRDefault="004D63F6" w:rsidP="004D63F6">
      <w:pPr>
        <w:tabs>
          <w:tab w:val="left" w:pos="1080"/>
        </w:tabs>
        <w:spacing w:after="0" w:line="240" w:lineRule="auto"/>
        <w:jc w:val="both"/>
        <w:rPr>
          <w:rFonts w:ascii="Arial" w:eastAsia="Times New Roman" w:hAnsi="Arial" w:cs="Times New Roman"/>
          <w:b/>
          <w:sz w:val="20"/>
          <w:szCs w:val="20"/>
        </w:rPr>
      </w:pPr>
    </w:p>
    <w:p w14:paraId="2D608372" w14:textId="77777777" w:rsidR="004D63F6" w:rsidRPr="004D63F6" w:rsidRDefault="004D63F6" w:rsidP="004D63F6">
      <w:pPr>
        <w:tabs>
          <w:tab w:val="left" w:pos="1080"/>
        </w:tabs>
        <w:spacing w:after="0" w:line="240" w:lineRule="auto"/>
        <w:jc w:val="both"/>
        <w:rPr>
          <w:rFonts w:ascii="Arial" w:eastAsia="Times New Roman" w:hAnsi="Arial" w:cs="Times New Roman"/>
          <w:b/>
          <w:sz w:val="20"/>
          <w:szCs w:val="20"/>
        </w:rPr>
      </w:pPr>
      <w:r w:rsidRPr="004D63F6">
        <w:rPr>
          <w:rFonts w:ascii="Arial" w:eastAsia="Times New Roman" w:hAnsi="Arial" w:cs="Times New Roman"/>
          <w:b/>
          <w:sz w:val="20"/>
          <w:szCs w:val="20"/>
        </w:rPr>
        <w:t>Table 1. Demographic Statistics</w:t>
      </w:r>
    </w:p>
    <w:p w14:paraId="6A9F7192" w14:textId="77777777" w:rsidR="004D63F6" w:rsidRPr="004D63F6" w:rsidRDefault="004D63F6" w:rsidP="004D63F6">
      <w:pPr>
        <w:tabs>
          <w:tab w:val="left" w:pos="1080"/>
        </w:tabs>
        <w:spacing w:after="0" w:line="240" w:lineRule="auto"/>
        <w:jc w:val="both"/>
        <w:rPr>
          <w:rFonts w:ascii="Arial" w:eastAsia="Times New Roman" w:hAnsi="Arial" w:cs="Times New Roman"/>
          <w:b/>
          <w:sz w:val="20"/>
          <w:szCs w:val="20"/>
          <w:highlight w:val="red"/>
        </w:rPr>
      </w:pPr>
    </w:p>
    <w:tbl>
      <w:tblPr>
        <w:tblW w:w="8677" w:type="dxa"/>
        <w:jc w:val="center"/>
        <w:tblBorders>
          <w:top w:val="single" w:sz="4" w:space="0" w:color="auto"/>
          <w:bottom w:val="single" w:sz="4" w:space="0" w:color="auto"/>
        </w:tblBorders>
        <w:tblLook w:val="01E0" w:firstRow="1" w:lastRow="1" w:firstColumn="1" w:lastColumn="1" w:noHBand="0" w:noVBand="0"/>
      </w:tblPr>
      <w:tblGrid>
        <w:gridCol w:w="3660"/>
        <w:gridCol w:w="1459"/>
        <w:gridCol w:w="3558"/>
      </w:tblGrid>
      <w:tr w:rsidR="004D63F6" w:rsidRPr="004D63F6" w14:paraId="36CCF5ED" w14:textId="77777777" w:rsidTr="00A94916">
        <w:trPr>
          <w:trHeight w:val="233"/>
          <w:jc w:val="center"/>
        </w:trPr>
        <w:tc>
          <w:tcPr>
            <w:tcW w:w="3660" w:type="dxa"/>
            <w:tcBorders>
              <w:top w:val="single" w:sz="4" w:space="0" w:color="auto"/>
              <w:bottom w:val="single" w:sz="4" w:space="0" w:color="auto"/>
            </w:tcBorders>
          </w:tcPr>
          <w:p w14:paraId="01D4E0FC"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Variables</w:t>
            </w:r>
          </w:p>
        </w:tc>
        <w:tc>
          <w:tcPr>
            <w:tcW w:w="1459" w:type="dxa"/>
            <w:tcBorders>
              <w:top w:val="single" w:sz="4" w:space="0" w:color="auto"/>
              <w:bottom w:val="single" w:sz="4" w:space="0" w:color="auto"/>
            </w:tcBorders>
          </w:tcPr>
          <w:p w14:paraId="5EC7C916"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Frequency</w:t>
            </w:r>
          </w:p>
        </w:tc>
        <w:tc>
          <w:tcPr>
            <w:tcW w:w="3558" w:type="dxa"/>
            <w:tcBorders>
              <w:top w:val="single" w:sz="4" w:space="0" w:color="auto"/>
              <w:bottom w:val="single" w:sz="4" w:space="0" w:color="auto"/>
            </w:tcBorders>
          </w:tcPr>
          <w:p w14:paraId="317A2AE9"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Percentage</w:t>
            </w:r>
          </w:p>
        </w:tc>
      </w:tr>
      <w:tr w:rsidR="004D63F6" w:rsidRPr="004D63F6" w14:paraId="4FF89162" w14:textId="77777777" w:rsidTr="0088770B">
        <w:trPr>
          <w:trHeight w:val="379"/>
          <w:jc w:val="center"/>
        </w:trPr>
        <w:tc>
          <w:tcPr>
            <w:tcW w:w="3660" w:type="dxa"/>
            <w:tcBorders>
              <w:top w:val="single" w:sz="4" w:space="0" w:color="auto"/>
            </w:tcBorders>
          </w:tcPr>
          <w:p w14:paraId="7003514C"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Gender</w:t>
            </w:r>
          </w:p>
        </w:tc>
        <w:tc>
          <w:tcPr>
            <w:tcW w:w="1459" w:type="dxa"/>
            <w:tcBorders>
              <w:top w:val="single" w:sz="4" w:space="0" w:color="auto"/>
            </w:tcBorders>
          </w:tcPr>
          <w:p w14:paraId="4A52C66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Borders>
              <w:top w:val="single" w:sz="4" w:space="0" w:color="auto"/>
            </w:tcBorders>
          </w:tcPr>
          <w:p w14:paraId="6491FF3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14:paraId="1F5E1717" w14:textId="77777777" w:rsidTr="0088770B">
        <w:trPr>
          <w:trHeight w:val="379"/>
          <w:jc w:val="center"/>
        </w:trPr>
        <w:tc>
          <w:tcPr>
            <w:tcW w:w="3660" w:type="dxa"/>
          </w:tcPr>
          <w:p w14:paraId="0DEE437B"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Female</w:t>
            </w:r>
          </w:p>
        </w:tc>
        <w:tc>
          <w:tcPr>
            <w:tcW w:w="1459" w:type="dxa"/>
          </w:tcPr>
          <w:p w14:paraId="089F883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118</w:t>
            </w:r>
          </w:p>
        </w:tc>
        <w:tc>
          <w:tcPr>
            <w:tcW w:w="3558" w:type="dxa"/>
          </w:tcPr>
          <w:p w14:paraId="6B39B192"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46.8</w:t>
            </w:r>
          </w:p>
        </w:tc>
      </w:tr>
      <w:tr w:rsidR="004D63F6" w:rsidRPr="004D63F6" w14:paraId="5E0D6C71" w14:textId="77777777" w:rsidTr="0088770B">
        <w:trPr>
          <w:trHeight w:val="379"/>
          <w:jc w:val="center"/>
        </w:trPr>
        <w:tc>
          <w:tcPr>
            <w:tcW w:w="3660" w:type="dxa"/>
          </w:tcPr>
          <w:p w14:paraId="77A89A4E"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Male</w:t>
            </w:r>
          </w:p>
        </w:tc>
        <w:tc>
          <w:tcPr>
            <w:tcW w:w="1459" w:type="dxa"/>
          </w:tcPr>
          <w:p w14:paraId="1A34911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134</w:t>
            </w:r>
          </w:p>
        </w:tc>
        <w:tc>
          <w:tcPr>
            <w:tcW w:w="3558" w:type="dxa"/>
          </w:tcPr>
          <w:p w14:paraId="6DAE9816"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53.2</w:t>
            </w:r>
          </w:p>
        </w:tc>
      </w:tr>
      <w:tr w:rsidR="004D63F6" w:rsidRPr="004D63F6" w14:paraId="7A3B49F3" w14:textId="77777777" w:rsidTr="0088770B">
        <w:trPr>
          <w:trHeight w:val="379"/>
          <w:jc w:val="center"/>
        </w:trPr>
        <w:tc>
          <w:tcPr>
            <w:tcW w:w="3660" w:type="dxa"/>
          </w:tcPr>
          <w:p w14:paraId="44060CFB"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Age</w:t>
            </w:r>
          </w:p>
        </w:tc>
        <w:tc>
          <w:tcPr>
            <w:tcW w:w="1459" w:type="dxa"/>
          </w:tcPr>
          <w:p w14:paraId="372CE28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Pr>
          <w:p w14:paraId="4FFB6415"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14:paraId="58D44DB2" w14:textId="77777777" w:rsidTr="0088770B">
        <w:trPr>
          <w:trHeight w:val="379"/>
          <w:jc w:val="center"/>
        </w:trPr>
        <w:tc>
          <w:tcPr>
            <w:tcW w:w="3660" w:type="dxa"/>
          </w:tcPr>
          <w:p w14:paraId="4F90E4B0"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18-30 years</w:t>
            </w:r>
          </w:p>
        </w:tc>
        <w:tc>
          <w:tcPr>
            <w:tcW w:w="1459" w:type="dxa"/>
          </w:tcPr>
          <w:p w14:paraId="04A2260F"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79</w:t>
            </w:r>
          </w:p>
        </w:tc>
        <w:tc>
          <w:tcPr>
            <w:tcW w:w="3558" w:type="dxa"/>
          </w:tcPr>
          <w:p w14:paraId="5B9AB310"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31.3</w:t>
            </w:r>
          </w:p>
        </w:tc>
      </w:tr>
      <w:tr w:rsidR="004D63F6" w:rsidRPr="004D63F6" w14:paraId="4D7E42B9" w14:textId="77777777" w:rsidTr="0088770B">
        <w:trPr>
          <w:trHeight w:val="398"/>
          <w:jc w:val="center"/>
        </w:trPr>
        <w:tc>
          <w:tcPr>
            <w:tcW w:w="3660" w:type="dxa"/>
          </w:tcPr>
          <w:p w14:paraId="63B57A2E"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31-40 years</w:t>
            </w:r>
          </w:p>
        </w:tc>
        <w:tc>
          <w:tcPr>
            <w:tcW w:w="1459" w:type="dxa"/>
          </w:tcPr>
          <w:p w14:paraId="441D32B8"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82</w:t>
            </w:r>
          </w:p>
        </w:tc>
        <w:tc>
          <w:tcPr>
            <w:tcW w:w="3558" w:type="dxa"/>
          </w:tcPr>
          <w:p w14:paraId="2F2F87EC"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32.5</w:t>
            </w:r>
          </w:p>
        </w:tc>
      </w:tr>
      <w:tr w:rsidR="004D63F6" w:rsidRPr="004D63F6" w14:paraId="22565C52" w14:textId="77777777" w:rsidTr="0088770B">
        <w:trPr>
          <w:trHeight w:val="379"/>
          <w:jc w:val="center"/>
        </w:trPr>
        <w:tc>
          <w:tcPr>
            <w:tcW w:w="3660" w:type="dxa"/>
          </w:tcPr>
          <w:p w14:paraId="7FD292D0"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41-50 years</w:t>
            </w:r>
          </w:p>
        </w:tc>
        <w:tc>
          <w:tcPr>
            <w:tcW w:w="1459" w:type="dxa"/>
          </w:tcPr>
          <w:p w14:paraId="4C572D13"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49</w:t>
            </w:r>
          </w:p>
        </w:tc>
        <w:tc>
          <w:tcPr>
            <w:tcW w:w="3558" w:type="dxa"/>
          </w:tcPr>
          <w:p w14:paraId="476900F4"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19.4</w:t>
            </w:r>
          </w:p>
        </w:tc>
      </w:tr>
      <w:tr w:rsidR="004D63F6" w:rsidRPr="004D63F6" w14:paraId="1DD9B961" w14:textId="77777777" w:rsidTr="0088770B">
        <w:trPr>
          <w:trHeight w:val="379"/>
          <w:jc w:val="center"/>
        </w:trPr>
        <w:tc>
          <w:tcPr>
            <w:tcW w:w="3660" w:type="dxa"/>
          </w:tcPr>
          <w:p w14:paraId="66207ACC"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51 Years and above</w:t>
            </w:r>
          </w:p>
        </w:tc>
        <w:tc>
          <w:tcPr>
            <w:tcW w:w="1459" w:type="dxa"/>
          </w:tcPr>
          <w:p w14:paraId="0713C91E"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42</w:t>
            </w:r>
          </w:p>
        </w:tc>
        <w:tc>
          <w:tcPr>
            <w:tcW w:w="3558" w:type="dxa"/>
          </w:tcPr>
          <w:p w14:paraId="1D1731AF"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16.7</w:t>
            </w:r>
          </w:p>
        </w:tc>
      </w:tr>
      <w:tr w:rsidR="004D63F6" w:rsidRPr="004D63F6" w14:paraId="5D68DBFD" w14:textId="77777777" w:rsidTr="0088770B">
        <w:trPr>
          <w:trHeight w:val="379"/>
          <w:jc w:val="center"/>
        </w:trPr>
        <w:tc>
          <w:tcPr>
            <w:tcW w:w="3660" w:type="dxa"/>
          </w:tcPr>
          <w:p w14:paraId="44A9778F"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Education</w:t>
            </w:r>
          </w:p>
        </w:tc>
        <w:tc>
          <w:tcPr>
            <w:tcW w:w="1459" w:type="dxa"/>
          </w:tcPr>
          <w:p w14:paraId="345C8111"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c>
          <w:tcPr>
            <w:tcW w:w="3558" w:type="dxa"/>
          </w:tcPr>
          <w:p w14:paraId="5BD03407"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p>
        </w:tc>
      </w:tr>
      <w:tr w:rsidR="004D63F6" w:rsidRPr="004D63F6" w14:paraId="4F34AA6B" w14:textId="77777777" w:rsidTr="0088770B">
        <w:trPr>
          <w:trHeight w:val="379"/>
          <w:jc w:val="center"/>
        </w:trPr>
        <w:tc>
          <w:tcPr>
            <w:tcW w:w="3660" w:type="dxa"/>
          </w:tcPr>
          <w:p w14:paraId="1ACC64E2"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Secondary</w:t>
            </w:r>
          </w:p>
        </w:tc>
        <w:tc>
          <w:tcPr>
            <w:tcW w:w="1459" w:type="dxa"/>
          </w:tcPr>
          <w:p w14:paraId="2E470220"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51</w:t>
            </w:r>
          </w:p>
        </w:tc>
        <w:tc>
          <w:tcPr>
            <w:tcW w:w="3558" w:type="dxa"/>
          </w:tcPr>
          <w:p w14:paraId="75295F2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20.2</w:t>
            </w:r>
          </w:p>
        </w:tc>
      </w:tr>
      <w:tr w:rsidR="004D63F6" w:rsidRPr="004D63F6" w14:paraId="35A64EF4" w14:textId="77777777" w:rsidTr="0088770B">
        <w:trPr>
          <w:trHeight w:val="379"/>
          <w:jc w:val="center"/>
        </w:trPr>
        <w:tc>
          <w:tcPr>
            <w:tcW w:w="3660" w:type="dxa"/>
          </w:tcPr>
          <w:p w14:paraId="327AB4E5"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Diploma</w:t>
            </w:r>
          </w:p>
        </w:tc>
        <w:tc>
          <w:tcPr>
            <w:tcW w:w="1459" w:type="dxa"/>
          </w:tcPr>
          <w:p w14:paraId="287A8FDB"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66</w:t>
            </w:r>
          </w:p>
        </w:tc>
        <w:tc>
          <w:tcPr>
            <w:tcW w:w="3558" w:type="dxa"/>
          </w:tcPr>
          <w:p w14:paraId="00ED962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26.2</w:t>
            </w:r>
          </w:p>
        </w:tc>
      </w:tr>
      <w:tr w:rsidR="004D63F6" w:rsidRPr="004D63F6" w14:paraId="15230B00" w14:textId="77777777" w:rsidTr="0088770B">
        <w:trPr>
          <w:trHeight w:val="379"/>
          <w:jc w:val="center"/>
        </w:trPr>
        <w:tc>
          <w:tcPr>
            <w:tcW w:w="3660" w:type="dxa"/>
          </w:tcPr>
          <w:p w14:paraId="482FB8FD"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Degree</w:t>
            </w:r>
          </w:p>
        </w:tc>
        <w:tc>
          <w:tcPr>
            <w:tcW w:w="1459" w:type="dxa"/>
          </w:tcPr>
          <w:p w14:paraId="69D898C0"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78</w:t>
            </w:r>
          </w:p>
        </w:tc>
        <w:tc>
          <w:tcPr>
            <w:tcW w:w="3558" w:type="dxa"/>
          </w:tcPr>
          <w:p w14:paraId="3568EB99"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31.0</w:t>
            </w:r>
          </w:p>
        </w:tc>
      </w:tr>
      <w:tr w:rsidR="004D63F6" w:rsidRPr="004D63F6" w14:paraId="300B17C4" w14:textId="77777777" w:rsidTr="0088770B">
        <w:trPr>
          <w:trHeight w:val="379"/>
          <w:jc w:val="center"/>
        </w:trPr>
        <w:tc>
          <w:tcPr>
            <w:tcW w:w="3660" w:type="dxa"/>
          </w:tcPr>
          <w:p w14:paraId="7C69BE3C"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Masters</w:t>
            </w:r>
          </w:p>
        </w:tc>
        <w:tc>
          <w:tcPr>
            <w:tcW w:w="1459" w:type="dxa"/>
          </w:tcPr>
          <w:p w14:paraId="7FB40FAF"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39</w:t>
            </w:r>
          </w:p>
        </w:tc>
        <w:tc>
          <w:tcPr>
            <w:tcW w:w="3558" w:type="dxa"/>
          </w:tcPr>
          <w:p w14:paraId="39CAB193"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15.5</w:t>
            </w:r>
          </w:p>
        </w:tc>
      </w:tr>
      <w:tr w:rsidR="004D63F6" w:rsidRPr="004D63F6" w14:paraId="4B539E9E" w14:textId="77777777" w:rsidTr="0088770B">
        <w:trPr>
          <w:trHeight w:val="398"/>
          <w:jc w:val="center"/>
        </w:trPr>
        <w:tc>
          <w:tcPr>
            <w:tcW w:w="3660" w:type="dxa"/>
          </w:tcPr>
          <w:p w14:paraId="349B78FE" w14:textId="77777777" w:rsidR="004D63F6" w:rsidRPr="004D63F6" w:rsidRDefault="004D63F6" w:rsidP="00A94916">
            <w:pPr>
              <w:spacing w:after="0" w:line="240" w:lineRule="auto"/>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Others</w:t>
            </w:r>
          </w:p>
        </w:tc>
        <w:tc>
          <w:tcPr>
            <w:tcW w:w="1459" w:type="dxa"/>
          </w:tcPr>
          <w:p w14:paraId="4B7D8A5B"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18</w:t>
            </w:r>
          </w:p>
        </w:tc>
        <w:tc>
          <w:tcPr>
            <w:tcW w:w="3558" w:type="dxa"/>
          </w:tcPr>
          <w:p w14:paraId="2A3195FC" w14:textId="77777777" w:rsidR="004D63F6" w:rsidRPr="004D63F6" w:rsidRDefault="004D63F6" w:rsidP="00A94916">
            <w:pPr>
              <w:spacing w:after="0" w:line="240" w:lineRule="auto"/>
              <w:jc w:val="center"/>
              <w:rPr>
                <w:rFonts w:ascii="Times New Roman" w:eastAsia="Times New Roman" w:hAnsi="Times New Roman" w:cs="Times New Roman"/>
                <w:sz w:val="20"/>
                <w:szCs w:val="20"/>
              </w:rPr>
            </w:pPr>
            <w:r w:rsidRPr="004D63F6">
              <w:rPr>
                <w:rFonts w:ascii="Times New Roman" w:eastAsia="Times New Roman" w:hAnsi="Times New Roman" w:cs="Times New Roman"/>
                <w:sz w:val="20"/>
                <w:szCs w:val="20"/>
              </w:rPr>
              <w:t>7.1</w:t>
            </w:r>
          </w:p>
        </w:tc>
      </w:tr>
      <w:tr w:rsidR="004D63F6" w:rsidRPr="004D63F6" w14:paraId="1CC7DE12" w14:textId="77777777" w:rsidTr="0088770B">
        <w:trPr>
          <w:trHeight w:val="379"/>
          <w:jc w:val="center"/>
        </w:trPr>
        <w:tc>
          <w:tcPr>
            <w:tcW w:w="3660" w:type="dxa"/>
          </w:tcPr>
          <w:p w14:paraId="61F8E478" w14:textId="77777777" w:rsidR="004D63F6" w:rsidRPr="004D63F6" w:rsidRDefault="004D63F6" w:rsidP="00A94916">
            <w:pPr>
              <w:spacing w:after="0" w:line="240" w:lineRule="auto"/>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Total</w:t>
            </w:r>
          </w:p>
        </w:tc>
        <w:tc>
          <w:tcPr>
            <w:tcW w:w="1459" w:type="dxa"/>
          </w:tcPr>
          <w:p w14:paraId="2461BDF7"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252</w:t>
            </w:r>
          </w:p>
        </w:tc>
        <w:tc>
          <w:tcPr>
            <w:tcW w:w="3558" w:type="dxa"/>
          </w:tcPr>
          <w:p w14:paraId="54C1758F" w14:textId="77777777" w:rsidR="004D63F6" w:rsidRPr="004D63F6" w:rsidRDefault="004D63F6" w:rsidP="00A94916">
            <w:pPr>
              <w:spacing w:after="0" w:line="240" w:lineRule="auto"/>
              <w:jc w:val="center"/>
              <w:rPr>
                <w:rFonts w:ascii="Times New Roman" w:eastAsia="Times New Roman" w:hAnsi="Times New Roman" w:cs="Times New Roman"/>
                <w:b/>
                <w:sz w:val="20"/>
                <w:szCs w:val="20"/>
              </w:rPr>
            </w:pPr>
            <w:r w:rsidRPr="004D63F6">
              <w:rPr>
                <w:rFonts w:ascii="Times New Roman" w:eastAsia="Times New Roman" w:hAnsi="Times New Roman" w:cs="Times New Roman"/>
                <w:b/>
                <w:sz w:val="20"/>
                <w:szCs w:val="20"/>
              </w:rPr>
              <w:t>100.0</w:t>
            </w:r>
          </w:p>
        </w:tc>
      </w:tr>
    </w:tbl>
    <w:p w14:paraId="3A9F1A54"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 </w:t>
      </w:r>
    </w:p>
    <w:p w14:paraId="04C1CE6D" w14:textId="77777777" w:rsidR="004D63F6" w:rsidRPr="004D63F6" w:rsidRDefault="004D63F6" w:rsidP="004D63F6">
      <w:pPr>
        <w:keepNext/>
        <w:spacing w:after="0" w:line="240" w:lineRule="auto"/>
        <w:jc w:val="both"/>
        <w:rPr>
          <w:rFonts w:ascii="Arial" w:eastAsia="Times New Roman" w:hAnsi="Arial" w:cs="Arial"/>
          <w:b/>
          <w:bCs/>
          <w:caps/>
          <w:szCs w:val="20"/>
        </w:rPr>
      </w:pPr>
    </w:p>
    <w:p w14:paraId="1A18F122" w14:textId="77777777" w:rsidR="00617D0B" w:rsidRDefault="00617D0B" w:rsidP="004D63F6">
      <w:pPr>
        <w:keepNext/>
        <w:spacing w:after="0" w:line="240" w:lineRule="auto"/>
        <w:jc w:val="both"/>
        <w:rPr>
          <w:rFonts w:ascii="Arial" w:eastAsia="Times New Roman" w:hAnsi="Arial" w:cs="Arial"/>
          <w:b/>
          <w:bCs/>
          <w:caps/>
          <w:szCs w:val="20"/>
        </w:rPr>
        <w:sectPr w:rsidR="00617D0B" w:rsidSect="00B8650C">
          <w:type w:val="continuous"/>
          <w:pgSz w:w="11907" w:h="16839" w:code="9"/>
          <w:pgMar w:top="1440" w:right="1440" w:bottom="1440" w:left="1440" w:header="720" w:footer="720" w:gutter="0"/>
          <w:cols w:space="720"/>
          <w:docGrid w:linePitch="360"/>
        </w:sectPr>
      </w:pPr>
    </w:p>
    <w:p w14:paraId="49E76E68"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bCs/>
          <w:caps/>
          <w:szCs w:val="20"/>
        </w:rPr>
        <w:t xml:space="preserve">4.2 </w:t>
      </w:r>
      <w:r w:rsidRPr="004D63F6">
        <w:rPr>
          <w:rFonts w:ascii="Arial" w:eastAsia="Times New Roman" w:hAnsi="Arial" w:cs="Arial"/>
          <w:b/>
          <w:bCs/>
          <w:szCs w:val="20"/>
        </w:rPr>
        <w:t>Correlation Results</w:t>
      </w:r>
    </w:p>
    <w:p w14:paraId="4E836971" w14:textId="77777777" w:rsidR="00454858" w:rsidRDefault="00454858" w:rsidP="004D63F6">
      <w:pPr>
        <w:spacing w:after="0" w:line="240" w:lineRule="auto"/>
        <w:jc w:val="both"/>
        <w:rPr>
          <w:rFonts w:ascii="Arial" w:eastAsia="Times New Roman" w:hAnsi="Arial" w:cs="Arial"/>
          <w:sz w:val="20"/>
          <w:szCs w:val="20"/>
        </w:rPr>
      </w:pPr>
    </w:p>
    <w:p w14:paraId="2270EFD7"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The research applied correlation analysis to determine both the strength and direction of the relationships among the variables. Pearson correlation coefficients evaluated the association. The findings shown in Table 2 below revealed all the Pearson correlation coefficients reported were positive, suggesting that as one variable increased, the others tend to increase as well, indicating mutually reinforcing dynamics. First, tax compliance (TC) showed a moderate, statistically significant positive correlation with mediation (MD), with a coefficient of r = 0.565 (p &lt; 0.001). This indicated that higher engagement with mediation processes is associated with better compliance among taxpayers. Similarly, the connection between tax compliance and arbitration (AB) was slightly stronger, with r = 0.572 (p &lt; 0.001), underscoring the potential role of arbitration in enhancing voluntary tax compliance. </w:t>
      </w:r>
    </w:p>
    <w:p w14:paraId="61ADD223"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ENE is also positively correlated with tax compliance, although at a slightly lower magnitude (r = 0.506, p &lt; 0.001). This suggested that early, impartial assessments of tax disputes may help clarify obligations and foster compliance. Meanwhile, taxpayer education (TE) was moderately correlated with tax compliance (r = 0.489, p &lt; 0.001), highlighting the important role of educational </w:t>
      </w:r>
      <w:r w:rsidRPr="004D63F6">
        <w:rPr>
          <w:rFonts w:ascii="Arial" w:eastAsia="Times New Roman" w:hAnsi="Arial" w:cs="Arial"/>
          <w:sz w:val="20"/>
          <w:szCs w:val="20"/>
        </w:rPr>
        <w:t>initiatives in shaping taxpayers’ knowledge, attitudes, and ultimately their compliance behavior. Examining the interrelationships among the mechanisms themselves, mediation showed a relatively strong positive association with arbitration (r = 0.604, p = 0.052). It suggests that taxpayers who engage in mediation are also likely to consider arbitration as a viable avenue for resolving disputes, reflecting an overall preference for ADR strategies.</w:t>
      </w:r>
    </w:p>
    <w:p w14:paraId="64636A0B" w14:textId="77777777" w:rsidR="004D63F6" w:rsidRPr="004D63F6" w:rsidRDefault="004D63F6" w:rsidP="004D63F6">
      <w:pPr>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 xml:space="preserve">The correlation between mediation and ENE (r = 0.539, p = 0.090) was similarly moderate, implying a possible but not definitive link between the two methods. Meanwhile, mediation was significantly correlated with taxpayer education (r = 0.511, p = 0.002), suggesting that taxpayers who participate in mediation processes may also be more receptive to educational interventions. Arbitration also exhibited moderate positive correlations with ENE (r = 0.417, p = 0.002) and taxpayer education (r = 0.498, p = 0.009), both significant at the 5% level, further highlighting the interconnectedness of ADR methods and educational efforts in fostering tax compliance. Finally, ENE and taxpayer education were moderately correlated (r = 0.512, p = 0.005), indicating that proactive evaluation efforts may be linked to greater dissemination of tax-related information, potentially empowering taxpayers to comply voluntarily. </w:t>
      </w:r>
    </w:p>
    <w:p w14:paraId="54E82653" w14:textId="77777777" w:rsidR="00617D0B" w:rsidRDefault="00617D0B" w:rsidP="004D63F6">
      <w:pPr>
        <w:spacing w:after="0" w:line="240" w:lineRule="auto"/>
        <w:jc w:val="both"/>
        <w:rPr>
          <w:rFonts w:ascii="Arial" w:eastAsia="Times New Roman" w:hAnsi="Arial" w:cs="Arial"/>
          <w:sz w:val="20"/>
          <w:szCs w:val="20"/>
        </w:rPr>
        <w:sectPr w:rsidR="00617D0B" w:rsidSect="00C75C26">
          <w:type w:val="continuous"/>
          <w:pgSz w:w="11907" w:h="16839" w:code="9"/>
          <w:pgMar w:top="1440" w:right="1440" w:bottom="1440" w:left="1440" w:header="720" w:footer="720" w:gutter="0"/>
          <w:cols w:num="2" w:space="720"/>
          <w:docGrid w:linePitch="360"/>
        </w:sectPr>
      </w:pPr>
    </w:p>
    <w:p w14:paraId="6913216E" w14:textId="77777777" w:rsidR="004D63F6" w:rsidRPr="004D63F6" w:rsidRDefault="004D63F6" w:rsidP="004D63F6">
      <w:pPr>
        <w:spacing w:after="0" w:line="240" w:lineRule="auto"/>
        <w:jc w:val="both"/>
        <w:rPr>
          <w:rFonts w:ascii="Arial" w:eastAsia="Times New Roman" w:hAnsi="Arial" w:cs="Arial"/>
          <w:sz w:val="20"/>
          <w:szCs w:val="20"/>
        </w:rPr>
      </w:pPr>
    </w:p>
    <w:p w14:paraId="1DF66CA7" w14:textId="77777777" w:rsidR="004D63F6" w:rsidRPr="004D63F6" w:rsidRDefault="004D63F6" w:rsidP="004D63F6">
      <w:pPr>
        <w:tabs>
          <w:tab w:val="left" w:pos="1080"/>
        </w:tabs>
        <w:spacing w:after="0" w:line="240" w:lineRule="auto"/>
        <w:jc w:val="both"/>
        <w:rPr>
          <w:rFonts w:ascii="Arial" w:eastAsia="Times New Roman" w:hAnsi="Arial" w:cs="Times New Roman"/>
          <w:b/>
          <w:bCs/>
          <w:sz w:val="20"/>
          <w:szCs w:val="20"/>
        </w:rPr>
      </w:pPr>
      <w:r w:rsidRPr="004D63F6">
        <w:rPr>
          <w:rFonts w:ascii="Arial" w:eastAsia="Times New Roman" w:hAnsi="Arial" w:cs="Times New Roman"/>
          <w:b/>
          <w:sz w:val="20"/>
          <w:szCs w:val="20"/>
        </w:rPr>
        <w:t xml:space="preserve">Table 2. </w:t>
      </w:r>
      <w:r w:rsidRPr="004D63F6">
        <w:rPr>
          <w:rFonts w:ascii="Arial" w:eastAsia="Times New Roman" w:hAnsi="Arial" w:cs="Times New Roman"/>
          <w:b/>
          <w:bCs/>
          <w:sz w:val="20"/>
          <w:szCs w:val="20"/>
        </w:rPr>
        <w:t>Correlation Results</w:t>
      </w:r>
    </w:p>
    <w:p w14:paraId="11B30788" w14:textId="77777777" w:rsidR="004D63F6" w:rsidRDefault="004D63F6" w:rsidP="004D63F6">
      <w:pPr>
        <w:spacing w:after="0" w:line="240" w:lineRule="auto"/>
        <w:jc w:val="both"/>
        <w:rPr>
          <w:rFonts w:ascii="Arial" w:eastAsia="Times New Roman" w:hAnsi="Arial" w:cs="Arial"/>
          <w:sz w:val="20"/>
          <w:szCs w:val="20"/>
        </w:rPr>
      </w:pPr>
    </w:p>
    <w:tbl>
      <w:tblPr>
        <w:tblStyle w:val="TableGrid"/>
        <w:tblW w:w="92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320"/>
        <w:gridCol w:w="1320"/>
        <w:gridCol w:w="1321"/>
        <w:gridCol w:w="1321"/>
        <w:gridCol w:w="1321"/>
      </w:tblGrid>
      <w:tr w:rsidR="00A94916" w14:paraId="0D487FAE" w14:textId="77777777" w:rsidTr="00A94916">
        <w:tc>
          <w:tcPr>
            <w:tcW w:w="2628" w:type="dxa"/>
            <w:tcBorders>
              <w:top w:val="single" w:sz="4" w:space="0" w:color="auto"/>
              <w:bottom w:val="single" w:sz="4" w:space="0" w:color="auto"/>
            </w:tcBorders>
          </w:tcPr>
          <w:p w14:paraId="1C349D1D" w14:textId="77777777" w:rsidR="00A94916" w:rsidRPr="00DB2192" w:rsidRDefault="00A94916" w:rsidP="00A94916">
            <w:pPr>
              <w:spacing w:line="360" w:lineRule="auto"/>
            </w:pPr>
          </w:p>
        </w:tc>
        <w:tc>
          <w:tcPr>
            <w:tcW w:w="1320" w:type="dxa"/>
            <w:tcBorders>
              <w:top w:val="single" w:sz="4" w:space="0" w:color="auto"/>
              <w:bottom w:val="single" w:sz="4" w:space="0" w:color="auto"/>
            </w:tcBorders>
          </w:tcPr>
          <w:p w14:paraId="297C178F" w14:textId="77777777" w:rsidR="00A94916" w:rsidRPr="004D63F6" w:rsidRDefault="00A94916" w:rsidP="00A94916">
            <w:pPr>
              <w:spacing w:line="360" w:lineRule="auto"/>
              <w:rPr>
                <w:b/>
              </w:rPr>
            </w:pPr>
            <w:r w:rsidRPr="004D63F6">
              <w:rPr>
                <w:b/>
              </w:rPr>
              <w:t>TC</w:t>
            </w:r>
          </w:p>
        </w:tc>
        <w:tc>
          <w:tcPr>
            <w:tcW w:w="1320" w:type="dxa"/>
            <w:tcBorders>
              <w:top w:val="single" w:sz="4" w:space="0" w:color="auto"/>
              <w:bottom w:val="single" w:sz="4" w:space="0" w:color="auto"/>
            </w:tcBorders>
          </w:tcPr>
          <w:p w14:paraId="18A0A15E" w14:textId="77777777" w:rsidR="00A94916" w:rsidRPr="004D63F6" w:rsidRDefault="00A94916" w:rsidP="00A94916">
            <w:pPr>
              <w:spacing w:line="360" w:lineRule="auto"/>
              <w:rPr>
                <w:b/>
              </w:rPr>
            </w:pPr>
            <w:r w:rsidRPr="004D63F6">
              <w:rPr>
                <w:b/>
              </w:rPr>
              <w:t>MD</w:t>
            </w:r>
          </w:p>
        </w:tc>
        <w:tc>
          <w:tcPr>
            <w:tcW w:w="1321" w:type="dxa"/>
            <w:tcBorders>
              <w:top w:val="single" w:sz="4" w:space="0" w:color="auto"/>
              <w:bottom w:val="single" w:sz="4" w:space="0" w:color="auto"/>
            </w:tcBorders>
          </w:tcPr>
          <w:p w14:paraId="655B5383" w14:textId="77777777" w:rsidR="00A94916" w:rsidRPr="004D63F6" w:rsidRDefault="00A94916" w:rsidP="00A94916">
            <w:pPr>
              <w:spacing w:line="360" w:lineRule="auto"/>
              <w:rPr>
                <w:b/>
              </w:rPr>
            </w:pPr>
            <w:r w:rsidRPr="004D63F6">
              <w:rPr>
                <w:b/>
              </w:rPr>
              <w:t>AB</w:t>
            </w:r>
          </w:p>
        </w:tc>
        <w:tc>
          <w:tcPr>
            <w:tcW w:w="1321" w:type="dxa"/>
            <w:tcBorders>
              <w:top w:val="single" w:sz="4" w:space="0" w:color="auto"/>
              <w:bottom w:val="single" w:sz="4" w:space="0" w:color="auto"/>
            </w:tcBorders>
          </w:tcPr>
          <w:p w14:paraId="7B9FA38D" w14:textId="77777777" w:rsidR="00A94916" w:rsidRPr="004D63F6" w:rsidRDefault="00A94916" w:rsidP="00A94916">
            <w:pPr>
              <w:spacing w:line="360" w:lineRule="auto"/>
              <w:rPr>
                <w:b/>
              </w:rPr>
            </w:pPr>
            <w:r w:rsidRPr="004D63F6">
              <w:rPr>
                <w:b/>
              </w:rPr>
              <w:t>ENE</w:t>
            </w:r>
          </w:p>
        </w:tc>
        <w:tc>
          <w:tcPr>
            <w:tcW w:w="1321" w:type="dxa"/>
            <w:tcBorders>
              <w:top w:val="single" w:sz="4" w:space="0" w:color="auto"/>
              <w:bottom w:val="single" w:sz="4" w:space="0" w:color="auto"/>
            </w:tcBorders>
          </w:tcPr>
          <w:p w14:paraId="365245B2" w14:textId="77777777" w:rsidR="00A94916" w:rsidRPr="004D63F6" w:rsidRDefault="00A94916" w:rsidP="00A94916">
            <w:pPr>
              <w:spacing w:line="360" w:lineRule="auto"/>
              <w:rPr>
                <w:b/>
              </w:rPr>
            </w:pPr>
            <w:r w:rsidRPr="004D63F6">
              <w:rPr>
                <w:b/>
              </w:rPr>
              <w:t>TE</w:t>
            </w:r>
          </w:p>
        </w:tc>
      </w:tr>
      <w:tr w:rsidR="00A94916" w14:paraId="0A453CDA" w14:textId="77777777" w:rsidTr="00A94916">
        <w:tc>
          <w:tcPr>
            <w:tcW w:w="2628" w:type="dxa"/>
            <w:tcBorders>
              <w:top w:val="single" w:sz="4" w:space="0" w:color="auto"/>
            </w:tcBorders>
          </w:tcPr>
          <w:p w14:paraId="3156EAA9" w14:textId="77777777" w:rsidR="00A94916" w:rsidRPr="004D63F6" w:rsidRDefault="00A94916" w:rsidP="00A94916">
            <w:pPr>
              <w:spacing w:line="360" w:lineRule="auto"/>
              <w:rPr>
                <w:b/>
              </w:rPr>
            </w:pPr>
            <w:r w:rsidRPr="004D63F6">
              <w:rPr>
                <w:b/>
              </w:rPr>
              <w:t>Tax Compliance</w:t>
            </w:r>
          </w:p>
        </w:tc>
        <w:tc>
          <w:tcPr>
            <w:tcW w:w="1320" w:type="dxa"/>
            <w:tcBorders>
              <w:top w:val="single" w:sz="4" w:space="0" w:color="auto"/>
            </w:tcBorders>
          </w:tcPr>
          <w:p w14:paraId="6E7534ED" w14:textId="77777777" w:rsidR="00A94916" w:rsidRPr="00DB2192" w:rsidRDefault="00A94916" w:rsidP="00A94916">
            <w:pPr>
              <w:spacing w:line="360" w:lineRule="auto"/>
            </w:pPr>
            <w:r w:rsidRPr="00DB2192">
              <w:t>1</w:t>
            </w:r>
          </w:p>
        </w:tc>
        <w:tc>
          <w:tcPr>
            <w:tcW w:w="1320" w:type="dxa"/>
            <w:tcBorders>
              <w:top w:val="single" w:sz="4" w:space="0" w:color="auto"/>
            </w:tcBorders>
          </w:tcPr>
          <w:p w14:paraId="217C58A4" w14:textId="77777777" w:rsidR="00A94916" w:rsidRPr="00DB2192" w:rsidRDefault="00A94916" w:rsidP="00A94916">
            <w:pPr>
              <w:spacing w:line="360" w:lineRule="auto"/>
            </w:pPr>
          </w:p>
        </w:tc>
        <w:tc>
          <w:tcPr>
            <w:tcW w:w="1321" w:type="dxa"/>
            <w:tcBorders>
              <w:top w:val="single" w:sz="4" w:space="0" w:color="auto"/>
            </w:tcBorders>
          </w:tcPr>
          <w:p w14:paraId="3A615ED3" w14:textId="77777777" w:rsidR="00A94916" w:rsidRPr="00DB2192" w:rsidRDefault="00A94916" w:rsidP="00A94916">
            <w:pPr>
              <w:spacing w:line="360" w:lineRule="auto"/>
            </w:pPr>
          </w:p>
        </w:tc>
        <w:tc>
          <w:tcPr>
            <w:tcW w:w="1321" w:type="dxa"/>
            <w:tcBorders>
              <w:top w:val="single" w:sz="4" w:space="0" w:color="auto"/>
            </w:tcBorders>
          </w:tcPr>
          <w:p w14:paraId="447F96EC" w14:textId="77777777" w:rsidR="00A94916" w:rsidRPr="00DB2192" w:rsidRDefault="00A94916" w:rsidP="00A94916">
            <w:pPr>
              <w:spacing w:line="360" w:lineRule="auto"/>
            </w:pPr>
          </w:p>
        </w:tc>
        <w:tc>
          <w:tcPr>
            <w:tcW w:w="1321" w:type="dxa"/>
            <w:tcBorders>
              <w:top w:val="single" w:sz="4" w:space="0" w:color="auto"/>
            </w:tcBorders>
          </w:tcPr>
          <w:p w14:paraId="6DCDC681" w14:textId="77777777" w:rsidR="00A94916" w:rsidRPr="00DB2192" w:rsidRDefault="00A94916" w:rsidP="00A94916">
            <w:pPr>
              <w:spacing w:line="360" w:lineRule="auto"/>
            </w:pPr>
          </w:p>
        </w:tc>
      </w:tr>
      <w:tr w:rsidR="00A94916" w14:paraId="7CBBDC2E" w14:textId="77777777" w:rsidTr="00A94916">
        <w:tc>
          <w:tcPr>
            <w:tcW w:w="2628" w:type="dxa"/>
          </w:tcPr>
          <w:p w14:paraId="1D3C1F96" w14:textId="77777777" w:rsidR="00A94916" w:rsidRPr="004D63F6" w:rsidRDefault="00A94916" w:rsidP="00A94916">
            <w:pPr>
              <w:spacing w:line="360" w:lineRule="auto"/>
              <w:rPr>
                <w:b/>
              </w:rPr>
            </w:pPr>
            <w:r w:rsidRPr="004D63F6">
              <w:rPr>
                <w:b/>
              </w:rPr>
              <w:t>Mediation</w:t>
            </w:r>
          </w:p>
        </w:tc>
        <w:tc>
          <w:tcPr>
            <w:tcW w:w="1320" w:type="dxa"/>
          </w:tcPr>
          <w:p w14:paraId="26946D4C" w14:textId="77777777" w:rsidR="00A94916" w:rsidRPr="00DB2192" w:rsidRDefault="00A94916" w:rsidP="00A94916">
            <w:pPr>
              <w:spacing w:line="360" w:lineRule="auto"/>
            </w:pPr>
            <w:r w:rsidRPr="00DB2192">
              <w:t>.565*</w:t>
            </w:r>
          </w:p>
        </w:tc>
        <w:tc>
          <w:tcPr>
            <w:tcW w:w="1320" w:type="dxa"/>
          </w:tcPr>
          <w:p w14:paraId="2731D21B" w14:textId="77777777" w:rsidR="00A94916" w:rsidRPr="00DB2192" w:rsidRDefault="00A94916" w:rsidP="00A94916">
            <w:pPr>
              <w:spacing w:line="360" w:lineRule="auto"/>
            </w:pPr>
            <w:r w:rsidRPr="00DB2192">
              <w:t>1</w:t>
            </w:r>
          </w:p>
        </w:tc>
        <w:tc>
          <w:tcPr>
            <w:tcW w:w="1321" w:type="dxa"/>
          </w:tcPr>
          <w:p w14:paraId="3D5612F3" w14:textId="77777777" w:rsidR="00A94916" w:rsidRPr="00DB2192" w:rsidRDefault="00A94916" w:rsidP="00A94916">
            <w:pPr>
              <w:spacing w:line="360" w:lineRule="auto"/>
            </w:pPr>
          </w:p>
        </w:tc>
        <w:tc>
          <w:tcPr>
            <w:tcW w:w="1321" w:type="dxa"/>
          </w:tcPr>
          <w:p w14:paraId="2A21D683" w14:textId="77777777" w:rsidR="00A94916" w:rsidRPr="00DB2192" w:rsidRDefault="00A94916" w:rsidP="00A94916">
            <w:pPr>
              <w:spacing w:line="360" w:lineRule="auto"/>
            </w:pPr>
          </w:p>
        </w:tc>
        <w:tc>
          <w:tcPr>
            <w:tcW w:w="1321" w:type="dxa"/>
          </w:tcPr>
          <w:p w14:paraId="6F2F1815" w14:textId="77777777" w:rsidR="00A94916" w:rsidRPr="00DB2192" w:rsidRDefault="00A94916" w:rsidP="00A94916">
            <w:pPr>
              <w:spacing w:line="360" w:lineRule="auto"/>
            </w:pPr>
          </w:p>
        </w:tc>
      </w:tr>
      <w:tr w:rsidR="00A94916" w14:paraId="667041B4" w14:textId="77777777" w:rsidTr="00A94916">
        <w:tc>
          <w:tcPr>
            <w:tcW w:w="2628" w:type="dxa"/>
          </w:tcPr>
          <w:p w14:paraId="4DFAC8F8" w14:textId="77777777" w:rsidR="00A94916" w:rsidRPr="004D63F6" w:rsidRDefault="00A94916" w:rsidP="00A94916">
            <w:pPr>
              <w:spacing w:line="360" w:lineRule="auto"/>
              <w:rPr>
                <w:b/>
              </w:rPr>
            </w:pPr>
            <w:r w:rsidRPr="004D63F6">
              <w:rPr>
                <w:b/>
              </w:rPr>
              <w:t>Arbitration</w:t>
            </w:r>
          </w:p>
        </w:tc>
        <w:tc>
          <w:tcPr>
            <w:tcW w:w="1320" w:type="dxa"/>
          </w:tcPr>
          <w:p w14:paraId="28FCC077" w14:textId="77777777" w:rsidR="00A94916" w:rsidRPr="00DB2192" w:rsidRDefault="00A94916" w:rsidP="00A94916">
            <w:pPr>
              <w:spacing w:line="360" w:lineRule="auto"/>
            </w:pPr>
            <w:r w:rsidRPr="00DB2192">
              <w:t>.572*</w:t>
            </w:r>
          </w:p>
        </w:tc>
        <w:tc>
          <w:tcPr>
            <w:tcW w:w="1320" w:type="dxa"/>
          </w:tcPr>
          <w:p w14:paraId="03705E11" w14:textId="77777777" w:rsidR="00A94916" w:rsidRPr="00DB2192" w:rsidRDefault="00A94916" w:rsidP="00A94916">
            <w:pPr>
              <w:spacing w:line="360" w:lineRule="auto"/>
            </w:pPr>
            <w:r w:rsidRPr="00DB2192">
              <w:t>.604</w:t>
            </w:r>
          </w:p>
        </w:tc>
        <w:tc>
          <w:tcPr>
            <w:tcW w:w="1321" w:type="dxa"/>
          </w:tcPr>
          <w:p w14:paraId="08D55492" w14:textId="77777777" w:rsidR="00A94916" w:rsidRPr="00DB2192" w:rsidRDefault="00A94916" w:rsidP="00A94916">
            <w:pPr>
              <w:spacing w:line="360" w:lineRule="auto"/>
            </w:pPr>
            <w:r w:rsidRPr="00DB2192">
              <w:t>1</w:t>
            </w:r>
          </w:p>
        </w:tc>
        <w:tc>
          <w:tcPr>
            <w:tcW w:w="1321" w:type="dxa"/>
          </w:tcPr>
          <w:p w14:paraId="7B1A26D3" w14:textId="77777777" w:rsidR="00A94916" w:rsidRPr="00DB2192" w:rsidRDefault="00A94916" w:rsidP="00A94916">
            <w:pPr>
              <w:spacing w:line="360" w:lineRule="auto"/>
            </w:pPr>
          </w:p>
        </w:tc>
        <w:tc>
          <w:tcPr>
            <w:tcW w:w="1321" w:type="dxa"/>
          </w:tcPr>
          <w:p w14:paraId="355058ED" w14:textId="77777777" w:rsidR="00A94916" w:rsidRPr="00DB2192" w:rsidRDefault="00A94916" w:rsidP="00A94916">
            <w:pPr>
              <w:spacing w:line="360" w:lineRule="auto"/>
            </w:pPr>
          </w:p>
        </w:tc>
      </w:tr>
      <w:tr w:rsidR="00A94916" w14:paraId="2FC4C03A" w14:textId="77777777" w:rsidTr="00A94916">
        <w:tc>
          <w:tcPr>
            <w:tcW w:w="2628" w:type="dxa"/>
          </w:tcPr>
          <w:p w14:paraId="7B958CC6" w14:textId="77777777" w:rsidR="00A94916" w:rsidRPr="004D63F6" w:rsidRDefault="00A94916" w:rsidP="00A94916">
            <w:pPr>
              <w:spacing w:line="360" w:lineRule="auto"/>
              <w:rPr>
                <w:b/>
              </w:rPr>
            </w:pPr>
            <w:r w:rsidRPr="004D63F6">
              <w:rPr>
                <w:b/>
              </w:rPr>
              <w:t xml:space="preserve">Early Neutral Evaluation </w:t>
            </w:r>
          </w:p>
        </w:tc>
        <w:tc>
          <w:tcPr>
            <w:tcW w:w="1320" w:type="dxa"/>
          </w:tcPr>
          <w:p w14:paraId="334687D5" w14:textId="77777777" w:rsidR="00A94916" w:rsidRPr="00DB2192" w:rsidRDefault="00A94916" w:rsidP="00A94916">
            <w:pPr>
              <w:spacing w:line="360" w:lineRule="auto"/>
            </w:pPr>
            <w:r w:rsidRPr="00DB2192">
              <w:t>.506*</w:t>
            </w:r>
          </w:p>
        </w:tc>
        <w:tc>
          <w:tcPr>
            <w:tcW w:w="1320" w:type="dxa"/>
          </w:tcPr>
          <w:p w14:paraId="33D5D29E" w14:textId="77777777" w:rsidR="00A94916" w:rsidRPr="00DB2192" w:rsidRDefault="00A94916" w:rsidP="00A94916">
            <w:pPr>
              <w:spacing w:line="360" w:lineRule="auto"/>
            </w:pPr>
            <w:r w:rsidRPr="00DB2192">
              <w:t>.539</w:t>
            </w:r>
          </w:p>
        </w:tc>
        <w:tc>
          <w:tcPr>
            <w:tcW w:w="1321" w:type="dxa"/>
          </w:tcPr>
          <w:p w14:paraId="2CFDC1E1" w14:textId="77777777" w:rsidR="00A94916" w:rsidRPr="00DB2192" w:rsidRDefault="00A94916" w:rsidP="00A94916">
            <w:pPr>
              <w:spacing w:line="360" w:lineRule="auto"/>
            </w:pPr>
            <w:r w:rsidRPr="00DB2192">
              <w:t>.417*</w:t>
            </w:r>
          </w:p>
        </w:tc>
        <w:tc>
          <w:tcPr>
            <w:tcW w:w="1321" w:type="dxa"/>
          </w:tcPr>
          <w:p w14:paraId="1E039D59" w14:textId="77777777" w:rsidR="00A94916" w:rsidRPr="00DB2192" w:rsidRDefault="00A94916" w:rsidP="00A94916">
            <w:pPr>
              <w:spacing w:line="360" w:lineRule="auto"/>
            </w:pPr>
            <w:r w:rsidRPr="00DB2192">
              <w:t>1</w:t>
            </w:r>
          </w:p>
        </w:tc>
        <w:tc>
          <w:tcPr>
            <w:tcW w:w="1321" w:type="dxa"/>
          </w:tcPr>
          <w:p w14:paraId="0BB81330" w14:textId="77777777" w:rsidR="00A94916" w:rsidRPr="00DB2192" w:rsidRDefault="00A94916" w:rsidP="00A94916">
            <w:pPr>
              <w:spacing w:line="360" w:lineRule="auto"/>
            </w:pPr>
          </w:p>
        </w:tc>
      </w:tr>
      <w:tr w:rsidR="00A94916" w14:paraId="3174BD99" w14:textId="77777777" w:rsidTr="00A94916">
        <w:tc>
          <w:tcPr>
            <w:tcW w:w="2628" w:type="dxa"/>
          </w:tcPr>
          <w:p w14:paraId="2A0F35DB" w14:textId="77777777" w:rsidR="00A94916" w:rsidRPr="004D63F6" w:rsidRDefault="00A94916" w:rsidP="00A94916">
            <w:pPr>
              <w:spacing w:line="360" w:lineRule="auto"/>
              <w:rPr>
                <w:b/>
              </w:rPr>
            </w:pPr>
            <w:r w:rsidRPr="004D63F6">
              <w:rPr>
                <w:b/>
              </w:rPr>
              <w:t>Taxpayer Education</w:t>
            </w:r>
          </w:p>
        </w:tc>
        <w:tc>
          <w:tcPr>
            <w:tcW w:w="1320" w:type="dxa"/>
          </w:tcPr>
          <w:p w14:paraId="2491E2A9" w14:textId="77777777" w:rsidR="00A94916" w:rsidRPr="00DB2192" w:rsidRDefault="00A94916" w:rsidP="00A94916">
            <w:pPr>
              <w:spacing w:line="360" w:lineRule="auto"/>
            </w:pPr>
            <w:r w:rsidRPr="00DB2192">
              <w:t>.489*</w:t>
            </w:r>
          </w:p>
        </w:tc>
        <w:tc>
          <w:tcPr>
            <w:tcW w:w="1320" w:type="dxa"/>
          </w:tcPr>
          <w:p w14:paraId="0BB1278B" w14:textId="77777777" w:rsidR="00A94916" w:rsidRPr="00DB2192" w:rsidRDefault="00A94916" w:rsidP="00A94916">
            <w:pPr>
              <w:spacing w:line="360" w:lineRule="auto"/>
            </w:pPr>
            <w:r w:rsidRPr="00DB2192">
              <w:t>.511*</w:t>
            </w:r>
          </w:p>
        </w:tc>
        <w:tc>
          <w:tcPr>
            <w:tcW w:w="1321" w:type="dxa"/>
          </w:tcPr>
          <w:p w14:paraId="2646B12D" w14:textId="77777777" w:rsidR="00A94916" w:rsidRPr="00DB2192" w:rsidRDefault="00A94916" w:rsidP="00A94916">
            <w:pPr>
              <w:spacing w:line="360" w:lineRule="auto"/>
            </w:pPr>
            <w:r w:rsidRPr="00DB2192">
              <w:t>.498*</w:t>
            </w:r>
          </w:p>
        </w:tc>
        <w:tc>
          <w:tcPr>
            <w:tcW w:w="1321" w:type="dxa"/>
          </w:tcPr>
          <w:p w14:paraId="0107CF3D" w14:textId="77777777" w:rsidR="00A94916" w:rsidRPr="00DB2192" w:rsidRDefault="00A94916" w:rsidP="00A94916">
            <w:pPr>
              <w:spacing w:line="360" w:lineRule="auto"/>
            </w:pPr>
            <w:r w:rsidRPr="00DB2192">
              <w:t>.512*</w:t>
            </w:r>
          </w:p>
        </w:tc>
        <w:tc>
          <w:tcPr>
            <w:tcW w:w="1321" w:type="dxa"/>
          </w:tcPr>
          <w:p w14:paraId="23A5FA01" w14:textId="77777777" w:rsidR="00A94916" w:rsidRDefault="00A94916" w:rsidP="00A94916">
            <w:pPr>
              <w:spacing w:line="360" w:lineRule="auto"/>
            </w:pPr>
            <w:r w:rsidRPr="00DB2192">
              <w:t>1</w:t>
            </w:r>
          </w:p>
        </w:tc>
      </w:tr>
    </w:tbl>
    <w:p w14:paraId="669A75A0" w14:textId="77777777" w:rsidR="00893230" w:rsidRDefault="00893230" w:rsidP="004D63F6">
      <w:pPr>
        <w:tabs>
          <w:tab w:val="left" w:pos="1080"/>
        </w:tabs>
        <w:spacing w:after="0" w:line="240" w:lineRule="auto"/>
        <w:jc w:val="both"/>
        <w:rPr>
          <w:rFonts w:ascii="Arial" w:eastAsia="Times New Roman" w:hAnsi="Arial" w:cs="Times New Roman"/>
          <w:b/>
          <w:sz w:val="20"/>
          <w:szCs w:val="20"/>
        </w:rPr>
        <w:sectPr w:rsidR="00893230" w:rsidSect="00B8650C">
          <w:type w:val="continuous"/>
          <w:pgSz w:w="11907" w:h="16839" w:code="9"/>
          <w:pgMar w:top="1440" w:right="1440" w:bottom="1440" w:left="1440" w:header="720" w:footer="720" w:gutter="0"/>
          <w:cols w:space="720"/>
          <w:docGrid w:linePitch="360"/>
        </w:sectPr>
      </w:pPr>
    </w:p>
    <w:p w14:paraId="4E9F77EB" w14:textId="77777777" w:rsidR="00C75C26" w:rsidRDefault="00C75C26" w:rsidP="004D63F6">
      <w:pPr>
        <w:tabs>
          <w:tab w:val="left" w:pos="1080"/>
        </w:tabs>
        <w:spacing w:after="0" w:line="240" w:lineRule="auto"/>
        <w:jc w:val="both"/>
        <w:rPr>
          <w:rFonts w:ascii="Arial" w:eastAsia="Times New Roman" w:hAnsi="Arial" w:cs="Times New Roman"/>
          <w:b/>
          <w:sz w:val="20"/>
          <w:szCs w:val="20"/>
        </w:rPr>
      </w:pPr>
    </w:p>
    <w:p w14:paraId="56C84D09" w14:textId="77777777" w:rsidR="00C75C26" w:rsidRDefault="00C75C26" w:rsidP="004D63F6">
      <w:pPr>
        <w:tabs>
          <w:tab w:val="left" w:pos="1080"/>
        </w:tabs>
        <w:spacing w:after="0" w:line="240" w:lineRule="auto"/>
        <w:jc w:val="both"/>
        <w:rPr>
          <w:rFonts w:ascii="Arial" w:eastAsia="Times New Roman" w:hAnsi="Arial" w:cs="Times New Roman"/>
          <w:b/>
          <w:sz w:val="20"/>
          <w:szCs w:val="20"/>
        </w:rPr>
        <w:sectPr w:rsidR="00C75C26" w:rsidSect="00B8650C">
          <w:type w:val="continuous"/>
          <w:pgSz w:w="11907" w:h="16839" w:code="9"/>
          <w:pgMar w:top="1440" w:right="1440" w:bottom="1440" w:left="1440" w:header="720" w:footer="720" w:gutter="0"/>
          <w:cols w:space="720"/>
          <w:docGrid w:linePitch="360"/>
        </w:sectPr>
      </w:pPr>
    </w:p>
    <w:p w14:paraId="5D4023DD" w14:textId="77777777" w:rsidR="00A94916" w:rsidRDefault="00A94916" w:rsidP="004D63F6">
      <w:pPr>
        <w:tabs>
          <w:tab w:val="left" w:pos="1080"/>
        </w:tabs>
        <w:spacing w:after="0" w:line="240" w:lineRule="auto"/>
        <w:jc w:val="both"/>
        <w:rPr>
          <w:rFonts w:ascii="Arial" w:eastAsia="Times New Roman" w:hAnsi="Arial" w:cs="Times New Roman"/>
          <w:b/>
          <w:sz w:val="20"/>
          <w:szCs w:val="20"/>
        </w:rPr>
      </w:pPr>
    </w:p>
    <w:p w14:paraId="00ACCE13" w14:textId="77777777" w:rsidR="00A94916" w:rsidRDefault="00A94916" w:rsidP="004D63F6">
      <w:pPr>
        <w:tabs>
          <w:tab w:val="left" w:pos="1080"/>
        </w:tabs>
        <w:spacing w:after="0" w:line="240" w:lineRule="auto"/>
        <w:jc w:val="both"/>
        <w:rPr>
          <w:rFonts w:ascii="Arial" w:eastAsia="Times New Roman" w:hAnsi="Arial" w:cs="Times New Roman"/>
          <w:b/>
          <w:sz w:val="20"/>
          <w:szCs w:val="20"/>
        </w:rPr>
      </w:pPr>
    </w:p>
    <w:p w14:paraId="006A5AE4" w14:textId="77777777" w:rsidR="00F10434" w:rsidRDefault="00F10434" w:rsidP="004D63F6">
      <w:pPr>
        <w:tabs>
          <w:tab w:val="left" w:pos="1080"/>
        </w:tabs>
        <w:spacing w:after="0" w:line="240" w:lineRule="auto"/>
        <w:jc w:val="both"/>
        <w:rPr>
          <w:rFonts w:ascii="Arial" w:eastAsia="Times New Roman" w:hAnsi="Arial" w:cs="Times New Roman"/>
          <w:b/>
          <w:sz w:val="20"/>
          <w:szCs w:val="20"/>
        </w:rPr>
      </w:pPr>
    </w:p>
    <w:p w14:paraId="0B2D81D9" w14:textId="77777777" w:rsidR="00F10434" w:rsidRDefault="00F10434" w:rsidP="004D63F6">
      <w:pPr>
        <w:tabs>
          <w:tab w:val="left" w:pos="1080"/>
        </w:tabs>
        <w:spacing w:after="0" w:line="240" w:lineRule="auto"/>
        <w:jc w:val="both"/>
        <w:rPr>
          <w:rFonts w:ascii="Arial" w:eastAsia="Times New Roman" w:hAnsi="Arial" w:cs="Times New Roman"/>
          <w:b/>
          <w:sz w:val="20"/>
          <w:szCs w:val="20"/>
        </w:rPr>
      </w:pPr>
    </w:p>
    <w:p w14:paraId="6BDB1677" w14:textId="77777777" w:rsidR="00A94916" w:rsidRDefault="00A94916" w:rsidP="004D63F6">
      <w:pPr>
        <w:tabs>
          <w:tab w:val="left" w:pos="1080"/>
        </w:tabs>
        <w:spacing w:after="0" w:line="240" w:lineRule="auto"/>
        <w:jc w:val="both"/>
        <w:rPr>
          <w:rFonts w:ascii="Arial" w:eastAsia="Times New Roman" w:hAnsi="Arial" w:cs="Times New Roman"/>
          <w:b/>
          <w:sz w:val="20"/>
          <w:szCs w:val="20"/>
        </w:rPr>
      </w:pPr>
    </w:p>
    <w:p w14:paraId="4EF9C05F"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5E55E808"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20B36DD9"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1E89E9BD" w14:textId="77777777" w:rsidR="001E53CE" w:rsidRDefault="001E53CE" w:rsidP="004D63F6">
      <w:pPr>
        <w:tabs>
          <w:tab w:val="left" w:pos="1080"/>
        </w:tabs>
        <w:spacing w:after="0" w:line="240" w:lineRule="auto"/>
        <w:jc w:val="both"/>
        <w:rPr>
          <w:rFonts w:ascii="Arial" w:eastAsia="Times New Roman" w:hAnsi="Arial" w:cs="Times New Roman"/>
          <w:b/>
          <w:sz w:val="20"/>
          <w:szCs w:val="20"/>
        </w:rPr>
      </w:pPr>
    </w:p>
    <w:p w14:paraId="2BD8AB36" w14:textId="77777777" w:rsidR="004D63F6" w:rsidRPr="004D63F6" w:rsidRDefault="00CD5B7E" w:rsidP="004D63F6">
      <w:pPr>
        <w:tabs>
          <w:tab w:val="left" w:pos="1080"/>
        </w:tabs>
        <w:spacing w:after="0" w:line="240" w:lineRule="auto"/>
        <w:jc w:val="both"/>
        <w:rPr>
          <w:rFonts w:ascii="Arial" w:eastAsia="Times New Roman" w:hAnsi="Arial" w:cs="Times New Roman"/>
          <w:b/>
          <w:sz w:val="20"/>
          <w:szCs w:val="20"/>
        </w:rPr>
      </w:pPr>
      <w:r>
        <w:rPr>
          <w:rFonts w:ascii="Arial" w:eastAsia="Times New Roman" w:hAnsi="Arial" w:cs="Times New Roman"/>
          <w:b/>
          <w:sz w:val="20"/>
          <w:szCs w:val="20"/>
        </w:rPr>
        <w:t xml:space="preserve">4.3 Conditional </w:t>
      </w:r>
      <w:r w:rsidR="004D63F6" w:rsidRPr="004D63F6">
        <w:rPr>
          <w:rFonts w:ascii="Arial" w:eastAsia="Times New Roman" w:hAnsi="Arial" w:cs="Times New Roman"/>
          <w:b/>
          <w:sz w:val="20"/>
          <w:szCs w:val="20"/>
        </w:rPr>
        <w:t>and Direct Effect Regression Results</w:t>
      </w:r>
    </w:p>
    <w:p w14:paraId="322D0F42" w14:textId="77777777"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A hierarchical regression analysis examined the effects of mediation, arbitration, Early Neutral Evaluation (ENE), and taxpayer education (TE) on tax compliance among 252 taxpayers in Nairobi’s Central Business District, with a focus on small and medium enterprises (SMEs) and informal operators. Four models tested direct effects and TE’s moderating role, emphasizing compliance improvements for these groups, unlike studies focusing on specific tax categories </w:t>
      </w:r>
      <w:r w:rsidR="001C5306">
        <w:rPr>
          <w:rFonts w:ascii="Arial" w:eastAsia="Times New Roman" w:hAnsi="Arial" w:cs="Arial"/>
          <w:sz w:val="20"/>
          <w:szCs w:val="20"/>
        </w:rPr>
        <w:t>[</w:t>
      </w:r>
      <w:r w:rsidR="001C5306" w:rsidRPr="001C5306">
        <w:rPr>
          <w:rFonts w:ascii="Arial" w:eastAsia="Times New Roman" w:hAnsi="Arial" w:cs="Arial"/>
          <w:sz w:val="20"/>
          <w:szCs w:val="20"/>
        </w:rPr>
        <w:t>42</w:t>
      </w:r>
      <w:r w:rsidR="001C5306">
        <w:rPr>
          <w:rFonts w:ascii="Arial" w:eastAsia="Times New Roman" w:hAnsi="Arial" w:cs="Arial"/>
          <w:sz w:val="20"/>
          <w:szCs w:val="20"/>
        </w:rPr>
        <w:t>]</w:t>
      </w:r>
      <w:r w:rsidRPr="00D54BF0">
        <w:rPr>
          <w:rFonts w:ascii="Arial" w:eastAsia="Times New Roman" w:hAnsi="Arial" w:cs="Arial"/>
          <w:sz w:val="20"/>
          <w:szCs w:val="20"/>
        </w:rPr>
        <w:t xml:space="preserve">. </w:t>
      </w:r>
      <w:r w:rsidRPr="00D54BF0">
        <w:rPr>
          <w:rFonts w:ascii="Arial" w:eastAsia="Times New Roman" w:hAnsi="Arial" w:cs="Arial"/>
          <w:bCs/>
          <w:sz w:val="20"/>
          <w:szCs w:val="20"/>
        </w:rPr>
        <w:t>Table 3</w:t>
      </w:r>
      <w:r w:rsidRPr="00D54BF0">
        <w:rPr>
          <w:rFonts w:ascii="Arial" w:eastAsia="Times New Roman" w:hAnsi="Arial" w:cs="Arial"/>
          <w:sz w:val="20"/>
          <w:szCs w:val="20"/>
        </w:rPr>
        <w:t xml:space="preserve"> presents </w:t>
      </w:r>
      <w:r w:rsidRPr="00D54BF0">
        <w:rPr>
          <w:rFonts w:ascii="Arial" w:eastAsia="Times New Roman" w:hAnsi="Arial" w:cs="Arial"/>
          <w:sz w:val="20"/>
          <w:szCs w:val="20"/>
        </w:rPr>
        <w:lastRenderedPageBreak/>
        <w:t>strong positive correlations between compliance and mediation (r=0.764), arbitration (r=0.759), ENE (r=0.714), and TE (r=0.786), underscoring their relevance for SMEs and informal operators seeking efficient dispute resolution</w:t>
      </w:r>
      <w:r w:rsidR="00511A0A">
        <w:rPr>
          <w:rFonts w:ascii="Arial" w:eastAsia="Times New Roman" w:hAnsi="Arial" w:cs="Arial"/>
          <w:sz w:val="20"/>
          <w:szCs w:val="20"/>
        </w:rPr>
        <w:t>.</w:t>
      </w:r>
    </w:p>
    <w:p w14:paraId="05AF2C40" w14:textId="77777777"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Mediation significantly enhanced tax compliance, providing SMEs and informal operators with a collaborative platform to resolve disputes fairly and swiftly </w:t>
      </w:r>
      <w:r w:rsidR="001C5306" w:rsidRPr="001C5306">
        <w:rPr>
          <w:rFonts w:ascii="Arial" w:eastAsia="Times New Roman" w:hAnsi="Arial" w:cs="Arial"/>
          <w:sz w:val="20"/>
          <w:szCs w:val="20"/>
        </w:rPr>
        <w:t>[43]</w:t>
      </w:r>
      <w:r w:rsidR="001C5306">
        <w:rPr>
          <w:rFonts w:ascii="Arial" w:eastAsia="Times New Roman" w:hAnsi="Arial" w:cs="Arial"/>
          <w:sz w:val="20"/>
          <w:szCs w:val="20"/>
        </w:rPr>
        <w:t>.</w:t>
      </w:r>
      <w:r w:rsidR="001C5306" w:rsidRPr="001C5306">
        <w:rPr>
          <w:rFonts w:ascii="Arial" w:eastAsia="Times New Roman" w:hAnsi="Arial" w:cs="Arial"/>
          <w:sz w:val="20"/>
          <w:szCs w:val="20"/>
        </w:rPr>
        <w:t xml:space="preserve"> </w:t>
      </w:r>
      <w:r w:rsidRPr="00D54BF0">
        <w:rPr>
          <w:rFonts w:ascii="Arial" w:eastAsia="Times New Roman" w:hAnsi="Arial" w:cs="Arial"/>
          <w:sz w:val="20"/>
          <w:szCs w:val="20"/>
        </w:rPr>
        <w:t>This approach fosters trust, reducing the adversarial nature of tax disputes, which is particularly beneficial for resource-constrained businesses. In Canada, mediation has reduced dispute resolution times by 60%, a trend mirrored in Nairobi’s 81% mediation success rat</w:t>
      </w:r>
      <w:r w:rsidR="00AC4056">
        <w:rPr>
          <w:rFonts w:ascii="Arial" w:eastAsia="Times New Roman" w:hAnsi="Arial" w:cs="Arial"/>
          <w:sz w:val="20"/>
          <w:szCs w:val="20"/>
        </w:rPr>
        <w:t>e in the 2023/2024 fiscal year [</w:t>
      </w:r>
      <w:r w:rsidR="00AC4056" w:rsidRPr="00AC4056">
        <w:rPr>
          <w:rFonts w:ascii="Arial" w:eastAsia="Times New Roman" w:hAnsi="Arial" w:cs="Arial"/>
          <w:sz w:val="20"/>
          <w:szCs w:val="20"/>
        </w:rPr>
        <w:t>14</w:t>
      </w:r>
      <w:proofErr w:type="gramStart"/>
      <w:r w:rsidR="00AC4056">
        <w:rPr>
          <w:rFonts w:ascii="Arial" w:eastAsia="Times New Roman" w:hAnsi="Arial" w:cs="Arial"/>
          <w:sz w:val="20"/>
          <w:szCs w:val="20"/>
        </w:rPr>
        <w:t xml:space="preserve">] </w:t>
      </w:r>
      <w:r w:rsidRPr="00D54BF0">
        <w:rPr>
          <w:rFonts w:ascii="Arial" w:eastAsia="Times New Roman" w:hAnsi="Arial" w:cs="Arial"/>
          <w:sz w:val="20"/>
          <w:szCs w:val="20"/>
        </w:rPr>
        <w:t>;</w:t>
      </w:r>
      <w:proofErr w:type="gramEnd"/>
      <w:r w:rsidRPr="00D54BF0">
        <w:rPr>
          <w:rFonts w:ascii="Arial" w:eastAsia="Times New Roman" w:hAnsi="Arial" w:cs="Arial"/>
          <w:sz w:val="20"/>
          <w:szCs w:val="20"/>
        </w:rPr>
        <w:t xml:space="preserve"> </w:t>
      </w:r>
      <w:r w:rsidR="00B14BAA">
        <w:rPr>
          <w:rFonts w:ascii="Arial" w:eastAsia="Times New Roman" w:hAnsi="Arial" w:cs="Arial"/>
          <w:sz w:val="20"/>
          <w:szCs w:val="20"/>
        </w:rPr>
        <w:t>[</w:t>
      </w:r>
      <w:r w:rsidR="00B14BAA" w:rsidRPr="00B14BAA">
        <w:rPr>
          <w:rFonts w:ascii="Arial" w:eastAsia="Times New Roman" w:hAnsi="Arial" w:cs="Arial"/>
          <w:sz w:val="20"/>
          <w:szCs w:val="20"/>
        </w:rPr>
        <w:t>16</w:t>
      </w:r>
      <w:r w:rsidR="00B14BAA">
        <w:rPr>
          <w:rFonts w:ascii="Arial" w:eastAsia="Times New Roman" w:hAnsi="Arial" w:cs="Arial"/>
          <w:sz w:val="20"/>
          <w:szCs w:val="20"/>
        </w:rPr>
        <w:t>].</w:t>
      </w:r>
      <w:r w:rsidRPr="00D54BF0">
        <w:rPr>
          <w:rFonts w:ascii="Arial" w:eastAsia="Times New Roman" w:hAnsi="Arial" w:cs="Arial"/>
          <w:sz w:val="20"/>
          <w:szCs w:val="20"/>
        </w:rPr>
        <w:t xml:space="preserve"> By addressing litigation backlogs, mediation alleviates financial and operational burdens for SMEs, unlike traditional court processes that can overwhelm informal operators. KRA should mandate mediation as a primary dispute resolution tool to boost compliance and strengthen taxpayer relationships.</w:t>
      </w:r>
    </w:p>
    <w:p w14:paraId="2C413B7D" w14:textId="77777777"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Furthermore, arbitration significantly improved compliance by offering a structured, cost-effective process for resolving complex tax disputes </w:t>
      </w:r>
      <w:r w:rsidR="002F4272">
        <w:rPr>
          <w:rFonts w:ascii="Arial" w:eastAsia="Times New Roman" w:hAnsi="Arial" w:cs="Arial"/>
          <w:sz w:val="20"/>
          <w:szCs w:val="20"/>
        </w:rPr>
        <w:t>[</w:t>
      </w:r>
      <w:r w:rsidR="002F4272" w:rsidRPr="002F4272">
        <w:rPr>
          <w:rFonts w:ascii="Arial" w:eastAsia="Times New Roman" w:hAnsi="Arial" w:cs="Arial"/>
          <w:sz w:val="20"/>
          <w:szCs w:val="20"/>
        </w:rPr>
        <w:t>23</w:t>
      </w:r>
      <w:r w:rsidR="002F4272">
        <w:rPr>
          <w:rFonts w:ascii="Arial" w:eastAsia="Times New Roman" w:hAnsi="Arial" w:cs="Arial"/>
          <w:sz w:val="20"/>
          <w:szCs w:val="20"/>
        </w:rPr>
        <w:t>].</w:t>
      </w:r>
      <w:r w:rsidRPr="00D54BF0">
        <w:rPr>
          <w:rFonts w:ascii="Arial" w:eastAsia="Times New Roman" w:hAnsi="Arial" w:cs="Arial"/>
          <w:sz w:val="20"/>
          <w:szCs w:val="20"/>
        </w:rPr>
        <w:t xml:space="preserve"> Its 30-day resolution period contrasts sharply with Kenya’s 465-day court process, making it highly accessible for SMEs and informal operators facing intricate tax challenges </w:t>
      </w:r>
      <w:r w:rsidR="002E7AF5">
        <w:rPr>
          <w:rFonts w:ascii="Arial" w:eastAsia="Times New Roman" w:hAnsi="Arial" w:cs="Arial"/>
          <w:sz w:val="20"/>
          <w:szCs w:val="20"/>
        </w:rPr>
        <w:t>[</w:t>
      </w:r>
      <w:r w:rsidR="002E7AF5" w:rsidRPr="002E7AF5">
        <w:rPr>
          <w:rFonts w:ascii="Arial" w:eastAsia="Times New Roman" w:hAnsi="Arial" w:cs="Arial"/>
          <w:sz w:val="20"/>
          <w:szCs w:val="20"/>
        </w:rPr>
        <w:t>31</w:t>
      </w:r>
      <w:r w:rsidR="00A94916">
        <w:rPr>
          <w:rFonts w:ascii="Arial" w:eastAsia="Times New Roman" w:hAnsi="Arial" w:cs="Arial"/>
          <w:sz w:val="20"/>
          <w:szCs w:val="20"/>
        </w:rPr>
        <w:t>];</w:t>
      </w:r>
      <w:r w:rsidRPr="00D54BF0">
        <w:rPr>
          <w:rFonts w:ascii="Arial" w:eastAsia="Times New Roman" w:hAnsi="Arial" w:cs="Arial"/>
          <w:sz w:val="20"/>
          <w:szCs w:val="20"/>
        </w:rPr>
        <w:t xml:space="preserve"> </w:t>
      </w:r>
      <w:r w:rsidR="002E7AF5">
        <w:rPr>
          <w:rFonts w:ascii="Arial" w:eastAsia="Times New Roman" w:hAnsi="Arial" w:cs="Arial"/>
          <w:sz w:val="20"/>
          <w:szCs w:val="20"/>
        </w:rPr>
        <w:t>[</w:t>
      </w:r>
      <w:r w:rsidR="002E7AF5" w:rsidRPr="002E7AF5">
        <w:rPr>
          <w:rFonts w:ascii="Arial" w:eastAsia="Times New Roman" w:hAnsi="Arial" w:cs="Arial"/>
          <w:sz w:val="20"/>
          <w:szCs w:val="20"/>
        </w:rPr>
        <w:t>30</w:t>
      </w:r>
      <w:r w:rsidR="002E7AF5">
        <w:rPr>
          <w:rFonts w:ascii="Arial" w:eastAsia="Times New Roman" w:hAnsi="Arial" w:cs="Arial"/>
          <w:sz w:val="20"/>
          <w:szCs w:val="20"/>
        </w:rPr>
        <w:t>]</w:t>
      </w:r>
      <w:r w:rsidRPr="00D54BF0">
        <w:rPr>
          <w:rFonts w:ascii="Arial" w:eastAsia="Times New Roman" w:hAnsi="Arial" w:cs="Arial"/>
          <w:sz w:val="20"/>
          <w:szCs w:val="20"/>
        </w:rPr>
        <w:t xml:space="preserve">. Arbitration’s fairness and efficiency align with global practices, reducing financial uncertainty for businesses </w:t>
      </w:r>
      <w:r w:rsidR="001C5306">
        <w:rPr>
          <w:rFonts w:ascii="Arial" w:eastAsia="Times New Roman" w:hAnsi="Arial" w:cs="Arial"/>
          <w:sz w:val="20"/>
          <w:szCs w:val="20"/>
        </w:rPr>
        <w:t>[</w:t>
      </w:r>
      <w:r w:rsidR="001C5306" w:rsidRPr="001C5306">
        <w:rPr>
          <w:rFonts w:ascii="Arial" w:eastAsia="Times New Roman" w:hAnsi="Arial" w:cs="Arial"/>
          <w:sz w:val="20"/>
          <w:szCs w:val="20"/>
        </w:rPr>
        <w:t>42</w:t>
      </w:r>
      <w:r w:rsidR="001C5306">
        <w:rPr>
          <w:rFonts w:ascii="Arial" w:eastAsia="Times New Roman" w:hAnsi="Arial" w:cs="Arial"/>
          <w:sz w:val="20"/>
          <w:szCs w:val="20"/>
        </w:rPr>
        <w:t>]</w:t>
      </w:r>
      <w:r w:rsidRPr="00D54BF0">
        <w:rPr>
          <w:rFonts w:ascii="Arial" w:eastAsia="Times New Roman" w:hAnsi="Arial" w:cs="Arial"/>
          <w:sz w:val="20"/>
          <w:szCs w:val="20"/>
        </w:rPr>
        <w:t>. By integrating arbitration into tax frameworks, KRA can streamline dispute resolution, ensuring SMEs and informal operators comply without excessive costs or delays.</w:t>
      </w:r>
    </w:p>
    <w:p w14:paraId="5D93F2A4" w14:textId="77777777"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Additionally, ENE significantly boosted compliance through rapid, impartial </w:t>
      </w:r>
      <w:r w:rsidRPr="00D54BF0">
        <w:rPr>
          <w:rFonts w:ascii="Arial" w:eastAsia="Times New Roman" w:hAnsi="Arial" w:cs="Arial"/>
          <w:sz w:val="20"/>
          <w:szCs w:val="20"/>
        </w:rPr>
        <w:t xml:space="preserve">assessments that prevent disputes from escalating to costly litigation </w:t>
      </w:r>
      <w:r w:rsidR="002E7AF5">
        <w:rPr>
          <w:rFonts w:ascii="Arial" w:eastAsia="Times New Roman" w:hAnsi="Arial" w:cs="Arial"/>
          <w:sz w:val="20"/>
          <w:szCs w:val="20"/>
        </w:rPr>
        <w:t>[</w:t>
      </w:r>
      <w:r w:rsidR="002E7AF5" w:rsidRPr="002E7AF5">
        <w:rPr>
          <w:rFonts w:ascii="Arial" w:eastAsia="Times New Roman" w:hAnsi="Arial" w:cs="Arial"/>
          <w:sz w:val="20"/>
          <w:szCs w:val="20"/>
        </w:rPr>
        <w:t>32</w:t>
      </w:r>
      <w:r w:rsidR="002E7AF5">
        <w:rPr>
          <w:rFonts w:ascii="Arial" w:eastAsia="Times New Roman" w:hAnsi="Arial" w:cs="Arial"/>
          <w:sz w:val="20"/>
          <w:szCs w:val="20"/>
        </w:rPr>
        <w:t xml:space="preserve">]. </w:t>
      </w:r>
      <w:r w:rsidRPr="00D54BF0">
        <w:rPr>
          <w:rFonts w:ascii="Arial" w:eastAsia="Times New Roman" w:hAnsi="Arial" w:cs="Arial"/>
          <w:sz w:val="20"/>
          <w:szCs w:val="20"/>
        </w:rPr>
        <w:t xml:space="preserve">This approach builds trust among SMEs, who benefit from early clarity on tax obligations, a practice echoed in South Africa’s successful ENE programs </w:t>
      </w:r>
      <w:r w:rsidR="001C5306">
        <w:rPr>
          <w:rFonts w:ascii="Arial" w:eastAsia="Times New Roman" w:hAnsi="Arial" w:cs="Arial"/>
          <w:sz w:val="20"/>
          <w:szCs w:val="20"/>
        </w:rPr>
        <w:t>[44].</w:t>
      </w:r>
      <w:r w:rsidRPr="00D54BF0">
        <w:rPr>
          <w:rFonts w:ascii="Arial" w:eastAsia="Times New Roman" w:hAnsi="Arial" w:cs="Arial"/>
          <w:sz w:val="20"/>
          <w:szCs w:val="20"/>
        </w:rPr>
        <w:t xml:space="preserve"> Unlike broader ADR studies, this research highlights ENE’s unique role in Kenya, addressing gaps in trust and accessibility for informal operators. KRA should promote ENE to reduce litigation costs and enhance confidence among resource-constrained taxpayers.</w:t>
      </w:r>
    </w:p>
    <w:p w14:paraId="0FD05B51" w14:textId="77777777" w:rsidR="00D54BF0" w:rsidRP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Moreover, TE significantly increased compliance by raising awareness of tax obligations, particularly for SMEs and informal operators </w:t>
      </w:r>
      <w:r w:rsidR="001C5306">
        <w:rPr>
          <w:rFonts w:ascii="Arial" w:eastAsia="Times New Roman" w:hAnsi="Arial" w:cs="Arial"/>
          <w:sz w:val="20"/>
          <w:szCs w:val="20"/>
        </w:rPr>
        <w:t xml:space="preserve">[45]. </w:t>
      </w:r>
      <w:r w:rsidRPr="00D54BF0">
        <w:rPr>
          <w:rFonts w:ascii="Arial" w:eastAsia="Times New Roman" w:hAnsi="Arial" w:cs="Arial"/>
          <w:sz w:val="20"/>
          <w:szCs w:val="20"/>
        </w:rPr>
        <w:t xml:space="preserve">KRA’s 2021 tax summit boosted ADR uptake by 31%, demonstrating the power of effective education channels like workshops and digital platforms </w:t>
      </w:r>
      <w:r w:rsidR="00831155" w:rsidRPr="00831155">
        <w:rPr>
          <w:rFonts w:ascii="Arial" w:eastAsia="Times New Roman" w:hAnsi="Arial" w:cs="Arial"/>
          <w:sz w:val="20"/>
          <w:szCs w:val="20"/>
        </w:rPr>
        <w:t>[41]</w:t>
      </w:r>
      <w:r w:rsidRPr="00D54BF0">
        <w:rPr>
          <w:rFonts w:ascii="Arial" w:eastAsia="Times New Roman" w:hAnsi="Arial" w:cs="Arial"/>
          <w:sz w:val="20"/>
          <w:szCs w:val="20"/>
        </w:rPr>
        <w:t xml:space="preserve"> By equipping taxpayers with knowledge, TE enables businesses to navigate tax processes accurately, reducing errors and penalties. KRA should expand digital education campaigns, such as mobile apps and social media, to reach informal operators in Nairobi’s CBD, fostering a culture of voluntary compliance.</w:t>
      </w:r>
    </w:p>
    <w:p w14:paraId="474BEED1" w14:textId="77777777" w:rsidR="00D54BF0" w:rsidRDefault="00D54BF0" w:rsidP="00D54BF0">
      <w:pPr>
        <w:spacing w:after="0" w:line="240" w:lineRule="auto"/>
        <w:jc w:val="both"/>
        <w:rPr>
          <w:rFonts w:ascii="Arial" w:eastAsia="Times New Roman" w:hAnsi="Arial" w:cs="Arial"/>
          <w:sz w:val="20"/>
          <w:szCs w:val="20"/>
        </w:rPr>
      </w:pPr>
      <w:r w:rsidRPr="00D54BF0">
        <w:rPr>
          <w:rFonts w:ascii="Arial" w:eastAsia="Times New Roman" w:hAnsi="Arial" w:cs="Arial"/>
          <w:sz w:val="20"/>
          <w:szCs w:val="20"/>
        </w:rPr>
        <w:t xml:space="preserve">TE also significantly strengthened the effects of mediation, arbitration, and ENE on compliance, particularly for SMEs with higher tax literacy </w:t>
      </w:r>
      <w:r w:rsidR="00365FA9">
        <w:rPr>
          <w:rFonts w:ascii="Arial" w:eastAsia="Times New Roman" w:hAnsi="Arial" w:cs="Arial"/>
          <w:sz w:val="20"/>
          <w:szCs w:val="20"/>
        </w:rPr>
        <w:t xml:space="preserve">[46]. </w:t>
      </w:r>
      <w:r w:rsidRPr="00D54BF0">
        <w:rPr>
          <w:rFonts w:ascii="Arial" w:eastAsia="Times New Roman" w:hAnsi="Arial" w:cs="Arial"/>
          <w:sz w:val="20"/>
          <w:szCs w:val="20"/>
        </w:rPr>
        <w:t xml:space="preserve">Visual evidence indicates that educated taxpayers achieve greater compliance gains, extending Canada’s mediation success to East Africa’s context </w:t>
      </w:r>
      <w:r w:rsidR="00365FA9">
        <w:rPr>
          <w:rFonts w:ascii="Arial" w:eastAsia="Times New Roman" w:hAnsi="Arial" w:cs="Arial"/>
          <w:sz w:val="20"/>
          <w:szCs w:val="20"/>
        </w:rPr>
        <w:t>[</w:t>
      </w:r>
      <w:r w:rsidR="00365FA9" w:rsidRPr="00365FA9">
        <w:rPr>
          <w:rFonts w:ascii="Arial" w:eastAsia="Times New Roman" w:hAnsi="Arial" w:cs="Arial"/>
          <w:sz w:val="20"/>
          <w:szCs w:val="20"/>
        </w:rPr>
        <w:t>47</w:t>
      </w:r>
      <w:proofErr w:type="gramStart"/>
      <w:r w:rsidR="00365FA9">
        <w:rPr>
          <w:rFonts w:ascii="Arial" w:eastAsia="Times New Roman" w:hAnsi="Arial" w:cs="Arial"/>
          <w:sz w:val="20"/>
          <w:szCs w:val="20"/>
        </w:rPr>
        <w:t>].</w:t>
      </w:r>
      <w:r w:rsidRPr="00D54BF0">
        <w:rPr>
          <w:rFonts w:ascii="Arial" w:eastAsia="Times New Roman" w:hAnsi="Arial" w:cs="Arial"/>
          <w:sz w:val="20"/>
          <w:szCs w:val="20"/>
        </w:rPr>
        <w:t>Low</w:t>
      </w:r>
      <w:proofErr w:type="gramEnd"/>
      <w:r w:rsidRPr="00D54BF0">
        <w:rPr>
          <w:rFonts w:ascii="Arial" w:eastAsia="Times New Roman" w:hAnsi="Arial" w:cs="Arial"/>
          <w:sz w:val="20"/>
          <w:szCs w:val="20"/>
        </w:rPr>
        <w:t xml:space="preserve"> awareness can hinder ADR’s impact, but targeted education mitigates this barrier, enhancing trust and participation. KRA should prioritize mobile-based education platforms to maximize ADR’s effectiveness, ensuring SMEs and informal operators comply without feeling overburdened.</w:t>
      </w:r>
    </w:p>
    <w:p w14:paraId="4715B133" w14:textId="77777777" w:rsidR="00D54BF0" w:rsidRDefault="00D54BF0">
      <w:pPr>
        <w:rPr>
          <w:rFonts w:ascii="Times New Roman" w:hAnsi="Times New Roman" w:cs="Times New Roman"/>
          <w:sz w:val="24"/>
          <w:szCs w:val="24"/>
        </w:rPr>
        <w:sectPr w:rsidR="00D54BF0" w:rsidSect="00C75C26">
          <w:type w:val="continuous"/>
          <w:pgSz w:w="11907" w:h="16839" w:code="9"/>
          <w:pgMar w:top="1440" w:right="1440" w:bottom="1440" w:left="1440" w:header="720" w:footer="720" w:gutter="0"/>
          <w:cols w:num="2" w:space="720"/>
          <w:docGrid w:linePitch="360"/>
        </w:sectPr>
      </w:pPr>
    </w:p>
    <w:p w14:paraId="263BD33C" w14:textId="77777777" w:rsidR="00251A62" w:rsidRDefault="00251A62" w:rsidP="0013600B">
      <w:pPr>
        <w:rPr>
          <w:rFonts w:ascii="Arial" w:eastAsia="Times New Roman" w:hAnsi="Arial" w:cs="Arial"/>
          <w:b/>
          <w:caps/>
          <w:szCs w:val="20"/>
        </w:rPr>
      </w:pPr>
    </w:p>
    <w:p w14:paraId="6023793D" w14:textId="77777777" w:rsidR="004D63F6" w:rsidRPr="0013600B" w:rsidRDefault="004D63F6" w:rsidP="0013600B">
      <w:pPr>
        <w:rPr>
          <w:rFonts w:ascii="Times New Roman" w:hAnsi="Times New Roman" w:cs="Times New Roman"/>
          <w:sz w:val="24"/>
          <w:szCs w:val="24"/>
        </w:rPr>
      </w:pPr>
      <w:r w:rsidRPr="0013600B">
        <w:rPr>
          <w:rFonts w:ascii="Arial" w:eastAsia="Times New Roman" w:hAnsi="Arial" w:cs="Arial"/>
          <w:b/>
          <w:caps/>
          <w:szCs w:val="20"/>
        </w:rPr>
        <w:t>5. DISCUSSION</w:t>
      </w:r>
    </w:p>
    <w:p w14:paraId="4BEF0E33" w14:textId="77777777"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Mediation fosters tax compliance in Nairobi’s CBD by providing a collaborative platform that resolves disputes efficiently, aligning with Conflict Resolution Theory’s emphasis on dialogue and mutual understanding </w:t>
      </w:r>
      <w:r w:rsidR="00365FA9">
        <w:rPr>
          <w:rFonts w:ascii="Arial" w:eastAsia="Times New Roman" w:hAnsi="Arial" w:cs="Arial"/>
          <w:sz w:val="20"/>
          <w:szCs w:val="20"/>
        </w:rPr>
        <w:t>[48]</w:t>
      </w:r>
      <w:r w:rsidRPr="0013600B">
        <w:rPr>
          <w:rFonts w:ascii="Arial" w:eastAsia="Times New Roman" w:hAnsi="Arial" w:cs="Arial"/>
          <w:sz w:val="20"/>
          <w:szCs w:val="20"/>
        </w:rPr>
        <w:t xml:space="preserve">. Unlike adversarial litigation, mediation reduces risks for SMEs and informal operators, promoting voluntary compliance, as seen in studies focusing on specific tax categories </w:t>
      </w:r>
      <w:r w:rsidR="001C5306">
        <w:rPr>
          <w:rFonts w:ascii="Arial" w:eastAsia="Times New Roman" w:hAnsi="Arial" w:cs="Arial"/>
          <w:sz w:val="20"/>
          <w:szCs w:val="20"/>
        </w:rPr>
        <w:t>[</w:t>
      </w:r>
      <w:r w:rsidR="001C5306" w:rsidRPr="001C5306">
        <w:rPr>
          <w:rFonts w:ascii="Arial" w:eastAsia="Times New Roman" w:hAnsi="Arial" w:cs="Arial"/>
          <w:sz w:val="20"/>
          <w:szCs w:val="20"/>
        </w:rPr>
        <w:t>42</w:t>
      </w:r>
      <w:r w:rsidR="001C5306">
        <w:rPr>
          <w:rFonts w:ascii="Arial" w:eastAsia="Times New Roman" w:hAnsi="Arial" w:cs="Arial"/>
          <w:sz w:val="20"/>
          <w:szCs w:val="20"/>
        </w:rPr>
        <w:t>]</w:t>
      </w:r>
      <w:r w:rsidRPr="0013600B">
        <w:rPr>
          <w:rFonts w:ascii="Arial" w:eastAsia="Times New Roman" w:hAnsi="Arial" w:cs="Arial"/>
          <w:sz w:val="20"/>
          <w:szCs w:val="20"/>
        </w:rPr>
        <w:t xml:space="preserve">. Globally, Canada’s mediation programs enhance trust and compliance </w:t>
      </w:r>
      <w:r w:rsidR="00365FA9">
        <w:rPr>
          <w:rFonts w:ascii="Arial" w:eastAsia="Times New Roman" w:hAnsi="Arial" w:cs="Arial"/>
          <w:sz w:val="20"/>
          <w:szCs w:val="20"/>
        </w:rPr>
        <w:t>[47],</w:t>
      </w:r>
      <w:r w:rsidRPr="0013600B">
        <w:rPr>
          <w:rFonts w:ascii="Arial" w:eastAsia="Times New Roman" w:hAnsi="Arial" w:cs="Arial"/>
          <w:sz w:val="20"/>
          <w:szCs w:val="20"/>
        </w:rPr>
        <w:t xml:space="preserve"> mirroring Nairobi’s findings, though Kenya’s SME focus addresses a unique gap. KRA should mandate mediation for SME disput</w:t>
      </w:r>
      <w:r w:rsidR="001C5306">
        <w:rPr>
          <w:rFonts w:ascii="Arial" w:eastAsia="Times New Roman" w:hAnsi="Arial" w:cs="Arial"/>
          <w:sz w:val="20"/>
          <w:szCs w:val="20"/>
        </w:rPr>
        <w:t xml:space="preserve">es, as supported by </w:t>
      </w:r>
      <w:r w:rsidR="001C5306" w:rsidRPr="001C5306">
        <w:rPr>
          <w:rFonts w:ascii="Arial" w:eastAsia="Times New Roman" w:hAnsi="Arial" w:cs="Arial"/>
          <w:sz w:val="20"/>
          <w:szCs w:val="20"/>
        </w:rPr>
        <w:t xml:space="preserve">[43] </w:t>
      </w:r>
      <w:r w:rsidRPr="0013600B">
        <w:rPr>
          <w:rFonts w:ascii="Arial" w:eastAsia="Times New Roman" w:hAnsi="Arial" w:cs="Arial"/>
          <w:sz w:val="20"/>
          <w:szCs w:val="20"/>
        </w:rPr>
        <w:t xml:space="preserve">to create a transparent tax environment, reduce evasion, and strengthen taxpayer–KRA </w:t>
      </w:r>
      <w:r w:rsidRPr="0013600B">
        <w:rPr>
          <w:rFonts w:ascii="Arial" w:eastAsia="Times New Roman" w:hAnsi="Arial" w:cs="Arial"/>
          <w:sz w:val="20"/>
          <w:szCs w:val="20"/>
        </w:rPr>
        <w:t xml:space="preserve">relationships, aligning with </w:t>
      </w:r>
      <w:r w:rsidR="00B822DA">
        <w:rPr>
          <w:rFonts w:ascii="Arial" w:eastAsia="Times New Roman" w:hAnsi="Arial" w:cs="Arial"/>
          <w:sz w:val="20"/>
          <w:szCs w:val="20"/>
        </w:rPr>
        <w:t>[14]</w:t>
      </w:r>
      <w:r w:rsidR="00B822DA" w:rsidRPr="004D63F6">
        <w:rPr>
          <w:rFonts w:ascii="Arial" w:eastAsia="Times New Roman" w:hAnsi="Arial" w:cs="Arial"/>
          <w:sz w:val="20"/>
          <w:szCs w:val="20"/>
        </w:rPr>
        <w:t xml:space="preserve"> </w:t>
      </w:r>
      <w:r w:rsidRPr="0013600B">
        <w:rPr>
          <w:rFonts w:ascii="Arial" w:eastAsia="Times New Roman" w:hAnsi="Arial" w:cs="Arial"/>
          <w:sz w:val="20"/>
          <w:szCs w:val="20"/>
        </w:rPr>
        <w:t>findings on mediation’s role in fostering trust and enforcement for diverse taxpayers.</w:t>
      </w:r>
    </w:p>
    <w:p w14:paraId="2D0089BA" w14:textId="77777777"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Arbitration’s structured, neutral process ensures fair and timely resolutions, particularly for complex disputes, encouraging compliance among SMEs and informal operators. This aligns with Legal Realism Theory, prioritizing practical, context-sensitive outcomes over rigid legal formalism </w:t>
      </w:r>
      <w:r w:rsidR="00365FA9">
        <w:rPr>
          <w:rFonts w:ascii="Arial" w:eastAsia="Times New Roman" w:hAnsi="Arial" w:cs="Arial"/>
          <w:sz w:val="20"/>
          <w:szCs w:val="20"/>
        </w:rPr>
        <w:t>[49]</w:t>
      </w:r>
      <w:r w:rsidRPr="0013600B">
        <w:rPr>
          <w:rFonts w:ascii="Arial" w:eastAsia="Times New Roman" w:hAnsi="Arial" w:cs="Arial"/>
          <w:sz w:val="20"/>
          <w:szCs w:val="20"/>
        </w:rPr>
        <w:t xml:space="preserve">. Nairobi’s findings resonate with global evidence of reduced litigation backlogs </w:t>
      </w:r>
      <w:r w:rsidR="00365FA9">
        <w:rPr>
          <w:rFonts w:ascii="Arial" w:eastAsia="Times New Roman" w:hAnsi="Arial" w:cs="Arial"/>
          <w:sz w:val="20"/>
          <w:szCs w:val="20"/>
        </w:rPr>
        <w:t>in countries using arbitration [53]</w:t>
      </w:r>
      <w:r w:rsidRPr="0013600B">
        <w:rPr>
          <w:rFonts w:ascii="Arial" w:eastAsia="Times New Roman" w:hAnsi="Arial" w:cs="Arial"/>
          <w:sz w:val="20"/>
          <w:szCs w:val="20"/>
        </w:rPr>
        <w:t xml:space="preserve">. Unlike studies focusing on specific taxes, this study highlights arbitration’s broad applicability </w:t>
      </w:r>
      <w:r w:rsidR="00B14BAA">
        <w:rPr>
          <w:rFonts w:ascii="Arial" w:eastAsia="Times New Roman" w:hAnsi="Arial" w:cs="Arial"/>
          <w:sz w:val="20"/>
          <w:szCs w:val="20"/>
        </w:rPr>
        <w:t>[54].</w:t>
      </w:r>
      <w:r w:rsidRPr="0013600B">
        <w:rPr>
          <w:rFonts w:ascii="Arial" w:eastAsia="Times New Roman" w:hAnsi="Arial" w:cs="Arial"/>
          <w:sz w:val="20"/>
          <w:szCs w:val="20"/>
        </w:rPr>
        <w:t xml:space="preserve"> KRA should integrate arbitration into tax frameworks, ensuring accessibility to address fairness concerns and reduce financial uncertainty, aligning with </w:t>
      </w:r>
      <w:r w:rsidR="008A748D">
        <w:rPr>
          <w:rFonts w:ascii="Arial" w:eastAsia="Times New Roman" w:hAnsi="Arial" w:cs="Arial"/>
          <w:sz w:val="20"/>
          <w:szCs w:val="20"/>
        </w:rPr>
        <w:t>[</w:t>
      </w:r>
      <w:r w:rsidR="008A748D" w:rsidRPr="008A748D">
        <w:rPr>
          <w:rFonts w:ascii="Arial" w:eastAsia="Times New Roman" w:hAnsi="Arial" w:cs="Arial"/>
          <w:sz w:val="20"/>
          <w:szCs w:val="20"/>
        </w:rPr>
        <w:t>14</w:t>
      </w:r>
      <w:r w:rsidR="008A748D">
        <w:rPr>
          <w:rFonts w:ascii="Arial" w:eastAsia="Times New Roman" w:hAnsi="Arial" w:cs="Arial"/>
          <w:sz w:val="20"/>
          <w:szCs w:val="20"/>
        </w:rPr>
        <w:t>]</w:t>
      </w:r>
      <w:r w:rsidRPr="0013600B">
        <w:rPr>
          <w:rFonts w:ascii="Arial" w:eastAsia="Times New Roman" w:hAnsi="Arial" w:cs="Arial"/>
          <w:sz w:val="20"/>
          <w:szCs w:val="20"/>
        </w:rPr>
        <w:t xml:space="preserve"> recommendations for tax certainty and compliance.</w:t>
      </w:r>
    </w:p>
    <w:p w14:paraId="08B07E30" w14:textId="77777777"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lastRenderedPageBreak/>
        <w:t xml:space="preserve">Early Neutral Evaluation (ENE) streamlines disputes through early, impartial assessments, reducing escalation and costs, fostering trust and compliance. This embodies Procedural Justice Theory, emphasizing transparent, fair processes </w:t>
      </w:r>
      <w:r w:rsidR="00365FA9">
        <w:rPr>
          <w:rFonts w:ascii="Arial" w:eastAsia="Times New Roman" w:hAnsi="Arial" w:cs="Arial"/>
          <w:sz w:val="20"/>
          <w:szCs w:val="20"/>
        </w:rPr>
        <w:t xml:space="preserve">[50]. </w:t>
      </w:r>
      <w:r w:rsidRPr="0013600B">
        <w:rPr>
          <w:rFonts w:ascii="Arial" w:eastAsia="Times New Roman" w:hAnsi="Arial" w:cs="Arial"/>
          <w:sz w:val="20"/>
          <w:szCs w:val="20"/>
        </w:rPr>
        <w:t xml:space="preserve">Unlike studies grouping ADR mechanisms, this study isolates ENE’s impact for SMEs and informal operators, addressing its under-researched role in Kenya </w:t>
      </w:r>
      <w:r w:rsidR="00365FA9">
        <w:rPr>
          <w:rFonts w:ascii="Arial" w:eastAsia="Times New Roman" w:hAnsi="Arial" w:cs="Arial"/>
          <w:sz w:val="20"/>
          <w:szCs w:val="20"/>
        </w:rPr>
        <w:t>[</w:t>
      </w:r>
      <w:r w:rsidR="00365FA9" w:rsidRPr="00365FA9">
        <w:rPr>
          <w:rFonts w:ascii="Arial" w:eastAsia="Times New Roman" w:hAnsi="Arial" w:cs="Arial"/>
          <w:sz w:val="20"/>
          <w:szCs w:val="20"/>
        </w:rPr>
        <w:t>51</w:t>
      </w:r>
      <w:r w:rsidR="00365FA9">
        <w:rPr>
          <w:rFonts w:ascii="Arial" w:eastAsia="Times New Roman" w:hAnsi="Arial" w:cs="Arial"/>
          <w:sz w:val="20"/>
          <w:szCs w:val="20"/>
        </w:rPr>
        <w:t>].</w:t>
      </w:r>
      <w:r w:rsidRPr="0013600B">
        <w:rPr>
          <w:rFonts w:ascii="Arial" w:eastAsia="Times New Roman" w:hAnsi="Arial" w:cs="Arial"/>
          <w:sz w:val="20"/>
          <w:szCs w:val="20"/>
        </w:rPr>
        <w:t xml:space="preserve"> South Africa’s ENE programs improve taxpayer perceptions </w:t>
      </w:r>
      <w:r w:rsidR="001C5306">
        <w:rPr>
          <w:rFonts w:ascii="Arial" w:eastAsia="Times New Roman" w:hAnsi="Arial" w:cs="Arial"/>
          <w:sz w:val="20"/>
          <w:szCs w:val="20"/>
        </w:rPr>
        <w:t>[44]</w:t>
      </w:r>
      <w:r w:rsidRPr="0013600B">
        <w:rPr>
          <w:rFonts w:ascii="Arial" w:eastAsia="Times New Roman" w:hAnsi="Arial" w:cs="Arial"/>
          <w:sz w:val="20"/>
          <w:szCs w:val="20"/>
        </w:rPr>
        <w:t xml:space="preserve">, similar to Nairobi’s outcomes, though Kenya’s SME focus is distinct. KRA should promote ENE to encourage swift resolutions, enhancing revenue collection and building an effective tax ecosystem, consistent with global cost-effective interventions </w:t>
      </w:r>
      <w:r w:rsidR="00B822DA">
        <w:rPr>
          <w:rFonts w:ascii="Arial" w:eastAsia="Times New Roman" w:hAnsi="Arial" w:cs="Arial"/>
          <w:sz w:val="20"/>
          <w:szCs w:val="20"/>
        </w:rPr>
        <w:t>[14].</w:t>
      </w:r>
    </w:p>
    <w:p w14:paraId="75E5B434" w14:textId="77777777" w:rsidR="0013600B" w:rsidRPr="0013600B" w:rsidRDefault="0013600B" w:rsidP="0013600B">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Taxpayer education (TE) enhances compliance by improving awareness of tax obligations, aligning with Justice Theory’s focus on perceived fairness driving voluntary compliance </w:t>
      </w:r>
      <w:r w:rsidR="00365FA9">
        <w:rPr>
          <w:rFonts w:ascii="Arial" w:eastAsia="Times New Roman" w:hAnsi="Arial" w:cs="Arial"/>
          <w:sz w:val="20"/>
          <w:szCs w:val="20"/>
        </w:rPr>
        <w:t>[52].</w:t>
      </w:r>
      <w:r w:rsidRPr="0013600B">
        <w:rPr>
          <w:rFonts w:ascii="Arial" w:eastAsia="Times New Roman" w:hAnsi="Arial" w:cs="Arial"/>
          <w:sz w:val="20"/>
          <w:szCs w:val="20"/>
        </w:rPr>
        <w:t xml:space="preserve"> KRA’s digital campaigns increase ADR engagement </w:t>
      </w:r>
      <w:r w:rsidR="001C5306">
        <w:rPr>
          <w:rFonts w:ascii="Arial" w:eastAsia="Times New Roman" w:hAnsi="Arial" w:cs="Arial"/>
          <w:sz w:val="20"/>
          <w:szCs w:val="20"/>
        </w:rPr>
        <w:t>[45]</w:t>
      </w:r>
      <w:r w:rsidRPr="0013600B">
        <w:rPr>
          <w:rFonts w:ascii="Arial" w:eastAsia="Times New Roman" w:hAnsi="Arial" w:cs="Arial"/>
          <w:sz w:val="20"/>
          <w:szCs w:val="20"/>
        </w:rPr>
        <w:t xml:space="preserve">, similar to Tanzania’s education forums boosting compliance </w:t>
      </w:r>
      <w:r w:rsidR="00AC4056">
        <w:rPr>
          <w:rFonts w:ascii="Arial" w:eastAsia="Times New Roman" w:hAnsi="Arial" w:cs="Arial"/>
          <w:sz w:val="20"/>
          <w:szCs w:val="20"/>
        </w:rPr>
        <w:t>[</w:t>
      </w:r>
      <w:r w:rsidR="00AC4056" w:rsidRPr="00AC4056">
        <w:rPr>
          <w:rFonts w:ascii="Arial" w:eastAsia="Times New Roman" w:hAnsi="Arial" w:cs="Arial"/>
          <w:sz w:val="20"/>
          <w:szCs w:val="20"/>
        </w:rPr>
        <w:t>35</w:t>
      </w:r>
      <w:r w:rsidR="00AC4056">
        <w:rPr>
          <w:rFonts w:ascii="Arial" w:eastAsia="Times New Roman" w:hAnsi="Arial" w:cs="Arial"/>
          <w:sz w:val="20"/>
          <w:szCs w:val="20"/>
        </w:rPr>
        <w:t>]</w:t>
      </w:r>
      <w:r w:rsidRPr="0013600B">
        <w:rPr>
          <w:rFonts w:ascii="Arial" w:eastAsia="Times New Roman" w:hAnsi="Arial" w:cs="Arial"/>
          <w:sz w:val="20"/>
          <w:szCs w:val="20"/>
        </w:rPr>
        <w:t xml:space="preserve">. </w:t>
      </w:r>
      <w:r w:rsidRPr="0013600B">
        <w:rPr>
          <w:rFonts w:ascii="Arial" w:eastAsia="Times New Roman" w:hAnsi="Arial" w:cs="Arial"/>
          <w:sz w:val="20"/>
          <w:szCs w:val="20"/>
        </w:rPr>
        <w:t xml:space="preserve">KRA should expand TE through mobile apps and social media to reach SMEs and informal operators, reducing knowledge gaps. This aligns with global evidence on education’s role in enhancing tax literacy </w:t>
      </w:r>
      <w:r w:rsidR="00B14BAA">
        <w:rPr>
          <w:rFonts w:ascii="Arial" w:eastAsia="Times New Roman" w:hAnsi="Arial" w:cs="Arial"/>
          <w:sz w:val="20"/>
          <w:szCs w:val="20"/>
        </w:rPr>
        <w:t>[55],</w:t>
      </w:r>
      <w:r w:rsidRPr="0013600B">
        <w:rPr>
          <w:rFonts w:ascii="Arial" w:eastAsia="Times New Roman" w:hAnsi="Arial" w:cs="Arial"/>
          <w:sz w:val="20"/>
          <w:szCs w:val="20"/>
        </w:rPr>
        <w:t xml:space="preserve"> fostering compliance and supporting revenue goals.</w:t>
      </w:r>
    </w:p>
    <w:p w14:paraId="083F14A6" w14:textId="77777777" w:rsidR="004D63F6" w:rsidRDefault="0013600B" w:rsidP="004D63F6">
      <w:pPr>
        <w:spacing w:after="0" w:line="240" w:lineRule="auto"/>
        <w:jc w:val="both"/>
        <w:rPr>
          <w:rFonts w:ascii="Arial" w:eastAsia="Times New Roman" w:hAnsi="Arial" w:cs="Arial"/>
          <w:sz w:val="20"/>
          <w:szCs w:val="20"/>
        </w:rPr>
      </w:pPr>
      <w:r w:rsidRPr="0013600B">
        <w:rPr>
          <w:rFonts w:ascii="Arial" w:eastAsia="Times New Roman" w:hAnsi="Arial" w:cs="Arial"/>
          <w:sz w:val="20"/>
          <w:szCs w:val="20"/>
        </w:rPr>
        <w:t xml:space="preserve">TE strengthens mediation, arbitration, and ENE’s effectiveness by enhancing taxpayer awareness, amplifying compliance outcomes, particularly for SMEs and informal operators </w:t>
      </w:r>
      <w:r w:rsidR="00365FA9">
        <w:rPr>
          <w:rFonts w:ascii="Arial" w:eastAsia="Times New Roman" w:hAnsi="Arial" w:cs="Arial"/>
          <w:sz w:val="20"/>
          <w:szCs w:val="20"/>
        </w:rPr>
        <w:t>[46]</w:t>
      </w:r>
      <w:r w:rsidRPr="0013600B">
        <w:rPr>
          <w:rFonts w:ascii="Arial" w:eastAsia="Times New Roman" w:hAnsi="Arial" w:cs="Arial"/>
          <w:sz w:val="20"/>
          <w:szCs w:val="20"/>
        </w:rPr>
        <w:t>. Justice Theory suggests informed taxpayers perceive</w:t>
      </w:r>
      <w:r w:rsidR="00B14BAA">
        <w:rPr>
          <w:rFonts w:ascii="Arial" w:eastAsia="Times New Roman" w:hAnsi="Arial" w:cs="Arial"/>
          <w:sz w:val="20"/>
          <w:szCs w:val="20"/>
        </w:rPr>
        <w:t xml:space="preserve"> ADR as fair, increasing trust [56]</w:t>
      </w:r>
      <w:r w:rsidRPr="0013600B">
        <w:rPr>
          <w:rFonts w:ascii="Arial" w:eastAsia="Times New Roman" w:hAnsi="Arial" w:cs="Arial"/>
          <w:sz w:val="20"/>
          <w:szCs w:val="20"/>
        </w:rPr>
        <w:t xml:space="preserve">. Unlike Canada’s high-awareness context </w:t>
      </w:r>
      <w:r w:rsidR="00365FA9">
        <w:rPr>
          <w:rFonts w:ascii="Arial" w:eastAsia="Times New Roman" w:hAnsi="Arial" w:cs="Arial"/>
          <w:sz w:val="20"/>
          <w:szCs w:val="20"/>
        </w:rPr>
        <w:t>[47],</w:t>
      </w:r>
      <w:r w:rsidRPr="0013600B">
        <w:rPr>
          <w:rFonts w:ascii="Arial" w:eastAsia="Times New Roman" w:hAnsi="Arial" w:cs="Arial"/>
          <w:sz w:val="20"/>
          <w:szCs w:val="20"/>
        </w:rPr>
        <w:t xml:space="preserve"> Nairobi’s low ADR awareness may reduce effectiveness, but digital tools can address this </w:t>
      </w:r>
      <w:r w:rsidR="00365FA9">
        <w:rPr>
          <w:rFonts w:ascii="Arial" w:eastAsia="Times New Roman" w:hAnsi="Arial" w:cs="Arial"/>
          <w:sz w:val="20"/>
          <w:szCs w:val="20"/>
        </w:rPr>
        <w:t>[45]</w:t>
      </w:r>
      <w:r w:rsidRPr="0013600B">
        <w:rPr>
          <w:rFonts w:ascii="Arial" w:eastAsia="Times New Roman" w:hAnsi="Arial" w:cs="Arial"/>
          <w:sz w:val="20"/>
          <w:szCs w:val="20"/>
        </w:rPr>
        <w:t xml:space="preserve">. Robustness checks confirm these effects across taxpayer groups, ensuring generalizability. By embedding TE in ADR frameworks, KRA can enhance trust, reduce disputes, and improve revenue collection, as supported by </w:t>
      </w:r>
      <w:r w:rsidR="00454858" w:rsidRPr="00A25BEC">
        <w:rPr>
          <w:rFonts w:ascii="Arial" w:eastAsia="Times New Roman" w:hAnsi="Arial" w:cs="Arial"/>
          <w:bCs/>
          <w:sz w:val="20"/>
          <w:szCs w:val="20"/>
        </w:rPr>
        <w:t>Table 3</w:t>
      </w:r>
      <w:r w:rsidRPr="00A25BEC">
        <w:rPr>
          <w:rFonts w:ascii="Arial" w:eastAsia="Times New Roman" w:hAnsi="Arial" w:cs="Arial"/>
          <w:sz w:val="20"/>
          <w:szCs w:val="20"/>
        </w:rPr>
        <w:t>,</w:t>
      </w:r>
      <w:r w:rsidRPr="0013600B">
        <w:rPr>
          <w:rFonts w:ascii="Arial" w:eastAsia="Times New Roman" w:hAnsi="Arial" w:cs="Arial"/>
          <w:sz w:val="20"/>
          <w:szCs w:val="20"/>
        </w:rPr>
        <w:t xml:space="preserve"> aligning with global trends </w:t>
      </w:r>
      <w:r w:rsidR="00AC4056">
        <w:rPr>
          <w:rFonts w:ascii="Arial" w:eastAsia="Times New Roman" w:hAnsi="Arial" w:cs="Arial"/>
          <w:sz w:val="20"/>
          <w:szCs w:val="20"/>
        </w:rPr>
        <w:t>[</w:t>
      </w:r>
      <w:r w:rsidR="00AC4056" w:rsidRPr="00AC4056">
        <w:rPr>
          <w:rFonts w:ascii="Arial" w:eastAsia="Times New Roman" w:hAnsi="Arial" w:cs="Arial"/>
          <w:sz w:val="20"/>
          <w:szCs w:val="20"/>
        </w:rPr>
        <w:t>14</w:t>
      </w:r>
      <w:r w:rsidR="00AC4056">
        <w:rPr>
          <w:rFonts w:ascii="Arial" w:eastAsia="Times New Roman" w:hAnsi="Arial" w:cs="Arial"/>
          <w:sz w:val="20"/>
          <w:szCs w:val="20"/>
        </w:rPr>
        <w:t>].</w:t>
      </w:r>
    </w:p>
    <w:p w14:paraId="7707CB30" w14:textId="77777777" w:rsidR="00C75C26" w:rsidRDefault="00C75C26" w:rsidP="004D63F6">
      <w:pPr>
        <w:spacing w:after="0" w:line="240" w:lineRule="auto"/>
        <w:jc w:val="both"/>
        <w:rPr>
          <w:rFonts w:ascii="Arial" w:eastAsia="Times New Roman" w:hAnsi="Arial" w:cs="Arial"/>
          <w:sz w:val="20"/>
          <w:szCs w:val="20"/>
        </w:rPr>
        <w:sectPr w:rsidR="00C75C26" w:rsidSect="00C75C26">
          <w:type w:val="continuous"/>
          <w:pgSz w:w="11907" w:h="16839" w:code="9"/>
          <w:pgMar w:top="1440" w:right="1440" w:bottom="1440" w:left="1440" w:header="720" w:footer="720" w:gutter="0"/>
          <w:cols w:num="2" w:space="720"/>
          <w:docGrid w:linePitch="360"/>
        </w:sectPr>
      </w:pPr>
    </w:p>
    <w:p w14:paraId="010AFB0F" w14:textId="77777777" w:rsidR="0088770B" w:rsidRPr="0013600B" w:rsidRDefault="0088770B" w:rsidP="004D63F6">
      <w:pPr>
        <w:spacing w:after="0" w:line="240" w:lineRule="auto"/>
        <w:jc w:val="both"/>
        <w:rPr>
          <w:rFonts w:ascii="Arial" w:eastAsia="Times New Roman" w:hAnsi="Arial" w:cs="Arial"/>
          <w:sz w:val="20"/>
          <w:szCs w:val="20"/>
        </w:rPr>
      </w:pPr>
    </w:p>
    <w:p w14:paraId="1D4E236D" w14:textId="77777777" w:rsidR="0088770B" w:rsidRDefault="0088770B">
      <w:pPr>
        <w:rPr>
          <w:rFonts w:ascii="Helvetica" w:eastAsia="Times New Roman" w:hAnsi="Helvetica" w:cs="Times New Roman"/>
          <w:sz w:val="20"/>
          <w:szCs w:val="20"/>
        </w:rPr>
      </w:pPr>
      <w:r>
        <w:rPr>
          <w:rFonts w:ascii="Helvetica" w:eastAsia="Times New Roman" w:hAnsi="Helvetica" w:cs="Times New Roman"/>
          <w:sz w:val="20"/>
          <w:szCs w:val="20"/>
        </w:rPr>
        <w:br w:type="page"/>
      </w:r>
    </w:p>
    <w:p w14:paraId="59B1D02F" w14:textId="77777777" w:rsidR="0088770B" w:rsidRPr="004D63F6" w:rsidRDefault="0088770B" w:rsidP="0088770B">
      <w:pPr>
        <w:tabs>
          <w:tab w:val="left" w:pos="1080"/>
        </w:tabs>
        <w:spacing w:after="0" w:line="240" w:lineRule="auto"/>
        <w:jc w:val="both"/>
        <w:rPr>
          <w:rFonts w:ascii="Arial" w:eastAsia="Times New Roman" w:hAnsi="Arial" w:cs="Times New Roman"/>
          <w:b/>
          <w:bCs/>
          <w:sz w:val="20"/>
          <w:szCs w:val="20"/>
        </w:rPr>
      </w:pPr>
      <w:r>
        <w:rPr>
          <w:rFonts w:ascii="Arial" w:eastAsia="Times New Roman" w:hAnsi="Arial" w:cs="Times New Roman"/>
          <w:b/>
          <w:sz w:val="20"/>
          <w:szCs w:val="20"/>
        </w:rPr>
        <w:lastRenderedPageBreak/>
        <w:t>Table 3</w:t>
      </w:r>
      <w:r w:rsidRPr="004D63F6">
        <w:rPr>
          <w:rFonts w:ascii="Arial" w:eastAsia="Times New Roman" w:hAnsi="Arial" w:cs="Times New Roman"/>
          <w:b/>
          <w:sz w:val="20"/>
          <w:szCs w:val="20"/>
        </w:rPr>
        <w:t xml:space="preserve">. </w:t>
      </w:r>
      <w:r>
        <w:rPr>
          <w:rFonts w:ascii="Arial" w:eastAsia="Times New Roman" w:hAnsi="Arial" w:cs="Times New Roman"/>
          <w:b/>
          <w:bCs/>
          <w:sz w:val="20"/>
          <w:szCs w:val="20"/>
        </w:rPr>
        <w:t>Regress</w:t>
      </w:r>
      <w:r w:rsidRPr="004D63F6">
        <w:rPr>
          <w:rFonts w:ascii="Arial" w:eastAsia="Times New Roman" w:hAnsi="Arial" w:cs="Times New Roman"/>
          <w:b/>
          <w:bCs/>
          <w:sz w:val="20"/>
          <w:szCs w:val="20"/>
        </w:rPr>
        <w:t>ion Results</w:t>
      </w:r>
    </w:p>
    <w:p w14:paraId="158C7A46" w14:textId="77777777" w:rsidR="0088770B" w:rsidRDefault="0088770B" w:rsidP="0088770B">
      <w:pPr>
        <w:rPr>
          <w:rFonts w:ascii="Arial" w:eastAsia="Times New Roman" w:hAnsi="Arial" w:cs="Arial"/>
          <w:b/>
          <w:caps/>
          <w:szCs w:val="20"/>
        </w:rPr>
        <w:sectPr w:rsidR="0088770B" w:rsidSect="00B8650C">
          <w:type w:val="continuous"/>
          <w:pgSz w:w="11907" w:h="16839" w:code="9"/>
          <w:pgMar w:top="1440" w:right="1440" w:bottom="1440" w:left="1440" w:header="720" w:footer="720" w:gutter="0"/>
          <w:cols w:space="720"/>
          <w:docGrid w:linePitch="360"/>
        </w:sectPr>
      </w:pPr>
    </w:p>
    <w:tbl>
      <w:tblPr>
        <w:tblpPr w:leftFromText="180" w:rightFromText="180" w:vertAnchor="page" w:horzAnchor="margin" w:tblpY="1750"/>
        <w:tblW w:w="8585" w:type="dxa"/>
        <w:tblBorders>
          <w:top w:val="single" w:sz="18" w:space="0" w:color="auto"/>
          <w:bottom w:val="single" w:sz="18" w:space="0" w:color="auto"/>
        </w:tblBorders>
        <w:tblLook w:val="04A0" w:firstRow="1" w:lastRow="0" w:firstColumn="1" w:lastColumn="0" w:noHBand="0" w:noVBand="1"/>
      </w:tblPr>
      <w:tblGrid>
        <w:gridCol w:w="2448"/>
        <w:gridCol w:w="1560"/>
        <w:gridCol w:w="1140"/>
        <w:gridCol w:w="1874"/>
        <w:gridCol w:w="1563"/>
      </w:tblGrid>
      <w:tr w:rsidR="0088770B" w:rsidRPr="00893230" w14:paraId="1F995F99" w14:textId="77777777" w:rsidTr="00A94916">
        <w:tc>
          <w:tcPr>
            <w:tcW w:w="2448" w:type="dxa"/>
            <w:tcBorders>
              <w:top w:val="single" w:sz="18" w:space="0" w:color="auto"/>
              <w:bottom w:val="single" w:sz="18" w:space="0" w:color="auto"/>
            </w:tcBorders>
          </w:tcPr>
          <w:p w14:paraId="493B8D78" w14:textId="77777777" w:rsidR="0088770B" w:rsidRPr="00893230" w:rsidRDefault="0088770B" w:rsidP="00A94916">
            <w:pPr>
              <w:spacing w:after="0"/>
              <w:rPr>
                <w:rFonts w:ascii="Arial" w:hAnsi="Arial" w:cs="Arial"/>
                <w:color w:val="000000" w:themeColor="text1"/>
                <w:sz w:val="18"/>
                <w:szCs w:val="18"/>
              </w:rPr>
            </w:pPr>
            <w:r w:rsidRPr="00893230">
              <w:rPr>
                <w:rFonts w:ascii="Arial" w:hAnsi="Arial" w:cs="Arial"/>
                <w:color w:val="000000" w:themeColor="text1"/>
                <w:sz w:val="18"/>
                <w:szCs w:val="18"/>
              </w:rPr>
              <w:t>Variable</w:t>
            </w:r>
          </w:p>
        </w:tc>
        <w:tc>
          <w:tcPr>
            <w:tcW w:w="1560" w:type="dxa"/>
            <w:tcBorders>
              <w:top w:val="single" w:sz="18" w:space="0" w:color="auto"/>
              <w:bottom w:val="single" w:sz="18" w:space="0" w:color="auto"/>
            </w:tcBorders>
          </w:tcPr>
          <w:p w14:paraId="0CAF1DB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w:t>
            </w:r>
            <w:proofErr w:type="spellStart"/>
            <w:r w:rsidRPr="00893230">
              <w:rPr>
                <w:rFonts w:ascii="Arial" w:hAnsi="Arial" w:cs="Arial"/>
                <w:color w:val="000000" w:themeColor="text1"/>
                <w:sz w:val="18"/>
                <w:szCs w:val="18"/>
              </w:rPr>
              <w:t>i</w:t>
            </w:r>
            <w:proofErr w:type="spellEnd"/>
            <w:r w:rsidRPr="00893230">
              <w:rPr>
                <w:rFonts w:ascii="Arial" w:hAnsi="Arial" w:cs="Arial"/>
                <w:color w:val="000000" w:themeColor="text1"/>
                <w:sz w:val="18"/>
                <w:szCs w:val="18"/>
              </w:rPr>
              <w:t>)</w:t>
            </w:r>
          </w:p>
        </w:tc>
        <w:tc>
          <w:tcPr>
            <w:tcW w:w="1140" w:type="dxa"/>
            <w:tcBorders>
              <w:top w:val="single" w:sz="18" w:space="0" w:color="auto"/>
              <w:bottom w:val="single" w:sz="18" w:space="0" w:color="auto"/>
            </w:tcBorders>
          </w:tcPr>
          <w:p w14:paraId="3513EF9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(ii)</w:t>
            </w:r>
          </w:p>
        </w:tc>
        <w:tc>
          <w:tcPr>
            <w:tcW w:w="1874" w:type="dxa"/>
            <w:tcBorders>
              <w:top w:val="single" w:sz="18" w:space="0" w:color="auto"/>
              <w:bottom w:val="single" w:sz="18" w:space="0" w:color="auto"/>
            </w:tcBorders>
          </w:tcPr>
          <w:p w14:paraId="58DC36B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(iii)</w:t>
            </w:r>
          </w:p>
        </w:tc>
        <w:tc>
          <w:tcPr>
            <w:tcW w:w="1563" w:type="dxa"/>
            <w:tcBorders>
              <w:top w:val="single" w:sz="18" w:space="0" w:color="auto"/>
              <w:bottom w:val="single" w:sz="18" w:space="0" w:color="auto"/>
            </w:tcBorders>
          </w:tcPr>
          <w:p w14:paraId="132C2523"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Model (iv)</w:t>
            </w:r>
          </w:p>
        </w:tc>
      </w:tr>
      <w:tr w:rsidR="0088770B" w:rsidRPr="00893230" w14:paraId="0B6D7B62" w14:textId="77777777" w:rsidTr="00A94916">
        <w:tc>
          <w:tcPr>
            <w:tcW w:w="2448" w:type="dxa"/>
            <w:tcBorders>
              <w:top w:val="single" w:sz="18" w:space="0" w:color="auto"/>
            </w:tcBorders>
          </w:tcPr>
          <w:p w14:paraId="59F526AE"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Constant (Intercept)</w:t>
            </w:r>
          </w:p>
        </w:tc>
        <w:tc>
          <w:tcPr>
            <w:tcW w:w="1560" w:type="dxa"/>
            <w:tcBorders>
              <w:top w:val="single" w:sz="18" w:space="0" w:color="auto"/>
            </w:tcBorders>
          </w:tcPr>
          <w:p w14:paraId="2CD9C09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 xml:space="preserve">0.461 </w:t>
            </w:r>
          </w:p>
          <w:p w14:paraId="38BE69D3"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0.124)*</w:t>
            </w:r>
            <w:proofErr w:type="gramEnd"/>
            <w:r w:rsidRPr="00893230">
              <w:rPr>
                <w:rFonts w:ascii="Arial" w:hAnsi="Arial" w:cs="Arial"/>
                <w:color w:val="000000" w:themeColor="text1"/>
                <w:sz w:val="18"/>
                <w:szCs w:val="18"/>
              </w:rPr>
              <w:t>*</w:t>
            </w:r>
          </w:p>
        </w:tc>
        <w:tc>
          <w:tcPr>
            <w:tcW w:w="1140" w:type="dxa"/>
            <w:tcBorders>
              <w:top w:val="single" w:sz="18" w:space="0" w:color="auto"/>
            </w:tcBorders>
          </w:tcPr>
          <w:p w14:paraId="7BEE9EF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1.212</w:t>
            </w:r>
          </w:p>
          <w:p w14:paraId="0C5639D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0.141)*</w:t>
            </w:r>
            <w:proofErr w:type="gramEnd"/>
            <w:r w:rsidRPr="00893230">
              <w:rPr>
                <w:rFonts w:ascii="Arial" w:hAnsi="Arial" w:cs="Arial"/>
                <w:color w:val="000000" w:themeColor="text1"/>
                <w:sz w:val="18"/>
                <w:szCs w:val="18"/>
              </w:rPr>
              <w:t>*</w:t>
            </w:r>
          </w:p>
        </w:tc>
        <w:tc>
          <w:tcPr>
            <w:tcW w:w="1874" w:type="dxa"/>
            <w:tcBorders>
              <w:top w:val="single" w:sz="18" w:space="0" w:color="auto"/>
            </w:tcBorders>
          </w:tcPr>
          <w:p w14:paraId="62F680C4"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1.198</w:t>
            </w:r>
          </w:p>
          <w:p w14:paraId="25B6C2D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0.142)*</w:t>
            </w:r>
            <w:proofErr w:type="gramEnd"/>
            <w:r w:rsidRPr="00893230">
              <w:rPr>
                <w:rFonts w:ascii="Arial" w:hAnsi="Arial" w:cs="Arial"/>
                <w:color w:val="000000" w:themeColor="text1"/>
                <w:sz w:val="18"/>
                <w:szCs w:val="18"/>
              </w:rPr>
              <w:t>*</w:t>
            </w:r>
          </w:p>
        </w:tc>
        <w:tc>
          <w:tcPr>
            <w:tcW w:w="1563" w:type="dxa"/>
            <w:tcBorders>
              <w:top w:val="single" w:sz="18" w:space="0" w:color="auto"/>
            </w:tcBorders>
          </w:tcPr>
          <w:p w14:paraId="6F5E3BB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0.824</w:t>
            </w:r>
          </w:p>
          <w:p w14:paraId="0D26253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0.144)*</w:t>
            </w:r>
            <w:proofErr w:type="gramEnd"/>
            <w:r w:rsidRPr="00893230">
              <w:rPr>
                <w:rFonts w:ascii="Arial" w:hAnsi="Arial" w:cs="Arial"/>
                <w:color w:val="000000" w:themeColor="text1"/>
                <w:sz w:val="18"/>
                <w:szCs w:val="18"/>
              </w:rPr>
              <w:t>*</w:t>
            </w:r>
          </w:p>
        </w:tc>
      </w:tr>
      <w:tr w:rsidR="0088770B" w:rsidRPr="00893230" w14:paraId="4824EC4D" w14:textId="77777777" w:rsidTr="00A94916">
        <w:tc>
          <w:tcPr>
            <w:tcW w:w="2448" w:type="dxa"/>
          </w:tcPr>
          <w:p w14:paraId="02230305"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MD (Mediation)</w:t>
            </w:r>
          </w:p>
        </w:tc>
        <w:tc>
          <w:tcPr>
            <w:tcW w:w="1560" w:type="dxa"/>
          </w:tcPr>
          <w:p w14:paraId="143794E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0.304</w:t>
            </w:r>
          </w:p>
          <w:p w14:paraId="33595E8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0.095)*</w:t>
            </w:r>
            <w:proofErr w:type="gramEnd"/>
            <w:r w:rsidRPr="00893230">
              <w:rPr>
                <w:rFonts w:ascii="Arial" w:hAnsi="Arial" w:cs="Arial"/>
                <w:color w:val="000000" w:themeColor="text1"/>
                <w:sz w:val="18"/>
                <w:szCs w:val="18"/>
              </w:rPr>
              <w:t>*</w:t>
            </w:r>
          </w:p>
        </w:tc>
        <w:tc>
          <w:tcPr>
            <w:tcW w:w="1140" w:type="dxa"/>
          </w:tcPr>
          <w:p w14:paraId="068D543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0.293</w:t>
            </w:r>
          </w:p>
          <w:p w14:paraId="76E57C27"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0.055)*</w:t>
            </w:r>
            <w:proofErr w:type="gramEnd"/>
            <w:r w:rsidRPr="00893230">
              <w:rPr>
                <w:rFonts w:ascii="Arial" w:hAnsi="Arial" w:cs="Arial"/>
                <w:color w:val="000000" w:themeColor="text1"/>
                <w:sz w:val="18"/>
                <w:szCs w:val="18"/>
              </w:rPr>
              <w:t>*</w:t>
            </w:r>
          </w:p>
        </w:tc>
        <w:tc>
          <w:tcPr>
            <w:tcW w:w="1874" w:type="dxa"/>
          </w:tcPr>
          <w:p w14:paraId="5CD8D5C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0.303</w:t>
            </w:r>
          </w:p>
          <w:p w14:paraId="058D5B6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0.054)*</w:t>
            </w:r>
            <w:proofErr w:type="gramEnd"/>
            <w:r w:rsidRPr="00893230">
              <w:rPr>
                <w:rFonts w:ascii="Arial" w:hAnsi="Arial" w:cs="Arial"/>
                <w:color w:val="000000" w:themeColor="text1"/>
                <w:sz w:val="18"/>
                <w:szCs w:val="18"/>
              </w:rPr>
              <w:t>*</w:t>
            </w:r>
          </w:p>
        </w:tc>
        <w:tc>
          <w:tcPr>
            <w:tcW w:w="1563" w:type="dxa"/>
          </w:tcPr>
          <w:p w14:paraId="1AF855C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0.294</w:t>
            </w:r>
          </w:p>
          <w:p w14:paraId="43FFD1EB"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0.055)*</w:t>
            </w:r>
            <w:proofErr w:type="gramEnd"/>
            <w:r w:rsidRPr="00893230">
              <w:rPr>
                <w:rFonts w:ascii="Arial" w:hAnsi="Arial" w:cs="Arial"/>
                <w:color w:val="000000" w:themeColor="text1"/>
                <w:sz w:val="18"/>
                <w:szCs w:val="18"/>
              </w:rPr>
              <w:t>*</w:t>
            </w:r>
          </w:p>
        </w:tc>
      </w:tr>
      <w:tr w:rsidR="0088770B" w:rsidRPr="00893230" w14:paraId="70832268" w14:textId="77777777" w:rsidTr="00A94916">
        <w:tc>
          <w:tcPr>
            <w:tcW w:w="2448" w:type="dxa"/>
          </w:tcPr>
          <w:p w14:paraId="4B8A2E33"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AB (Arbitration)</w:t>
            </w:r>
          </w:p>
        </w:tc>
        <w:tc>
          <w:tcPr>
            <w:tcW w:w="1560" w:type="dxa"/>
          </w:tcPr>
          <w:p w14:paraId="0F1B276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0.248</w:t>
            </w:r>
          </w:p>
          <w:p w14:paraId="1FC3823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0.162)*</w:t>
            </w:r>
            <w:proofErr w:type="gramEnd"/>
            <w:r w:rsidRPr="00893230">
              <w:rPr>
                <w:rFonts w:ascii="Arial" w:hAnsi="Arial" w:cs="Arial"/>
                <w:color w:val="000000" w:themeColor="text1"/>
                <w:sz w:val="18"/>
                <w:szCs w:val="18"/>
              </w:rPr>
              <w:t>*</w:t>
            </w:r>
          </w:p>
        </w:tc>
        <w:tc>
          <w:tcPr>
            <w:tcW w:w="1140" w:type="dxa"/>
          </w:tcPr>
          <w:p w14:paraId="2A66819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0.334</w:t>
            </w:r>
          </w:p>
          <w:p w14:paraId="39867E5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0.062)*</w:t>
            </w:r>
            <w:proofErr w:type="gramEnd"/>
            <w:r w:rsidRPr="00893230">
              <w:rPr>
                <w:rFonts w:ascii="Arial" w:hAnsi="Arial" w:cs="Arial"/>
                <w:color w:val="000000" w:themeColor="text1"/>
                <w:sz w:val="18"/>
                <w:szCs w:val="18"/>
              </w:rPr>
              <w:t>*</w:t>
            </w:r>
          </w:p>
        </w:tc>
        <w:tc>
          <w:tcPr>
            <w:tcW w:w="1874" w:type="dxa"/>
          </w:tcPr>
          <w:p w14:paraId="77AA569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0.366</w:t>
            </w:r>
          </w:p>
          <w:p w14:paraId="5CC94136"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0.061)*</w:t>
            </w:r>
            <w:proofErr w:type="gramEnd"/>
            <w:r w:rsidRPr="00893230">
              <w:rPr>
                <w:rFonts w:ascii="Arial" w:hAnsi="Arial" w:cs="Arial"/>
                <w:color w:val="000000" w:themeColor="text1"/>
                <w:sz w:val="18"/>
                <w:szCs w:val="18"/>
              </w:rPr>
              <w:t>*</w:t>
            </w:r>
          </w:p>
        </w:tc>
        <w:tc>
          <w:tcPr>
            <w:tcW w:w="1563" w:type="dxa"/>
          </w:tcPr>
          <w:p w14:paraId="2FD7AAC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0.386</w:t>
            </w:r>
          </w:p>
          <w:p w14:paraId="7FBF7F49"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0.061)*</w:t>
            </w:r>
            <w:proofErr w:type="gramEnd"/>
            <w:r w:rsidRPr="00893230">
              <w:rPr>
                <w:rFonts w:ascii="Arial" w:hAnsi="Arial" w:cs="Arial"/>
                <w:color w:val="000000" w:themeColor="text1"/>
                <w:sz w:val="18"/>
                <w:szCs w:val="18"/>
              </w:rPr>
              <w:t>*</w:t>
            </w:r>
          </w:p>
        </w:tc>
      </w:tr>
      <w:tr w:rsidR="0088770B" w:rsidRPr="00893230" w14:paraId="6D8F811D" w14:textId="77777777" w:rsidTr="00A94916">
        <w:tc>
          <w:tcPr>
            <w:tcW w:w="2448" w:type="dxa"/>
          </w:tcPr>
          <w:p w14:paraId="71CBD89A"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ENE (Early Neutral Eval.)</w:t>
            </w:r>
          </w:p>
        </w:tc>
        <w:tc>
          <w:tcPr>
            <w:tcW w:w="1560" w:type="dxa"/>
          </w:tcPr>
          <w:p w14:paraId="344190A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0.204</w:t>
            </w:r>
          </w:p>
          <w:p w14:paraId="5256D7CB"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0.113)*</w:t>
            </w:r>
            <w:proofErr w:type="gramEnd"/>
            <w:r w:rsidRPr="00893230">
              <w:rPr>
                <w:rFonts w:ascii="Arial" w:hAnsi="Arial" w:cs="Arial"/>
                <w:color w:val="000000" w:themeColor="text1"/>
                <w:sz w:val="18"/>
                <w:szCs w:val="18"/>
              </w:rPr>
              <w:t>*</w:t>
            </w:r>
          </w:p>
        </w:tc>
        <w:tc>
          <w:tcPr>
            <w:tcW w:w="1140" w:type="dxa"/>
          </w:tcPr>
          <w:p w14:paraId="68A1560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0.202</w:t>
            </w:r>
          </w:p>
          <w:p w14:paraId="106DDE67"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0.069)*</w:t>
            </w:r>
            <w:proofErr w:type="gramEnd"/>
            <w:r w:rsidRPr="00893230">
              <w:rPr>
                <w:rFonts w:ascii="Arial" w:hAnsi="Arial" w:cs="Arial"/>
                <w:color w:val="000000" w:themeColor="text1"/>
                <w:sz w:val="18"/>
                <w:szCs w:val="18"/>
              </w:rPr>
              <w:t>*</w:t>
            </w:r>
          </w:p>
        </w:tc>
        <w:tc>
          <w:tcPr>
            <w:tcW w:w="1874" w:type="dxa"/>
          </w:tcPr>
          <w:p w14:paraId="61F9CE1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0.154</w:t>
            </w:r>
          </w:p>
          <w:p w14:paraId="476321F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0.066)*</w:t>
            </w:r>
            <w:proofErr w:type="gramEnd"/>
            <w:r w:rsidRPr="00893230">
              <w:rPr>
                <w:rFonts w:ascii="Arial" w:hAnsi="Arial" w:cs="Arial"/>
                <w:color w:val="000000" w:themeColor="text1"/>
                <w:sz w:val="18"/>
                <w:szCs w:val="18"/>
              </w:rPr>
              <w:t>*</w:t>
            </w:r>
          </w:p>
        </w:tc>
        <w:tc>
          <w:tcPr>
            <w:tcW w:w="1563" w:type="dxa"/>
          </w:tcPr>
          <w:p w14:paraId="4119E42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0.164</w:t>
            </w:r>
          </w:p>
          <w:p w14:paraId="1951AE1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0.067)*</w:t>
            </w:r>
            <w:proofErr w:type="gramEnd"/>
            <w:r w:rsidRPr="00893230">
              <w:rPr>
                <w:rFonts w:ascii="Arial" w:hAnsi="Arial" w:cs="Arial"/>
                <w:color w:val="000000" w:themeColor="text1"/>
                <w:sz w:val="18"/>
                <w:szCs w:val="18"/>
              </w:rPr>
              <w:t>*</w:t>
            </w:r>
          </w:p>
        </w:tc>
      </w:tr>
      <w:tr w:rsidR="0088770B" w:rsidRPr="00893230" w14:paraId="3B5D2912" w14:textId="77777777" w:rsidTr="00A94916">
        <w:tc>
          <w:tcPr>
            <w:tcW w:w="2448" w:type="dxa"/>
          </w:tcPr>
          <w:p w14:paraId="3559258E"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TE (Taxpayer Education)</w:t>
            </w:r>
          </w:p>
        </w:tc>
        <w:tc>
          <w:tcPr>
            <w:tcW w:w="1560" w:type="dxa"/>
          </w:tcPr>
          <w:p w14:paraId="3802815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0.156</w:t>
            </w:r>
          </w:p>
          <w:p w14:paraId="5328CEC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0.516)*</w:t>
            </w:r>
            <w:proofErr w:type="gramEnd"/>
            <w:r w:rsidRPr="00893230">
              <w:rPr>
                <w:rFonts w:ascii="Arial" w:hAnsi="Arial" w:cs="Arial"/>
                <w:color w:val="000000" w:themeColor="text1"/>
                <w:sz w:val="18"/>
                <w:szCs w:val="18"/>
              </w:rPr>
              <w:t>*</w:t>
            </w:r>
          </w:p>
        </w:tc>
        <w:tc>
          <w:tcPr>
            <w:tcW w:w="1140" w:type="dxa"/>
          </w:tcPr>
          <w:p w14:paraId="5F90AE6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0.402</w:t>
            </w:r>
          </w:p>
          <w:p w14:paraId="4C7ED17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0.065)*</w:t>
            </w:r>
            <w:proofErr w:type="gramEnd"/>
            <w:r w:rsidRPr="00893230">
              <w:rPr>
                <w:rFonts w:ascii="Arial" w:hAnsi="Arial" w:cs="Arial"/>
                <w:color w:val="000000" w:themeColor="text1"/>
                <w:sz w:val="18"/>
                <w:szCs w:val="18"/>
              </w:rPr>
              <w:t>*</w:t>
            </w:r>
          </w:p>
        </w:tc>
        <w:tc>
          <w:tcPr>
            <w:tcW w:w="1874" w:type="dxa"/>
          </w:tcPr>
          <w:p w14:paraId="3837E48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0.165</w:t>
            </w:r>
          </w:p>
          <w:p w14:paraId="5347F93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0.061)*</w:t>
            </w:r>
            <w:proofErr w:type="gramEnd"/>
            <w:r w:rsidRPr="00893230">
              <w:rPr>
                <w:rFonts w:ascii="Arial" w:hAnsi="Arial" w:cs="Arial"/>
                <w:color w:val="000000" w:themeColor="text1"/>
                <w:sz w:val="18"/>
                <w:szCs w:val="18"/>
              </w:rPr>
              <w:t>*</w:t>
            </w:r>
          </w:p>
        </w:tc>
        <w:tc>
          <w:tcPr>
            <w:tcW w:w="1563" w:type="dxa"/>
          </w:tcPr>
          <w:p w14:paraId="0B31C1A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0.428</w:t>
            </w:r>
          </w:p>
          <w:p w14:paraId="0EDFD0E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0.064)*</w:t>
            </w:r>
            <w:proofErr w:type="gramEnd"/>
            <w:r w:rsidRPr="00893230">
              <w:rPr>
                <w:rFonts w:ascii="Arial" w:hAnsi="Arial" w:cs="Arial"/>
                <w:color w:val="000000" w:themeColor="text1"/>
                <w:sz w:val="18"/>
                <w:szCs w:val="18"/>
              </w:rPr>
              <w:t>*</w:t>
            </w:r>
          </w:p>
        </w:tc>
      </w:tr>
      <w:tr w:rsidR="0088770B" w:rsidRPr="00893230" w14:paraId="46453612" w14:textId="77777777" w:rsidTr="00A94916">
        <w:tc>
          <w:tcPr>
            <w:tcW w:w="2448" w:type="dxa"/>
          </w:tcPr>
          <w:p w14:paraId="7FFD6F80"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MD × TE</w:t>
            </w:r>
          </w:p>
        </w:tc>
        <w:tc>
          <w:tcPr>
            <w:tcW w:w="1560" w:type="dxa"/>
          </w:tcPr>
          <w:p w14:paraId="38AB8B2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14:paraId="2805D7D8"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0.256</w:t>
            </w:r>
          </w:p>
          <w:p w14:paraId="0336454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0.078)*</w:t>
            </w:r>
            <w:proofErr w:type="gramEnd"/>
            <w:r w:rsidRPr="00893230">
              <w:rPr>
                <w:rFonts w:ascii="Arial" w:hAnsi="Arial" w:cs="Arial"/>
                <w:color w:val="000000" w:themeColor="text1"/>
                <w:sz w:val="18"/>
                <w:szCs w:val="18"/>
              </w:rPr>
              <w:t>*</w:t>
            </w:r>
          </w:p>
        </w:tc>
        <w:tc>
          <w:tcPr>
            <w:tcW w:w="1874" w:type="dxa"/>
          </w:tcPr>
          <w:p w14:paraId="540D478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0.632</w:t>
            </w:r>
          </w:p>
          <w:p w14:paraId="1C7EEF5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0.082)*</w:t>
            </w:r>
            <w:proofErr w:type="gramEnd"/>
            <w:r w:rsidRPr="00893230">
              <w:rPr>
                <w:rFonts w:ascii="Arial" w:hAnsi="Arial" w:cs="Arial"/>
                <w:color w:val="000000" w:themeColor="text1"/>
                <w:sz w:val="18"/>
                <w:szCs w:val="18"/>
              </w:rPr>
              <w:t>*</w:t>
            </w:r>
          </w:p>
        </w:tc>
        <w:tc>
          <w:tcPr>
            <w:tcW w:w="1563" w:type="dxa"/>
          </w:tcPr>
          <w:p w14:paraId="4CB1153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0.106</w:t>
            </w:r>
          </w:p>
          <w:p w14:paraId="4088417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0.081)*</w:t>
            </w:r>
            <w:proofErr w:type="gramEnd"/>
            <w:r w:rsidRPr="00893230">
              <w:rPr>
                <w:rFonts w:ascii="Arial" w:hAnsi="Arial" w:cs="Arial"/>
                <w:color w:val="000000" w:themeColor="text1"/>
                <w:sz w:val="18"/>
                <w:szCs w:val="18"/>
              </w:rPr>
              <w:t>*</w:t>
            </w:r>
          </w:p>
        </w:tc>
      </w:tr>
      <w:tr w:rsidR="0088770B" w:rsidRPr="00893230" w14:paraId="14B7265E" w14:textId="77777777" w:rsidTr="00A94916">
        <w:tc>
          <w:tcPr>
            <w:tcW w:w="2448" w:type="dxa"/>
          </w:tcPr>
          <w:p w14:paraId="68382C53"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AB × TE</w:t>
            </w:r>
          </w:p>
        </w:tc>
        <w:tc>
          <w:tcPr>
            <w:tcW w:w="1560" w:type="dxa"/>
          </w:tcPr>
          <w:p w14:paraId="4E09598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14:paraId="57BD313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874" w:type="dxa"/>
          </w:tcPr>
          <w:p w14:paraId="1014FCC5"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0.112</w:t>
            </w:r>
          </w:p>
          <w:p w14:paraId="1031CE7D"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0.070)*</w:t>
            </w:r>
            <w:proofErr w:type="gramEnd"/>
            <w:r w:rsidRPr="00893230">
              <w:rPr>
                <w:rFonts w:ascii="Arial" w:hAnsi="Arial" w:cs="Arial"/>
                <w:color w:val="000000" w:themeColor="text1"/>
                <w:sz w:val="18"/>
                <w:szCs w:val="18"/>
              </w:rPr>
              <w:t>*</w:t>
            </w:r>
          </w:p>
        </w:tc>
        <w:tc>
          <w:tcPr>
            <w:tcW w:w="1563" w:type="dxa"/>
          </w:tcPr>
          <w:p w14:paraId="61CB385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0.084</w:t>
            </w:r>
          </w:p>
          <w:p w14:paraId="4C3E7FB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0.068)*</w:t>
            </w:r>
            <w:proofErr w:type="gramEnd"/>
            <w:r w:rsidRPr="00893230">
              <w:rPr>
                <w:rFonts w:ascii="Arial" w:hAnsi="Arial" w:cs="Arial"/>
                <w:color w:val="000000" w:themeColor="text1"/>
                <w:sz w:val="18"/>
                <w:szCs w:val="18"/>
              </w:rPr>
              <w:t>*</w:t>
            </w:r>
          </w:p>
        </w:tc>
      </w:tr>
      <w:tr w:rsidR="0088770B" w:rsidRPr="00893230" w14:paraId="65E45C1F" w14:textId="77777777" w:rsidTr="00A94916">
        <w:tc>
          <w:tcPr>
            <w:tcW w:w="2448" w:type="dxa"/>
          </w:tcPr>
          <w:p w14:paraId="51479A2C"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ENE × TE</w:t>
            </w:r>
          </w:p>
        </w:tc>
        <w:tc>
          <w:tcPr>
            <w:tcW w:w="1560" w:type="dxa"/>
          </w:tcPr>
          <w:p w14:paraId="42F26266"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140" w:type="dxa"/>
          </w:tcPr>
          <w:p w14:paraId="67B5C9C7"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874" w:type="dxa"/>
          </w:tcPr>
          <w:p w14:paraId="440AD89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
        </w:tc>
        <w:tc>
          <w:tcPr>
            <w:tcW w:w="1563" w:type="dxa"/>
          </w:tcPr>
          <w:p w14:paraId="6F2512D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0.101</w:t>
            </w:r>
          </w:p>
          <w:p w14:paraId="7C51B6F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w:t>
            </w:r>
            <w:proofErr w:type="gramStart"/>
            <w:r w:rsidRPr="00893230">
              <w:rPr>
                <w:rFonts w:ascii="Arial" w:hAnsi="Arial" w:cs="Arial"/>
                <w:color w:val="000000" w:themeColor="text1"/>
                <w:sz w:val="18"/>
                <w:szCs w:val="18"/>
              </w:rPr>
              <w:t>0.069)*</w:t>
            </w:r>
            <w:proofErr w:type="gramEnd"/>
            <w:r w:rsidRPr="00893230">
              <w:rPr>
                <w:rFonts w:ascii="Arial" w:hAnsi="Arial" w:cs="Arial"/>
                <w:color w:val="000000" w:themeColor="text1"/>
                <w:sz w:val="18"/>
                <w:szCs w:val="18"/>
              </w:rPr>
              <w:t>*</w:t>
            </w:r>
          </w:p>
        </w:tc>
      </w:tr>
      <w:tr w:rsidR="0088770B" w:rsidRPr="00893230" w14:paraId="625933B9" w14:textId="77777777" w:rsidTr="00A94916">
        <w:tc>
          <w:tcPr>
            <w:tcW w:w="2448" w:type="dxa"/>
          </w:tcPr>
          <w:p w14:paraId="04AEF4FF"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R²</w:t>
            </w:r>
          </w:p>
        </w:tc>
        <w:tc>
          <w:tcPr>
            <w:tcW w:w="1560" w:type="dxa"/>
          </w:tcPr>
          <w:p w14:paraId="46F9850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0.526</w:t>
            </w:r>
          </w:p>
        </w:tc>
        <w:tc>
          <w:tcPr>
            <w:tcW w:w="1140" w:type="dxa"/>
          </w:tcPr>
          <w:p w14:paraId="6D71EFDA"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0.531</w:t>
            </w:r>
          </w:p>
        </w:tc>
        <w:tc>
          <w:tcPr>
            <w:tcW w:w="1874" w:type="dxa"/>
          </w:tcPr>
          <w:p w14:paraId="470B7DDF"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0.537</w:t>
            </w:r>
          </w:p>
        </w:tc>
        <w:tc>
          <w:tcPr>
            <w:tcW w:w="1563" w:type="dxa"/>
          </w:tcPr>
          <w:p w14:paraId="1EE8C1A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0.540</w:t>
            </w:r>
          </w:p>
        </w:tc>
      </w:tr>
      <w:tr w:rsidR="0088770B" w:rsidRPr="00893230" w14:paraId="6FD709FC" w14:textId="77777777" w:rsidTr="00A94916">
        <w:tc>
          <w:tcPr>
            <w:tcW w:w="2448" w:type="dxa"/>
          </w:tcPr>
          <w:p w14:paraId="1322322D"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Δ in R</w:t>
            </w:r>
            <w:r w:rsidRPr="00893230">
              <w:rPr>
                <w:rFonts w:ascii="Arial" w:hAnsi="Arial" w:cs="Arial"/>
                <w:b/>
                <w:color w:val="000000" w:themeColor="text1"/>
                <w:sz w:val="18"/>
                <w:szCs w:val="18"/>
                <w:vertAlign w:val="superscript"/>
              </w:rPr>
              <w:t>2</w:t>
            </w:r>
          </w:p>
        </w:tc>
        <w:tc>
          <w:tcPr>
            <w:tcW w:w="1560" w:type="dxa"/>
          </w:tcPr>
          <w:p w14:paraId="21EBA664"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0.035</w:t>
            </w:r>
          </w:p>
        </w:tc>
        <w:tc>
          <w:tcPr>
            <w:tcW w:w="1140" w:type="dxa"/>
          </w:tcPr>
          <w:p w14:paraId="685B0D16"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0.005</w:t>
            </w:r>
          </w:p>
        </w:tc>
        <w:tc>
          <w:tcPr>
            <w:tcW w:w="1874" w:type="dxa"/>
          </w:tcPr>
          <w:p w14:paraId="0811FF21"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0.006</w:t>
            </w:r>
          </w:p>
        </w:tc>
        <w:tc>
          <w:tcPr>
            <w:tcW w:w="1563" w:type="dxa"/>
          </w:tcPr>
          <w:p w14:paraId="35754B5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0.003</w:t>
            </w:r>
          </w:p>
        </w:tc>
      </w:tr>
      <w:tr w:rsidR="0088770B" w:rsidRPr="00893230" w14:paraId="63605A9D" w14:textId="77777777" w:rsidTr="00A94916">
        <w:tc>
          <w:tcPr>
            <w:tcW w:w="2448" w:type="dxa"/>
          </w:tcPr>
          <w:p w14:paraId="27A70528"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F-Statistic</w:t>
            </w:r>
          </w:p>
        </w:tc>
        <w:tc>
          <w:tcPr>
            <w:tcW w:w="1560" w:type="dxa"/>
          </w:tcPr>
          <w:p w14:paraId="4D7D85B4"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42.191</w:t>
            </w:r>
          </w:p>
        </w:tc>
        <w:tc>
          <w:tcPr>
            <w:tcW w:w="1140" w:type="dxa"/>
          </w:tcPr>
          <w:p w14:paraId="637F30B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34.114</w:t>
            </w:r>
          </w:p>
        </w:tc>
        <w:tc>
          <w:tcPr>
            <w:tcW w:w="1874" w:type="dxa"/>
          </w:tcPr>
          <w:p w14:paraId="217DC783"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27.172</w:t>
            </w:r>
          </w:p>
        </w:tc>
        <w:tc>
          <w:tcPr>
            <w:tcW w:w="1563" w:type="dxa"/>
          </w:tcPr>
          <w:p w14:paraId="715BA1F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24.124</w:t>
            </w:r>
          </w:p>
        </w:tc>
      </w:tr>
      <w:tr w:rsidR="0088770B" w:rsidRPr="00893230" w14:paraId="09B8B039" w14:textId="77777777" w:rsidTr="00A94916">
        <w:tc>
          <w:tcPr>
            <w:tcW w:w="2448" w:type="dxa"/>
          </w:tcPr>
          <w:p w14:paraId="02811E91" w14:textId="77777777" w:rsidR="0088770B" w:rsidRPr="00893230" w:rsidRDefault="0088770B" w:rsidP="00A94916">
            <w:pPr>
              <w:spacing w:after="0"/>
              <w:rPr>
                <w:rFonts w:ascii="Arial" w:hAnsi="Arial" w:cs="Arial"/>
                <w:b/>
                <w:color w:val="000000" w:themeColor="text1"/>
                <w:sz w:val="18"/>
                <w:szCs w:val="18"/>
              </w:rPr>
            </w:pPr>
            <w:r w:rsidRPr="00893230">
              <w:rPr>
                <w:rFonts w:ascii="Arial" w:hAnsi="Arial" w:cs="Arial"/>
                <w:b/>
                <w:color w:val="000000" w:themeColor="text1"/>
                <w:sz w:val="18"/>
                <w:szCs w:val="18"/>
              </w:rPr>
              <w:t>p-value (ANOVA)</w:t>
            </w:r>
          </w:p>
        </w:tc>
        <w:tc>
          <w:tcPr>
            <w:tcW w:w="1560" w:type="dxa"/>
          </w:tcPr>
          <w:p w14:paraId="2E7E58E0"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140" w:type="dxa"/>
          </w:tcPr>
          <w:p w14:paraId="402445B2"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874" w:type="dxa"/>
          </w:tcPr>
          <w:p w14:paraId="4A92909C"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c>
          <w:tcPr>
            <w:tcW w:w="1563" w:type="dxa"/>
          </w:tcPr>
          <w:p w14:paraId="73C28D6E" w14:textId="77777777" w:rsidR="0088770B" w:rsidRPr="00893230" w:rsidRDefault="0088770B" w:rsidP="00A94916">
            <w:pPr>
              <w:spacing w:after="0"/>
              <w:jc w:val="center"/>
              <w:rPr>
                <w:rFonts w:ascii="Arial" w:hAnsi="Arial" w:cs="Arial"/>
                <w:color w:val="000000" w:themeColor="text1"/>
                <w:sz w:val="18"/>
                <w:szCs w:val="18"/>
              </w:rPr>
            </w:pPr>
            <w:r w:rsidRPr="00893230">
              <w:rPr>
                <w:rFonts w:ascii="Arial" w:hAnsi="Arial" w:cs="Arial"/>
                <w:color w:val="000000" w:themeColor="text1"/>
                <w:sz w:val="18"/>
                <w:szCs w:val="18"/>
              </w:rPr>
              <w:t>0.000</w:t>
            </w:r>
          </w:p>
        </w:tc>
      </w:tr>
    </w:tbl>
    <w:p w14:paraId="0D4D268B" w14:textId="77777777" w:rsidR="0088770B" w:rsidRPr="004D63F6" w:rsidRDefault="0088770B" w:rsidP="004D63F6">
      <w:pPr>
        <w:spacing w:after="0" w:line="240" w:lineRule="auto"/>
        <w:jc w:val="both"/>
        <w:rPr>
          <w:rFonts w:ascii="Helvetica" w:eastAsia="Times New Roman" w:hAnsi="Helvetica" w:cs="Times New Roman"/>
          <w:sz w:val="20"/>
          <w:szCs w:val="20"/>
        </w:rPr>
      </w:pPr>
    </w:p>
    <w:p w14:paraId="63CC5FEF" w14:textId="77777777" w:rsidR="00E118A9" w:rsidRDefault="00E118A9" w:rsidP="004D63F6">
      <w:pPr>
        <w:keepNext/>
        <w:spacing w:after="0" w:line="240" w:lineRule="auto"/>
        <w:jc w:val="both"/>
        <w:rPr>
          <w:rFonts w:ascii="Arial" w:eastAsia="Times New Roman" w:hAnsi="Arial" w:cs="Arial"/>
          <w:b/>
          <w:caps/>
          <w:szCs w:val="20"/>
        </w:rPr>
        <w:sectPr w:rsidR="00E118A9" w:rsidSect="00B8650C">
          <w:type w:val="continuous"/>
          <w:pgSz w:w="11907" w:h="16839" w:code="9"/>
          <w:pgMar w:top="1440" w:right="1440" w:bottom="1440" w:left="1440" w:header="720" w:footer="720" w:gutter="0"/>
          <w:cols w:space="720"/>
          <w:docGrid w:linePitch="360"/>
        </w:sectPr>
      </w:pPr>
    </w:p>
    <w:p w14:paraId="328951EE" w14:textId="77777777" w:rsidR="004D63F6" w:rsidRPr="004D63F6" w:rsidRDefault="004D63F6" w:rsidP="004D63F6">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6. CONClUSION</w:t>
      </w:r>
    </w:p>
    <w:p w14:paraId="5918E5D6" w14:textId="77777777" w:rsidR="004D63F6" w:rsidRPr="004D63F6" w:rsidRDefault="004D63F6" w:rsidP="004D63F6">
      <w:pPr>
        <w:spacing w:after="0" w:line="240" w:lineRule="auto"/>
        <w:jc w:val="both"/>
        <w:rPr>
          <w:rFonts w:ascii="Helvetica" w:eastAsia="Times New Roman" w:hAnsi="Helvetica" w:cs="Times New Roman"/>
          <w:sz w:val="20"/>
          <w:szCs w:val="20"/>
        </w:rPr>
      </w:pPr>
    </w:p>
    <w:p w14:paraId="2B361C6F" w14:textId="77777777" w:rsidR="00C10A60" w:rsidRPr="00C10A60" w:rsidRDefault="00C10A60" w:rsidP="00C10A60">
      <w:pPr>
        <w:spacing w:after="0" w:line="240" w:lineRule="auto"/>
        <w:jc w:val="both"/>
        <w:rPr>
          <w:rFonts w:ascii="Arial" w:eastAsia="Times New Roman" w:hAnsi="Arial" w:cs="Arial"/>
          <w:sz w:val="20"/>
          <w:szCs w:val="20"/>
        </w:rPr>
      </w:pPr>
      <w:r w:rsidRPr="00C10A60">
        <w:rPr>
          <w:rFonts w:ascii="Arial" w:eastAsia="Times New Roman" w:hAnsi="Arial" w:cs="Arial"/>
          <w:sz w:val="20"/>
          <w:szCs w:val="20"/>
        </w:rPr>
        <w:t xml:space="preserve">These findings highlight the pivotal role of Alternative Dispute Resolution (ADR) mechanisms in strengthening tax compliance in Nairobi’s CBD, particularly for small and medium enterprises (SMEs) and informal operators, unlike prior studies focusing on specific tax categories. Mediation fosters trust through collaborative dialogue, encouraging voluntary compliance among SMEs by resolving disputes swiftly and amicably. Arbitration’s structured, neutral process streamlines complex tax disputes, ensuring fairness and efficiency, which benefits informal operators facing intricate tax challenges. Early Neutral Evaluation (ENE) provides rapid, impartial assessments, reducing litigation costs and enhancing confidence, especially for resource-constrained businesses. Taxpayer education significantly bolsters compliance by raising awareness of tax obligations, enabling SMEs and informal operators to navigate processes accurately. In sum, integrating </w:t>
      </w:r>
      <w:r w:rsidRPr="00C10A60">
        <w:rPr>
          <w:rFonts w:ascii="Arial" w:eastAsia="Times New Roman" w:hAnsi="Arial" w:cs="Arial"/>
          <w:sz w:val="20"/>
          <w:szCs w:val="20"/>
        </w:rPr>
        <w:t>mediation, arbitration, and ENE into tax frameworks drives compliance, creating a transparent and equitable system for taxpayers and KRA. However, low awareness among SMEs and informal operators can hinder ADR’s effectiveness, reducing their willingness to comply fully. This moderation effect underscores that KRA must prioritize accessible, taxpayer-friendly education initiatives, such as mobile apps and social media campaigns, to address knowledge gaps. By ensuring these mechanisms are effective and approachable, KRA can foster greater compliance without overburdening taxpayers. Enhanced education and streamlined ADR processes will empower businesses, reduce disputes, and strengthen revenue collection, aligning with the needs of Nairobi’s diverse tax ecosystem.</w:t>
      </w:r>
    </w:p>
    <w:p w14:paraId="55ED920F" w14:textId="77777777" w:rsidR="004D63F6" w:rsidRPr="004D63F6" w:rsidRDefault="004D63F6" w:rsidP="004D63F6">
      <w:pPr>
        <w:spacing w:after="0" w:line="240" w:lineRule="auto"/>
        <w:jc w:val="both"/>
        <w:rPr>
          <w:rFonts w:ascii="Arial" w:eastAsia="Times New Roman" w:hAnsi="Arial" w:cs="Arial"/>
          <w:sz w:val="20"/>
          <w:szCs w:val="20"/>
        </w:rPr>
      </w:pPr>
    </w:p>
    <w:p w14:paraId="16092B15" w14:textId="77777777" w:rsidR="004D63F6" w:rsidRPr="004D63F6" w:rsidRDefault="00893230" w:rsidP="004D63F6">
      <w:pPr>
        <w:keepNext/>
        <w:spacing w:after="0" w:line="240" w:lineRule="auto"/>
        <w:jc w:val="both"/>
        <w:rPr>
          <w:rFonts w:ascii="Arial" w:eastAsia="Times New Roman" w:hAnsi="Arial" w:cs="Arial"/>
          <w:b/>
          <w:bCs/>
          <w:caps/>
          <w:szCs w:val="20"/>
        </w:rPr>
      </w:pPr>
      <w:r>
        <w:rPr>
          <w:rFonts w:ascii="Arial" w:eastAsia="Times New Roman" w:hAnsi="Arial" w:cs="Arial"/>
          <w:b/>
          <w:bCs/>
          <w:caps/>
          <w:szCs w:val="20"/>
        </w:rPr>
        <w:t xml:space="preserve">DISCLAIMER </w:t>
      </w:r>
      <w:r w:rsidR="004D63F6" w:rsidRPr="004D63F6">
        <w:rPr>
          <w:rFonts w:ascii="Arial" w:eastAsia="Times New Roman" w:hAnsi="Arial" w:cs="Arial"/>
          <w:b/>
          <w:bCs/>
          <w:caps/>
          <w:szCs w:val="20"/>
        </w:rPr>
        <w:t>(ARTIFICIAL INTELLIGENCE)</w:t>
      </w:r>
    </w:p>
    <w:p w14:paraId="78C6921A" w14:textId="77777777" w:rsidR="00893230" w:rsidRDefault="004D63F6" w:rsidP="004D63F6">
      <w:pPr>
        <w:spacing w:after="0" w:line="240" w:lineRule="auto"/>
        <w:jc w:val="both"/>
        <w:rPr>
          <w:rFonts w:ascii="Arial" w:eastAsia="Times New Roman" w:hAnsi="Arial" w:cs="Arial"/>
          <w:sz w:val="20"/>
          <w:szCs w:val="20"/>
        </w:rPr>
        <w:sectPr w:rsidR="00893230" w:rsidSect="00E118A9">
          <w:type w:val="continuous"/>
          <w:pgSz w:w="11907" w:h="16839" w:code="9"/>
          <w:pgMar w:top="1440" w:right="1440" w:bottom="1440" w:left="1440" w:header="720" w:footer="720" w:gutter="0"/>
          <w:cols w:num="2" w:space="720"/>
          <w:docGrid w:linePitch="360"/>
        </w:sectPr>
      </w:pPr>
      <w:r w:rsidRPr="004D63F6">
        <w:rPr>
          <w:rFonts w:ascii="Arial" w:eastAsia="Times New Roman" w:hAnsi="Arial" w:cs="Arial"/>
          <w:sz w:val="20"/>
          <w:szCs w:val="20"/>
        </w:rPr>
        <w:t>Author(s) hereby declare that NO generative AI technologies have been used.</w:t>
      </w:r>
    </w:p>
    <w:p w14:paraId="74DFE89A" w14:textId="77777777" w:rsidR="005265E1" w:rsidRDefault="005265E1" w:rsidP="004D63F6">
      <w:pPr>
        <w:keepNext/>
        <w:spacing w:after="0" w:line="240" w:lineRule="auto"/>
        <w:jc w:val="both"/>
        <w:rPr>
          <w:rFonts w:ascii="Arial" w:eastAsia="Times New Roman" w:hAnsi="Arial" w:cs="Arial"/>
          <w:b/>
          <w:bCs/>
          <w:caps/>
          <w:szCs w:val="20"/>
        </w:rPr>
      </w:pPr>
    </w:p>
    <w:p w14:paraId="4A3AF6CA" w14:textId="77777777" w:rsidR="009945E7" w:rsidRDefault="009945E7" w:rsidP="004D63F6">
      <w:pPr>
        <w:keepNext/>
        <w:spacing w:after="0" w:line="240" w:lineRule="auto"/>
        <w:jc w:val="both"/>
        <w:rPr>
          <w:rFonts w:ascii="Arial" w:eastAsia="Times New Roman" w:hAnsi="Arial" w:cs="Arial"/>
          <w:b/>
          <w:bCs/>
          <w:caps/>
          <w:szCs w:val="20"/>
        </w:rPr>
      </w:pPr>
    </w:p>
    <w:p w14:paraId="38AA97BE" w14:textId="77777777" w:rsidR="009945E7" w:rsidRDefault="009945E7" w:rsidP="004D63F6">
      <w:pPr>
        <w:keepNext/>
        <w:spacing w:after="0" w:line="240" w:lineRule="auto"/>
        <w:jc w:val="both"/>
        <w:rPr>
          <w:rFonts w:ascii="Arial" w:eastAsia="Times New Roman" w:hAnsi="Arial" w:cs="Arial"/>
          <w:b/>
          <w:bCs/>
          <w:caps/>
          <w:szCs w:val="20"/>
        </w:rPr>
      </w:pPr>
    </w:p>
    <w:p w14:paraId="17DC708C" w14:textId="531A7295" w:rsidR="004D63F6" w:rsidRPr="004D63F6" w:rsidRDefault="004D63F6" w:rsidP="004D63F6">
      <w:pPr>
        <w:keepNext/>
        <w:spacing w:after="0" w:line="240" w:lineRule="auto"/>
        <w:jc w:val="both"/>
        <w:rPr>
          <w:rFonts w:ascii="Arial" w:eastAsia="Times New Roman" w:hAnsi="Arial" w:cs="Arial"/>
          <w:b/>
          <w:bCs/>
          <w:caps/>
          <w:szCs w:val="20"/>
        </w:rPr>
      </w:pPr>
      <w:r w:rsidRPr="004D63F6">
        <w:rPr>
          <w:rFonts w:ascii="Arial" w:eastAsia="Times New Roman" w:hAnsi="Arial" w:cs="Arial"/>
          <w:b/>
          <w:bCs/>
          <w:caps/>
          <w:szCs w:val="20"/>
        </w:rPr>
        <w:t>Competing interests</w:t>
      </w:r>
    </w:p>
    <w:p w14:paraId="7ED664A0" w14:textId="77777777" w:rsidR="004D63F6" w:rsidRPr="004D63F6" w:rsidRDefault="004D63F6" w:rsidP="004D63F6">
      <w:pPr>
        <w:keepNext/>
        <w:spacing w:after="0" w:line="240" w:lineRule="auto"/>
        <w:jc w:val="both"/>
        <w:rPr>
          <w:rFonts w:ascii="Arial" w:eastAsia="Times New Roman" w:hAnsi="Arial" w:cs="Arial"/>
          <w:b/>
          <w:caps/>
          <w:szCs w:val="20"/>
        </w:rPr>
      </w:pPr>
    </w:p>
    <w:p w14:paraId="01DF500E" w14:textId="77777777" w:rsidR="00B8650C" w:rsidRDefault="004D63F6" w:rsidP="004D63F6">
      <w:pPr>
        <w:keepNext/>
        <w:spacing w:after="0" w:line="240" w:lineRule="auto"/>
        <w:jc w:val="both"/>
        <w:rPr>
          <w:rFonts w:ascii="Arial" w:eastAsia="Times New Roman" w:hAnsi="Arial" w:cs="Arial"/>
          <w:sz w:val="20"/>
          <w:szCs w:val="20"/>
        </w:rPr>
      </w:pPr>
      <w:r w:rsidRPr="004D63F6">
        <w:rPr>
          <w:rFonts w:ascii="Arial" w:eastAsia="Times New Roman" w:hAnsi="Arial" w:cs="Arial"/>
          <w:sz w:val="20"/>
          <w:szCs w:val="20"/>
        </w:rPr>
        <w:t>Authors have declared that no competing interests exist.</w:t>
      </w:r>
    </w:p>
    <w:p w14:paraId="6F0EDB5C" w14:textId="77777777" w:rsidR="005265E1" w:rsidRDefault="005265E1" w:rsidP="004D63F6">
      <w:pPr>
        <w:keepNext/>
        <w:spacing w:after="0" w:line="240" w:lineRule="auto"/>
        <w:jc w:val="both"/>
        <w:rPr>
          <w:rFonts w:ascii="Arial" w:eastAsia="Times New Roman" w:hAnsi="Arial" w:cs="Arial"/>
          <w:sz w:val="20"/>
          <w:szCs w:val="20"/>
        </w:rPr>
      </w:pPr>
    </w:p>
    <w:p w14:paraId="2802540F" w14:textId="77777777" w:rsidR="005265E1" w:rsidRDefault="005265E1" w:rsidP="004D63F6">
      <w:pPr>
        <w:keepNext/>
        <w:spacing w:after="0" w:line="240" w:lineRule="auto"/>
        <w:jc w:val="both"/>
        <w:rPr>
          <w:rFonts w:ascii="Arial" w:eastAsia="Times New Roman" w:hAnsi="Arial" w:cs="Arial"/>
          <w:sz w:val="20"/>
          <w:szCs w:val="20"/>
        </w:rPr>
      </w:pPr>
    </w:p>
    <w:p w14:paraId="7C5F82C3" w14:textId="77777777" w:rsidR="005265E1" w:rsidRPr="005265E1" w:rsidRDefault="005265E1" w:rsidP="004D63F6">
      <w:pPr>
        <w:keepNext/>
        <w:spacing w:after="0" w:line="240" w:lineRule="auto"/>
        <w:jc w:val="both"/>
        <w:rPr>
          <w:rFonts w:ascii="Arial" w:eastAsia="Times New Roman" w:hAnsi="Arial" w:cs="Arial"/>
          <w:sz w:val="20"/>
          <w:szCs w:val="20"/>
        </w:rPr>
        <w:sectPr w:rsidR="005265E1" w:rsidRPr="005265E1" w:rsidSect="00E118A9">
          <w:type w:val="continuous"/>
          <w:pgSz w:w="11907" w:h="16839" w:code="9"/>
          <w:pgMar w:top="1440" w:right="1440" w:bottom="1440" w:left="1440" w:header="720" w:footer="720" w:gutter="0"/>
          <w:cols w:num="2" w:space="720"/>
          <w:docGrid w:linePitch="360"/>
        </w:sectPr>
      </w:pPr>
    </w:p>
    <w:p w14:paraId="77285F55" w14:textId="77777777" w:rsidR="005265E1" w:rsidRDefault="005265E1" w:rsidP="00FE1013">
      <w:pPr>
        <w:keepNext/>
        <w:spacing w:after="0" w:line="240" w:lineRule="auto"/>
        <w:jc w:val="both"/>
        <w:rPr>
          <w:rFonts w:ascii="Arial" w:eastAsia="Times New Roman" w:hAnsi="Arial" w:cs="Arial"/>
          <w:b/>
          <w:caps/>
          <w:szCs w:val="20"/>
        </w:rPr>
      </w:pPr>
    </w:p>
    <w:p w14:paraId="62DE40AE" w14:textId="77777777" w:rsidR="007C5A61" w:rsidRDefault="004D63F6" w:rsidP="00FE1013">
      <w:pPr>
        <w:keepNext/>
        <w:spacing w:after="0" w:line="240" w:lineRule="auto"/>
        <w:jc w:val="both"/>
        <w:rPr>
          <w:rFonts w:ascii="Arial" w:eastAsia="Times New Roman" w:hAnsi="Arial" w:cs="Arial"/>
          <w:b/>
          <w:caps/>
          <w:szCs w:val="20"/>
        </w:rPr>
      </w:pPr>
      <w:r w:rsidRPr="004D63F6">
        <w:rPr>
          <w:rFonts w:ascii="Arial" w:eastAsia="Times New Roman" w:hAnsi="Arial" w:cs="Arial"/>
          <w:b/>
          <w:caps/>
          <w:szCs w:val="20"/>
        </w:rPr>
        <w:t>References</w:t>
      </w:r>
    </w:p>
    <w:p w14:paraId="03643658" w14:textId="77777777" w:rsidR="00FE1013" w:rsidRDefault="00FE1013" w:rsidP="00FE1013">
      <w:pPr>
        <w:keepNext/>
        <w:spacing w:after="0" w:line="240" w:lineRule="auto"/>
        <w:jc w:val="both"/>
        <w:rPr>
          <w:rFonts w:ascii="Arial" w:eastAsia="Times New Roman" w:hAnsi="Arial" w:cs="Arial"/>
          <w:b/>
          <w:caps/>
          <w:szCs w:val="20"/>
        </w:rPr>
      </w:pPr>
    </w:p>
    <w:p w14:paraId="36858D5C" w14:textId="77777777" w:rsidR="00DA1428" w:rsidRPr="00FE1013" w:rsidRDefault="00DA1428" w:rsidP="00FE1013">
      <w:pPr>
        <w:keepNext/>
        <w:spacing w:after="0" w:line="240" w:lineRule="auto"/>
        <w:jc w:val="both"/>
        <w:rPr>
          <w:rFonts w:ascii="Arial" w:eastAsia="Times New Roman" w:hAnsi="Arial" w:cs="Arial"/>
          <w:b/>
          <w:caps/>
          <w:szCs w:val="20"/>
        </w:rPr>
        <w:sectPr w:rsidR="00DA1428" w:rsidRPr="00FE1013" w:rsidSect="00E118A9">
          <w:type w:val="continuous"/>
          <w:pgSz w:w="11907" w:h="16839" w:code="9"/>
          <w:pgMar w:top="1440" w:right="1440" w:bottom="1440" w:left="1440" w:header="720" w:footer="720" w:gutter="0"/>
          <w:cols w:num="2" w:space="720"/>
          <w:docGrid w:linePitch="360"/>
        </w:sectPr>
      </w:pPr>
    </w:p>
    <w:p w14:paraId="3C8CCF86"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Hutahuruk</w:t>
      </w:r>
      <w:proofErr w:type="spellEnd"/>
      <w:r w:rsidRPr="00A94916">
        <w:rPr>
          <w:rFonts w:ascii="Arial" w:hAnsi="Arial" w:cs="Arial"/>
          <w:sz w:val="20"/>
          <w:szCs w:val="20"/>
        </w:rPr>
        <w:t xml:space="preserve">, M. B., Ridwan, M., </w:t>
      </w:r>
      <w:proofErr w:type="spellStart"/>
      <w:r w:rsidRPr="00A94916">
        <w:rPr>
          <w:rFonts w:ascii="Arial" w:hAnsi="Arial" w:cs="Arial"/>
          <w:sz w:val="20"/>
          <w:szCs w:val="20"/>
        </w:rPr>
        <w:t>Hairudin</w:t>
      </w:r>
      <w:proofErr w:type="spellEnd"/>
      <w:r w:rsidRPr="00A94916">
        <w:rPr>
          <w:rFonts w:ascii="Arial" w:hAnsi="Arial" w:cs="Arial"/>
          <w:sz w:val="20"/>
          <w:szCs w:val="20"/>
        </w:rPr>
        <w:t xml:space="preserve">, H., </w:t>
      </w:r>
      <w:proofErr w:type="spellStart"/>
      <w:r w:rsidRPr="00A94916">
        <w:rPr>
          <w:rFonts w:ascii="Arial" w:hAnsi="Arial" w:cs="Arial"/>
          <w:sz w:val="20"/>
          <w:szCs w:val="20"/>
        </w:rPr>
        <w:t>Prayetno</w:t>
      </w:r>
      <w:proofErr w:type="spellEnd"/>
      <w:r w:rsidRPr="00A94916">
        <w:rPr>
          <w:rFonts w:ascii="Arial" w:hAnsi="Arial" w:cs="Arial"/>
          <w:sz w:val="20"/>
          <w:szCs w:val="20"/>
        </w:rPr>
        <w:t xml:space="preserve">, M. P., &amp; Renaldo, N. (2024). Understanding the issue of taxpayer compliance and knowledge gaps. </w:t>
      </w:r>
      <w:r w:rsidRPr="00A94916">
        <w:rPr>
          <w:rFonts w:ascii="Arial" w:hAnsi="Arial" w:cs="Arial"/>
          <w:i/>
          <w:iCs/>
          <w:sz w:val="20"/>
          <w:szCs w:val="20"/>
        </w:rPr>
        <w:t>Nexus Synergy: A Business Perspective, 2</w:t>
      </w:r>
      <w:r w:rsidRPr="00A94916">
        <w:rPr>
          <w:rFonts w:ascii="Arial" w:hAnsi="Arial" w:cs="Arial"/>
          <w:sz w:val="20"/>
          <w:szCs w:val="20"/>
        </w:rPr>
        <w:t xml:space="preserve">(2), 56–65. </w:t>
      </w:r>
    </w:p>
    <w:p w14:paraId="01021E00"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Bird, R. M., &amp; </w:t>
      </w:r>
      <w:proofErr w:type="spellStart"/>
      <w:r w:rsidRPr="00A94916">
        <w:rPr>
          <w:rFonts w:ascii="Arial" w:hAnsi="Arial" w:cs="Arial"/>
          <w:sz w:val="20"/>
          <w:szCs w:val="20"/>
        </w:rPr>
        <w:t>Zolt</w:t>
      </w:r>
      <w:proofErr w:type="spellEnd"/>
      <w:r w:rsidRPr="00A94916">
        <w:rPr>
          <w:rFonts w:ascii="Arial" w:hAnsi="Arial" w:cs="Arial"/>
          <w:sz w:val="20"/>
          <w:szCs w:val="20"/>
        </w:rPr>
        <w:t xml:space="preserve">, E. M. (2008). Tax policy in emerging countries. </w:t>
      </w:r>
      <w:r w:rsidRPr="00A94916">
        <w:rPr>
          <w:rFonts w:ascii="Arial" w:hAnsi="Arial" w:cs="Arial"/>
          <w:i/>
          <w:iCs/>
          <w:sz w:val="20"/>
          <w:szCs w:val="20"/>
        </w:rPr>
        <w:t>Environment and Planning C: Government and Policy, 26</w:t>
      </w:r>
      <w:r w:rsidRPr="00A94916">
        <w:rPr>
          <w:rFonts w:ascii="Arial" w:hAnsi="Arial" w:cs="Arial"/>
          <w:sz w:val="20"/>
          <w:szCs w:val="20"/>
        </w:rPr>
        <w:t xml:space="preserve">(1), 73–86. </w:t>
      </w:r>
    </w:p>
    <w:p w14:paraId="4945A311"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Kedida</w:t>
      </w:r>
      <w:proofErr w:type="spellEnd"/>
      <w:r w:rsidRPr="00A94916">
        <w:rPr>
          <w:rFonts w:ascii="Arial" w:hAnsi="Arial" w:cs="Arial"/>
          <w:sz w:val="20"/>
          <w:szCs w:val="20"/>
        </w:rPr>
        <w:t xml:space="preserve">, G. (2022). </w:t>
      </w:r>
      <w:r w:rsidRPr="00A94916">
        <w:rPr>
          <w:rFonts w:ascii="Arial" w:hAnsi="Arial" w:cs="Arial"/>
          <w:i/>
          <w:iCs/>
          <w:sz w:val="20"/>
          <w:szCs w:val="20"/>
        </w:rPr>
        <w:t>Critical analysis of legal framework and challenges of tax dispute resolution mechanism in Ethiopia</w:t>
      </w:r>
      <w:r w:rsidRPr="00A94916">
        <w:rPr>
          <w:rFonts w:ascii="Arial" w:hAnsi="Arial" w:cs="Arial"/>
          <w:sz w:val="20"/>
          <w:szCs w:val="20"/>
        </w:rPr>
        <w:t xml:space="preserve"> [Doctoral dissertation, </w:t>
      </w:r>
      <w:proofErr w:type="spellStart"/>
      <w:r w:rsidRPr="00A94916">
        <w:rPr>
          <w:rFonts w:ascii="Arial" w:hAnsi="Arial" w:cs="Arial"/>
          <w:sz w:val="20"/>
          <w:szCs w:val="20"/>
        </w:rPr>
        <w:t>Wollega</w:t>
      </w:r>
      <w:proofErr w:type="spellEnd"/>
      <w:r w:rsidRPr="00A94916">
        <w:rPr>
          <w:rFonts w:ascii="Arial" w:hAnsi="Arial" w:cs="Arial"/>
          <w:sz w:val="20"/>
          <w:szCs w:val="20"/>
        </w:rPr>
        <w:t xml:space="preserve"> University]. </w:t>
      </w:r>
    </w:p>
    <w:p w14:paraId="0F8D9E71"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Kung’u</w:t>
      </w:r>
      <w:proofErr w:type="spellEnd"/>
      <w:r w:rsidRPr="00A94916">
        <w:rPr>
          <w:rFonts w:ascii="Arial" w:hAnsi="Arial" w:cs="Arial"/>
          <w:sz w:val="20"/>
          <w:szCs w:val="20"/>
        </w:rPr>
        <w:t xml:space="preserve">, G. F., &amp; </w:t>
      </w:r>
      <w:proofErr w:type="spellStart"/>
      <w:r w:rsidRPr="00A94916">
        <w:rPr>
          <w:rFonts w:ascii="Arial" w:hAnsi="Arial" w:cs="Arial"/>
          <w:sz w:val="20"/>
          <w:szCs w:val="20"/>
        </w:rPr>
        <w:t>Ogaga</w:t>
      </w:r>
      <w:proofErr w:type="spellEnd"/>
      <w:r w:rsidRPr="00A94916">
        <w:rPr>
          <w:rFonts w:ascii="Arial" w:hAnsi="Arial" w:cs="Arial"/>
          <w:sz w:val="20"/>
          <w:szCs w:val="20"/>
        </w:rPr>
        <w:t xml:space="preserve">, B. (2024). Effect of taxpayer sensitization on excise duty compliance among manufacturing firms in Embakasi West Nairobi County, Kenya. </w:t>
      </w:r>
      <w:r w:rsidRPr="00A94916">
        <w:rPr>
          <w:rFonts w:ascii="Arial" w:hAnsi="Arial" w:cs="Arial"/>
          <w:i/>
          <w:iCs/>
          <w:sz w:val="20"/>
          <w:szCs w:val="20"/>
        </w:rPr>
        <w:t>Journal of Finance and Accounting, 4</w:t>
      </w:r>
      <w:r w:rsidRPr="00A94916">
        <w:rPr>
          <w:rFonts w:ascii="Arial" w:hAnsi="Arial" w:cs="Arial"/>
          <w:sz w:val="20"/>
          <w:szCs w:val="20"/>
        </w:rPr>
        <w:t xml:space="preserve">(7), 21–30. </w:t>
      </w:r>
    </w:p>
    <w:p w14:paraId="47041D22"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Benson, J. F. (2020). </w:t>
      </w:r>
      <w:r w:rsidRPr="00A94916">
        <w:rPr>
          <w:rFonts w:ascii="Arial" w:hAnsi="Arial" w:cs="Arial"/>
          <w:i/>
          <w:iCs/>
          <w:sz w:val="20"/>
          <w:szCs w:val="20"/>
        </w:rPr>
        <w:t xml:space="preserve">Effect of taxpayer education on revenue collection by Kenya Revenue Authority among small and medium enterprises in </w:t>
      </w:r>
      <w:proofErr w:type="spellStart"/>
      <w:r w:rsidRPr="00A94916">
        <w:rPr>
          <w:rFonts w:ascii="Arial" w:hAnsi="Arial" w:cs="Arial"/>
          <w:i/>
          <w:iCs/>
          <w:sz w:val="20"/>
          <w:szCs w:val="20"/>
        </w:rPr>
        <w:t>Mvita</w:t>
      </w:r>
      <w:proofErr w:type="spellEnd"/>
      <w:r w:rsidRPr="00A94916">
        <w:rPr>
          <w:rFonts w:ascii="Arial" w:hAnsi="Arial" w:cs="Arial"/>
          <w:i/>
          <w:iCs/>
          <w:sz w:val="20"/>
          <w:szCs w:val="20"/>
        </w:rPr>
        <w:t xml:space="preserve"> Sub-County</w:t>
      </w:r>
      <w:r w:rsidRPr="00A94916">
        <w:rPr>
          <w:rFonts w:ascii="Arial" w:hAnsi="Arial" w:cs="Arial"/>
          <w:sz w:val="20"/>
          <w:szCs w:val="20"/>
        </w:rPr>
        <w:t xml:space="preserve"> [Doctoral dissertation]. </w:t>
      </w:r>
    </w:p>
    <w:p w14:paraId="03DE7127"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Mafa</w:t>
      </w:r>
      <w:proofErr w:type="spellEnd"/>
      <w:r w:rsidRPr="00A94916">
        <w:rPr>
          <w:rFonts w:ascii="Arial" w:hAnsi="Arial" w:cs="Arial"/>
          <w:sz w:val="20"/>
          <w:szCs w:val="20"/>
        </w:rPr>
        <w:t xml:space="preserve">, T. (2025). Litigation vs alternative dispute resolution. Retrieved from </w:t>
      </w:r>
      <w:hyperlink r:id="rId14" w:tgtFrame="_blank" w:history="1">
        <w:r w:rsidRPr="00A94916">
          <w:rPr>
            <w:rStyle w:val="Hyperlink"/>
            <w:rFonts w:ascii="Arial" w:hAnsi="Arial" w:cs="Arial"/>
            <w:color w:val="auto"/>
            <w:sz w:val="20"/>
            <w:szCs w:val="20"/>
          </w:rPr>
          <w:t>https://www.titanlaw.co.zw/news/the-effectiveness-of-litigation-vs-alternative-dispute-resolution</w:t>
        </w:r>
      </w:hyperlink>
      <w:r w:rsidRPr="00A94916">
        <w:rPr>
          <w:rFonts w:ascii="Arial" w:hAnsi="Arial" w:cs="Arial"/>
          <w:sz w:val="20"/>
          <w:szCs w:val="20"/>
        </w:rPr>
        <w:t xml:space="preserve"> </w:t>
      </w:r>
    </w:p>
    <w:p w14:paraId="07A7A9CE"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Greggi</w:t>
      </w:r>
      <w:proofErr w:type="spellEnd"/>
      <w:r w:rsidRPr="00A94916">
        <w:rPr>
          <w:rFonts w:ascii="Arial" w:hAnsi="Arial" w:cs="Arial"/>
          <w:sz w:val="20"/>
          <w:szCs w:val="20"/>
        </w:rPr>
        <w:t xml:space="preserve">, M., &amp; </w:t>
      </w:r>
      <w:proofErr w:type="spellStart"/>
      <w:r w:rsidRPr="00A94916">
        <w:rPr>
          <w:rFonts w:ascii="Arial" w:hAnsi="Arial" w:cs="Arial"/>
          <w:sz w:val="20"/>
          <w:szCs w:val="20"/>
        </w:rPr>
        <w:t>Miotto</w:t>
      </w:r>
      <w:proofErr w:type="spellEnd"/>
      <w:r w:rsidRPr="00A94916">
        <w:rPr>
          <w:rFonts w:ascii="Arial" w:hAnsi="Arial" w:cs="Arial"/>
          <w:sz w:val="20"/>
          <w:szCs w:val="20"/>
        </w:rPr>
        <w:t xml:space="preserve">, A. (2024). The OECD dispute resolution system in tax controversies. </w:t>
      </w:r>
      <w:r w:rsidRPr="00A94916">
        <w:rPr>
          <w:rFonts w:ascii="Arial" w:hAnsi="Arial" w:cs="Arial"/>
          <w:i/>
          <w:iCs/>
          <w:sz w:val="20"/>
          <w:szCs w:val="20"/>
        </w:rPr>
        <w:t>Laws, 13</w:t>
      </w:r>
      <w:r w:rsidRPr="00A94916">
        <w:rPr>
          <w:rFonts w:ascii="Arial" w:hAnsi="Arial" w:cs="Arial"/>
          <w:sz w:val="20"/>
          <w:szCs w:val="20"/>
        </w:rPr>
        <w:t xml:space="preserve">(4), 45. </w:t>
      </w:r>
    </w:p>
    <w:p w14:paraId="462A05FF"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Usmani</w:t>
      </w:r>
      <w:proofErr w:type="spellEnd"/>
      <w:r w:rsidRPr="00A94916">
        <w:rPr>
          <w:rFonts w:ascii="Arial" w:hAnsi="Arial" w:cs="Arial"/>
          <w:sz w:val="20"/>
          <w:szCs w:val="20"/>
        </w:rPr>
        <w:t xml:space="preserve">, M. B., </w:t>
      </w:r>
      <w:proofErr w:type="spellStart"/>
      <w:r w:rsidRPr="00A94916">
        <w:rPr>
          <w:rFonts w:ascii="Arial" w:hAnsi="Arial" w:cs="Arial"/>
          <w:sz w:val="20"/>
          <w:szCs w:val="20"/>
        </w:rPr>
        <w:t>Qaiser</w:t>
      </w:r>
      <w:proofErr w:type="spellEnd"/>
      <w:r w:rsidRPr="00A94916">
        <w:rPr>
          <w:rFonts w:ascii="Arial" w:hAnsi="Arial" w:cs="Arial"/>
          <w:sz w:val="20"/>
          <w:szCs w:val="20"/>
        </w:rPr>
        <w:t xml:space="preserve">, K., </w:t>
      </w:r>
      <w:proofErr w:type="spellStart"/>
      <w:r w:rsidRPr="00A94916">
        <w:rPr>
          <w:rFonts w:ascii="Arial" w:hAnsi="Arial" w:cs="Arial"/>
          <w:sz w:val="20"/>
          <w:szCs w:val="20"/>
        </w:rPr>
        <w:t>Qaiser</w:t>
      </w:r>
      <w:proofErr w:type="spellEnd"/>
      <w:r w:rsidRPr="00A94916">
        <w:rPr>
          <w:rFonts w:ascii="Arial" w:hAnsi="Arial" w:cs="Arial"/>
          <w:sz w:val="20"/>
          <w:szCs w:val="20"/>
        </w:rPr>
        <w:t xml:space="preserve">, Z., Bashir, M. I., &amp; </w:t>
      </w:r>
      <w:proofErr w:type="spellStart"/>
      <w:r w:rsidRPr="00A94916">
        <w:rPr>
          <w:rFonts w:ascii="Arial" w:hAnsi="Arial" w:cs="Arial"/>
          <w:sz w:val="20"/>
          <w:szCs w:val="20"/>
        </w:rPr>
        <w:t>Chughtai</w:t>
      </w:r>
      <w:proofErr w:type="spellEnd"/>
      <w:r w:rsidRPr="00A94916">
        <w:rPr>
          <w:rFonts w:ascii="Arial" w:hAnsi="Arial" w:cs="Arial"/>
          <w:sz w:val="20"/>
          <w:szCs w:val="20"/>
        </w:rPr>
        <w:t xml:space="preserve">, Z. A. (2024). Alternative dispute resolution for resolving tax related disputes. </w:t>
      </w:r>
      <w:r w:rsidRPr="00A94916">
        <w:rPr>
          <w:rFonts w:ascii="Arial" w:hAnsi="Arial" w:cs="Arial"/>
          <w:i/>
          <w:iCs/>
          <w:sz w:val="20"/>
          <w:szCs w:val="20"/>
        </w:rPr>
        <w:t>Law Research Journal, 2</w:t>
      </w:r>
      <w:r w:rsidRPr="00A94916">
        <w:rPr>
          <w:rFonts w:ascii="Arial" w:hAnsi="Arial" w:cs="Arial"/>
          <w:sz w:val="20"/>
          <w:szCs w:val="20"/>
        </w:rPr>
        <w:t xml:space="preserve">(4), 81–92. </w:t>
      </w:r>
    </w:p>
    <w:p w14:paraId="5534F063"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Mnzava</w:t>
      </w:r>
      <w:proofErr w:type="spellEnd"/>
      <w:r w:rsidRPr="00A94916">
        <w:rPr>
          <w:rFonts w:ascii="Arial" w:hAnsi="Arial" w:cs="Arial"/>
          <w:sz w:val="20"/>
          <w:szCs w:val="20"/>
        </w:rPr>
        <w:t xml:space="preserve">, I. (2024). [Title of article or book on tax governance principles]. [Journal Name or Publisher]. (Note: Not in provided list; verify source details.) </w:t>
      </w:r>
    </w:p>
    <w:p w14:paraId="6AF6DD41"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Kirchler</w:t>
      </w:r>
      <w:proofErr w:type="spellEnd"/>
      <w:r w:rsidRPr="00A94916">
        <w:rPr>
          <w:rFonts w:ascii="Arial" w:hAnsi="Arial" w:cs="Arial"/>
          <w:sz w:val="20"/>
          <w:szCs w:val="20"/>
        </w:rPr>
        <w:t xml:space="preserve">, E. (2007). </w:t>
      </w:r>
      <w:r w:rsidRPr="00A94916">
        <w:rPr>
          <w:rFonts w:ascii="Arial" w:hAnsi="Arial" w:cs="Arial"/>
          <w:i/>
          <w:iCs/>
          <w:sz w:val="20"/>
          <w:szCs w:val="20"/>
        </w:rPr>
        <w:t xml:space="preserve">The economic psychology of tax </w:t>
      </w:r>
      <w:proofErr w:type="spellStart"/>
      <w:r w:rsidRPr="00A94916">
        <w:rPr>
          <w:rFonts w:ascii="Arial" w:hAnsi="Arial" w:cs="Arial"/>
          <w:i/>
          <w:iCs/>
          <w:sz w:val="20"/>
          <w:szCs w:val="20"/>
        </w:rPr>
        <w:t>behaviour</w:t>
      </w:r>
      <w:proofErr w:type="spellEnd"/>
      <w:r w:rsidRPr="00A94916">
        <w:rPr>
          <w:rFonts w:ascii="Arial" w:hAnsi="Arial" w:cs="Arial"/>
          <w:sz w:val="20"/>
          <w:szCs w:val="20"/>
        </w:rPr>
        <w:t xml:space="preserve">. Cambridge University Press. </w:t>
      </w:r>
    </w:p>
    <w:p w14:paraId="1B92F7E8"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Youssef, E. A. (2019). The role of tax administration on raising government revenue. [Journal Name or Publisher]. (Note: Not fully detailed in provided list; verify source details.) </w:t>
      </w:r>
    </w:p>
    <w:p w14:paraId="703D4B55"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De, S. (2023). </w:t>
      </w:r>
      <w:r w:rsidRPr="00A94916">
        <w:rPr>
          <w:rFonts w:ascii="Arial" w:hAnsi="Arial" w:cs="Arial"/>
          <w:i/>
          <w:iCs/>
          <w:sz w:val="20"/>
          <w:szCs w:val="20"/>
        </w:rPr>
        <w:t>Direct taxes litigation management and alternate dispute resolution</w:t>
      </w:r>
      <w:r w:rsidRPr="00A94916">
        <w:rPr>
          <w:rFonts w:ascii="Arial" w:hAnsi="Arial" w:cs="Arial"/>
          <w:sz w:val="20"/>
          <w:szCs w:val="20"/>
        </w:rPr>
        <w:t xml:space="preserve">. National Institute of Public Finance and Policy. </w:t>
      </w:r>
    </w:p>
    <w:p w14:paraId="7A7FE3BA"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Altun</w:t>
      </w:r>
      <w:proofErr w:type="spellEnd"/>
      <w:r w:rsidRPr="00A94916">
        <w:rPr>
          <w:rFonts w:ascii="Arial" w:hAnsi="Arial" w:cs="Arial"/>
          <w:sz w:val="20"/>
          <w:szCs w:val="20"/>
        </w:rPr>
        <w:t xml:space="preserve">, C., &amp; </w:t>
      </w:r>
      <w:proofErr w:type="spellStart"/>
      <w:r w:rsidRPr="00A94916">
        <w:rPr>
          <w:rFonts w:ascii="Arial" w:hAnsi="Arial" w:cs="Arial"/>
          <w:sz w:val="20"/>
          <w:szCs w:val="20"/>
        </w:rPr>
        <w:t>Pehlivan</w:t>
      </w:r>
      <w:proofErr w:type="spellEnd"/>
      <w:r w:rsidRPr="00A94916">
        <w:rPr>
          <w:rFonts w:ascii="Arial" w:hAnsi="Arial" w:cs="Arial"/>
          <w:sz w:val="20"/>
          <w:szCs w:val="20"/>
        </w:rPr>
        <w:t xml:space="preserve">, O. (2025). The impact of peaceful resolution methods for tax disputes on administrative and judicial processes in Turkey. </w:t>
      </w:r>
      <w:proofErr w:type="spellStart"/>
      <w:r w:rsidRPr="00A94916">
        <w:rPr>
          <w:rFonts w:ascii="Arial" w:hAnsi="Arial" w:cs="Arial"/>
          <w:i/>
          <w:iCs/>
          <w:sz w:val="20"/>
          <w:szCs w:val="20"/>
        </w:rPr>
        <w:t>Kamu</w:t>
      </w:r>
      <w:proofErr w:type="spellEnd"/>
      <w:r w:rsidRPr="00A94916">
        <w:rPr>
          <w:rFonts w:ascii="Arial" w:hAnsi="Arial" w:cs="Arial"/>
          <w:i/>
          <w:iCs/>
          <w:sz w:val="20"/>
          <w:szCs w:val="20"/>
        </w:rPr>
        <w:t xml:space="preserve"> </w:t>
      </w:r>
      <w:proofErr w:type="spellStart"/>
      <w:r w:rsidRPr="00A94916">
        <w:rPr>
          <w:rFonts w:ascii="Arial" w:hAnsi="Arial" w:cs="Arial"/>
          <w:i/>
          <w:iCs/>
          <w:sz w:val="20"/>
          <w:szCs w:val="20"/>
        </w:rPr>
        <w:t>Yönetimi</w:t>
      </w:r>
      <w:proofErr w:type="spellEnd"/>
      <w:r w:rsidRPr="00A94916">
        <w:rPr>
          <w:rFonts w:ascii="Arial" w:hAnsi="Arial" w:cs="Arial"/>
          <w:i/>
          <w:iCs/>
          <w:sz w:val="20"/>
          <w:szCs w:val="20"/>
        </w:rPr>
        <w:t xml:space="preserve"> </w:t>
      </w:r>
      <w:proofErr w:type="spellStart"/>
      <w:r w:rsidRPr="00A94916">
        <w:rPr>
          <w:rFonts w:ascii="Arial" w:hAnsi="Arial" w:cs="Arial"/>
          <w:i/>
          <w:iCs/>
          <w:sz w:val="20"/>
          <w:szCs w:val="20"/>
        </w:rPr>
        <w:t>ve</w:t>
      </w:r>
      <w:proofErr w:type="spellEnd"/>
      <w:r w:rsidRPr="00A94916">
        <w:rPr>
          <w:rFonts w:ascii="Arial" w:hAnsi="Arial" w:cs="Arial"/>
          <w:i/>
          <w:iCs/>
          <w:sz w:val="20"/>
          <w:szCs w:val="20"/>
        </w:rPr>
        <w:t xml:space="preserve"> </w:t>
      </w:r>
      <w:proofErr w:type="spellStart"/>
      <w:r w:rsidRPr="00A94916">
        <w:rPr>
          <w:rFonts w:ascii="Arial" w:hAnsi="Arial" w:cs="Arial"/>
          <w:i/>
          <w:iCs/>
          <w:sz w:val="20"/>
          <w:szCs w:val="20"/>
        </w:rPr>
        <w:t>Politikaları</w:t>
      </w:r>
      <w:proofErr w:type="spellEnd"/>
      <w:r w:rsidRPr="00A94916">
        <w:rPr>
          <w:rFonts w:ascii="Arial" w:hAnsi="Arial" w:cs="Arial"/>
          <w:i/>
          <w:iCs/>
          <w:sz w:val="20"/>
          <w:szCs w:val="20"/>
        </w:rPr>
        <w:t xml:space="preserve"> </w:t>
      </w:r>
      <w:proofErr w:type="spellStart"/>
      <w:r w:rsidRPr="00A94916">
        <w:rPr>
          <w:rFonts w:ascii="Arial" w:hAnsi="Arial" w:cs="Arial"/>
          <w:i/>
          <w:iCs/>
          <w:sz w:val="20"/>
          <w:szCs w:val="20"/>
        </w:rPr>
        <w:t>Dergisi</w:t>
      </w:r>
      <w:proofErr w:type="spellEnd"/>
      <w:r w:rsidRPr="00A94916">
        <w:rPr>
          <w:rFonts w:ascii="Arial" w:hAnsi="Arial" w:cs="Arial"/>
          <w:i/>
          <w:iCs/>
          <w:sz w:val="20"/>
          <w:szCs w:val="20"/>
        </w:rPr>
        <w:t>, 6</w:t>
      </w:r>
      <w:r w:rsidRPr="00A94916">
        <w:rPr>
          <w:rFonts w:ascii="Arial" w:hAnsi="Arial" w:cs="Arial"/>
          <w:sz w:val="20"/>
          <w:szCs w:val="20"/>
        </w:rPr>
        <w:t xml:space="preserve">(1), 117–146. </w:t>
      </w:r>
    </w:p>
    <w:p w14:paraId="17504D7C"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OECD. (2020). </w:t>
      </w:r>
      <w:r w:rsidRPr="00A94916">
        <w:rPr>
          <w:rFonts w:ascii="Arial" w:hAnsi="Arial" w:cs="Arial"/>
          <w:i/>
          <w:iCs/>
          <w:sz w:val="20"/>
          <w:szCs w:val="20"/>
        </w:rPr>
        <w:t>Tax administration 2020: Comparative information on OECD and other advanced and emerging economies</w:t>
      </w:r>
      <w:r w:rsidRPr="00A94916">
        <w:rPr>
          <w:rFonts w:ascii="Arial" w:hAnsi="Arial" w:cs="Arial"/>
          <w:sz w:val="20"/>
          <w:szCs w:val="20"/>
        </w:rPr>
        <w:t xml:space="preserve">. OECD Publishing. </w:t>
      </w:r>
    </w:p>
    <w:p w14:paraId="7EB94BB6"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Nairobi Centre for International Arbitration. (2024). </w:t>
      </w:r>
      <w:r w:rsidRPr="00A94916">
        <w:rPr>
          <w:rFonts w:ascii="Arial" w:hAnsi="Arial" w:cs="Arial"/>
          <w:i/>
          <w:iCs/>
          <w:sz w:val="20"/>
          <w:szCs w:val="20"/>
        </w:rPr>
        <w:t>Arbitration and mediation law digest</w:t>
      </w:r>
      <w:r w:rsidRPr="00A94916">
        <w:rPr>
          <w:rFonts w:ascii="Arial" w:hAnsi="Arial" w:cs="Arial"/>
          <w:sz w:val="20"/>
          <w:szCs w:val="20"/>
        </w:rPr>
        <w:t xml:space="preserve">. Capacity Building Unit. Retrieved from </w:t>
      </w:r>
      <w:hyperlink r:id="rId15" w:tgtFrame="_blank" w:history="1">
        <w:r w:rsidRPr="00A94916">
          <w:rPr>
            <w:rStyle w:val="Hyperlink"/>
            <w:rFonts w:ascii="Arial" w:hAnsi="Arial" w:cs="Arial"/>
            <w:color w:val="auto"/>
            <w:sz w:val="20"/>
            <w:szCs w:val="20"/>
          </w:rPr>
          <w:t>https://ncia.or.ke/wp-content/uploads/2024/09/ADR-Case-Digest-2024.pdf</w:t>
        </w:r>
      </w:hyperlink>
      <w:r w:rsidRPr="00A94916">
        <w:rPr>
          <w:rFonts w:ascii="Arial" w:hAnsi="Arial" w:cs="Arial"/>
          <w:sz w:val="20"/>
          <w:szCs w:val="20"/>
        </w:rPr>
        <w:t xml:space="preserve"> </w:t>
      </w:r>
    </w:p>
    <w:p w14:paraId="259A71C4"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(2024). KRA collects </w:t>
      </w:r>
      <w:proofErr w:type="spellStart"/>
      <w:r w:rsidRPr="00A94916">
        <w:rPr>
          <w:rFonts w:ascii="Arial" w:hAnsi="Arial" w:cs="Arial"/>
          <w:sz w:val="20"/>
          <w:szCs w:val="20"/>
        </w:rPr>
        <w:t>KShs</w:t>
      </w:r>
      <w:proofErr w:type="spellEnd"/>
      <w:r w:rsidRPr="00A94916">
        <w:rPr>
          <w:rFonts w:ascii="Arial" w:hAnsi="Arial" w:cs="Arial"/>
          <w:sz w:val="20"/>
          <w:szCs w:val="20"/>
        </w:rPr>
        <w:t xml:space="preserve"> 21B from alternative disputes resolution. Retrieved from </w:t>
      </w:r>
      <w:hyperlink r:id="rId16" w:tgtFrame="_blank" w:history="1">
        <w:r w:rsidRPr="00A94916">
          <w:rPr>
            <w:rStyle w:val="Hyperlink"/>
            <w:rFonts w:ascii="Arial" w:hAnsi="Arial" w:cs="Arial"/>
            <w:color w:val="auto"/>
            <w:sz w:val="20"/>
            <w:szCs w:val="20"/>
          </w:rPr>
          <w:t>https://www.kra.go.ke/news-center/press-release/1168-kra-collects-kshs-21b-from-alternative-disputes-resolution</w:t>
        </w:r>
      </w:hyperlink>
      <w:r w:rsidRPr="00A94916">
        <w:rPr>
          <w:rFonts w:ascii="Arial" w:hAnsi="Arial" w:cs="Arial"/>
          <w:sz w:val="20"/>
          <w:szCs w:val="20"/>
        </w:rPr>
        <w:t xml:space="preserve"> </w:t>
      </w:r>
    </w:p>
    <w:p w14:paraId="310B2E5E"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Huang, W. (2024). Analysis on the approach of the best way of mediation for international business disputes (September 04, 2024). [Journal Name or Publisher]. (Note: Not fully detailed in provided list; verify source details.) </w:t>
      </w:r>
    </w:p>
    <w:p w14:paraId="14FE8E8A"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Pistone</w:t>
      </w:r>
      <w:proofErr w:type="spellEnd"/>
      <w:r w:rsidRPr="00A94916">
        <w:rPr>
          <w:rFonts w:ascii="Arial" w:hAnsi="Arial" w:cs="Arial"/>
          <w:sz w:val="20"/>
          <w:szCs w:val="20"/>
        </w:rPr>
        <w:t xml:space="preserve">, P., &amp; Goede, J. (2021). Flexible multi-tier dispute resolution in international disputes. Retrieved from </w:t>
      </w:r>
      <w:hyperlink r:id="rId17" w:tgtFrame="_blank" w:history="1">
        <w:r w:rsidRPr="00A94916">
          <w:rPr>
            <w:rStyle w:val="Hyperlink"/>
            <w:rFonts w:ascii="Arial" w:hAnsi="Arial" w:cs="Arial"/>
            <w:color w:val="auto"/>
            <w:sz w:val="20"/>
            <w:szCs w:val="20"/>
          </w:rPr>
          <w:t>https://www.ibfd.org/sites/default/files/2021-05/20_007_Flexible_Multi_Tier_Dispute_Resolution_in_International_Tax_Disputes_final_web.pdf</w:t>
        </w:r>
      </w:hyperlink>
      <w:r w:rsidRPr="00A94916">
        <w:rPr>
          <w:rFonts w:ascii="Arial" w:hAnsi="Arial" w:cs="Arial"/>
          <w:sz w:val="20"/>
          <w:szCs w:val="20"/>
        </w:rPr>
        <w:t xml:space="preserve"> </w:t>
      </w:r>
    </w:p>
    <w:p w14:paraId="04AEF511"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IMF. (2022). </w:t>
      </w:r>
      <w:r w:rsidRPr="00A94916">
        <w:rPr>
          <w:rFonts w:ascii="Arial" w:hAnsi="Arial" w:cs="Arial"/>
          <w:i/>
          <w:iCs/>
          <w:sz w:val="20"/>
          <w:szCs w:val="20"/>
        </w:rPr>
        <w:t>Strengthening tax governance through legal design</w:t>
      </w:r>
      <w:r w:rsidRPr="00A94916">
        <w:rPr>
          <w:rFonts w:ascii="Arial" w:hAnsi="Arial" w:cs="Arial"/>
          <w:sz w:val="20"/>
          <w:szCs w:val="20"/>
        </w:rPr>
        <w:t xml:space="preserve">. </w:t>
      </w:r>
      <w:r w:rsidRPr="00A94916">
        <w:rPr>
          <w:rFonts w:ascii="Arial" w:hAnsi="Arial" w:cs="Arial"/>
          <w:sz w:val="20"/>
          <w:szCs w:val="20"/>
        </w:rPr>
        <w:lastRenderedPageBreak/>
        <w:t xml:space="preserve">Retrieved from </w:t>
      </w:r>
      <w:hyperlink r:id="rId18" w:tgtFrame="_blank" w:history="1">
        <w:r w:rsidRPr="00A94916">
          <w:rPr>
            <w:rStyle w:val="Hyperlink"/>
            <w:rFonts w:ascii="Arial" w:hAnsi="Arial" w:cs="Arial"/>
            <w:color w:val="auto"/>
            <w:sz w:val="20"/>
            <w:szCs w:val="20"/>
          </w:rPr>
          <w:t>https://www.elibrary.imf.org/downloadpdf/view/journals/001/2025/017/001.2025.issue-017-en.pdf</w:t>
        </w:r>
      </w:hyperlink>
      <w:r w:rsidRPr="00A94916">
        <w:rPr>
          <w:rFonts w:ascii="Arial" w:hAnsi="Arial" w:cs="Arial"/>
          <w:sz w:val="20"/>
          <w:szCs w:val="20"/>
        </w:rPr>
        <w:t xml:space="preserve"> </w:t>
      </w:r>
    </w:p>
    <w:p w14:paraId="46FC31BE"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Maragia</w:t>
      </w:r>
      <w:proofErr w:type="spellEnd"/>
      <w:r w:rsidRPr="00A94916">
        <w:rPr>
          <w:rFonts w:ascii="Arial" w:hAnsi="Arial" w:cs="Arial"/>
          <w:sz w:val="20"/>
          <w:szCs w:val="20"/>
        </w:rPr>
        <w:t xml:space="preserve">, J. N. (2021). </w:t>
      </w:r>
      <w:r w:rsidRPr="00A94916">
        <w:rPr>
          <w:rFonts w:ascii="Arial" w:hAnsi="Arial" w:cs="Arial"/>
          <w:i/>
          <w:iCs/>
          <w:sz w:val="20"/>
          <w:szCs w:val="20"/>
        </w:rPr>
        <w:t>Critical analysis of court-annexed mediation in promoting access to justice in Kenya</w:t>
      </w:r>
      <w:r w:rsidRPr="00A94916">
        <w:rPr>
          <w:rFonts w:ascii="Arial" w:hAnsi="Arial" w:cs="Arial"/>
          <w:sz w:val="20"/>
          <w:szCs w:val="20"/>
        </w:rPr>
        <w:t xml:space="preserve"> [Doctoral dissertation, University of Nairobi]. </w:t>
      </w:r>
    </w:p>
    <w:p w14:paraId="540D121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IRS. (2020). [Title of report or guideline on mediator neutrality]. Internal Revenue Service. (Note: Not in provided list; verify document title.) </w:t>
      </w:r>
    </w:p>
    <w:p w14:paraId="147B4AC2"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World Bank. (2017). </w:t>
      </w:r>
      <w:r w:rsidRPr="00A94916">
        <w:rPr>
          <w:rFonts w:ascii="Arial" w:hAnsi="Arial" w:cs="Arial"/>
          <w:i/>
          <w:iCs/>
          <w:sz w:val="20"/>
          <w:szCs w:val="20"/>
        </w:rPr>
        <w:t>Doing business: Resolving insolvency and tax disputes</w:t>
      </w:r>
      <w:r w:rsidRPr="00A94916">
        <w:rPr>
          <w:rFonts w:ascii="Arial" w:hAnsi="Arial" w:cs="Arial"/>
          <w:sz w:val="20"/>
          <w:szCs w:val="20"/>
        </w:rPr>
        <w:t xml:space="preserve">. [Publisher]. (Note: Not fully detailed in provided list; verify source details.) </w:t>
      </w:r>
    </w:p>
    <w:p w14:paraId="58EF9E8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Khan, A. (2022). Challenges on neutrality on arbitral tribunals. </w:t>
      </w:r>
      <w:r w:rsidRPr="00A94916">
        <w:rPr>
          <w:rFonts w:ascii="Arial" w:hAnsi="Arial" w:cs="Arial"/>
          <w:i/>
          <w:iCs/>
          <w:sz w:val="20"/>
          <w:szCs w:val="20"/>
        </w:rPr>
        <w:t>Indian Journal of Law and Legal Research, 4</w:t>
      </w:r>
      <w:r w:rsidRPr="00A94916">
        <w:rPr>
          <w:rFonts w:ascii="Arial" w:hAnsi="Arial" w:cs="Arial"/>
          <w:sz w:val="20"/>
          <w:szCs w:val="20"/>
        </w:rPr>
        <w:t xml:space="preserve">(1), 1. </w:t>
      </w:r>
    </w:p>
    <w:p w14:paraId="7BA0DD9B"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Chaisse</w:t>
      </w:r>
      <w:proofErr w:type="spellEnd"/>
      <w:r w:rsidRPr="00A94916">
        <w:rPr>
          <w:rFonts w:ascii="Arial" w:hAnsi="Arial" w:cs="Arial"/>
          <w:sz w:val="20"/>
          <w:szCs w:val="20"/>
        </w:rPr>
        <w:t xml:space="preserve">, J., &amp; Ji, X. (2023). Shaping the future of transnational tax dispute settlement: The path to mediation. </w:t>
      </w:r>
      <w:r w:rsidRPr="00A94916">
        <w:rPr>
          <w:rFonts w:ascii="Arial" w:hAnsi="Arial" w:cs="Arial"/>
          <w:i/>
          <w:iCs/>
          <w:sz w:val="20"/>
          <w:szCs w:val="20"/>
        </w:rPr>
        <w:t>Columbia Journal of Tax Law, 14</w:t>
      </w:r>
      <w:r w:rsidRPr="00A94916">
        <w:rPr>
          <w:rFonts w:ascii="Arial" w:hAnsi="Arial" w:cs="Arial"/>
          <w:sz w:val="20"/>
          <w:szCs w:val="20"/>
        </w:rPr>
        <w:t xml:space="preserve">, 30. </w:t>
      </w:r>
    </w:p>
    <w:p w14:paraId="6562713A"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Burte</w:t>
      </w:r>
      <w:proofErr w:type="spellEnd"/>
      <w:r w:rsidRPr="00A94916">
        <w:rPr>
          <w:rFonts w:ascii="Arial" w:hAnsi="Arial" w:cs="Arial"/>
          <w:sz w:val="20"/>
          <w:szCs w:val="20"/>
        </w:rPr>
        <w:t xml:space="preserve">, S. A., </w:t>
      </w:r>
      <w:proofErr w:type="spellStart"/>
      <w:r w:rsidRPr="00A94916">
        <w:rPr>
          <w:rFonts w:ascii="Arial" w:hAnsi="Arial" w:cs="Arial"/>
          <w:sz w:val="20"/>
          <w:szCs w:val="20"/>
        </w:rPr>
        <w:t>Shirke</w:t>
      </w:r>
      <w:proofErr w:type="spellEnd"/>
      <w:r w:rsidRPr="00A94916">
        <w:rPr>
          <w:rFonts w:ascii="Arial" w:hAnsi="Arial" w:cs="Arial"/>
          <w:sz w:val="20"/>
          <w:szCs w:val="20"/>
        </w:rPr>
        <w:t xml:space="preserve">, A., Chandrika, D. D. R., &amp; </w:t>
      </w:r>
      <w:proofErr w:type="spellStart"/>
      <w:r w:rsidRPr="00A94916">
        <w:rPr>
          <w:rFonts w:ascii="Arial" w:hAnsi="Arial" w:cs="Arial"/>
          <w:sz w:val="20"/>
          <w:szCs w:val="20"/>
        </w:rPr>
        <w:t>Baban</w:t>
      </w:r>
      <w:proofErr w:type="spellEnd"/>
      <w:r w:rsidRPr="00A94916">
        <w:rPr>
          <w:rFonts w:ascii="Arial" w:hAnsi="Arial" w:cs="Arial"/>
          <w:sz w:val="20"/>
          <w:szCs w:val="20"/>
        </w:rPr>
        <w:t xml:space="preserve">, G. D. (2024). Arbitration vs. litigation: Comparative analysis of outcomes and costs. </w:t>
      </w:r>
      <w:r w:rsidRPr="00A94916">
        <w:rPr>
          <w:rFonts w:ascii="Arial" w:hAnsi="Arial" w:cs="Arial"/>
          <w:i/>
          <w:iCs/>
          <w:sz w:val="20"/>
          <w:szCs w:val="20"/>
        </w:rPr>
        <w:t>Volume 4, Issue 4, March 2024</w:t>
      </w:r>
      <w:r w:rsidRPr="00A94916">
        <w:rPr>
          <w:rFonts w:ascii="Arial" w:hAnsi="Arial" w:cs="Arial"/>
          <w:sz w:val="20"/>
          <w:szCs w:val="20"/>
        </w:rPr>
        <w:t xml:space="preserve">. [Journal Name or Publisher]. (Note: Not fully detailed in provided list; verify source details.) </w:t>
      </w:r>
    </w:p>
    <w:p w14:paraId="0C9EA9E5"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Aliu</w:t>
      </w:r>
      <w:proofErr w:type="spellEnd"/>
      <w:r w:rsidRPr="00A94916">
        <w:rPr>
          <w:rFonts w:ascii="Arial" w:hAnsi="Arial" w:cs="Arial"/>
          <w:sz w:val="20"/>
          <w:szCs w:val="20"/>
        </w:rPr>
        <w:t xml:space="preserve">, G. (2024). Modern international tax dispute resolution—An African perspective on the mutual agreement procedure, arbitration, and the future. </w:t>
      </w:r>
      <w:proofErr w:type="spellStart"/>
      <w:r w:rsidRPr="00A94916">
        <w:rPr>
          <w:rFonts w:ascii="Arial" w:hAnsi="Arial" w:cs="Arial"/>
          <w:i/>
          <w:iCs/>
          <w:sz w:val="20"/>
          <w:szCs w:val="20"/>
        </w:rPr>
        <w:t>Intertax</w:t>
      </w:r>
      <w:proofErr w:type="spellEnd"/>
      <w:r w:rsidRPr="00A94916">
        <w:rPr>
          <w:rFonts w:ascii="Arial" w:hAnsi="Arial" w:cs="Arial"/>
          <w:i/>
          <w:iCs/>
          <w:sz w:val="20"/>
          <w:szCs w:val="20"/>
        </w:rPr>
        <w:t>, 52</w:t>
      </w:r>
      <w:r w:rsidRPr="00A94916">
        <w:rPr>
          <w:rFonts w:ascii="Arial" w:hAnsi="Arial" w:cs="Arial"/>
          <w:sz w:val="20"/>
          <w:szCs w:val="20"/>
        </w:rPr>
        <w:t xml:space="preserve">(6/7). </w:t>
      </w:r>
    </w:p>
    <w:p w14:paraId="3DE87847"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Hadylaya</w:t>
      </w:r>
      <w:proofErr w:type="spellEnd"/>
      <w:r w:rsidRPr="00A94916">
        <w:rPr>
          <w:rFonts w:ascii="Arial" w:hAnsi="Arial" w:cs="Arial"/>
          <w:sz w:val="20"/>
          <w:szCs w:val="20"/>
        </w:rPr>
        <w:t xml:space="preserve">, M. H. (2024). Harmonizing arbitration: Clarity, consistency, and consent in the application of ex </w:t>
      </w:r>
      <w:proofErr w:type="spellStart"/>
      <w:r w:rsidRPr="00A94916">
        <w:rPr>
          <w:rFonts w:ascii="Arial" w:hAnsi="Arial" w:cs="Arial"/>
          <w:sz w:val="20"/>
          <w:szCs w:val="20"/>
        </w:rPr>
        <w:t>aequo</w:t>
      </w:r>
      <w:proofErr w:type="spellEnd"/>
      <w:r w:rsidRPr="00A94916">
        <w:rPr>
          <w:rFonts w:ascii="Arial" w:hAnsi="Arial" w:cs="Arial"/>
          <w:sz w:val="20"/>
          <w:szCs w:val="20"/>
        </w:rPr>
        <w:t xml:space="preserve"> et bono. </w:t>
      </w:r>
      <w:proofErr w:type="spellStart"/>
      <w:r w:rsidRPr="00A94916">
        <w:rPr>
          <w:rFonts w:ascii="Arial" w:hAnsi="Arial" w:cs="Arial"/>
          <w:i/>
          <w:iCs/>
          <w:sz w:val="20"/>
          <w:szCs w:val="20"/>
        </w:rPr>
        <w:t>Jambura</w:t>
      </w:r>
      <w:proofErr w:type="spellEnd"/>
      <w:r w:rsidRPr="00A94916">
        <w:rPr>
          <w:rFonts w:ascii="Arial" w:hAnsi="Arial" w:cs="Arial"/>
          <w:i/>
          <w:iCs/>
          <w:sz w:val="20"/>
          <w:szCs w:val="20"/>
        </w:rPr>
        <w:t xml:space="preserve"> Law Review, 6</w:t>
      </w:r>
      <w:r w:rsidRPr="00A94916">
        <w:rPr>
          <w:rFonts w:ascii="Arial" w:hAnsi="Arial" w:cs="Arial"/>
          <w:sz w:val="20"/>
          <w:szCs w:val="20"/>
        </w:rPr>
        <w:t xml:space="preserve">(1), 88–101. </w:t>
      </w:r>
    </w:p>
    <w:p w14:paraId="1A5B1D94"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White and Case. (2021). </w:t>
      </w:r>
      <w:r w:rsidRPr="00A94916">
        <w:rPr>
          <w:rFonts w:ascii="Arial" w:hAnsi="Arial" w:cs="Arial"/>
          <w:i/>
          <w:iCs/>
          <w:sz w:val="20"/>
          <w:szCs w:val="20"/>
        </w:rPr>
        <w:t>2021 international arbitration survey: Adapting arbitration to a changing world</w:t>
      </w:r>
      <w:r w:rsidRPr="00A94916">
        <w:rPr>
          <w:rFonts w:ascii="Arial" w:hAnsi="Arial" w:cs="Arial"/>
          <w:sz w:val="20"/>
          <w:szCs w:val="20"/>
        </w:rPr>
        <w:t xml:space="preserve">. Retrieved from </w:t>
      </w:r>
      <w:hyperlink r:id="rId19" w:tgtFrame="_blank" w:history="1">
        <w:r w:rsidRPr="00A94916">
          <w:rPr>
            <w:rStyle w:val="Hyperlink"/>
            <w:rFonts w:ascii="Arial" w:hAnsi="Arial" w:cs="Arial"/>
            <w:color w:val="auto"/>
            <w:sz w:val="20"/>
            <w:szCs w:val="20"/>
          </w:rPr>
          <w:t>https://www.qmul.ac.uk/arbitration/media/arbitration/docs/LON0320037-QMUL-International-Arbitration-Survey-2021_19_WEB.pdf</w:t>
        </w:r>
      </w:hyperlink>
      <w:r w:rsidRPr="00A94916">
        <w:rPr>
          <w:rFonts w:ascii="Arial" w:hAnsi="Arial" w:cs="Arial"/>
          <w:sz w:val="20"/>
          <w:szCs w:val="20"/>
        </w:rPr>
        <w:t xml:space="preserve"> </w:t>
      </w:r>
    </w:p>
    <w:p w14:paraId="348A6BD1"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United Nations. (2017). </w:t>
      </w:r>
      <w:r w:rsidRPr="00A94916">
        <w:rPr>
          <w:rFonts w:ascii="Arial" w:hAnsi="Arial" w:cs="Arial"/>
          <w:i/>
          <w:iCs/>
          <w:sz w:val="20"/>
          <w:szCs w:val="20"/>
        </w:rPr>
        <w:t>Handbook on dispute avoidance and resolution</w:t>
      </w:r>
      <w:r w:rsidRPr="00A94916">
        <w:rPr>
          <w:rFonts w:ascii="Arial" w:hAnsi="Arial" w:cs="Arial"/>
          <w:sz w:val="20"/>
          <w:szCs w:val="20"/>
        </w:rPr>
        <w:t xml:space="preserve">. Retrieved from </w:t>
      </w:r>
      <w:hyperlink r:id="rId20" w:tgtFrame="_blank" w:history="1">
        <w:r w:rsidRPr="00A94916">
          <w:rPr>
            <w:rStyle w:val="Hyperlink"/>
            <w:rFonts w:ascii="Arial" w:hAnsi="Arial" w:cs="Arial"/>
            <w:color w:val="auto"/>
            <w:sz w:val="20"/>
            <w:szCs w:val="20"/>
          </w:rPr>
          <w:t>https://financing.desa.un.org/sites/default/files/2021-10/Dispute%20Avoidance%20and%20Resolution%20English.pdf</w:t>
        </w:r>
      </w:hyperlink>
      <w:r w:rsidRPr="00A94916">
        <w:rPr>
          <w:rFonts w:ascii="Arial" w:hAnsi="Arial" w:cs="Arial"/>
          <w:sz w:val="20"/>
          <w:szCs w:val="20"/>
        </w:rPr>
        <w:t xml:space="preserve"> </w:t>
      </w:r>
    </w:p>
    <w:p w14:paraId="3D56FB7B"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Business Daily. (2020). Eyes on </w:t>
      </w:r>
      <w:proofErr w:type="spellStart"/>
      <w:r w:rsidRPr="00A94916">
        <w:rPr>
          <w:rFonts w:ascii="Arial" w:hAnsi="Arial" w:cs="Arial"/>
          <w:sz w:val="20"/>
          <w:szCs w:val="20"/>
        </w:rPr>
        <w:t>Maraga</w:t>
      </w:r>
      <w:proofErr w:type="spellEnd"/>
      <w:r w:rsidRPr="00A94916">
        <w:rPr>
          <w:rFonts w:ascii="Arial" w:hAnsi="Arial" w:cs="Arial"/>
          <w:sz w:val="20"/>
          <w:szCs w:val="20"/>
        </w:rPr>
        <w:t xml:space="preserve"> to speed up resolution of business disputes. Retrieved from </w:t>
      </w:r>
      <w:hyperlink r:id="rId21" w:tgtFrame="_blank" w:history="1">
        <w:r w:rsidRPr="00A94916">
          <w:rPr>
            <w:rStyle w:val="Hyperlink"/>
            <w:rFonts w:ascii="Arial" w:hAnsi="Arial" w:cs="Arial"/>
            <w:color w:val="auto"/>
            <w:sz w:val="20"/>
            <w:szCs w:val="20"/>
          </w:rPr>
          <w:t>https://www.businessdailyafrica.com/bd/economy/eyes-on-maraga-to-speed-up-resolution-of-business-disputes-2129030</w:t>
        </w:r>
      </w:hyperlink>
      <w:r w:rsidRPr="00A94916">
        <w:rPr>
          <w:rFonts w:ascii="Arial" w:hAnsi="Arial" w:cs="Arial"/>
          <w:sz w:val="20"/>
          <w:szCs w:val="20"/>
        </w:rPr>
        <w:t xml:space="preserve"> </w:t>
      </w:r>
    </w:p>
    <w:p w14:paraId="4CFA6D42"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Bwari</w:t>
      </w:r>
      <w:proofErr w:type="spellEnd"/>
      <w:r w:rsidRPr="00A94916">
        <w:rPr>
          <w:rFonts w:ascii="Arial" w:hAnsi="Arial" w:cs="Arial"/>
          <w:sz w:val="20"/>
          <w:szCs w:val="20"/>
        </w:rPr>
        <w:t xml:space="preserve">, M. (2024). Arbitration in Kenya—A summary of the procedure. Retrieved from </w:t>
      </w:r>
      <w:hyperlink r:id="rId22" w:tgtFrame="_blank" w:history="1">
        <w:r w:rsidRPr="00A94916">
          <w:rPr>
            <w:rStyle w:val="Hyperlink"/>
            <w:rFonts w:ascii="Arial" w:hAnsi="Arial" w:cs="Arial"/>
            <w:color w:val="auto"/>
            <w:sz w:val="20"/>
            <w:szCs w:val="20"/>
          </w:rPr>
          <w:t>https://www.kairumccourt.com/news6.html</w:t>
        </w:r>
      </w:hyperlink>
      <w:r w:rsidRPr="00A94916">
        <w:rPr>
          <w:rFonts w:ascii="Arial" w:hAnsi="Arial" w:cs="Arial"/>
          <w:sz w:val="20"/>
          <w:szCs w:val="20"/>
        </w:rPr>
        <w:t xml:space="preserve"> </w:t>
      </w:r>
    </w:p>
    <w:p w14:paraId="3E3E5312"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Kumar, M., &amp; Gupta, A. (2021). Early neutral evaluation: A case for incorporation as an alternate dispute resolution mechanism in India. </w:t>
      </w:r>
      <w:r w:rsidRPr="00A94916">
        <w:rPr>
          <w:rFonts w:ascii="Arial" w:hAnsi="Arial" w:cs="Arial"/>
          <w:i/>
          <w:iCs/>
          <w:sz w:val="20"/>
          <w:szCs w:val="20"/>
        </w:rPr>
        <w:t>NUJS Journal on Dispute Resolution, 1</w:t>
      </w:r>
      <w:r w:rsidRPr="00A94916">
        <w:rPr>
          <w:rFonts w:ascii="Arial" w:hAnsi="Arial" w:cs="Arial"/>
          <w:sz w:val="20"/>
          <w:szCs w:val="20"/>
        </w:rPr>
        <w:t xml:space="preserve">(2). </w:t>
      </w:r>
    </w:p>
    <w:p w14:paraId="7805A810"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Odhiambo, J. (2021). Alternative dispute resolution and tax compliance in Kenya. </w:t>
      </w:r>
      <w:r w:rsidRPr="00A94916">
        <w:rPr>
          <w:rFonts w:ascii="Arial" w:hAnsi="Arial" w:cs="Arial"/>
          <w:i/>
          <w:iCs/>
          <w:sz w:val="20"/>
          <w:szCs w:val="20"/>
        </w:rPr>
        <w:t>University of Nairobi Law Review</w:t>
      </w:r>
      <w:r w:rsidRPr="00A94916">
        <w:rPr>
          <w:rFonts w:ascii="Arial" w:hAnsi="Arial" w:cs="Arial"/>
          <w:sz w:val="20"/>
          <w:szCs w:val="20"/>
        </w:rPr>
        <w:t xml:space="preserve">. [Issue and page numbers not provided]. (Note: Verify source details.) </w:t>
      </w:r>
    </w:p>
    <w:p w14:paraId="0C0D5571"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OECD. (2015). </w:t>
      </w:r>
      <w:r w:rsidRPr="00A94916">
        <w:rPr>
          <w:rFonts w:ascii="Arial" w:hAnsi="Arial" w:cs="Arial"/>
          <w:i/>
          <w:iCs/>
          <w:sz w:val="20"/>
          <w:szCs w:val="20"/>
        </w:rPr>
        <w:t>Building tax culture, compliance and citizenship: A global source book on taxpayer education</w:t>
      </w:r>
      <w:r w:rsidRPr="00A94916">
        <w:rPr>
          <w:rFonts w:ascii="Arial" w:hAnsi="Arial" w:cs="Arial"/>
          <w:sz w:val="20"/>
          <w:szCs w:val="20"/>
        </w:rPr>
        <w:t xml:space="preserve">. OECD Publishing. </w:t>
      </w:r>
    </w:p>
    <w:p w14:paraId="76938B9E"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Magalla</w:t>
      </w:r>
      <w:proofErr w:type="spellEnd"/>
      <w:r w:rsidRPr="00A94916">
        <w:rPr>
          <w:rFonts w:ascii="Arial" w:hAnsi="Arial" w:cs="Arial"/>
          <w:sz w:val="20"/>
          <w:szCs w:val="20"/>
        </w:rPr>
        <w:t xml:space="preserve">, A., &amp; Augustine, J. (2021). The law of alternative dispute resolution in tax disputes in Tanzania: A lesson from Australia. </w:t>
      </w:r>
      <w:r w:rsidRPr="00A94916">
        <w:rPr>
          <w:rFonts w:ascii="Arial" w:hAnsi="Arial" w:cs="Arial"/>
          <w:i/>
          <w:iCs/>
          <w:sz w:val="20"/>
          <w:szCs w:val="20"/>
        </w:rPr>
        <w:t>Journal of SSRN, 10</w:t>
      </w:r>
      <w:r w:rsidRPr="00A94916">
        <w:rPr>
          <w:rFonts w:ascii="Arial" w:hAnsi="Arial" w:cs="Arial"/>
          <w:sz w:val="20"/>
          <w:szCs w:val="20"/>
        </w:rPr>
        <w:t xml:space="preserve">(1), 1–53. </w:t>
      </w:r>
    </w:p>
    <w:p w14:paraId="156015C0"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Nissioti</w:t>
      </w:r>
      <w:proofErr w:type="spellEnd"/>
      <w:r w:rsidRPr="00A94916">
        <w:rPr>
          <w:rFonts w:ascii="Arial" w:hAnsi="Arial" w:cs="Arial"/>
          <w:sz w:val="20"/>
          <w:szCs w:val="20"/>
        </w:rPr>
        <w:t xml:space="preserve">, P. (2022). It takes three to tango: A behavioral analysis of the benefits of having a mediator in international disputes. </w:t>
      </w:r>
      <w:r w:rsidRPr="00A94916">
        <w:rPr>
          <w:rFonts w:ascii="Arial" w:hAnsi="Arial" w:cs="Arial"/>
          <w:i/>
          <w:iCs/>
          <w:sz w:val="20"/>
          <w:szCs w:val="20"/>
        </w:rPr>
        <w:t>German Law Journal, 23</w:t>
      </w:r>
      <w:r w:rsidRPr="00A94916">
        <w:rPr>
          <w:rFonts w:ascii="Arial" w:hAnsi="Arial" w:cs="Arial"/>
          <w:sz w:val="20"/>
          <w:szCs w:val="20"/>
        </w:rPr>
        <w:t xml:space="preserve">(3), 376–394. </w:t>
      </w:r>
    </w:p>
    <w:p w14:paraId="222F2937"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Adebiyi, O. O. (2023). Taxation in the digital age: An examination of the necessity, feasibility, and implications of taxing virtual infrastructures. </w:t>
      </w:r>
      <w:r w:rsidRPr="00A94916">
        <w:rPr>
          <w:rFonts w:ascii="Arial" w:hAnsi="Arial" w:cs="Arial"/>
          <w:i/>
          <w:iCs/>
          <w:sz w:val="20"/>
          <w:szCs w:val="20"/>
        </w:rPr>
        <w:t>Asian Journal of Economics, Business and Accounting, 23</w:t>
      </w:r>
      <w:r w:rsidRPr="00A94916">
        <w:rPr>
          <w:rFonts w:ascii="Arial" w:hAnsi="Arial" w:cs="Arial"/>
          <w:sz w:val="20"/>
          <w:szCs w:val="20"/>
        </w:rPr>
        <w:t xml:space="preserve">(23), 13–35. </w:t>
      </w:r>
    </w:p>
    <w:p w14:paraId="064CDAE1"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Katua</w:t>
      </w:r>
      <w:proofErr w:type="spellEnd"/>
      <w:r w:rsidRPr="00A94916">
        <w:rPr>
          <w:rFonts w:ascii="Arial" w:hAnsi="Arial" w:cs="Arial"/>
          <w:sz w:val="20"/>
          <w:szCs w:val="20"/>
        </w:rPr>
        <w:t xml:space="preserve">, C. M. (2019). </w:t>
      </w:r>
      <w:r w:rsidRPr="00A94916">
        <w:rPr>
          <w:rFonts w:ascii="Arial" w:hAnsi="Arial" w:cs="Arial"/>
          <w:i/>
          <w:iCs/>
          <w:sz w:val="20"/>
          <w:szCs w:val="20"/>
        </w:rPr>
        <w:t xml:space="preserve">Digitization of tax administration, technology and tax </w:t>
      </w:r>
      <w:r w:rsidRPr="00A94916">
        <w:rPr>
          <w:rFonts w:ascii="Arial" w:hAnsi="Arial" w:cs="Arial"/>
          <w:i/>
          <w:iCs/>
          <w:sz w:val="20"/>
          <w:szCs w:val="20"/>
        </w:rPr>
        <w:lastRenderedPageBreak/>
        <w:t>compliance by small and medium sized enterprises in Nairobi Central Business District</w:t>
      </w:r>
      <w:r w:rsidRPr="00A94916">
        <w:rPr>
          <w:rFonts w:ascii="Arial" w:hAnsi="Arial" w:cs="Arial"/>
          <w:sz w:val="20"/>
          <w:szCs w:val="20"/>
        </w:rPr>
        <w:t xml:space="preserve"> [Doctoral dissertation, University of Nairobi]. </w:t>
      </w:r>
    </w:p>
    <w:p w14:paraId="4D75B08C"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Olumbe</w:t>
      </w:r>
      <w:proofErr w:type="spellEnd"/>
      <w:r w:rsidRPr="00A94916">
        <w:rPr>
          <w:rFonts w:ascii="Arial" w:hAnsi="Arial" w:cs="Arial"/>
          <w:sz w:val="20"/>
          <w:szCs w:val="20"/>
        </w:rPr>
        <w:t xml:space="preserve">, L. (2018). Effects of communication channels on level of VAT compliance in Kenya: A survey of Nairobi Central District. [Journal Name or Publisher]. (Note: Not fully detailed in provided list; verify source details.) </w:t>
      </w:r>
    </w:p>
    <w:p w14:paraId="3702B749"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(2021). </w:t>
      </w:r>
      <w:r w:rsidRPr="00A94916">
        <w:rPr>
          <w:rFonts w:ascii="Arial" w:hAnsi="Arial" w:cs="Arial"/>
          <w:i/>
          <w:iCs/>
          <w:sz w:val="20"/>
          <w:szCs w:val="20"/>
        </w:rPr>
        <w:t>Annual tax summit report</w:t>
      </w:r>
      <w:r w:rsidRPr="00A94916">
        <w:rPr>
          <w:rFonts w:ascii="Arial" w:hAnsi="Arial" w:cs="Arial"/>
          <w:sz w:val="20"/>
          <w:szCs w:val="20"/>
        </w:rPr>
        <w:t xml:space="preserve">. Retrieved from </w:t>
      </w:r>
      <w:hyperlink r:id="rId23" w:tgtFrame="_blank" w:history="1">
        <w:r w:rsidRPr="00A94916">
          <w:rPr>
            <w:rStyle w:val="Hyperlink"/>
            <w:rFonts w:ascii="Arial" w:hAnsi="Arial" w:cs="Arial"/>
            <w:color w:val="auto"/>
            <w:sz w:val="20"/>
            <w:szCs w:val="20"/>
          </w:rPr>
          <w:t>https://www.kra.go.ke/images/publications/tHE-7th-Annual-Tax-Summit-Report-Final.pdf</w:t>
        </w:r>
      </w:hyperlink>
      <w:r w:rsidRPr="00A94916">
        <w:rPr>
          <w:rFonts w:ascii="Arial" w:hAnsi="Arial" w:cs="Arial"/>
          <w:sz w:val="20"/>
          <w:szCs w:val="20"/>
        </w:rPr>
        <w:t xml:space="preserve"> </w:t>
      </w:r>
    </w:p>
    <w:p w14:paraId="7E3E4FD8"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KRA. (2022). KRA records a 31% increase in the number of tax disputes resolved through alternative dispute resolution. Retrieved from </w:t>
      </w:r>
      <w:hyperlink r:id="rId24" w:tgtFrame="_blank" w:history="1">
        <w:r w:rsidRPr="00A94916">
          <w:rPr>
            <w:rStyle w:val="Hyperlink"/>
            <w:rFonts w:ascii="Arial" w:hAnsi="Arial" w:cs="Arial"/>
            <w:color w:val="auto"/>
            <w:sz w:val="20"/>
            <w:szCs w:val="20"/>
          </w:rPr>
          <w:t>https://www.kra.go.ke/news-center/press-release/1635-kra-records-a-31-increase-in-the-number-of-tax-disputes-resolved-through-alternative-dispute-resolution</w:t>
        </w:r>
      </w:hyperlink>
      <w:r w:rsidRPr="00A94916">
        <w:rPr>
          <w:rFonts w:ascii="Arial" w:hAnsi="Arial" w:cs="Arial"/>
          <w:sz w:val="20"/>
          <w:szCs w:val="20"/>
        </w:rPr>
        <w:t xml:space="preserve"> </w:t>
      </w:r>
    </w:p>
    <w:p w14:paraId="378A19FD" w14:textId="77777777" w:rsidR="00C92B4C" w:rsidRPr="00A94916" w:rsidRDefault="001C5306" w:rsidP="001C5306">
      <w:pPr>
        <w:pStyle w:val="ListParagraph"/>
        <w:numPr>
          <w:ilvl w:val="0"/>
          <w:numId w:val="7"/>
        </w:numPr>
        <w:rPr>
          <w:rFonts w:ascii="Arial" w:hAnsi="Arial" w:cs="Arial"/>
          <w:sz w:val="20"/>
          <w:szCs w:val="20"/>
        </w:rPr>
      </w:pPr>
      <w:proofErr w:type="spellStart"/>
      <w:r w:rsidRPr="00A94916">
        <w:rPr>
          <w:rFonts w:ascii="Arial" w:hAnsi="Arial" w:cs="Arial"/>
          <w:sz w:val="20"/>
          <w:szCs w:val="20"/>
        </w:rPr>
        <w:t>Ndung’u</w:t>
      </w:r>
      <w:proofErr w:type="spellEnd"/>
      <w:r w:rsidR="00C92B4C" w:rsidRPr="00A94916">
        <w:rPr>
          <w:rFonts w:ascii="Arial" w:hAnsi="Arial" w:cs="Arial"/>
          <w:sz w:val="20"/>
          <w:szCs w:val="20"/>
        </w:rPr>
        <w:t xml:space="preserve">, N., &amp; </w:t>
      </w:r>
      <w:proofErr w:type="spellStart"/>
      <w:r w:rsidR="00C92B4C" w:rsidRPr="00A94916">
        <w:rPr>
          <w:rFonts w:ascii="Arial" w:hAnsi="Arial" w:cs="Arial"/>
          <w:sz w:val="20"/>
          <w:szCs w:val="20"/>
        </w:rPr>
        <w:t>Olweny</w:t>
      </w:r>
      <w:proofErr w:type="spellEnd"/>
      <w:r w:rsidR="00C92B4C" w:rsidRPr="00A94916">
        <w:rPr>
          <w:rFonts w:ascii="Arial" w:hAnsi="Arial" w:cs="Arial"/>
          <w:sz w:val="20"/>
          <w:szCs w:val="20"/>
        </w:rPr>
        <w:t xml:space="preserve">, T. (2024). Effect of alternative dispute resolution on VAT compliance among tax agents in Nairobi County, Kenya. </w:t>
      </w:r>
      <w:r w:rsidR="00C92B4C" w:rsidRPr="00A94916">
        <w:rPr>
          <w:rFonts w:ascii="Arial" w:hAnsi="Arial" w:cs="Arial"/>
          <w:i/>
          <w:iCs/>
          <w:sz w:val="20"/>
          <w:szCs w:val="20"/>
        </w:rPr>
        <w:t>Journal of Finance and Accounting, 4</w:t>
      </w:r>
      <w:r w:rsidR="00C92B4C" w:rsidRPr="00A94916">
        <w:rPr>
          <w:rFonts w:ascii="Arial" w:hAnsi="Arial" w:cs="Arial"/>
          <w:sz w:val="20"/>
          <w:szCs w:val="20"/>
        </w:rPr>
        <w:t xml:space="preserve">(6), 26–35. </w:t>
      </w:r>
    </w:p>
    <w:p w14:paraId="4813D6F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Kinyua, L. N. (2021). </w:t>
      </w:r>
      <w:r w:rsidRPr="00A94916">
        <w:rPr>
          <w:rFonts w:ascii="Arial" w:hAnsi="Arial" w:cs="Arial"/>
          <w:i/>
          <w:iCs/>
          <w:sz w:val="20"/>
          <w:szCs w:val="20"/>
        </w:rPr>
        <w:t>Effect of alternative dispute resolution on tax revenue collection in Kenya</w:t>
      </w:r>
      <w:r w:rsidRPr="00A94916">
        <w:rPr>
          <w:rFonts w:ascii="Arial" w:hAnsi="Arial" w:cs="Arial"/>
          <w:sz w:val="20"/>
          <w:szCs w:val="20"/>
        </w:rPr>
        <w:t xml:space="preserve"> [Doctoral dissertation, Kenya School of Revenue Administration, Moi University]. </w:t>
      </w:r>
    </w:p>
    <w:p w14:paraId="3C2A1287"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Mayanja, S. N., </w:t>
      </w:r>
      <w:proofErr w:type="spellStart"/>
      <w:r w:rsidRPr="00A94916">
        <w:rPr>
          <w:rFonts w:ascii="Arial" w:hAnsi="Arial" w:cs="Arial"/>
          <w:sz w:val="20"/>
          <w:szCs w:val="20"/>
        </w:rPr>
        <w:t>Mahazi</w:t>
      </w:r>
      <w:proofErr w:type="spellEnd"/>
      <w:r w:rsidRPr="00A94916">
        <w:rPr>
          <w:rFonts w:ascii="Arial" w:hAnsi="Arial" w:cs="Arial"/>
          <w:sz w:val="20"/>
          <w:szCs w:val="20"/>
        </w:rPr>
        <w:t xml:space="preserve">, K., &amp; Daniel, T. (2020). Effect of tax dispute resolution mechanism on taxpayer’s compliance: The case of Rwanda. </w:t>
      </w:r>
      <w:r w:rsidRPr="00A94916">
        <w:rPr>
          <w:rFonts w:ascii="Arial" w:hAnsi="Arial" w:cs="Arial"/>
          <w:i/>
          <w:iCs/>
          <w:sz w:val="20"/>
          <w:szCs w:val="20"/>
        </w:rPr>
        <w:t>Science Journal of Business and Management, 8</w:t>
      </w:r>
      <w:r w:rsidRPr="00A94916">
        <w:rPr>
          <w:rFonts w:ascii="Arial" w:hAnsi="Arial" w:cs="Arial"/>
          <w:sz w:val="20"/>
          <w:szCs w:val="20"/>
        </w:rPr>
        <w:t xml:space="preserve">(2), 74. </w:t>
      </w:r>
    </w:p>
    <w:p w14:paraId="35158E40"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Warundu</w:t>
      </w:r>
      <w:proofErr w:type="spellEnd"/>
      <w:r w:rsidRPr="00A94916">
        <w:rPr>
          <w:rFonts w:ascii="Arial" w:hAnsi="Arial" w:cs="Arial"/>
          <w:sz w:val="20"/>
          <w:szCs w:val="20"/>
        </w:rPr>
        <w:t xml:space="preserve">, M. (2021). [Title of article or book on taxpayer education and compliance]. [Journal Name or Publisher]. (Note: Not in provided list; verify source details.) </w:t>
      </w:r>
    </w:p>
    <w:p w14:paraId="16FEF27D"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William, J. W., </w:t>
      </w:r>
      <w:proofErr w:type="spellStart"/>
      <w:r w:rsidRPr="00A94916">
        <w:rPr>
          <w:rFonts w:ascii="Arial" w:hAnsi="Arial" w:cs="Arial"/>
          <w:sz w:val="20"/>
          <w:szCs w:val="20"/>
        </w:rPr>
        <w:t>Mathuva</w:t>
      </w:r>
      <w:proofErr w:type="spellEnd"/>
      <w:r w:rsidRPr="00A94916">
        <w:rPr>
          <w:rFonts w:ascii="Arial" w:hAnsi="Arial" w:cs="Arial"/>
          <w:sz w:val="20"/>
          <w:szCs w:val="20"/>
        </w:rPr>
        <w:t xml:space="preserve">, E., &amp; Njoroge, C. (2022). Effect of tax knowledge on the alternative dispute resolution among </w:t>
      </w:r>
      <w:proofErr w:type="gramStart"/>
      <w:r w:rsidRPr="00A94916">
        <w:rPr>
          <w:rFonts w:ascii="Arial" w:hAnsi="Arial" w:cs="Arial"/>
          <w:sz w:val="20"/>
          <w:szCs w:val="20"/>
        </w:rPr>
        <w:t>three star</w:t>
      </w:r>
      <w:proofErr w:type="gramEnd"/>
      <w:r w:rsidRPr="00A94916">
        <w:rPr>
          <w:rFonts w:ascii="Arial" w:hAnsi="Arial" w:cs="Arial"/>
          <w:sz w:val="20"/>
          <w:szCs w:val="20"/>
        </w:rPr>
        <w:t xml:space="preserve"> hotels in Mombasa County, Kenya. [Journal Name or Publisher]. (Note: Not fully </w:t>
      </w:r>
      <w:r w:rsidRPr="00A94916">
        <w:rPr>
          <w:rFonts w:ascii="Arial" w:hAnsi="Arial" w:cs="Arial"/>
          <w:sz w:val="20"/>
          <w:szCs w:val="20"/>
        </w:rPr>
        <w:t xml:space="preserve">detailed in provided list; verify source details.) </w:t>
      </w:r>
    </w:p>
    <w:p w14:paraId="4DA95297"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Sidhu, A. (2023). Breaking barriers in order to access justice: Improving diversity in Canada’s mediation field. Retrieved from </w:t>
      </w:r>
      <w:hyperlink r:id="rId25" w:tgtFrame="_blank" w:history="1">
        <w:r w:rsidRPr="00A94916">
          <w:rPr>
            <w:rStyle w:val="Hyperlink"/>
            <w:rFonts w:ascii="Arial" w:hAnsi="Arial" w:cs="Arial"/>
            <w:color w:val="auto"/>
            <w:sz w:val="20"/>
            <w:szCs w:val="20"/>
          </w:rPr>
          <w:t>https://mediate.com/breaking-barriers-in-order-to-access-justice-improving-diversity-in-canadas-mediation-field</w:t>
        </w:r>
      </w:hyperlink>
      <w:r w:rsidRPr="00A94916">
        <w:rPr>
          <w:rFonts w:ascii="Arial" w:hAnsi="Arial" w:cs="Arial"/>
          <w:sz w:val="20"/>
          <w:szCs w:val="20"/>
        </w:rPr>
        <w:t xml:space="preserve"> </w:t>
      </w:r>
    </w:p>
    <w:p w14:paraId="73D258FF"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Beitzel</w:t>
      </w:r>
      <w:proofErr w:type="spellEnd"/>
      <w:r w:rsidRPr="00A94916">
        <w:rPr>
          <w:rFonts w:ascii="Arial" w:hAnsi="Arial" w:cs="Arial"/>
          <w:sz w:val="20"/>
          <w:szCs w:val="20"/>
        </w:rPr>
        <w:t xml:space="preserve">, T. (2019). Puzzles, problems and </w:t>
      </w:r>
      <w:proofErr w:type="spellStart"/>
      <w:r w:rsidRPr="00A94916">
        <w:rPr>
          <w:rFonts w:ascii="Arial" w:hAnsi="Arial" w:cs="Arial"/>
          <w:sz w:val="20"/>
          <w:szCs w:val="20"/>
        </w:rPr>
        <w:t>provention</w:t>
      </w:r>
      <w:proofErr w:type="spellEnd"/>
      <w:r w:rsidRPr="00A94916">
        <w:rPr>
          <w:rFonts w:ascii="Arial" w:hAnsi="Arial" w:cs="Arial"/>
          <w:sz w:val="20"/>
          <w:szCs w:val="20"/>
        </w:rPr>
        <w:t xml:space="preserve">: Burton and beyond. </w:t>
      </w:r>
      <w:r w:rsidRPr="00A94916">
        <w:rPr>
          <w:rFonts w:ascii="Arial" w:hAnsi="Arial" w:cs="Arial"/>
          <w:i/>
          <w:iCs/>
          <w:sz w:val="20"/>
          <w:szCs w:val="20"/>
        </w:rPr>
        <w:t>International Journal of Peace Studies, 24</w:t>
      </w:r>
      <w:r w:rsidRPr="00A94916">
        <w:rPr>
          <w:rFonts w:ascii="Arial" w:hAnsi="Arial" w:cs="Arial"/>
          <w:sz w:val="20"/>
          <w:szCs w:val="20"/>
        </w:rPr>
        <w:t xml:space="preserve">(1). </w:t>
      </w:r>
    </w:p>
    <w:p w14:paraId="67AD2F49"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Trebilcock</w:t>
      </w:r>
      <w:proofErr w:type="spellEnd"/>
      <w:r w:rsidRPr="00A94916">
        <w:rPr>
          <w:rFonts w:ascii="Arial" w:hAnsi="Arial" w:cs="Arial"/>
          <w:sz w:val="20"/>
          <w:szCs w:val="20"/>
        </w:rPr>
        <w:t xml:space="preserve">, M. J., &amp; </w:t>
      </w:r>
      <w:proofErr w:type="spellStart"/>
      <w:r w:rsidRPr="00A94916">
        <w:rPr>
          <w:rFonts w:ascii="Arial" w:hAnsi="Arial" w:cs="Arial"/>
          <w:sz w:val="20"/>
          <w:szCs w:val="20"/>
        </w:rPr>
        <w:t>Leng</w:t>
      </w:r>
      <w:proofErr w:type="spellEnd"/>
      <w:r w:rsidRPr="00A94916">
        <w:rPr>
          <w:rFonts w:ascii="Arial" w:hAnsi="Arial" w:cs="Arial"/>
          <w:sz w:val="20"/>
          <w:szCs w:val="20"/>
        </w:rPr>
        <w:t xml:space="preserve">, R. (2006). The role of dispute resolution in tax compliance. </w:t>
      </w:r>
      <w:r w:rsidRPr="00A94916">
        <w:rPr>
          <w:rFonts w:ascii="Arial" w:hAnsi="Arial" w:cs="Arial"/>
          <w:i/>
          <w:iCs/>
          <w:sz w:val="20"/>
          <w:szCs w:val="20"/>
        </w:rPr>
        <w:t>University of Toronto Law Journal, 56</w:t>
      </w:r>
      <w:r w:rsidRPr="00A94916">
        <w:rPr>
          <w:rFonts w:ascii="Arial" w:hAnsi="Arial" w:cs="Arial"/>
          <w:sz w:val="20"/>
          <w:szCs w:val="20"/>
        </w:rPr>
        <w:t xml:space="preserve">(2), 245–272. </w:t>
      </w:r>
    </w:p>
    <w:p w14:paraId="79FBFF13"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Tyler, T. R., &amp; Lind, E. A. (1992). A relational model of authority in groups. In </w:t>
      </w:r>
      <w:r w:rsidRPr="00A94916">
        <w:rPr>
          <w:rFonts w:ascii="Arial" w:hAnsi="Arial" w:cs="Arial"/>
          <w:i/>
          <w:iCs/>
          <w:sz w:val="20"/>
          <w:szCs w:val="20"/>
        </w:rPr>
        <w:t>Advances in experimental social psychology</w:t>
      </w:r>
      <w:r w:rsidRPr="00A94916">
        <w:rPr>
          <w:rFonts w:ascii="Arial" w:hAnsi="Arial" w:cs="Arial"/>
          <w:sz w:val="20"/>
          <w:szCs w:val="20"/>
        </w:rPr>
        <w:t xml:space="preserve"> (Vol. 25, pp. 115–191). Academic Press. </w:t>
      </w:r>
    </w:p>
    <w:p w14:paraId="537569E5"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Oxfam. (2022). </w:t>
      </w:r>
      <w:r w:rsidRPr="00A94916">
        <w:rPr>
          <w:rFonts w:ascii="Arial" w:hAnsi="Arial" w:cs="Arial"/>
          <w:i/>
          <w:iCs/>
          <w:sz w:val="20"/>
          <w:szCs w:val="20"/>
        </w:rPr>
        <w:t>An evaluation of taxpayer relations with the tax authorities in Kenya</w:t>
      </w:r>
      <w:r w:rsidRPr="00A94916">
        <w:rPr>
          <w:rFonts w:ascii="Arial" w:hAnsi="Arial" w:cs="Arial"/>
          <w:sz w:val="20"/>
          <w:szCs w:val="20"/>
        </w:rPr>
        <w:t xml:space="preserve">. Retrieved from </w:t>
      </w:r>
      <w:hyperlink r:id="rId26" w:tgtFrame="_blank" w:history="1">
        <w:r w:rsidRPr="00A94916">
          <w:rPr>
            <w:rStyle w:val="Hyperlink"/>
            <w:rFonts w:ascii="Arial" w:hAnsi="Arial" w:cs="Arial"/>
            <w:color w:val="auto"/>
            <w:sz w:val="20"/>
            <w:szCs w:val="20"/>
          </w:rPr>
          <w:t>https://kenya.oxfam.org/latest/publications/evaluation-taxpayer-relations-tax-authorities-kenya</w:t>
        </w:r>
      </w:hyperlink>
      <w:r w:rsidRPr="00A94916">
        <w:rPr>
          <w:rFonts w:ascii="Arial" w:hAnsi="Arial" w:cs="Arial"/>
          <w:sz w:val="20"/>
          <w:szCs w:val="20"/>
        </w:rPr>
        <w:t xml:space="preserve"> </w:t>
      </w:r>
    </w:p>
    <w:p w14:paraId="5A6C68E8" w14:textId="77777777" w:rsidR="00C92B4C"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Rawls, J. (1999). </w:t>
      </w:r>
      <w:r w:rsidRPr="00A94916">
        <w:rPr>
          <w:rFonts w:ascii="Arial" w:hAnsi="Arial" w:cs="Arial"/>
          <w:i/>
          <w:iCs/>
          <w:sz w:val="20"/>
          <w:szCs w:val="20"/>
        </w:rPr>
        <w:t>A theory of justice: Revised edition</w:t>
      </w:r>
      <w:r w:rsidRPr="00A94916">
        <w:rPr>
          <w:rFonts w:ascii="Arial" w:hAnsi="Arial" w:cs="Arial"/>
          <w:sz w:val="20"/>
          <w:szCs w:val="20"/>
        </w:rPr>
        <w:t xml:space="preserve">. Harvard University Press. </w:t>
      </w:r>
    </w:p>
    <w:p w14:paraId="0C0169A5"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Kahura</w:t>
      </w:r>
      <w:proofErr w:type="spellEnd"/>
      <w:r w:rsidRPr="00A94916">
        <w:rPr>
          <w:rFonts w:ascii="Arial" w:hAnsi="Arial" w:cs="Arial"/>
          <w:sz w:val="20"/>
          <w:szCs w:val="20"/>
        </w:rPr>
        <w:t xml:space="preserve">, S., </w:t>
      </w:r>
      <w:proofErr w:type="spellStart"/>
      <w:r w:rsidRPr="00A94916">
        <w:rPr>
          <w:rFonts w:ascii="Arial" w:hAnsi="Arial" w:cs="Arial"/>
          <w:sz w:val="20"/>
          <w:szCs w:val="20"/>
        </w:rPr>
        <w:t>Bradept</w:t>
      </w:r>
      <w:proofErr w:type="spellEnd"/>
      <w:r w:rsidRPr="00A94916">
        <w:rPr>
          <w:rFonts w:ascii="Arial" w:hAnsi="Arial" w:cs="Arial"/>
          <w:sz w:val="20"/>
          <w:szCs w:val="20"/>
        </w:rPr>
        <w:t xml:space="preserve">, F., &amp; </w:t>
      </w:r>
      <w:proofErr w:type="spellStart"/>
      <w:r w:rsidRPr="00A94916">
        <w:rPr>
          <w:rFonts w:ascii="Arial" w:hAnsi="Arial" w:cs="Arial"/>
          <w:sz w:val="20"/>
          <w:szCs w:val="20"/>
        </w:rPr>
        <w:t>Nyamari</w:t>
      </w:r>
      <w:proofErr w:type="spellEnd"/>
      <w:r w:rsidRPr="00A94916">
        <w:rPr>
          <w:rFonts w:ascii="Arial" w:hAnsi="Arial" w:cs="Arial"/>
          <w:sz w:val="20"/>
          <w:szCs w:val="20"/>
        </w:rPr>
        <w:t xml:space="preserve">, C. (2025). Mandatory binding tax treaty arbitration in the post-BEPS world: A good option for African countries? </w:t>
      </w:r>
      <w:r w:rsidRPr="00A94916">
        <w:rPr>
          <w:rFonts w:ascii="Arial" w:hAnsi="Arial" w:cs="Arial"/>
          <w:i/>
          <w:iCs/>
          <w:sz w:val="20"/>
          <w:szCs w:val="20"/>
        </w:rPr>
        <w:t>Available at SSRN 5162249</w:t>
      </w:r>
      <w:r w:rsidRPr="00A94916">
        <w:rPr>
          <w:rFonts w:ascii="Arial" w:hAnsi="Arial" w:cs="Arial"/>
          <w:sz w:val="20"/>
          <w:szCs w:val="20"/>
        </w:rPr>
        <w:t xml:space="preserve">. </w:t>
      </w:r>
    </w:p>
    <w:p w14:paraId="2D3E9EDB"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Ndegwa</w:t>
      </w:r>
      <w:proofErr w:type="spellEnd"/>
      <w:r w:rsidRPr="00A94916">
        <w:rPr>
          <w:rFonts w:ascii="Arial" w:hAnsi="Arial" w:cs="Arial"/>
          <w:sz w:val="20"/>
          <w:szCs w:val="20"/>
        </w:rPr>
        <w:t xml:space="preserve">, L. N., </w:t>
      </w:r>
      <w:proofErr w:type="spellStart"/>
      <w:r w:rsidRPr="00A94916">
        <w:rPr>
          <w:rFonts w:ascii="Arial" w:hAnsi="Arial" w:cs="Arial"/>
          <w:sz w:val="20"/>
          <w:szCs w:val="20"/>
        </w:rPr>
        <w:t>Rono</w:t>
      </w:r>
      <w:proofErr w:type="spellEnd"/>
      <w:r w:rsidRPr="00A94916">
        <w:rPr>
          <w:rFonts w:ascii="Arial" w:hAnsi="Arial" w:cs="Arial"/>
          <w:sz w:val="20"/>
          <w:szCs w:val="20"/>
        </w:rPr>
        <w:t xml:space="preserve">, L., &amp; </w:t>
      </w:r>
      <w:proofErr w:type="spellStart"/>
      <w:r w:rsidRPr="00A94916">
        <w:rPr>
          <w:rFonts w:ascii="Arial" w:hAnsi="Arial" w:cs="Arial"/>
          <w:sz w:val="20"/>
          <w:szCs w:val="20"/>
        </w:rPr>
        <w:t>Odunga</w:t>
      </w:r>
      <w:proofErr w:type="spellEnd"/>
      <w:r w:rsidRPr="00A94916">
        <w:rPr>
          <w:rFonts w:ascii="Arial" w:hAnsi="Arial" w:cs="Arial"/>
          <w:sz w:val="20"/>
          <w:szCs w:val="20"/>
        </w:rPr>
        <w:t xml:space="preserve">, R. (2025). Effect of dispute resolution mechanism reforms on rental income tax compliance among property owners in Ngong Town, Kenya. </w:t>
      </w:r>
      <w:r w:rsidRPr="00A94916">
        <w:rPr>
          <w:rFonts w:ascii="Arial" w:hAnsi="Arial" w:cs="Arial"/>
          <w:i/>
          <w:iCs/>
          <w:sz w:val="20"/>
          <w:szCs w:val="20"/>
        </w:rPr>
        <w:t>Journal of Finance and Accounting, 5</w:t>
      </w:r>
      <w:r w:rsidRPr="00A94916">
        <w:rPr>
          <w:rFonts w:ascii="Arial" w:hAnsi="Arial" w:cs="Arial"/>
          <w:sz w:val="20"/>
          <w:szCs w:val="20"/>
        </w:rPr>
        <w:t xml:space="preserve">(1), 1–11. </w:t>
      </w:r>
    </w:p>
    <w:p w14:paraId="56610F13" w14:textId="77777777" w:rsidR="00C92B4C" w:rsidRPr="00A94916" w:rsidRDefault="00C92B4C" w:rsidP="00C92B4C">
      <w:pPr>
        <w:pStyle w:val="ListParagraph"/>
        <w:numPr>
          <w:ilvl w:val="0"/>
          <w:numId w:val="7"/>
        </w:numPr>
        <w:rPr>
          <w:rFonts w:ascii="Arial" w:hAnsi="Arial" w:cs="Arial"/>
          <w:sz w:val="20"/>
          <w:szCs w:val="20"/>
        </w:rPr>
      </w:pPr>
      <w:proofErr w:type="spellStart"/>
      <w:r w:rsidRPr="00A94916">
        <w:rPr>
          <w:rFonts w:ascii="Arial" w:hAnsi="Arial" w:cs="Arial"/>
          <w:sz w:val="20"/>
          <w:szCs w:val="20"/>
        </w:rPr>
        <w:t>Rakibu</w:t>
      </w:r>
      <w:proofErr w:type="spellEnd"/>
      <w:r w:rsidRPr="00A94916">
        <w:rPr>
          <w:rFonts w:ascii="Arial" w:hAnsi="Arial" w:cs="Arial"/>
          <w:sz w:val="20"/>
          <w:szCs w:val="20"/>
        </w:rPr>
        <w:t xml:space="preserve">, J. (2025). [Title of article or book on tax literacy]. [Journal Name or Publisher]. (Note: Not in provided list; verify source details.) </w:t>
      </w:r>
    </w:p>
    <w:p w14:paraId="648C2BBC" w14:textId="77777777" w:rsidR="00E25E4D" w:rsidRPr="00A94916" w:rsidRDefault="00C92B4C" w:rsidP="00C92B4C">
      <w:pPr>
        <w:pStyle w:val="ListParagraph"/>
        <w:numPr>
          <w:ilvl w:val="0"/>
          <w:numId w:val="7"/>
        </w:numPr>
        <w:rPr>
          <w:rFonts w:ascii="Arial" w:hAnsi="Arial" w:cs="Arial"/>
          <w:sz w:val="20"/>
          <w:szCs w:val="20"/>
        </w:rPr>
      </w:pPr>
      <w:r w:rsidRPr="00A94916">
        <w:rPr>
          <w:rFonts w:ascii="Arial" w:hAnsi="Arial" w:cs="Arial"/>
          <w:sz w:val="20"/>
          <w:szCs w:val="20"/>
        </w:rPr>
        <w:t xml:space="preserve">Murphy, K. (2003). Procedural justice and tax compliance. </w:t>
      </w:r>
      <w:r w:rsidRPr="00A94916">
        <w:rPr>
          <w:rFonts w:ascii="Arial" w:hAnsi="Arial" w:cs="Arial"/>
          <w:i/>
          <w:iCs/>
          <w:sz w:val="20"/>
          <w:szCs w:val="20"/>
        </w:rPr>
        <w:t>Australian Journal of Social Issues, 38</w:t>
      </w:r>
      <w:r w:rsidRPr="00A94916">
        <w:rPr>
          <w:rFonts w:ascii="Arial" w:hAnsi="Arial" w:cs="Arial"/>
          <w:sz w:val="20"/>
          <w:szCs w:val="20"/>
        </w:rPr>
        <w:t>(3), 379–</w:t>
      </w:r>
      <w:proofErr w:type="gramStart"/>
      <w:r w:rsidRPr="00A94916">
        <w:rPr>
          <w:rFonts w:ascii="Arial" w:hAnsi="Arial" w:cs="Arial"/>
          <w:sz w:val="20"/>
          <w:szCs w:val="20"/>
        </w:rPr>
        <w:t>408.</w:t>
      </w:r>
      <w:r w:rsidR="00DA1428" w:rsidRPr="00A94916">
        <w:rPr>
          <w:rFonts w:ascii="Arial" w:hAnsi="Arial" w:cs="Arial"/>
          <w:sz w:val="20"/>
          <w:szCs w:val="20"/>
        </w:rPr>
        <w:t>.</w:t>
      </w:r>
      <w:proofErr w:type="gramEnd"/>
    </w:p>
    <w:sectPr w:rsidR="00E25E4D" w:rsidRPr="00A94916" w:rsidSect="00E118A9">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2820" w14:textId="77777777" w:rsidR="00002801" w:rsidRDefault="00002801" w:rsidP="00617D0B">
      <w:pPr>
        <w:spacing w:after="0" w:line="240" w:lineRule="auto"/>
      </w:pPr>
      <w:r>
        <w:separator/>
      </w:r>
    </w:p>
  </w:endnote>
  <w:endnote w:type="continuationSeparator" w:id="0">
    <w:p w14:paraId="4FFC1269" w14:textId="77777777" w:rsidR="00002801" w:rsidRDefault="00002801" w:rsidP="0061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F00" w14:textId="77777777" w:rsidR="009945E7" w:rsidRDefault="00994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E614" w14:textId="77777777" w:rsidR="009945E7" w:rsidRDefault="00994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FACA" w14:textId="1C80536D" w:rsidR="00C75C26" w:rsidRPr="009945E7" w:rsidRDefault="00C75C26" w:rsidP="009945E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F1E10" w14:textId="77777777" w:rsidR="00002801" w:rsidRDefault="00002801" w:rsidP="00617D0B">
      <w:pPr>
        <w:spacing w:after="0" w:line="240" w:lineRule="auto"/>
      </w:pPr>
      <w:r>
        <w:separator/>
      </w:r>
    </w:p>
  </w:footnote>
  <w:footnote w:type="continuationSeparator" w:id="0">
    <w:p w14:paraId="34907B2C" w14:textId="77777777" w:rsidR="00002801" w:rsidRDefault="00002801" w:rsidP="00617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B8EC" w14:textId="1E96CA75" w:rsidR="009945E7" w:rsidRDefault="009945E7">
    <w:pPr>
      <w:pStyle w:val="Header"/>
    </w:pPr>
    <w:r>
      <w:rPr>
        <w:noProof/>
      </w:rPr>
      <w:pict w14:anchorId="0403B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A210" w14:textId="4C5964E4" w:rsidR="009945E7" w:rsidRDefault="009945E7">
    <w:pPr>
      <w:pStyle w:val="Header"/>
    </w:pPr>
    <w:r>
      <w:rPr>
        <w:noProof/>
      </w:rPr>
      <w:pict w14:anchorId="0B1C0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9D41" w14:textId="5A861661" w:rsidR="00C75C26" w:rsidRPr="00296529" w:rsidRDefault="009945E7" w:rsidP="00B822DA">
    <w:pPr>
      <w:ind w:left="2160"/>
      <w:jc w:val="center"/>
      <w:rPr>
        <w:rFonts w:ascii="Times New Roman" w:eastAsia="Calibri" w:hAnsi="Times New Roman"/>
        <w:i/>
        <w:sz w:val="18"/>
      </w:rPr>
    </w:pPr>
    <w:r>
      <w:rPr>
        <w:noProof/>
      </w:rPr>
      <w:pict w14:anchorId="6F604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6187"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BE6B0DD" w14:textId="77777777" w:rsidR="00C75C26" w:rsidRPr="00296529" w:rsidRDefault="00C75C26" w:rsidP="00B822DA">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C1BD77E" w14:textId="77777777" w:rsidR="00C75C26" w:rsidRPr="00296529" w:rsidRDefault="00C75C26" w:rsidP="00B822DA">
    <w:pPr>
      <w:jc w:val="center"/>
      <w:rPr>
        <w:rFonts w:ascii="Times New Roman" w:eastAsia="Calibri" w:hAnsi="Times New Roman"/>
        <w:i/>
        <w:sz w:val="18"/>
      </w:rPr>
    </w:pPr>
    <w:r>
      <w:rPr>
        <w:rFonts w:ascii="Times New Roman" w:eastAsia="Calibri" w:hAnsi="Times New Roman"/>
        <w:i/>
        <w:sz w:val="18"/>
      </w:rPr>
      <w:t>.</w:t>
    </w:r>
  </w:p>
  <w:p w14:paraId="7326C201" w14:textId="77777777" w:rsidR="00C75C26" w:rsidRPr="00296529" w:rsidRDefault="00C75C26" w:rsidP="00B822DA">
    <w:pPr>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30ED9A46" w14:textId="77777777" w:rsidR="00C75C26" w:rsidRDefault="00C75C26" w:rsidP="00B822DA">
    <w:pPr>
      <w:jc w:val="center"/>
      <w:rPr>
        <w:rFonts w:ascii="Times New Roman" w:eastAsia="Calibri" w:hAnsi="Times New Roman"/>
        <w:i/>
        <w:sz w:val="18"/>
      </w:rPr>
    </w:pPr>
    <w:r w:rsidRPr="00296529">
      <w:rPr>
        <w:rFonts w:ascii="Times New Roman" w:eastAsia="Calibri" w:hAnsi="Times New Roman"/>
        <w:i/>
        <w:sz w:val="18"/>
      </w:rPr>
      <w:t xml:space="preserve">                     </w:t>
    </w:r>
  </w:p>
  <w:p w14:paraId="2644374A" w14:textId="77777777" w:rsidR="00C75C26" w:rsidRDefault="00C75C26" w:rsidP="00B822DA">
    <w:pPr>
      <w:tabs>
        <w:tab w:val="left" w:pos="2145"/>
      </w:tabs>
      <w:rPr>
        <w:rFonts w:ascii="Times New Roman" w:eastAsia="Calibri" w:hAnsi="Times New Roman"/>
        <w:i/>
        <w:sz w:val="18"/>
      </w:rPr>
    </w:pPr>
    <w:r>
      <w:rPr>
        <w:rFonts w:ascii="Times New Roman" w:eastAsia="Calibri" w:hAnsi="Times New Roman"/>
        <w:i/>
        <w:sz w:val="18"/>
      </w:rPr>
      <w:tab/>
      <w:t>.</w:t>
    </w:r>
  </w:p>
  <w:p w14:paraId="2209CCC7" w14:textId="77777777" w:rsidR="00C75C26" w:rsidRDefault="00C75C26">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0EC"/>
    <w:multiLevelType w:val="hybridMultilevel"/>
    <w:tmpl w:val="2EB6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E0E3F"/>
    <w:multiLevelType w:val="hybridMultilevel"/>
    <w:tmpl w:val="5FAA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6EC8"/>
    <w:multiLevelType w:val="hybridMultilevel"/>
    <w:tmpl w:val="886E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10823"/>
    <w:multiLevelType w:val="hybridMultilevel"/>
    <w:tmpl w:val="ACA821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F2C4587"/>
    <w:multiLevelType w:val="hybridMultilevel"/>
    <w:tmpl w:val="2714B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F42E1"/>
    <w:multiLevelType w:val="hybridMultilevel"/>
    <w:tmpl w:val="DEB68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C762B"/>
    <w:multiLevelType w:val="hybridMultilevel"/>
    <w:tmpl w:val="3BE8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506"/>
    <w:rsid w:val="00002801"/>
    <w:rsid w:val="00015EB4"/>
    <w:rsid w:val="00032A45"/>
    <w:rsid w:val="00032FBA"/>
    <w:rsid w:val="000570E1"/>
    <w:rsid w:val="00061DC1"/>
    <w:rsid w:val="00073DD4"/>
    <w:rsid w:val="000769C1"/>
    <w:rsid w:val="00090C2C"/>
    <w:rsid w:val="000C7677"/>
    <w:rsid w:val="000D0003"/>
    <w:rsid w:val="000E0715"/>
    <w:rsid w:val="000E338B"/>
    <w:rsid w:val="00133BC6"/>
    <w:rsid w:val="0013600B"/>
    <w:rsid w:val="00137583"/>
    <w:rsid w:val="00171DF3"/>
    <w:rsid w:val="00180506"/>
    <w:rsid w:val="001B4CB1"/>
    <w:rsid w:val="001B4DCE"/>
    <w:rsid w:val="001C50B6"/>
    <w:rsid w:val="001C5306"/>
    <w:rsid w:val="001C7B98"/>
    <w:rsid w:val="001D7DAD"/>
    <w:rsid w:val="001E53CE"/>
    <w:rsid w:val="00204D5E"/>
    <w:rsid w:val="00207CDC"/>
    <w:rsid w:val="00236D98"/>
    <w:rsid w:val="00251A62"/>
    <w:rsid w:val="002A6AAA"/>
    <w:rsid w:val="002E7AF5"/>
    <w:rsid w:val="002F4272"/>
    <w:rsid w:val="00335E48"/>
    <w:rsid w:val="00365FA9"/>
    <w:rsid w:val="00377093"/>
    <w:rsid w:val="003A1A3D"/>
    <w:rsid w:val="003B372C"/>
    <w:rsid w:val="0043375A"/>
    <w:rsid w:val="00447ACB"/>
    <w:rsid w:val="00454858"/>
    <w:rsid w:val="00470F45"/>
    <w:rsid w:val="004B5858"/>
    <w:rsid w:val="004D63F6"/>
    <w:rsid w:val="004F185C"/>
    <w:rsid w:val="004F7623"/>
    <w:rsid w:val="00511A0A"/>
    <w:rsid w:val="005265E1"/>
    <w:rsid w:val="005507E5"/>
    <w:rsid w:val="005558FB"/>
    <w:rsid w:val="00584FA5"/>
    <w:rsid w:val="005939A6"/>
    <w:rsid w:val="0060393E"/>
    <w:rsid w:val="00617D0B"/>
    <w:rsid w:val="006361AE"/>
    <w:rsid w:val="006550AE"/>
    <w:rsid w:val="00684F4E"/>
    <w:rsid w:val="006A5A50"/>
    <w:rsid w:val="006D4FC2"/>
    <w:rsid w:val="006F7A18"/>
    <w:rsid w:val="007172D1"/>
    <w:rsid w:val="00717990"/>
    <w:rsid w:val="00796FE8"/>
    <w:rsid w:val="007C5A61"/>
    <w:rsid w:val="007F550A"/>
    <w:rsid w:val="00831155"/>
    <w:rsid w:val="00873F51"/>
    <w:rsid w:val="0088770B"/>
    <w:rsid w:val="00893230"/>
    <w:rsid w:val="008A5E7D"/>
    <w:rsid w:val="008A62E2"/>
    <w:rsid w:val="008A748D"/>
    <w:rsid w:val="008D1D04"/>
    <w:rsid w:val="00926102"/>
    <w:rsid w:val="00973E58"/>
    <w:rsid w:val="009945E7"/>
    <w:rsid w:val="009C54D2"/>
    <w:rsid w:val="009D14C9"/>
    <w:rsid w:val="00A21348"/>
    <w:rsid w:val="00A25BEC"/>
    <w:rsid w:val="00A601E6"/>
    <w:rsid w:val="00A94916"/>
    <w:rsid w:val="00AC4056"/>
    <w:rsid w:val="00B03781"/>
    <w:rsid w:val="00B14BAA"/>
    <w:rsid w:val="00B40558"/>
    <w:rsid w:val="00B40EFA"/>
    <w:rsid w:val="00B56F79"/>
    <w:rsid w:val="00B70061"/>
    <w:rsid w:val="00B822DA"/>
    <w:rsid w:val="00B8650C"/>
    <w:rsid w:val="00BB448C"/>
    <w:rsid w:val="00BC0B81"/>
    <w:rsid w:val="00BF2366"/>
    <w:rsid w:val="00C10A60"/>
    <w:rsid w:val="00C12984"/>
    <w:rsid w:val="00C51D4D"/>
    <w:rsid w:val="00C75C26"/>
    <w:rsid w:val="00C8433E"/>
    <w:rsid w:val="00C92B4C"/>
    <w:rsid w:val="00CB6ACC"/>
    <w:rsid w:val="00CD5B7E"/>
    <w:rsid w:val="00CE4093"/>
    <w:rsid w:val="00D50BF2"/>
    <w:rsid w:val="00D54BF0"/>
    <w:rsid w:val="00D61ABA"/>
    <w:rsid w:val="00DA1428"/>
    <w:rsid w:val="00E118A9"/>
    <w:rsid w:val="00E23A3F"/>
    <w:rsid w:val="00E25E4D"/>
    <w:rsid w:val="00E32514"/>
    <w:rsid w:val="00EB52E6"/>
    <w:rsid w:val="00EB5E75"/>
    <w:rsid w:val="00EE3A33"/>
    <w:rsid w:val="00F10434"/>
    <w:rsid w:val="00FC13E2"/>
    <w:rsid w:val="00FD35E7"/>
    <w:rsid w:val="00FE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CA892"/>
  <w15:docId w15:val="{CF2B86B4-3200-4C8D-A406-8968784A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5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E25E4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E25E4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E25E4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E25E4D"/>
    <w:pPr>
      <w:ind w:left="720"/>
      <w:contextualSpacing/>
    </w:pPr>
  </w:style>
  <w:style w:type="paragraph" w:styleId="NormalWeb">
    <w:name w:val="Normal (Web)"/>
    <w:basedOn w:val="Normal"/>
    <w:uiPriority w:val="99"/>
    <w:semiHidden/>
    <w:unhideWhenUsed/>
    <w:rsid w:val="000E3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338B"/>
    <w:rPr>
      <w:b/>
      <w:bCs/>
    </w:rPr>
  </w:style>
  <w:style w:type="table" w:styleId="LightShading">
    <w:name w:val="Light Shading"/>
    <w:basedOn w:val="TableNormal"/>
    <w:uiPriority w:val="60"/>
    <w:rsid w:val="00236D9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B5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E6"/>
    <w:rPr>
      <w:rFonts w:ascii="Tahoma" w:hAnsi="Tahoma" w:cs="Tahoma"/>
      <w:sz w:val="16"/>
      <w:szCs w:val="16"/>
    </w:rPr>
  </w:style>
  <w:style w:type="paragraph" w:styleId="Footer">
    <w:name w:val="footer"/>
    <w:basedOn w:val="Normal"/>
    <w:link w:val="FooterChar"/>
    <w:uiPriority w:val="99"/>
    <w:unhideWhenUsed/>
    <w:rsid w:val="004D6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F6"/>
  </w:style>
  <w:style w:type="paragraph" w:styleId="Header">
    <w:name w:val="header"/>
    <w:basedOn w:val="Normal"/>
    <w:link w:val="HeaderChar"/>
    <w:uiPriority w:val="99"/>
    <w:unhideWhenUsed/>
    <w:rsid w:val="004D6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3F6"/>
  </w:style>
  <w:style w:type="character" w:styleId="LineNumber">
    <w:name w:val="line number"/>
    <w:basedOn w:val="DefaultParagraphFont"/>
    <w:uiPriority w:val="99"/>
    <w:semiHidden/>
    <w:unhideWhenUsed/>
    <w:rsid w:val="004D63F6"/>
  </w:style>
  <w:style w:type="character" w:styleId="Hyperlink">
    <w:name w:val="Hyperlink"/>
    <w:basedOn w:val="DefaultParagraphFont"/>
    <w:uiPriority w:val="99"/>
    <w:unhideWhenUsed/>
    <w:rsid w:val="00447ACB"/>
    <w:rPr>
      <w:color w:val="0000FF" w:themeColor="hyperlink"/>
      <w:u w:val="single"/>
    </w:rPr>
  </w:style>
  <w:style w:type="character" w:styleId="UnresolvedMention">
    <w:name w:val="Unresolved Mention"/>
    <w:basedOn w:val="DefaultParagraphFont"/>
    <w:uiPriority w:val="99"/>
    <w:semiHidden/>
    <w:unhideWhenUsed/>
    <w:rsid w:val="00032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3688">
      <w:bodyDiv w:val="1"/>
      <w:marLeft w:val="0"/>
      <w:marRight w:val="0"/>
      <w:marTop w:val="0"/>
      <w:marBottom w:val="0"/>
      <w:divBdr>
        <w:top w:val="none" w:sz="0" w:space="0" w:color="auto"/>
        <w:left w:val="none" w:sz="0" w:space="0" w:color="auto"/>
        <w:bottom w:val="none" w:sz="0" w:space="0" w:color="auto"/>
        <w:right w:val="none" w:sz="0" w:space="0" w:color="auto"/>
      </w:divBdr>
    </w:div>
    <w:div w:id="257561102">
      <w:bodyDiv w:val="1"/>
      <w:marLeft w:val="0"/>
      <w:marRight w:val="0"/>
      <w:marTop w:val="0"/>
      <w:marBottom w:val="0"/>
      <w:divBdr>
        <w:top w:val="none" w:sz="0" w:space="0" w:color="auto"/>
        <w:left w:val="none" w:sz="0" w:space="0" w:color="auto"/>
        <w:bottom w:val="none" w:sz="0" w:space="0" w:color="auto"/>
        <w:right w:val="none" w:sz="0" w:space="0" w:color="auto"/>
      </w:divBdr>
    </w:div>
    <w:div w:id="286738296">
      <w:bodyDiv w:val="1"/>
      <w:marLeft w:val="0"/>
      <w:marRight w:val="0"/>
      <w:marTop w:val="0"/>
      <w:marBottom w:val="0"/>
      <w:divBdr>
        <w:top w:val="none" w:sz="0" w:space="0" w:color="auto"/>
        <w:left w:val="none" w:sz="0" w:space="0" w:color="auto"/>
        <w:bottom w:val="none" w:sz="0" w:space="0" w:color="auto"/>
        <w:right w:val="none" w:sz="0" w:space="0" w:color="auto"/>
      </w:divBdr>
    </w:div>
    <w:div w:id="321353008">
      <w:bodyDiv w:val="1"/>
      <w:marLeft w:val="0"/>
      <w:marRight w:val="0"/>
      <w:marTop w:val="0"/>
      <w:marBottom w:val="0"/>
      <w:divBdr>
        <w:top w:val="none" w:sz="0" w:space="0" w:color="auto"/>
        <w:left w:val="none" w:sz="0" w:space="0" w:color="auto"/>
        <w:bottom w:val="none" w:sz="0" w:space="0" w:color="auto"/>
        <w:right w:val="none" w:sz="0" w:space="0" w:color="auto"/>
      </w:divBdr>
    </w:div>
    <w:div w:id="332343899">
      <w:bodyDiv w:val="1"/>
      <w:marLeft w:val="0"/>
      <w:marRight w:val="0"/>
      <w:marTop w:val="0"/>
      <w:marBottom w:val="0"/>
      <w:divBdr>
        <w:top w:val="none" w:sz="0" w:space="0" w:color="auto"/>
        <w:left w:val="none" w:sz="0" w:space="0" w:color="auto"/>
        <w:bottom w:val="none" w:sz="0" w:space="0" w:color="auto"/>
        <w:right w:val="none" w:sz="0" w:space="0" w:color="auto"/>
      </w:divBdr>
    </w:div>
    <w:div w:id="400372042">
      <w:bodyDiv w:val="1"/>
      <w:marLeft w:val="0"/>
      <w:marRight w:val="0"/>
      <w:marTop w:val="0"/>
      <w:marBottom w:val="0"/>
      <w:divBdr>
        <w:top w:val="none" w:sz="0" w:space="0" w:color="auto"/>
        <w:left w:val="none" w:sz="0" w:space="0" w:color="auto"/>
        <w:bottom w:val="none" w:sz="0" w:space="0" w:color="auto"/>
        <w:right w:val="none" w:sz="0" w:space="0" w:color="auto"/>
      </w:divBdr>
    </w:div>
    <w:div w:id="569657697">
      <w:bodyDiv w:val="1"/>
      <w:marLeft w:val="0"/>
      <w:marRight w:val="0"/>
      <w:marTop w:val="0"/>
      <w:marBottom w:val="0"/>
      <w:divBdr>
        <w:top w:val="none" w:sz="0" w:space="0" w:color="auto"/>
        <w:left w:val="none" w:sz="0" w:space="0" w:color="auto"/>
        <w:bottom w:val="none" w:sz="0" w:space="0" w:color="auto"/>
        <w:right w:val="none" w:sz="0" w:space="0" w:color="auto"/>
      </w:divBdr>
    </w:div>
    <w:div w:id="622033786">
      <w:bodyDiv w:val="1"/>
      <w:marLeft w:val="0"/>
      <w:marRight w:val="0"/>
      <w:marTop w:val="0"/>
      <w:marBottom w:val="0"/>
      <w:divBdr>
        <w:top w:val="none" w:sz="0" w:space="0" w:color="auto"/>
        <w:left w:val="none" w:sz="0" w:space="0" w:color="auto"/>
        <w:bottom w:val="none" w:sz="0" w:space="0" w:color="auto"/>
        <w:right w:val="none" w:sz="0" w:space="0" w:color="auto"/>
      </w:divBdr>
    </w:div>
    <w:div w:id="679770239">
      <w:bodyDiv w:val="1"/>
      <w:marLeft w:val="0"/>
      <w:marRight w:val="0"/>
      <w:marTop w:val="0"/>
      <w:marBottom w:val="0"/>
      <w:divBdr>
        <w:top w:val="none" w:sz="0" w:space="0" w:color="auto"/>
        <w:left w:val="none" w:sz="0" w:space="0" w:color="auto"/>
        <w:bottom w:val="none" w:sz="0" w:space="0" w:color="auto"/>
        <w:right w:val="none" w:sz="0" w:space="0" w:color="auto"/>
      </w:divBdr>
    </w:div>
    <w:div w:id="682244060">
      <w:bodyDiv w:val="1"/>
      <w:marLeft w:val="0"/>
      <w:marRight w:val="0"/>
      <w:marTop w:val="0"/>
      <w:marBottom w:val="0"/>
      <w:divBdr>
        <w:top w:val="none" w:sz="0" w:space="0" w:color="auto"/>
        <w:left w:val="none" w:sz="0" w:space="0" w:color="auto"/>
        <w:bottom w:val="none" w:sz="0" w:space="0" w:color="auto"/>
        <w:right w:val="none" w:sz="0" w:space="0" w:color="auto"/>
      </w:divBdr>
    </w:div>
    <w:div w:id="800610458">
      <w:bodyDiv w:val="1"/>
      <w:marLeft w:val="0"/>
      <w:marRight w:val="0"/>
      <w:marTop w:val="0"/>
      <w:marBottom w:val="0"/>
      <w:divBdr>
        <w:top w:val="none" w:sz="0" w:space="0" w:color="auto"/>
        <w:left w:val="none" w:sz="0" w:space="0" w:color="auto"/>
        <w:bottom w:val="none" w:sz="0" w:space="0" w:color="auto"/>
        <w:right w:val="none" w:sz="0" w:space="0" w:color="auto"/>
      </w:divBdr>
    </w:div>
    <w:div w:id="910969827">
      <w:bodyDiv w:val="1"/>
      <w:marLeft w:val="0"/>
      <w:marRight w:val="0"/>
      <w:marTop w:val="0"/>
      <w:marBottom w:val="0"/>
      <w:divBdr>
        <w:top w:val="none" w:sz="0" w:space="0" w:color="auto"/>
        <w:left w:val="none" w:sz="0" w:space="0" w:color="auto"/>
        <w:bottom w:val="none" w:sz="0" w:space="0" w:color="auto"/>
        <w:right w:val="none" w:sz="0" w:space="0" w:color="auto"/>
      </w:divBdr>
    </w:div>
    <w:div w:id="974915324">
      <w:bodyDiv w:val="1"/>
      <w:marLeft w:val="0"/>
      <w:marRight w:val="0"/>
      <w:marTop w:val="0"/>
      <w:marBottom w:val="0"/>
      <w:divBdr>
        <w:top w:val="none" w:sz="0" w:space="0" w:color="auto"/>
        <w:left w:val="none" w:sz="0" w:space="0" w:color="auto"/>
        <w:bottom w:val="none" w:sz="0" w:space="0" w:color="auto"/>
        <w:right w:val="none" w:sz="0" w:space="0" w:color="auto"/>
      </w:divBdr>
    </w:div>
    <w:div w:id="1116097716">
      <w:bodyDiv w:val="1"/>
      <w:marLeft w:val="0"/>
      <w:marRight w:val="0"/>
      <w:marTop w:val="0"/>
      <w:marBottom w:val="0"/>
      <w:divBdr>
        <w:top w:val="none" w:sz="0" w:space="0" w:color="auto"/>
        <w:left w:val="none" w:sz="0" w:space="0" w:color="auto"/>
        <w:bottom w:val="none" w:sz="0" w:space="0" w:color="auto"/>
        <w:right w:val="none" w:sz="0" w:space="0" w:color="auto"/>
      </w:divBdr>
    </w:div>
    <w:div w:id="1210801182">
      <w:bodyDiv w:val="1"/>
      <w:marLeft w:val="0"/>
      <w:marRight w:val="0"/>
      <w:marTop w:val="0"/>
      <w:marBottom w:val="0"/>
      <w:divBdr>
        <w:top w:val="none" w:sz="0" w:space="0" w:color="auto"/>
        <w:left w:val="none" w:sz="0" w:space="0" w:color="auto"/>
        <w:bottom w:val="none" w:sz="0" w:space="0" w:color="auto"/>
        <w:right w:val="none" w:sz="0" w:space="0" w:color="auto"/>
      </w:divBdr>
    </w:div>
    <w:div w:id="1465848309">
      <w:bodyDiv w:val="1"/>
      <w:marLeft w:val="0"/>
      <w:marRight w:val="0"/>
      <w:marTop w:val="0"/>
      <w:marBottom w:val="0"/>
      <w:divBdr>
        <w:top w:val="none" w:sz="0" w:space="0" w:color="auto"/>
        <w:left w:val="none" w:sz="0" w:space="0" w:color="auto"/>
        <w:bottom w:val="none" w:sz="0" w:space="0" w:color="auto"/>
        <w:right w:val="none" w:sz="0" w:space="0" w:color="auto"/>
      </w:divBdr>
    </w:div>
    <w:div w:id="1543785666">
      <w:bodyDiv w:val="1"/>
      <w:marLeft w:val="0"/>
      <w:marRight w:val="0"/>
      <w:marTop w:val="0"/>
      <w:marBottom w:val="0"/>
      <w:divBdr>
        <w:top w:val="none" w:sz="0" w:space="0" w:color="auto"/>
        <w:left w:val="none" w:sz="0" w:space="0" w:color="auto"/>
        <w:bottom w:val="none" w:sz="0" w:space="0" w:color="auto"/>
        <w:right w:val="none" w:sz="0" w:space="0" w:color="auto"/>
      </w:divBdr>
    </w:div>
    <w:div w:id="1784573163">
      <w:bodyDiv w:val="1"/>
      <w:marLeft w:val="0"/>
      <w:marRight w:val="0"/>
      <w:marTop w:val="0"/>
      <w:marBottom w:val="0"/>
      <w:divBdr>
        <w:top w:val="none" w:sz="0" w:space="0" w:color="auto"/>
        <w:left w:val="none" w:sz="0" w:space="0" w:color="auto"/>
        <w:bottom w:val="none" w:sz="0" w:space="0" w:color="auto"/>
        <w:right w:val="none" w:sz="0" w:space="0" w:color="auto"/>
      </w:divBdr>
    </w:div>
    <w:div w:id="1813138058">
      <w:bodyDiv w:val="1"/>
      <w:marLeft w:val="0"/>
      <w:marRight w:val="0"/>
      <w:marTop w:val="0"/>
      <w:marBottom w:val="0"/>
      <w:divBdr>
        <w:top w:val="none" w:sz="0" w:space="0" w:color="auto"/>
        <w:left w:val="none" w:sz="0" w:space="0" w:color="auto"/>
        <w:bottom w:val="none" w:sz="0" w:space="0" w:color="auto"/>
        <w:right w:val="none" w:sz="0" w:space="0" w:color="auto"/>
      </w:divBdr>
    </w:div>
    <w:div w:id="2012560383">
      <w:bodyDiv w:val="1"/>
      <w:marLeft w:val="0"/>
      <w:marRight w:val="0"/>
      <w:marTop w:val="0"/>
      <w:marBottom w:val="0"/>
      <w:divBdr>
        <w:top w:val="none" w:sz="0" w:space="0" w:color="auto"/>
        <w:left w:val="none" w:sz="0" w:space="0" w:color="auto"/>
        <w:bottom w:val="none" w:sz="0" w:space="0" w:color="auto"/>
        <w:right w:val="none" w:sz="0" w:space="0" w:color="auto"/>
      </w:divBdr>
    </w:div>
    <w:div w:id="20573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library.imf.org/downloadpdf/view/journals/001/2025/017/001.2025.issue-017-en.pdf" TargetMode="External"/><Relationship Id="rId26" Type="http://schemas.openxmlformats.org/officeDocument/2006/relationships/hyperlink" Target="https://kenya.oxfam.org/latest/publications/evaluation-taxpayer-relations-tax-authorities-kenya" TargetMode="External"/><Relationship Id="rId3" Type="http://schemas.openxmlformats.org/officeDocument/2006/relationships/styles" Target="styles.xml"/><Relationship Id="rId21" Type="http://schemas.openxmlformats.org/officeDocument/2006/relationships/hyperlink" Target="https://www.businessdailyafrica.com/bd/economy/eyes-on-maraga-to-speed-up-resolution-of-business-disputes-212903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bfd.org/sites/default/files/2021-05/20_007_Flexible_Multi_Tier_Dispute_Resolution_in_International_Tax_Disputes_final_web.pdf" TargetMode="External"/><Relationship Id="rId25" Type="http://schemas.openxmlformats.org/officeDocument/2006/relationships/hyperlink" Target="https://mediate.com/breaking-barriers-in-order-to-access-justice-improving-diversity-in-canadas-mediation-field" TargetMode="External"/><Relationship Id="rId2" Type="http://schemas.openxmlformats.org/officeDocument/2006/relationships/numbering" Target="numbering.xml"/><Relationship Id="rId16" Type="http://schemas.openxmlformats.org/officeDocument/2006/relationships/hyperlink" Target="https://www.kra.go.ke/news-center/press-release/1168-kra-collects-kshs-21b-from-alternative-disputes-resolution" TargetMode="External"/><Relationship Id="rId20" Type="http://schemas.openxmlformats.org/officeDocument/2006/relationships/hyperlink" Target="https://financing.desa.un.org/sites/default/files/2021-10/Dispute%20Avoidance%20and%20Resolution%20Engl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kra.go.ke/news-center/press-release/1635-kra-records-a-31-increase-in-the-number-of-tax-disputes-resolved-through-alternative-dispute-resolution" TargetMode="External"/><Relationship Id="rId5" Type="http://schemas.openxmlformats.org/officeDocument/2006/relationships/webSettings" Target="webSettings.xml"/><Relationship Id="rId15" Type="http://schemas.openxmlformats.org/officeDocument/2006/relationships/hyperlink" Target="https://ncia.or.ke/wp-content/uploads/2024/09/ADR-Case-Digest-2024.pdf" TargetMode="External"/><Relationship Id="rId23" Type="http://schemas.openxmlformats.org/officeDocument/2006/relationships/hyperlink" Target="https://www.kra.go.ke/images/publications/tHE-7th-Annual-Tax-Summit-Report-Final.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qmul.ac.uk/arbitration/media/arbitration/docs/LON0320037-QMUL-International-Arbitration-Survey-2021_19_WEB.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itanlaw.co.zw/news/the-effectiveness-of-litigation-vs-alternative-dispute-resolution" TargetMode="External"/><Relationship Id="rId22" Type="http://schemas.openxmlformats.org/officeDocument/2006/relationships/hyperlink" Target="https://www.kairumccourt.com/news6.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390D-782B-4A2D-86CD-E9B5DFFD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7536</Words>
  <Characters>42956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10</cp:revision>
  <cp:lastPrinted>2025-05-30T04:28:00Z</cp:lastPrinted>
  <dcterms:created xsi:type="dcterms:W3CDTF">2025-09-30T16:40:00Z</dcterms:created>
  <dcterms:modified xsi:type="dcterms:W3CDTF">2025-10-11T10:00:00Z</dcterms:modified>
</cp:coreProperties>
</file>