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AF04B" w14:textId="77777777" w:rsidR="0054039C" w:rsidRDefault="0054039C" w:rsidP="00372EAC">
      <w:pPr>
        <w:spacing w:after="120"/>
        <w:jc w:val="right"/>
        <w:outlineLvl w:val="0"/>
        <w:rPr>
          <w:rFonts w:ascii="Times New Roman" w:eastAsia="Times New Roman" w:hAnsi="Times New Roman" w:cs="Times New Roman"/>
          <w:b/>
          <w:bCs/>
          <w:kern w:val="36"/>
          <w:sz w:val="48"/>
          <w:szCs w:val="48"/>
        </w:rPr>
      </w:pPr>
      <w:r w:rsidRPr="0054039C">
        <w:rPr>
          <w:rFonts w:ascii="Times New Roman" w:eastAsia="Times New Roman" w:hAnsi="Times New Roman" w:cs="Times New Roman"/>
          <w:b/>
          <w:bCs/>
          <w:kern w:val="36"/>
          <w:sz w:val="48"/>
          <w:szCs w:val="48"/>
        </w:rPr>
        <w:t>Transforming MSMEs in Bali through Circular Economy and Green Innovation: Pathways to Social Sustainability</w:t>
      </w:r>
    </w:p>
    <w:p w14:paraId="55DD4ACD" w14:textId="77777777" w:rsidR="00145C3A" w:rsidRPr="0054039C" w:rsidRDefault="00145C3A" w:rsidP="00372EAC">
      <w:pPr>
        <w:spacing w:after="120"/>
        <w:jc w:val="right"/>
        <w:outlineLvl w:val="0"/>
        <w:rPr>
          <w:rFonts w:ascii="Times New Roman" w:eastAsia="Times New Roman" w:hAnsi="Times New Roman" w:cs="Times New Roman"/>
          <w:b/>
          <w:bCs/>
          <w:kern w:val="36"/>
          <w:sz w:val="48"/>
          <w:szCs w:val="48"/>
        </w:rPr>
      </w:pPr>
    </w:p>
    <w:p w14:paraId="12307AFA" w14:textId="68EA8463" w:rsidR="00372EAC" w:rsidRDefault="000564AC" w:rsidP="00372EAC">
      <w:pPr>
        <w:spacing w:after="120"/>
        <w:jc w:val="both"/>
        <w:outlineLvl w:val="1"/>
        <w:rPr>
          <w:rFonts w:ascii="Arial" w:hAnsi="Arial" w:cs="Arial"/>
          <w:b/>
          <w:bCs/>
          <w:sz w:val="22"/>
          <w:szCs w:val="22"/>
        </w:rPr>
      </w:pPr>
      <w:bookmarkStart w:id="0" w:name="_GoBack"/>
      <w:bookmarkEnd w:id="0"/>
      <w:r>
        <w:rPr>
          <w:rFonts w:ascii="Times New Roman" w:eastAsia="Times New Roman" w:hAnsi="Times New Roman" w:cs="Times New Roman"/>
          <w:noProof/>
        </w:rPr>
        <w:pict w14:anchorId="07E5B351">
          <v:rect id="_x0000_i1025" alt="" style="width:468pt;height:.05pt;mso-width-percent:0;mso-height-percent:0;mso-width-percent:0;mso-height-percent:0" o:hralign="center" o:hrstd="t" o:hr="t" fillcolor="#a0a0a0" stroked="f"/>
        </w:pict>
      </w:r>
    </w:p>
    <w:p w14:paraId="287766A4" w14:textId="5A42A378" w:rsidR="00372EAC" w:rsidRDefault="00372EAC" w:rsidP="00372EAC">
      <w:pPr>
        <w:spacing w:after="120"/>
        <w:jc w:val="both"/>
        <w:outlineLvl w:val="1"/>
        <w:rPr>
          <w:rFonts w:ascii="Arial" w:hAnsi="Arial" w:cs="Arial"/>
          <w:b/>
          <w:bCs/>
          <w:sz w:val="22"/>
          <w:szCs w:val="22"/>
        </w:rPr>
      </w:pPr>
      <w:r w:rsidRPr="00372EAC">
        <w:rPr>
          <w:rFonts w:ascii="Arial" w:hAnsi="Arial" w:cs="Arial"/>
          <w:b/>
          <w:bCs/>
          <w:sz w:val="22"/>
          <w:szCs w:val="22"/>
        </w:rPr>
        <w:t>ABSTRACT</w:t>
      </w:r>
    </w:p>
    <w:tbl>
      <w:tblPr>
        <w:tblW w:w="94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372EAC" w14:paraId="68372280" w14:textId="77777777" w:rsidTr="00372EAC">
        <w:trPr>
          <w:trHeight w:val="1184"/>
        </w:trPr>
        <w:tc>
          <w:tcPr>
            <w:tcW w:w="9408" w:type="dxa"/>
          </w:tcPr>
          <w:p w14:paraId="02A0A719" w14:textId="7331B16E" w:rsidR="00372EAC" w:rsidRPr="00372EAC" w:rsidRDefault="00372EA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Micro, Small, and Medium Enterprises (MSMEs) play a pivotal role in sustaining Bali’s economy, particularly within the tourism and creative industries. However, global challenges, including climate change, environmental degradation, and evolving consumer preferences, demand new models of business sustainability. This study investigates the transformation of Balinese MSMEs through the adoption of circular economy (CE) practices and green innovation (GI) strategies, and their influence on social sustainability (SS). Using a quantitative approach</w:t>
            </w:r>
            <w:r>
              <w:rPr>
                <w:rFonts w:ascii="Arial" w:eastAsia="Times New Roman" w:hAnsi="Arial" w:cs="Arial"/>
                <w:sz w:val="22"/>
                <w:szCs w:val="22"/>
              </w:rPr>
              <w:t xml:space="preserve"> </w:t>
            </w:r>
            <w:r w:rsidRPr="00372EAC">
              <w:rPr>
                <w:rFonts w:ascii="Arial" w:eastAsia="Times New Roman" w:hAnsi="Arial" w:cs="Arial"/>
                <w:sz w:val="22"/>
                <w:szCs w:val="22"/>
              </w:rPr>
              <w:t xml:space="preserve">using Structural Equation </w:t>
            </w:r>
            <w:proofErr w:type="spellStart"/>
            <w:r w:rsidRPr="00372EAC">
              <w:rPr>
                <w:rFonts w:ascii="Arial" w:eastAsia="Times New Roman" w:hAnsi="Arial" w:cs="Arial"/>
                <w:sz w:val="22"/>
                <w:szCs w:val="22"/>
              </w:rPr>
              <w:t>Modeling</w:t>
            </w:r>
            <w:proofErr w:type="spellEnd"/>
            <w:r w:rsidRPr="00372EAC">
              <w:rPr>
                <w:rFonts w:ascii="Arial" w:eastAsia="Times New Roman" w:hAnsi="Arial" w:cs="Arial"/>
                <w:sz w:val="22"/>
                <w:szCs w:val="22"/>
              </w:rPr>
              <w:t>–Partial Least Squares (SEM-PLS)</w:t>
            </w:r>
            <w:r w:rsidRPr="0054039C">
              <w:rPr>
                <w:rFonts w:ascii="Arial" w:eastAsia="Times New Roman" w:hAnsi="Arial" w:cs="Arial"/>
                <w:sz w:val="22"/>
                <w:szCs w:val="22"/>
              </w:rPr>
              <w:t>, the study employed purposive sampling of 90 MSMEs implementing CE and GI practices</w:t>
            </w:r>
            <w:r>
              <w:rPr>
                <w:rFonts w:ascii="Arial" w:eastAsia="Times New Roman" w:hAnsi="Arial" w:cs="Arial"/>
                <w:sz w:val="22"/>
                <w:szCs w:val="22"/>
              </w:rPr>
              <w:t xml:space="preserve"> in Bali province, between January and August 2025, </w:t>
            </w:r>
            <w:r w:rsidRPr="00372EAC">
              <w:rPr>
                <w:rFonts w:ascii="Arial" w:eastAsia="Times New Roman" w:hAnsi="Arial" w:cs="Arial"/>
                <w:sz w:val="22"/>
                <w:szCs w:val="22"/>
              </w:rPr>
              <w:t>including both owners (74%) and employees (26%). Data were collected through structured questionnaires using a 10-point Likert scale. The constructs measured were Circular Economy (9 indicators), Green Innovation (8 indicators), and Social Sustainability (6 indicators). Data reliability and validity were tested using Cronbach’s Alpha and AVE, while hypotheses were examined through SEM-PLS bootstrapping with 5000 subsamples</w:t>
            </w:r>
            <w:r w:rsidRPr="0054039C">
              <w:rPr>
                <w:rFonts w:ascii="Arial" w:eastAsia="Times New Roman" w:hAnsi="Arial" w:cs="Arial"/>
                <w:sz w:val="22"/>
                <w:szCs w:val="22"/>
              </w:rPr>
              <w:t xml:space="preserve">. Data were </w:t>
            </w:r>
            <w:proofErr w:type="spellStart"/>
            <w:r w:rsidRPr="0054039C">
              <w:rPr>
                <w:rFonts w:ascii="Arial" w:eastAsia="Times New Roman" w:hAnsi="Arial" w:cs="Arial"/>
                <w:sz w:val="22"/>
                <w:szCs w:val="22"/>
              </w:rPr>
              <w:t>analyzed</w:t>
            </w:r>
            <w:proofErr w:type="spellEnd"/>
            <w:r w:rsidRPr="0054039C">
              <w:rPr>
                <w:rFonts w:ascii="Arial" w:eastAsia="Times New Roman" w:hAnsi="Arial" w:cs="Arial"/>
                <w:sz w:val="22"/>
                <w:szCs w:val="22"/>
              </w:rPr>
              <w:t xml:space="preserve"> using Structural Equation </w:t>
            </w:r>
            <w:proofErr w:type="spellStart"/>
            <w:r w:rsidRPr="0054039C">
              <w:rPr>
                <w:rFonts w:ascii="Arial" w:eastAsia="Times New Roman" w:hAnsi="Arial" w:cs="Arial"/>
                <w:sz w:val="22"/>
                <w:szCs w:val="22"/>
              </w:rPr>
              <w:t>Modeling</w:t>
            </w:r>
            <w:proofErr w:type="spellEnd"/>
            <w:r w:rsidRPr="0054039C">
              <w:rPr>
                <w:rFonts w:ascii="Arial" w:eastAsia="Times New Roman" w:hAnsi="Arial" w:cs="Arial"/>
                <w:sz w:val="22"/>
                <w:szCs w:val="22"/>
              </w:rPr>
              <w:t>–Partial Least Squares (SEM-PLS). Results reveal that both CE (β = 0.448, p &lt; 0.05) and GI (β = 0.547, p &lt; 0.05) have significant positive effects on MSME social sustainability. While MSMEs demonstrate strong commitment to product quality and community benefits, gaps remain in capacity-building activities, particularly workshops and training for local communities. This research contributes theoretically by extending CE and GI frameworks to social sustainability in MSMEs and practically by offering insights for policymakers and entrepreneurs. Furthermore, it aligns with Sustainable Development Goals (SDGs), notably SDG 8 (Decent Work and Economic Growth), SDG 9 (Industry, Innovation, and Infrastructure), and SDG 12 (Responsible Consumption and Production).</w:t>
            </w:r>
          </w:p>
        </w:tc>
      </w:tr>
    </w:tbl>
    <w:p w14:paraId="1445238B" w14:textId="77777777" w:rsidR="00372EAC" w:rsidRPr="0054039C" w:rsidRDefault="00372EAC" w:rsidP="00372EAC">
      <w:pPr>
        <w:spacing w:after="120"/>
        <w:jc w:val="both"/>
        <w:outlineLvl w:val="1"/>
        <w:rPr>
          <w:rFonts w:ascii="Arial" w:eastAsia="Times New Roman" w:hAnsi="Arial" w:cs="Arial"/>
          <w:b/>
          <w:bCs/>
          <w:sz w:val="22"/>
          <w:szCs w:val="22"/>
        </w:rPr>
      </w:pPr>
    </w:p>
    <w:p w14:paraId="0CB4BC3C" w14:textId="4D967AA6" w:rsidR="00372EAC" w:rsidRPr="0054039C" w:rsidRDefault="0054039C" w:rsidP="00372EAC">
      <w:pPr>
        <w:spacing w:after="120"/>
        <w:jc w:val="both"/>
        <w:rPr>
          <w:rFonts w:ascii="Arial" w:eastAsia="Times New Roman" w:hAnsi="Arial" w:cs="Arial"/>
          <w:i/>
          <w:iCs/>
          <w:sz w:val="22"/>
          <w:szCs w:val="22"/>
        </w:rPr>
      </w:pPr>
      <w:r w:rsidRPr="0054039C">
        <w:rPr>
          <w:rFonts w:ascii="Arial" w:eastAsia="Times New Roman" w:hAnsi="Arial" w:cs="Arial"/>
          <w:i/>
          <w:iCs/>
          <w:sz w:val="22"/>
          <w:szCs w:val="22"/>
        </w:rPr>
        <w:t>Keywords</w:t>
      </w:r>
      <w:r w:rsidRPr="0054039C">
        <w:rPr>
          <w:rFonts w:ascii="Arial" w:eastAsia="Times New Roman" w:hAnsi="Arial" w:cs="Arial"/>
          <w:b/>
          <w:bCs/>
          <w:i/>
          <w:iCs/>
          <w:sz w:val="22"/>
          <w:szCs w:val="22"/>
        </w:rPr>
        <w:t>:</w:t>
      </w:r>
      <w:r w:rsidRPr="0054039C">
        <w:rPr>
          <w:rFonts w:ascii="Arial" w:eastAsia="Times New Roman" w:hAnsi="Arial" w:cs="Arial"/>
          <w:i/>
          <w:iCs/>
          <w:sz w:val="22"/>
          <w:szCs w:val="22"/>
        </w:rPr>
        <w:t xml:space="preserve"> MSMEs; circular economy; green innovation; social sustainability; Bali; SDGs</w:t>
      </w:r>
    </w:p>
    <w:p w14:paraId="7F2683F3" w14:textId="77777777" w:rsidR="0054039C" w:rsidRPr="0054039C" w:rsidRDefault="000564AC" w:rsidP="00372EAC">
      <w:pPr>
        <w:spacing w:after="120"/>
        <w:jc w:val="both"/>
        <w:rPr>
          <w:rFonts w:ascii="Times New Roman" w:eastAsia="Times New Roman" w:hAnsi="Times New Roman" w:cs="Times New Roman"/>
        </w:rPr>
      </w:pPr>
      <w:r>
        <w:rPr>
          <w:rFonts w:ascii="Times New Roman" w:eastAsia="Times New Roman" w:hAnsi="Times New Roman" w:cs="Times New Roman"/>
          <w:noProof/>
        </w:rPr>
        <w:pict w14:anchorId="4A8E4569">
          <v:rect id="_x0000_i1026" alt="" style="width:468pt;height:.05pt;mso-width-percent:0;mso-height-percent:0;mso-width-percent:0;mso-height-percent:0" o:hralign="center" o:hrstd="t" o:hr="t" fillcolor="#a0a0a0" stroked="f"/>
        </w:pict>
      </w:r>
    </w:p>
    <w:p w14:paraId="03A10FCC" w14:textId="77777777" w:rsidR="0054039C" w:rsidRPr="0054039C" w:rsidRDefault="0054039C" w:rsidP="00372EAC">
      <w:pPr>
        <w:spacing w:after="120"/>
        <w:jc w:val="both"/>
        <w:outlineLvl w:val="1"/>
        <w:rPr>
          <w:rFonts w:ascii="Arial" w:hAnsi="Arial" w:cs="Arial"/>
          <w:b/>
          <w:bCs/>
          <w:sz w:val="22"/>
          <w:szCs w:val="22"/>
        </w:rPr>
      </w:pPr>
      <w:r w:rsidRPr="0054039C">
        <w:rPr>
          <w:rFonts w:ascii="Arial" w:hAnsi="Arial" w:cs="Arial"/>
          <w:b/>
          <w:bCs/>
          <w:sz w:val="22"/>
          <w:szCs w:val="22"/>
        </w:rPr>
        <w:t>1. Introduction</w:t>
      </w:r>
    </w:p>
    <w:p w14:paraId="54E7A4CE"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Micro, Small, and Medium Enterprises (MSMEs) have long been recognized as the backbone of Indonesia’s economy, contributing significantly to gross domestic product (GDP), employment, and community welfare. In Bali, MSMEs are particularly vital due to the island’s dependence on tourism and its complementary creative industries. Beyond their economic role, MSMEs are embedded in local cultural and social fabrics, making them strategic agents in promoting inclusive and sustainable development (</w:t>
      </w:r>
      <w:proofErr w:type="spellStart"/>
      <w:r w:rsidRPr="0054039C">
        <w:rPr>
          <w:rFonts w:ascii="Arial" w:eastAsia="Times New Roman" w:hAnsi="Arial" w:cs="Arial"/>
          <w:sz w:val="22"/>
          <w:szCs w:val="22"/>
        </w:rPr>
        <w:t>Yuniarta</w:t>
      </w:r>
      <w:proofErr w:type="spellEnd"/>
      <w:r w:rsidRPr="0054039C">
        <w:rPr>
          <w:rFonts w:ascii="Arial" w:eastAsia="Times New Roman" w:hAnsi="Arial" w:cs="Arial"/>
          <w:sz w:val="22"/>
          <w:szCs w:val="22"/>
        </w:rPr>
        <w:t xml:space="preserve"> &amp; </w:t>
      </w:r>
      <w:proofErr w:type="spellStart"/>
      <w:r w:rsidRPr="0054039C">
        <w:rPr>
          <w:rFonts w:ascii="Arial" w:eastAsia="Times New Roman" w:hAnsi="Arial" w:cs="Arial"/>
          <w:sz w:val="22"/>
          <w:szCs w:val="22"/>
        </w:rPr>
        <w:t>Purnamawati</w:t>
      </w:r>
      <w:proofErr w:type="spellEnd"/>
      <w:r w:rsidRPr="0054039C">
        <w:rPr>
          <w:rFonts w:ascii="Arial" w:eastAsia="Times New Roman" w:hAnsi="Arial" w:cs="Arial"/>
          <w:sz w:val="22"/>
          <w:szCs w:val="22"/>
        </w:rPr>
        <w:t>, 2024).</w:t>
      </w:r>
    </w:p>
    <w:p w14:paraId="55AA464E"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 xml:space="preserve">Yet, MSMEs in Bali face unprecedented challenges. The COVID-19 pandemic revealed the fragility of tourism-dependent enterprises, while global megatrends such as environmental </w:t>
      </w:r>
      <w:r w:rsidRPr="0054039C">
        <w:rPr>
          <w:rFonts w:ascii="Arial" w:eastAsia="Times New Roman" w:hAnsi="Arial" w:cs="Arial"/>
          <w:sz w:val="22"/>
          <w:szCs w:val="22"/>
        </w:rPr>
        <w:lastRenderedPageBreak/>
        <w:t>degradation, climate change, and resource scarcity have placed additional pressures on small businesses. These dynamics underscore the need for MSMEs to adopt sustainable business models that go beyond profit maximization, integrating ecological stewardship and social responsibility.</w:t>
      </w:r>
    </w:p>
    <w:p w14:paraId="00580584"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Two strategic responses have emerged as central to this transition: the circular economy (CE) and green innovation (GI). CE promotes resource efficiency through reuse, recycling, and waste minimization, while GI emphasizes the development of eco-friendly products, processes, and technologies (Ellen MacArthur Foundation, 2013; Jun et al., 2019). These paradigms align with Indonesia’s policy agenda for sustainable development and with global frameworks such as the United Nations Sustainable Development Goals (SDGs).</w:t>
      </w:r>
    </w:p>
    <w:p w14:paraId="4BD85100"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 xml:space="preserve">This study focuses on the interplay between CE, GI, and social sustainability (SS) in MSMEs. Unlike conventional sustainability research that often prioritizes environmental or economic dimensions, this research highlights the </w:t>
      </w:r>
      <w:r w:rsidRPr="0054039C">
        <w:rPr>
          <w:rFonts w:ascii="Arial" w:eastAsia="Times New Roman" w:hAnsi="Arial" w:cs="Arial"/>
          <w:b/>
          <w:bCs/>
          <w:sz w:val="22"/>
          <w:szCs w:val="22"/>
        </w:rPr>
        <w:t>social sustainability</w:t>
      </w:r>
      <w:r w:rsidRPr="0054039C">
        <w:rPr>
          <w:rFonts w:ascii="Arial" w:eastAsia="Times New Roman" w:hAnsi="Arial" w:cs="Arial"/>
          <w:sz w:val="22"/>
          <w:szCs w:val="22"/>
        </w:rPr>
        <w:t xml:space="preserve"> dimension, which encompasses job creation, community engagement, skill development, and equitable value distribution (Rodrigues &amp; Franco, 2023). Understanding this linkage is particularly urgent in Bali, where MSMEs’ survival depends on both market competitiveness and community legitimacy.</w:t>
      </w:r>
    </w:p>
    <w:p w14:paraId="44A841BF"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The study addresses the following research questions:</w:t>
      </w:r>
    </w:p>
    <w:p w14:paraId="05EF0EF6" w14:textId="77777777" w:rsidR="0054039C" w:rsidRPr="0054039C" w:rsidRDefault="0054039C" w:rsidP="00372EAC">
      <w:pPr>
        <w:numPr>
          <w:ilvl w:val="0"/>
          <w:numId w:val="1"/>
        </w:numPr>
        <w:spacing w:after="120"/>
        <w:jc w:val="both"/>
        <w:rPr>
          <w:rFonts w:ascii="Arial" w:eastAsia="Times New Roman" w:hAnsi="Arial" w:cs="Arial"/>
          <w:sz w:val="22"/>
          <w:szCs w:val="22"/>
        </w:rPr>
      </w:pPr>
      <w:r w:rsidRPr="0054039C">
        <w:rPr>
          <w:rFonts w:ascii="Arial" w:eastAsia="Times New Roman" w:hAnsi="Arial" w:cs="Arial"/>
          <w:sz w:val="22"/>
          <w:szCs w:val="22"/>
        </w:rPr>
        <w:t>To what extent do MSMEs in Bali adopt circular economy practices?</w:t>
      </w:r>
    </w:p>
    <w:p w14:paraId="3F1DAD4A" w14:textId="77777777" w:rsidR="0054039C" w:rsidRPr="0054039C" w:rsidRDefault="0054039C" w:rsidP="00372EAC">
      <w:pPr>
        <w:numPr>
          <w:ilvl w:val="0"/>
          <w:numId w:val="1"/>
        </w:numPr>
        <w:spacing w:after="120"/>
        <w:jc w:val="both"/>
        <w:rPr>
          <w:rFonts w:ascii="Arial" w:eastAsia="Times New Roman" w:hAnsi="Arial" w:cs="Arial"/>
          <w:sz w:val="22"/>
          <w:szCs w:val="22"/>
        </w:rPr>
      </w:pPr>
      <w:r w:rsidRPr="0054039C">
        <w:rPr>
          <w:rFonts w:ascii="Arial" w:eastAsia="Times New Roman" w:hAnsi="Arial" w:cs="Arial"/>
          <w:sz w:val="22"/>
          <w:szCs w:val="22"/>
        </w:rPr>
        <w:t>How does green innovation shape MSME competitiveness and sustainability?</w:t>
      </w:r>
    </w:p>
    <w:p w14:paraId="708DB304" w14:textId="77777777" w:rsidR="0054039C" w:rsidRPr="0054039C" w:rsidRDefault="0054039C" w:rsidP="00372EAC">
      <w:pPr>
        <w:numPr>
          <w:ilvl w:val="0"/>
          <w:numId w:val="1"/>
        </w:numPr>
        <w:spacing w:after="120"/>
        <w:jc w:val="both"/>
        <w:rPr>
          <w:rFonts w:ascii="Arial" w:eastAsia="Times New Roman" w:hAnsi="Arial" w:cs="Arial"/>
          <w:sz w:val="22"/>
          <w:szCs w:val="22"/>
        </w:rPr>
      </w:pPr>
      <w:r w:rsidRPr="0054039C">
        <w:rPr>
          <w:rFonts w:ascii="Arial" w:eastAsia="Times New Roman" w:hAnsi="Arial" w:cs="Arial"/>
          <w:sz w:val="22"/>
          <w:szCs w:val="22"/>
        </w:rPr>
        <w:t>What is the impact of CE and GI on MSME social sustainability?</w:t>
      </w:r>
    </w:p>
    <w:p w14:paraId="07199712"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By empirically testing these relationships using SEM-PLS, this research contributes to both theory and practice. Theoretically, it integrates CE and GI into a coherent framework for social sustainability in MSMEs. Practically, it offers evidence-based recommendations for entrepreneurs, policymakers, and stakeholders to accelerate MSME transformation in line with the SDGs.</w:t>
      </w:r>
    </w:p>
    <w:p w14:paraId="7BC52F54" w14:textId="77777777" w:rsidR="0054039C" w:rsidRPr="0054039C" w:rsidRDefault="000564AC" w:rsidP="00372EAC">
      <w:pPr>
        <w:spacing w:after="120"/>
        <w:jc w:val="both"/>
        <w:rPr>
          <w:rFonts w:ascii="Times New Roman" w:eastAsia="Times New Roman" w:hAnsi="Times New Roman" w:cs="Times New Roman"/>
        </w:rPr>
      </w:pPr>
      <w:r>
        <w:rPr>
          <w:rFonts w:ascii="Times New Roman" w:eastAsia="Times New Roman" w:hAnsi="Times New Roman" w:cs="Times New Roman"/>
          <w:noProof/>
        </w:rPr>
        <w:pict w14:anchorId="4F09B166">
          <v:rect id="_x0000_i1027" alt="" style="width:468pt;height:.05pt;mso-width-percent:0;mso-height-percent:0;mso-width-percent:0;mso-height-percent:0" o:hralign="center" o:hrstd="t" o:hr="t" fillcolor="#a0a0a0" stroked="f"/>
        </w:pict>
      </w:r>
    </w:p>
    <w:p w14:paraId="56B5A6A5" w14:textId="77777777" w:rsidR="0054039C" w:rsidRPr="0054039C" w:rsidRDefault="0054039C" w:rsidP="00372EAC">
      <w:pPr>
        <w:spacing w:after="120"/>
        <w:jc w:val="both"/>
        <w:outlineLvl w:val="1"/>
        <w:rPr>
          <w:rFonts w:ascii="Arial" w:eastAsia="Times New Roman" w:hAnsi="Arial" w:cs="Arial"/>
          <w:b/>
          <w:bCs/>
          <w:sz w:val="22"/>
          <w:szCs w:val="22"/>
        </w:rPr>
      </w:pPr>
      <w:r w:rsidRPr="0054039C">
        <w:rPr>
          <w:rFonts w:ascii="Arial" w:eastAsia="Times New Roman" w:hAnsi="Arial" w:cs="Arial"/>
          <w:b/>
          <w:bCs/>
          <w:sz w:val="22"/>
          <w:szCs w:val="22"/>
        </w:rPr>
        <w:t>2. Literature Review and Conceptual Framework</w:t>
      </w:r>
    </w:p>
    <w:p w14:paraId="11C6EEF9"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2.1 Micro, Small, and Medium Enterprises (MSMEs) in Bali</w:t>
      </w:r>
    </w:p>
    <w:p w14:paraId="17CA7092"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MSMEs account for more than 97% of business units in Indonesia and employ a majority of the workforce. In Bali, they dominate sectors such as handicrafts, culinary arts, fashion, and services (</w:t>
      </w:r>
      <w:proofErr w:type="spellStart"/>
      <w:r w:rsidRPr="0054039C">
        <w:rPr>
          <w:rFonts w:ascii="Arial" w:eastAsia="Times New Roman" w:hAnsi="Arial" w:cs="Arial"/>
          <w:sz w:val="22"/>
          <w:szCs w:val="22"/>
        </w:rPr>
        <w:t>Limanseto</w:t>
      </w:r>
      <w:proofErr w:type="spellEnd"/>
      <w:r w:rsidRPr="0054039C">
        <w:rPr>
          <w:rFonts w:ascii="Arial" w:eastAsia="Times New Roman" w:hAnsi="Arial" w:cs="Arial"/>
          <w:sz w:val="22"/>
          <w:szCs w:val="22"/>
        </w:rPr>
        <w:t>, 2023). However, their small scale often limits access to financing, technology, and global markets. Sustainability challenges further compound these structural constraints. Scholars argue that MSMEs must embrace transformative approaches to remain resilient amid volatile external environments (</w:t>
      </w:r>
      <w:proofErr w:type="spellStart"/>
      <w:r w:rsidRPr="0054039C">
        <w:rPr>
          <w:rFonts w:ascii="Arial" w:eastAsia="Times New Roman" w:hAnsi="Arial" w:cs="Arial"/>
          <w:sz w:val="22"/>
          <w:szCs w:val="22"/>
        </w:rPr>
        <w:t>Trisnantari</w:t>
      </w:r>
      <w:proofErr w:type="spellEnd"/>
      <w:r w:rsidRPr="0054039C">
        <w:rPr>
          <w:rFonts w:ascii="Arial" w:eastAsia="Times New Roman" w:hAnsi="Arial" w:cs="Arial"/>
          <w:sz w:val="22"/>
          <w:szCs w:val="22"/>
        </w:rPr>
        <w:t xml:space="preserve"> et al., 2023).</w:t>
      </w:r>
    </w:p>
    <w:p w14:paraId="4C4D47A9" w14:textId="77777777" w:rsidR="0054039C" w:rsidRPr="0054039C" w:rsidRDefault="0054039C" w:rsidP="00372EAC">
      <w:pPr>
        <w:spacing w:after="120"/>
        <w:jc w:val="both"/>
        <w:outlineLvl w:val="1"/>
        <w:rPr>
          <w:rFonts w:ascii="Arial" w:eastAsia="Times New Roman" w:hAnsi="Arial" w:cs="Arial"/>
          <w:b/>
          <w:bCs/>
          <w:sz w:val="22"/>
          <w:szCs w:val="22"/>
        </w:rPr>
      </w:pPr>
      <w:r w:rsidRPr="0054039C">
        <w:rPr>
          <w:rFonts w:ascii="Arial" w:eastAsia="Times New Roman" w:hAnsi="Arial" w:cs="Arial"/>
          <w:b/>
          <w:bCs/>
          <w:sz w:val="22"/>
          <w:szCs w:val="22"/>
        </w:rPr>
        <w:t>2.2 Circular Economy (CE)</w:t>
      </w:r>
    </w:p>
    <w:p w14:paraId="4BC30831"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The circular economy represents a systemic shift from linear "take-make-dispose" models toward restorative and regenerative systems. CE principles include designing out waste, keeping materials in use, and regenerating natural systems (Ellen MacArthur Foundation, 2013). For MSMEs, CE practices include recycling materials, adopting eco-friendly technologies, collaborating with waste banks, and integrating supply chain sustainability (Permata et al., 2022). Research indicates that CE enhances both environmental performance and cost efficiency by reducing operational expenses (</w:t>
      </w:r>
      <w:proofErr w:type="spellStart"/>
      <w:r w:rsidRPr="0054039C">
        <w:rPr>
          <w:rFonts w:ascii="Arial" w:eastAsia="Times New Roman" w:hAnsi="Arial" w:cs="Arial"/>
          <w:sz w:val="22"/>
          <w:szCs w:val="22"/>
        </w:rPr>
        <w:t>Siregar</w:t>
      </w:r>
      <w:proofErr w:type="spellEnd"/>
      <w:r w:rsidRPr="0054039C">
        <w:rPr>
          <w:rFonts w:ascii="Arial" w:eastAsia="Times New Roman" w:hAnsi="Arial" w:cs="Arial"/>
          <w:sz w:val="22"/>
          <w:szCs w:val="22"/>
        </w:rPr>
        <w:t xml:space="preserve"> et al., 2025).</w:t>
      </w:r>
    </w:p>
    <w:p w14:paraId="141E2BED" w14:textId="77777777" w:rsidR="0054039C" w:rsidRPr="0054039C" w:rsidRDefault="0054039C" w:rsidP="00372EAC">
      <w:pPr>
        <w:spacing w:after="120"/>
        <w:jc w:val="both"/>
        <w:outlineLvl w:val="1"/>
        <w:rPr>
          <w:rFonts w:ascii="Arial" w:eastAsia="Times New Roman" w:hAnsi="Arial" w:cs="Arial"/>
          <w:b/>
          <w:bCs/>
          <w:sz w:val="22"/>
          <w:szCs w:val="22"/>
        </w:rPr>
      </w:pPr>
      <w:r w:rsidRPr="0054039C">
        <w:rPr>
          <w:rFonts w:ascii="Arial" w:eastAsia="Times New Roman" w:hAnsi="Arial" w:cs="Arial"/>
          <w:b/>
          <w:bCs/>
          <w:sz w:val="22"/>
          <w:szCs w:val="22"/>
        </w:rPr>
        <w:t>2.3 Green Innovation (GI)</w:t>
      </w:r>
    </w:p>
    <w:p w14:paraId="6487DAB1"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lastRenderedPageBreak/>
        <w:t>Green innovation refers to the design and implementation of new or significantly improved products, processes, or practices that reduce environmental impacts (</w:t>
      </w:r>
      <w:proofErr w:type="spellStart"/>
      <w:r w:rsidRPr="0054039C">
        <w:rPr>
          <w:rFonts w:ascii="Arial" w:eastAsia="Times New Roman" w:hAnsi="Arial" w:cs="Arial"/>
          <w:sz w:val="22"/>
          <w:szCs w:val="22"/>
        </w:rPr>
        <w:t>Baeshen</w:t>
      </w:r>
      <w:proofErr w:type="spellEnd"/>
      <w:r w:rsidRPr="0054039C">
        <w:rPr>
          <w:rFonts w:ascii="Arial" w:eastAsia="Times New Roman" w:hAnsi="Arial" w:cs="Arial"/>
          <w:sz w:val="22"/>
          <w:szCs w:val="22"/>
        </w:rPr>
        <w:t xml:space="preserve"> et al., 2021). It encompasses eco-product design, energy-efficient processes, and sustainable service models. Prior studies show that GI drives competitive advantage by differentiating offerings and meeting environmentally conscious consumer demand (</w:t>
      </w:r>
      <w:proofErr w:type="spellStart"/>
      <w:r w:rsidRPr="0054039C">
        <w:rPr>
          <w:rFonts w:ascii="Arial" w:eastAsia="Times New Roman" w:hAnsi="Arial" w:cs="Arial"/>
          <w:sz w:val="22"/>
          <w:szCs w:val="22"/>
        </w:rPr>
        <w:t>Tjahjadi</w:t>
      </w:r>
      <w:proofErr w:type="spellEnd"/>
      <w:r w:rsidRPr="0054039C">
        <w:rPr>
          <w:rFonts w:ascii="Arial" w:eastAsia="Times New Roman" w:hAnsi="Arial" w:cs="Arial"/>
          <w:sz w:val="22"/>
          <w:szCs w:val="22"/>
        </w:rPr>
        <w:t xml:space="preserve"> et al., 2020; Rodrigues &amp; Franco, 2023). GI is particularly relevant in Bali’s creative and tourism-related industries, where customer preferences increasingly </w:t>
      </w:r>
      <w:proofErr w:type="spellStart"/>
      <w:r w:rsidRPr="0054039C">
        <w:rPr>
          <w:rFonts w:ascii="Arial" w:eastAsia="Times New Roman" w:hAnsi="Arial" w:cs="Arial"/>
          <w:sz w:val="22"/>
          <w:szCs w:val="22"/>
        </w:rPr>
        <w:t>favor</w:t>
      </w:r>
      <w:proofErr w:type="spellEnd"/>
      <w:r w:rsidRPr="0054039C">
        <w:rPr>
          <w:rFonts w:ascii="Arial" w:eastAsia="Times New Roman" w:hAnsi="Arial" w:cs="Arial"/>
          <w:sz w:val="22"/>
          <w:szCs w:val="22"/>
        </w:rPr>
        <w:t xml:space="preserve"> eco-conscious businesses.</w:t>
      </w:r>
    </w:p>
    <w:p w14:paraId="4ADDAFF6" w14:textId="77777777" w:rsidR="0054039C" w:rsidRPr="0054039C" w:rsidRDefault="0054039C" w:rsidP="00372EAC">
      <w:pPr>
        <w:spacing w:after="120"/>
        <w:jc w:val="both"/>
        <w:outlineLvl w:val="1"/>
        <w:rPr>
          <w:rFonts w:ascii="Arial" w:eastAsia="Times New Roman" w:hAnsi="Arial" w:cs="Arial"/>
          <w:b/>
          <w:bCs/>
          <w:sz w:val="22"/>
          <w:szCs w:val="22"/>
        </w:rPr>
      </w:pPr>
      <w:r w:rsidRPr="0054039C">
        <w:rPr>
          <w:rFonts w:ascii="Arial" w:eastAsia="Times New Roman" w:hAnsi="Arial" w:cs="Arial"/>
          <w:b/>
          <w:bCs/>
          <w:sz w:val="22"/>
          <w:szCs w:val="22"/>
        </w:rPr>
        <w:t>2.4 Social Sustainability (SS) in MSMEs</w:t>
      </w:r>
    </w:p>
    <w:p w14:paraId="35B44D47"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Social sustainability emphasizes long-term community well-being, encompassing employment, equity, and social cohesion (Rodrigues &amp; Franco, 2023). For MSMEs, SS manifests through hiring local workers, offering training, providing social programs, and producing goods that benefit society. Prior studies in Indonesia highlight both progress and gaps in MSMEs’ social contributions, with many enterprises excelling in local employment but underperforming in structured community capacity-building (</w:t>
      </w:r>
      <w:proofErr w:type="spellStart"/>
      <w:r w:rsidRPr="0054039C">
        <w:rPr>
          <w:rFonts w:ascii="Arial" w:eastAsia="Times New Roman" w:hAnsi="Arial" w:cs="Arial"/>
          <w:sz w:val="22"/>
          <w:szCs w:val="22"/>
        </w:rPr>
        <w:t>Siswanto</w:t>
      </w:r>
      <w:proofErr w:type="spellEnd"/>
      <w:r w:rsidRPr="0054039C">
        <w:rPr>
          <w:rFonts w:ascii="Arial" w:eastAsia="Times New Roman" w:hAnsi="Arial" w:cs="Arial"/>
          <w:sz w:val="22"/>
          <w:szCs w:val="22"/>
        </w:rPr>
        <w:t>, 2024).</w:t>
      </w:r>
    </w:p>
    <w:p w14:paraId="61057F9F" w14:textId="77777777" w:rsidR="0054039C" w:rsidRPr="0054039C" w:rsidRDefault="0054039C" w:rsidP="00372EAC">
      <w:pPr>
        <w:spacing w:after="120"/>
        <w:jc w:val="both"/>
        <w:outlineLvl w:val="1"/>
        <w:rPr>
          <w:rFonts w:ascii="Arial" w:eastAsia="Times New Roman" w:hAnsi="Arial" w:cs="Arial"/>
          <w:b/>
          <w:bCs/>
          <w:sz w:val="22"/>
          <w:szCs w:val="22"/>
        </w:rPr>
      </w:pPr>
      <w:r w:rsidRPr="0054039C">
        <w:rPr>
          <w:rFonts w:ascii="Arial" w:eastAsia="Times New Roman" w:hAnsi="Arial" w:cs="Arial"/>
          <w:b/>
          <w:bCs/>
          <w:sz w:val="22"/>
          <w:szCs w:val="22"/>
        </w:rPr>
        <w:t>2.5 Linking CE, GI, and SS</w:t>
      </w:r>
    </w:p>
    <w:p w14:paraId="2AFDE702"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Existing literature suggests that CE and GI can synergistically enhance social sustainability. CE reduces costs and waste, enabling reinvestment in social initiatives, while GI enhances market competitiveness and customer trust, generating resources for community development (Ullah et al., 2021). However, empirical studies focusing on MSMEs, particularly in developing contexts like Bali, remain scarce.</w:t>
      </w:r>
    </w:p>
    <w:p w14:paraId="6993EEF2" w14:textId="77777777" w:rsidR="0054039C" w:rsidRPr="0054039C" w:rsidRDefault="0054039C" w:rsidP="00372EAC">
      <w:pPr>
        <w:spacing w:after="120"/>
        <w:jc w:val="both"/>
        <w:outlineLvl w:val="1"/>
        <w:rPr>
          <w:rFonts w:ascii="Arial" w:eastAsia="Times New Roman" w:hAnsi="Arial" w:cs="Arial"/>
          <w:b/>
          <w:bCs/>
          <w:sz w:val="22"/>
          <w:szCs w:val="22"/>
        </w:rPr>
      </w:pPr>
      <w:r w:rsidRPr="0054039C">
        <w:rPr>
          <w:rFonts w:ascii="Arial" w:eastAsia="Times New Roman" w:hAnsi="Arial" w:cs="Arial"/>
          <w:b/>
          <w:bCs/>
          <w:sz w:val="22"/>
          <w:szCs w:val="22"/>
        </w:rPr>
        <w:t>2.6 Conceptual Framework and Hypotheses</w:t>
      </w:r>
    </w:p>
    <w:p w14:paraId="6B42B518"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Based on the reviewed literature, the following hypotheses are formulated:</w:t>
      </w:r>
    </w:p>
    <w:p w14:paraId="792A4B3B" w14:textId="77777777" w:rsidR="0054039C" w:rsidRPr="0054039C" w:rsidRDefault="0054039C" w:rsidP="00372EAC">
      <w:pPr>
        <w:numPr>
          <w:ilvl w:val="0"/>
          <w:numId w:val="2"/>
        </w:numPr>
        <w:spacing w:after="120"/>
        <w:jc w:val="both"/>
        <w:rPr>
          <w:rFonts w:ascii="Arial" w:eastAsia="Times New Roman" w:hAnsi="Arial" w:cs="Arial"/>
          <w:sz w:val="22"/>
          <w:szCs w:val="22"/>
        </w:rPr>
      </w:pPr>
      <w:r w:rsidRPr="0054039C">
        <w:rPr>
          <w:rFonts w:ascii="Arial" w:eastAsia="Times New Roman" w:hAnsi="Arial" w:cs="Arial"/>
          <w:b/>
          <w:bCs/>
          <w:sz w:val="22"/>
          <w:szCs w:val="22"/>
        </w:rPr>
        <w:t>H1:</w:t>
      </w:r>
      <w:r w:rsidRPr="0054039C">
        <w:rPr>
          <w:rFonts w:ascii="Arial" w:eastAsia="Times New Roman" w:hAnsi="Arial" w:cs="Arial"/>
          <w:sz w:val="22"/>
          <w:szCs w:val="22"/>
        </w:rPr>
        <w:t xml:space="preserve"> Circular economy practices positively influence MSME social sustainability.</w:t>
      </w:r>
    </w:p>
    <w:p w14:paraId="66951DD4" w14:textId="77777777" w:rsidR="0054039C" w:rsidRPr="0054039C" w:rsidRDefault="0054039C" w:rsidP="00372EAC">
      <w:pPr>
        <w:numPr>
          <w:ilvl w:val="0"/>
          <w:numId w:val="2"/>
        </w:numPr>
        <w:spacing w:after="120"/>
        <w:jc w:val="both"/>
        <w:rPr>
          <w:rFonts w:ascii="Arial" w:eastAsia="Times New Roman" w:hAnsi="Arial" w:cs="Arial"/>
          <w:sz w:val="22"/>
          <w:szCs w:val="22"/>
        </w:rPr>
      </w:pPr>
      <w:r w:rsidRPr="0054039C">
        <w:rPr>
          <w:rFonts w:ascii="Arial" w:eastAsia="Times New Roman" w:hAnsi="Arial" w:cs="Arial"/>
          <w:b/>
          <w:bCs/>
          <w:sz w:val="22"/>
          <w:szCs w:val="22"/>
        </w:rPr>
        <w:t>H2:</w:t>
      </w:r>
      <w:r w:rsidRPr="0054039C">
        <w:rPr>
          <w:rFonts w:ascii="Arial" w:eastAsia="Times New Roman" w:hAnsi="Arial" w:cs="Arial"/>
          <w:sz w:val="22"/>
          <w:szCs w:val="22"/>
        </w:rPr>
        <w:t xml:space="preserve"> Green innovation positively influences MSME social sustainability.</w:t>
      </w:r>
    </w:p>
    <w:p w14:paraId="01A6308D"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The conceptual model (Figure 1) posits CE and GI as independent variables, with SS as the dependent variable, tested through SEM-PLS.</w:t>
      </w:r>
    </w:p>
    <w:p w14:paraId="5FA13F3A" w14:textId="77777777" w:rsidR="0054039C" w:rsidRPr="0054039C" w:rsidRDefault="000564AC" w:rsidP="00372EAC">
      <w:pPr>
        <w:spacing w:after="120"/>
        <w:jc w:val="both"/>
        <w:rPr>
          <w:rFonts w:ascii="Times New Roman" w:eastAsia="Times New Roman" w:hAnsi="Times New Roman" w:cs="Times New Roman"/>
        </w:rPr>
      </w:pPr>
      <w:r>
        <w:rPr>
          <w:rFonts w:ascii="Times New Roman" w:eastAsia="Times New Roman" w:hAnsi="Times New Roman" w:cs="Times New Roman"/>
          <w:noProof/>
        </w:rPr>
        <w:pict w14:anchorId="41E7713E">
          <v:rect id="_x0000_i1028" alt="" style="width:468pt;height:.05pt;mso-width-percent:0;mso-height-percent:0;mso-width-percent:0;mso-height-percent:0" o:hralign="center" o:hrstd="t" o:hr="t" fillcolor="#a0a0a0" stroked="f"/>
        </w:pict>
      </w:r>
    </w:p>
    <w:p w14:paraId="48038224" w14:textId="77777777" w:rsidR="0054039C" w:rsidRPr="0054039C" w:rsidRDefault="0054039C" w:rsidP="00372EAC">
      <w:pPr>
        <w:spacing w:after="120"/>
        <w:jc w:val="both"/>
        <w:outlineLvl w:val="1"/>
        <w:rPr>
          <w:rFonts w:ascii="Arial" w:eastAsia="Times New Roman" w:hAnsi="Arial" w:cs="Arial"/>
          <w:b/>
          <w:bCs/>
          <w:sz w:val="22"/>
          <w:szCs w:val="22"/>
        </w:rPr>
      </w:pPr>
      <w:r w:rsidRPr="0054039C">
        <w:rPr>
          <w:rFonts w:ascii="Arial" w:eastAsia="Times New Roman" w:hAnsi="Arial" w:cs="Arial"/>
          <w:b/>
          <w:bCs/>
          <w:sz w:val="22"/>
          <w:szCs w:val="22"/>
        </w:rPr>
        <w:t>3. Methodology</w:t>
      </w:r>
    </w:p>
    <w:p w14:paraId="49A47DDD"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3.1 Research Design</w:t>
      </w:r>
    </w:p>
    <w:p w14:paraId="467D5882"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This study adopts a quantitative, explanatory research design to examine causal relationships between CE, GI, and SS. The approach is suitable for testing theoretical frameworks in MSME contexts.</w:t>
      </w:r>
    </w:p>
    <w:p w14:paraId="51B9492B"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3.2 Population and Sampling</w:t>
      </w:r>
    </w:p>
    <w:p w14:paraId="4C38DD92"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The population comprised MSMEs in Bali engaged in sectors including handicrafts, culinary, fashion, services, and trade. Using purposive sampling, 90 MSMEs that had implemented CE and GI practices were selected. Respondents included both owners (74%) and employees (26%), ensuring diverse perspectives.</w:t>
      </w:r>
    </w:p>
    <w:p w14:paraId="3C9919E8"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3.3 Data Collection</w:t>
      </w:r>
    </w:p>
    <w:p w14:paraId="5883BA63"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Primary data were collected through structured questionnaires, using a 10-point Likert scale. Instruments measured:</w:t>
      </w:r>
    </w:p>
    <w:p w14:paraId="50925163" w14:textId="77777777" w:rsidR="0054039C" w:rsidRPr="0054039C" w:rsidRDefault="0054039C" w:rsidP="00372EAC">
      <w:pPr>
        <w:numPr>
          <w:ilvl w:val="0"/>
          <w:numId w:val="3"/>
        </w:numPr>
        <w:spacing w:after="120"/>
        <w:jc w:val="both"/>
        <w:rPr>
          <w:rFonts w:ascii="Arial" w:eastAsia="Times New Roman" w:hAnsi="Arial" w:cs="Arial"/>
          <w:sz w:val="22"/>
          <w:szCs w:val="22"/>
        </w:rPr>
      </w:pPr>
      <w:r w:rsidRPr="0054039C">
        <w:rPr>
          <w:rFonts w:ascii="Arial" w:eastAsia="Times New Roman" w:hAnsi="Arial" w:cs="Arial"/>
          <w:b/>
          <w:bCs/>
          <w:sz w:val="22"/>
          <w:szCs w:val="22"/>
        </w:rPr>
        <w:t>Circular Economy (X1):</w:t>
      </w:r>
      <w:r w:rsidRPr="0054039C">
        <w:rPr>
          <w:rFonts w:ascii="Arial" w:eastAsia="Times New Roman" w:hAnsi="Arial" w:cs="Arial"/>
          <w:sz w:val="22"/>
          <w:szCs w:val="22"/>
        </w:rPr>
        <w:t xml:space="preserve"> 9 items (e.g., material reuse, waste management, eco-technology adoption).</w:t>
      </w:r>
    </w:p>
    <w:p w14:paraId="1849329C" w14:textId="77777777" w:rsidR="0054039C" w:rsidRPr="0054039C" w:rsidRDefault="0054039C" w:rsidP="00372EAC">
      <w:pPr>
        <w:numPr>
          <w:ilvl w:val="0"/>
          <w:numId w:val="3"/>
        </w:numPr>
        <w:spacing w:after="120"/>
        <w:jc w:val="both"/>
        <w:rPr>
          <w:rFonts w:ascii="Arial" w:eastAsia="Times New Roman" w:hAnsi="Arial" w:cs="Arial"/>
          <w:sz w:val="22"/>
          <w:szCs w:val="22"/>
        </w:rPr>
      </w:pPr>
      <w:r w:rsidRPr="0054039C">
        <w:rPr>
          <w:rFonts w:ascii="Arial" w:eastAsia="Times New Roman" w:hAnsi="Arial" w:cs="Arial"/>
          <w:b/>
          <w:bCs/>
          <w:sz w:val="22"/>
          <w:szCs w:val="22"/>
        </w:rPr>
        <w:lastRenderedPageBreak/>
        <w:t>Green Innovation (X2):</w:t>
      </w:r>
      <w:r w:rsidRPr="0054039C">
        <w:rPr>
          <w:rFonts w:ascii="Arial" w:eastAsia="Times New Roman" w:hAnsi="Arial" w:cs="Arial"/>
          <w:sz w:val="22"/>
          <w:szCs w:val="22"/>
        </w:rPr>
        <w:t xml:space="preserve"> 8 items (e.g., eco-product development, technology adoption, customer-focused innovation).</w:t>
      </w:r>
    </w:p>
    <w:p w14:paraId="4B2756E0" w14:textId="77777777" w:rsidR="0054039C" w:rsidRPr="0054039C" w:rsidRDefault="0054039C" w:rsidP="00372EAC">
      <w:pPr>
        <w:numPr>
          <w:ilvl w:val="0"/>
          <w:numId w:val="3"/>
        </w:numPr>
        <w:spacing w:after="120"/>
        <w:jc w:val="both"/>
        <w:rPr>
          <w:rFonts w:ascii="Arial" w:eastAsia="Times New Roman" w:hAnsi="Arial" w:cs="Arial"/>
          <w:sz w:val="22"/>
          <w:szCs w:val="22"/>
        </w:rPr>
      </w:pPr>
      <w:r w:rsidRPr="0054039C">
        <w:rPr>
          <w:rFonts w:ascii="Arial" w:eastAsia="Times New Roman" w:hAnsi="Arial" w:cs="Arial"/>
          <w:b/>
          <w:bCs/>
          <w:sz w:val="22"/>
          <w:szCs w:val="22"/>
        </w:rPr>
        <w:t>Social Sustainability (Y):</w:t>
      </w:r>
      <w:r w:rsidRPr="0054039C">
        <w:rPr>
          <w:rFonts w:ascii="Arial" w:eastAsia="Times New Roman" w:hAnsi="Arial" w:cs="Arial"/>
          <w:sz w:val="22"/>
          <w:szCs w:val="22"/>
        </w:rPr>
        <w:t xml:space="preserve"> 6 items (e.g., local employment, social programs, product societal benefits).</w:t>
      </w:r>
    </w:p>
    <w:p w14:paraId="3F3C9ECD"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3.4 Data Analysis</w:t>
      </w:r>
    </w:p>
    <w:p w14:paraId="13A4E6A2" w14:textId="0AB0949F" w:rsidR="0054039C" w:rsidRPr="00372EA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 xml:space="preserve">Data analysis employed </w:t>
      </w:r>
      <w:r w:rsidRPr="0054039C">
        <w:rPr>
          <w:rFonts w:ascii="Arial" w:eastAsia="Times New Roman" w:hAnsi="Arial" w:cs="Arial"/>
          <w:b/>
          <w:bCs/>
          <w:sz w:val="22"/>
          <w:szCs w:val="22"/>
        </w:rPr>
        <w:t xml:space="preserve">Structural Equation </w:t>
      </w:r>
      <w:proofErr w:type="spellStart"/>
      <w:r w:rsidRPr="0054039C">
        <w:rPr>
          <w:rFonts w:ascii="Arial" w:eastAsia="Times New Roman" w:hAnsi="Arial" w:cs="Arial"/>
          <w:b/>
          <w:bCs/>
          <w:sz w:val="22"/>
          <w:szCs w:val="22"/>
        </w:rPr>
        <w:t>Modeling</w:t>
      </w:r>
      <w:proofErr w:type="spellEnd"/>
      <w:r w:rsidRPr="0054039C">
        <w:rPr>
          <w:rFonts w:ascii="Arial" w:eastAsia="Times New Roman" w:hAnsi="Arial" w:cs="Arial"/>
          <w:b/>
          <w:bCs/>
          <w:sz w:val="22"/>
          <w:szCs w:val="22"/>
        </w:rPr>
        <w:t>–Partial Least Squares (SEM-PLS)</w:t>
      </w:r>
      <w:r w:rsidRPr="0054039C">
        <w:rPr>
          <w:rFonts w:ascii="Arial" w:eastAsia="Times New Roman" w:hAnsi="Arial" w:cs="Arial"/>
          <w:sz w:val="22"/>
          <w:szCs w:val="22"/>
        </w:rPr>
        <w:t xml:space="preserve"> using </w:t>
      </w:r>
      <w:proofErr w:type="spellStart"/>
      <w:r w:rsidRPr="0054039C">
        <w:rPr>
          <w:rFonts w:ascii="Arial" w:eastAsia="Times New Roman" w:hAnsi="Arial" w:cs="Arial"/>
          <w:sz w:val="22"/>
          <w:szCs w:val="22"/>
        </w:rPr>
        <w:t>SmartPLS</w:t>
      </w:r>
      <w:proofErr w:type="spellEnd"/>
      <w:r w:rsidRPr="0054039C">
        <w:rPr>
          <w:rFonts w:ascii="Arial" w:eastAsia="Times New Roman" w:hAnsi="Arial" w:cs="Arial"/>
          <w:sz w:val="22"/>
          <w:szCs w:val="22"/>
        </w:rPr>
        <w:t xml:space="preserve"> 3. Validity was tested using Cronbach’s Alpha (&gt;0.7) and Average Variance Extracted (AVE &gt; 0.5). Bootstrapping with 5000 subsamples was used for hypothesis testing.</w:t>
      </w:r>
    </w:p>
    <w:p w14:paraId="129D85B4" w14:textId="462EBAD4" w:rsidR="0054039C" w:rsidRPr="00372EAC" w:rsidRDefault="0054039C" w:rsidP="00372EAC">
      <w:pPr>
        <w:spacing w:after="120"/>
        <w:jc w:val="both"/>
        <w:rPr>
          <w:rFonts w:ascii="Arial" w:hAnsi="Arial" w:cs="Arial"/>
          <w:b/>
          <w:bCs/>
          <w:sz w:val="22"/>
          <w:szCs w:val="22"/>
        </w:rPr>
      </w:pPr>
      <w:r w:rsidRPr="00372EAC">
        <w:rPr>
          <w:rFonts w:ascii="Arial" w:hAnsi="Arial" w:cs="Arial"/>
          <w:b/>
          <w:bCs/>
          <w:sz w:val="22"/>
          <w:szCs w:val="22"/>
        </w:rPr>
        <w:t>Table 1</w:t>
      </w:r>
      <w:r w:rsidR="00372EAC" w:rsidRPr="00372EAC">
        <w:rPr>
          <w:rFonts w:ascii="Arial" w:hAnsi="Arial" w:cs="Arial"/>
          <w:b/>
          <w:bCs/>
          <w:sz w:val="22"/>
          <w:szCs w:val="22"/>
        </w:rPr>
        <w:t xml:space="preserve">. </w:t>
      </w:r>
      <w:r w:rsidRPr="00372EAC">
        <w:rPr>
          <w:rFonts w:ascii="Arial" w:hAnsi="Arial" w:cs="Arial"/>
          <w:b/>
          <w:bCs/>
          <w:sz w:val="22"/>
          <w:szCs w:val="22"/>
        </w:rPr>
        <w:t>Validity and Reliability Test Results</w:t>
      </w:r>
    </w:p>
    <w:tbl>
      <w:tblPr>
        <w:tblW w:w="6660" w:type="dxa"/>
        <w:tblLook w:val="04A0" w:firstRow="1" w:lastRow="0" w:firstColumn="1" w:lastColumn="0" w:noHBand="0" w:noVBand="1"/>
      </w:tblPr>
      <w:tblGrid>
        <w:gridCol w:w="3420"/>
        <w:gridCol w:w="1620"/>
        <w:gridCol w:w="1620"/>
      </w:tblGrid>
      <w:tr w:rsidR="0054039C" w:rsidRPr="00372EAC" w14:paraId="382EFC89" w14:textId="77777777" w:rsidTr="00372EAC">
        <w:trPr>
          <w:trHeight w:val="600"/>
        </w:trPr>
        <w:tc>
          <w:tcPr>
            <w:tcW w:w="3420" w:type="dxa"/>
            <w:tcBorders>
              <w:top w:val="single" w:sz="4" w:space="0" w:color="auto"/>
              <w:left w:val="nil"/>
              <w:bottom w:val="single" w:sz="4" w:space="0" w:color="auto"/>
              <w:right w:val="nil"/>
            </w:tcBorders>
            <w:vAlign w:val="center"/>
            <w:hideMark/>
          </w:tcPr>
          <w:p w14:paraId="401F0DFA" w14:textId="77777777" w:rsidR="0054039C" w:rsidRPr="00372EAC" w:rsidRDefault="0054039C" w:rsidP="00372EAC">
            <w:pPr>
              <w:spacing w:after="120"/>
              <w:jc w:val="both"/>
              <w:rPr>
                <w:rFonts w:ascii="Arial" w:hAnsi="Arial" w:cs="Arial"/>
                <w:b/>
                <w:bCs/>
                <w:color w:val="000000"/>
                <w:sz w:val="22"/>
                <w:szCs w:val="22"/>
                <w:lang w:eastAsia="en-ID"/>
              </w:rPr>
            </w:pPr>
            <w:proofErr w:type="spellStart"/>
            <w:r w:rsidRPr="00372EAC">
              <w:rPr>
                <w:rFonts w:ascii="Arial" w:hAnsi="Arial" w:cs="Arial"/>
                <w:b/>
                <w:bCs/>
                <w:color w:val="000000"/>
                <w:sz w:val="22"/>
                <w:szCs w:val="22"/>
                <w:lang w:eastAsia="en-ID"/>
              </w:rPr>
              <w:t>Variabel</w:t>
            </w:r>
            <w:proofErr w:type="spellEnd"/>
          </w:p>
        </w:tc>
        <w:tc>
          <w:tcPr>
            <w:tcW w:w="1620" w:type="dxa"/>
            <w:tcBorders>
              <w:top w:val="single" w:sz="4" w:space="0" w:color="auto"/>
              <w:left w:val="nil"/>
              <w:bottom w:val="single" w:sz="4" w:space="0" w:color="auto"/>
              <w:right w:val="nil"/>
            </w:tcBorders>
            <w:vAlign w:val="center"/>
            <w:hideMark/>
          </w:tcPr>
          <w:p w14:paraId="02680385" w14:textId="77777777" w:rsidR="0054039C" w:rsidRPr="00372EAC" w:rsidRDefault="0054039C" w:rsidP="00372EAC">
            <w:pPr>
              <w:spacing w:after="120"/>
              <w:jc w:val="both"/>
              <w:rPr>
                <w:rFonts w:ascii="Arial" w:hAnsi="Arial" w:cs="Arial"/>
                <w:b/>
                <w:bCs/>
                <w:color w:val="000000"/>
                <w:sz w:val="22"/>
                <w:szCs w:val="22"/>
                <w:lang w:eastAsia="en-ID"/>
              </w:rPr>
            </w:pPr>
            <w:r w:rsidRPr="00372EAC">
              <w:rPr>
                <w:rFonts w:ascii="Arial" w:hAnsi="Arial" w:cs="Arial"/>
                <w:b/>
                <w:bCs/>
                <w:color w:val="000000"/>
                <w:sz w:val="22"/>
                <w:szCs w:val="22"/>
                <w:lang w:eastAsia="en-ID"/>
              </w:rPr>
              <w:t>Cronbach's Alpha</w:t>
            </w:r>
          </w:p>
        </w:tc>
        <w:tc>
          <w:tcPr>
            <w:tcW w:w="1620" w:type="dxa"/>
            <w:tcBorders>
              <w:top w:val="single" w:sz="4" w:space="0" w:color="auto"/>
              <w:left w:val="nil"/>
              <w:bottom w:val="single" w:sz="4" w:space="0" w:color="auto"/>
              <w:right w:val="nil"/>
            </w:tcBorders>
            <w:vAlign w:val="center"/>
            <w:hideMark/>
          </w:tcPr>
          <w:p w14:paraId="6B5BB4AB" w14:textId="77777777" w:rsidR="0054039C" w:rsidRPr="00372EAC" w:rsidRDefault="0054039C" w:rsidP="00372EAC">
            <w:pPr>
              <w:spacing w:after="120"/>
              <w:jc w:val="both"/>
              <w:rPr>
                <w:rFonts w:ascii="Arial" w:hAnsi="Arial" w:cs="Arial"/>
                <w:b/>
                <w:bCs/>
                <w:color w:val="000000"/>
                <w:sz w:val="22"/>
                <w:szCs w:val="22"/>
                <w:lang w:eastAsia="en-ID"/>
              </w:rPr>
            </w:pPr>
            <w:r w:rsidRPr="00372EAC">
              <w:rPr>
                <w:rFonts w:ascii="Arial" w:hAnsi="Arial" w:cs="Arial"/>
                <w:b/>
                <w:bCs/>
                <w:color w:val="000000"/>
                <w:sz w:val="22"/>
                <w:szCs w:val="22"/>
                <w:lang w:eastAsia="en-ID"/>
              </w:rPr>
              <w:t>Composite Reliability</w:t>
            </w:r>
          </w:p>
        </w:tc>
      </w:tr>
      <w:tr w:rsidR="0054039C" w:rsidRPr="00372EAC" w14:paraId="2880EB56" w14:textId="77777777" w:rsidTr="00372EAC">
        <w:trPr>
          <w:trHeight w:val="310"/>
        </w:trPr>
        <w:tc>
          <w:tcPr>
            <w:tcW w:w="3420" w:type="dxa"/>
            <w:tcBorders>
              <w:top w:val="nil"/>
              <w:left w:val="nil"/>
              <w:bottom w:val="nil"/>
              <w:right w:val="nil"/>
            </w:tcBorders>
            <w:noWrap/>
            <w:hideMark/>
          </w:tcPr>
          <w:p w14:paraId="7D9ADA46" w14:textId="77777777" w:rsidR="0054039C" w:rsidRPr="00372EAC" w:rsidRDefault="0054039C" w:rsidP="00372EAC">
            <w:pPr>
              <w:spacing w:after="120"/>
              <w:jc w:val="both"/>
              <w:rPr>
                <w:rFonts w:ascii="Arial" w:hAnsi="Arial" w:cs="Arial"/>
                <w:i/>
                <w:iCs/>
                <w:color w:val="000000"/>
                <w:sz w:val="22"/>
                <w:szCs w:val="22"/>
                <w:lang w:eastAsia="en-ID"/>
              </w:rPr>
            </w:pPr>
            <w:r w:rsidRPr="00372EAC">
              <w:rPr>
                <w:rFonts w:ascii="Arial" w:hAnsi="Arial" w:cs="Arial"/>
                <w:i/>
                <w:iCs/>
                <w:color w:val="000000"/>
                <w:sz w:val="22"/>
                <w:szCs w:val="22"/>
                <w:lang w:eastAsia="en-ID"/>
              </w:rPr>
              <w:t xml:space="preserve">Circular Economy </w:t>
            </w:r>
          </w:p>
        </w:tc>
        <w:tc>
          <w:tcPr>
            <w:tcW w:w="1620" w:type="dxa"/>
            <w:tcBorders>
              <w:top w:val="nil"/>
              <w:left w:val="nil"/>
              <w:bottom w:val="nil"/>
              <w:right w:val="nil"/>
            </w:tcBorders>
            <w:noWrap/>
            <w:hideMark/>
          </w:tcPr>
          <w:p w14:paraId="38B4ACB6" w14:textId="77777777" w:rsidR="0054039C" w:rsidRPr="00372EAC" w:rsidRDefault="0054039C" w:rsidP="00372EAC">
            <w:pPr>
              <w:spacing w:after="120"/>
              <w:jc w:val="both"/>
              <w:rPr>
                <w:rFonts w:ascii="Arial" w:hAnsi="Arial" w:cs="Arial"/>
                <w:color w:val="000000"/>
                <w:sz w:val="22"/>
                <w:szCs w:val="22"/>
                <w:lang w:eastAsia="en-ID"/>
              </w:rPr>
            </w:pPr>
            <w:r w:rsidRPr="00372EAC">
              <w:rPr>
                <w:rFonts w:ascii="Arial" w:hAnsi="Arial" w:cs="Arial"/>
                <w:color w:val="000000"/>
                <w:sz w:val="22"/>
                <w:szCs w:val="22"/>
                <w:lang w:eastAsia="en-ID"/>
              </w:rPr>
              <w:t>0.987</w:t>
            </w:r>
          </w:p>
        </w:tc>
        <w:tc>
          <w:tcPr>
            <w:tcW w:w="1620" w:type="dxa"/>
            <w:tcBorders>
              <w:top w:val="nil"/>
              <w:left w:val="nil"/>
              <w:bottom w:val="nil"/>
              <w:right w:val="nil"/>
            </w:tcBorders>
            <w:noWrap/>
            <w:hideMark/>
          </w:tcPr>
          <w:p w14:paraId="06529092" w14:textId="77777777" w:rsidR="0054039C" w:rsidRPr="00372EAC" w:rsidRDefault="0054039C" w:rsidP="00372EAC">
            <w:pPr>
              <w:spacing w:after="120"/>
              <w:jc w:val="both"/>
              <w:rPr>
                <w:rFonts w:ascii="Arial" w:hAnsi="Arial" w:cs="Arial"/>
                <w:color w:val="000000"/>
                <w:sz w:val="22"/>
                <w:szCs w:val="22"/>
                <w:lang w:eastAsia="en-ID"/>
              </w:rPr>
            </w:pPr>
            <w:r w:rsidRPr="00372EAC">
              <w:rPr>
                <w:rFonts w:ascii="Arial" w:hAnsi="Arial" w:cs="Arial"/>
                <w:color w:val="000000"/>
                <w:sz w:val="22"/>
                <w:szCs w:val="22"/>
                <w:lang w:eastAsia="en-ID"/>
              </w:rPr>
              <w:t>0.989</w:t>
            </w:r>
          </w:p>
        </w:tc>
      </w:tr>
      <w:tr w:rsidR="0054039C" w:rsidRPr="00372EAC" w14:paraId="1B2C890B" w14:textId="77777777" w:rsidTr="00372EAC">
        <w:trPr>
          <w:trHeight w:val="310"/>
        </w:trPr>
        <w:tc>
          <w:tcPr>
            <w:tcW w:w="3420" w:type="dxa"/>
            <w:tcBorders>
              <w:top w:val="nil"/>
              <w:left w:val="nil"/>
              <w:bottom w:val="nil"/>
              <w:right w:val="nil"/>
            </w:tcBorders>
            <w:noWrap/>
            <w:hideMark/>
          </w:tcPr>
          <w:p w14:paraId="74D101DA" w14:textId="77777777" w:rsidR="0054039C" w:rsidRPr="00372EAC" w:rsidRDefault="0054039C" w:rsidP="00372EAC">
            <w:pPr>
              <w:spacing w:after="120"/>
              <w:jc w:val="both"/>
              <w:rPr>
                <w:rFonts w:ascii="Arial" w:hAnsi="Arial" w:cs="Arial"/>
                <w:i/>
                <w:iCs/>
                <w:color w:val="000000"/>
                <w:sz w:val="22"/>
                <w:szCs w:val="22"/>
                <w:lang w:eastAsia="en-ID"/>
              </w:rPr>
            </w:pPr>
            <w:r w:rsidRPr="00372EAC">
              <w:rPr>
                <w:rFonts w:ascii="Arial" w:hAnsi="Arial" w:cs="Arial"/>
                <w:i/>
                <w:iCs/>
                <w:color w:val="000000"/>
                <w:sz w:val="22"/>
                <w:szCs w:val="22"/>
                <w:lang w:eastAsia="en-ID"/>
              </w:rPr>
              <w:t xml:space="preserve">Green Innovation </w:t>
            </w:r>
          </w:p>
        </w:tc>
        <w:tc>
          <w:tcPr>
            <w:tcW w:w="1620" w:type="dxa"/>
            <w:tcBorders>
              <w:top w:val="nil"/>
              <w:left w:val="nil"/>
              <w:bottom w:val="nil"/>
              <w:right w:val="nil"/>
            </w:tcBorders>
            <w:noWrap/>
            <w:hideMark/>
          </w:tcPr>
          <w:p w14:paraId="11411091" w14:textId="77777777" w:rsidR="0054039C" w:rsidRPr="00372EAC" w:rsidRDefault="0054039C" w:rsidP="00372EAC">
            <w:pPr>
              <w:spacing w:after="120"/>
              <w:jc w:val="both"/>
              <w:rPr>
                <w:rFonts w:ascii="Arial" w:hAnsi="Arial" w:cs="Arial"/>
                <w:color w:val="000000"/>
                <w:sz w:val="22"/>
                <w:szCs w:val="22"/>
                <w:lang w:eastAsia="en-ID"/>
              </w:rPr>
            </w:pPr>
            <w:r w:rsidRPr="00372EAC">
              <w:rPr>
                <w:rFonts w:ascii="Arial" w:hAnsi="Arial" w:cs="Arial"/>
                <w:color w:val="000000"/>
                <w:sz w:val="22"/>
                <w:szCs w:val="22"/>
                <w:lang w:eastAsia="en-ID"/>
              </w:rPr>
              <w:t>0.993</w:t>
            </w:r>
          </w:p>
        </w:tc>
        <w:tc>
          <w:tcPr>
            <w:tcW w:w="1620" w:type="dxa"/>
            <w:tcBorders>
              <w:top w:val="nil"/>
              <w:left w:val="nil"/>
              <w:bottom w:val="nil"/>
              <w:right w:val="nil"/>
            </w:tcBorders>
            <w:noWrap/>
            <w:hideMark/>
          </w:tcPr>
          <w:p w14:paraId="082554A2" w14:textId="77777777" w:rsidR="0054039C" w:rsidRPr="00372EAC" w:rsidRDefault="0054039C" w:rsidP="00372EAC">
            <w:pPr>
              <w:spacing w:after="120"/>
              <w:jc w:val="both"/>
              <w:rPr>
                <w:rFonts w:ascii="Arial" w:hAnsi="Arial" w:cs="Arial"/>
                <w:color w:val="000000"/>
                <w:sz w:val="22"/>
                <w:szCs w:val="22"/>
                <w:lang w:eastAsia="en-ID"/>
              </w:rPr>
            </w:pPr>
            <w:r w:rsidRPr="00372EAC">
              <w:rPr>
                <w:rFonts w:ascii="Arial" w:hAnsi="Arial" w:cs="Arial"/>
                <w:color w:val="000000"/>
                <w:sz w:val="22"/>
                <w:szCs w:val="22"/>
                <w:lang w:eastAsia="en-ID"/>
              </w:rPr>
              <w:t>0.993</w:t>
            </w:r>
          </w:p>
        </w:tc>
      </w:tr>
      <w:tr w:rsidR="0054039C" w:rsidRPr="00372EAC" w14:paraId="3ED38B0C" w14:textId="77777777" w:rsidTr="00372EAC">
        <w:trPr>
          <w:trHeight w:val="310"/>
        </w:trPr>
        <w:tc>
          <w:tcPr>
            <w:tcW w:w="3420" w:type="dxa"/>
            <w:tcBorders>
              <w:top w:val="nil"/>
              <w:left w:val="nil"/>
              <w:bottom w:val="single" w:sz="4" w:space="0" w:color="auto"/>
              <w:right w:val="nil"/>
            </w:tcBorders>
            <w:noWrap/>
            <w:hideMark/>
          </w:tcPr>
          <w:p w14:paraId="16923BB2" w14:textId="77777777" w:rsidR="0054039C" w:rsidRPr="00372EAC" w:rsidRDefault="0054039C" w:rsidP="00372EAC">
            <w:pPr>
              <w:spacing w:after="120"/>
              <w:jc w:val="both"/>
              <w:rPr>
                <w:rFonts w:ascii="Arial" w:hAnsi="Arial" w:cs="Arial"/>
                <w:color w:val="000000"/>
                <w:sz w:val="22"/>
                <w:szCs w:val="22"/>
                <w:lang w:eastAsia="en-ID"/>
              </w:rPr>
            </w:pPr>
            <w:proofErr w:type="spellStart"/>
            <w:r w:rsidRPr="00372EAC">
              <w:rPr>
                <w:rFonts w:ascii="Arial" w:hAnsi="Arial" w:cs="Arial"/>
                <w:color w:val="000000"/>
                <w:sz w:val="22"/>
                <w:szCs w:val="22"/>
                <w:lang w:eastAsia="en-ID"/>
              </w:rPr>
              <w:t>Keberlanjutan</w:t>
            </w:r>
            <w:proofErr w:type="spellEnd"/>
            <w:r w:rsidRPr="00372EAC">
              <w:rPr>
                <w:rFonts w:ascii="Arial" w:hAnsi="Arial" w:cs="Arial"/>
                <w:color w:val="000000"/>
                <w:sz w:val="22"/>
                <w:szCs w:val="22"/>
                <w:lang w:eastAsia="en-ID"/>
              </w:rPr>
              <w:t xml:space="preserve"> </w:t>
            </w:r>
            <w:proofErr w:type="spellStart"/>
            <w:r w:rsidRPr="00372EAC">
              <w:rPr>
                <w:rFonts w:ascii="Arial" w:hAnsi="Arial" w:cs="Arial"/>
                <w:color w:val="000000"/>
                <w:sz w:val="22"/>
                <w:szCs w:val="22"/>
                <w:lang w:eastAsia="en-ID"/>
              </w:rPr>
              <w:t>Sosial</w:t>
            </w:r>
            <w:proofErr w:type="spellEnd"/>
            <w:r w:rsidRPr="00372EAC">
              <w:rPr>
                <w:rFonts w:ascii="Arial" w:hAnsi="Arial" w:cs="Arial"/>
                <w:color w:val="000000"/>
                <w:sz w:val="22"/>
                <w:szCs w:val="22"/>
                <w:lang w:eastAsia="en-ID"/>
              </w:rPr>
              <w:t xml:space="preserve"> UMKM </w:t>
            </w:r>
          </w:p>
        </w:tc>
        <w:tc>
          <w:tcPr>
            <w:tcW w:w="1620" w:type="dxa"/>
            <w:tcBorders>
              <w:top w:val="nil"/>
              <w:left w:val="nil"/>
              <w:bottom w:val="single" w:sz="4" w:space="0" w:color="auto"/>
              <w:right w:val="nil"/>
            </w:tcBorders>
            <w:noWrap/>
            <w:hideMark/>
          </w:tcPr>
          <w:p w14:paraId="0308E732" w14:textId="77777777" w:rsidR="0054039C" w:rsidRPr="00372EAC" w:rsidRDefault="0054039C" w:rsidP="00372EAC">
            <w:pPr>
              <w:spacing w:after="120"/>
              <w:jc w:val="both"/>
              <w:rPr>
                <w:rFonts w:ascii="Arial" w:hAnsi="Arial" w:cs="Arial"/>
                <w:color w:val="000000"/>
                <w:sz w:val="22"/>
                <w:szCs w:val="22"/>
                <w:lang w:eastAsia="en-ID"/>
              </w:rPr>
            </w:pPr>
            <w:r w:rsidRPr="00372EAC">
              <w:rPr>
                <w:rFonts w:ascii="Arial" w:hAnsi="Arial" w:cs="Arial"/>
                <w:color w:val="000000"/>
                <w:sz w:val="22"/>
                <w:szCs w:val="22"/>
                <w:lang w:eastAsia="en-ID"/>
              </w:rPr>
              <w:t>0.989</w:t>
            </w:r>
          </w:p>
        </w:tc>
        <w:tc>
          <w:tcPr>
            <w:tcW w:w="1620" w:type="dxa"/>
            <w:tcBorders>
              <w:top w:val="nil"/>
              <w:left w:val="nil"/>
              <w:bottom w:val="single" w:sz="4" w:space="0" w:color="auto"/>
              <w:right w:val="nil"/>
            </w:tcBorders>
            <w:noWrap/>
            <w:hideMark/>
          </w:tcPr>
          <w:p w14:paraId="079A203D" w14:textId="77777777" w:rsidR="0054039C" w:rsidRPr="00372EAC" w:rsidRDefault="0054039C" w:rsidP="00372EAC">
            <w:pPr>
              <w:spacing w:after="120"/>
              <w:jc w:val="both"/>
              <w:rPr>
                <w:rFonts w:ascii="Arial" w:hAnsi="Arial" w:cs="Arial"/>
                <w:color w:val="000000"/>
                <w:sz w:val="22"/>
                <w:szCs w:val="22"/>
                <w:lang w:eastAsia="en-ID"/>
              </w:rPr>
            </w:pPr>
            <w:r w:rsidRPr="00372EAC">
              <w:rPr>
                <w:rFonts w:ascii="Arial" w:hAnsi="Arial" w:cs="Arial"/>
                <w:color w:val="000000"/>
                <w:sz w:val="22"/>
                <w:szCs w:val="22"/>
                <w:lang w:eastAsia="en-ID"/>
              </w:rPr>
              <w:t>0.990</w:t>
            </w:r>
          </w:p>
        </w:tc>
      </w:tr>
    </w:tbl>
    <w:p w14:paraId="35F9040D" w14:textId="57E1DD0D" w:rsidR="0054039C" w:rsidRPr="0054039C" w:rsidRDefault="0054039C" w:rsidP="00372EAC">
      <w:pPr>
        <w:spacing w:after="120"/>
        <w:jc w:val="both"/>
        <w:rPr>
          <w:rFonts w:ascii="Times New Roman" w:hAnsi="Times New Roman" w:cs="Times New Roman"/>
        </w:rPr>
      </w:pPr>
    </w:p>
    <w:p w14:paraId="38308542" w14:textId="77777777" w:rsidR="0054039C" w:rsidRPr="0054039C" w:rsidRDefault="000564AC" w:rsidP="00372EAC">
      <w:pPr>
        <w:spacing w:after="120"/>
        <w:jc w:val="both"/>
        <w:rPr>
          <w:rFonts w:ascii="Times New Roman" w:eastAsia="Times New Roman" w:hAnsi="Times New Roman" w:cs="Times New Roman"/>
        </w:rPr>
      </w:pPr>
      <w:r>
        <w:rPr>
          <w:rFonts w:ascii="Times New Roman" w:eastAsia="Times New Roman" w:hAnsi="Times New Roman" w:cs="Times New Roman"/>
          <w:noProof/>
        </w:rPr>
        <w:pict w14:anchorId="66F03389">
          <v:rect id="_x0000_i1029" alt="" style="width:468pt;height:.05pt;mso-width-percent:0;mso-height-percent:0;mso-width-percent:0;mso-height-percent:0" o:hralign="center" o:hrstd="t" o:hr="t" fillcolor="#a0a0a0" stroked="f"/>
        </w:pict>
      </w:r>
    </w:p>
    <w:p w14:paraId="3874F57E"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4. Results</w:t>
      </w:r>
    </w:p>
    <w:p w14:paraId="79FAA54E"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4.1 Descriptive Analysis</w:t>
      </w:r>
    </w:p>
    <w:p w14:paraId="1FA4ACEE"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b/>
          <w:bCs/>
          <w:sz w:val="22"/>
          <w:szCs w:val="22"/>
        </w:rPr>
        <w:t>Circular Economy (CE):</w:t>
      </w:r>
      <w:r w:rsidRPr="0054039C">
        <w:rPr>
          <w:rFonts w:ascii="Arial" w:eastAsia="Times New Roman" w:hAnsi="Arial" w:cs="Arial"/>
          <w:sz w:val="22"/>
          <w:szCs w:val="22"/>
        </w:rPr>
        <w:t xml:space="preserve"> Average score 5.94 (moderately good). Strongest dimension: active waste management (6.68). Weakest: routine reuse of materials (5.16).</w:t>
      </w:r>
    </w:p>
    <w:p w14:paraId="0B8AE93A"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b/>
          <w:bCs/>
          <w:sz w:val="22"/>
          <w:szCs w:val="22"/>
        </w:rPr>
        <w:t>Green Innovation (GI):</w:t>
      </w:r>
      <w:r w:rsidRPr="0054039C">
        <w:rPr>
          <w:rFonts w:ascii="Arial" w:eastAsia="Times New Roman" w:hAnsi="Arial" w:cs="Arial"/>
          <w:sz w:val="22"/>
          <w:szCs w:val="22"/>
        </w:rPr>
        <w:t xml:space="preserve"> Average score 6.41 (good). Strongest: importance of continuous innovation (7.08). Weakest: prioritization of investment in efficient technology (5.60).</w:t>
      </w:r>
    </w:p>
    <w:p w14:paraId="6B220379"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b/>
          <w:bCs/>
          <w:sz w:val="22"/>
          <w:szCs w:val="22"/>
        </w:rPr>
        <w:t>Social Sustainability (SS):</w:t>
      </w:r>
      <w:r w:rsidRPr="0054039C">
        <w:rPr>
          <w:rFonts w:ascii="Arial" w:eastAsia="Times New Roman" w:hAnsi="Arial" w:cs="Arial"/>
          <w:sz w:val="22"/>
          <w:szCs w:val="22"/>
        </w:rPr>
        <w:t xml:space="preserve"> Average score 5.99 (moderately good). Strongest: creating high-quality, useful products (8.11). Weakest: providing training/workshops for local communities (3.79).</w:t>
      </w:r>
    </w:p>
    <w:p w14:paraId="12EC3C02"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4.2 Reliability and Validity</w:t>
      </w:r>
    </w:p>
    <w:p w14:paraId="0BC6E6BB"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Cronbach’s Alpha values exceeded 0.98 for all constructs, indicating excellent reliability. AVE values surpassed 0.5, confirming construct validity.</w:t>
      </w:r>
    </w:p>
    <w:p w14:paraId="688E4AC7"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4.3 Hypothesis Testing</w:t>
      </w:r>
    </w:p>
    <w:p w14:paraId="35D7B2FF" w14:textId="7318788A"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 xml:space="preserve">SEM-PLS </w:t>
      </w:r>
      <w:proofErr w:type="gramStart"/>
      <w:r w:rsidRPr="0054039C">
        <w:rPr>
          <w:rFonts w:ascii="Arial" w:eastAsia="Times New Roman" w:hAnsi="Arial" w:cs="Arial"/>
          <w:sz w:val="22"/>
          <w:szCs w:val="22"/>
        </w:rPr>
        <w:t>results</w:t>
      </w:r>
      <w:r w:rsidRPr="00372EAC">
        <w:rPr>
          <w:rFonts w:ascii="Arial" w:eastAsia="Times New Roman" w:hAnsi="Arial" w:cs="Arial"/>
          <w:sz w:val="22"/>
          <w:szCs w:val="22"/>
        </w:rPr>
        <w:t xml:space="preserve"> </w:t>
      </w:r>
      <w:r w:rsidRPr="0054039C">
        <w:rPr>
          <w:rFonts w:ascii="Arial" w:eastAsia="Times New Roman" w:hAnsi="Arial" w:cs="Arial"/>
          <w:sz w:val="22"/>
          <w:szCs w:val="22"/>
        </w:rPr>
        <w:t>:</w:t>
      </w:r>
      <w:proofErr w:type="gramEnd"/>
    </w:p>
    <w:p w14:paraId="449A2494" w14:textId="17E6C188" w:rsidR="0054039C" w:rsidRPr="00372EAC" w:rsidRDefault="0054039C" w:rsidP="00372EAC">
      <w:pPr>
        <w:spacing w:after="120"/>
        <w:jc w:val="both"/>
        <w:rPr>
          <w:rFonts w:ascii="Arial" w:eastAsia="Times New Roman" w:hAnsi="Arial" w:cs="Arial"/>
          <w:b/>
          <w:bCs/>
          <w:sz w:val="22"/>
          <w:szCs w:val="22"/>
        </w:rPr>
      </w:pPr>
      <w:r w:rsidRPr="00372EAC">
        <w:rPr>
          <w:rFonts w:ascii="Arial" w:eastAsia="Times New Roman" w:hAnsi="Arial" w:cs="Arial"/>
          <w:b/>
          <w:bCs/>
          <w:sz w:val="22"/>
          <w:szCs w:val="22"/>
        </w:rPr>
        <w:t>Table 2</w:t>
      </w:r>
      <w:r w:rsidR="00372EAC" w:rsidRPr="00372EAC">
        <w:rPr>
          <w:rFonts w:ascii="Arial" w:eastAsia="Times New Roman" w:hAnsi="Arial" w:cs="Arial"/>
          <w:b/>
          <w:bCs/>
          <w:sz w:val="22"/>
          <w:szCs w:val="22"/>
        </w:rPr>
        <w:t xml:space="preserve">. </w:t>
      </w:r>
      <w:r w:rsidRPr="00372EAC">
        <w:rPr>
          <w:rFonts w:ascii="Arial" w:eastAsia="Times New Roman" w:hAnsi="Arial" w:cs="Arial"/>
          <w:b/>
          <w:bCs/>
          <w:sz w:val="22"/>
          <w:szCs w:val="22"/>
        </w:rPr>
        <w:t>PLS Model Testing and Result</w:t>
      </w:r>
    </w:p>
    <w:tbl>
      <w:tblPr>
        <w:tblW w:w="9280" w:type="dxa"/>
        <w:tblLook w:val="04A0" w:firstRow="1" w:lastRow="0" w:firstColumn="1" w:lastColumn="0" w:noHBand="0" w:noVBand="1"/>
      </w:tblPr>
      <w:tblGrid>
        <w:gridCol w:w="3544"/>
        <w:gridCol w:w="1400"/>
        <w:gridCol w:w="1400"/>
        <w:gridCol w:w="1536"/>
        <w:gridCol w:w="1400"/>
      </w:tblGrid>
      <w:tr w:rsidR="0054039C" w:rsidRPr="00372EAC" w14:paraId="468E5CF7" w14:textId="77777777" w:rsidTr="00A66FCE">
        <w:trPr>
          <w:trHeight w:val="900"/>
        </w:trPr>
        <w:tc>
          <w:tcPr>
            <w:tcW w:w="3544" w:type="dxa"/>
            <w:tcBorders>
              <w:top w:val="single" w:sz="4" w:space="0" w:color="auto"/>
              <w:left w:val="nil"/>
              <w:bottom w:val="single" w:sz="4" w:space="0" w:color="auto"/>
              <w:right w:val="nil"/>
            </w:tcBorders>
            <w:vAlign w:val="center"/>
            <w:hideMark/>
          </w:tcPr>
          <w:p w14:paraId="687A25A5" w14:textId="77777777" w:rsidR="0054039C" w:rsidRPr="00372EAC" w:rsidRDefault="0054039C" w:rsidP="00372EAC">
            <w:pPr>
              <w:spacing w:after="120"/>
              <w:jc w:val="both"/>
              <w:rPr>
                <w:rFonts w:ascii="Arial" w:eastAsia="Times New Roman" w:hAnsi="Arial" w:cs="Arial"/>
                <w:b/>
                <w:bCs/>
                <w:sz w:val="22"/>
                <w:szCs w:val="22"/>
              </w:rPr>
            </w:pPr>
            <w:r w:rsidRPr="00372EAC">
              <w:rPr>
                <w:rFonts w:ascii="Arial" w:eastAsia="Times New Roman" w:hAnsi="Arial" w:cs="Arial"/>
                <w:b/>
                <w:bCs/>
                <w:sz w:val="22"/>
                <w:szCs w:val="22"/>
              </w:rPr>
              <w:t>Direct Effect</w:t>
            </w:r>
          </w:p>
        </w:tc>
        <w:tc>
          <w:tcPr>
            <w:tcW w:w="1400" w:type="dxa"/>
            <w:tcBorders>
              <w:top w:val="single" w:sz="4" w:space="0" w:color="auto"/>
              <w:left w:val="nil"/>
              <w:bottom w:val="single" w:sz="4" w:space="0" w:color="auto"/>
              <w:right w:val="nil"/>
            </w:tcBorders>
            <w:vAlign w:val="center"/>
            <w:hideMark/>
          </w:tcPr>
          <w:p w14:paraId="310309A7" w14:textId="77777777" w:rsidR="0054039C" w:rsidRPr="00372EAC" w:rsidRDefault="0054039C" w:rsidP="00372EAC">
            <w:pPr>
              <w:spacing w:after="120"/>
              <w:jc w:val="both"/>
              <w:rPr>
                <w:rFonts w:ascii="Arial" w:eastAsia="Times New Roman" w:hAnsi="Arial" w:cs="Arial"/>
                <w:b/>
                <w:bCs/>
                <w:sz w:val="22"/>
                <w:szCs w:val="22"/>
              </w:rPr>
            </w:pPr>
            <w:r w:rsidRPr="00372EAC">
              <w:rPr>
                <w:rFonts w:ascii="Arial" w:eastAsia="Times New Roman" w:hAnsi="Arial" w:cs="Arial"/>
                <w:b/>
                <w:bCs/>
                <w:sz w:val="22"/>
                <w:szCs w:val="22"/>
              </w:rPr>
              <w:t>Original Sample (O)</w:t>
            </w:r>
          </w:p>
        </w:tc>
        <w:tc>
          <w:tcPr>
            <w:tcW w:w="1400" w:type="dxa"/>
            <w:tcBorders>
              <w:top w:val="single" w:sz="4" w:space="0" w:color="auto"/>
              <w:left w:val="nil"/>
              <w:bottom w:val="single" w:sz="4" w:space="0" w:color="auto"/>
              <w:right w:val="nil"/>
            </w:tcBorders>
            <w:vAlign w:val="center"/>
            <w:hideMark/>
          </w:tcPr>
          <w:p w14:paraId="5C9615EC" w14:textId="77777777" w:rsidR="0054039C" w:rsidRPr="00372EAC" w:rsidRDefault="0054039C" w:rsidP="00372EAC">
            <w:pPr>
              <w:spacing w:after="120"/>
              <w:jc w:val="both"/>
              <w:rPr>
                <w:rFonts w:ascii="Arial" w:eastAsia="Times New Roman" w:hAnsi="Arial" w:cs="Arial"/>
                <w:b/>
                <w:bCs/>
                <w:sz w:val="22"/>
                <w:szCs w:val="22"/>
              </w:rPr>
            </w:pPr>
            <w:r w:rsidRPr="00372EAC">
              <w:rPr>
                <w:rFonts w:ascii="Arial" w:eastAsia="Times New Roman" w:hAnsi="Arial" w:cs="Arial"/>
                <w:b/>
                <w:bCs/>
                <w:sz w:val="22"/>
                <w:szCs w:val="22"/>
              </w:rPr>
              <w:t>Standard Deviation (STDEV)</w:t>
            </w:r>
          </w:p>
        </w:tc>
        <w:tc>
          <w:tcPr>
            <w:tcW w:w="1536" w:type="dxa"/>
            <w:tcBorders>
              <w:top w:val="single" w:sz="4" w:space="0" w:color="auto"/>
              <w:left w:val="nil"/>
              <w:bottom w:val="single" w:sz="4" w:space="0" w:color="auto"/>
              <w:right w:val="nil"/>
            </w:tcBorders>
            <w:vAlign w:val="center"/>
            <w:hideMark/>
          </w:tcPr>
          <w:p w14:paraId="04D3D8CD" w14:textId="77777777" w:rsidR="0054039C" w:rsidRPr="00372EAC" w:rsidRDefault="0054039C" w:rsidP="00372EAC">
            <w:pPr>
              <w:spacing w:after="120"/>
              <w:jc w:val="both"/>
              <w:rPr>
                <w:rFonts w:ascii="Arial" w:eastAsia="Times New Roman" w:hAnsi="Arial" w:cs="Arial"/>
                <w:b/>
                <w:bCs/>
                <w:sz w:val="22"/>
                <w:szCs w:val="22"/>
              </w:rPr>
            </w:pPr>
            <w:r w:rsidRPr="00372EAC">
              <w:rPr>
                <w:rFonts w:ascii="Arial" w:eastAsia="Times New Roman" w:hAnsi="Arial" w:cs="Arial"/>
                <w:b/>
                <w:bCs/>
                <w:sz w:val="22"/>
                <w:szCs w:val="22"/>
              </w:rPr>
              <w:t>T Statistics (|O/STDEV|)</w:t>
            </w:r>
          </w:p>
        </w:tc>
        <w:tc>
          <w:tcPr>
            <w:tcW w:w="1400" w:type="dxa"/>
            <w:tcBorders>
              <w:top w:val="single" w:sz="4" w:space="0" w:color="auto"/>
              <w:left w:val="nil"/>
              <w:bottom w:val="single" w:sz="4" w:space="0" w:color="auto"/>
              <w:right w:val="nil"/>
            </w:tcBorders>
            <w:vAlign w:val="center"/>
            <w:hideMark/>
          </w:tcPr>
          <w:p w14:paraId="4E30F0B0" w14:textId="77777777" w:rsidR="0054039C" w:rsidRPr="00372EAC" w:rsidRDefault="0054039C" w:rsidP="00372EAC">
            <w:pPr>
              <w:spacing w:after="120"/>
              <w:jc w:val="both"/>
              <w:rPr>
                <w:rFonts w:ascii="Arial" w:eastAsia="Times New Roman" w:hAnsi="Arial" w:cs="Arial"/>
                <w:b/>
                <w:bCs/>
                <w:sz w:val="22"/>
                <w:szCs w:val="22"/>
              </w:rPr>
            </w:pPr>
            <w:r w:rsidRPr="00372EAC">
              <w:rPr>
                <w:rFonts w:ascii="Arial" w:eastAsia="Times New Roman" w:hAnsi="Arial" w:cs="Arial"/>
                <w:b/>
                <w:bCs/>
                <w:sz w:val="22"/>
                <w:szCs w:val="22"/>
              </w:rPr>
              <w:t>P Values</w:t>
            </w:r>
          </w:p>
        </w:tc>
      </w:tr>
      <w:tr w:rsidR="0054039C" w:rsidRPr="00372EAC" w14:paraId="1733B245" w14:textId="77777777" w:rsidTr="00A66FCE">
        <w:trPr>
          <w:trHeight w:val="620"/>
        </w:trPr>
        <w:tc>
          <w:tcPr>
            <w:tcW w:w="3544" w:type="dxa"/>
            <w:tcBorders>
              <w:top w:val="nil"/>
              <w:left w:val="nil"/>
              <w:bottom w:val="nil"/>
              <w:right w:val="nil"/>
            </w:tcBorders>
            <w:hideMark/>
          </w:tcPr>
          <w:p w14:paraId="5E913F14" w14:textId="25BA2688" w:rsidR="0054039C" w:rsidRPr="00372EAC" w:rsidRDefault="0054039C" w:rsidP="00372EAC">
            <w:pPr>
              <w:spacing w:after="120"/>
              <w:jc w:val="both"/>
              <w:rPr>
                <w:rFonts w:ascii="Arial" w:eastAsia="Times New Roman" w:hAnsi="Arial" w:cs="Arial"/>
                <w:sz w:val="22"/>
                <w:szCs w:val="22"/>
              </w:rPr>
            </w:pPr>
            <w:r w:rsidRPr="00372EAC">
              <w:rPr>
                <w:rFonts w:ascii="Arial" w:eastAsia="Times New Roman" w:hAnsi="Arial" w:cs="Arial"/>
                <w:sz w:val="22"/>
                <w:szCs w:val="22"/>
              </w:rPr>
              <w:t xml:space="preserve">Circular </w:t>
            </w:r>
            <w:proofErr w:type="gramStart"/>
            <w:r w:rsidRPr="00372EAC">
              <w:rPr>
                <w:rFonts w:ascii="Arial" w:eastAsia="Times New Roman" w:hAnsi="Arial" w:cs="Arial"/>
                <w:sz w:val="22"/>
                <w:szCs w:val="22"/>
              </w:rPr>
              <w:t>Economy  -</w:t>
            </w:r>
            <w:proofErr w:type="gramEnd"/>
            <w:r w:rsidRPr="00372EAC">
              <w:rPr>
                <w:rFonts w:ascii="Arial" w:eastAsia="Times New Roman" w:hAnsi="Arial" w:cs="Arial"/>
                <w:sz w:val="22"/>
                <w:szCs w:val="22"/>
              </w:rPr>
              <w:t xml:space="preserve">&gt; </w:t>
            </w:r>
            <w:r w:rsidR="00145C3A" w:rsidRPr="00145C3A">
              <w:rPr>
                <w:rFonts w:ascii="Arial" w:eastAsia="Times New Roman" w:hAnsi="Arial" w:cs="Arial"/>
                <w:sz w:val="22"/>
                <w:szCs w:val="22"/>
              </w:rPr>
              <w:t xml:space="preserve">Sustainability </w:t>
            </w:r>
            <w:proofErr w:type="spellStart"/>
            <w:r w:rsidRPr="00372EAC">
              <w:rPr>
                <w:rFonts w:ascii="Arial" w:eastAsia="Times New Roman" w:hAnsi="Arial" w:cs="Arial"/>
                <w:sz w:val="22"/>
                <w:szCs w:val="22"/>
              </w:rPr>
              <w:t>Sosial</w:t>
            </w:r>
            <w:proofErr w:type="spellEnd"/>
            <w:r w:rsidRPr="00372EAC">
              <w:rPr>
                <w:rFonts w:ascii="Arial" w:eastAsia="Times New Roman" w:hAnsi="Arial" w:cs="Arial"/>
                <w:sz w:val="22"/>
                <w:szCs w:val="22"/>
              </w:rPr>
              <w:t xml:space="preserve"> UMKM </w:t>
            </w:r>
          </w:p>
        </w:tc>
        <w:tc>
          <w:tcPr>
            <w:tcW w:w="1400" w:type="dxa"/>
            <w:tcBorders>
              <w:top w:val="nil"/>
              <w:left w:val="nil"/>
              <w:bottom w:val="nil"/>
              <w:right w:val="nil"/>
            </w:tcBorders>
            <w:noWrap/>
            <w:hideMark/>
          </w:tcPr>
          <w:p w14:paraId="052DC9D2" w14:textId="77777777" w:rsidR="0054039C" w:rsidRPr="00372EAC" w:rsidRDefault="0054039C" w:rsidP="00372EAC">
            <w:pPr>
              <w:spacing w:after="120"/>
              <w:jc w:val="both"/>
              <w:rPr>
                <w:rFonts w:ascii="Arial" w:eastAsia="Times New Roman" w:hAnsi="Arial" w:cs="Arial"/>
                <w:sz w:val="22"/>
                <w:szCs w:val="22"/>
              </w:rPr>
            </w:pPr>
            <w:r w:rsidRPr="00372EAC">
              <w:rPr>
                <w:rFonts w:ascii="Arial" w:eastAsia="Times New Roman" w:hAnsi="Arial" w:cs="Arial"/>
                <w:sz w:val="22"/>
                <w:szCs w:val="22"/>
              </w:rPr>
              <w:t>0.448</w:t>
            </w:r>
          </w:p>
        </w:tc>
        <w:tc>
          <w:tcPr>
            <w:tcW w:w="1400" w:type="dxa"/>
            <w:tcBorders>
              <w:top w:val="nil"/>
              <w:left w:val="nil"/>
              <w:bottom w:val="nil"/>
              <w:right w:val="nil"/>
            </w:tcBorders>
            <w:noWrap/>
            <w:hideMark/>
          </w:tcPr>
          <w:p w14:paraId="48A431D0" w14:textId="77777777" w:rsidR="0054039C" w:rsidRPr="00372EAC" w:rsidRDefault="0054039C" w:rsidP="00372EAC">
            <w:pPr>
              <w:spacing w:after="120"/>
              <w:jc w:val="both"/>
              <w:rPr>
                <w:rFonts w:ascii="Arial" w:eastAsia="Times New Roman" w:hAnsi="Arial" w:cs="Arial"/>
                <w:sz w:val="22"/>
                <w:szCs w:val="22"/>
              </w:rPr>
            </w:pPr>
            <w:r w:rsidRPr="00372EAC">
              <w:rPr>
                <w:rFonts w:ascii="Arial" w:eastAsia="Times New Roman" w:hAnsi="Arial" w:cs="Arial"/>
                <w:sz w:val="22"/>
                <w:szCs w:val="22"/>
              </w:rPr>
              <w:t>0.120</w:t>
            </w:r>
          </w:p>
        </w:tc>
        <w:tc>
          <w:tcPr>
            <w:tcW w:w="1536" w:type="dxa"/>
            <w:tcBorders>
              <w:top w:val="nil"/>
              <w:left w:val="nil"/>
              <w:bottom w:val="nil"/>
              <w:right w:val="nil"/>
            </w:tcBorders>
            <w:noWrap/>
            <w:hideMark/>
          </w:tcPr>
          <w:p w14:paraId="5E17DF10" w14:textId="77777777" w:rsidR="0054039C" w:rsidRPr="00372EAC" w:rsidRDefault="0054039C" w:rsidP="00372EAC">
            <w:pPr>
              <w:spacing w:after="120"/>
              <w:jc w:val="both"/>
              <w:rPr>
                <w:rFonts w:ascii="Arial" w:eastAsia="Times New Roman" w:hAnsi="Arial" w:cs="Arial"/>
                <w:sz w:val="22"/>
                <w:szCs w:val="22"/>
              </w:rPr>
            </w:pPr>
            <w:r w:rsidRPr="00372EAC">
              <w:rPr>
                <w:rFonts w:ascii="Arial" w:eastAsia="Times New Roman" w:hAnsi="Arial" w:cs="Arial"/>
                <w:sz w:val="22"/>
                <w:szCs w:val="22"/>
              </w:rPr>
              <w:t>3.736</w:t>
            </w:r>
          </w:p>
        </w:tc>
        <w:tc>
          <w:tcPr>
            <w:tcW w:w="1400" w:type="dxa"/>
            <w:tcBorders>
              <w:top w:val="nil"/>
              <w:left w:val="nil"/>
              <w:bottom w:val="nil"/>
              <w:right w:val="nil"/>
            </w:tcBorders>
            <w:noWrap/>
            <w:hideMark/>
          </w:tcPr>
          <w:p w14:paraId="54D5553C" w14:textId="77777777" w:rsidR="0054039C" w:rsidRPr="00372EAC" w:rsidRDefault="0054039C" w:rsidP="00372EAC">
            <w:pPr>
              <w:spacing w:after="120"/>
              <w:jc w:val="both"/>
              <w:rPr>
                <w:rFonts w:ascii="Arial" w:eastAsia="Times New Roman" w:hAnsi="Arial" w:cs="Arial"/>
                <w:sz w:val="22"/>
                <w:szCs w:val="22"/>
              </w:rPr>
            </w:pPr>
            <w:r w:rsidRPr="00372EAC">
              <w:rPr>
                <w:rFonts w:ascii="Arial" w:eastAsia="Times New Roman" w:hAnsi="Arial" w:cs="Arial"/>
                <w:sz w:val="22"/>
                <w:szCs w:val="22"/>
              </w:rPr>
              <w:t>0.000</w:t>
            </w:r>
          </w:p>
        </w:tc>
      </w:tr>
      <w:tr w:rsidR="0054039C" w:rsidRPr="00372EAC" w14:paraId="68B572C6" w14:textId="77777777" w:rsidTr="00A66FCE">
        <w:trPr>
          <w:trHeight w:val="620"/>
        </w:trPr>
        <w:tc>
          <w:tcPr>
            <w:tcW w:w="3544" w:type="dxa"/>
            <w:tcBorders>
              <w:top w:val="nil"/>
              <w:left w:val="nil"/>
              <w:bottom w:val="single" w:sz="4" w:space="0" w:color="auto"/>
              <w:right w:val="nil"/>
            </w:tcBorders>
            <w:hideMark/>
          </w:tcPr>
          <w:p w14:paraId="354AC1E1" w14:textId="0821BB9D" w:rsidR="0054039C" w:rsidRPr="00372EAC" w:rsidRDefault="0054039C" w:rsidP="00372EAC">
            <w:pPr>
              <w:spacing w:after="120"/>
              <w:jc w:val="both"/>
              <w:rPr>
                <w:rFonts w:ascii="Arial" w:eastAsia="Times New Roman" w:hAnsi="Arial" w:cs="Arial"/>
                <w:sz w:val="22"/>
                <w:szCs w:val="22"/>
              </w:rPr>
            </w:pPr>
            <w:r w:rsidRPr="00372EAC">
              <w:rPr>
                <w:rFonts w:ascii="Arial" w:eastAsia="Times New Roman" w:hAnsi="Arial" w:cs="Arial"/>
                <w:sz w:val="22"/>
                <w:szCs w:val="22"/>
              </w:rPr>
              <w:t xml:space="preserve">Green </w:t>
            </w:r>
            <w:proofErr w:type="gramStart"/>
            <w:r w:rsidRPr="00372EAC">
              <w:rPr>
                <w:rFonts w:ascii="Arial" w:eastAsia="Times New Roman" w:hAnsi="Arial" w:cs="Arial"/>
                <w:sz w:val="22"/>
                <w:szCs w:val="22"/>
              </w:rPr>
              <w:t>Innovation  -</w:t>
            </w:r>
            <w:proofErr w:type="gramEnd"/>
            <w:r w:rsidRPr="00372EAC">
              <w:rPr>
                <w:rFonts w:ascii="Arial" w:eastAsia="Times New Roman" w:hAnsi="Arial" w:cs="Arial"/>
                <w:sz w:val="22"/>
                <w:szCs w:val="22"/>
              </w:rPr>
              <w:t xml:space="preserve">&gt; </w:t>
            </w:r>
            <w:r w:rsidR="00145C3A" w:rsidRPr="00145C3A">
              <w:rPr>
                <w:rFonts w:ascii="Arial" w:eastAsia="Times New Roman" w:hAnsi="Arial" w:cs="Arial"/>
                <w:sz w:val="22"/>
                <w:szCs w:val="22"/>
              </w:rPr>
              <w:t xml:space="preserve">Sustainability </w:t>
            </w:r>
            <w:proofErr w:type="spellStart"/>
            <w:r w:rsidRPr="00372EAC">
              <w:rPr>
                <w:rFonts w:ascii="Arial" w:eastAsia="Times New Roman" w:hAnsi="Arial" w:cs="Arial"/>
                <w:sz w:val="22"/>
                <w:szCs w:val="22"/>
              </w:rPr>
              <w:t>Sosial</w:t>
            </w:r>
            <w:proofErr w:type="spellEnd"/>
            <w:r w:rsidRPr="00372EAC">
              <w:rPr>
                <w:rFonts w:ascii="Arial" w:eastAsia="Times New Roman" w:hAnsi="Arial" w:cs="Arial"/>
                <w:sz w:val="22"/>
                <w:szCs w:val="22"/>
              </w:rPr>
              <w:t xml:space="preserve"> UMKM </w:t>
            </w:r>
          </w:p>
        </w:tc>
        <w:tc>
          <w:tcPr>
            <w:tcW w:w="1400" w:type="dxa"/>
            <w:tcBorders>
              <w:top w:val="nil"/>
              <w:left w:val="nil"/>
              <w:bottom w:val="single" w:sz="4" w:space="0" w:color="auto"/>
              <w:right w:val="nil"/>
            </w:tcBorders>
            <w:noWrap/>
            <w:hideMark/>
          </w:tcPr>
          <w:p w14:paraId="0FFCB327" w14:textId="77777777" w:rsidR="0054039C" w:rsidRPr="00372EAC" w:rsidRDefault="0054039C" w:rsidP="00372EAC">
            <w:pPr>
              <w:spacing w:after="120"/>
              <w:jc w:val="both"/>
              <w:rPr>
                <w:rFonts w:ascii="Arial" w:eastAsia="Times New Roman" w:hAnsi="Arial" w:cs="Arial"/>
                <w:sz w:val="22"/>
                <w:szCs w:val="22"/>
              </w:rPr>
            </w:pPr>
            <w:r w:rsidRPr="00372EAC">
              <w:rPr>
                <w:rFonts w:ascii="Arial" w:eastAsia="Times New Roman" w:hAnsi="Arial" w:cs="Arial"/>
                <w:sz w:val="22"/>
                <w:szCs w:val="22"/>
              </w:rPr>
              <w:t>0.547</w:t>
            </w:r>
          </w:p>
        </w:tc>
        <w:tc>
          <w:tcPr>
            <w:tcW w:w="1400" w:type="dxa"/>
            <w:tcBorders>
              <w:top w:val="nil"/>
              <w:left w:val="nil"/>
              <w:bottom w:val="single" w:sz="4" w:space="0" w:color="auto"/>
              <w:right w:val="nil"/>
            </w:tcBorders>
            <w:noWrap/>
            <w:hideMark/>
          </w:tcPr>
          <w:p w14:paraId="6C718D8C" w14:textId="77777777" w:rsidR="0054039C" w:rsidRPr="00372EAC" w:rsidRDefault="0054039C" w:rsidP="00372EAC">
            <w:pPr>
              <w:spacing w:after="120"/>
              <w:jc w:val="both"/>
              <w:rPr>
                <w:rFonts w:ascii="Arial" w:eastAsia="Times New Roman" w:hAnsi="Arial" w:cs="Arial"/>
                <w:sz w:val="22"/>
                <w:szCs w:val="22"/>
              </w:rPr>
            </w:pPr>
            <w:r w:rsidRPr="00372EAC">
              <w:rPr>
                <w:rFonts w:ascii="Arial" w:eastAsia="Times New Roman" w:hAnsi="Arial" w:cs="Arial"/>
                <w:sz w:val="22"/>
                <w:szCs w:val="22"/>
              </w:rPr>
              <w:t>0.120</w:t>
            </w:r>
          </w:p>
        </w:tc>
        <w:tc>
          <w:tcPr>
            <w:tcW w:w="1536" w:type="dxa"/>
            <w:tcBorders>
              <w:top w:val="nil"/>
              <w:left w:val="nil"/>
              <w:bottom w:val="single" w:sz="4" w:space="0" w:color="auto"/>
              <w:right w:val="nil"/>
            </w:tcBorders>
            <w:noWrap/>
            <w:hideMark/>
          </w:tcPr>
          <w:p w14:paraId="5B501E68" w14:textId="77777777" w:rsidR="0054039C" w:rsidRPr="00372EAC" w:rsidRDefault="0054039C" w:rsidP="00372EAC">
            <w:pPr>
              <w:spacing w:after="120"/>
              <w:jc w:val="both"/>
              <w:rPr>
                <w:rFonts w:ascii="Arial" w:eastAsia="Times New Roman" w:hAnsi="Arial" w:cs="Arial"/>
                <w:sz w:val="22"/>
                <w:szCs w:val="22"/>
              </w:rPr>
            </w:pPr>
            <w:r w:rsidRPr="00372EAC">
              <w:rPr>
                <w:rFonts w:ascii="Arial" w:eastAsia="Times New Roman" w:hAnsi="Arial" w:cs="Arial"/>
                <w:sz w:val="22"/>
                <w:szCs w:val="22"/>
              </w:rPr>
              <w:t>4.553</w:t>
            </w:r>
          </w:p>
        </w:tc>
        <w:tc>
          <w:tcPr>
            <w:tcW w:w="1400" w:type="dxa"/>
            <w:tcBorders>
              <w:top w:val="nil"/>
              <w:left w:val="nil"/>
              <w:bottom w:val="single" w:sz="4" w:space="0" w:color="auto"/>
              <w:right w:val="nil"/>
            </w:tcBorders>
            <w:noWrap/>
            <w:hideMark/>
          </w:tcPr>
          <w:p w14:paraId="2BAB6103" w14:textId="77777777" w:rsidR="0054039C" w:rsidRPr="00372EAC" w:rsidRDefault="0054039C" w:rsidP="00372EAC">
            <w:pPr>
              <w:spacing w:after="120"/>
              <w:jc w:val="both"/>
              <w:rPr>
                <w:rFonts w:ascii="Arial" w:eastAsia="Times New Roman" w:hAnsi="Arial" w:cs="Arial"/>
                <w:sz w:val="22"/>
                <w:szCs w:val="22"/>
              </w:rPr>
            </w:pPr>
            <w:r w:rsidRPr="00372EAC">
              <w:rPr>
                <w:rFonts w:ascii="Arial" w:eastAsia="Times New Roman" w:hAnsi="Arial" w:cs="Arial"/>
                <w:sz w:val="22"/>
                <w:szCs w:val="22"/>
              </w:rPr>
              <w:t>0.000</w:t>
            </w:r>
          </w:p>
        </w:tc>
      </w:tr>
    </w:tbl>
    <w:p w14:paraId="5F1DB606" w14:textId="0EEA211B" w:rsidR="0054039C" w:rsidRPr="00372EA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lastRenderedPageBreak/>
        <w:t>Both hypotheses are supported, indicating significant positive effects of CE and GI on MSME social sustainability.</w:t>
      </w:r>
    </w:p>
    <w:p w14:paraId="4704B311" w14:textId="1A567E1A" w:rsidR="0054039C" w:rsidRPr="0054039C" w:rsidRDefault="0054039C" w:rsidP="00372EAC">
      <w:pPr>
        <w:spacing w:after="120"/>
        <w:jc w:val="both"/>
        <w:rPr>
          <w:rFonts w:ascii="Times New Roman" w:eastAsia="Times New Roman" w:hAnsi="Times New Roman" w:cs="Times New Roman"/>
        </w:rPr>
      </w:pPr>
      <w:r w:rsidRPr="0054039C">
        <w:rPr>
          <w:rFonts w:ascii="Times New Roman" w:hAnsi="Times New Roman" w:cs="Times New Roman"/>
          <w:noProof/>
        </w:rPr>
        <w:drawing>
          <wp:inline distT="0" distB="0" distL="0" distR="0" wp14:anchorId="033066A5" wp14:editId="72DE6815">
            <wp:extent cx="5731510" cy="6036945"/>
            <wp:effectExtent l="0" t="0" r="254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6036945"/>
                    </a:xfrm>
                    <a:prstGeom prst="rect">
                      <a:avLst/>
                    </a:prstGeom>
                  </pic:spPr>
                </pic:pic>
              </a:graphicData>
            </a:graphic>
          </wp:inline>
        </w:drawing>
      </w:r>
    </w:p>
    <w:p w14:paraId="2D542A2D" w14:textId="2808EB23" w:rsidR="0054039C" w:rsidRPr="00372EAC" w:rsidRDefault="00372EAC" w:rsidP="00372EAC">
      <w:pPr>
        <w:spacing w:after="120"/>
        <w:jc w:val="both"/>
        <w:rPr>
          <w:rFonts w:ascii="Times New Roman" w:hAnsi="Times New Roman" w:cs="Times New Roman"/>
          <w:b/>
          <w:bCs/>
          <w:lang w:val="en-US"/>
        </w:rPr>
      </w:pPr>
      <w:r>
        <w:rPr>
          <w:rFonts w:ascii="Times New Roman" w:hAnsi="Times New Roman" w:cs="Times New Roman"/>
          <w:b/>
          <w:bCs/>
          <w:lang w:val="en-US"/>
        </w:rPr>
        <w:t>Fig.</w:t>
      </w:r>
      <w:r w:rsidR="0054039C" w:rsidRPr="0054039C">
        <w:rPr>
          <w:rFonts w:ascii="Times New Roman" w:hAnsi="Times New Roman" w:cs="Times New Roman"/>
          <w:b/>
          <w:bCs/>
          <w:lang w:val="en-US"/>
        </w:rPr>
        <w:t xml:space="preserve"> 1</w:t>
      </w:r>
      <w:r>
        <w:rPr>
          <w:rFonts w:ascii="Times New Roman" w:hAnsi="Times New Roman" w:cs="Times New Roman"/>
          <w:b/>
          <w:bCs/>
          <w:lang w:val="en-US"/>
        </w:rPr>
        <w:t xml:space="preserve"> </w:t>
      </w:r>
      <w:r w:rsidR="0054039C" w:rsidRPr="0054039C">
        <w:rPr>
          <w:rFonts w:ascii="Times New Roman" w:hAnsi="Times New Roman" w:cs="Times New Roman"/>
          <w:b/>
          <w:bCs/>
          <w:lang w:val="en-US"/>
        </w:rPr>
        <w:t xml:space="preserve">PLS Model Testing and Result </w:t>
      </w:r>
    </w:p>
    <w:p w14:paraId="11DCF001" w14:textId="5AEC10FA" w:rsidR="0054039C" w:rsidRPr="0054039C" w:rsidRDefault="0054039C" w:rsidP="00372EAC">
      <w:pPr>
        <w:spacing w:after="120"/>
        <w:jc w:val="both"/>
        <w:rPr>
          <w:rFonts w:ascii="Times New Roman" w:eastAsia="Times New Roman" w:hAnsi="Times New Roman" w:cs="Times New Roman"/>
        </w:rPr>
      </w:pPr>
    </w:p>
    <w:p w14:paraId="63F01873"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5. Discussion</w:t>
      </w:r>
    </w:p>
    <w:p w14:paraId="0CE6D590"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5.1 The Role of Circular Economy</w:t>
      </w:r>
    </w:p>
    <w:p w14:paraId="0E9BAA5D"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 xml:space="preserve">Findings confirm that CE enhances MSME social sustainability. Practices such as waste management and collaboration with waste banks not only reduce costs but also generate community benefits. However, routine reuse of materials remains underdeveloped, </w:t>
      </w:r>
      <w:proofErr w:type="spellStart"/>
      <w:r w:rsidRPr="0054039C">
        <w:rPr>
          <w:rFonts w:ascii="Arial" w:eastAsia="Times New Roman" w:hAnsi="Arial" w:cs="Arial"/>
          <w:sz w:val="22"/>
          <w:szCs w:val="22"/>
        </w:rPr>
        <w:t>signaling</w:t>
      </w:r>
      <w:proofErr w:type="spellEnd"/>
      <w:r w:rsidRPr="0054039C">
        <w:rPr>
          <w:rFonts w:ascii="Arial" w:eastAsia="Times New Roman" w:hAnsi="Arial" w:cs="Arial"/>
          <w:sz w:val="22"/>
          <w:szCs w:val="22"/>
        </w:rPr>
        <w:t xml:space="preserve"> the need for greater awareness and investment in closed-loop processes. This aligns with prior </w:t>
      </w:r>
      <w:r w:rsidRPr="0054039C">
        <w:rPr>
          <w:rFonts w:ascii="Arial" w:eastAsia="Times New Roman" w:hAnsi="Arial" w:cs="Arial"/>
          <w:sz w:val="22"/>
          <w:szCs w:val="22"/>
        </w:rPr>
        <w:lastRenderedPageBreak/>
        <w:t>studies highlighting CE’s dual benefits of environmental preservation and cost efficiency (Kurniawan et al., 2023).</w:t>
      </w:r>
    </w:p>
    <w:p w14:paraId="04E37C58"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5.2 The Role of Green Innovation</w:t>
      </w:r>
    </w:p>
    <w:p w14:paraId="2625E52E"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 xml:space="preserve">GI demonstrates even stronger influence than CE, underscoring the strategic importance of innovation in maintaining competitiveness. MSMEs that innovate sustainably are more likely to deliver customer satisfaction and societal value. This supports </w:t>
      </w:r>
      <w:proofErr w:type="spellStart"/>
      <w:r w:rsidRPr="0054039C">
        <w:rPr>
          <w:rFonts w:ascii="Arial" w:eastAsia="Times New Roman" w:hAnsi="Arial" w:cs="Arial"/>
          <w:sz w:val="22"/>
          <w:szCs w:val="22"/>
        </w:rPr>
        <w:t>Tjahjadi</w:t>
      </w:r>
      <w:proofErr w:type="spellEnd"/>
      <w:r w:rsidRPr="0054039C">
        <w:rPr>
          <w:rFonts w:ascii="Arial" w:eastAsia="Times New Roman" w:hAnsi="Arial" w:cs="Arial"/>
          <w:sz w:val="22"/>
          <w:szCs w:val="22"/>
        </w:rPr>
        <w:t xml:space="preserve"> et al. (2020), who argued that green innovation mediates the link between market orientation and business performance. Yet, the relatively low prioritization of technological investment suggests financial and knowledge barriers, consistent with Ullah et al. (2021).</w:t>
      </w:r>
    </w:p>
    <w:p w14:paraId="16D5EBCE"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b/>
          <w:bCs/>
          <w:sz w:val="22"/>
          <w:szCs w:val="22"/>
        </w:rPr>
        <w:t>5.3 Social Sustainability Gaps</w:t>
      </w:r>
    </w:p>
    <w:p w14:paraId="27C40C5D"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While MSMEs show strong commitment to producing quality products and employing locals, gaps in training and structured social programs remain. Limited involvement in capacity-building suggests that MSMEs prioritize immediate economic survival over long-term community development. Addressing this requires multi-stakeholder partnerships, as advocated by SDG 17 (Partnerships for the Goals).</w:t>
      </w:r>
    </w:p>
    <w:p w14:paraId="271B0D0D"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5.4 Theoretical Implications</w:t>
      </w:r>
    </w:p>
    <w:p w14:paraId="53D06737"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This study extends CE and GI literature by empirically demonstrating their combined influence on social sustainability in MSMEs. It provides a conceptual bridge between sustainability theories and practice in resource-constrained, tourism-dependent regions.</w:t>
      </w:r>
    </w:p>
    <w:p w14:paraId="7D148B5C"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5.5 Managerial and Policy Implications</w:t>
      </w:r>
    </w:p>
    <w:p w14:paraId="18333538"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For entrepreneurs, findings highlight the importance of integrating CE and GI into business strategies not only for environmental gains but also for social legitimacy. For policymakers, results underscore the need to provide financial incentives, training, and infrastructure to accelerate CE and GI adoption.</w:t>
      </w:r>
    </w:p>
    <w:p w14:paraId="7F8D754A" w14:textId="77777777" w:rsidR="0054039C" w:rsidRPr="0054039C" w:rsidRDefault="000564AC" w:rsidP="00372EAC">
      <w:pPr>
        <w:spacing w:after="120"/>
        <w:jc w:val="both"/>
        <w:rPr>
          <w:rFonts w:ascii="Times New Roman" w:eastAsia="Times New Roman" w:hAnsi="Times New Roman" w:cs="Times New Roman"/>
        </w:rPr>
      </w:pPr>
      <w:r>
        <w:rPr>
          <w:rFonts w:ascii="Times New Roman" w:eastAsia="Times New Roman" w:hAnsi="Times New Roman" w:cs="Times New Roman"/>
          <w:noProof/>
        </w:rPr>
        <w:pict w14:anchorId="2039F6BA">
          <v:rect id="_x0000_i1030" alt="" style="width:468pt;height:.05pt;mso-width-percent:0;mso-height-percent:0;mso-width-percent:0;mso-height-percent:0" o:hralign="center" o:hrstd="t" o:hr="t" fillcolor="#a0a0a0" stroked="f"/>
        </w:pict>
      </w:r>
    </w:p>
    <w:p w14:paraId="70D990D0" w14:textId="77777777" w:rsidR="0054039C" w:rsidRPr="0054039C" w:rsidRDefault="0054039C" w:rsidP="00372EAC">
      <w:pPr>
        <w:spacing w:after="120"/>
        <w:jc w:val="both"/>
        <w:outlineLvl w:val="2"/>
        <w:rPr>
          <w:rFonts w:ascii="Arial" w:eastAsia="Times New Roman" w:hAnsi="Arial" w:cs="Arial"/>
          <w:b/>
          <w:bCs/>
          <w:sz w:val="22"/>
          <w:szCs w:val="22"/>
        </w:rPr>
      </w:pPr>
      <w:r w:rsidRPr="0054039C">
        <w:rPr>
          <w:rFonts w:ascii="Arial" w:eastAsia="Times New Roman" w:hAnsi="Arial" w:cs="Arial"/>
          <w:b/>
          <w:bCs/>
          <w:sz w:val="22"/>
          <w:szCs w:val="22"/>
        </w:rPr>
        <w:t>6. Conclusion</w:t>
      </w:r>
    </w:p>
    <w:p w14:paraId="6595825B"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This research demonstrates that circular economy and green innovation significantly enhance MSME social sustainability in Bali. While CE strengthens resource efficiency and waste management, GI drives competitiveness through eco-oriented innovation. Together, they create pathways for MSMEs to balance economic viability with community welfare.</w:t>
      </w:r>
    </w:p>
    <w:p w14:paraId="33B6D492"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However, gaps remain in structured community engagement, particularly in providing training and workshops for local capacity-building. Bridging these gaps requires collaborative action involving MSMEs, government, academia, and communities.</w:t>
      </w:r>
    </w:p>
    <w:p w14:paraId="0805B404" w14:textId="77777777" w:rsidR="0054039C" w:rsidRPr="0054039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The study contributes to literature by empirically linking CE and GI to social sustainability within a developing economy context. It also supports policy frameworks aligned with the SDGs. Limitations include the focus on a single region and reliance on self-reported data, suggesting future research could adopt longitudinal and comparative designs.</w:t>
      </w:r>
    </w:p>
    <w:p w14:paraId="1AA126C0" w14:textId="1742198A" w:rsidR="0054039C" w:rsidRPr="00372EAC" w:rsidRDefault="0054039C" w:rsidP="00372EAC">
      <w:pPr>
        <w:spacing w:after="120"/>
        <w:jc w:val="both"/>
        <w:rPr>
          <w:rFonts w:ascii="Arial" w:eastAsia="Times New Roman" w:hAnsi="Arial" w:cs="Arial"/>
          <w:sz w:val="22"/>
          <w:szCs w:val="22"/>
        </w:rPr>
      </w:pPr>
      <w:r w:rsidRPr="0054039C">
        <w:rPr>
          <w:rFonts w:ascii="Arial" w:eastAsia="Times New Roman" w:hAnsi="Arial" w:cs="Arial"/>
          <w:sz w:val="22"/>
          <w:szCs w:val="22"/>
        </w:rPr>
        <w:t>By embedding sustainability into their core strategies, MSMEs in Bali can not only survive global challenges but also lead the transition toward inclusive, resilient, and environmentally responsible economies.</w:t>
      </w:r>
    </w:p>
    <w:p w14:paraId="3DA79847" w14:textId="77777777" w:rsidR="00372EAC" w:rsidRDefault="00372EAC" w:rsidP="00372EAC">
      <w:pPr>
        <w:spacing w:after="120"/>
        <w:jc w:val="both"/>
        <w:outlineLvl w:val="2"/>
        <w:rPr>
          <w:rFonts w:ascii="Arial" w:eastAsia="Times New Roman" w:hAnsi="Arial" w:cs="Arial"/>
          <w:b/>
          <w:bCs/>
          <w:sz w:val="22"/>
          <w:szCs w:val="22"/>
        </w:rPr>
      </w:pPr>
    </w:p>
    <w:p w14:paraId="4F70E44C" w14:textId="4FF679B3" w:rsidR="0054039C" w:rsidRPr="00372EAC" w:rsidRDefault="0054039C" w:rsidP="00372EAC">
      <w:pPr>
        <w:spacing w:after="120"/>
        <w:jc w:val="both"/>
        <w:outlineLvl w:val="2"/>
        <w:rPr>
          <w:rFonts w:ascii="Arial" w:eastAsia="Times New Roman" w:hAnsi="Arial" w:cs="Arial"/>
          <w:b/>
          <w:bCs/>
          <w:sz w:val="22"/>
          <w:szCs w:val="22"/>
        </w:rPr>
      </w:pPr>
      <w:r w:rsidRPr="00372EAC">
        <w:rPr>
          <w:rFonts w:ascii="Arial" w:eastAsia="Times New Roman" w:hAnsi="Arial" w:cs="Arial"/>
          <w:b/>
          <w:bCs/>
          <w:sz w:val="22"/>
          <w:szCs w:val="22"/>
        </w:rPr>
        <w:t>References</w:t>
      </w:r>
    </w:p>
    <w:p w14:paraId="40B2F861"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lastRenderedPageBreak/>
        <w:t>Alfarizi</w:t>
      </w:r>
      <w:proofErr w:type="spellEnd"/>
      <w:r w:rsidRPr="000947DF">
        <w:rPr>
          <w:rFonts w:ascii="Arial" w:eastAsia="Times New Roman" w:hAnsi="Arial" w:cs="Arial"/>
          <w:sz w:val="22"/>
          <w:szCs w:val="22"/>
        </w:rPr>
        <w:t xml:space="preserve">, M., &amp; </w:t>
      </w:r>
      <w:proofErr w:type="spellStart"/>
      <w:r w:rsidRPr="000947DF">
        <w:rPr>
          <w:rFonts w:ascii="Arial" w:eastAsia="Times New Roman" w:hAnsi="Arial" w:cs="Arial"/>
          <w:sz w:val="22"/>
          <w:szCs w:val="22"/>
        </w:rPr>
        <w:t>Arifian</w:t>
      </w:r>
      <w:proofErr w:type="spellEnd"/>
      <w:r w:rsidRPr="000947DF">
        <w:rPr>
          <w:rFonts w:ascii="Arial" w:eastAsia="Times New Roman" w:hAnsi="Arial" w:cs="Arial"/>
          <w:sz w:val="22"/>
          <w:szCs w:val="22"/>
        </w:rPr>
        <w:t>, R. (2024). Determination of Green Knowledge Economy on Sustainable Performance of Indonesian SMEs. Applied Research and Policy Publication, 7(1), 26-43.</w:t>
      </w:r>
    </w:p>
    <w:p w14:paraId="2CEF8319"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Baeshen</w:t>
      </w:r>
      <w:proofErr w:type="spellEnd"/>
      <w:r w:rsidRPr="000947DF">
        <w:rPr>
          <w:rFonts w:ascii="Arial" w:eastAsia="Times New Roman" w:hAnsi="Arial" w:cs="Arial"/>
          <w:sz w:val="22"/>
          <w:szCs w:val="22"/>
        </w:rPr>
        <w:t xml:space="preserve">, Y., Soomro, Y.A., &amp; Bhutto, M.Y. (2021). Determinants of Green Innovation to Achieve Sustainable Business Performance: Evidence </w:t>
      </w:r>
      <w:proofErr w:type="gramStart"/>
      <w:r w:rsidRPr="000947DF">
        <w:rPr>
          <w:rFonts w:ascii="Arial" w:eastAsia="Times New Roman" w:hAnsi="Arial" w:cs="Arial"/>
          <w:sz w:val="22"/>
          <w:szCs w:val="22"/>
        </w:rPr>
        <w:t>From</w:t>
      </w:r>
      <w:proofErr w:type="gramEnd"/>
      <w:r w:rsidRPr="000947DF">
        <w:rPr>
          <w:rFonts w:ascii="Arial" w:eastAsia="Times New Roman" w:hAnsi="Arial" w:cs="Arial"/>
          <w:sz w:val="22"/>
          <w:szCs w:val="22"/>
        </w:rPr>
        <w:t xml:space="preserve"> SMEs. Frontiers in Psychology, 12.</w:t>
      </w:r>
    </w:p>
    <w:p w14:paraId="7B851219"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Dewata</w:t>
      </w:r>
      <w:proofErr w:type="spellEnd"/>
      <w:r w:rsidRPr="000947DF">
        <w:rPr>
          <w:rFonts w:ascii="Arial" w:eastAsia="Times New Roman" w:hAnsi="Arial" w:cs="Arial"/>
          <w:sz w:val="22"/>
          <w:szCs w:val="22"/>
        </w:rPr>
        <w:t xml:space="preserve">., </w:t>
      </w:r>
      <w:proofErr w:type="spellStart"/>
      <w:r w:rsidRPr="000947DF">
        <w:rPr>
          <w:rFonts w:ascii="Arial" w:eastAsia="Times New Roman" w:hAnsi="Arial" w:cs="Arial"/>
          <w:sz w:val="22"/>
          <w:szCs w:val="22"/>
        </w:rPr>
        <w:t>Berita</w:t>
      </w:r>
      <w:proofErr w:type="spellEnd"/>
      <w:r w:rsidRPr="000947DF">
        <w:rPr>
          <w:rFonts w:ascii="Arial" w:eastAsia="Times New Roman" w:hAnsi="Arial" w:cs="Arial"/>
          <w:sz w:val="22"/>
          <w:szCs w:val="22"/>
        </w:rPr>
        <w:t xml:space="preserve"> (2023). Circular Economy-Based Waste Management Requires Collaborative Work. https://beritadewata.com/pengolahan-sampah-berbasis-ekonomi-sirkular-memerlukan-kerja-kolaboratif/</w:t>
      </w:r>
    </w:p>
    <w:p w14:paraId="3B1435E1"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Dahlan</w:t>
      </w:r>
      <w:proofErr w:type="spellEnd"/>
      <w:r w:rsidRPr="000947DF">
        <w:rPr>
          <w:rFonts w:ascii="Arial" w:eastAsia="Times New Roman" w:hAnsi="Arial" w:cs="Arial"/>
          <w:sz w:val="22"/>
          <w:szCs w:val="22"/>
        </w:rPr>
        <w:t>, R. (2022). Circular Economy and Sustainable Development. Library Trail.</w:t>
      </w:r>
    </w:p>
    <w:p w14:paraId="1163C8B1" w14:textId="77777777" w:rsidR="000947DF" w:rsidRPr="000947DF" w:rsidRDefault="000947DF" w:rsidP="000947DF">
      <w:pPr>
        <w:spacing w:after="120"/>
        <w:jc w:val="both"/>
        <w:rPr>
          <w:rFonts w:ascii="Arial" w:eastAsia="Times New Roman" w:hAnsi="Arial" w:cs="Arial"/>
          <w:sz w:val="22"/>
          <w:szCs w:val="22"/>
        </w:rPr>
      </w:pPr>
      <w:r w:rsidRPr="000947DF">
        <w:rPr>
          <w:rFonts w:ascii="Arial" w:eastAsia="Times New Roman" w:hAnsi="Arial" w:cs="Arial"/>
          <w:sz w:val="22"/>
          <w:szCs w:val="22"/>
        </w:rPr>
        <w:t>Ellen MacArthur Foundation. (2013). Towards the Circular Economy: Economic and Business Rationale for an Accelerated Transition. - Schumpeter, J. A. (1934). The Theory of Economic Development: An Inquiry into Profits, Capital, Credit, Interest, and the Business Cycle. Journal of Industrial Ecology, 2(1), 23-44.</w:t>
      </w:r>
    </w:p>
    <w:p w14:paraId="3C16DA82"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Hidayati</w:t>
      </w:r>
      <w:proofErr w:type="spellEnd"/>
      <w:r w:rsidRPr="000947DF">
        <w:rPr>
          <w:rFonts w:ascii="Arial" w:eastAsia="Times New Roman" w:hAnsi="Arial" w:cs="Arial"/>
          <w:sz w:val="22"/>
          <w:szCs w:val="22"/>
        </w:rPr>
        <w:t xml:space="preserve">, S. (2025). The Influence of Green Human Resource Management on Task-Related Green </w:t>
      </w:r>
      <w:proofErr w:type="spellStart"/>
      <w:r w:rsidRPr="000947DF">
        <w:rPr>
          <w:rFonts w:ascii="Arial" w:eastAsia="Times New Roman" w:hAnsi="Arial" w:cs="Arial"/>
          <w:sz w:val="22"/>
          <w:szCs w:val="22"/>
        </w:rPr>
        <w:t>Behavior</w:t>
      </w:r>
      <w:proofErr w:type="spellEnd"/>
      <w:r w:rsidRPr="000947DF">
        <w:rPr>
          <w:rFonts w:ascii="Arial" w:eastAsia="Times New Roman" w:hAnsi="Arial" w:cs="Arial"/>
          <w:sz w:val="22"/>
          <w:szCs w:val="22"/>
        </w:rPr>
        <w:t xml:space="preserve"> and Voluntary Green </w:t>
      </w:r>
      <w:proofErr w:type="spellStart"/>
      <w:r w:rsidRPr="000947DF">
        <w:rPr>
          <w:rFonts w:ascii="Arial" w:eastAsia="Times New Roman" w:hAnsi="Arial" w:cs="Arial"/>
          <w:sz w:val="22"/>
          <w:szCs w:val="22"/>
        </w:rPr>
        <w:t>Behavior</w:t>
      </w:r>
      <w:proofErr w:type="spellEnd"/>
      <w:r w:rsidRPr="000947DF">
        <w:rPr>
          <w:rFonts w:ascii="Arial" w:eastAsia="Times New Roman" w:hAnsi="Arial" w:cs="Arial"/>
          <w:sz w:val="22"/>
          <w:szCs w:val="22"/>
        </w:rPr>
        <w:t xml:space="preserve"> (Case Study at PT. Unilever Indonesia, </w:t>
      </w:r>
      <w:proofErr w:type="spellStart"/>
      <w:r w:rsidRPr="000947DF">
        <w:rPr>
          <w:rFonts w:ascii="Arial" w:eastAsia="Times New Roman" w:hAnsi="Arial" w:cs="Arial"/>
          <w:sz w:val="22"/>
          <w:szCs w:val="22"/>
        </w:rPr>
        <w:t>Tbk</w:t>
      </w:r>
      <w:proofErr w:type="spellEnd"/>
      <w:r w:rsidRPr="000947DF">
        <w:rPr>
          <w:rFonts w:ascii="Arial" w:eastAsia="Times New Roman" w:hAnsi="Arial" w:cs="Arial"/>
          <w:sz w:val="22"/>
          <w:szCs w:val="22"/>
        </w:rPr>
        <w:t>.) (Bachelor's thesis, FEB UIN JAKARTA).</w:t>
      </w:r>
    </w:p>
    <w:p w14:paraId="53C98D82"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Hutajulu</w:t>
      </w:r>
      <w:proofErr w:type="spellEnd"/>
      <w:r w:rsidRPr="000947DF">
        <w:rPr>
          <w:rFonts w:ascii="Arial" w:eastAsia="Times New Roman" w:hAnsi="Arial" w:cs="Arial"/>
          <w:sz w:val="22"/>
          <w:szCs w:val="22"/>
        </w:rPr>
        <w:t xml:space="preserve">, H., </w:t>
      </w:r>
      <w:proofErr w:type="spellStart"/>
      <w:r w:rsidRPr="000947DF">
        <w:rPr>
          <w:rFonts w:ascii="Arial" w:eastAsia="Times New Roman" w:hAnsi="Arial" w:cs="Arial"/>
          <w:sz w:val="22"/>
          <w:szCs w:val="22"/>
        </w:rPr>
        <w:t>Runtunuwu</w:t>
      </w:r>
      <w:proofErr w:type="spellEnd"/>
      <w:r w:rsidRPr="000947DF">
        <w:rPr>
          <w:rFonts w:ascii="Arial" w:eastAsia="Times New Roman" w:hAnsi="Arial" w:cs="Arial"/>
          <w:sz w:val="22"/>
          <w:szCs w:val="22"/>
        </w:rPr>
        <w:t xml:space="preserve">, P. C. H., </w:t>
      </w:r>
      <w:proofErr w:type="spellStart"/>
      <w:r w:rsidRPr="000947DF">
        <w:rPr>
          <w:rFonts w:ascii="Arial" w:eastAsia="Times New Roman" w:hAnsi="Arial" w:cs="Arial"/>
          <w:sz w:val="22"/>
          <w:szCs w:val="22"/>
        </w:rPr>
        <w:t>Judijanto</w:t>
      </w:r>
      <w:proofErr w:type="spellEnd"/>
      <w:r w:rsidRPr="000947DF">
        <w:rPr>
          <w:rFonts w:ascii="Arial" w:eastAsia="Times New Roman" w:hAnsi="Arial" w:cs="Arial"/>
          <w:sz w:val="22"/>
          <w:szCs w:val="22"/>
        </w:rPr>
        <w:t xml:space="preserve">, L., </w:t>
      </w:r>
      <w:proofErr w:type="spellStart"/>
      <w:r w:rsidRPr="000947DF">
        <w:rPr>
          <w:rFonts w:ascii="Arial" w:eastAsia="Times New Roman" w:hAnsi="Arial" w:cs="Arial"/>
          <w:sz w:val="22"/>
          <w:szCs w:val="22"/>
        </w:rPr>
        <w:t>Ilma</w:t>
      </w:r>
      <w:proofErr w:type="spellEnd"/>
      <w:r w:rsidRPr="000947DF">
        <w:rPr>
          <w:rFonts w:ascii="Arial" w:eastAsia="Times New Roman" w:hAnsi="Arial" w:cs="Arial"/>
          <w:sz w:val="22"/>
          <w:szCs w:val="22"/>
        </w:rPr>
        <w:t xml:space="preserve">, A. F. N., </w:t>
      </w:r>
      <w:proofErr w:type="spellStart"/>
      <w:r w:rsidRPr="000947DF">
        <w:rPr>
          <w:rFonts w:ascii="Arial" w:eastAsia="Times New Roman" w:hAnsi="Arial" w:cs="Arial"/>
          <w:sz w:val="22"/>
          <w:szCs w:val="22"/>
        </w:rPr>
        <w:t>Ermanda</w:t>
      </w:r>
      <w:proofErr w:type="spellEnd"/>
      <w:r w:rsidRPr="000947DF">
        <w:rPr>
          <w:rFonts w:ascii="Arial" w:eastAsia="Times New Roman" w:hAnsi="Arial" w:cs="Arial"/>
          <w:sz w:val="22"/>
          <w:szCs w:val="22"/>
        </w:rPr>
        <w:t xml:space="preserve">, A. P., </w:t>
      </w:r>
      <w:proofErr w:type="spellStart"/>
      <w:r w:rsidRPr="000947DF">
        <w:rPr>
          <w:rFonts w:ascii="Arial" w:eastAsia="Times New Roman" w:hAnsi="Arial" w:cs="Arial"/>
          <w:sz w:val="22"/>
          <w:szCs w:val="22"/>
        </w:rPr>
        <w:t>Fitriyana</w:t>
      </w:r>
      <w:proofErr w:type="spellEnd"/>
      <w:r w:rsidRPr="000947DF">
        <w:rPr>
          <w:rFonts w:ascii="Arial" w:eastAsia="Times New Roman" w:hAnsi="Arial" w:cs="Arial"/>
          <w:sz w:val="22"/>
          <w:szCs w:val="22"/>
        </w:rPr>
        <w:t xml:space="preserve">, F., ... &amp; </w:t>
      </w:r>
      <w:proofErr w:type="spellStart"/>
      <w:r w:rsidRPr="000947DF">
        <w:rPr>
          <w:rFonts w:ascii="Arial" w:eastAsia="Times New Roman" w:hAnsi="Arial" w:cs="Arial"/>
          <w:sz w:val="22"/>
          <w:szCs w:val="22"/>
        </w:rPr>
        <w:t>Wardhana</w:t>
      </w:r>
      <w:proofErr w:type="spellEnd"/>
      <w:r w:rsidRPr="000947DF">
        <w:rPr>
          <w:rFonts w:ascii="Arial" w:eastAsia="Times New Roman" w:hAnsi="Arial" w:cs="Arial"/>
          <w:sz w:val="22"/>
          <w:szCs w:val="22"/>
        </w:rPr>
        <w:t xml:space="preserve">, D. H. A. (2024). Sustainable Economic Development: Theory and Foundations of Multi-Sector Sustainable Economic Development in Indonesia. PT. </w:t>
      </w:r>
      <w:proofErr w:type="spellStart"/>
      <w:r w:rsidRPr="000947DF">
        <w:rPr>
          <w:rFonts w:ascii="Arial" w:eastAsia="Times New Roman" w:hAnsi="Arial" w:cs="Arial"/>
          <w:sz w:val="22"/>
          <w:szCs w:val="22"/>
        </w:rPr>
        <w:t>Sonpedia</w:t>
      </w:r>
      <w:proofErr w:type="spellEnd"/>
      <w:r w:rsidRPr="000947DF">
        <w:rPr>
          <w:rFonts w:ascii="Arial" w:eastAsia="Times New Roman" w:hAnsi="Arial" w:cs="Arial"/>
          <w:sz w:val="22"/>
          <w:szCs w:val="22"/>
        </w:rPr>
        <w:t xml:space="preserve"> Publishing Indonesia.</w:t>
      </w:r>
    </w:p>
    <w:p w14:paraId="76469DB9" w14:textId="77777777" w:rsidR="000947DF" w:rsidRPr="000947DF" w:rsidRDefault="000947DF" w:rsidP="000947DF">
      <w:pPr>
        <w:spacing w:after="120"/>
        <w:jc w:val="both"/>
        <w:rPr>
          <w:rFonts w:ascii="Arial" w:eastAsia="Times New Roman" w:hAnsi="Arial" w:cs="Arial"/>
          <w:sz w:val="22"/>
          <w:szCs w:val="22"/>
        </w:rPr>
      </w:pPr>
      <w:r w:rsidRPr="000947DF">
        <w:rPr>
          <w:rFonts w:ascii="Arial" w:eastAsia="Times New Roman" w:hAnsi="Arial" w:cs="Arial"/>
          <w:sz w:val="22"/>
          <w:szCs w:val="22"/>
        </w:rPr>
        <w:t>Jun, W., Ali, W., Bhutto, M.Y., Hussain, H., &amp; Khan, N.A. (2019). Examining the determinants of green innovation adoption in SMEs: a PLS-SEM approach. European Journal of Innovation Management.</w:t>
      </w:r>
    </w:p>
    <w:p w14:paraId="0E1DB8D2" w14:textId="77777777" w:rsidR="000947DF" w:rsidRPr="000947DF" w:rsidRDefault="000947DF" w:rsidP="000947DF">
      <w:pPr>
        <w:spacing w:after="120"/>
        <w:jc w:val="both"/>
        <w:rPr>
          <w:rFonts w:ascii="Arial" w:eastAsia="Times New Roman" w:hAnsi="Arial" w:cs="Arial"/>
          <w:sz w:val="22"/>
          <w:szCs w:val="22"/>
        </w:rPr>
      </w:pPr>
      <w:r w:rsidRPr="000947DF">
        <w:rPr>
          <w:rFonts w:ascii="Arial" w:eastAsia="Times New Roman" w:hAnsi="Arial" w:cs="Arial"/>
          <w:sz w:val="22"/>
          <w:szCs w:val="22"/>
        </w:rPr>
        <w:t xml:space="preserve">Kasih, D.A.P.N., </w:t>
      </w:r>
      <w:proofErr w:type="spellStart"/>
      <w:r w:rsidRPr="000947DF">
        <w:rPr>
          <w:rFonts w:ascii="Arial" w:eastAsia="Times New Roman" w:hAnsi="Arial" w:cs="Arial"/>
          <w:sz w:val="22"/>
          <w:szCs w:val="22"/>
        </w:rPr>
        <w:t>Supriadi</w:t>
      </w:r>
      <w:proofErr w:type="spellEnd"/>
      <w:r w:rsidRPr="000947DF">
        <w:rPr>
          <w:rFonts w:ascii="Arial" w:eastAsia="Times New Roman" w:hAnsi="Arial" w:cs="Arial"/>
          <w:sz w:val="22"/>
          <w:szCs w:val="22"/>
        </w:rPr>
        <w:t xml:space="preserve">, M., &amp; Yoga, I.P.A.S. (2024). IMPLEMENTATION OF THE GREEN INDUSTRY CONCEPT IN MICRO, SMALL, AND MEDIUM ENTERPRISES (MSMEs) IN DENPASAR CITY. </w:t>
      </w:r>
      <w:proofErr w:type="spellStart"/>
      <w:r w:rsidRPr="000947DF">
        <w:rPr>
          <w:rFonts w:ascii="Arial" w:eastAsia="Times New Roman" w:hAnsi="Arial" w:cs="Arial"/>
          <w:sz w:val="22"/>
          <w:szCs w:val="22"/>
        </w:rPr>
        <w:t>Jurnal</w:t>
      </w:r>
      <w:proofErr w:type="spellEnd"/>
      <w:r w:rsidRPr="000947DF">
        <w:rPr>
          <w:rFonts w:ascii="Arial" w:eastAsia="Times New Roman" w:hAnsi="Arial" w:cs="Arial"/>
          <w:sz w:val="22"/>
          <w:szCs w:val="22"/>
        </w:rPr>
        <w:t xml:space="preserve"> </w:t>
      </w:r>
      <w:proofErr w:type="spellStart"/>
      <w:r w:rsidRPr="000947DF">
        <w:rPr>
          <w:rFonts w:ascii="Arial" w:eastAsia="Times New Roman" w:hAnsi="Arial" w:cs="Arial"/>
          <w:sz w:val="22"/>
          <w:szCs w:val="22"/>
        </w:rPr>
        <w:t>Ilmiah</w:t>
      </w:r>
      <w:proofErr w:type="spellEnd"/>
      <w:r w:rsidRPr="000947DF">
        <w:rPr>
          <w:rFonts w:ascii="Arial" w:eastAsia="Times New Roman" w:hAnsi="Arial" w:cs="Arial"/>
          <w:sz w:val="22"/>
          <w:szCs w:val="22"/>
        </w:rPr>
        <w:t xml:space="preserve"> </w:t>
      </w:r>
      <w:proofErr w:type="spellStart"/>
      <w:r w:rsidRPr="000947DF">
        <w:rPr>
          <w:rFonts w:ascii="Arial" w:eastAsia="Times New Roman" w:hAnsi="Arial" w:cs="Arial"/>
          <w:sz w:val="22"/>
          <w:szCs w:val="22"/>
        </w:rPr>
        <w:t>Vastuwidya</w:t>
      </w:r>
      <w:proofErr w:type="spellEnd"/>
      <w:r w:rsidRPr="000947DF">
        <w:rPr>
          <w:rFonts w:ascii="Arial" w:eastAsia="Times New Roman" w:hAnsi="Arial" w:cs="Arial"/>
          <w:sz w:val="22"/>
          <w:szCs w:val="22"/>
        </w:rPr>
        <w:t>, 7(2), 64-72.</w:t>
      </w:r>
    </w:p>
    <w:p w14:paraId="25481872" w14:textId="77777777" w:rsidR="000947DF" w:rsidRPr="000947DF" w:rsidRDefault="000947DF" w:rsidP="000947DF">
      <w:pPr>
        <w:spacing w:after="120"/>
        <w:jc w:val="both"/>
        <w:rPr>
          <w:rFonts w:ascii="Arial" w:eastAsia="Times New Roman" w:hAnsi="Arial" w:cs="Arial"/>
          <w:sz w:val="22"/>
          <w:szCs w:val="22"/>
        </w:rPr>
      </w:pPr>
      <w:r w:rsidRPr="000947DF">
        <w:rPr>
          <w:rFonts w:ascii="Arial" w:eastAsia="Times New Roman" w:hAnsi="Arial" w:cs="Arial"/>
          <w:sz w:val="22"/>
          <w:szCs w:val="22"/>
        </w:rPr>
        <w:t>Kim, Y. (2024). Place-based Transition Towards a Circular Economy: Proximity Relations, Entrepreneurial Agencies, and Knowledge Intermediation in Making Fashion Circular. (Doctoral Dissertation). Columbia University. Retrieved from https://doi.org/10.7916/emvh-rn39</w:t>
      </w:r>
    </w:p>
    <w:p w14:paraId="59DEA42E"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Kristianto</w:t>
      </w:r>
      <w:proofErr w:type="spellEnd"/>
      <w:r w:rsidRPr="000947DF">
        <w:rPr>
          <w:rFonts w:ascii="Arial" w:eastAsia="Times New Roman" w:hAnsi="Arial" w:cs="Arial"/>
          <w:sz w:val="22"/>
          <w:szCs w:val="22"/>
        </w:rPr>
        <w:t xml:space="preserve">, </w:t>
      </w:r>
      <w:proofErr w:type="spellStart"/>
      <w:r w:rsidRPr="000947DF">
        <w:rPr>
          <w:rFonts w:ascii="Arial" w:eastAsia="Times New Roman" w:hAnsi="Arial" w:cs="Arial"/>
          <w:sz w:val="22"/>
          <w:szCs w:val="22"/>
        </w:rPr>
        <w:t>Feri</w:t>
      </w:r>
      <w:proofErr w:type="spellEnd"/>
      <w:r w:rsidRPr="000947DF">
        <w:rPr>
          <w:rFonts w:ascii="Arial" w:eastAsia="Times New Roman" w:hAnsi="Arial" w:cs="Arial"/>
          <w:sz w:val="22"/>
          <w:szCs w:val="22"/>
        </w:rPr>
        <w:t xml:space="preserve">. 2023. Millennial Collaboration and Digital Adaptation Make the </w:t>
      </w:r>
      <w:proofErr w:type="spellStart"/>
      <w:r w:rsidRPr="000947DF">
        <w:rPr>
          <w:rFonts w:ascii="Arial" w:eastAsia="Times New Roman" w:hAnsi="Arial" w:cs="Arial"/>
          <w:sz w:val="22"/>
          <w:szCs w:val="22"/>
        </w:rPr>
        <w:t>Kipas</w:t>
      </w:r>
      <w:proofErr w:type="spellEnd"/>
      <w:r w:rsidRPr="000947DF">
        <w:rPr>
          <w:rFonts w:ascii="Arial" w:eastAsia="Times New Roman" w:hAnsi="Arial" w:cs="Arial"/>
          <w:sz w:val="22"/>
          <w:szCs w:val="22"/>
        </w:rPr>
        <w:t xml:space="preserve"> Bali MSME More Innovative. Bisnis.com, https://ekonomi.bisnis.com/read/20230622/12/1668000/kolaborasi-milenial-dan-adaptasi-digital-bikin-umkm-kipas-bali-makin-inovatif.</w:t>
      </w:r>
    </w:p>
    <w:p w14:paraId="4D4D5F96" w14:textId="77777777" w:rsidR="000947DF" w:rsidRPr="000947DF" w:rsidRDefault="000947DF" w:rsidP="000947DF">
      <w:pPr>
        <w:spacing w:after="120"/>
        <w:jc w:val="both"/>
        <w:rPr>
          <w:rFonts w:ascii="Arial" w:eastAsia="Times New Roman" w:hAnsi="Arial" w:cs="Arial"/>
          <w:sz w:val="22"/>
          <w:szCs w:val="22"/>
        </w:rPr>
      </w:pPr>
      <w:r w:rsidRPr="000947DF">
        <w:rPr>
          <w:rFonts w:ascii="Arial" w:eastAsia="Times New Roman" w:hAnsi="Arial" w:cs="Arial"/>
          <w:sz w:val="22"/>
          <w:szCs w:val="22"/>
        </w:rPr>
        <w:t>Kurniawan, A., et al. (2023). Determination of Circular Economy Adoption, Innovative Business Models, and State Budget Support: A PLS-SEM-Based Investigation of Indonesian MSMEs.</w:t>
      </w:r>
    </w:p>
    <w:p w14:paraId="2C58E665"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Lantara</w:t>
      </w:r>
      <w:proofErr w:type="spellEnd"/>
      <w:r w:rsidRPr="000947DF">
        <w:rPr>
          <w:rFonts w:ascii="Arial" w:eastAsia="Times New Roman" w:hAnsi="Arial" w:cs="Arial"/>
          <w:sz w:val="22"/>
          <w:szCs w:val="22"/>
        </w:rPr>
        <w:t xml:space="preserve">, </w:t>
      </w:r>
      <w:proofErr w:type="spellStart"/>
      <w:r w:rsidRPr="000947DF">
        <w:rPr>
          <w:rFonts w:ascii="Arial" w:eastAsia="Times New Roman" w:hAnsi="Arial" w:cs="Arial"/>
          <w:sz w:val="22"/>
          <w:szCs w:val="22"/>
        </w:rPr>
        <w:t>Feru</w:t>
      </w:r>
      <w:proofErr w:type="spellEnd"/>
      <w:r w:rsidRPr="000947DF">
        <w:rPr>
          <w:rFonts w:ascii="Arial" w:eastAsia="Times New Roman" w:hAnsi="Arial" w:cs="Arial"/>
          <w:sz w:val="22"/>
          <w:szCs w:val="22"/>
        </w:rPr>
        <w:t xml:space="preserve">. (2022). UI Vocational School Develops Tourism Village in </w:t>
      </w:r>
      <w:proofErr w:type="spellStart"/>
      <w:r w:rsidRPr="000947DF">
        <w:rPr>
          <w:rFonts w:ascii="Arial" w:eastAsia="Times New Roman" w:hAnsi="Arial" w:cs="Arial"/>
          <w:sz w:val="22"/>
          <w:szCs w:val="22"/>
        </w:rPr>
        <w:t>Kenderan</w:t>
      </w:r>
      <w:proofErr w:type="spellEnd"/>
      <w:r w:rsidRPr="000947DF">
        <w:rPr>
          <w:rFonts w:ascii="Arial" w:eastAsia="Times New Roman" w:hAnsi="Arial" w:cs="Arial"/>
          <w:sz w:val="22"/>
          <w:szCs w:val="22"/>
        </w:rPr>
        <w:t>, Bali. Antara Megapolitan. https://megapolitan.antaranews.com/berita/202357/vokasi-ui-kembangkan-desa-wisata-di-kenderan-bali</w:t>
      </w:r>
    </w:p>
    <w:p w14:paraId="698B6F8E"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Limanseto</w:t>
      </w:r>
      <w:proofErr w:type="spellEnd"/>
      <w:r w:rsidRPr="000947DF">
        <w:rPr>
          <w:rFonts w:ascii="Arial" w:eastAsia="Times New Roman" w:hAnsi="Arial" w:cs="Arial"/>
          <w:sz w:val="22"/>
          <w:szCs w:val="22"/>
        </w:rPr>
        <w:t xml:space="preserve">, </w:t>
      </w:r>
      <w:proofErr w:type="spellStart"/>
      <w:r w:rsidRPr="000947DF">
        <w:rPr>
          <w:rFonts w:ascii="Arial" w:eastAsia="Times New Roman" w:hAnsi="Arial" w:cs="Arial"/>
          <w:sz w:val="22"/>
          <w:szCs w:val="22"/>
        </w:rPr>
        <w:t>Haryo</w:t>
      </w:r>
      <w:proofErr w:type="spellEnd"/>
      <w:r w:rsidRPr="000947DF">
        <w:rPr>
          <w:rFonts w:ascii="Arial" w:eastAsia="Times New Roman" w:hAnsi="Arial" w:cs="Arial"/>
          <w:sz w:val="22"/>
          <w:szCs w:val="22"/>
        </w:rPr>
        <w:t>. August 24, 2023. Encouraging MSMEs to Upgrade and Go Export, Government Prepares Integrated Financing Ecosystem, Ekon.go.id. https://www.ekon.go.id/publikasi/detail/5318/dorong-umkm-naik-kelas-dan-go-export-pemerintah-siapkan-ekosistem-pembiayaan-yang-terpadu</w:t>
      </w:r>
    </w:p>
    <w:p w14:paraId="254383A3" w14:textId="77777777" w:rsidR="000947DF" w:rsidRPr="000947DF" w:rsidRDefault="000947DF" w:rsidP="000947DF">
      <w:pPr>
        <w:spacing w:after="120"/>
        <w:jc w:val="both"/>
        <w:rPr>
          <w:rFonts w:ascii="Arial" w:eastAsia="Times New Roman" w:hAnsi="Arial" w:cs="Arial"/>
          <w:sz w:val="22"/>
          <w:szCs w:val="22"/>
        </w:rPr>
      </w:pPr>
      <w:r w:rsidRPr="000947DF">
        <w:rPr>
          <w:rFonts w:ascii="Arial" w:eastAsia="Times New Roman" w:hAnsi="Arial" w:cs="Arial"/>
          <w:sz w:val="22"/>
          <w:szCs w:val="22"/>
        </w:rPr>
        <w:t xml:space="preserve">Maharani, P., &amp; </w:t>
      </w:r>
      <w:proofErr w:type="spellStart"/>
      <w:r w:rsidRPr="000947DF">
        <w:rPr>
          <w:rFonts w:ascii="Arial" w:eastAsia="Times New Roman" w:hAnsi="Arial" w:cs="Arial"/>
          <w:sz w:val="22"/>
          <w:szCs w:val="22"/>
        </w:rPr>
        <w:t>Hidayat</w:t>
      </w:r>
      <w:proofErr w:type="spellEnd"/>
      <w:r w:rsidRPr="000947DF">
        <w:rPr>
          <w:rFonts w:ascii="Arial" w:eastAsia="Times New Roman" w:hAnsi="Arial" w:cs="Arial"/>
          <w:sz w:val="22"/>
          <w:szCs w:val="22"/>
        </w:rPr>
        <w:t xml:space="preserve">, A. M. (2024). The Influence of Brand Ambassador Lee Min Ho, Electronic Word of Mouth, and Price on Purchase Decisions for Local Sunscreen Products, </w:t>
      </w:r>
      <w:proofErr w:type="spellStart"/>
      <w:r w:rsidRPr="000947DF">
        <w:rPr>
          <w:rFonts w:ascii="Arial" w:eastAsia="Times New Roman" w:hAnsi="Arial" w:cs="Arial"/>
          <w:sz w:val="22"/>
          <w:szCs w:val="22"/>
        </w:rPr>
        <w:t>Azarine</w:t>
      </w:r>
      <w:proofErr w:type="spellEnd"/>
      <w:r w:rsidRPr="000947DF">
        <w:rPr>
          <w:rFonts w:ascii="Arial" w:eastAsia="Times New Roman" w:hAnsi="Arial" w:cs="Arial"/>
          <w:sz w:val="22"/>
          <w:szCs w:val="22"/>
        </w:rPr>
        <w:t>. Journal of Administration and Management, 14(1), 36-45.</w:t>
      </w:r>
    </w:p>
    <w:p w14:paraId="2A1DD105"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lastRenderedPageBreak/>
        <w:t>Mulyana</w:t>
      </w:r>
      <w:proofErr w:type="spellEnd"/>
      <w:r w:rsidRPr="000947DF">
        <w:rPr>
          <w:rFonts w:ascii="Arial" w:eastAsia="Times New Roman" w:hAnsi="Arial" w:cs="Arial"/>
          <w:sz w:val="22"/>
          <w:szCs w:val="22"/>
        </w:rPr>
        <w:t>, R. A. (2023). A Critique of J.A. Schumpeter's Innovation-Entrepreneurship View. Journal of Economic Education (JUPE), 11(3), 243-253.</w:t>
      </w:r>
    </w:p>
    <w:p w14:paraId="54E86742"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Nainggolan</w:t>
      </w:r>
      <w:proofErr w:type="spellEnd"/>
      <w:r w:rsidRPr="000947DF">
        <w:rPr>
          <w:rFonts w:ascii="Arial" w:eastAsia="Times New Roman" w:hAnsi="Arial" w:cs="Arial"/>
          <w:sz w:val="22"/>
          <w:szCs w:val="22"/>
        </w:rPr>
        <w:t xml:space="preserve">, H., </w:t>
      </w:r>
      <w:proofErr w:type="spellStart"/>
      <w:r w:rsidRPr="000947DF">
        <w:rPr>
          <w:rFonts w:ascii="Arial" w:eastAsia="Times New Roman" w:hAnsi="Arial" w:cs="Arial"/>
          <w:sz w:val="22"/>
          <w:szCs w:val="22"/>
        </w:rPr>
        <w:t>Nuraini</w:t>
      </w:r>
      <w:proofErr w:type="spellEnd"/>
      <w:r w:rsidRPr="000947DF">
        <w:rPr>
          <w:rFonts w:ascii="Arial" w:eastAsia="Times New Roman" w:hAnsi="Arial" w:cs="Arial"/>
          <w:sz w:val="22"/>
          <w:szCs w:val="22"/>
        </w:rPr>
        <w:t xml:space="preserve">, R., </w:t>
      </w:r>
      <w:proofErr w:type="spellStart"/>
      <w:r w:rsidRPr="000947DF">
        <w:rPr>
          <w:rFonts w:ascii="Arial" w:eastAsia="Times New Roman" w:hAnsi="Arial" w:cs="Arial"/>
          <w:sz w:val="22"/>
          <w:szCs w:val="22"/>
        </w:rPr>
        <w:t>Sepriano</w:t>
      </w:r>
      <w:proofErr w:type="spellEnd"/>
      <w:r w:rsidRPr="000947DF">
        <w:rPr>
          <w:rFonts w:ascii="Arial" w:eastAsia="Times New Roman" w:hAnsi="Arial" w:cs="Arial"/>
          <w:sz w:val="22"/>
          <w:szCs w:val="22"/>
        </w:rPr>
        <w:t xml:space="preserve">, S., </w:t>
      </w:r>
      <w:proofErr w:type="spellStart"/>
      <w:r w:rsidRPr="000947DF">
        <w:rPr>
          <w:rFonts w:ascii="Arial" w:eastAsia="Times New Roman" w:hAnsi="Arial" w:cs="Arial"/>
          <w:sz w:val="22"/>
          <w:szCs w:val="22"/>
        </w:rPr>
        <w:t>Aryasa</w:t>
      </w:r>
      <w:proofErr w:type="spellEnd"/>
      <w:r w:rsidRPr="000947DF">
        <w:rPr>
          <w:rFonts w:ascii="Arial" w:eastAsia="Times New Roman" w:hAnsi="Arial" w:cs="Arial"/>
          <w:sz w:val="22"/>
          <w:szCs w:val="22"/>
        </w:rPr>
        <w:t xml:space="preserve">, I. W. T., </w:t>
      </w:r>
      <w:proofErr w:type="spellStart"/>
      <w:r w:rsidRPr="000947DF">
        <w:rPr>
          <w:rFonts w:ascii="Arial" w:eastAsia="Times New Roman" w:hAnsi="Arial" w:cs="Arial"/>
          <w:sz w:val="22"/>
          <w:szCs w:val="22"/>
        </w:rPr>
        <w:t>Meilin</w:t>
      </w:r>
      <w:proofErr w:type="spellEnd"/>
      <w:r w:rsidRPr="000947DF">
        <w:rPr>
          <w:rFonts w:ascii="Arial" w:eastAsia="Times New Roman" w:hAnsi="Arial" w:cs="Arial"/>
          <w:sz w:val="22"/>
          <w:szCs w:val="22"/>
        </w:rPr>
        <w:t xml:space="preserve">, A., </w:t>
      </w:r>
      <w:proofErr w:type="spellStart"/>
      <w:r w:rsidRPr="000947DF">
        <w:rPr>
          <w:rFonts w:ascii="Arial" w:eastAsia="Times New Roman" w:hAnsi="Arial" w:cs="Arial"/>
          <w:sz w:val="22"/>
          <w:szCs w:val="22"/>
        </w:rPr>
        <w:t>Adhicandra</w:t>
      </w:r>
      <w:proofErr w:type="spellEnd"/>
      <w:r w:rsidRPr="000947DF">
        <w:rPr>
          <w:rFonts w:ascii="Arial" w:eastAsia="Times New Roman" w:hAnsi="Arial" w:cs="Arial"/>
          <w:sz w:val="22"/>
          <w:szCs w:val="22"/>
        </w:rPr>
        <w:t xml:space="preserve">, I., ... &amp; </w:t>
      </w:r>
      <w:proofErr w:type="spellStart"/>
      <w:r w:rsidRPr="000947DF">
        <w:rPr>
          <w:rFonts w:ascii="Arial" w:eastAsia="Times New Roman" w:hAnsi="Arial" w:cs="Arial"/>
          <w:sz w:val="22"/>
          <w:szCs w:val="22"/>
        </w:rPr>
        <w:t>Prayitno</w:t>
      </w:r>
      <w:proofErr w:type="spellEnd"/>
      <w:r w:rsidRPr="000947DF">
        <w:rPr>
          <w:rFonts w:ascii="Arial" w:eastAsia="Times New Roman" w:hAnsi="Arial" w:cs="Arial"/>
          <w:sz w:val="22"/>
          <w:szCs w:val="22"/>
        </w:rPr>
        <w:t xml:space="preserve">, H. (2023). Green technology innovation: Transformation of environmentally friendly technology in various sectors. PT. </w:t>
      </w:r>
      <w:proofErr w:type="spellStart"/>
      <w:r w:rsidRPr="000947DF">
        <w:rPr>
          <w:rFonts w:ascii="Arial" w:eastAsia="Times New Roman" w:hAnsi="Arial" w:cs="Arial"/>
          <w:sz w:val="22"/>
          <w:szCs w:val="22"/>
        </w:rPr>
        <w:t>Sonpedia</w:t>
      </w:r>
      <w:proofErr w:type="spellEnd"/>
      <w:r w:rsidRPr="000947DF">
        <w:rPr>
          <w:rFonts w:ascii="Arial" w:eastAsia="Times New Roman" w:hAnsi="Arial" w:cs="Arial"/>
          <w:sz w:val="22"/>
          <w:szCs w:val="22"/>
        </w:rPr>
        <w:t xml:space="preserve"> Publishing Indonesia.</w:t>
      </w:r>
    </w:p>
    <w:p w14:paraId="72CE42E3"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Oktavilia</w:t>
      </w:r>
      <w:proofErr w:type="spellEnd"/>
      <w:r w:rsidRPr="000947DF">
        <w:rPr>
          <w:rFonts w:ascii="Arial" w:eastAsia="Times New Roman" w:hAnsi="Arial" w:cs="Arial"/>
          <w:sz w:val="22"/>
          <w:szCs w:val="22"/>
        </w:rPr>
        <w:t xml:space="preserve">, S., Putri, P. I., </w:t>
      </w:r>
      <w:proofErr w:type="spellStart"/>
      <w:r w:rsidRPr="000947DF">
        <w:rPr>
          <w:rFonts w:ascii="Arial" w:eastAsia="Times New Roman" w:hAnsi="Arial" w:cs="Arial"/>
          <w:sz w:val="22"/>
          <w:szCs w:val="22"/>
        </w:rPr>
        <w:t>Wahyuningrum</w:t>
      </w:r>
      <w:proofErr w:type="spellEnd"/>
      <w:r w:rsidRPr="000947DF">
        <w:rPr>
          <w:rFonts w:ascii="Arial" w:eastAsia="Times New Roman" w:hAnsi="Arial" w:cs="Arial"/>
          <w:sz w:val="22"/>
          <w:szCs w:val="22"/>
        </w:rPr>
        <w:t xml:space="preserve">, I. F. S., &amp; </w:t>
      </w:r>
      <w:proofErr w:type="spellStart"/>
      <w:r w:rsidRPr="000947DF">
        <w:rPr>
          <w:rFonts w:ascii="Arial" w:eastAsia="Times New Roman" w:hAnsi="Arial" w:cs="Arial"/>
          <w:sz w:val="22"/>
          <w:szCs w:val="22"/>
        </w:rPr>
        <w:t>Kistanti</w:t>
      </w:r>
      <w:proofErr w:type="spellEnd"/>
      <w:r w:rsidRPr="000947DF">
        <w:rPr>
          <w:rFonts w:ascii="Arial" w:eastAsia="Times New Roman" w:hAnsi="Arial" w:cs="Arial"/>
          <w:sz w:val="22"/>
          <w:szCs w:val="22"/>
        </w:rPr>
        <w:t>, N. R. (2024). The Economic Potential of Waste. NEM Publisher.</w:t>
      </w:r>
    </w:p>
    <w:p w14:paraId="6DE8FE97"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Pasek</w:t>
      </w:r>
      <w:proofErr w:type="spellEnd"/>
      <w:r w:rsidRPr="000947DF">
        <w:rPr>
          <w:rFonts w:ascii="Arial" w:eastAsia="Times New Roman" w:hAnsi="Arial" w:cs="Arial"/>
          <w:sz w:val="22"/>
          <w:szCs w:val="22"/>
        </w:rPr>
        <w:t xml:space="preserve">, I. K., Lina, N. P. M., </w:t>
      </w:r>
      <w:proofErr w:type="spellStart"/>
      <w:r w:rsidRPr="000947DF">
        <w:rPr>
          <w:rFonts w:ascii="Arial" w:eastAsia="Times New Roman" w:hAnsi="Arial" w:cs="Arial"/>
          <w:sz w:val="22"/>
          <w:szCs w:val="22"/>
        </w:rPr>
        <w:t>Siwantara</w:t>
      </w:r>
      <w:proofErr w:type="spellEnd"/>
      <w:r w:rsidRPr="000947DF">
        <w:rPr>
          <w:rFonts w:ascii="Arial" w:eastAsia="Times New Roman" w:hAnsi="Arial" w:cs="Arial"/>
          <w:sz w:val="22"/>
          <w:szCs w:val="22"/>
        </w:rPr>
        <w:t xml:space="preserve">, I. W., </w:t>
      </w:r>
      <w:proofErr w:type="spellStart"/>
      <w:r w:rsidRPr="000947DF">
        <w:rPr>
          <w:rFonts w:ascii="Arial" w:eastAsia="Times New Roman" w:hAnsi="Arial" w:cs="Arial"/>
          <w:sz w:val="22"/>
          <w:szCs w:val="22"/>
        </w:rPr>
        <w:t>Sumetri</w:t>
      </w:r>
      <w:proofErr w:type="spellEnd"/>
      <w:r w:rsidRPr="000947DF">
        <w:rPr>
          <w:rFonts w:ascii="Arial" w:eastAsia="Times New Roman" w:hAnsi="Arial" w:cs="Arial"/>
          <w:sz w:val="22"/>
          <w:szCs w:val="22"/>
        </w:rPr>
        <w:t xml:space="preserve">, N. W., &amp; </w:t>
      </w:r>
      <w:proofErr w:type="spellStart"/>
      <w:r w:rsidRPr="000947DF">
        <w:rPr>
          <w:rFonts w:ascii="Arial" w:eastAsia="Times New Roman" w:hAnsi="Arial" w:cs="Arial"/>
          <w:sz w:val="22"/>
          <w:szCs w:val="22"/>
        </w:rPr>
        <w:t>Sukarta</w:t>
      </w:r>
      <w:proofErr w:type="spellEnd"/>
      <w:r w:rsidRPr="000947DF">
        <w:rPr>
          <w:rFonts w:ascii="Arial" w:eastAsia="Times New Roman" w:hAnsi="Arial" w:cs="Arial"/>
          <w:sz w:val="22"/>
          <w:szCs w:val="22"/>
        </w:rPr>
        <w:t>, I. W. (2022). Application of Green Human Resource Management (GHRM) in Creating Product and Process Innovation in Small and Medium Coffee Industries in Indonesia. Journal of Business and Entrepreneurship, 18(3), 271-282.</w:t>
      </w:r>
    </w:p>
    <w:p w14:paraId="1E7BD813"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Pawitri</w:t>
      </w:r>
      <w:proofErr w:type="spellEnd"/>
      <w:r w:rsidRPr="000947DF">
        <w:rPr>
          <w:rFonts w:ascii="Arial" w:eastAsia="Times New Roman" w:hAnsi="Arial" w:cs="Arial"/>
          <w:sz w:val="22"/>
          <w:szCs w:val="22"/>
        </w:rPr>
        <w:t xml:space="preserve">, N. N. H. M., &amp; Trimurti, C. P. (2025, January). Innovative Solutions for Garment Waste Utilization for Cost Efficiency in </w:t>
      </w:r>
      <w:proofErr w:type="spellStart"/>
      <w:r w:rsidRPr="000947DF">
        <w:rPr>
          <w:rFonts w:ascii="Arial" w:eastAsia="Times New Roman" w:hAnsi="Arial" w:cs="Arial"/>
          <w:sz w:val="22"/>
          <w:szCs w:val="22"/>
        </w:rPr>
        <w:t>Inainabali</w:t>
      </w:r>
      <w:proofErr w:type="spellEnd"/>
      <w:r w:rsidRPr="000947DF">
        <w:rPr>
          <w:rFonts w:ascii="Arial" w:eastAsia="Times New Roman" w:hAnsi="Arial" w:cs="Arial"/>
          <w:sz w:val="22"/>
          <w:szCs w:val="22"/>
        </w:rPr>
        <w:t>: Implementation of a Circular Economy Strategy. In National Scientific Seminar on Technology, Science, and Social Humanities (SINTESA) (Vol. 7, pp. 111-120).</w:t>
      </w:r>
    </w:p>
    <w:p w14:paraId="101D1610" w14:textId="77777777" w:rsidR="000947DF" w:rsidRPr="000947DF" w:rsidRDefault="000947DF" w:rsidP="000947DF">
      <w:pPr>
        <w:spacing w:after="120"/>
        <w:jc w:val="both"/>
        <w:rPr>
          <w:rFonts w:ascii="Arial" w:eastAsia="Times New Roman" w:hAnsi="Arial" w:cs="Arial"/>
          <w:sz w:val="22"/>
          <w:szCs w:val="22"/>
        </w:rPr>
      </w:pPr>
      <w:r w:rsidRPr="000947DF">
        <w:rPr>
          <w:rFonts w:ascii="Arial" w:eastAsia="Times New Roman" w:hAnsi="Arial" w:cs="Arial"/>
          <w:sz w:val="22"/>
          <w:szCs w:val="22"/>
        </w:rPr>
        <w:t xml:space="preserve">Permata, D. I., Arum, S., </w:t>
      </w:r>
      <w:proofErr w:type="spellStart"/>
      <w:r w:rsidRPr="000947DF">
        <w:rPr>
          <w:rFonts w:ascii="Arial" w:eastAsia="Times New Roman" w:hAnsi="Arial" w:cs="Arial"/>
          <w:sz w:val="22"/>
          <w:szCs w:val="22"/>
        </w:rPr>
        <w:t>Tanuwidjaja</w:t>
      </w:r>
      <w:proofErr w:type="spellEnd"/>
      <w:r w:rsidRPr="000947DF">
        <w:rPr>
          <w:rFonts w:ascii="Arial" w:eastAsia="Times New Roman" w:hAnsi="Arial" w:cs="Arial"/>
          <w:sz w:val="22"/>
          <w:szCs w:val="22"/>
        </w:rPr>
        <w:t xml:space="preserve">, K. D., Evan, V., </w:t>
      </w:r>
      <w:proofErr w:type="spellStart"/>
      <w:r w:rsidRPr="000947DF">
        <w:rPr>
          <w:rFonts w:ascii="Arial" w:eastAsia="Times New Roman" w:hAnsi="Arial" w:cs="Arial"/>
          <w:sz w:val="22"/>
          <w:szCs w:val="22"/>
        </w:rPr>
        <w:t>Wicaksono</w:t>
      </w:r>
      <w:proofErr w:type="spellEnd"/>
      <w:r w:rsidRPr="000947DF">
        <w:rPr>
          <w:rFonts w:ascii="Arial" w:eastAsia="Times New Roman" w:hAnsi="Arial" w:cs="Arial"/>
          <w:sz w:val="22"/>
          <w:szCs w:val="22"/>
        </w:rPr>
        <w:t xml:space="preserve">, A., &amp; </w:t>
      </w:r>
      <w:proofErr w:type="spellStart"/>
      <w:r w:rsidRPr="000947DF">
        <w:rPr>
          <w:rFonts w:ascii="Arial" w:eastAsia="Times New Roman" w:hAnsi="Arial" w:cs="Arial"/>
          <w:sz w:val="22"/>
          <w:szCs w:val="22"/>
        </w:rPr>
        <w:t>Mardikanto</w:t>
      </w:r>
      <w:proofErr w:type="spellEnd"/>
      <w:r w:rsidRPr="000947DF">
        <w:rPr>
          <w:rFonts w:ascii="Arial" w:eastAsia="Times New Roman" w:hAnsi="Arial" w:cs="Arial"/>
          <w:sz w:val="22"/>
          <w:szCs w:val="22"/>
        </w:rPr>
        <w:t>, A. (2022). The Future is Circular: Concrete Steps for Circular Economy Initiatives in Indonesia. Ministry of National Development Planning/BAPPENAS.</w:t>
      </w:r>
    </w:p>
    <w:p w14:paraId="46E43064"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Pratama</w:t>
      </w:r>
      <w:proofErr w:type="spellEnd"/>
      <w:r w:rsidRPr="000947DF">
        <w:rPr>
          <w:rFonts w:ascii="Arial" w:eastAsia="Times New Roman" w:hAnsi="Arial" w:cs="Arial"/>
          <w:sz w:val="22"/>
          <w:szCs w:val="22"/>
        </w:rPr>
        <w:t xml:space="preserve">, R.A. (2023). Development of the SDGs Green Innovation Platform for MSMEs in Indonesia. </w:t>
      </w:r>
      <w:proofErr w:type="spellStart"/>
      <w:r w:rsidRPr="000947DF">
        <w:rPr>
          <w:rFonts w:ascii="Arial" w:eastAsia="Times New Roman" w:hAnsi="Arial" w:cs="Arial"/>
          <w:sz w:val="22"/>
          <w:szCs w:val="22"/>
        </w:rPr>
        <w:t>Dewantara</w:t>
      </w:r>
      <w:proofErr w:type="spellEnd"/>
      <w:r w:rsidRPr="000947DF">
        <w:rPr>
          <w:rFonts w:ascii="Arial" w:eastAsia="Times New Roman" w:hAnsi="Arial" w:cs="Arial"/>
          <w:sz w:val="22"/>
          <w:szCs w:val="22"/>
        </w:rPr>
        <w:t xml:space="preserve"> Management.</w:t>
      </w:r>
    </w:p>
    <w:p w14:paraId="3B21383B"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Ratnasari</w:t>
      </w:r>
      <w:proofErr w:type="spellEnd"/>
      <w:r w:rsidRPr="000947DF">
        <w:rPr>
          <w:rFonts w:ascii="Arial" w:eastAsia="Times New Roman" w:hAnsi="Arial" w:cs="Arial"/>
          <w:sz w:val="22"/>
          <w:szCs w:val="22"/>
        </w:rPr>
        <w:t xml:space="preserve">, Y., &amp; </w:t>
      </w:r>
      <w:proofErr w:type="spellStart"/>
      <w:r w:rsidRPr="000947DF">
        <w:rPr>
          <w:rFonts w:ascii="Arial" w:eastAsia="Times New Roman" w:hAnsi="Arial" w:cs="Arial"/>
          <w:sz w:val="22"/>
          <w:szCs w:val="22"/>
        </w:rPr>
        <w:t>Aschemann</w:t>
      </w:r>
      <w:proofErr w:type="spellEnd"/>
      <w:r w:rsidRPr="000947DF">
        <w:rPr>
          <w:rFonts w:ascii="Arial" w:eastAsia="Times New Roman" w:hAnsi="Arial" w:cs="Arial"/>
          <w:sz w:val="22"/>
          <w:szCs w:val="22"/>
        </w:rPr>
        <w:t>, R. (2024). Study on Monitoring Indonesia's Circular Economy: An Indicator System Proposal. AAS-in-Asia 2024.</w:t>
      </w:r>
    </w:p>
    <w:p w14:paraId="0477095A"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Rifal</w:t>
      </w:r>
      <w:proofErr w:type="spellEnd"/>
      <w:r w:rsidRPr="000947DF">
        <w:rPr>
          <w:rFonts w:ascii="Arial" w:eastAsia="Times New Roman" w:hAnsi="Arial" w:cs="Arial"/>
          <w:sz w:val="22"/>
          <w:szCs w:val="22"/>
        </w:rPr>
        <w:t xml:space="preserve">, G. R., </w:t>
      </w:r>
      <w:proofErr w:type="spellStart"/>
      <w:r w:rsidRPr="000947DF">
        <w:rPr>
          <w:rFonts w:ascii="Arial" w:eastAsia="Times New Roman" w:hAnsi="Arial" w:cs="Arial"/>
          <w:sz w:val="22"/>
          <w:szCs w:val="22"/>
        </w:rPr>
        <w:t>Dispindra</w:t>
      </w:r>
      <w:proofErr w:type="spellEnd"/>
      <w:r w:rsidRPr="000947DF">
        <w:rPr>
          <w:rFonts w:ascii="Arial" w:eastAsia="Times New Roman" w:hAnsi="Arial" w:cs="Arial"/>
          <w:sz w:val="22"/>
          <w:szCs w:val="22"/>
        </w:rPr>
        <w:t xml:space="preserve">, R. R., Arifin, A. L., &amp; </w:t>
      </w:r>
      <w:proofErr w:type="spellStart"/>
      <w:r w:rsidRPr="000947DF">
        <w:rPr>
          <w:rFonts w:ascii="Arial" w:eastAsia="Times New Roman" w:hAnsi="Arial" w:cs="Arial"/>
          <w:sz w:val="22"/>
          <w:szCs w:val="22"/>
        </w:rPr>
        <w:t>Azmy</w:t>
      </w:r>
      <w:proofErr w:type="spellEnd"/>
      <w:r w:rsidRPr="000947DF">
        <w:rPr>
          <w:rFonts w:ascii="Arial" w:eastAsia="Times New Roman" w:hAnsi="Arial" w:cs="Arial"/>
          <w:sz w:val="22"/>
          <w:szCs w:val="22"/>
        </w:rPr>
        <w:t>, A. (2024). Plastic Waste Recycling Business Ecosystem by MSMEs Towards Improving the Green Economy. Journal of Economics and Information Systems Management (JEMSI), 6(2).</w:t>
      </w:r>
    </w:p>
    <w:p w14:paraId="6935B464" w14:textId="4DDA41A9" w:rsidR="000947DF" w:rsidRPr="000947DF" w:rsidRDefault="000947DF" w:rsidP="000947DF">
      <w:pPr>
        <w:spacing w:after="120"/>
        <w:jc w:val="both"/>
        <w:rPr>
          <w:rFonts w:ascii="Arial" w:eastAsia="Times New Roman" w:hAnsi="Arial" w:cs="Arial"/>
          <w:sz w:val="22"/>
          <w:szCs w:val="22"/>
        </w:rPr>
      </w:pPr>
      <w:r w:rsidRPr="000947DF">
        <w:rPr>
          <w:rFonts w:ascii="Arial" w:eastAsia="Times New Roman" w:hAnsi="Arial" w:cs="Arial"/>
          <w:sz w:val="22"/>
          <w:szCs w:val="22"/>
        </w:rPr>
        <w:t>Rodrigues, M., &amp; Franco, M. (2023). Green Innovation in Small and Medium Enterprises</w:t>
      </w:r>
      <w:r w:rsidRPr="000947DF">
        <w:t xml:space="preserve"> </w:t>
      </w:r>
      <w:r w:rsidRPr="000947DF">
        <w:rPr>
          <w:rFonts w:ascii="Arial" w:eastAsia="Times New Roman" w:hAnsi="Arial" w:cs="Arial"/>
          <w:sz w:val="22"/>
          <w:szCs w:val="22"/>
        </w:rPr>
        <w:t>Small-Sized Enterprises (SMEs): A Qualitative Approach. Sustainability.</w:t>
      </w:r>
    </w:p>
    <w:p w14:paraId="4C565C56"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Saputra</w:t>
      </w:r>
      <w:proofErr w:type="spellEnd"/>
      <w:r w:rsidRPr="000947DF">
        <w:rPr>
          <w:rFonts w:ascii="Arial" w:eastAsia="Times New Roman" w:hAnsi="Arial" w:cs="Arial"/>
          <w:sz w:val="22"/>
          <w:szCs w:val="22"/>
        </w:rPr>
        <w:t xml:space="preserve">, D. H., </w:t>
      </w:r>
      <w:proofErr w:type="spellStart"/>
      <w:r w:rsidRPr="000947DF">
        <w:rPr>
          <w:rFonts w:ascii="Arial" w:eastAsia="Times New Roman" w:hAnsi="Arial" w:cs="Arial"/>
          <w:sz w:val="22"/>
          <w:szCs w:val="22"/>
        </w:rPr>
        <w:t>Masdani</w:t>
      </w:r>
      <w:proofErr w:type="spellEnd"/>
      <w:r w:rsidRPr="000947DF">
        <w:rPr>
          <w:rFonts w:ascii="Arial" w:eastAsia="Times New Roman" w:hAnsi="Arial" w:cs="Arial"/>
          <w:sz w:val="22"/>
          <w:szCs w:val="22"/>
        </w:rPr>
        <w:t xml:space="preserve">, M., </w:t>
      </w:r>
      <w:proofErr w:type="spellStart"/>
      <w:r w:rsidRPr="000947DF">
        <w:rPr>
          <w:rFonts w:ascii="Arial" w:eastAsia="Times New Roman" w:hAnsi="Arial" w:cs="Arial"/>
          <w:sz w:val="22"/>
          <w:szCs w:val="22"/>
        </w:rPr>
        <w:t>Asdin</w:t>
      </w:r>
      <w:proofErr w:type="spellEnd"/>
      <w:r w:rsidRPr="000947DF">
        <w:rPr>
          <w:rFonts w:ascii="Arial" w:eastAsia="Times New Roman" w:hAnsi="Arial" w:cs="Arial"/>
          <w:sz w:val="22"/>
          <w:szCs w:val="22"/>
        </w:rPr>
        <w:t xml:space="preserve">, A., &amp; </w:t>
      </w:r>
      <w:proofErr w:type="spellStart"/>
      <w:r w:rsidRPr="000947DF">
        <w:rPr>
          <w:rFonts w:ascii="Arial" w:eastAsia="Times New Roman" w:hAnsi="Arial" w:cs="Arial"/>
          <w:sz w:val="22"/>
          <w:szCs w:val="22"/>
        </w:rPr>
        <w:t>Triaji</w:t>
      </w:r>
      <w:proofErr w:type="spellEnd"/>
      <w:r w:rsidRPr="000947DF">
        <w:rPr>
          <w:rFonts w:ascii="Arial" w:eastAsia="Times New Roman" w:hAnsi="Arial" w:cs="Arial"/>
          <w:sz w:val="22"/>
          <w:szCs w:val="22"/>
        </w:rPr>
        <w:t xml:space="preserve">, B. (2024). Activities to Encourage Economic Independence of Productive Communities Through Environmentally Friendly Businesses with the Fina Foundation. </w:t>
      </w:r>
      <w:proofErr w:type="spellStart"/>
      <w:r w:rsidRPr="000947DF">
        <w:rPr>
          <w:rFonts w:ascii="Arial" w:eastAsia="Times New Roman" w:hAnsi="Arial" w:cs="Arial"/>
          <w:sz w:val="22"/>
          <w:szCs w:val="22"/>
        </w:rPr>
        <w:t>Madaniya</w:t>
      </w:r>
      <w:proofErr w:type="spellEnd"/>
      <w:r w:rsidRPr="000947DF">
        <w:rPr>
          <w:rFonts w:ascii="Arial" w:eastAsia="Times New Roman" w:hAnsi="Arial" w:cs="Arial"/>
          <w:sz w:val="22"/>
          <w:szCs w:val="22"/>
        </w:rPr>
        <w:t>, 5(2), 466-472.</w:t>
      </w:r>
    </w:p>
    <w:p w14:paraId="28211A52" w14:textId="77777777" w:rsidR="000947DF" w:rsidRPr="000947DF" w:rsidRDefault="000947DF" w:rsidP="000947DF">
      <w:pPr>
        <w:spacing w:after="120"/>
        <w:jc w:val="both"/>
        <w:rPr>
          <w:rFonts w:ascii="Arial" w:eastAsia="Times New Roman" w:hAnsi="Arial" w:cs="Arial"/>
          <w:sz w:val="22"/>
          <w:szCs w:val="22"/>
        </w:rPr>
      </w:pPr>
      <w:r w:rsidRPr="000947DF">
        <w:rPr>
          <w:rFonts w:ascii="Arial" w:eastAsia="Times New Roman" w:hAnsi="Arial" w:cs="Arial"/>
          <w:sz w:val="22"/>
          <w:szCs w:val="22"/>
        </w:rPr>
        <w:t xml:space="preserve">Sari, D. P., et al. (2023). Green MSMEs: Business Transformation in an Effort to Maintain Environmental Sustainability. </w:t>
      </w:r>
      <w:proofErr w:type="gramStart"/>
      <w:r w:rsidRPr="000947DF">
        <w:rPr>
          <w:rFonts w:ascii="Arial" w:eastAsia="Times New Roman" w:hAnsi="Arial" w:cs="Arial"/>
          <w:sz w:val="22"/>
          <w:szCs w:val="22"/>
        </w:rPr>
        <w:t>:</w:t>
      </w:r>
      <w:proofErr w:type="spellStart"/>
      <w:r w:rsidRPr="000947DF">
        <w:rPr>
          <w:rFonts w:ascii="Arial" w:eastAsia="Times New Roman" w:hAnsi="Arial" w:cs="Arial"/>
          <w:sz w:val="22"/>
          <w:szCs w:val="22"/>
        </w:rPr>
        <w:t>contentReference</w:t>
      </w:r>
      <w:proofErr w:type="spellEnd"/>
      <w:proofErr w:type="gramEnd"/>
      <w:r w:rsidRPr="000947DF">
        <w:rPr>
          <w:rFonts w:ascii="Arial" w:eastAsia="Times New Roman" w:hAnsi="Arial" w:cs="Arial"/>
          <w:sz w:val="22"/>
          <w:szCs w:val="22"/>
        </w:rPr>
        <w:t>[oaicite:6]{index=6} - UI Vocational Community Service Team. (2022). UI Vocational School Develops Tourism Villages in Bali with a Circular Economy Concept. Research &amp; Accounting Journal</w:t>
      </w:r>
    </w:p>
    <w:p w14:paraId="18FB95C8" w14:textId="77777777" w:rsidR="000947DF" w:rsidRPr="000947DF" w:rsidRDefault="000947DF" w:rsidP="000947DF">
      <w:pPr>
        <w:spacing w:after="120"/>
        <w:jc w:val="both"/>
        <w:rPr>
          <w:rFonts w:ascii="Arial" w:eastAsia="Times New Roman" w:hAnsi="Arial" w:cs="Arial"/>
          <w:sz w:val="22"/>
          <w:szCs w:val="22"/>
        </w:rPr>
      </w:pPr>
    </w:p>
    <w:p w14:paraId="06ADD2E8"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Siregar</w:t>
      </w:r>
      <w:proofErr w:type="spellEnd"/>
      <w:r w:rsidRPr="000947DF">
        <w:rPr>
          <w:rFonts w:ascii="Arial" w:eastAsia="Times New Roman" w:hAnsi="Arial" w:cs="Arial"/>
          <w:sz w:val="22"/>
          <w:szCs w:val="22"/>
        </w:rPr>
        <w:t xml:space="preserve">, Mufti Al Mumtaz, Robby Adriano Karo </w:t>
      </w:r>
      <w:proofErr w:type="spellStart"/>
      <w:r w:rsidRPr="000947DF">
        <w:rPr>
          <w:rFonts w:ascii="Arial" w:eastAsia="Times New Roman" w:hAnsi="Arial" w:cs="Arial"/>
          <w:sz w:val="22"/>
          <w:szCs w:val="22"/>
        </w:rPr>
        <w:t>Karo</w:t>
      </w:r>
      <w:proofErr w:type="spellEnd"/>
      <w:r w:rsidRPr="000947DF">
        <w:rPr>
          <w:rFonts w:ascii="Arial" w:eastAsia="Times New Roman" w:hAnsi="Arial" w:cs="Arial"/>
          <w:sz w:val="22"/>
          <w:szCs w:val="22"/>
        </w:rPr>
        <w:t xml:space="preserve">, Reza </w:t>
      </w:r>
      <w:proofErr w:type="spellStart"/>
      <w:r w:rsidRPr="000947DF">
        <w:rPr>
          <w:rFonts w:ascii="Arial" w:eastAsia="Times New Roman" w:hAnsi="Arial" w:cs="Arial"/>
          <w:sz w:val="22"/>
          <w:szCs w:val="22"/>
        </w:rPr>
        <w:t>Restu</w:t>
      </w:r>
      <w:proofErr w:type="spellEnd"/>
      <w:r w:rsidRPr="000947DF">
        <w:rPr>
          <w:rFonts w:ascii="Arial" w:eastAsia="Times New Roman" w:hAnsi="Arial" w:cs="Arial"/>
          <w:sz w:val="22"/>
          <w:szCs w:val="22"/>
        </w:rPr>
        <w:t xml:space="preserve"> </w:t>
      </w:r>
      <w:proofErr w:type="spellStart"/>
      <w:r w:rsidRPr="000947DF">
        <w:rPr>
          <w:rFonts w:ascii="Arial" w:eastAsia="Times New Roman" w:hAnsi="Arial" w:cs="Arial"/>
          <w:sz w:val="22"/>
          <w:szCs w:val="22"/>
        </w:rPr>
        <w:t>Ardiansyah</w:t>
      </w:r>
      <w:proofErr w:type="spellEnd"/>
      <w:r w:rsidRPr="000947DF">
        <w:rPr>
          <w:rFonts w:ascii="Arial" w:eastAsia="Times New Roman" w:hAnsi="Arial" w:cs="Arial"/>
          <w:sz w:val="22"/>
          <w:szCs w:val="22"/>
        </w:rPr>
        <w:t xml:space="preserve">, and </w:t>
      </w:r>
      <w:proofErr w:type="spellStart"/>
      <w:r w:rsidRPr="000947DF">
        <w:rPr>
          <w:rFonts w:ascii="Arial" w:eastAsia="Times New Roman" w:hAnsi="Arial" w:cs="Arial"/>
          <w:sz w:val="22"/>
          <w:szCs w:val="22"/>
        </w:rPr>
        <w:t>Yenni</w:t>
      </w:r>
      <w:proofErr w:type="spellEnd"/>
      <w:r w:rsidRPr="000947DF">
        <w:rPr>
          <w:rFonts w:ascii="Arial" w:eastAsia="Times New Roman" w:hAnsi="Arial" w:cs="Arial"/>
          <w:sz w:val="22"/>
          <w:szCs w:val="22"/>
        </w:rPr>
        <w:t xml:space="preserve"> </w:t>
      </w:r>
      <w:proofErr w:type="spellStart"/>
      <w:r w:rsidRPr="000947DF">
        <w:rPr>
          <w:rFonts w:ascii="Arial" w:eastAsia="Times New Roman" w:hAnsi="Arial" w:cs="Arial"/>
          <w:sz w:val="22"/>
          <w:szCs w:val="22"/>
        </w:rPr>
        <w:t>Samri</w:t>
      </w:r>
      <w:proofErr w:type="spellEnd"/>
      <w:r w:rsidRPr="000947DF">
        <w:rPr>
          <w:rFonts w:ascii="Arial" w:eastAsia="Times New Roman" w:hAnsi="Arial" w:cs="Arial"/>
          <w:sz w:val="22"/>
          <w:szCs w:val="22"/>
        </w:rPr>
        <w:t xml:space="preserve"> </w:t>
      </w:r>
      <w:proofErr w:type="spellStart"/>
      <w:r w:rsidRPr="000947DF">
        <w:rPr>
          <w:rFonts w:ascii="Arial" w:eastAsia="Times New Roman" w:hAnsi="Arial" w:cs="Arial"/>
          <w:sz w:val="22"/>
          <w:szCs w:val="22"/>
        </w:rPr>
        <w:t>Juliati</w:t>
      </w:r>
      <w:proofErr w:type="spellEnd"/>
      <w:r w:rsidRPr="000947DF">
        <w:rPr>
          <w:rFonts w:ascii="Arial" w:eastAsia="Times New Roman" w:hAnsi="Arial" w:cs="Arial"/>
          <w:sz w:val="22"/>
          <w:szCs w:val="22"/>
        </w:rPr>
        <w:t xml:space="preserve"> </w:t>
      </w:r>
      <w:proofErr w:type="spellStart"/>
      <w:r w:rsidRPr="000947DF">
        <w:rPr>
          <w:rFonts w:ascii="Arial" w:eastAsia="Times New Roman" w:hAnsi="Arial" w:cs="Arial"/>
          <w:sz w:val="22"/>
          <w:szCs w:val="22"/>
        </w:rPr>
        <w:t>Nasution</w:t>
      </w:r>
      <w:proofErr w:type="spellEnd"/>
      <w:r w:rsidRPr="000947DF">
        <w:rPr>
          <w:rFonts w:ascii="Arial" w:eastAsia="Times New Roman" w:hAnsi="Arial" w:cs="Arial"/>
          <w:sz w:val="22"/>
          <w:szCs w:val="22"/>
        </w:rPr>
        <w:t>. "Analysis of Circular Economy Implementation in F&amp;B MSMEs Around Medan." Journal of Economics, Business, and Management 4, no. 1 (2025): 14-24.</w:t>
      </w:r>
    </w:p>
    <w:p w14:paraId="5580B910"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Siswanto</w:t>
      </w:r>
      <w:proofErr w:type="spellEnd"/>
      <w:r w:rsidRPr="000947DF">
        <w:rPr>
          <w:rFonts w:ascii="Arial" w:eastAsia="Times New Roman" w:hAnsi="Arial" w:cs="Arial"/>
          <w:sz w:val="22"/>
          <w:szCs w:val="22"/>
        </w:rPr>
        <w:t>, F. R. (2024, November). Analysis of the Impact of Sustainable Business Implementation by Micro-Enterprises Participating in the MSME Training and Mentoring Program "Transformation Towards Sustainable Business." In National Seminar on Applied Sciences (Vol. 8, No. 1, pp. E23-E23).</w:t>
      </w:r>
    </w:p>
    <w:p w14:paraId="46489026"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Soewarno</w:t>
      </w:r>
      <w:proofErr w:type="spellEnd"/>
      <w:r w:rsidRPr="000947DF">
        <w:rPr>
          <w:rFonts w:ascii="Arial" w:eastAsia="Times New Roman" w:hAnsi="Arial" w:cs="Arial"/>
          <w:sz w:val="22"/>
          <w:szCs w:val="22"/>
        </w:rPr>
        <w:t xml:space="preserve">, N., </w:t>
      </w:r>
      <w:proofErr w:type="spellStart"/>
      <w:r w:rsidRPr="000947DF">
        <w:rPr>
          <w:rFonts w:ascii="Arial" w:eastAsia="Times New Roman" w:hAnsi="Arial" w:cs="Arial"/>
          <w:sz w:val="22"/>
          <w:szCs w:val="22"/>
        </w:rPr>
        <w:t>Tjahjadi</w:t>
      </w:r>
      <w:proofErr w:type="spellEnd"/>
      <w:r w:rsidRPr="000947DF">
        <w:rPr>
          <w:rFonts w:ascii="Arial" w:eastAsia="Times New Roman" w:hAnsi="Arial" w:cs="Arial"/>
          <w:sz w:val="22"/>
          <w:szCs w:val="22"/>
        </w:rPr>
        <w:t xml:space="preserve">, B., &amp; </w:t>
      </w:r>
      <w:proofErr w:type="spellStart"/>
      <w:r w:rsidRPr="000947DF">
        <w:rPr>
          <w:rFonts w:ascii="Arial" w:eastAsia="Times New Roman" w:hAnsi="Arial" w:cs="Arial"/>
          <w:sz w:val="22"/>
          <w:szCs w:val="22"/>
        </w:rPr>
        <w:t>Fithrianti</w:t>
      </w:r>
      <w:proofErr w:type="spellEnd"/>
      <w:r w:rsidRPr="000947DF">
        <w:rPr>
          <w:rFonts w:ascii="Arial" w:eastAsia="Times New Roman" w:hAnsi="Arial" w:cs="Arial"/>
          <w:sz w:val="22"/>
          <w:szCs w:val="22"/>
        </w:rPr>
        <w:t>, F. (2019). Green Innovation Strategy and Green Innovation. Management Decision.</w:t>
      </w:r>
    </w:p>
    <w:p w14:paraId="68CEECE0"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lastRenderedPageBreak/>
        <w:t>Syaiful</w:t>
      </w:r>
      <w:proofErr w:type="spellEnd"/>
      <w:r w:rsidRPr="000947DF">
        <w:rPr>
          <w:rFonts w:ascii="Arial" w:eastAsia="Times New Roman" w:hAnsi="Arial" w:cs="Arial"/>
          <w:sz w:val="22"/>
          <w:szCs w:val="22"/>
        </w:rPr>
        <w:t xml:space="preserve">, A. (2024). The Influence of Accounting Understanding, Financial Literacy, and Social Media Utilization on the Sustainability of MSMEs in </w:t>
      </w:r>
      <w:proofErr w:type="spellStart"/>
      <w:r w:rsidRPr="000947DF">
        <w:rPr>
          <w:rFonts w:ascii="Arial" w:eastAsia="Times New Roman" w:hAnsi="Arial" w:cs="Arial"/>
          <w:sz w:val="22"/>
          <w:szCs w:val="22"/>
        </w:rPr>
        <w:t>Baubau</w:t>
      </w:r>
      <w:proofErr w:type="spellEnd"/>
      <w:r w:rsidRPr="000947DF">
        <w:rPr>
          <w:rFonts w:ascii="Arial" w:eastAsia="Times New Roman" w:hAnsi="Arial" w:cs="Arial"/>
          <w:sz w:val="22"/>
          <w:szCs w:val="22"/>
        </w:rPr>
        <w:t xml:space="preserve"> City. Entries, 6(2), 121-131.</w:t>
      </w:r>
    </w:p>
    <w:p w14:paraId="65623CDE"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Tjahjadi</w:t>
      </w:r>
      <w:proofErr w:type="spellEnd"/>
      <w:r w:rsidRPr="000947DF">
        <w:rPr>
          <w:rFonts w:ascii="Arial" w:eastAsia="Times New Roman" w:hAnsi="Arial" w:cs="Arial"/>
          <w:sz w:val="22"/>
          <w:szCs w:val="22"/>
        </w:rPr>
        <w:t xml:space="preserve">, B., </w:t>
      </w:r>
      <w:proofErr w:type="spellStart"/>
      <w:r w:rsidRPr="000947DF">
        <w:rPr>
          <w:rFonts w:ascii="Arial" w:eastAsia="Times New Roman" w:hAnsi="Arial" w:cs="Arial"/>
          <w:sz w:val="22"/>
          <w:szCs w:val="22"/>
        </w:rPr>
        <w:t>Soewarno</w:t>
      </w:r>
      <w:proofErr w:type="spellEnd"/>
      <w:r w:rsidRPr="000947DF">
        <w:rPr>
          <w:rFonts w:ascii="Arial" w:eastAsia="Times New Roman" w:hAnsi="Arial" w:cs="Arial"/>
          <w:sz w:val="22"/>
          <w:szCs w:val="22"/>
        </w:rPr>
        <w:t xml:space="preserve">, N., </w:t>
      </w:r>
      <w:proofErr w:type="spellStart"/>
      <w:r w:rsidRPr="000947DF">
        <w:rPr>
          <w:rFonts w:ascii="Arial" w:eastAsia="Times New Roman" w:hAnsi="Arial" w:cs="Arial"/>
          <w:sz w:val="22"/>
          <w:szCs w:val="22"/>
        </w:rPr>
        <w:t>Hariyati</w:t>
      </w:r>
      <w:proofErr w:type="spellEnd"/>
      <w:r w:rsidRPr="000947DF">
        <w:rPr>
          <w:rFonts w:ascii="Arial" w:eastAsia="Times New Roman" w:hAnsi="Arial" w:cs="Arial"/>
          <w:sz w:val="22"/>
          <w:szCs w:val="22"/>
        </w:rPr>
        <w:t xml:space="preserve">, H., </w:t>
      </w:r>
      <w:proofErr w:type="spellStart"/>
      <w:r w:rsidRPr="000947DF">
        <w:rPr>
          <w:rFonts w:ascii="Arial" w:eastAsia="Times New Roman" w:hAnsi="Arial" w:cs="Arial"/>
          <w:sz w:val="22"/>
          <w:szCs w:val="22"/>
        </w:rPr>
        <w:t>Nafidah</w:t>
      </w:r>
      <w:proofErr w:type="spellEnd"/>
      <w:r w:rsidRPr="000947DF">
        <w:rPr>
          <w:rFonts w:ascii="Arial" w:eastAsia="Times New Roman" w:hAnsi="Arial" w:cs="Arial"/>
          <w:sz w:val="22"/>
          <w:szCs w:val="22"/>
        </w:rPr>
        <w:t xml:space="preserve">, L. N., </w:t>
      </w:r>
      <w:proofErr w:type="spellStart"/>
      <w:r w:rsidRPr="000947DF">
        <w:rPr>
          <w:rFonts w:ascii="Arial" w:eastAsia="Times New Roman" w:hAnsi="Arial" w:cs="Arial"/>
          <w:sz w:val="22"/>
          <w:szCs w:val="22"/>
        </w:rPr>
        <w:t>Kustiningsih</w:t>
      </w:r>
      <w:proofErr w:type="spellEnd"/>
      <w:r w:rsidRPr="000947DF">
        <w:rPr>
          <w:rFonts w:ascii="Arial" w:eastAsia="Times New Roman" w:hAnsi="Arial" w:cs="Arial"/>
          <w:sz w:val="22"/>
          <w:szCs w:val="22"/>
        </w:rPr>
        <w:t xml:space="preserve">, N., &amp; </w:t>
      </w:r>
      <w:proofErr w:type="spellStart"/>
      <w:r w:rsidRPr="000947DF">
        <w:rPr>
          <w:rFonts w:ascii="Arial" w:eastAsia="Times New Roman" w:hAnsi="Arial" w:cs="Arial"/>
          <w:sz w:val="22"/>
          <w:szCs w:val="22"/>
        </w:rPr>
        <w:t>Nadyaningrum</w:t>
      </w:r>
      <w:proofErr w:type="spellEnd"/>
      <w:r w:rsidRPr="000947DF">
        <w:rPr>
          <w:rFonts w:ascii="Arial" w:eastAsia="Times New Roman" w:hAnsi="Arial" w:cs="Arial"/>
          <w:sz w:val="22"/>
          <w:szCs w:val="22"/>
        </w:rPr>
        <w:t>, V. (2020). The role of green innovation between green market orientation and business performance: Its implications for open innovation. Journal of Open Innovation: Technology, Market, and Complexity, 6(4), 173.</w:t>
      </w:r>
    </w:p>
    <w:p w14:paraId="04C5F548"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Trisnantari</w:t>
      </w:r>
      <w:proofErr w:type="spellEnd"/>
      <w:r w:rsidRPr="000947DF">
        <w:rPr>
          <w:rFonts w:ascii="Arial" w:eastAsia="Times New Roman" w:hAnsi="Arial" w:cs="Arial"/>
          <w:sz w:val="22"/>
          <w:szCs w:val="22"/>
        </w:rPr>
        <w:t xml:space="preserve">, S. A., </w:t>
      </w:r>
      <w:proofErr w:type="spellStart"/>
      <w:r w:rsidRPr="000947DF">
        <w:rPr>
          <w:rFonts w:ascii="Arial" w:eastAsia="Times New Roman" w:hAnsi="Arial" w:cs="Arial"/>
          <w:sz w:val="22"/>
          <w:szCs w:val="22"/>
        </w:rPr>
        <w:t>Susilastuti</w:t>
      </w:r>
      <w:proofErr w:type="spellEnd"/>
      <w:r w:rsidRPr="000947DF">
        <w:rPr>
          <w:rFonts w:ascii="Arial" w:eastAsia="Times New Roman" w:hAnsi="Arial" w:cs="Arial"/>
          <w:sz w:val="22"/>
          <w:szCs w:val="22"/>
        </w:rPr>
        <w:t xml:space="preserve">, D. H., &amp; Putri, T. W. S. (2023). Collaborative Governance Process in MSMEs Empowerment through the </w:t>
      </w:r>
      <w:proofErr w:type="spellStart"/>
      <w:r w:rsidRPr="000947DF">
        <w:rPr>
          <w:rFonts w:ascii="Arial" w:eastAsia="Times New Roman" w:hAnsi="Arial" w:cs="Arial"/>
          <w:sz w:val="22"/>
          <w:szCs w:val="22"/>
        </w:rPr>
        <w:t>Desa-Preneur</w:t>
      </w:r>
      <w:proofErr w:type="spellEnd"/>
      <w:r w:rsidRPr="000947DF">
        <w:rPr>
          <w:rFonts w:ascii="Arial" w:eastAsia="Times New Roman" w:hAnsi="Arial" w:cs="Arial"/>
          <w:sz w:val="22"/>
          <w:szCs w:val="22"/>
        </w:rPr>
        <w:t xml:space="preserve"> Program in </w:t>
      </w:r>
      <w:proofErr w:type="spellStart"/>
      <w:r w:rsidRPr="000947DF">
        <w:rPr>
          <w:rFonts w:ascii="Arial" w:eastAsia="Times New Roman" w:hAnsi="Arial" w:cs="Arial"/>
          <w:sz w:val="22"/>
          <w:szCs w:val="22"/>
        </w:rPr>
        <w:t>Sidoarum</w:t>
      </w:r>
      <w:proofErr w:type="spellEnd"/>
      <w:r w:rsidRPr="000947DF">
        <w:rPr>
          <w:rFonts w:ascii="Arial" w:eastAsia="Times New Roman" w:hAnsi="Arial" w:cs="Arial"/>
          <w:sz w:val="22"/>
          <w:szCs w:val="22"/>
        </w:rPr>
        <w:t xml:space="preserve"> Village, Yogyakarta. Population, 31(2), 90-111.</w:t>
      </w:r>
    </w:p>
    <w:p w14:paraId="395F7C76"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Uhai</w:t>
      </w:r>
      <w:proofErr w:type="spellEnd"/>
      <w:r w:rsidRPr="000947DF">
        <w:rPr>
          <w:rFonts w:ascii="Arial" w:eastAsia="Times New Roman" w:hAnsi="Arial" w:cs="Arial"/>
          <w:sz w:val="22"/>
          <w:szCs w:val="22"/>
        </w:rPr>
        <w:t xml:space="preserve">, S., </w:t>
      </w:r>
      <w:proofErr w:type="spellStart"/>
      <w:r w:rsidRPr="000947DF">
        <w:rPr>
          <w:rFonts w:ascii="Arial" w:eastAsia="Times New Roman" w:hAnsi="Arial" w:cs="Arial"/>
          <w:sz w:val="22"/>
          <w:szCs w:val="22"/>
        </w:rPr>
        <w:t>Mahmudin</w:t>
      </w:r>
      <w:proofErr w:type="spellEnd"/>
      <w:r w:rsidRPr="000947DF">
        <w:rPr>
          <w:rFonts w:ascii="Arial" w:eastAsia="Times New Roman" w:hAnsi="Arial" w:cs="Arial"/>
          <w:sz w:val="22"/>
          <w:szCs w:val="22"/>
        </w:rPr>
        <w:t xml:space="preserve">, T., &amp; </w:t>
      </w:r>
      <w:proofErr w:type="spellStart"/>
      <w:r w:rsidRPr="000947DF">
        <w:rPr>
          <w:rFonts w:ascii="Arial" w:eastAsia="Times New Roman" w:hAnsi="Arial" w:cs="Arial"/>
          <w:sz w:val="22"/>
          <w:szCs w:val="22"/>
        </w:rPr>
        <w:t>Dewi</w:t>
      </w:r>
      <w:proofErr w:type="spellEnd"/>
      <w:r w:rsidRPr="000947DF">
        <w:rPr>
          <w:rFonts w:ascii="Arial" w:eastAsia="Times New Roman" w:hAnsi="Arial" w:cs="Arial"/>
          <w:sz w:val="22"/>
          <w:szCs w:val="22"/>
        </w:rPr>
        <w:t>, I. C. (2024). Sustainable Tourism: Strategies for Managing Environmentally Friendly and Profitable Tourist Destinations.</w:t>
      </w:r>
    </w:p>
    <w:p w14:paraId="1F368247" w14:textId="77777777" w:rsidR="000947DF" w:rsidRPr="000947DF" w:rsidRDefault="000947DF" w:rsidP="000947DF">
      <w:pPr>
        <w:spacing w:after="120"/>
        <w:jc w:val="both"/>
        <w:rPr>
          <w:rFonts w:ascii="Arial" w:eastAsia="Times New Roman" w:hAnsi="Arial" w:cs="Arial"/>
          <w:sz w:val="22"/>
          <w:szCs w:val="22"/>
        </w:rPr>
      </w:pPr>
      <w:r w:rsidRPr="000947DF">
        <w:rPr>
          <w:rFonts w:ascii="Arial" w:eastAsia="Times New Roman" w:hAnsi="Arial" w:cs="Arial"/>
          <w:sz w:val="22"/>
          <w:szCs w:val="22"/>
        </w:rPr>
        <w:t>Ullah, R., Ahmad, H., Rehman, F., &amp; Fawad, A. (2021). Green innovation and Sustainable Development Goals in SMEs: the moderating role of government incentives. Journal of Economic and Administrative Sciences.</w:t>
      </w:r>
    </w:p>
    <w:p w14:paraId="0930953E"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Yuniarta</w:t>
      </w:r>
      <w:proofErr w:type="spellEnd"/>
      <w:r w:rsidRPr="000947DF">
        <w:rPr>
          <w:rFonts w:ascii="Arial" w:eastAsia="Times New Roman" w:hAnsi="Arial" w:cs="Arial"/>
          <w:sz w:val="22"/>
          <w:szCs w:val="22"/>
        </w:rPr>
        <w:t xml:space="preserve">, G. A., &amp; </w:t>
      </w:r>
      <w:proofErr w:type="spellStart"/>
      <w:r w:rsidRPr="000947DF">
        <w:rPr>
          <w:rFonts w:ascii="Arial" w:eastAsia="Times New Roman" w:hAnsi="Arial" w:cs="Arial"/>
          <w:sz w:val="22"/>
          <w:szCs w:val="22"/>
        </w:rPr>
        <w:t>Purnamawati</w:t>
      </w:r>
      <w:proofErr w:type="spellEnd"/>
      <w:r w:rsidRPr="000947DF">
        <w:rPr>
          <w:rFonts w:ascii="Arial" w:eastAsia="Times New Roman" w:hAnsi="Arial" w:cs="Arial"/>
          <w:sz w:val="22"/>
          <w:szCs w:val="22"/>
        </w:rPr>
        <w:t>, I. G. A. (2024). Encouraging Sustainable MSME Performance in Bali Province Through Circular Economy and Innovation. Journal of Media Informatics, 6(2), 565-572.</w:t>
      </w:r>
    </w:p>
    <w:p w14:paraId="27DA2EE3"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Yamawati</w:t>
      </w:r>
      <w:proofErr w:type="spellEnd"/>
      <w:r w:rsidRPr="000947DF">
        <w:rPr>
          <w:rFonts w:ascii="Arial" w:eastAsia="Times New Roman" w:hAnsi="Arial" w:cs="Arial"/>
          <w:sz w:val="22"/>
          <w:szCs w:val="22"/>
        </w:rPr>
        <w:t xml:space="preserve">, N. K. S., </w:t>
      </w:r>
      <w:proofErr w:type="spellStart"/>
      <w:r w:rsidRPr="000947DF">
        <w:rPr>
          <w:rFonts w:ascii="Arial" w:eastAsia="Times New Roman" w:hAnsi="Arial" w:cs="Arial"/>
          <w:sz w:val="22"/>
          <w:szCs w:val="22"/>
        </w:rPr>
        <w:t>Dewi</w:t>
      </w:r>
      <w:proofErr w:type="spellEnd"/>
      <w:r w:rsidRPr="000947DF">
        <w:rPr>
          <w:rFonts w:ascii="Arial" w:eastAsia="Times New Roman" w:hAnsi="Arial" w:cs="Arial"/>
          <w:sz w:val="22"/>
          <w:szCs w:val="22"/>
        </w:rPr>
        <w:t xml:space="preserve">, R. P. D., </w:t>
      </w:r>
      <w:proofErr w:type="spellStart"/>
      <w:r w:rsidRPr="000947DF">
        <w:rPr>
          <w:rFonts w:ascii="Arial" w:eastAsia="Times New Roman" w:hAnsi="Arial" w:cs="Arial"/>
          <w:sz w:val="22"/>
          <w:szCs w:val="22"/>
        </w:rPr>
        <w:t>Pertama</w:t>
      </w:r>
      <w:proofErr w:type="spellEnd"/>
      <w:r w:rsidRPr="000947DF">
        <w:rPr>
          <w:rFonts w:ascii="Arial" w:eastAsia="Times New Roman" w:hAnsi="Arial" w:cs="Arial"/>
          <w:sz w:val="22"/>
          <w:szCs w:val="22"/>
        </w:rPr>
        <w:t xml:space="preserve">, I. G. A. W. Perceptions of Green Economy and Environmental Issues </w:t>
      </w:r>
      <w:proofErr w:type="gramStart"/>
      <w:r w:rsidRPr="000947DF">
        <w:rPr>
          <w:rFonts w:ascii="Arial" w:eastAsia="Times New Roman" w:hAnsi="Arial" w:cs="Arial"/>
          <w:sz w:val="22"/>
          <w:szCs w:val="22"/>
        </w:rPr>
        <w:t>On</w:t>
      </w:r>
      <w:proofErr w:type="gramEnd"/>
      <w:r w:rsidRPr="000947DF">
        <w:rPr>
          <w:rFonts w:ascii="Arial" w:eastAsia="Times New Roman" w:hAnsi="Arial" w:cs="Arial"/>
          <w:sz w:val="22"/>
          <w:szCs w:val="22"/>
        </w:rPr>
        <w:t xml:space="preserve"> Green Entrepreneurship Practices by Homestay Owners as A Form of Social Responsibility in Relation to The Tri </w:t>
      </w:r>
      <w:proofErr w:type="spellStart"/>
      <w:r w:rsidRPr="000947DF">
        <w:rPr>
          <w:rFonts w:ascii="Arial" w:eastAsia="Times New Roman" w:hAnsi="Arial" w:cs="Arial"/>
          <w:sz w:val="22"/>
          <w:szCs w:val="22"/>
        </w:rPr>
        <w:t>Hita</w:t>
      </w:r>
      <w:proofErr w:type="spellEnd"/>
      <w:r w:rsidRPr="000947DF">
        <w:rPr>
          <w:rFonts w:ascii="Arial" w:eastAsia="Times New Roman" w:hAnsi="Arial" w:cs="Arial"/>
          <w:sz w:val="22"/>
          <w:szCs w:val="22"/>
        </w:rPr>
        <w:t>. Asian Journal of Social Science and Management Technology, 6(1), 253-267</w:t>
      </w:r>
    </w:p>
    <w:p w14:paraId="78457940" w14:textId="77777777" w:rsidR="000947DF" w:rsidRPr="000947DF"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Yamawati</w:t>
      </w:r>
      <w:proofErr w:type="spellEnd"/>
      <w:r w:rsidRPr="000947DF">
        <w:rPr>
          <w:rFonts w:ascii="Arial" w:eastAsia="Times New Roman" w:hAnsi="Arial" w:cs="Arial"/>
          <w:sz w:val="22"/>
          <w:szCs w:val="22"/>
        </w:rPr>
        <w:t xml:space="preserve">, N. K. S., </w:t>
      </w:r>
      <w:proofErr w:type="spellStart"/>
      <w:r w:rsidRPr="000947DF">
        <w:rPr>
          <w:rFonts w:ascii="Arial" w:eastAsia="Times New Roman" w:hAnsi="Arial" w:cs="Arial"/>
          <w:sz w:val="22"/>
          <w:szCs w:val="22"/>
        </w:rPr>
        <w:t>Pertama</w:t>
      </w:r>
      <w:proofErr w:type="spellEnd"/>
      <w:r w:rsidRPr="000947DF">
        <w:rPr>
          <w:rFonts w:ascii="Arial" w:eastAsia="Times New Roman" w:hAnsi="Arial" w:cs="Arial"/>
          <w:sz w:val="22"/>
          <w:szCs w:val="22"/>
        </w:rPr>
        <w:t xml:space="preserve">, I. G. A. W., &amp; </w:t>
      </w:r>
      <w:proofErr w:type="spellStart"/>
      <w:r w:rsidRPr="000947DF">
        <w:rPr>
          <w:rFonts w:ascii="Arial" w:eastAsia="Times New Roman" w:hAnsi="Arial" w:cs="Arial"/>
          <w:sz w:val="22"/>
          <w:szCs w:val="22"/>
        </w:rPr>
        <w:t>Indiani</w:t>
      </w:r>
      <w:proofErr w:type="spellEnd"/>
      <w:r w:rsidRPr="000947DF">
        <w:rPr>
          <w:rFonts w:ascii="Arial" w:eastAsia="Times New Roman" w:hAnsi="Arial" w:cs="Arial"/>
          <w:sz w:val="22"/>
          <w:szCs w:val="22"/>
        </w:rPr>
        <w:t>, N. L. P. Encouraging Expats Purchase Interest in Bali Through Green Economy Perception and Green Entrepreneurship Practices in the Tourism Sector. Asian Journal of Social Science and Management Technology. 6(5), 182-191</w:t>
      </w:r>
    </w:p>
    <w:p w14:paraId="33AB7F2F" w14:textId="1C4994B2" w:rsidR="0006076C" w:rsidRPr="00372EAC" w:rsidRDefault="000947DF" w:rsidP="000947DF">
      <w:pPr>
        <w:spacing w:after="120"/>
        <w:jc w:val="both"/>
        <w:rPr>
          <w:rFonts w:ascii="Arial" w:eastAsia="Times New Roman" w:hAnsi="Arial" w:cs="Arial"/>
          <w:sz w:val="22"/>
          <w:szCs w:val="22"/>
        </w:rPr>
      </w:pPr>
      <w:proofErr w:type="spellStart"/>
      <w:r w:rsidRPr="000947DF">
        <w:rPr>
          <w:rFonts w:ascii="Arial" w:eastAsia="Times New Roman" w:hAnsi="Arial" w:cs="Arial"/>
          <w:sz w:val="22"/>
          <w:szCs w:val="22"/>
        </w:rPr>
        <w:t>Yamawati</w:t>
      </w:r>
      <w:proofErr w:type="spellEnd"/>
      <w:r w:rsidRPr="000947DF">
        <w:rPr>
          <w:rFonts w:ascii="Arial" w:eastAsia="Times New Roman" w:hAnsi="Arial" w:cs="Arial"/>
          <w:sz w:val="22"/>
          <w:szCs w:val="22"/>
        </w:rPr>
        <w:t xml:space="preserve">, N. K. S., </w:t>
      </w:r>
      <w:proofErr w:type="spellStart"/>
      <w:r w:rsidRPr="000947DF">
        <w:rPr>
          <w:rFonts w:ascii="Arial" w:eastAsia="Times New Roman" w:hAnsi="Arial" w:cs="Arial"/>
          <w:sz w:val="22"/>
          <w:szCs w:val="22"/>
        </w:rPr>
        <w:t>Rini</w:t>
      </w:r>
      <w:proofErr w:type="spellEnd"/>
      <w:r w:rsidRPr="000947DF">
        <w:rPr>
          <w:rFonts w:ascii="Arial" w:eastAsia="Times New Roman" w:hAnsi="Arial" w:cs="Arial"/>
          <w:sz w:val="22"/>
          <w:szCs w:val="22"/>
        </w:rPr>
        <w:t xml:space="preserve">, I. G. I. S., &amp; </w:t>
      </w:r>
      <w:proofErr w:type="spellStart"/>
      <w:r w:rsidRPr="000947DF">
        <w:rPr>
          <w:rFonts w:ascii="Arial" w:eastAsia="Times New Roman" w:hAnsi="Arial" w:cs="Arial"/>
          <w:sz w:val="22"/>
          <w:szCs w:val="22"/>
        </w:rPr>
        <w:t>Pratama</w:t>
      </w:r>
      <w:proofErr w:type="spellEnd"/>
      <w:r w:rsidRPr="000947DF">
        <w:rPr>
          <w:rFonts w:ascii="Arial" w:eastAsia="Times New Roman" w:hAnsi="Arial" w:cs="Arial"/>
          <w:sz w:val="22"/>
          <w:szCs w:val="22"/>
        </w:rPr>
        <w:t xml:space="preserve">, I. G. A. W. (2023). The Role of Environmental Knowledge and Green Economy Perceptions </w:t>
      </w:r>
      <w:proofErr w:type="gramStart"/>
      <w:r w:rsidRPr="000947DF">
        <w:rPr>
          <w:rFonts w:ascii="Arial" w:eastAsia="Times New Roman" w:hAnsi="Arial" w:cs="Arial"/>
          <w:sz w:val="22"/>
          <w:szCs w:val="22"/>
        </w:rPr>
        <w:t>On</w:t>
      </w:r>
      <w:proofErr w:type="gramEnd"/>
      <w:r w:rsidRPr="000947DF">
        <w:rPr>
          <w:rFonts w:ascii="Arial" w:eastAsia="Times New Roman" w:hAnsi="Arial" w:cs="Arial"/>
          <w:sz w:val="22"/>
          <w:szCs w:val="22"/>
        </w:rPr>
        <w:t xml:space="preserve"> Green Entrepreneurship Interests in Entrepreneurs in the Food and Beverage (F&amp;B) Sector in Bali. International Journal of Social Science, 3(3), 397-402.</w:t>
      </w:r>
    </w:p>
    <w:sectPr w:rsidR="0006076C" w:rsidRPr="00372E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E22D0" w14:textId="77777777" w:rsidR="000564AC" w:rsidRDefault="000564AC" w:rsidP="00372EAC">
      <w:r>
        <w:separator/>
      </w:r>
    </w:p>
  </w:endnote>
  <w:endnote w:type="continuationSeparator" w:id="0">
    <w:p w14:paraId="43647144" w14:textId="77777777" w:rsidR="000564AC" w:rsidRDefault="000564AC" w:rsidP="0037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1860" w14:textId="77777777" w:rsidR="006B1B9D" w:rsidRDefault="006B1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C7C90" w14:textId="77777777" w:rsidR="006B1B9D" w:rsidRDefault="006B1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3B45B" w14:textId="77777777" w:rsidR="006B1B9D" w:rsidRDefault="006B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A8534" w14:textId="77777777" w:rsidR="000564AC" w:rsidRDefault="000564AC" w:rsidP="00372EAC">
      <w:r>
        <w:separator/>
      </w:r>
    </w:p>
  </w:footnote>
  <w:footnote w:type="continuationSeparator" w:id="0">
    <w:p w14:paraId="1BDBEF8A" w14:textId="77777777" w:rsidR="000564AC" w:rsidRDefault="000564AC" w:rsidP="0037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88CAF" w14:textId="3F75561A" w:rsidR="006B1B9D" w:rsidRDefault="006B1B9D">
    <w:pPr>
      <w:pStyle w:val="Header"/>
    </w:pPr>
    <w:r>
      <w:rPr>
        <w:noProof/>
      </w:rPr>
      <w:pict w14:anchorId="7E0C7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519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A31E" w14:textId="42AF7DDA" w:rsidR="006B1B9D" w:rsidRDefault="006B1B9D">
    <w:pPr>
      <w:pStyle w:val="Header"/>
    </w:pPr>
    <w:r>
      <w:rPr>
        <w:noProof/>
      </w:rPr>
      <w:pict w14:anchorId="7FBAF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519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52EA" w14:textId="36B631B2" w:rsidR="006B1B9D" w:rsidRDefault="006B1B9D">
    <w:pPr>
      <w:pStyle w:val="Header"/>
    </w:pPr>
    <w:r>
      <w:rPr>
        <w:noProof/>
      </w:rPr>
      <w:pict w14:anchorId="77BA0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519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514"/>
    <w:multiLevelType w:val="multilevel"/>
    <w:tmpl w:val="0E6E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0029F"/>
    <w:multiLevelType w:val="hybridMultilevel"/>
    <w:tmpl w:val="E922696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37B80"/>
    <w:multiLevelType w:val="multilevel"/>
    <w:tmpl w:val="5CD4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92273"/>
    <w:multiLevelType w:val="multilevel"/>
    <w:tmpl w:val="8F3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E76A3"/>
    <w:multiLevelType w:val="multilevel"/>
    <w:tmpl w:val="4218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C1EB2"/>
    <w:multiLevelType w:val="multilevel"/>
    <w:tmpl w:val="7D6C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F7230"/>
    <w:multiLevelType w:val="hybridMultilevel"/>
    <w:tmpl w:val="6C9C294C"/>
    <w:lvl w:ilvl="0" w:tplc="BE56656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9C"/>
    <w:rsid w:val="000564AC"/>
    <w:rsid w:val="0006076C"/>
    <w:rsid w:val="000947DF"/>
    <w:rsid w:val="00111389"/>
    <w:rsid w:val="00145C3A"/>
    <w:rsid w:val="00372EAC"/>
    <w:rsid w:val="0054039C"/>
    <w:rsid w:val="006B1B9D"/>
    <w:rsid w:val="00873F51"/>
    <w:rsid w:val="008A7CD6"/>
    <w:rsid w:val="00A952F8"/>
    <w:rsid w:val="00AA6D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FC6C96"/>
  <w15:chartTrackingRefBased/>
  <w15:docId w15:val="{5652C42D-B5F3-4E46-B1B8-F49FD399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4039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039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039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3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03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03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4039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4039C"/>
    <w:rPr>
      <w:b/>
      <w:bCs/>
    </w:rPr>
  </w:style>
  <w:style w:type="paragraph" w:styleId="ListParagraph">
    <w:name w:val="List Paragraph"/>
    <w:aliases w:val="paragraf,spasi 2 taiiii,Body of text,skripsi,Atan,Body Text Char1,Char Char2,List Paragraph2,List Paragraph1,UGEX'Z,Colorful List - Accent 12,Heading 10,sub de titre 4,ANNEX,SUB BAB2,TABEL,List Paragraph11,Colorful List - Accent 11,Tabel"/>
    <w:basedOn w:val="Normal"/>
    <w:link w:val="ListParagraphChar"/>
    <w:uiPriority w:val="34"/>
    <w:qFormat/>
    <w:rsid w:val="0054039C"/>
    <w:pPr>
      <w:widowControl w:val="0"/>
      <w:autoSpaceDE w:val="0"/>
      <w:autoSpaceDN w:val="0"/>
      <w:ind w:left="2208" w:hanging="361"/>
      <w:jc w:val="both"/>
    </w:pPr>
    <w:rPr>
      <w:rFonts w:ascii="Times New Roman" w:eastAsia="Times New Roman" w:hAnsi="Times New Roman" w:cs="Times New Roman"/>
      <w:sz w:val="22"/>
      <w:szCs w:val="22"/>
      <w:lang w:val="id"/>
    </w:rPr>
  </w:style>
  <w:style w:type="character" w:customStyle="1" w:styleId="ListParagraphChar">
    <w:name w:val="List Paragraph Char"/>
    <w:aliases w:val="paragraf Char,spasi 2 taiiii Char,Body of text Char,skripsi Char,Atan Char,Body Text Char1 Char,Char Char2 Char,List Paragraph2 Char,List Paragraph1 Char,UGEX'Z Char,Colorful List - Accent 12 Char,Heading 10 Char,sub de titre 4 Char"/>
    <w:link w:val="ListParagraph"/>
    <w:uiPriority w:val="34"/>
    <w:qFormat/>
    <w:rsid w:val="0054039C"/>
    <w:rPr>
      <w:rFonts w:ascii="Times New Roman" w:eastAsia="Times New Roman" w:hAnsi="Times New Roman" w:cs="Times New Roman"/>
      <w:sz w:val="22"/>
      <w:szCs w:val="22"/>
      <w:lang w:val="id"/>
    </w:rPr>
  </w:style>
  <w:style w:type="paragraph" w:styleId="BodyText">
    <w:name w:val="Body Text"/>
    <w:basedOn w:val="Normal"/>
    <w:link w:val="BodyTextChar"/>
    <w:uiPriority w:val="1"/>
    <w:qFormat/>
    <w:rsid w:val="0054039C"/>
    <w:pPr>
      <w:widowControl w:val="0"/>
      <w:autoSpaceDE w:val="0"/>
      <w:autoSpaceDN w:val="0"/>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54039C"/>
    <w:rPr>
      <w:rFonts w:ascii="Times New Roman" w:eastAsia="Times New Roman" w:hAnsi="Times New Roman" w:cs="Times New Roman"/>
      <w:lang w:val="id"/>
    </w:rPr>
  </w:style>
  <w:style w:type="paragraph" w:styleId="Header">
    <w:name w:val="header"/>
    <w:basedOn w:val="Normal"/>
    <w:link w:val="HeaderChar"/>
    <w:uiPriority w:val="99"/>
    <w:unhideWhenUsed/>
    <w:rsid w:val="00372EAC"/>
    <w:pPr>
      <w:tabs>
        <w:tab w:val="center" w:pos="4680"/>
        <w:tab w:val="right" w:pos="9360"/>
      </w:tabs>
    </w:pPr>
  </w:style>
  <w:style w:type="character" w:customStyle="1" w:styleId="HeaderChar">
    <w:name w:val="Header Char"/>
    <w:basedOn w:val="DefaultParagraphFont"/>
    <w:link w:val="Header"/>
    <w:uiPriority w:val="99"/>
    <w:rsid w:val="00372EAC"/>
  </w:style>
  <w:style w:type="paragraph" w:styleId="Footer">
    <w:name w:val="footer"/>
    <w:basedOn w:val="Normal"/>
    <w:link w:val="FooterChar"/>
    <w:uiPriority w:val="99"/>
    <w:unhideWhenUsed/>
    <w:rsid w:val="00372EAC"/>
    <w:pPr>
      <w:tabs>
        <w:tab w:val="center" w:pos="4680"/>
        <w:tab w:val="right" w:pos="9360"/>
      </w:tabs>
    </w:pPr>
  </w:style>
  <w:style w:type="character" w:customStyle="1" w:styleId="FooterChar">
    <w:name w:val="Footer Char"/>
    <w:basedOn w:val="DefaultParagraphFont"/>
    <w:link w:val="Footer"/>
    <w:uiPriority w:val="99"/>
    <w:rsid w:val="00372EAC"/>
  </w:style>
  <w:style w:type="character" w:styleId="Hyperlink">
    <w:name w:val="Hyperlink"/>
    <w:basedOn w:val="DefaultParagraphFont"/>
    <w:uiPriority w:val="99"/>
    <w:unhideWhenUsed/>
    <w:rsid w:val="00111389"/>
    <w:rPr>
      <w:color w:val="0563C1" w:themeColor="hyperlink"/>
      <w:u w:val="single"/>
    </w:rPr>
  </w:style>
  <w:style w:type="character" w:styleId="UnresolvedMention">
    <w:name w:val="Unresolved Mention"/>
    <w:basedOn w:val="DefaultParagraphFont"/>
    <w:uiPriority w:val="99"/>
    <w:semiHidden/>
    <w:unhideWhenUsed/>
    <w:rsid w:val="0011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056127">
      <w:bodyDiv w:val="1"/>
      <w:marLeft w:val="0"/>
      <w:marRight w:val="0"/>
      <w:marTop w:val="0"/>
      <w:marBottom w:val="0"/>
      <w:divBdr>
        <w:top w:val="none" w:sz="0" w:space="0" w:color="auto"/>
        <w:left w:val="none" w:sz="0" w:space="0" w:color="auto"/>
        <w:bottom w:val="none" w:sz="0" w:space="0" w:color="auto"/>
        <w:right w:val="none" w:sz="0" w:space="0" w:color="auto"/>
      </w:divBdr>
    </w:div>
    <w:div w:id="616109487">
      <w:bodyDiv w:val="1"/>
      <w:marLeft w:val="0"/>
      <w:marRight w:val="0"/>
      <w:marTop w:val="0"/>
      <w:marBottom w:val="0"/>
      <w:divBdr>
        <w:top w:val="none" w:sz="0" w:space="0" w:color="auto"/>
        <w:left w:val="none" w:sz="0" w:space="0" w:color="auto"/>
        <w:bottom w:val="none" w:sz="0" w:space="0" w:color="auto"/>
        <w:right w:val="none" w:sz="0" w:space="0" w:color="auto"/>
      </w:divBdr>
    </w:div>
    <w:div w:id="95086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3405</Words>
  <Characters>19410</Characters>
  <Application>Microsoft Office Word</Application>
  <DocSecurity>0</DocSecurity>
  <Lines>161</Lines>
  <Paragraphs>45</Paragraphs>
  <ScaleCrop>false</ScaleCrop>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6</cp:revision>
  <dcterms:created xsi:type="dcterms:W3CDTF">2025-09-23T14:53:00Z</dcterms:created>
  <dcterms:modified xsi:type="dcterms:W3CDTF">2025-10-04T12:23:00Z</dcterms:modified>
</cp:coreProperties>
</file>