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E72B" w14:textId="7CA8C3B1" w:rsidR="00754C9A" w:rsidRDefault="00B50BB1" w:rsidP="00441B6F">
      <w:pPr>
        <w:pStyle w:val="Title"/>
        <w:spacing w:after="0"/>
        <w:jc w:val="both"/>
        <w:rPr>
          <w:rFonts w:ascii="Arial" w:hAnsi="Arial" w:cs="Arial"/>
        </w:rPr>
      </w:pPr>
      <w:r w:rsidRPr="00B50BB1">
        <w:rPr>
          <w:rFonts w:ascii="Arial" w:hAnsi="Arial" w:cs="Arial"/>
        </w:rPr>
        <w:t>Original Research Article</w:t>
      </w:r>
    </w:p>
    <w:p w14:paraId="67C2ED0B" w14:textId="77777777" w:rsidR="00B50BB1" w:rsidRDefault="00B50BB1" w:rsidP="00441B6F">
      <w:pPr>
        <w:pStyle w:val="Title"/>
        <w:spacing w:after="0"/>
        <w:jc w:val="both"/>
        <w:rPr>
          <w:rFonts w:ascii="Arial" w:hAnsi="Arial" w:cs="Arial"/>
        </w:rPr>
      </w:pPr>
    </w:p>
    <w:p w14:paraId="463C248D" w14:textId="77777777" w:rsidR="00A11A4C" w:rsidRDefault="00091918" w:rsidP="00441B6F">
      <w:pPr>
        <w:pStyle w:val="Author"/>
        <w:spacing w:line="240" w:lineRule="auto"/>
        <w:rPr>
          <w:rFonts w:ascii="Arial" w:hAnsi="Arial" w:cs="Arial"/>
          <w:bCs/>
          <w:iCs/>
          <w:kern w:val="28"/>
          <w:sz w:val="36"/>
        </w:rPr>
      </w:pPr>
      <w:r w:rsidRPr="00091918">
        <w:rPr>
          <w:rFonts w:ascii="Arial" w:hAnsi="Arial" w:cs="Arial"/>
          <w:bCs/>
          <w:iCs/>
          <w:kern w:val="28"/>
          <w:sz w:val="36"/>
        </w:rPr>
        <w:t>The Influence of Digital Loans, E-Commerce Marketing, and Business Location on MSME Performance in Malang City Toward Indonesia Emas 2045</w:t>
      </w:r>
    </w:p>
    <w:p w14:paraId="0C531D74" w14:textId="77777777" w:rsidR="00A258C3" w:rsidRPr="00790ADA" w:rsidRDefault="00A258C3" w:rsidP="00441B6F">
      <w:pPr>
        <w:pStyle w:val="Author"/>
        <w:spacing w:line="240" w:lineRule="auto"/>
        <w:jc w:val="both"/>
        <w:rPr>
          <w:rFonts w:ascii="Arial" w:hAnsi="Arial" w:cs="Arial"/>
          <w:sz w:val="36"/>
        </w:rPr>
      </w:pPr>
    </w:p>
    <w:p w14:paraId="7DD7717A" w14:textId="77777777" w:rsidR="00633614" w:rsidRDefault="00633614" w:rsidP="00441B6F">
      <w:pPr>
        <w:pStyle w:val="Affiliation"/>
        <w:spacing w:after="0" w:line="240" w:lineRule="auto"/>
        <w:rPr>
          <w:rFonts w:ascii="Arial" w:hAnsi="Arial" w:cs="Arial"/>
          <w:i/>
        </w:rPr>
      </w:pPr>
    </w:p>
    <w:p w14:paraId="4D293EBE" w14:textId="77777777" w:rsidR="00790ADA" w:rsidRDefault="00790ADA" w:rsidP="00441B6F">
      <w:pPr>
        <w:pStyle w:val="Affiliation"/>
        <w:spacing w:after="0" w:line="240" w:lineRule="auto"/>
        <w:jc w:val="both"/>
        <w:rPr>
          <w:rFonts w:ascii="Arial" w:hAnsi="Arial" w:cs="Arial"/>
        </w:rPr>
      </w:pPr>
    </w:p>
    <w:p w14:paraId="4258EEBE" w14:textId="77777777" w:rsidR="002C57D2" w:rsidRPr="00FB3A86" w:rsidRDefault="002C57D2" w:rsidP="00441B6F">
      <w:pPr>
        <w:pStyle w:val="Affiliation"/>
        <w:spacing w:after="0" w:line="240" w:lineRule="auto"/>
        <w:jc w:val="both"/>
        <w:rPr>
          <w:rFonts w:ascii="Arial" w:hAnsi="Arial" w:cs="Arial"/>
        </w:rPr>
      </w:pPr>
    </w:p>
    <w:p w14:paraId="68CBC231" w14:textId="77777777" w:rsidR="00B01FCD" w:rsidRPr="00FB3A86" w:rsidRDefault="00814950" w:rsidP="00441B6F">
      <w:pPr>
        <w:pStyle w:val="Copyright"/>
        <w:spacing w:after="0" w:line="240" w:lineRule="auto"/>
        <w:jc w:val="both"/>
        <w:rPr>
          <w:rFonts w:ascii="Arial" w:hAnsi="Arial" w:cs="Arial"/>
        </w:rPr>
        <w:sectPr w:rsidR="00B01FCD" w:rsidRPr="00FB3A86" w:rsidSect="00AF6C4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28EBE775">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6BE5C377"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8889B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4790131" w14:textId="77777777" w:rsidTr="001E44FE">
        <w:tc>
          <w:tcPr>
            <w:tcW w:w="9576" w:type="dxa"/>
            <w:shd w:val="clear" w:color="auto" w:fill="F2F2F2"/>
          </w:tcPr>
          <w:p w14:paraId="5BB3EDDE"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C6652">
              <w:rPr>
                <w:rStyle w:val="citation-39"/>
              </w:rPr>
              <w:t>The study aimed to investigate whether digital financing, e-commerce marketing, and business location improve the performance of MSMEs in Malang City</w:t>
            </w:r>
            <w:r w:rsidR="00CC6652">
              <w:t xml:space="preserve">. </w:t>
            </w:r>
            <w:r w:rsidR="00CC6652">
              <w:rPr>
                <w:rStyle w:val="citation-38"/>
              </w:rPr>
              <w:t>It also examined if these three factors collectively influence MSME performance in the city</w:t>
            </w:r>
            <w:r w:rsidR="00CC6652">
              <w:t>.</w:t>
            </w:r>
          </w:p>
          <w:p w14:paraId="20B9564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C6652">
              <w:rPr>
                <w:rStyle w:val="citation-37"/>
              </w:rPr>
              <w:t>This was a quantitative research study that used a descriptive approach</w:t>
            </w:r>
            <w:r w:rsidR="00CC6652">
              <w:t>.</w:t>
            </w:r>
          </w:p>
          <w:p w14:paraId="012FF2E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C6652">
              <w:rPr>
                <w:rStyle w:val="citation-36"/>
              </w:rPr>
              <w:t>The research was conducted in Malang City</w:t>
            </w:r>
            <w:r w:rsidR="00CC6652">
              <w:t xml:space="preserve">. </w:t>
            </w:r>
            <w:r w:rsidR="00CC6652">
              <w:rPr>
                <w:rStyle w:val="citation-35"/>
              </w:rPr>
              <w:t>Data was collected both online using Google Forms and offline with printed questionnaires</w:t>
            </w:r>
            <w:r w:rsidR="00CC6652">
              <w:t>.</w:t>
            </w:r>
          </w:p>
          <w:p w14:paraId="2787681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C6652">
              <w:rPr>
                <w:rStyle w:val="citation-34"/>
              </w:rPr>
              <w:t>The study included 200 MSME actors as respondents from Malang City</w:t>
            </w:r>
            <w:r w:rsidR="00CC6652">
              <w:t xml:space="preserve">. </w:t>
            </w:r>
            <w:r w:rsidR="00CC6652">
              <w:rPr>
                <w:rStyle w:val="citation-33"/>
              </w:rPr>
              <w:t>The sample size was calculated using the Malhotra formula, multiplying the number of indicators by 10</w:t>
            </w:r>
            <w:r w:rsidR="00CC6652">
              <w:t xml:space="preserve">. </w:t>
            </w:r>
            <w:r w:rsidR="00CC6652">
              <w:rPr>
                <w:rStyle w:val="citation-32"/>
              </w:rPr>
              <w:t>Primary data was gathered via surveys with closed-ended statements, using a Likert scale from 1 to 5 to measure respondents' perceptions</w:t>
            </w:r>
            <w:r w:rsidR="00CC6652">
              <w:t xml:space="preserve">. </w:t>
            </w:r>
            <w:r w:rsidR="00CC6652">
              <w:rPr>
                <w:rStyle w:val="citation-31"/>
              </w:rPr>
              <w:t xml:space="preserve">Data was analyzed using </w:t>
            </w:r>
            <w:proofErr w:type="spellStart"/>
            <w:r w:rsidR="00CC6652">
              <w:rPr>
                <w:rStyle w:val="citation-31"/>
              </w:rPr>
              <w:t>SmartPLS</w:t>
            </w:r>
            <w:proofErr w:type="spellEnd"/>
            <w:r w:rsidR="00CC6652">
              <w:rPr>
                <w:rStyle w:val="citation-31"/>
              </w:rPr>
              <w:t xml:space="preserve"> software to perform convergent validity, R², and hypothesis testing (t- and F-tests)</w:t>
            </w:r>
            <w:r w:rsidR="00CC6652">
              <w:t>.</w:t>
            </w:r>
          </w:p>
          <w:p w14:paraId="10B0BC62"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C6652">
              <w:rPr>
                <w:rStyle w:val="citation-30"/>
              </w:rPr>
              <w:t>E-commerce marketing and business location were found to have a positive and significant effect on MSME performance, supporting hypotheses H2 and H3, respectively</w:t>
            </w:r>
            <w:r w:rsidR="00CC6652">
              <w:t xml:space="preserve">. </w:t>
            </w:r>
            <w:r w:rsidR="00CC6652">
              <w:rPr>
                <w:rStyle w:val="citation-29"/>
              </w:rPr>
              <w:t>E-commerce's t-statistic was 2.770 with a p-value of 0.006, while business location's t-statistic was 5.582 with a p-value of 0.000</w:t>
            </w:r>
            <w:r w:rsidR="00CC6652">
              <w:t xml:space="preserve">. </w:t>
            </w:r>
            <w:r w:rsidR="00CC6652">
              <w:rPr>
                <w:rStyle w:val="citation-28"/>
              </w:rPr>
              <w:t>In contrast, digital loan access did not significantly affect MSME performance, as its p-value (0.282) was above the 0.05 significance threshold, leading to the rejection of hypothesis H1</w:t>
            </w:r>
            <w:r w:rsidR="00CC6652">
              <w:t xml:space="preserve">. </w:t>
            </w:r>
            <w:r w:rsidR="00CC6652">
              <w:rPr>
                <w:rStyle w:val="citation-27"/>
              </w:rPr>
              <w:t>Collectively, the three variables accounted for 30% of the variance in MSME performance</w:t>
            </w:r>
            <w:r w:rsidR="00CC6652">
              <w:t>.</w:t>
            </w:r>
          </w:p>
          <w:p w14:paraId="6737B6E8"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95593">
              <w:rPr>
                <w:rStyle w:val="citation-26"/>
              </w:rPr>
              <w:t>E-commerce marketing and strategic business location are crucial factors that significantly improve the performance of MSMEs in Malang City</w:t>
            </w:r>
            <w:r w:rsidR="00295593">
              <w:t xml:space="preserve">. </w:t>
            </w:r>
            <w:r w:rsidR="00295593">
              <w:rPr>
                <w:rStyle w:val="citation-25"/>
              </w:rPr>
              <w:t>Digital loan access, while potentially beneficial, does not have a statistically significant effect on performance, possibly due to a lack of financial literacy or poor technology adoption among MSME actors</w:t>
            </w:r>
            <w:r w:rsidR="00295593">
              <w:t>.</w:t>
            </w:r>
          </w:p>
          <w:p w14:paraId="5F70C66C" w14:textId="77777777" w:rsidR="00505F06" w:rsidRPr="00BA1B01" w:rsidRDefault="00505F06" w:rsidP="00441B6F">
            <w:pPr>
              <w:pStyle w:val="Body"/>
              <w:spacing w:after="0"/>
              <w:rPr>
                <w:rFonts w:ascii="Arial" w:eastAsia="Calibri" w:hAnsi="Arial" w:cs="Arial"/>
                <w:szCs w:val="22"/>
              </w:rPr>
            </w:pPr>
          </w:p>
        </w:tc>
      </w:tr>
    </w:tbl>
    <w:p w14:paraId="312F741E" w14:textId="77777777" w:rsidR="00636EB2" w:rsidRDefault="00636EB2" w:rsidP="00441B6F">
      <w:pPr>
        <w:pStyle w:val="Body"/>
        <w:spacing w:after="0"/>
        <w:rPr>
          <w:rFonts w:ascii="Arial" w:hAnsi="Arial" w:cs="Arial"/>
          <w:i/>
        </w:rPr>
      </w:pPr>
    </w:p>
    <w:p w14:paraId="04866909" w14:textId="77777777" w:rsidR="00A24E7E" w:rsidRDefault="00A24E7E" w:rsidP="00441B6F">
      <w:pPr>
        <w:pStyle w:val="Body"/>
        <w:spacing w:after="0"/>
        <w:rPr>
          <w:rFonts w:ascii="Arial" w:hAnsi="Arial" w:cs="Arial"/>
          <w:i/>
        </w:rPr>
      </w:pPr>
      <w:r>
        <w:rPr>
          <w:rFonts w:ascii="Arial" w:hAnsi="Arial" w:cs="Arial"/>
          <w:i/>
        </w:rPr>
        <w:t xml:space="preserve">Keywords: </w:t>
      </w:r>
      <w:r w:rsidR="00295593" w:rsidRPr="00295593">
        <w:rPr>
          <w:rFonts w:ascii="Arial" w:hAnsi="Arial" w:cs="Arial"/>
          <w:i/>
        </w:rPr>
        <w:t>Digital loans</w:t>
      </w:r>
      <w:r w:rsidR="00295593">
        <w:rPr>
          <w:rFonts w:ascii="Arial" w:hAnsi="Arial" w:cs="Arial"/>
          <w:i/>
        </w:rPr>
        <w:t xml:space="preserve">, </w:t>
      </w:r>
      <w:r w:rsidR="00295593" w:rsidRPr="00295593">
        <w:rPr>
          <w:rFonts w:ascii="Arial" w:hAnsi="Arial" w:cs="Arial"/>
          <w:i/>
        </w:rPr>
        <w:t>E-commerce marketing</w:t>
      </w:r>
      <w:r w:rsidR="00295593">
        <w:rPr>
          <w:rFonts w:ascii="Arial" w:hAnsi="Arial" w:cs="Arial"/>
          <w:i/>
        </w:rPr>
        <w:t xml:space="preserve">, </w:t>
      </w:r>
      <w:r w:rsidR="00295593" w:rsidRPr="00295593">
        <w:rPr>
          <w:rFonts w:ascii="Arial" w:hAnsi="Arial" w:cs="Arial"/>
          <w:i/>
        </w:rPr>
        <w:t>Business location</w:t>
      </w:r>
      <w:r w:rsidR="00295593">
        <w:rPr>
          <w:rFonts w:ascii="Arial" w:hAnsi="Arial" w:cs="Arial"/>
          <w:i/>
        </w:rPr>
        <w:t xml:space="preserve">, </w:t>
      </w:r>
      <w:r w:rsidR="00295593" w:rsidRPr="00295593">
        <w:rPr>
          <w:rFonts w:ascii="Arial" w:hAnsi="Arial" w:cs="Arial"/>
          <w:i/>
        </w:rPr>
        <w:t>MSME performance</w:t>
      </w:r>
      <w:r w:rsidR="00295593">
        <w:rPr>
          <w:rFonts w:ascii="Arial" w:hAnsi="Arial" w:cs="Arial"/>
          <w:i/>
        </w:rPr>
        <w:t>, Indonesia</w:t>
      </w:r>
    </w:p>
    <w:p w14:paraId="33783259" w14:textId="77777777" w:rsidR="00790ADA" w:rsidRDefault="00790ADA" w:rsidP="00441B6F">
      <w:pPr>
        <w:pStyle w:val="Body"/>
        <w:spacing w:after="0"/>
        <w:rPr>
          <w:rFonts w:ascii="Arial" w:hAnsi="Arial" w:cs="Arial"/>
          <w:i/>
        </w:rPr>
      </w:pPr>
    </w:p>
    <w:p w14:paraId="25303D0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6A1EDF7" w14:textId="77777777" w:rsidR="00790ADA" w:rsidRPr="00FB3A86" w:rsidRDefault="00790ADA" w:rsidP="00441B6F">
      <w:pPr>
        <w:pStyle w:val="AbstHead"/>
        <w:spacing w:after="0"/>
        <w:jc w:val="both"/>
        <w:rPr>
          <w:rFonts w:ascii="Arial" w:hAnsi="Arial" w:cs="Arial"/>
        </w:rPr>
      </w:pPr>
    </w:p>
    <w:p w14:paraId="4D32EDF4" w14:textId="77777777" w:rsidR="0015330A" w:rsidRPr="0015330A" w:rsidRDefault="0015330A" w:rsidP="0015330A">
      <w:pPr>
        <w:pStyle w:val="Body"/>
        <w:rPr>
          <w:rFonts w:ascii="Arial" w:hAnsi="Arial" w:cs="Arial"/>
        </w:rPr>
      </w:pPr>
      <w:r w:rsidRPr="0015330A">
        <w:rPr>
          <w:rFonts w:ascii="Arial" w:hAnsi="Arial" w:cs="Arial"/>
        </w:rPr>
        <w:t xml:space="preserve">The Indonesian national development agenda is a key component of Indonesia Emas 2045, which aims to make Indonesia a developed nation with great global competitiveness. MSMEs are a major contributor to this development. According to the Indonesian Central Bureau of Statistics (BPS), MSMEs account for over 60% of the national GDP and approximately 97% of the labor force. This shows that MSMEs are vital to economic </w:t>
      </w:r>
      <w:r w:rsidRPr="0015330A">
        <w:rPr>
          <w:rFonts w:ascii="Arial" w:hAnsi="Arial" w:cs="Arial"/>
        </w:rPr>
        <w:lastRenderedPageBreak/>
        <w:t xml:space="preserve">productivity, employment growth, and poverty reduction. </w:t>
      </w:r>
      <w:proofErr w:type="spellStart"/>
      <w:r w:rsidRPr="0015330A">
        <w:rPr>
          <w:rFonts w:ascii="Arial" w:hAnsi="Arial" w:cs="Arial"/>
        </w:rPr>
        <w:t>Mochamad</w:t>
      </w:r>
      <w:proofErr w:type="spellEnd"/>
      <w:r w:rsidRPr="0015330A">
        <w:rPr>
          <w:rFonts w:ascii="Arial" w:hAnsi="Arial" w:cs="Arial"/>
        </w:rPr>
        <w:t xml:space="preserve"> et al. (2025) found that MSMEs are growing. This constant increase supports Indonesia Emas 2045's vision that MSMEs are crucial to the nation's future.</w:t>
      </w:r>
    </w:p>
    <w:p w14:paraId="35DF7F96" w14:textId="77777777" w:rsidR="0015330A" w:rsidRPr="0015330A" w:rsidRDefault="0015330A" w:rsidP="0015330A">
      <w:pPr>
        <w:pStyle w:val="Body"/>
        <w:rPr>
          <w:rFonts w:ascii="Arial" w:hAnsi="Arial" w:cs="Arial"/>
        </w:rPr>
      </w:pPr>
      <w:r w:rsidRPr="0015330A">
        <w:rPr>
          <w:rFonts w:ascii="Arial" w:hAnsi="Arial" w:cs="Arial"/>
        </w:rPr>
        <w:t>MSMEs face persistent issues despite their importance. MSME actors confront capital constraints, poor marketing, and unfavorable business sites. These challenges continue to limit performance, especially in metropolitan areas like Malang City. Since 1962, Malang has been a student, tourism, and industrial city, making it ideal for MSMEs, especially those in the creative sector and supported by digital technology. MSMEs in Malang expanded by 21,138 in 2023, according to BPS Malang data. This figure shows the sector's tremendous potential and the urgent need to overcome structural barriers to performance improvements.</w:t>
      </w:r>
    </w:p>
    <w:p w14:paraId="5A2E5E14" w14:textId="77777777" w:rsidR="0015330A" w:rsidRPr="0015330A" w:rsidRDefault="0015330A" w:rsidP="0015330A">
      <w:pPr>
        <w:pStyle w:val="Body"/>
        <w:rPr>
          <w:rFonts w:ascii="Arial" w:hAnsi="Arial" w:cs="Arial"/>
        </w:rPr>
      </w:pPr>
      <w:r w:rsidRPr="0015330A">
        <w:rPr>
          <w:rFonts w:ascii="Arial" w:hAnsi="Arial" w:cs="Arial"/>
        </w:rPr>
        <w:t xml:space="preserve">Despite these problems, capital is crucial to corporate sustainability. Digital financing solutions allow MSME players to get loans faster, easier, and more flexible than traditional financial institutions. Adequate capital boosts corporate performance and competitiveness. </w:t>
      </w:r>
      <w:proofErr w:type="spellStart"/>
      <w:r w:rsidRPr="0015330A">
        <w:rPr>
          <w:rFonts w:ascii="Arial" w:hAnsi="Arial" w:cs="Arial"/>
        </w:rPr>
        <w:t>Gainau</w:t>
      </w:r>
      <w:proofErr w:type="spellEnd"/>
      <w:r w:rsidRPr="0015330A">
        <w:rPr>
          <w:rFonts w:ascii="Arial" w:hAnsi="Arial" w:cs="Arial"/>
        </w:rPr>
        <w:t xml:space="preserve"> and </w:t>
      </w:r>
      <w:proofErr w:type="spellStart"/>
      <w:r w:rsidRPr="0015330A">
        <w:rPr>
          <w:rFonts w:ascii="Arial" w:hAnsi="Arial" w:cs="Arial"/>
        </w:rPr>
        <w:t>Kilay</w:t>
      </w:r>
      <w:proofErr w:type="spellEnd"/>
      <w:r w:rsidRPr="0015330A">
        <w:rPr>
          <w:rFonts w:ascii="Arial" w:hAnsi="Arial" w:cs="Arial"/>
        </w:rPr>
        <w:t xml:space="preserve"> (2023) found that digital capital financing improves MSME performance by offering alternative funding options that conventional credit channels cannot. Despite their benefits, digital loans have risks. Digital lending can cause repayment issues and financial strain without financial awareness. Utami (2023) argues that MSME performance does not necessarily improve with financing. Many business owners hesitate to maximize lending facilities because they are unsure if their expansion will create enough revenue to pay interest and installments. These findings show that digital finance is convenient but risky, requiring careful financial management.</w:t>
      </w:r>
    </w:p>
    <w:p w14:paraId="3FDC1522" w14:textId="77777777" w:rsidR="0015330A" w:rsidRPr="0015330A" w:rsidRDefault="0015330A" w:rsidP="0015330A">
      <w:pPr>
        <w:pStyle w:val="Body"/>
        <w:rPr>
          <w:rFonts w:ascii="Arial" w:hAnsi="Arial" w:cs="Arial"/>
        </w:rPr>
      </w:pPr>
      <w:r w:rsidRPr="0015330A">
        <w:rPr>
          <w:rFonts w:ascii="Arial" w:hAnsi="Arial" w:cs="Arial"/>
        </w:rPr>
        <w:t xml:space="preserve">Marketing breadth is another important MSME performance factor. Products and services must reach target consumers through effective marketing. E-commerce platforms offer a strategic answer to traditional marketing limits, expanding market reach and improving operational efficiency. </w:t>
      </w:r>
      <w:proofErr w:type="spellStart"/>
      <w:r w:rsidRPr="0015330A">
        <w:rPr>
          <w:rFonts w:ascii="Arial" w:hAnsi="Arial" w:cs="Arial"/>
        </w:rPr>
        <w:t>Noviani</w:t>
      </w:r>
      <w:proofErr w:type="spellEnd"/>
      <w:r w:rsidRPr="0015330A">
        <w:rPr>
          <w:rFonts w:ascii="Arial" w:hAnsi="Arial" w:cs="Arial"/>
        </w:rPr>
        <w:t xml:space="preserve"> </w:t>
      </w:r>
      <w:proofErr w:type="spellStart"/>
      <w:r w:rsidRPr="0015330A">
        <w:rPr>
          <w:rFonts w:ascii="Arial" w:hAnsi="Arial" w:cs="Arial"/>
        </w:rPr>
        <w:t>Hanum</w:t>
      </w:r>
      <w:proofErr w:type="spellEnd"/>
      <w:r w:rsidRPr="0015330A">
        <w:rPr>
          <w:rFonts w:ascii="Arial" w:hAnsi="Arial" w:cs="Arial"/>
        </w:rPr>
        <w:t xml:space="preserve"> and </w:t>
      </w:r>
      <w:proofErr w:type="spellStart"/>
      <w:r w:rsidRPr="0015330A">
        <w:rPr>
          <w:rFonts w:ascii="Arial" w:hAnsi="Arial" w:cs="Arial"/>
        </w:rPr>
        <w:t>Sinarasri</w:t>
      </w:r>
      <w:proofErr w:type="spellEnd"/>
      <w:r w:rsidRPr="0015330A">
        <w:rPr>
          <w:rFonts w:ascii="Arial" w:hAnsi="Arial" w:cs="Arial"/>
        </w:rPr>
        <w:t xml:space="preserve"> (2018) found that e-commerce marketing improves MSME performance by enabling cost-effective promotional activities and expanding market potential beyond geographical boundaries. Sutanto et al. (2024) also found that online marketing methods help MSMEs grow. Other research shows different findings. </w:t>
      </w:r>
      <w:proofErr w:type="spellStart"/>
      <w:r w:rsidRPr="0015330A">
        <w:rPr>
          <w:rFonts w:ascii="Arial" w:hAnsi="Arial" w:cs="Arial"/>
        </w:rPr>
        <w:t>Teruna</w:t>
      </w:r>
      <w:proofErr w:type="spellEnd"/>
      <w:r w:rsidRPr="0015330A">
        <w:rPr>
          <w:rFonts w:ascii="Arial" w:hAnsi="Arial" w:cs="Arial"/>
        </w:rPr>
        <w:t xml:space="preserve"> and </w:t>
      </w:r>
      <w:proofErr w:type="spellStart"/>
      <w:r w:rsidRPr="0015330A">
        <w:rPr>
          <w:rFonts w:ascii="Arial" w:hAnsi="Arial" w:cs="Arial"/>
        </w:rPr>
        <w:t>Ardiansyah</w:t>
      </w:r>
      <w:proofErr w:type="spellEnd"/>
      <w:r w:rsidRPr="0015330A">
        <w:rPr>
          <w:rFonts w:ascii="Arial" w:hAnsi="Arial" w:cs="Arial"/>
        </w:rPr>
        <w:t xml:space="preserve"> (2021) found that not all MSMEs grew sales after embracing e-commerce. E-commerce is less efficient as a marketing tool since business owners struggle to use online platform capabilities. This shows that while digital platforms provide transformative prospects, their impact depends greatly on business owners' digital competencies and agility.</w:t>
      </w:r>
    </w:p>
    <w:p w14:paraId="79239A75" w14:textId="77777777" w:rsidR="0015330A" w:rsidRDefault="0015330A" w:rsidP="0015330A">
      <w:pPr>
        <w:pStyle w:val="Body"/>
        <w:spacing w:after="0"/>
        <w:rPr>
          <w:rFonts w:ascii="Arial" w:hAnsi="Arial" w:cs="Arial"/>
        </w:rPr>
      </w:pPr>
      <w:r w:rsidRPr="0015330A">
        <w:rPr>
          <w:rFonts w:ascii="Arial" w:hAnsi="Arial" w:cs="Arial"/>
        </w:rPr>
        <w:t xml:space="preserve">Business location influences MSME performance together with cash and marketing. Businesses that sell mostly offline benefit from smart business locations that maximize consumer exposure and sales. </w:t>
      </w:r>
      <w:proofErr w:type="spellStart"/>
      <w:r w:rsidRPr="0015330A">
        <w:rPr>
          <w:rFonts w:ascii="Arial" w:hAnsi="Arial" w:cs="Arial"/>
        </w:rPr>
        <w:t>Marfuah</w:t>
      </w:r>
      <w:proofErr w:type="spellEnd"/>
      <w:r w:rsidRPr="0015330A">
        <w:rPr>
          <w:rFonts w:ascii="Arial" w:hAnsi="Arial" w:cs="Arial"/>
        </w:rPr>
        <w:t xml:space="preserve"> and </w:t>
      </w:r>
      <w:proofErr w:type="spellStart"/>
      <w:r w:rsidRPr="0015330A">
        <w:rPr>
          <w:rFonts w:ascii="Arial" w:hAnsi="Arial" w:cs="Arial"/>
        </w:rPr>
        <w:t>Hartiyah</w:t>
      </w:r>
      <w:proofErr w:type="spellEnd"/>
      <w:r w:rsidRPr="0015330A">
        <w:rPr>
          <w:rFonts w:ascii="Arial" w:hAnsi="Arial" w:cs="Arial"/>
        </w:rPr>
        <w:t xml:space="preserve"> (2019) found that smart business locations increase customer traffic and revenue. However, other studies disagree. </w:t>
      </w:r>
      <w:proofErr w:type="spellStart"/>
      <w:r w:rsidRPr="0015330A">
        <w:rPr>
          <w:rFonts w:ascii="Arial" w:hAnsi="Arial" w:cs="Arial"/>
        </w:rPr>
        <w:t>Aji</w:t>
      </w:r>
      <w:proofErr w:type="spellEnd"/>
      <w:r w:rsidRPr="0015330A">
        <w:rPr>
          <w:rFonts w:ascii="Arial" w:hAnsi="Arial" w:cs="Arial"/>
        </w:rPr>
        <w:t xml:space="preserve"> and </w:t>
      </w:r>
      <w:proofErr w:type="spellStart"/>
      <w:r w:rsidRPr="0015330A">
        <w:rPr>
          <w:rFonts w:ascii="Arial" w:hAnsi="Arial" w:cs="Arial"/>
        </w:rPr>
        <w:t>Listyaningrum</w:t>
      </w:r>
      <w:proofErr w:type="spellEnd"/>
      <w:r w:rsidRPr="0015330A">
        <w:rPr>
          <w:rFonts w:ascii="Arial" w:hAnsi="Arial" w:cs="Arial"/>
        </w:rPr>
        <w:t xml:space="preserve"> (2021) found that business location does not affect MSMEs' revenue in </w:t>
      </w:r>
      <w:proofErr w:type="spellStart"/>
      <w:r w:rsidRPr="0015330A">
        <w:rPr>
          <w:rFonts w:ascii="Arial" w:hAnsi="Arial" w:cs="Arial"/>
        </w:rPr>
        <w:t>Palopo</w:t>
      </w:r>
      <w:proofErr w:type="spellEnd"/>
      <w:r w:rsidRPr="0015330A">
        <w:rPr>
          <w:rFonts w:ascii="Arial" w:hAnsi="Arial" w:cs="Arial"/>
        </w:rPr>
        <w:t xml:space="preserve"> City. The rise of digital marketing channels allows consumers to obtain MSME items regardless of location. These findings show that digital change and internet commerce are changing the importance of location. </w:t>
      </w:r>
    </w:p>
    <w:p w14:paraId="65E963ED" w14:textId="77777777" w:rsidR="0015330A" w:rsidRDefault="0015330A" w:rsidP="0015330A">
      <w:pPr>
        <w:pStyle w:val="Body"/>
        <w:spacing w:after="0"/>
        <w:rPr>
          <w:rFonts w:ascii="Arial" w:hAnsi="Arial" w:cs="Arial"/>
        </w:rPr>
      </w:pPr>
    </w:p>
    <w:p w14:paraId="45AB6AD1" w14:textId="77777777" w:rsidR="0015330A" w:rsidRPr="0015330A" w:rsidRDefault="0015330A" w:rsidP="0015330A">
      <w:pPr>
        <w:pStyle w:val="Body"/>
        <w:rPr>
          <w:rFonts w:ascii="Arial" w:hAnsi="Arial" w:cs="Arial"/>
        </w:rPr>
      </w:pPr>
      <w:r w:rsidRPr="0015330A">
        <w:rPr>
          <w:rFonts w:ascii="Arial" w:hAnsi="Arial" w:cs="Arial"/>
        </w:rPr>
        <w:t>Digital transformation provides MSMEs and other businesses new ways to improve performance. Digital technology helps MSMEs overcome financial, marketing, and location barriers, improving efficiency and competitiveness. These prospects require MSME actors to be knowledgeable, literate, and adaptable to maximize benefits and minimize risks. Given its potential as an educational, tourism, and industrial hub, Malang City must explore how digital finance, e-commerce marketing, and company location affect MSME performance. Such a research is necessary to provide empirical insights for practitioners and policymakers.</w:t>
      </w:r>
    </w:p>
    <w:p w14:paraId="5C2DA718" w14:textId="77777777" w:rsidR="0015330A" w:rsidRPr="0015330A" w:rsidRDefault="0015330A" w:rsidP="0015330A">
      <w:pPr>
        <w:pStyle w:val="Body"/>
        <w:rPr>
          <w:rFonts w:ascii="Arial" w:hAnsi="Arial" w:cs="Arial"/>
        </w:rPr>
      </w:pPr>
      <w:r w:rsidRPr="0015330A">
        <w:rPr>
          <w:rFonts w:ascii="Arial" w:hAnsi="Arial" w:cs="Arial"/>
        </w:rPr>
        <w:lastRenderedPageBreak/>
        <w:t>This study addressed these concerns with its research questions. The study examines whether digital financing, e-commerce marketing, and business location improve MSME performance in Malang City. The study also examines if these three factors affect MSME performance in Malang City simultaneously. These questions try to capture the variables affecting MSME performance in a fast changing digital and economic context.</w:t>
      </w:r>
    </w:p>
    <w:p w14:paraId="5E703562" w14:textId="77777777" w:rsidR="0015330A" w:rsidRPr="0015330A" w:rsidRDefault="0015330A" w:rsidP="0015330A">
      <w:pPr>
        <w:pStyle w:val="Body"/>
        <w:rPr>
          <w:rFonts w:ascii="Arial" w:hAnsi="Arial" w:cs="Arial"/>
        </w:rPr>
      </w:pPr>
      <w:r w:rsidRPr="0015330A">
        <w:rPr>
          <w:rFonts w:ascii="Arial" w:hAnsi="Arial" w:cs="Arial"/>
        </w:rPr>
        <w:t xml:space="preserve">This research's goals </w:t>
      </w:r>
      <w:proofErr w:type="gramStart"/>
      <w:r w:rsidRPr="0015330A">
        <w:rPr>
          <w:rFonts w:ascii="Arial" w:hAnsi="Arial" w:cs="Arial"/>
        </w:rPr>
        <w:t>match</w:t>
      </w:r>
      <w:proofErr w:type="gramEnd"/>
      <w:r w:rsidRPr="0015330A">
        <w:rPr>
          <w:rFonts w:ascii="Arial" w:hAnsi="Arial" w:cs="Arial"/>
        </w:rPr>
        <w:t xml:space="preserve"> its questions. First, the study examines how digital finance affects Malang City MSME performance. Second, it examines how e-commerce marketing affects MSME performance. The research analyzes how firm location affects MSME performance. Finally, the study examines how digital financing, e-commerce marketing, and firm location affect Malang City MSME success. Results should add to academic discourse and offer MSME actors and </w:t>
      </w:r>
      <w:proofErr w:type="gramStart"/>
      <w:r w:rsidRPr="0015330A">
        <w:rPr>
          <w:rFonts w:ascii="Arial" w:hAnsi="Arial" w:cs="Arial"/>
        </w:rPr>
        <w:t>policymakers</w:t>
      </w:r>
      <w:proofErr w:type="gramEnd"/>
      <w:r w:rsidRPr="0015330A">
        <w:rPr>
          <w:rFonts w:ascii="Arial" w:hAnsi="Arial" w:cs="Arial"/>
        </w:rPr>
        <w:t xml:space="preserve"> practical advice. The report aims to inform responsive policies that strengthen MSMEs to ensure they drive Indonesia Emas 2045.</w:t>
      </w:r>
    </w:p>
    <w:p w14:paraId="11BCDF80" w14:textId="77777777" w:rsidR="0015330A" w:rsidRDefault="0015330A" w:rsidP="0015330A">
      <w:pPr>
        <w:pStyle w:val="Body"/>
        <w:spacing w:after="0"/>
        <w:rPr>
          <w:rFonts w:ascii="Arial" w:hAnsi="Arial" w:cs="Arial"/>
        </w:rPr>
      </w:pPr>
      <w:r w:rsidRPr="0015330A">
        <w:rPr>
          <w:rFonts w:ascii="Arial" w:hAnsi="Arial" w:cs="Arial"/>
        </w:rPr>
        <w:t>In conclusion, MSMEs are crucial to Indonesia's economic growth and Indonesia Emas 2045 ambition. Their expanding quantity and contribution highlight their strategic relevance, but financial access, marketing, and location continue to hinder their development. Digital financing and e-commerce provide interesting solutions but also new difficulties, while location is being redefined. This Malang City-focused study tries to demonstrate how these three factors affect MSME success. The findings are likely to deepen scholarly discourse and promote policy formulation that addresses MSMEs' shifting demands, ensuring that they continue to influence Indonesia's journey toward development by 2045.</w:t>
      </w:r>
    </w:p>
    <w:p w14:paraId="15D6DE63" w14:textId="77777777" w:rsidR="0015330A" w:rsidRDefault="0015330A" w:rsidP="0015330A">
      <w:pPr>
        <w:pStyle w:val="Body"/>
        <w:spacing w:after="0"/>
        <w:rPr>
          <w:rFonts w:ascii="Arial" w:hAnsi="Arial" w:cs="Arial"/>
        </w:rPr>
      </w:pPr>
    </w:p>
    <w:p w14:paraId="6F1E27DF" w14:textId="2EA25F6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2EC80C8" w14:textId="77777777" w:rsidR="00790ADA" w:rsidRPr="00FB3A86" w:rsidRDefault="00790ADA" w:rsidP="00441B6F">
      <w:pPr>
        <w:pStyle w:val="AbstHead"/>
        <w:spacing w:after="0"/>
        <w:jc w:val="both"/>
        <w:rPr>
          <w:rFonts w:ascii="Arial" w:hAnsi="Arial" w:cs="Arial"/>
        </w:rPr>
      </w:pPr>
    </w:p>
    <w:p w14:paraId="761572B6" w14:textId="77777777" w:rsidR="004E6A57" w:rsidRPr="006C3186" w:rsidRDefault="004E6A57" w:rsidP="004E6A57">
      <w:pPr>
        <w:pStyle w:val="Body"/>
        <w:rPr>
          <w:rFonts w:ascii="Arial" w:hAnsi="Arial" w:cs="Arial"/>
          <w:b/>
          <w:bCs/>
        </w:rPr>
      </w:pPr>
      <w:r w:rsidRPr="006C3186">
        <w:rPr>
          <w:rFonts w:ascii="Arial" w:hAnsi="Arial" w:cs="Arial"/>
          <w:b/>
          <w:bCs/>
        </w:rPr>
        <w:t>2.1 Barney's Resource-Based View (RVB) Theory</w:t>
      </w:r>
    </w:p>
    <w:p w14:paraId="2FDEAC46" w14:textId="77777777" w:rsidR="004E6A57" w:rsidRDefault="00630A04" w:rsidP="00630A04">
      <w:pPr>
        <w:pStyle w:val="Body"/>
        <w:rPr>
          <w:rFonts w:ascii="Arial" w:hAnsi="Arial" w:cs="Arial"/>
        </w:rPr>
      </w:pPr>
      <w:r w:rsidRPr="00630A04">
        <w:rPr>
          <w:rFonts w:ascii="Arial" w:hAnsi="Arial" w:cs="Arial"/>
        </w:rPr>
        <w:t xml:space="preserve">Barney's Resource-Based View (RBV) theory is frequently used in corporate strategy, especially for organizations seeking competitive advantage. RBV assumes that organizations can compete by controlling and using their internal resources to their strengths. </w:t>
      </w:r>
      <w:proofErr w:type="spellStart"/>
      <w:r w:rsidRPr="00630A04">
        <w:rPr>
          <w:rFonts w:ascii="Arial" w:hAnsi="Arial" w:cs="Arial"/>
        </w:rPr>
        <w:t>Kuncoro</w:t>
      </w:r>
      <w:proofErr w:type="spellEnd"/>
      <w:r w:rsidRPr="00630A04">
        <w:rPr>
          <w:rFonts w:ascii="Arial" w:hAnsi="Arial" w:cs="Arial"/>
        </w:rPr>
        <w:t xml:space="preserve"> (2005) characterizes RBV as a theoretical framework based on global economist research that explains how businesses may gain and maintain competitive advantage (</w:t>
      </w:r>
      <w:proofErr w:type="spellStart"/>
      <w:r w:rsidRPr="00630A04">
        <w:rPr>
          <w:rFonts w:ascii="Arial" w:hAnsi="Arial" w:cs="Arial"/>
        </w:rPr>
        <w:t>Masyitoh</w:t>
      </w:r>
      <w:proofErr w:type="spellEnd"/>
      <w:r w:rsidRPr="00630A04">
        <w:rPr>
          <w:rFonts w:ascii="Arial" w:hAnsi="Arial" w:cs="Arial"/>
        </w:rPr>
        <w:t xml:space="preserve"> et al., 2017). This approach emphasizes internal resources, stating that organizations have distinctive, uncommon, and difficult-to-copy talents. Effective use of these resources may provide significant benefits (Windi et al., 2020). RBV helps companies discover and assess their resources to develop long-term competitive strategies. </w:t>
      </w:r>
      <w:r>
        <w:rPr>
          <w:rFonts w:ascii="Arial" w:hAnsi="Arial" w:cs="Arial"/>
        </w:rPr>
        <w:t xml:space="preserve"> </w:t>
      </w:r>
      <w:r w:rsidRPr="00630A04">
        <w:rPr>
          <w:rFonts w:ascii="Arial" w:hAnsi="Arial" w:cs="Arial"/>
        </w:rPr>
        <w:t xml:space="preserve">A business maintains a competitive edge by outperforming industry averages and competitors. According to </w:t>
      </w:r>
      <w:proofErr w:type="spellStart"/>
      <w:r w:rsidRPr="00630A04">
        <w:rPr>
          <w:rFonts w:ascii="Arial" w:hAnsi="Arial" w:cs="Arial"/>
        </w:rPr>
        <w:t>Muharam</w:t>
      </w:r>
      <w:proofErr w:type="spellEnd"/>
      <w:r w:rsidRPr="00630A04">
        <w:rPr>
          <w:rFonts w:ascii="Arial" w:hAnsi="Arial" w:cs="Arial"/>
        </w:rPr>
        <w:t xml:space="preserve"> (2017), such organizations have better competencies to their rivals, assuring transitory success and strategic strength in dynamic marketplaces.</w:t>
      </w:r>
    </w:p>
    <w:p w14:paraId="0C83D286" w14:textId="77777777" w:rsidR="004E6A57" w:rsidRPr="00630A04" w:rsidRDefault="004E6A57" w:rsidP="004E6A57">
      <w:pPr>
        <w:pStyle w:val="Body"/>
        <w:rPr>
          <w:rFonts w:ascii="Arial" w:hAnsi="Arial" w:cs="Arial"/>
          <w:b/>
          <w:bCs/>
        </w:rPr>
      </w:pPr>
      <w:r w:rsidRPr="00630A04">
        <w:rPr>
          <w:rFonts w:ascii="Arial" w:hAnsi="Arial" w:cs="Arial"/>
          <w:b/>
          <w:bCs/>
        </w:rPr>
        <w:t>2.2 MSME Performance</w:t>
      </w:r>
    </w:p>
    <w:p w14:paraId="38301108" w14:textId="77777777" w:rsidR="004E6A57" w:rsidRDefault="0079449F" w:rsidP="0079449F">
      <w:pPr>
        <w:pStyle w:val="Body"/>
        <w:rPr>
          <w:rFonts w:ascii="Arial" w:hAnsi="Arial" w:cs="Arial"/>
        </w:rPr>
      </w:pPr>
      <w:r w:rsidRPr="0079449F">
        <w:rPr>
          <w:rFonts w:ascii="Arial" w:hAnsi="Arial" w:cs="Arial"/>
        </w:rPr>
        <w:t xml:space="preserve">Performance is the overall picture of successes in executing a program to meet an organization's objectives, goals, vision, and purpose. </w:t>
      </w:r>
      <w:proofErr w:type="spellStart"/>
      <w:r w:rsidRPr="0079449F">
        <w:rPr>
          <w:rFonts w:ascii="Arial" w:hAnsi="Arial" w:cs="Arial"/>
        </w:rPr>
        <w:t>Mangkunegara</w:t>
      </w:r>
      <w:proofErr w:type="spellEnd"/>
      <w:r w:rsidRPr="0079449F">
        <w:rPr>
          <w:rFonts w:ascii="Arial" w:hAnsi="Arial" w:cs="Arial"/>
        </w:rPr>
        <w:t xml:space="preserve"> defines performance as the amount and quality of work an employee completes to fulfill their duties (Eka et al., 2025). Performance may be measured in Micro, Small, and Medium Enterprises (MSMEs) by sales turnover, labor addition, capital growth, market and marketing development, and company profit or income. Putri and </w:t>
      </w:r>
      <w:proofErr w:type="spellStart"/>
      <w:r w:rsidRPr="0079449F">
        <w:rPr>
          <w:rFonts w:ascii="Arial" w:hAnsi="Arial" w:cs="Arial"/>
        </w:rPr>
        <w:t>Sukadana</w:t>
      </w:r>
      <w:proofErr w:type="spellEnd"/>
      <w:r w:rsidRPr="0079449F">
        <w:rPr>
          <w:rFonts w:ascii="Arial" w:hAnsi="Arial" w:cs="Arial"/>
        </w:rPr>
        <w:t xml:space="preserve"> (2022) examined how capital, labor, management capacity, company location, and e-commerce affect Denpasar City fashion dealers' sales. They found that all these variables greatly impact sales. The research found that businesses in business clusters sold more than those outside them. E-commerce platforms increased sales for MSMEs, highlighting the necessity of digital transformation and strategic positioning for performance (Putri, 2022).</w:t>
      </w:r>
    </w:p>
    <w:p w14:paraId="270A3C25" w14:textId="77777777" w:rsidR="004E6A57" w:rsidRPr="006C3E34" w:rsidRDefault="004E6A57" w:rsidP="004E6A57">
      <w:pPr>
        <w:pStyle w:val="Body"/>
        <w:rPr>
          <w:rFonts w:ascii="Arial" w:hAnsi="Arial" w:cs="Arial"/>
          <w:b/>
          <w:bCs/>
        </w:rPr>
      </w:pPr>
      <w:r w:rsidRPr="006C3E34">
        <w:rPr>
          <w:rFonts w:ascii="Arial" w:hAnsi="Arial" w:cs="Arial"/>
          <w:b/>
          <w:bCs/>
        </w:rPr>
        <w:lastRenderedPageBreak/>
        <w:t>2.3 Hypothesis Development</w:t>
      </w:r>
    </w:p>
    <w:p w14:paraId="4EB221EB" w14:textId="77777777" w:rsidR="008B6310" w:rsidRPr="008B6310" w:rsidRDefault="008B6310" w:rsidP="008B6310">
      <w:pPr>
        <w:pStyle w:val="Body"/>
        <w:rPr>
          <w:rFonts w:ascii="Arial" w:hAnsi="Arial" w:cs="Arial"/>
        </w:rPr>
      </w:pPr>
      <w:r w:rsidRPr="008B6310">
        <w:rPr>
          <w:rFonts w:ascii="Arial" w:hAnsi="Arial" w:cs="Arial"/>
        </w:rPr>
        <w:t xml:space="preserve">Using fintech platforms, digital loan funding has become a vital source of cash for small firms, especially MSMEs. Digital loans let businesses apply, verify, and receive finance online without collateral or face-to-face encounters. This simplified procedure helps companies get capital faster and more easily, boosting operational sustainability and growth. According to </w:t>
      </w:r>
      <w:proofErr w:type="spellStart"/>
      <w:r w:rsidRPr="008B6310">
        <w:rPr>
          <w:rFonts w:ascii="Arial" w:hAnsi="Arial" w:cs="Arial"/>
        </w:rPr>
        <w:t>Sulistiogo</w:t>
      </w:r>
      <w:proofErr w:type="spellEnd"/>
      <w:r w:rsidRPr="008B6310">
        <w:rPr>
          <w:rFonts w:ascii="Arial" w:hAnsi="Arial" w:cs="Arial"/>
        </w:rPr>
        <w:t xml:space="preserve"> (2019), MSMEs' continuation depends on funding, emphasizing the need of accessible financial access in fueling their growth (</w:t>
      </w:r>
      <w:proofErr w:type="spellStart"/>
      <w:r w:rsidRPr="008B6310">
        <w:rPr>
          <w:rFonts w:ascii="Arial" w:hAnsi="Arial" w:cs="Arial"/>
        </w:rPr>
        <w:t>Anggara</w:t>
      </w:r>
      <w:proofErr w:type="spellEnd"/>
      <w:r w:rsidRPr="008B6310">
        <w:rPr>
          <w:rFonts w:ascii="Arial" w:hAnsi="Arial" w:cs="Arial"/>
        </w:rPr>
        <w:t xml:space="preserve"> &amp; </w:t>
      </w:r>
      <w:proofErr w:type="spellStart"/>
      <w:r w:rsidRPr="008B6310">
        <w:rPr>
          <w:rFonts w:ascii="Arial" w:hAnsi="Arial" w:cs="Arial"/>
        </w:rPr>
        <w:t>Purnamawati</w:t>
      </w:r>
      <w:proofErr w:type="spellEnd"/>
      <w:r w:rsidRPr="008B6310">
        <w:rPr>
          <w:rFonts w:ascii="Arial" w:hAnsi="Arial" w:cs="Arial"/>
        </w:rPr>
        <w:t xml:space="preserve">, 2023). According to </w:t>
      </w:r>
      <w:proofErr w:type="spellStart"/>
      <w:r w:rsidRPr="008B6310">
        <w:rPr>
          <w:rFonts w:ascii="Arial" w:hAnsi="Arial" w:cs="Arial"/>
        </w:rPr>
        <w:t>Gainau</w:t>
      </w:r>
      <w:proofErr w:type="spellEnd"/>
      <w:r w:rsidRPr="008B6310">
        <w:rPr>
          <w:rFonts w:ascii="Arial" w:hAnsi="Arial" w:cs="Arial"/>
        </w:rPr>
        <w:t xml:space="preserve"> and </w:t>
      </w:r>
      <w:proofErr w:type="spellStart"/>
      <w:r w:rsidRPr="008B6310">
        <w:rPr>
          <w:rFonts w:ascii="Arial" w:hAnsi="Arial" w:cs="Arial"/>
        </w:rPr>
        <w:t>Kilay</w:t>
      </w:r>
      <w:proofErr w:type="spellEnd"/>
      <w:r w:rsidRPr="008B6310">
        <w:rPr>
          <w:rFonts w:ascii="Arial" w:hAnsi="Arial" w:cs="Arial"/>
        </w:rPr>
        <w:t xml:space="preserve"> (2023), entrepreneurs who utilize market aggregator platforms to seek finance get better information that helps them make good capital-related choices, improving firm success. These results show that digital loan financing bridges financial gaps and shapes MSMEs' performance. Based on these findings, the first hypothesis (H1) of this study is that digital loan financing improves MSME performance. </w:t>
      </w:r>
    </w:p>
    <w:p w14:paraId="22CC2358" w14:textId="77777777" w:rsidR="008B6310" w:rsidRPr="008B6310" w:rsidRDefault="008B6310" w:rsidP="008B6310">
      <w:pPr>
        <w:pStyle w:val="Body"/>
        <w:rPr>
          <w:rFonts w:ascii="Arial" w:hAnsi="Arial" w:cs="Arial"/>
        </w:rPr>
      </w:pPr>
      <w:r w:rsidRPr="008B6310">
        <w:rPr>
          <w:rFonts w:ascii="Arial" w:hAnsi="Arial" w:cs="Arial"/>
        </w:rPr>
        <w:t xml:space="preserve">Marketing is another important factor in MSMEs' success, especially in the digital economy. Digital transformation has made e-commerce platforms more effective for MSMEs to promote their items before sales. E-commerce, which includes B2B and B2C transactions, improves supply chain communication and collaboration. MSMEs contribute to national development, and digital marketing may increase their contribution, according to </w:t>
      </w:r>
      <w:proofErr w:type="spellStart"/>
      <w:r w:rsidRPr="008B6310">
        <w:rPr>
          <w:rFonts w:ascii="Arial" w:hAnsi="Arial" w:cs="Arial"/>
        </w:rPr>
        <w:t>Triandra</w:t>
      </w:r>
      <w:proofErr w:type="spellEnd"/>
      <w:r w:rsidRPr="008B6310">
        <w:rPr>
          <w:rFonts w:ascii="Arial" w:hAnsi="Arial" w:cs="Arial"/>
        </w:rPr>
        <w:t xml:space="preserve"> et al. (2019). Many MSMEs moved online to maintain market access during the COVID-19 epidemic, highlighting the significance of e-commerce. This trend shows that MSMEs may use e-commerce for marketing (</w:t>
      </w:r>
      <w:proofErr w:type="spellStart"/>
      <w:r w:rsidRPr="008B6310">
        <w:rPr>
          <w:rFonts w:ascii="Arial" w:hAnsi="Arial" w:cs="Arial"/>
        </w:rPr>
        <w:t>Choirunisa</w:t>
      </w:r>
      <w:proofErr w:type="spellEnd"/>
      <w:r w:rsidRPr="008B6310">
        <w:rPr>
          <w:rFonts w:ascii="Arial" w:hAnsi="Arial" w:cs="Arial"/>
        </w:rPr>
        <w:t xml:space="preserve"> &amp; </w:t>
      </w:r>
      <w:proofErr w:type="spellStart"/>
      <w:r w:rsidRPr="008B6310">
        <w:rPr>
          <w:rFonts w:ascii="Arial" w:hAnsi="Arial" w:cs="Arial"/>
        </w:rPr>
        <w:t>Mulyanti</w:t>
      </w:r>
      <w:proofErr w:type="spellEnd"/>
      <w:r w:rsidRPr="008B6310">
        <w:rPr>
          <w:rFonts w:ascii="Arial" w:hAnsi="Arial" w:cs="Arial"/>
        </w:rPr>
        <w:t xml:space="preserve">, 2023). Digital platforms increase client reach, eliminate operational inefficiencies, and enable product variety. Therefore, e-commerce is a crucial driver of MSMEs' better performance. In accordance with these findings, this study's second hypothesis (H2) is that e-commerce marketing improves MSME performance. </w:t>
      </w:r>
    </w:p>
    <w:p w14:paraId="0C749AD3" w14:textId="77777777" w:rsidR="008B6310" w:rsidRDefault="008B6310" w:rsidP="008B6310">
      <w:pPr>
        <w:pStyle w:val="Body"/>
        <w:spacing w:after="0"/>
        <w:rPr>
          <w:rFonts w:ascii="Arial" w:hAnsi="Arial" w:cs="Arial"/>
        </w:rPr>
      </w:pPr>
      <w:r w:rsidRPr="008B6310">
        <w:rPr>
          <w:rFonts w:ascii="Arial" w:hAnsi="Arial" w:cs="Arial"/>
        </w:rPr>
        <w:t xml:space="preserve">Along with cash and promotion, company location is crucial to success and sustainability. Location affects accessibility, customer reach, and company </w:t>
      </w:r>
      <w:proofErr w:type="gramStart"/>
      <w:r w:rsidRPr="008B6310">
        <w:rPr>
          <w:rFonts w:ascii="Arial" w:hAnsi="Arial" w:cs="Arial"/>
        </w:rPr>
        <w:t>success,</w:t>
      </w:r>
      <w:proofErr w:type="gramEnd"/>
      <w:r w:rsidRPr="008B6310">
        <w:rPr>
          <w:rFonts w:ascii="Arial" w:hAnsi="Arial" w:cs="Arial"/>
        </w:rPr>
        <w:t xml:space="preserve"> thus it must be carefully considered. </w:t>
      </w:r>
      <w:proofErr w:type="spellStart"/>
      <w:r w:rsidRPr="008B6310">
        <w:rPr>
          <w:rFonts w:ascii="Arial" w:hAnsi="Arial" w:cs="Arial"/>
        </w:rPr>
        <w:t>Aidina</w:t>
      </w:r>
      <w:proofErr w:type="spellEnd"/>
      <w:r w:rsidRPr="008B6310">
        <w:rPr>
          <w:rFonts w:ascii="Arial" w:hAnsi="Arial" w:cs="Arial"/>
        </w:rPr>
        <w:t xml:space="preserve"> and </w:t>
      </w:r>
      <w:proofErr w:type="spellStart"/>
      <w:r w:rsidRPr="008B6310">
        <w:rPr>
          <w:rFonts w:ascii="Arial" w:hAnsi="Arial" w:cs="Arial"/>
        </w:rPr>
        <w:t>Rudini</w:t>
      </w:r>
      <w:proofErr w:type="spellEnd"/>
      <w:r w:rsidRPr="008B6310">
        <w:rPr>
          <w:rFonts w:ascii="Arial" w:hAnsi="Arial" w:cs="Arial"/>
        </w:rPr>
        <w:t xml:space="preserve"> (2021) claim that simple access to business sites may help businesses succeed, whereas poorly selected or less strategic locations might limit development and discourage entrepreneurship. </w:t>
      </w:r>
      <w:proofErr w:type="spellStart"/>
      <w:r w:rsidRPr="008B6310">
        <w:rPr>
          <w:rFonts w:ascii="Arial" w:hAnsi="Arial" w:cs="Arial"/>
        </w:rPr>
        <w:t>Mutianisa</w:t>
      </w:r>
      <w:proofErr w:type="spellEnd"/>
      <w:r w:rsidRPr="008B6310">
        <w:rPr>
          <w:rFonts w:ascii="Arial" w:hAnsi="Arial" w:cs="Arial"/>
        </w:rPr>
        <w:t xml:space="preserve"> and </w:t>
      </w:r>
      <w:proofErr w:type="spellStart"/>
      <w:r w:rsidRPr="008B6310">
        <w:rPr>
          <w:rFonts w:ascii="Arial" w:hAnsi="Arial" w:cs="Arial"/>
        </w:rPr>
        <w:t>Cahyani</w:t>
      </w:r>
      <w:proofErr w:type="spellEnd"/>
      <w:r w:rsidRPr="008B6310">
        <w:rPr>
          <w:rFonts w:ascii="Arial" w:hAnsi="Arial" w:cs="Arial"/>
        </w:rPr>
        <w:t xml:space="preserve"> (2024) also list two key business location factors. The business environment includes closeness to markets or consumers, suppliers and raw resources, and competition. Second, rental fees, remodeling costs, power bills, and local labor salaries. These factors affect whether a location helps or hinders a company. Thus, location is a strategic choice that may impact profitability and growth. From these views, this study's third hypothesis (H3) is that strategic company location improves MSME performance. </w:t>
      </w:r>
    </w:p>
    <w:p w14:paraId="70643870" w14:textId="77777777" w:rsidR="008B6310" w:rsidRDefault="008B6310" w:rsidP="008B6310">
      <w:pPr>
        <w:pStyle w:val="Body"/>
        <w:spacing w:after="0"/>
        <w:rPr>
          <w:rFonts w:ascii="Arial" w:hAnsi="Arial" w:cs="Arial"/>
        </w:rPr>
      </w:pPr>
    </w:p>
    <w:p w14:paraId="4FD60BD6" w14:textId="77777777" w:rsidR="004E6A57" w:rsidRPr="008B6310" w:rsidRDefault="004E6A57" w:rsidP="004E6A57">
      <w:pPr>
        <w:pStyle w:val="Body"/>
        <w:rPr>
          <w:rFonts w:ascii="Arial" w:hAnsi="Arial" w:cs="Arial"/>
          <w:b/>
          <w:bCs/>
        </w:rPr>
      </w:pPr>
      <w:r w:rsidRPr="008B6310">
        <w:rPr>
          <w:rFonts w:ascii="Arial" w:hAnsi="Arial" w:cs="Arial"/>
          <w:b/>
          <w:bCs/>
        </w:rPr>
        <w:t>2.4 Research Type and Approach</w:t>
      </w:r>
    </w:p>
    <w:p w14:paraId="6190E0FD" w14:textId="77777777" w:rsidR="004E6A57" w:rsidRDefault="00D66418" w:rsidP="004E6A57">
      <w:pPr>
        <w:pStyle w:val="Body"/>
        <w:spacing w:after="0"/>
        <w:rPr>
          <w:rFonts w:ascii="Arial" w:hAnsi="Arial" w:cs="Arial"/>
        </w:rPr>
      </w:pPr>
      <w:r w:rsidRPr="00D66418">
        <w:rPr>
          <w:rFonts w:ascii="Arial" w:hAnsi="Arial" w:cs="Arial"/>
        </w:rPr>
        <w:t>This quantitative research study tackles social concerns and tests theory using numerical data examined using statistical techniques, according to Ali et al. (2022). Testing whether research concerns can be experimentally confirmed is the main goal. The study uses a descriptive technique to show and explain the research phenomenon without manipulating the variables. The goal is to objectively and methodically describe data and explore object properties.</w:t>
      </w:r>
    </w:p>
    <w:p w14:paraId="0E14385C" w14:textId="77777777" w:rsidR="004E6A57" w:rsidRDefault="004E6A57" w:rsidP="004E6A57">
      <w:pPr>
        <w:pStyle w:val="Body"/>
        <w:spacing w:after="0"/>
        <w:rPr>
          <w:rFonts w:ascii="Arial" w:hAnsi="Arial" w:cs="Arial"/>
        </w:rPr>
      </w:pPr>
    </w:p>
    <w:p w14:paraId="38C2CADC" w14:textId="77777777" w:rsidR="004E6A57" w:rsidRPr="000D706A" w:rsidRDefault="004E6A57" w:rsidP="004E6A57">
      <w:pPr>
        <w:pStyle w:val="Body"/>
        <w:rPr>
          <w:rFonts w:ascii="Arial" w:hAnsi="Arial" w:cs="Arial"/>
          <w:b/>
          <w:bCs/>
        </w:rPr>
      </w:pPr>
      <w:r w:rsidRPr="000D706A">
        <w:rPr>
          <w:rFonts w:ascii="Arial" w:hAnsi="Arial" w:cs="Arial"/>
          <w:b/>
          <w:bCs/>
        </w:rPr>
        <w:t>2.5 Research Location and Subjects</w:t>
      </w:r>
    </w:p>
    <w:p w14:paraId="23ED1E8F" w14:textId="77777777" w:rsidR="004E6A57" w:rsidRDefault="000D706A" w:rsidP="004E6A57">
      <w:pPr>
        <w:pStyle w:val="Body"/>
        <w:spacing w:after="0"/>
        <w:rPr>
          <w:rFonts w:ascii="Arial" w:hAnsi="Arial" w:cs="Arial"/>
        </w:rPr>
      </w:pPr>
      <w:r w:rsidRPr="000D706A">
        <w:rPr>
          <w:rFonts w:ascii="Arial" w:hAnsi="Arial" w:cs="Arial"/>
        </w:rPr>
        <w:t xml:space="preserve">It is crucial to carry out the research at Malang City, East Java Province, a student, tourist, and industrial city since 1962. This study examines MSME actors in Malang City, which has 29,058 BPS-reported residents. The research uses the Malhotra formula, which multiplies </w:t>
      </w:r>
      <w:r w:rsidRPr="000D706A">
        <w:rPr>
          <w:rFonts w:ascii="Arial" w:hAnsi="Arial" w:cs="Arial"/>
        </w:rPr>
        <w:lastRenderedPageBreak/>
        <w:t>indicators by 10, to calculate sample size. With 20 indicators, 200 respondents are needed for data analysis.</w:t>
      </w:r>
    </w:p>
    <w:p w14:paraId="5ABA161C" w14:textId="77777777" w:rsidR="004E6A57" w:rsidRDefault="004E6A57" w:rsidP="004E6A57">
      <w:pPr>
        <w:pStyle w:val="Body"/>
        <w:spacing w:after="0"/>
        <w:rPr>
          <w:rFonts w:ascii="Arial" w:hAnsi="Arial" w:cs="Arial"/>
        </w:rPr>
      </w:pPr>
    </w:p>
    <w:p w14:paraId="2FEF18EC" w14:textId="77777777" w:rsidR="004E6A57" w:rsidRPr="002E34E9" w:rsidRDefault="004E6A57" w:rsidP="004E6A57">
      <w:pPr>
        <w:pStyle w:val="Body"/>
        <w:rPr>
          <w:rFonts w:ascii="Arial" w:hAnsi="Arial" w:cs="Arial"/>
          <w:b/>
          <w:bCs/>
        </w:rPr>
      </w:pPr>
      <w:r w:rsidRPr="002E34E9">
        <w:rPr>
          <w:rFonts w:ascii="Arial" w:hAnsi="Arial" w:cs="Arial"/>
          <w:b/>
          <w:bCs/>
        </w:rPr>
        <w:t>2.6 Data, Data Types, and Data Collection Techniques</w:t>
      </w:r>
    </w:p>
    <w:p w14:paraId="029BED08" w14:textId="77777777" w:rsidR="004E6A57" w:rsidRDefault="00D05CB9" w:rsidP="004E6A57">
      <w:pPr>
        <w:pStyle w:val="Body"/>
        <w:spacing w:after="0"/>
        <w:rPr>
          <w:rFonts w:ascii="Arial" w:hAnsi="Arial" w:cs="Arial"/>
        </w:rPr>
      </w:pPr>
      <w:r w:rsidRPr="00D05CB9">
        <w:rPr>
          <w:rFonts w:ascii="Arial" w:hAnsi="Arial" w:cs="Arial"/>
        </w:rPr>
        <w:t>This research seeks to objectively assess how digital loan finance, e-commerce marketing, and company location affect Malang City MSMEs. Primary data from respondents is used to examine interval data. Surveys using closed-ended statements gather data. The research uses a Likert scale from 1 to 5 to examine respondents' views of the factors and their relationship to MSME performance improvement.</w:t>
      </w:r>
    </w:p>
    <w:p w14:paraId="32E0F079" w14:textId="77777777" w:rsidR="004E6A57" w:rsidRDefault="004E6A57" w:rsidP="004E6A57">
      <w:pPr>
        <w:pStyle w:val="Body"/>
        <w:spacing w:after="0"/>
        <w:rPr>
          <w:rFonts w:ascii="Arial" w:hAnsi="Arial" w:cs="Arial"/>
        </w:rPr>
      </w:pPr>
    </w:p>
    <w:p w14:paraId="7A761E02" w14:textId="77777777" w:rsidR="004E6A57" w:rsidRPr="00D05CB9" w:rsidRDefault="004E6A57" w:rsidP="004E6A57">
      <w:pPr>
        <w:pStyle w:val="Body"/>
        <w:rPr>
          <w:rFonts w:ascii="Arial" w:hAnsi="Arial" w:cs="Arial"/>
          <w:b/>
          <w:bCs/>
        </w:rPr>
      </w:pPr>
      <w:r w:rsidRPr="00D05CB9">
        <w:rPr>
          <w:rFonts w:ascii="Arial" w:hAnsi="Arial" w:cs="Arial"/>
          <w:b/>
          <w:bCs/>
        </w:rPr>
        <w:t>2.7 Operational Definitions of Variables</w:t>
      </w:r>
    </w:p>
    <w:p w14:paraId="206A3195" w14:textId="77777777" w:rsidR="00FA018A" w:rsidRPr="00FA018A" w:rsidRDefault="00FA018A" w:rsidP="00FA018A">
      <w:pPr>
        <w:pStyle w:val="Body"/>
        <w:rPr>
          <w:rFonts w:ascii="Arial" w:hAnsi="Arial" w:cs="Arial"/>
        </w:rPr>
      </w:pPr>
      <w:r w:rsidRPr="00FA018A">
        <w:rPr>
          <w:rFonts w:ascii="Arial" w:hAnsi="Arial" w:cs="Arial"/>
        </w:rPr>
        <w:t xml:space="preserve">This research defines variables operationally to describe how each construct will be assessed and observed objectively. To verify data accuracy and suitability, each variable is examined using relevant indicators. The first independent variable, access to digital loan finance (X1), measures MSME actors' ability to use digital platforms to get business loans with straightforward processes. </w:t>
      </w:r>
      <w:proofErr w:type="spellStart"/>
      <w:r w:rsidRPr="00FA018A">
        <w:rPr>
          <w:rFonts w:ascii="Arial" w:hAnsi="Arial" w:cs="Arial"/>
        </w:rPr>
        <w:t>Gainau</w:t>
      </w:r>
      <w:proofErr w:type="spellEnd"/>
      <w:r w:rsidRPr="00FA018A">
        <w:rPr>
          <w:rFonts w:ascii="Arial" w:hAnsi="Arial" w:cs="Arial"/>
        </w:rPr>
        <w:t xml:space="preserve"> and </w:t>
      </w:r>
      <w:proofErr w:type="spellStart"/>
      <w:r w:rsidRPr="00FA018A">
        <w:rPr>
          <w:rFonts w:ascii="Arial" w:hAnsi="Arial" w:cs="Arial"/>
        </w:rPr>
        <w:t>Kilay</w:t>
      </w:r>
      <w:proofErr w:type="spellEnd"/>
      <w:r w:rsidRPr="00FA018A">
        <w:rPr>
          <w:rFonts w:ascii="Arial" w:hAnsi="Arial" w:cs="Arial"/>
        </w:rPr>
        <w:t xml:space="preserve"> (2023) note that this construct is assessed by five indicators: loan application simplicity and speed, money distribution efficiency, interest rate affordability, openness of loan-related information, and data and transaction security. The second independent variable, ease of e-commerce marketing (X2), measures MSME actors' perceptions on the cost-effectiveness and usability of e-commerce platforms for product marketing. According to Kartini et al. (2024), its markers include simplicity of registration and usage, affordable marketing expenditures, enlarged market potential, platform promotional tools, and transaction and shipment convenience. The factors are scored on a Likert scale from 1 (strongly disagree) to 5 (strongly agree). </w:t>
      </w:r>
    </w:p>
    <w:p w14:paraId="24FCE88A" w14:textId="77777777" w:rsidR="00FA018A" w:rsidRDefault="00FA018A" w:rsidP="00FA018A">
      <w:pPr>
        <w:pStyle w:val="Body"/>
        <w:spacing w:after="0"/>
        <w:rPr>
          <w:rFonts w:ascii="Arial" w:hAnsi="Arial" w:cs="Arial"/>
        </w:rPr>
      </w:pPr>
      <w:r w:rsidRPr="00FA018A">
        <w:rPr>
          <w:rFonts w:ascii="Arial" w:hAnsi="Arial" w:cs="Arial"/>
        </w:rPr>
        <w:t xml:space="preserve">The third independent variable, business location (X3), indicates geographical and environmental factors that assist company operations and accessibility. </w:t>
      </w:r>
      <w:proofErr w:type="spellStart"/>
      <w:r w:rsidRPr="00FA018A">
        <w:rPr>
          <w:rFonts w:ascii="Arial" w:hAnsi="Arial" w:cs="Arial"/>
        </w:rPr>
        <w:t>Fitriyani</w:t>
      </w:r>
      <w:proofErr w:type="spellEnd"/>
      <w:r w:rsidRPr="00FA018A">
        <w:rPr>
          <w:rFonts w:ascii="Arial" w:hAnsi="Arial" w:cs="Arial"/>
        </w:rPr>
        <w:t xml:space="preserve"> (2023) lists five parameters for this construct: consumer and supplier accessibility, supporting infrastructure, potential market, competitiveness, and environmental security. In a given time, MSME performance (Y) measures company results. </w:t>
      </w:r>
      <w:proofErr w:type="spellStart"/>
      <w:r w:rsidRPr="00FA018A">
        <w:rPr>
          <w:rFonts w:ascii="Arial" w:hAnsi="Arial" w:cs="Arial"/>
        </w:rPr>
        <w:t>Gainau</w:t>
      </w:r>
      <w:proofErr w:type="spellEnd"/>
      <w:r w:rsidRPr="00FA018A">
        <w:rPr>
          <w:rFonts w:ascii="Arial" w:hAnsi="Arial" w:cs="Arial"/>
        </w:rPr>
        <w:t xml:space="preserve"> and </w:t>
      </w:r>
      <w:proofErr w:type="spellStart"/>
      <w:r w:rsidRPr="00FA018A">
        <w:rPr>
          <w:rFonts w:ascii="Arial" w:hAnsi="Arial" w:cs="Arial"/>
        </w:rPr>
        <w:t>Kilay</w:t>
      </w:r>
      <w:proofErr w:type="spellEnd"/>
      <w:r w:rsidRPr="00FA018A">
        <w:rPr>
          <w:rFonts w:ascii="Arial" w:hAnsi="Arial" w:cs="Arial"/>
        </w:rPr>
        <w:t xml:space="preserve"> (2023) assess it by revenue or profit growth, asset growth, customer base expansion, productivity and operational efficiency, competitiveness and innovation, and business objectives. Each variable is assessed using a five-point Likert scale to quantify respondents' opinions and provide a credible statistical foundation. </w:t>
      </w:r>
    </w:p>
    <w:p w14:paraId="1571AD95" w14:textId="77777777" w:rsidR="004E6A57" w:rsidRDefault="004E6A57" w:rsidP="004E6A57">
      <w:pPr>
        <w:pStyle w:val="Body"/>
        <w:spacing w:after="0"/>
        <w:rPr>
          <w:rFonts w:ascii="Arial" w:hAnsi="Arial" w:cs="Arial"/>
        </w:rPr>
      </w:pPr>
    </w:p>
    <w:p w14:paraId="451CF07D" w14:textId="77777777" w:rsidR="004E6A57" w:rsidRPr="0091234A" w:rsidRDefault="004E6A57" w:rsidP="004E6A57">
      <w:pPr>
        <w:pStyle w:val="Body"/>
        <w:spacing w:after="0"/>
        <w:rPr>
          <w:rFonts w:ascii="Arial" w:hAnsi="Arial" w:cs="Arial"/>
          <w:b/>
          <w:bCs/>
        </w:rPr>
      </w:pPr>
      <w:r w:rsidRPr="0091234A">
        <w:rPr>
          <w:rFonts w:ascii="Arial" w:hAnsi="Arial" w:cs="Arial"/>
          <w:b/>
          <w:bCs/>
        </w:rPr>
        <w:t xml:space="preserve">2.8 Data Analysis </w:t>
      </w:r>
    </w:p>
    <w:p w14:paraId="0242D091" w14:textId="77777777" w:rsidR="004E6A57" w:rsidRDefault="004E6A57" w:rsidP="004E6A57">
      <w:pPr>
        <w:pStyle w:val="Body"/>
        <w:spacing w:after="0"/>
        <w:rPr>
          <w:rFonts w:ascii="Arial" w:hAnsi="Arial" w:cs="Arial"/>
        </w:rPr>
      </w:pPr>
    </w:p>
    <w:p w14:paraId="58480664" w14:textId="77777777" w:rsidR="0091234A" w:rsidRDefault="0091234A" w:rsidP="0091234A">
      <w:pPr>
        <w:pStyle w:val="Body"/>
        <w:rPr>
          <w:rFonts w:ascii="Arial" w:hAnsi="Arial" w:cs="Arial"/>
        </w:rPr>
      </w:pPr>
      <w:r w:rsidRPr="0091234A">
        <w:rPr>
          <w:rFonts w:ascii="Arial" w:hAnsi="Arial" w:cs="Arial"/>
        </w:rPr>
        <w:t xml:space="preserve">Data from this research will be examined using </w:t>
      </w:r>
      <w:proofErr w:type="spellStart"/>
      <w:r w:rsidRPr="0091234A">
        <w:rPr>
          <w:rFonts w:ascii="Arial" w:hAnsi="Arial" w:cs="Arial"/>
        </w:rPr>
        <w:t>SmartPLS</w:t>
      </w:r>
      <w:proofErr w:type="spellEnd"/>
      <w:r w:rsidRPr="0091234A">
        <w:rPr>
          <w:rFonts w:ascii="Arial" w:hAnsi="Arial" w:cs="Arial"/>
        </w:rPr>
        <w:t xml:space="preserve"> software for convergent validity, R², and hypothesis testing (Candra Susanto et al., 2024). Convergent validity assesses how well model indicators reflect latent variables. This test confirms that all questionnaire items relate to the theoretical notion. This research uses convergent validity testing to verify that items measuring digital loan access, e-commerce marketing, business location, and MSME performance are reliable and valid for capturing the factors affecting MSME performance in Malang City. The coefficient of determination (R²) measures the extent to which independent factors explain variation in the dependent variable. It examines how digital loan availability, e-commerce marketing, and company location affect MSME success. An increased R² suggests that these factors better explain performance results. Hypothesis testing uses t- and F-tests. The t-test measures each independent variable's impact on MSME performance, whereas the F-test measures their combined impact. These investigations attempt to establish if digital loan availability, e-commerce use, and company location substantially impact Malang City MSMEs. </w:t>
      </w:r>
    </w:p>
    <w:p w14:paraId="5E2A219D"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11587B79" w14:textId="77777777" w:rsidR="00790ADA" w:rsidRPr="000166D1" w:rsidRDefault="00790ADA" w:rsidP="00441B6F">
      <w:pPr>
        <w:pStyle w:val="Head1"/>
        <w:spacing w:after="0"/>
        <w:jc w:val="both"/>
        <w:rPr>
          <w:rFonts w:ascii="Arial" w:hAnsi="Arial" w:cs="Arial"/>
          <w:b w:val="0"/>
          <w:bCs/>
        </w:rPr>
      </w:pPr>
    </w:p>
    <w:p w14:paraId="0A8598F7" w14:textId="77777777" w:rsidR="002974FA" w:rsidRPr="000166D1" w:rsidRDefault="002974FA" w:rsidP="002974FA">
      <w:pPr>
        <w:pStyle w:val="Body"/>
        <w:rPr>
          <w:rFonts w:ascii="Arial" w:hAnsi="Arial" w:cs="Arial"/>
          <w:b/>
          <w:bCs/>
        </w:rPr>
      </w:pPr>
      <w:r w:rsidRPr="000166D1">
        <w:rPr>
          <w:rFonts w:ascii="Arial" w:hAnsi="Arial" w:cs="Arial"/>
          <w:b/>
          <w:bCs/>
        </w:rPr>
        <w:t>3.1 Overview of the Research Object</w:t>
      </w:r>
    </w:p>
    <w:p w14:paraId="424A0490" w14:textId="77777777" w:rsidR="00E36AAD" w:rsidRPr="00E36AAD" w:rsidRDefault="00E36AAD" w:rsidP="00E36AAD">
      <w:pPr>
        <w:pStyle w:val="Body"/>
        <w:rPr>
          <w:rFonts w:ascii="Arial" w:hAnsi="Arial" w:cs="Arial"/>
        </w:rPr>
      </w:pPr>
      <w:r w:rsidRPr="00E36AAD">
        <w:rPr>
          <w:rFonts w:ascii="Arial" w:hAnsi="Arial" w:cs="Arial"/>
        </w:rPr>
        <w:t xml:space="preserve">This investigation was conducted in Malang City. Data was collected online and offline. Data was collected offline using printed questionnaires by visiting MSME actors in Malang City. Google Forms was used for online distribution. Overall, 200 people responded to the study. This sample size was sufficient to reflect the city's MSMEs and reveal responder characteristics. Demographic data provides a basic picture of respondents before data processing. </w:t>
      </w:r>
    </w:p>
    <w:p w14:paraId="2C9DD112" w14:textId="77777777" w:rsidR="00E36AAD" w:rsidRPr="00E36AAD" w:rsidRDefault="00E36AAD" w:rsidP="00E36AAD">
      <w:pPr>
        <w:pStyle w:val="Body"/>
        <w:rPr>
          <w:rFonts w:ascii="Arial" w:hAnsi="Arial" w:cs="Arial"/>
        </w:rPr>
      </w:pPr>
      <w:r w:rsidRPr="00E36AAD">
        <w:rPr>
          <w:rFonts w:ascii="Arial" w:hAnsi="Arial" w:cs="Arial"/>
        </w:rPr>
        <w:t xml:space="preserve">The first demographic group is business type. The survey categories of respondents' enterprises as food and beverage, fashion, commerce, handicrafts, services, and others. The bulk of Malang City MSMEs (67.3%) are food and beverage companies. Trade is second at 15.8%, followed by services at 12.4%. Meanwhile, 12.3% of respondents did business outside the five main categories. In addition, 9.9% worked in fashion and 6.9% in handicrafts. These findings indicate that food and beverage </w:t>
      </w:r>
      <w:proofErr w:type="gramStart"/>
      <w:r w:rsidRPr="00E36AAD">
        <w:rPr>
          <w:rFonts w:ascii="Arial" w:hAnsi="Arial" w:cs="Arial"/>
        </w:rPr>
        <w:t>dominates</w:t>
      </w:r>
      <w:proofErr w:type="gramEnd"/>
      <w:r w:rsidRPr="00E36AAD">
        <w:rPr>
          <w:rFonts w:ascii="Arial" w:hAnsi="Arial" w:cs="Arial"/>
        </w:rPr>
        <w:t xml:space="preserve"> Malang's MSME ecosystem, indicating customer demand and opportunity. </w:t>
      </w:r>
    </w:p>
    <w:p w14:paraId="3D6A6154" w14:textId="77777777" w:rsidR="00E36AAD" w:rsidRPr="00E36AAD" w:rsidRDefault="00E36AAD" w:rsidP="00E36AAD">
      <w:pPr>
        <w:pStyle w:val="Body"/>
        <w:rPr>
          <w:rFonts w:ascii="Arial" w:hAnsi="Arial" w:cs="Arial"/>
        </w:rPr>
      </w:pPr>
      <w:r w:rsidRPr="00E36AAD">
        <w:rPr>
          <w:rFonts w:ascii="Arial" w:hAnsi="Arial" w:cs="Arial"/>
        </w:rPr>
        <w:t xml:space="preserve">Compared to 41.6 percent male respondents, 58.4 percent female respondents were the majority. This demonstrates that Malang City women are important in MSME activity. According to age, respondents were separated into five groups: 17–25, 26–35, 36–45, 46–55, and above 56. The 17–25 age group had the most replies (30.2%). This was followed by 36–45 years (22.8 percent), 46–55 years (20.8 percent), and 26–35 years (19.3 percent). Respondents over 56 had the lowest percentage. This research found that most MSME actors are young and productive, showing a significant entrepreneurial presence among younger generations in Malang. </w:t>
      </w:r>
    </w:p>
    <w:p w14:paraId="3524996D" w14:textId="77777777" w:rsidR="00E36AAD" w:rsidRPr="00E36AAD" w:rsidRDefault="00E36AAD" w:rsidP="00E36AAD">
      <w:pPr>
        <w:pStyle w:val="Body"/>
        <w:rPr>
          <w:rFonts w:ascii="Arial" w:hAnsi="Arial" w:cs="Arial"/>
        </w:rPr>
      </w:pPr>
      <w:r w:rsidRPr="00E36AAD">
        <w:rPr>
          <w:rFonts w:ascii="Arial" w:hAnsi="Arial" w:cs="Arial"/>
        </w:rPr>
        <w:t xml:space="preserve">Respondent education was examined. The majority of respondents (47.5%) attended senior high school or technical school. 32.2 percent had bachelor's degrees, while 7.4 percent were primary school grads. The remaining 12.9% were junior high, diploma, and master's degree holders. This distribution illustrates that although many MSME players have higher education, many run firms with only secondary education. Such data shows that Malang entrepreneurship is not confined to those with extensive formal education. </w:t>
      </w:r>
    </w:p>
    <w:p w14:paraId="581EB021" w14:textId="77777777" w:rsidR="00E36AAD" w:rsidRDefault="00E36AAD" w:rsidP="00E36AAD">
      <w:pPr>
        <w:pStyle w:val="Body"/>
        <w:spacing w:after="0"/>
        <w:rPr>
          <w:rFonts w:ascii="Arial" w:hAnsi="Arial" w:cs="Arial"/>
        </w:rPr>
      </w:pPr>
      <w:r w:rsidRPr="00E36AAD">
        <w:rPr>
          <w:rFonts w:ascii="Arial" w:hAnsi="Arial" w:cs="Arial"/>
        </w:rPr>
        <w:t xml:space="preserve">MSMEs' ages, company classifications, initial cash, and marketing techniques are also examined. 34.7 percent of enterprises have been functioning for over six years, while 27.7 percent have been operating for one to three years. About 19.8% were 4–6 years old and 17.8% were under 1 year old. Most respondents were micro-enterprises with yearly revenue under IDR 300,000,000. Only 2 percent were medium firms, while 16.3 percent were tiny. Most respondents (75.2%) began their firm with less than Rp. 10,000,000, while fewer (18.3%), (4%) and (2.5%) had capital between Rp. 10,000,000 and Rp. 50,000,000. Most respondents (62.4%) used a mix of offline and online marketing, 26.2 percent used offline tactics completely, and 11.4 percent used internet marketing exclusively. Although micro-enterprises dominate, MSME operators in Malang are increasingly using integrated marketing techniques to increase competitiveness and market share. </w:t>
      </w:r>
    </w:p>
    <w:p w14:paraId="2C57D168" w14:textId="77777777" w:rsidR="00CF2C81" w:rsidRDefault="00CF2C81" w:rsidP="00CF2C81">
      <w:pPr>
        <w:pStyle w:val="Body"/>
        <w:spacing w:after="0"/>
        <w:rPr>
          <w:rFonts w:ascii="Arial" w:hAnsi="Arial" w:cs="Arial"/>
        </w:rPr>
      </w:pPr>
    </w:p>
    <w:p w14:paraId="40096071" w14:textId="77777777" w:rsidR="002974FA" w:rsidRPr="00A646BB" w:rsidRDefault="002974FA" w:rsidP="002974FA">
      <w:pPr>
        <w:pStyle w:val="Body"/>
        <w:rPr>
          <w:rFonts w:ascii="Arial" w:hAnsi="Arial" w:cs="Arial"/>
          <w:b/>
          <w:bCs/>
        </w:rPr>
      </w:pPr>
      <w:r w:rsidRPr="00A646BB">
        <w:rPr>
          <w:rFonts w:ascii="Arial" w:hAnsi="Arial" w:cs="Arial"/>
          <w:b/>
          <w:bCs/>
        </w:rPr>
        <w:t>3.2 Distribution of Respondents' Answers</w:t>
      </w:r>
    </w:p>
    <w:p w14:paraId="42C5AAD7" w14:textId="77777777" w:rsidR="00D2074B" w:rsidRPr="00D2074B" w:rsidRDefault="00D2074B" w:rsidP="00D2074B">
      <w:pPr>
        <w:pStyle w:val="Body"/>
        <w:rPr>
          <w:rFonts w:ascii="Arial" w:hAnsi="Arial" w:cs="Arial"/>
        </w:rPr>
      </w:pPr>
      <w:r w:rsidRPr="00D2074B">
        <w:rPr>
          <w:rFonts w:ascii="Arial" w:hAnsi="Arial" w:cs="Arial"/>
        </w:rPr>
        <w:t xml:space="preserve">The research examined 200 respondents' responses to five assertions on digital loan availability. </w:t>
      </w:r>
      <w:r w:rsidR="006434F6">
        <w:rPr>
          <w:rFonts w:ascii="Arial" w:hAnsi="Arial" w:cs="Arial"/>
        </w:rPr>
        <w:t>Data</w:t>
      </w:r>
      <w:r w:rsidRPr="00D2074B">
        <w:rPr>
          <w:rFonts w:ascii="Arial" w:hAnsi="Arial" w:cs="Arial"/>
        </w:rPr>
        <w:t xml:space="preserve"> that 50.1% of respondents selected “neutral”. The first statement received the most favorable responses: 50% “neutral,” 19.3% “agree,” and 16.8% “strongly agree.” This trend shows that although respondents found the digital loan application procedure </w:t>
      </w:r>
      <w:r w:rsidRPr="00D2074B">
        <w:rPr>
          <w:rFonts w:ascii="Arial" w:hAnsi="Arial" w:cs="Arial"/>
        </w:rPr>
        <w:lastRenderedPageBreak/>
        <w:t xml:space="preserve">easy and efficient, there are many elements about its merits. Interest rates, transparency, and data security continue to worry respondents. Thus, digital loan availability is relatively beneficial but requires openness and data security to build confidence in digital financial services. </w:t>
      </w:r>
    </w:p>
    <w:p w14:paraId="3437C123" w14:textId="77777777" w:rsidR="00D2074B" w:rsidRPr="00D2074B" w:rsidRDefault="0004261A" w:rsidP="00D2074B">
      <w:pPr>
        <w:pStyle w:val="Body"/>
        <w:rPr>
          <w:rFonts w:ascii="Arial" w:hAnsi="Arial" w:cs="Arial"/>
        </w:rPr>
      </w:pPr>
      <w:r>
        <w:rPr>
          <w:rFonts w:ascii="Arial" w:hAnsi="Arial" w:cs="Arial"/>
        </w:rPr>
        <w:t>R</w:t>
      </w:r>
      <w:r w:rsidR="00D2074B" w:rsidRPr="00D2074B">
        <w:rPr>
          <w:rFonts w:ascii="Arial" w:hAnsi="Arial" w:cs="Arial"/>
        </w:rPr>
        <w:t xml:space="preserve">espondents rated e-commerce marketing higher than digital loan availability. The most popular option was “agree,” with 33.5 percent, followed by “strongly agree” with 27.0 percent. The most favorable answer was 33.2 percent and 34.1 percent strongly agreed that e-commerce helps their goods reach more people in the third statement. This shows how important internet platforms are for small business market development. Easy registration, efficient advertising materials, and transaction and logistical simplification were also well-received. These findings imply that most respondents see e-commerce as an efficient marketing tool that increases consumer reach and streamlines operational procedures, making small and medium firms more competitive in the digital economy. </w:t>
      </w:r>
    </w:p>
    <w:p w14:paraId="59F93D0C" w14:textId="77777777" w:rsidR="00D2074B" w:rsidRPr="00D2074B" w:rsidRDefault="00D2074B" w:rsidP="00D2074B">
      <w:pPr>
        <w:pStyle w:val="Body"/>
        <w:rPr>
          <w:rFonts w:ascii="Arial" w:hAnsi="Arial" w:cs="Arial"/>
        </w:rPr>
      </w:pPr>
      <w:r w:rsidRPr="00D2074B">
        <w:rPr>
          <w:rFonts w:ascii="Arial" w:hAnsi="Arial" w:cs="Arial"/>
        </w:rPr>
        <w:t xml:space="preserve">The majority of respondents agreed, averaging 34.2 percent, followed by 33.7 percent. Infrastructure was the most positively received, with 45.5% strongly agreeing that their company location had appropriate roads, power, and internet connectivity. With 41.2% strongly agreeing that their company sites were easy to reach for clients and suppliers, accessibility was appreciated. This suggests that respondents see their company locations as strategically helpful, secure, and well-equipped. Yet, market competition answers were more mixed, with a significant number of neutral and negative replies, indicating that competitive pressure persists in certain sectors. Overall, location is seen to boost company development and sustainability. </w:t>
      </w:r>
    </w:p>
    <w:p w14:paraId="49A7CD53" w14:textId="77777777" w:rsidR="00D2074B" w:rsidRPr="00D2074B" w:rsidRDefault="00007EE8" w:rsidP="00D2074B">
      <w:pPr>
        <w:pStyle w:val="Body"/>
        <w:rPr>
          <w:rFonts w:ascii="Arial" w:hAnsi="Arial" w:cs="Arial"/>
        </w:rPr>
      </w:pPr>
      <w:r>
        <w:rPr>
          <w:rFonts w:ascii="Arial" w:hAnsi="Arial" w:cs="Arial"/>
        </w:rPr>
        <w:t>S</w:t>
      </w:r>
      <w:r w:rsidR="00D2074B" w:rsidRPr="00D2074B">
        <w:rPr>
          <w:rFonts w:ascii="Arial" w:hAnsi="Arial" w:cs="Arial"/>
        </w:rPr>
        <w:t xml:space="preserve">mall company performance answers support other favorable judgments. The most common option was “agree,” with 37.0 percent, followed by “neutral” (31.8 percent) and “strongly agree” (20.0%). The third statement had the most favorable reaction, with 44.0 percent agreeing and 25.2 percent strongly agreeing that their company gained clients. This suggests that tiny businesses may increase performance by adding customers. Asset growth, cost efficiency via capital and technology, and sales and production objectives were all positive. However, several respondents were cautious about profit growth and meeting all corporate goals, showing that although performance is improving, profitability and target accomplishment remain issues. </w:t>
      </w:r>
    </w:p>
    <w:p w14:paraId="457CCC6F" w14:textId="77777777" w:rsidR="00D2074B" w:rsidRDefault="00D2074B" w:rsidP="00D2074B">
      <w:pPr>
        <w:pStyle w:val="Body"/>
        <w:spacing w:after="0"/>
        <w:rPr>
          <w:rFonts w:ascii="Arial" w:hAnsi="Arial" w:cs="Arial"/>
        </w:rPr>
      </w:pPr>
      <w:r w:rsidRPr="00D2074B">
        <w:rPr>
          <w:rFonts w:ascii="Arial" w:hAnsi="Arial" w:cs="Arial"/>
        </w:rPr>
        <w:t xml:space="preserve">Respondent impressions across the four categories show a steady tendency toward favorable assessments, with intensity varying by factor. Digital loan availability is relatively beneficial, but transparency and data security are issues. Positive answers to e-commerce marketing include growing market reach and streamlining operations. Business location has the most favorable agreement, indicating that infrastructure and accessibility are crucial to success. Finally, small business performance results show an increase in customers, assets, and efficiency, but profitability and goal achievement remain limited. These results demonstrate that access to financial services, use of digital platforms, and favorable business settings impact small firm performance in Malang, but gaps remain to promote more sustainable and equitable development. </w:t>
      </w:r>
    </w:p>
    <w:p w14:paraId="5FBB8BA6" w14:textId="77777777" w:rsidR="00D2074B" w:rsidRDefault="00D2074B" w:rsidP="00D2074B">
      <w:pPr>
        <w:pStyle w:val="Body"/>
        <w:spacing w:after="0"/>
        <w:rPr>
          <w:rFonts w:ascii="Arial" w:hAnsi="Arial" w:cs="Arial"/>
        </w:rPr>
      </w:pPr>
    </w:p>
    <w:p w14:paraId="38E94A87" w14:textId="77777777" w:rsidR="002974FA" w:rsidRPr="00BC155B" w:rsidRDefault="002974FA" w:rsidP="002974FA">
      <w:pPr>
        <w:pStyle w:val="Body"/>
        <w:rPr>
          <w:rFonts w:ascii="Arial" w:hAnsi="Arial" w:cs="Arial"/>
          <w:b/>
          <w:bCs/>
        </w:rPr>
      </w:pPr>
      <w:r w:rsidRPr="00BC155B">
        <w:rPr>
          <w:rFonts w:ascii="Arial" w:hAnsi="Arial" w:cs="Arial"/>
          <w:b/>
          <w:bCs/>
        </w:rPr>
        <w:t>3.3 Validity and Reliability Test</w:t>
      </w:r>
    </w:p>
    <w:p w14:paraId="68DCF41C" w14:textId="77777777" w:rsidR="00671A2B" w:rsidRDefault="00671A2B" w:rsidP="00671A2B">
      <w:pPr>
        <w:pStyle w:val="Body"/>
        <w:rPr>
          <w:rFonts w:ascii="Arial" w:hAnsi="Arial" w:cs="Arial"/>
        </w:rPr>
      </w:pPr>
      <w:r w:rsidRPr="00671A2B">
        <w:rPr>
          <w:rFonts w:ascii="Arial" w:hAnsi="Arial" w:cs="Arial"/>
        </w:rPr>
        <w:t xml:space="preserve">The convergent validity test determined if each construct's indicators accurately represented its latent variables. Assessment used outer loading values ​​and Average Variance Extracted. The first study showed that most constructs had outer loading values ​​over 0.70, meeting validity criteria. E-commerce, company success, and digital loan access were constant across all parameters. The location variable has one weak indication (L4) with a loading </w:t>
      </w:r>
      <w:r w:rsidRPr="00671A2B">
        <w:rPr>
          <w:rFonts w:ascii="Arial" w:hAnsi="Arial" w:cs="Arial"/>
        </w:rPr>
        <w:lastRenderedPageBreak/>
        <w:t xml:space="preserve">value of 0.444, below the threshold. All constructs had AVE values ​​over 0.50, showing convergent validity, although the location variable had the lowest at 0.539, indicating worse measurement quality. To improve model validity, indicator L4 was removed and the analysis rerun. </w:t>
      </w:r>
    </w:p>
    <w:p w14:paraId="7F8DB28E" w14:textId="77777777" w:rsidR="009E700A" w:rsidRPr="009E700A" w:rsidRDefault="009E700A" w:rsidP="009E700A">
      <w:pPr>
        <w:pStyle w:val="Body"/>
        <w:jc w:val="center"/>
        <w:rPr>
          <w:rFonts w:ascii="Arial" w:hAnsi="Arial" w:cs="Arial"/>
          <w:b/>
          <w:bCs/>
        </w:rPr>
      </w:pPr>
      <w:r w:rsidRPr="009E700A">
        <w:rPr>
          <w:rFonts w:ascii="Arial" w:hAnsi="Arial" w:cs="Arial"/>
          <w:b/>
          <w:bCs/>
        </w:rPr>
        <w:t>Table 1. AVE</w:t>
      </w:r>
    </w:p>
    <w:tbl>
      <w:tblPr>
        <w:tblStyle w:val="TableGridLight"/>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7"/>
        <w:gridCol w:w="1275"/>
        <w:gridCol w:w="853"/>
        <w:gridCol w:w="1275"/>
        <w:gridCol w:w="1274"/>
        <w:gridCol w:w="1370"/>
      </w:tblGrid>
      <w:tr w:rsidR="00EA6131" w:rsidRPr="00EA6131" w14:paraId="0519395B" w14:textId="77777777" w:rsidTr="009E700A">
        <w:trPr>
          <w:trHeight w:val="113"/>
        </w:trPr>
        <w:tc>
          <w:tcPr>
            <w:tcW w:w="1411" w:type="pct"/>
            <w:tcBorders>
              <w:top w:val="single" w:sz="4" w:space="0" w:color="auto"/>
              <w:bottom w:val="single" w:sz="4" w:space="0" w:color="auto"/>
            </w:tcBorders>
            <w:noWrap/>
            <w:vAlign w:val="center"/>
            <w:hideMark/>
          </w:tcPr>
          <w:p w14:paraId="7A07F05D" w14:textId="77777777" w:rsidR="00EA6131" w:rsidRPr="00EA6131" w:rsidRDefault="00EA6131" w:rsidP="00EA6131">
            <w:pPr>
              <w:jc w:val="center"/>
              <w:rPr>
                <w:rFonts w:ascii="Arial" w:hAnsi="Arial" w:cs="Arial"/>
                <w:b/>
                <w:bCs/>
              </w:rPr>
            </w:pPr>
            <w:r>
              <w:rPr>
                <w:rFonts w:ascii="Arial" w:hAnsi="Arial" w:cs="Arial"/>
                <w:b/>
                <w:bCs/>
              </w:rPr>
              <w:t>Variable</w:t>
            </w:r>
          </w:p>
        </w:tc>
        <w:tc>
          <w:tcPr>
            <w:tcW w:w="757" w:type="pct"/>
            <w:tcBorders>
              <w:top w:val="single" w:sz="4" w:space="0" w:color="auto"/>
              <w:bottom w:val="single" w:sz="4" w:space="0" w:color="auto"/>
            </w:tcBorders>
            <w:noWrap/>
            <w:vAlign w:val="center"/>
            <w:hideMark/>
          </w:tcPr>
          <w:p w14:paraId="1D9D0684" w14:textId="77777777" w:rsidR="00EA6131" w:rsidRPr="00EA6131" w:rsidRDefault="00EA6131" w:rsidP="00EA6131">
            <w:pPr>
              <w:jc w:val="center"/>
              <w:rPr>
                <w:rFonts w:ascii="Arial" w:hAnsi="Arial" w:cs="Arial"/>
                <w:b/>
                <w:bCs/>
                <w:color w:val="000000"/>
              </w:rPr>
            </w:pPr>
            <w:r w:rsidRPr="00EA6131">
              <w:rPr>
                <w:rFonts w:ascii="Arial" w:hAnsi="Arial" w:cs="Arial"/>
                <w:b/>
                <w:bCs/>
                <w:color w:val="000000"/>
              </w:rPr>
              <w:t>Cronbach's Alpha</w:t>
            </w:r>
          </w:p>
        </w:tc>
        <w:tc>
          <w:tcPr>
            <w:tcW w:w="506" w:type="pct"/>
            <w:tcBorders>
              <w:top w:val="single" w:sz="4" w:space="0" w:color="auto"/>
              <w:bottom w:val="single" w:sz="4" w:space="0" w:color="auto"/>
            </w:tcBorders>
            <w:noWrap/>
            <w:vAlign w:val="center"/>
            <w:hideMark/>
          </w:tcPr>
          <w:p w14:paraId="2C0FAAA1" w14:textId="77777777" w:rsidR="00EA6131" w:rsidRPr="00EA6131" w:rsidRDefault="00EA6131" w:rsidP="00EA6131">
            <w:pPr>
              <w:jc w:val="center"/>
              <w:rPr>
                <w:rFonts w:ascii="Arial" w:hAnsi="Arial" w:cs="Arial"/>
                <w:b/>
                <w:bCs/>
                <w:color w:val="000000"/>
              </w:rPr>
            </w:pPr>
            <w:proofErr w:type="spellStart"/>
            <w:r w:rsidRPr="00EA6131">
              <w:rPr>
                <w:rFonts w:ascii="Arial" w:hAnsi="Arial" w:cs="Arial"/>
                <w:b/>
                <w:bCs/>
                <w:color w:val="000000"/>
              </w:rPr>
              <w:t>rho_A</w:t>
            </w:r>
            <w:proofErr w:type="spellEnd"/>
          </w:p>
        </w:tc>
        <w:tc>
          <w:tcPr>
            <w:tcW w:w="757" w:type="pct"/>
            <w:tcBorders>
              <w:top w:val="single" w:sz="4" w:space="0" w:color="auto"/>
              <w:bottom w:val="single" w:sz="4" w:space="0" w:color="auto"/>
            </w:tcBorders>
            <w:noWrap/>
            <w:vAlign w:val="center"/>
            <w:hideMark/>
          </w:tcPr>
          <w:p w14:paraId="7011B090" w14:textId="77777777" w:rsidR="00EA6131" w:rsidRPr="00EA6131" w:rsidRDefault="00EA6131" w:rsidP="00EA6131">
            <w:pPr>
              <w:jc w:val="center"/>
              <w:rPr>
                <w:rFonts w:ascii="Arial" w:hAnsi="Arial" w:cs="Arial"/>
                <w:b/>
                <w:bCs/>
                <w:color w:val="000000"/>
              </w:rPr>
            </w:pPr>
            <w:r w:rsidRPr="00EA6131">
              <w:rPr>
                <w:rFonts w:ascii="Arial" w:hAnsi="Arial" w:cs="Arial"/>
                <w:b/>
                <w:bCs/>
                <w:color w:val="000000"/>
              </w:rPr>
              <w:t>Composite Reliability</w:t>
            </w:r>
          </w:p>
        </w:tc>
        <w:tc>
          <w:tcPr>
            <w:tcW w:w="756" w:type="pct"/>
            <w:tcBorders>
              <w:top w:val="single" w:sz="4" w:space="0" w:color="auto"/>
              <w:bottom w:val="single" w:sz="4" w:space="0" w:color="auto"/>
            </w:tcBorders>
            <w:noWrap/>
            <w:vAlign w:val="center"/>
            <w:hideMark/>
          </w:tcPr>
          <w:p w14:paraId="71AF687D" w14:textId="77777777" w:rsidR="00EA6131" w:rsidRPr="00EA6131" w:rsidRDefault="00EA6131" w:rsidP="00EA6131">
            <w:pPr>
              <w:jc w:val="center"/>
              <w:rPr>
                <w:rFonts w:ascii="Arial" w:hAnsi="Arial" w:cs="Arial"/>
                <w:b/>
                <w:bCs/>
                <w:color w:val="000000"/>
              </w:rPr>
            </w:pPr>
            <w:r w:rsidRPr="00EA6131">
              <w:rPr>
                <w:rFonts w:ascii="Arial" w:hAnsi="Arial" w:cs="Arial"/>
                <w:b/>
                <w:bCs/>
                <w:color w:val="000000"/>
              </w:rPr>
              <w:t>Average Variance Extracted (AVE)</w:t>
            </w:r>
          </w:p>
        </w:tc>
        <w:tc>
          <w:tcPr>
            <w:tcW w:w="813" w:type="pct"/>
            <w:tcBorders>
              <w:top w:val="single" w:sz="4" w:space="0" w:color="auto"/>
              <w:bottom w:val="single" w:sz="4" w:space="0" w:color="auto"/>
            </w:tcBorders>
            <w:vAlign w:val="center"/>
          </w:tcPr>
          <w:p w14:paraId="71487E11" w14:textId="77777777" w:rsidR="00EA6131" w:rsidRPr="00EA6131" w:rsidRDefault="00EA6131" w:rsidP="00EA6131">
            <w:pPr>
              <w:jc w:val="center"/>
              <w:rPr>
                <w:rFonts w:ascii="Arial" w:hAnsi="Arial" w:cs="Arial"/>
                <w:b/>
                <w:bCs/>
              </w:rPr>
            </w:pPr>
            <w:r w:rsidRPr="00EA6131">
              <w:rPr>
                <w:rFonts w:ascii="Arial" w:hAnsi="Arial" w:cs="Arial"/>
                <w:b/>
                <w:bCs/>
              </w:rPr>
              <w:t>Description</w:t>
            </w:r>
          </w:p>
        </w:tc>
      </w:tr>
      <w:tr w:rsidR="00EA6131" w:rsidRPr="00EA6131" w14:paraId="5B93E212" w14:textId="77777777" w:rsidTr="009E700A">
        <w:trPr>
          <w:trHeight w:val="113"/>
        </w:trPr>
        <w:tc>
          <w:tcPr>
            <w:tcW w:w="1411" w:type="pct"/>
            <w:tcBorders>
              <w:top w:val="single" w:sz="4" w:space="0" w:color="auto"/>
            </w:tcBorders>
            <w:noWrap/>
            <w:hideMark/>
          </w:tcPr>
          <w:p w14:paraId="33BA102E" w14:textId="77777777" w:rsidR="00EA6131" w:rsidRPr="00EA6131" w:rsidRDefault="00EA6131" w:rsidP="00EA6131">
            <w:pPr>
              <w:rPr>
                <w:rFonts w:ascii="Arial" w:hAnsi="Arial" w:cs="Arial"/>
                <w:color w:val="000000"/>
              </w:rPr>
            </w:pPr>
            <w:r w:rsidRPr="00EA6131">
              <w:rPr>
                <w:rFonts w:ascii="Arial" w:hAnsi="Arial" w:cs="Arial"/>
                <w:color w:val="000000"/>
              </w:rPr>
              <w:t>E-Commerce</w:t>
            </w:r>
          </w:p>
        </w:tc>
        <w:tc>
          <w:tcPr>
            <w:tcW w:w="757" w:type="pct"/>
            <w:tcBorders>
              <w:top w:val="single" w:sz="4" w:space="0" w:color="auto"/>
            </w:tcBorders>
            <w:noWrap/>
            <w:hideMark/>
          </w:tcPr>
          <w:p w14:paraId="040B906D" w14:textId="77777777" w:rsidR="00EA6131" w:rsidRPr="00EA6131" w:rsidRDefault="00EA6131" w:rsidP="00EA6131">
            <w:pPr>
              <w:jc w:val="center"/>
              <w:rPr>
                <w:rFonts w:ascii="Arial" w:hAnsi="Arial" w:cs="Arial"/>
                <w:color w:val="000000"/>
              </w:rPr>
            </w:pPr>
            <w:r w:rsidRPr="00EA6131">
              <w:rPr>
                <w:rFonts w:ascii="Arial" w:hAnsi="Arial" w:cs="Arial"/>
                <w:color w:val="000000"/>
              </w:rPr>
              <w:t>0.879</w:t>
            </w:r>
          </w:p>
        </w:tc>
        <w:tc>
          <w:tcPr>
            <w:tcW w:w="506" w:type="pct"/>
            <w:tcBorders>
              <w:top w:val="single" w:sz="4" w:space="0" w:color="auto"/>
            </w:tcBorders>
            <w:noWrap/>
            <w:hideMark/>
          </w:tcPr>
          <w:p w14:paraId="4AB065A9" w14:textId="77777777" w:rsidR="00EA6131" w:rsidRPr="00EA6131" w:rsidRDefault="00EA6131" w:rsidP="00EA6131">
            <w:pPr>
              <w:jc w:val="center"/>
              <w:rPr>
                <w:rFonts w:ascii="Arial" w:hAnsi="Arial" w:cs="Arial"/>
                <w:color w:val="000000"/>
              </w:rPr>
            </w:pPr>
            <w:r w:rsidRPr="00EA6131">
              <w:rPr>
                <w:rFonts w:ascii="Arial" w:hAnsi="Arial" w:cs="Arial"/>
                <w:color w:val="000000"/>
              </w:rPr>
              <w:t>0.881</w:t>
            </w:r>
          </w:p>
        </w:tc>
        <w:tc>
          <w:tcPr>
            <w:tcW w:w="757" w:type="pct"/>
            <w:tcBorders>
              <w:top w:val="single" w:sz="4" w:space="0" w:color="auto"/>
            </w:tcBorders>
            <w:noWrap/>
            <w:hideMark/>
          </w:tcPr>
          <w:p w14:paraId="6C38E9D8" w14:textId="77777777" w:rsidR="00EA6131" w:rsidRPr="00EA6131" w:rsidRDefault="00EA6131" w:rsidP="00EA6131">
            <w:pPr>
              <w:jc w:val="center"/>
              <w:rPr>
                <w:rFonts w:ascii="Arial" w:hAnsi="Arial" w:cs="Arial"/>
                <w:color w:val="000000"/>
              </w:rPr>
            </w:pPr>
            <w:r w:rsidRPr="00EA6131">
              <w:rPr>
                <w:rFonts w:ascii="Arial" w:hAnsi="Arial" w:cs="Arial"/>
                <w:color w:val="000000"/>
              </w:rPr>
              <w:t>0.912</w:t>
            </w:r>
          </w:p>
        </w:tc>
        <w:tc>
          <w:tcPr>
            <w:tcW w:w="756" w:type="pct"/>
            <w:tcBorders>
              <w:top w:val="single" w:sz="4" w:space="0" w:color="auto"/>
            </w:tcBorders>
            <w:noWrap/>
            <w:hideMark/>
          </w:tcPr>
          <w:p w14:paraId="5E70016C" w14:textId="77777777" w:rsidR="00EA6131" w:rsidRPr="00EA6131" w:rsidRDefault="00EA6131" w:rsidP="00EA6131">
            <w:pPr>
              <w:jc w:val="center"/>
              <w:rPr>
                <w:rFonts w:ascii="Arial" w:hAnsi="Arial" w:cs="Arial"/>
                <w:color w:val="000000"/>
              </w:rPr>
            </w:pPr>
            <w:r w:rsidRPr="00EA6131">
              <w:rPr>
                <w:rFonts w:ascii="Arial" w:hAnsi="Arial" w:cs="Arial"/>
                <w:color w:val="000000"/>
              </w:rPr>
              <w:t>0.674</w:t>
            </w:r>
          </w:p>
        </w:tc>
        <w:tc>
          <w:tcPr>
            <w:tcW w:w="813" w:type="pct"/>
            <w:tcBorders>
              <w:top w:val="single" w:sz="4" w:space="0" w:color="auto"/>
            </w:tcBorders>
          </w:tcPr>
          <w:p w14:paraId="09F3731D" w14:textId="77777777" w:rsidR="00EA6131" w:rsidRPr="00EA6131" w:rsidRDefault="00EA6131" w:rsidP="00EA6131">
            <w:pPr>
              <w:jc w:val="center"/>
              <w:rPr>
                <w:rFonts w:ascii="Arial" w:hAnsi="Arial" w:cs="Arial"/>
              </w:rPr>
            </w:pPr>
            <w:r w:rsidRPr="00EA6131">
              <w:rPr>
                <w:rFonts w:ascii="Arial" w:hAnsi="Arial" w:cs="Arial"/>
              </w:rPr>
              <w:t>Reliable</w:t>
            </w:r>
          </w:p>
        </w:tc>
      </w:tr>
      <w:tr w:rsidR="00EA6131" w:rsidRPr="00EA6131" w14:paraId="6A497F65" w14:textId="77777777" w:rsidTr="009E700A">
        <w:trPr>
          <w:trHeight w:val="113"/>
        </w:trPr>
        <w:tc>
          <w:tcPr>
            <w:tcW w:w="1411" w:type="pct"/>
            <w:noWrap/>
            <w:hideMark/>
          </w:tcPr>
          <w:p w14:paraId="5354B1C4" w14:textId="77777777" w:rsidR="00EA6131" w:rsidRPr="00EA6131" w:rsidRDefault="00EA6131" w:rsidP="00EA6131">
            <w:pPr>
              <w:rPr>
                <w:rFonts w:ascii="Arial" w:hAnsi="Arial" w:cs="Arial"/>
                <w:color w:val="000000"/>
              </w:rPr>
            </w:pPr>
            <w:r w:rsidRPr="00EA6131">
              <w:rPr>
                <w:rFonts w:ascii="Arial" w:hAnsi="Arial" w:cs="Arial"/>
                <w:color w:val="000000"/>
              </w:rPr>
              <w:t xml:space="preserve">MSME </w:t>
            </w:r>
            <w:proofErr w:type="spellStart"/>
            <w:r w:rsidRPr="00EA6131">
              <w:rPr>
                <w:rFonts w:ascii="Arial" w:hAnsi="Arial" w:cs="Arial"/>
                <w:color w:val="000000"/>
              </w:rPr>
              <w:t>Peformance</w:t>
            </w:r>
            <w:proofErr w:type="spellEnd"/>
          </w:p>
        </w:tc>
        <w:tc>
          <w:tcPr>
            <w:tcW w:w="757" w:type="pct"/>
            <w:noWrap/>
            <w:hideMark/>
          </w:tcPr>
          <w:p w14:paraId="73349540" w14:textId="77777777" w:rsidR="00EA6131" w:rsidRPr="00EA6131" w:rsidRDefault="00EA6131" w:rsidP="00EA6131">
            <w:pPr>
              <w:jc w:val="center"/>
              <w:rPr>
                <w:rFonts w:ascii="Arial" w:hAnsi="Arial" w:cs="Arial"/>
                <w:color w:val="000000"/>
              </w:rPr>
            </w:pPr>
            <w:r w:rsidRPr="00EA6131">
              <w:rPr>
                <w:rFonts w:ascii="Arial" w:hAnsi="Arial" w:cs="Arial"/>
                <w:color w:val="000000"/>
              </w:rPr>
              <w:t>0.874</w:t>
            </w:r>
          </w:p>
        </w:tc>
        <w:tc>
          <w:tcPr>
            <w:tcW w:w="506" w:type="pct"/>
            <w:noWrap/>
            <w:hideMark/>
          </w:tcPr>
          <w:p w14:paraId="434EAB6A" w14:textId="77777777" w:rsidR="00EA6131" w:rsidRPr="00EA6131" w:rsidRDefault="00EA6131" w:rsidP="00EA6131">
            <w:pPr>
              <w:jc w:val="center"/>
              <w:rPr>
                <w:rFonts w:ascii="Arial" w:hAnsi="Arial" w:cs="Arial"/>
                <w:color w:val="000000"/>
              </w:rPr>
            </w:pPr>
            <w:r w:rsidRPr="00EA6131">
              <w:rPr>
                <w:rFonts w:ascii="Arial" w:hAnsi="Arial" w:cs="Arial"/>
                <w:color w:val="000000"/>
              </w:rPr>
              <w:t>0.882</w:t>
            </w:r>
          </w:p>
        </w:tc>
        <w:tc>
          <w:tcPr>
            <w:tcW w:w="757" w:type="pct"/>
            <w:noWrap/>
            <w:hideMark/>
          </w:tcPr>
          <w:p w14:paraId="3C12E264" w14:textId="77777777" w:rsidR="00EA6131" w:rsidRPr="00EA6131" w:rsidRDefault="00EA6131" w:rsidP="00EA6131">
            <w:pPr>
              <w:jc w:val="center"/>
              <w:rPr>
                <w:rFonts w:ascii="Arial" w:hAnsi="Arial" w:cs="Arial"/>
                <w:color w:val="000000"/>
              </w:rPr>
            </w:pPr>
            <w:r w:rsidRPr="00EA6131">
              <w:rPr>
                <w:rFonts w:ascii="Arial" w:hAnsi="Arial" w:cs="Arial"/>
                <w:color w:val="000000"/>
              </w:rPr>
              <w:t>0.908</w:t>
            </w:r>
          </w:p>
        </w:tc>
        <w:tc>
          <w:tcPr>
            <w:tcW w:w="756" w:type="pct"/>
            <w:noWrap/>
            <w:hideMark/>
          </w:tcPr>
          <w:p w14:paraId="3B83EAD9" w14:textId="77777777" w:rsidR="00EA6131" w:rsidRPr="00EA6131" w:rsidRDefault="00EA6131" w:rsidP="00EA6131">
            <w:pPr>
              <w:jc w:val="center"/>
              <w:rPr>
                <w:rFonts w:ascii="Arial" w:hAnsi="Arial" w:cs="Arial"/>
                <w:color w:val="000000"/>
              </w:rPr>
            </w:pPr>
            <w:r w:rsidRPr="00EA6131">
              <w:rPr>
                <w:rFonts w:ascii="Arial" w:hAnsi="Arial" w:cs="Arial"/>
                <w:color w:val="000000"/>
              </w:rPr>
              <w:t>0.663</w:t>
            </w:r>
          </w:p>
        </w:tc>
        <w:tc>
          <w:tcPr>
            <w:tcW w:w="813" w:type="pct"/>
          </w:tcPr>
          <w:p w14:paraId="4ED55C79" w14:textId="77777777" w:rsidR="00EA6131" w:rsidRPr="00EA6131" w:rsidRDefault="00EA6131" w:rsidP="00EA6131">
            <w:pPr>
              <w:jc w:val="center"/>
              <w:rPr>
                <w:rFonts w:ascii="Arial" w:hAnsi="Arial" w:cs="Arial"/>
              </w:rPr>
            </w:pPr>
            <w:r w:rsidRPr="00EA6131">
              <w:rPr>
                <w:rFonts w:ascii="Arial" w:hAnsi="Arial" w:cs="Arial"/>
              </w:rPr>
              <w:t>Reliable</w:t>
            </w:r>
          </w:p>
        </w:tc>
      </w:tr>
      <w:tr w:rsidR="00EA6131" w:rsidRPr="00EA6131" w14:paraId="03D43FB4" w14:textId="77777777" w:rsidTr="009E700A">
        <w:trPr>
          <w:trHeight w:val="113"/>
        </w:trPr>
        <w:tc>
          <w:tcPr>
            <w:tcW w:w="1411" w:type="pct"/>
            <w:noWrap/>
            <w:hideMark/>
          </w:tcPr>
          <w:p w14:paraId="20A9460C" w14:textId="77777777" w:rsidR="00EA6131" w:rsidRPr="00EA6131" w:rsidRDefault="00EA6131" w:rsidP="00EA6131">
            <w:pPr>
              <w:rPr>
                <w:rFonts w:ascii="Arial" w:hAnsi="Arial" w:cs="Arial"/>
                <w:color w:val="000000"/>
              </w:rPr>
            </w:pPr>
            <w:r w:rsidRPr="00EA6131">
              <w:rPr>
                <w:rFonts w:ascii="Arial" w:hAnsi="Arial" w:cs="Arial"/>
                <w:color w:val="000000"/>
              </w:rPr>
              <w:t>Location</w:t>
            </w:r>
          </w:p>
        </w:tc>
        <w:tc>
          <w:tcPr>
            <w:tcW w:w="757" w:type="pct"/>
            <w:noWrap/>
            <w:hideMark/>
          </w:tcPr>
          <w:p w14:paraId="18F0F39B" w14:textId="77777777" w:rsidR="00EA6131" w:rsidRPr="00EA6131" w:rsidRDefault="00EA6131" w:rsidP="00EA6131">
            <w:pPr>
              <w:jc w:val="center"/>
              <w:rPr>
                <w:rFonts w:ascii="Arial" w:hAnsi="Arial" w:cs="Arial"/>
                <w:color w:val="000000"/>
              </w:rPr>
            </w:pPr>
            <w:r w:rsidRPr="00EA6131">
              <w:rPr>
                <w:rFonts w:ascii="Arial" w:hAnsi="Arial" w:cs="Arial"/>
                <w:color w:val="000000"/>
              </w:rPr>
              <w:t>0.829</w:t>
            </w:r>
          </w:p>
        </w:tc>
        <w:tc>
          <w:tcPr>
            <w:tcW w:w="506" w:type="pct"/>
            <w:noWrap/>
            <w:hideMark/>
          </w:tcPr>
          <w:p w14:paraId="6EBE5274" w14:textId="77777777" w:rsidR="00EA6131" w:rsidRPr="00EA6131" w:rsidRDefault="00EA6131" w:rsidP="00EA6131">
            <w:pPr>
              <w:jc w:val="center"/>
              <w:rPr>
                <w:rFonts w:ascii="Arial" w:hAnsi="Arial" w:cs="Arial"/>
                <w:color w:val="000000"/>
              </w:rPr>
            </w:pPr>
            <w:r w:rsidRPr="00EA6131">
              <w:rPr>
                <w:rFonts w:ascii="Arial" w:hAnsi="Arial" w:cs="Arial"/>
                <w:color w:val="000000"/>
              </w:rPr>
              <w:t>0.843</w:t>
            </w:r>
          </w:p>
        </w:tc>
        <w:tc>
          <w:tcPr>
            <w:tcW w:w="757" w:type="pct"/>
            <w:noWrap/>
            <w:hideMark/>
          </w:tcPr>
          <w:p w14:paraId="166E217B" w14:textId="77777777" w:rsidR="00EA6131" w:rsidRPr="00EA6131" w:rsidRDefault="00EA6131" w:rsidP="00EA6131">
            <w:pPr>
              <w:jc w:val="center"/>
              <w:rPr>
                <w:rFonts w:ascii="Arial" w:hAnsi="Arial" w:cs="Arial"/>
                <w:color w:val="000000"/>
              </w:rPr>
            </w:pPr>
            <w:r w:rsidRPr="00EA6131">
              <w:rPr>
                <w:rFonts w:ascii="Arial" w:hAnsi="Arial" w:cs="Arial"/>
                <w:color w:val="000000"/>
              </w:rPr>
              <w:t>0.885</w:t>
            </w:r>
          </w:p>
        </w:tc>
        <w:tc>
          <w:tcPr>
            <w:tcW w:w="756" w:type="pct"/>
            <w:noWrap/>
            <w:hideMark/>
          </w:tcPr>
          <w:p w14:paraId="1A07308C" w14:textId="77777777" w:rsidR="00EA6131" w:rsidRPr="00EA6131" w:rsidRDefault="00EA6131" w:rsidP="00EA6131">
            <w:pPr>
              <w:jc w:val="center"/>
              <w:rPr>
                <w:rFonts w:ascii="Arial" w:hAnsi="Arial" w:cs="Arial"/>
                <w:color w:val="000000"/>
              </w:rPr>
            </w:pPr>
            <w:r w:rsidRPr="00EA6131">
              <w:rPr>
                <w:rFonts w:ascii="Arial" w:hAnsi="Arial" w:cs="Arial"/>
                <w:color w:val="000000"/>
              </w:rPr>
              <w:t>0.658</w:t>
            </w:r>
          </w:p>
        </w:tc>
        <w:tc>
          <w:tcPr>
            <w:tcW w:w="813" w:type="pct"/>
          </w:tcPr>
          <w:p w14:paraId="20DE1B91" w14:textId="77777777" w:rsidR="00EA6131" w:rsidRPr="00EA6131" w:rsidRDefault="00EA6131" w:rsidP="00EA6131">
            <w:pPr>
              <w:jc w:val="center"/>
              <w:rPr>
                <w:rFonts w:ascii="Arial" w:hAnsi="Arial" w:cs="Arial"/>
              </w:rPr>
            </w:pPr>
            <w:r w:rsidRPr="00EA6131">
              <w:rPr>
                <w:rFonts w:ascii="Arial" w:hAnsi="Arial" w:cs="Arial"/>
              </w:rPr>
              <w:t>Reliable</w:t>
            </w:r>
          </w:p>
        </w:tc>
      </w:tr>
      <w:tr w:rsidR="00EA6131" w:rsidRPr="00EA6131" w14:paraId="65327E0F" w14:textId="77777777" w:rsidTr="009E700A">
        <w:trPr>
          <w:trHeight w:val="113"/>
        </w:trPr>
        <w:tc>
          <w:tcPr>
            <w:tcW w:w="1411" w:type="pct"/>
            <w:noWrap/>
            <w:hideMark/>
          </w:tcPr>
          <w:p w14:paraId="009C8E72" w14:textId="77777777" w:rsidR="00EA6131" w:rsidRPr="00EA6131" w:rsidRDefault="00EA6131" w:rsidP="00EA6131">
            <w:pPr>
              <w:rPr>
                <w:rFonts w:ascii="Arial" w:hAnsi="Arial" w:cs="Arial"/>
                <w:color w:val="000000"/>
              </w:rPr>
            </w:pPr>
            <w:r w:rsidRPr="00EA6131">
              <w:rPr>
                <w:rFonts w:ascii="Arial" w:eastAsia="Book Antiqua" w:hAnsi="Arial" w:cs="Arial"/>
              </w:rPr>
              <w:t>Digital Capital Loans</w:t>
            </w:r>
          </w:p>
        </w:tc>
        <w:tc>
          <w:tcPr>
            <w:tcW w:w="757" w:type="pct"/>
            <w:noWrap/>
            <w:hideMark/>
          </w:tcPr>
          <w:p w14:paraId="11116BC8" w14:textId="77777777" w:rsidR="00EA6131" w:rsidRPr="00EA6131" w:rsidRDefault="00EA6131" w:rsidP="00EA6131">
            <w:pPr>
              <w:jc w:val="center"/>
              <w:rPr>
                <w:rFonts w:ascii="Arial" w:hAnsi="Arial" w:cs="Arial"/>
                <w:color w:val="000000"/>
              </w:rPr>
            </w:pPr>
            <w:r w:rsidRPr="00EA6131">
              <w:rPr>
                <w:rFonts w:ascii="Arial" w:hAnsi="Arial" w:cs="Arial"/>
                <w:color w:val="000000"/>
              </w:rPr>
              <w:t>0.850</w:t>
            </w:r>
          </w:p>
        </w:tc>
        <w:tc>
          <w:tcPr>
            <w:tcW w:w="506" w:type="pct"/>
            <w:noWrap/>
            <w:hideMark/>
          </w:tcPr>
          <w:p w14:paraId="64608C41" w14:textId="77777777" w:rsidR="00EA6131" w:rsidRPr="00EA6131" w:rsidRDefault="00EA6131" w:rsidP="00EA6131">
            <w:pPr>
              <w:jc w:val="center"/>
              <w:rPr>
                <w:rFonts w:ascii="Arial" w:hAnsi="Arial" w:cs="Arial"/>
                <w:color w:val="000000"/>
              </w:rPr>
            </w:pPr>
            <w:r w:rsidRPr="00EA6131">
              <w:rPr>
                <w:rFonts w:ascii="Arial" w:hAnsi="Arial" w:cs="Arial"/>
                <w:color w:val="000000"/>
              </w:rPr>
              <w:t>0.867</w:t>
            </w:r>
          </w:p>
        </w:tc>
        <w:tc>
          <w:tcPr>
            <w:tcW w:w="757" w:type="pct"/>
            <w:noWrap/>
            <w:hideMark/>
          </w:tcPr>
          <w:p w14:paraId="66F19295" w14:textId="77777777" w:rsidR="00EA6131" w:rsidRPr="00EA6131" w:rsidRDefault="00EA6131" w:rsidP="00EA6131">
            <w:pPr>
              <w:jc w:val="center"/>
              <w:rPr>
                <w:rFonts w:ascii="Arial" w:hAnsi="Arial" w:cs="Arial"/>
                <w:color w:val="000000"/>
              </w:rPr>
            </w:pPr>
            <w:r w:rsidRPr="00EA6131">
              <w:rPr>
                <w:rFonts w:ascii="Arial" w:hAnsi="Arial" w:cs="Arial"/>
                <w:color w:val="000000"/>
              </w:rPr>
              <w:t>0.892</w:t>
            </w:r>
          </w:p>
        </w:tc>
        <w:tc>
          <w:tcPr>
            <w:tcW w:w="756" w:type="pct"/>
            <w:noWrap/>
            <w:hideMark/>
          </w:tcPr>
          <w:p w14:paraId="5C91551D" w14:textId="77777777" w:rsidR="00EA6131" w:rsidRPr="00EA6131" w:rsidRDefault="00EA6131" w:rsidP="00EA6131">
            <w:pPr>
              <w:jc w:val="center"/>
              <w:rPr>
                <w:rFonts w:ascii="Arial" w:hAnsi="Arial" w:cs="Arial"/>
                <w:color w:val="000000"/>
              </w:rPr>
            </w:pPr>
            <w:r w:rsidRPr="00EA6131">
              <w:rPr>
                <w:rFonts w:ascii="Arial" w:hAnsi="Arial" w:cs="Arial"/>
                <w:color w:val="000000"/>
              </w:rPr>
              <w:t>0.622</w:t>
            </w:r>
          </w:p>
        </w:tc>
        <w:tc>
          <w:tcPr>
            <w:tcW w:w="813" w:type="pct"/>
          </w:tcPr>
          <w:p w14:paraId="4E7B2475" w14:textId="77777777" w:rsidR="00EA6131" w:rsidRPr="00EA6131" w:rsidRDefault="00EA6131" w:rsidP="00EA6131">
            <w:pPr>
              <w:jc w:val="center"/>
              <w:rPr>
                <w:rFonts w:ascii="Arial" w:hAnsi="Arial" w:cs="Arial"/>
              </w:rPr>
            </w:pPr>
            <w:r w:rsidRPr="00EA6131">
              <w:rPr>
                <w:rFonts w:ascii="Arial" w:hAnsi="Arial" w:cs="Arial"/>
              </w:rPr>
              <w:t>Reliable</w:t>
            </w:r>
          </w:p>
        </w:tc>
      </w:tr>
    </w:tbl>
    <w:p w14:paraId="5D1AF252" w14:textId="77777777" w:rsidR="00EA6131" w:rsidRPr="00671A2B" w:rsidRDefault="00EA6131" w:rsidP="00671A2B">
      <w:pPr>
        <w:pStyle w:val="Body"/>
        <w:rPr>
          <w:rFonts w:ascii="Arial" w:hAnsi="Arial" w:cs="Arial"/>
        </w:rPr>
      </w:pPr>
    </w:p>
    <w:p w14:paraId="6DCF0AB4" w14:textId="77777777" w:rsidR="00671A2B" w:rsidRDefault="00671A2B" w:rsidP="00671A2B">
      <w:pPr>
        <w:pStyle w:val="Body"/>
        <w:spacing w:after="0"/>
        <w:rPr>
          <w:rFonts w:ascii="Arial" w:hAnsi="Arial" w:cs="Arial"/>
        </w:rPr>
      </w:pPr>
      <w:r w:rsidRPr="00671A2B">
        <w:rPr>
          <w:rFonts w:ascii="Arial" w:hAnsi="Arial" w:cs="Arial"/>
        </w:rPr>
        <w:t xml:space="preserve">Re-analysis improved outer loading values. All metrics, including location construct, exceeded 0.70, suggest better convergent validity. AVE values ​​increased, with the location variable increasing to 0.658, while Cronbach's Alpha and Composite dependability stayed above criteria, showing internal consistency and construct dependability. Excluding the weak indicator gave the measurement model accurate and reliable representation of all constructs. </w:t>
      </w:r>
    </w:p>
    <w:p w14:paraId="3ADA9034" w14:textId="77777777" w:rsidR="00671A2B" w:rsidRDefault="00671A2B" w:rsidP="00671A2B">
      <w:pPr>
        <w:pStyle w:val="Body"/>
        <w:spacing w:after="0"/>
        <w:rPr>
          <w:rFonts w:ascii="Arial" w:hAnsi="Arial" w:cs="Arial"/>
        </w:rPr>
      </w:pPr>
    </w:p>
    <w:p w14:paraId="6DDAFB9F" w14:textId="77777777" w:rsidR="002974FA" w:rsidRPr="008769F0" w:rsidRDefault="002974FA" w:rsidP="002974FA">
      <w:pPr>
        <w:pStyle w:val="Body"/>
        <w:rPr>
          <w:rFonts w:ascii="Arial" w:hAnsi="Arial" w:cs="Arial"/>
          <w:b/>
          <w:bCs/>
        </w:rPr>
      </w:pPr>
      <w:r w:rsidRPr="008769F0">
        <w:rPr>
          <w:rFonts w:ascii="Arial" w:hAnsi="Arial" w:cs="Arial"/>
          <w:b/>
          <w:bCs/>
        </w:rPr>
        <w:t>3.4 Determination Test (R-Square)</w:t>
      </w:r>
    </w:p>
    <w:p w14:paraId="04F3EFB6" w14:textId="77777777" w:rsidR="0027249B" w:rsidRDefault="0027249B" w:rsidP="00CF2C81">
      <w:pPr>
        <w:pStyle w:val="Body"/>
        <w:spacing w:after="0"/>
        <w:rPr>
          <w:rFonts w:ascii="Arial" w:hAnsi="Arial" w:cs="Arial"/>
        </w:rPr>
      </w:pPr>
      <w:r w:rsidRPr="0027249B">
        <w:rPr>
          <w:rFonts w:ascii="Arial" w:hAnsi="Arial" w:cs="Arial"/>
        </w:rPr>
        <w:t>With an adjusted R Square value of 0.300, the coefficient of determination test shows that digital loan availability, e-commerce, and firm location explain 30% of MSME performance variance. This implies that these three elements affect performance. However, other variables not included in the model account for 70% of the variance, demonstrating that MSME success is also influenced by external or internal factors</w:t>
      </w:r>
      <w:r>
        <w:rPr>
          <w:rFonts w:ascii="Arial" w:hAnsi="Arial" w:cs="Arial"/>
        </w:rPr>
        <w:t>.</w:t>
      </w:r>
    </w:p>
    <w:p w14:paraId="1D3FD0CB" w14:textId="77777777" w:rsidR="009E700A" w:rsidRDefault="009E700A" w:rsidP="00CF2C81">
      <w:pPr>
        <w:pStyle w:val="Body"/>
        <w:spacing w:after="0"/>
        <w:rPr>
          <w:rFonts w:ascii="Arial" w:hAnsi="Arial" w:cs="Arial"/>
        </w:rPr>
      </w:pPr>
    </w:p>
    <w:p w14:paraId="3439ADA6" w14:textId="77777777" w:rsidR="009E700A" w:rsidRPr="009E700A" w:rsidRDefault="009E700A" w:rsidP="009E700A">
      <w:pPr>
        <w:pStyle w:val="Body"/>
        <w:spacing w:after="0"/>
        <w:jc w:val="center"/>
        <w:rPr>
          <w:rFonts w:ascii="Arial" w:hAnsi="Arial" w:cs="Arial"/>
          <w:b/>
          <w:bCs/>
        </w:rPr>
      </w:pPr>
      <w:r w:rsidRPr="009E700A">
        <w:rPr>
          <w:rFonts w:ascii="Arial" w:hAnsi="Arial" w:cs="Arial"/>
          <w:b/>
          <w:bCs/>
        </w:rPr>
        <w:t>Table 2. Determination Test</w:t>
      </w:r>
    </w:p>
    <w:p w14:paraId="23C79219" w14:textId="77777777" w:rsidR="009E700A" w:rsidRDefault="009E700A" w:rsidP="009E700A">
      <w:pPr>
        <w:pStyle w:val="Body"/>
        <w:spacing w:after="0"/>
        <w:jc w:val="center"/>
        <w:rPr>
          <w:rFonts w:ascii="Arial" w:hAnsi="Arial" w:cs="Arial"/>
        </w:rPr>
      </w:pPr>
    </w:p>
    <w:tbl>
      <w:tblPr>
        <w:tblpPr w:leftFromText="180" w:rightFromText="180" w:vertAnchor="text" w:horzAnchor="margin" w:tblpY="4"/>
        <w:tblW w:w="5000" w:type="pct"/>
        <w:tblBorders>
          <w:top w:val="single" w:sz="4" w:space="0" w:color="auto"/>
          <w:bottom w:val="single" w:sz="4" w:space="0" w:color="auto"/>
        </w:tblBorders>
        <w:tblLook w:val="04A0" w:firstRow="1" w:lastRow="0" w:firstColumn="1" w:lastColumn="0" w:noHBand="0" w:noVBand="1"/>
      </w:tblPr>
      <w:tblGrid>
        <w:gridCol w:w="3464"/>
        <w:gridCol w:w="1946"/>
        <w:gridCol w:w="3014"/>
      </w:tblGrid>
      <w:tr w:rsidR="009E700A" w:rsidRPr="009E700A" w14:paraId="34CB8BBD" w14:textId="77777777" w:rsidTr="007F29B3">
        <w:trPr>
          <w:trHeight w:val="113"/>
        </w:trPr>
        <w:tc>
          <w:tcPr>
            <w:tcW w:w="2056" w:type="pct"/>
            <w:tcBorders>
              <w:top w:val="single" w:sz="4" w:space="0" w:color="auto"/>
              <w:bottom w:val="single" w:sz="4" w:space="0" w:color="auto"/>
            </w:tcBorders>
            <w:noWrap/>
            <w:vAlign w:val="bottom"/>
            <w:hideMark/>
          </w:tcPr>
          <w:p w14:paraId="3A3C85ED" w14:textId="77777777" w:rsidR="009E700A" w:rsidRPr="009E700A" w:rsidRDefault="009E700A" w:rsidP="009E700A">
            <w:pPr>
              <w:rPr>
                <w:rFonts w:ascii="Arial" w:hAnsi="Arial" w:cs="Arial"/>
                <w:i/>
                <w:iCs/>
              </w:rPr>
            </w:pPr>
          </w:p>
        </w:tc>
        <w:tc>
          <w:tcPr>
            <w:tcW w:w="1155" w:type="pct"/>
            <w:tcBorders>
              <w:top w:val="single" w:sz="4" w:space="0" w:color="auto"/>
              <w:bottom w:val="single" w:sz="4" w:space="0" w:color="auto"/>
            </w:tcBorders>
            <w:noWrap/>
            <w:vAlign w:val="bottom"/>
            <w:hideMark/>
          </w:tcPr>
          <w:p w14:paraId="3EEA9B75" w14:textId="77777777" w:rsidR="009E700A" w:rsidRPr="009E700A" w:rsidRDefault="009E700A" w:rsidP="009E700A">
            <w:pPr>
              <w:jc w:val="center"/>
              <w:rPr>
                <w:rFonts w:ascii="Arial" w:hAnsi="Arial" w:cs="Arial"/>
                <w:b/>
                <w:bCs/>
                <w:color w:val="000000"/>
              </w:rPr>
            </w:pPr>
            <w:r w:rsidRPr="009E700A">
              <w:rPr>
                <w:rFonts w:ascii="Arial" w:hAnsi="Arial" w:cs="Arial"/>
                <w:b/>
                <w:bCs/>
                <w:color w:val="000000"/>
              </w:rPr>
              <w:t>R Square</w:t>
            </w:r>
          </w:p>
        </w:tc>
        <w:tc>
          <w:tcPr>
            <w:tcW w:w="1789" w:type="pct"/>
            <w:tcBorders>
              <w:top w:val="single" w:sz="4" w:space="0" w:color="auto"/>
              <w:bottom w:val="single" w:sz="4" w:space="0" w:color="auto"/>
            </w:tcBorders>
            <w:noWrap/>
            <w:vAlign w:val="bottom"/>
            <w:hideMark/>
          </w:tcPr>
          <w:p w14:paraId="495AA07C" w14:textId="77777777" w:rsidR="009E700A" w:rsidRPr="009E700A" w:rsidRDefault="009E700A" w:rsidP="009E700A">
            <w:pPr>
              <w:jc w:val="center"/>
              <w:rPr>
                <w:rFonts w:ascii="Arial" w:hAnsi="Arial" w:cs="Arial"/>
                <w:b/>
                <w:bCs/>
                <w:color w:val="000000"/>
              </w:rPr>
            </w:pPr>
            <w:r w:rsidRPr="009E700A">
              <w:rPr>
                <w:rFonts w:ascii="Arial" w:hAnsi="Arial" w:cs="Arial"/>
                <w:b/>
                <w:bCs/>
                <w:color w:val="000000"/>
              </w:rPr>
              <w:t>R Square Adjusted</w:t>
            </w:r>
          </w:p>
        </w:tc>
      </w:tr>
      <w:tr w:rsidR="009E700A" w:rsidRPr="009E700A" w14:paraId="2080D566" w14:textId="77777777" w:rsidTr="007F29B3">
        <w:trPr>
          <w:trHeight w:val="113"/>
        </w:trPr>
        <w:tc>
          <w:tcPr>
            <w:tcW w:w="2056" w:type="pct"/>
            <w:tcBorders>
              <w:top w:val="single" w:sz="4" w:space="0" w:color="auto"/>
            </w:tcBorders>
            <w:noWrap/>
            <w:vAlign w:val="bottom"/>
            <w:hideMark/>
          </w:tcPr>
          <w:p w14:paraId="7FBCB191" w14:textId="77777777" w:rsidR="009E700A" w:rsidRPr="009E700A" w:rsidRDefault="009E700A" w:rsidP="009E700A">
            <w:pPr>
              <w:rPr>
                <w:rFonts w:ascii="Arial" w:hAnsi="Arial" w:cs="Arial"/>
                <w:color w:val="000000"/>
              </w:rPr>
            </w:pPr>
            <w:r w:rsidRPr="009E700A">
              <w:rPr>
                <w:rFonts w:ascii="Arial" w:hAnsi="Arial" w:cs="Arial"/>
                <w:color w:val="000000"/>
              </w:rPr>
              <w:t xml:space="preserve">MSME </w:t>
            </w:r>
            <w:proofErr w:type="spellStart"/>
            <w:r w:rsidRPr="009E700A">
              <w:rPr>
                <w:rFonts w:ascii="Arial" w:hAnsi="Arial" w:cs="Arial"/>
                <w:color w:val="000000"/>
              </w:rPr>
              <w:t>Peformance</w:t>
            </w:r>
            <w:proofErr w:type="spellEnd"/>
          </w:p>
        </w:tc>
        <w:tc>
          <w:tcPr>
            <w:tcW w:w="1155" w:type="pct"/>
            <w:tcBorders>
              <w:top w:val="single" w:sz="4" w:space="0" w:color="auto"/>
            </w:tcBorders>
            <w:noWrap/>
            <w:vAlign w:val="bottom"/>
            <w:hideMark/>
          </w:tcPr>
          <w:p w14:paraId="04F4F4B3" w14:textId="77777777" w:rsidR="009E700A" w:rsidRPr="009E700A" w:rsidRDefault="009E700A" w:rsidP="009E700A">
            <w:pPr>
              <w:rPr>
                <w:rFonts w:ascii="Arial" w:hAnsi="Arial" w:cs="Arial"/>
                <w:color w:val="000000"/>
              </w:rPr>
            </w:pPr>
            <w:r w:rsidRPr="009E700A">
              <w:rPr>
                <w:rFonts w:ascii="Arial" w:hAnsi="Arial" w:cs="Arial"/>
                <w:color w:val="000000"/>
              </w:rPr>
              <w:t>0.311</w:t>
            </w:r>
          </w:p>
        </w:tc>
        <w:tc>
          <w:tcPr>
            <w:tcW w:w="1789" w:type="pct"/>
            <w:tcBorders>
              <w:top w:val="single" w:sz="4" w:space="0" w:color="auto"/>
            </w:tcBorders>
            <w:noWrap/>
            <w:vAlign w:val="bottom"/>
            <w:hideMark/>
          </w:tcPr>
          <w:p w14:paraId="445C3598" w14:textId="77777777" w:rsidR="009E700A" w:rsidRPr="009E700A" w:rsidRDefault="009E700A" w:rsidP="009E700A">
            <w:pPr>
              <w:rPr>
                <w:rFonts w:ascii="Arial" w:hAnsi="Arial" w:cs="Arial"/>
                <w:color w:val="000000"/>
              </w:rPr>
            </w:pPr>
            <w:r w:rsidRPr="009E700A">
              <w:rPr>
                <w:rFonts w:ascii="Arial" w:hAnsi="Arial" w:cs="Arial"/>
                <w:color w:val="000000"/>
              </w:rPr>
              <w:t>0.300</w:t>
            </w:r>
          </w:p>
        </w:tc>
      </w:tr>
    </w:tbl>
    <w:p w14:paraId="098760FB" w14:textId="77777777" w:rsidR="009E700A" w:rsidRDefault="009E700A" w:rsidP="002974FA">
      <w:pPr>
        <w:pStyle w:val="Body"/>
        <w:rPr>
          <w:rFonts w:ascii="Arial" w:hAnsi="Arial" w:cs="Arial"/>
          <w:b/>
          <w:bCs/>
        </w:rPr>
      </w:pPr>
    </w:p>
    <w:p w14:paraId="29A03621" w14:textId="77777777" w:rsidR="002974FA" w:rsidRPr="003B280B" w:rsidRDefault="002974FA" w:rsidP="002974FA">
      <w:pPr>
        <w:pStyle w:val="Body"/>
        <w:rPr>
          <w:rFonts w:ascii="Arial" w:hAnsi="Arial" w:cs="Arial"/>
          <w:b/>
          <w:bCs/>
        </w:rPr>
      </w:pPr>
      <w:r w:rsidRPr="003B280B">
        <w:rPr>
          <w:rFonts w:ascii="Arial" w:hAnsi="Arial" w:cs="Arial"/>
          <w:b/>
          <w:bCs/>
        </w:rPr>
        <w:t>3.5 f-Test</w:t>
      </w:r>
    </w:p>
    <w:p w14:paraId="02496BA1" w14:textId="77777777" w:rsidR="003B280B" w:rsidRDefault="003B280B" w:rsidP="003B280B">
      <w:pPr>
        <w:pStyle w:val="Body"/>
        <w:rPr>
          <w:rFonts w:ascii="Arial" w:hAnsi="Arial" w:cs="Arial"/>
        </w:rPr>
      </w:pPr>
      <w:r w:rsidRPr="003B280B">
        <w:rPr>
          <w:rFonts w:ascii="Arial" w:hAnsi="Arial" w:cs="Arial"/>
        </w:rPr>
        <w:t>The F-test and effect size estimates show how each independent variable affects MSME performance. The impact size of e-commerce is 0.044, which is modest. This implies that e-commerce improves MSME performance but not significantly. Location has a greater impact size of 0.145, still tiny but approaching medium, demonstrating that company location affects MSME performance more than e-commerce. This emphasizes strategic placement and accessibility for corporate success.</w:t>
      </w:r>
      <w:r>
        <w:rPr>
          <w:rFonts w:ascii="Arial" w:hAnsi="Arial" w:cs="Arial"/>
        </w:rPr>
        <w:t xml:space="preserve"> </w:t>
      </w:r>
      <w:r w:rsidRPr="003B280B">
        <w:rPr>
          <w:rFonts w:ascii="Arial" w:hAnsi="Arial" w:cs="Arial"/>
        </w:rPr>
        <w:t>Digital loan access has a small impact size of 0.006, below 0.02. This suggests that digital finance has little or no effect on MSME performance in this research. Thus, company success may depend increasingly on variables other than digital loans</w:t>
      </w:r>
      <w:r>
        <w:rPr>
          <w:rFonts w:ascii="Arial" w:hAnsi="Arial" w:cs="Arial"/>
        </w:rPr>
        <w:t>.</w:t>
      </w:r>
    </w:p>
    <w:p w14:paraId="55B2B895" w14:textId="77777777" w:rsidR="00EB4019" w:rsidRPr="00EB4019" w:rsidRDefault="00EB4019" w:rsidP="00EB4019">
      <w:pPr>
        <w:pStyle w:val="Body"/>
        <w:jc w:val="center"/>
        <w:rPr>
          <w:rFonts w:ascii="Arial" w:hAnsi="Arial" w:cs="Arial"/>
          <w:b/>
          <w:bCs/>
        </w:rPr>
      </w:pPr>
      <w:r w:rsidRPr="00EB4019">
        <w:rPr>
          <w:rFonts w:ascii="Arial" w:hAnsi="Arial" w:cs="Arial"/>
          <w:b/>
          <w:bCs/>
        </w:rPr>
        <w:t>Table 3. F test</w:t>
      </w:r>
    </w:p>
    <w:tbl>
      <w:tblPr>
        <w:tblStyle w:val="TableGridLight"/>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69"/>
        <w:gridCol w:w="1396"/>
        <w:gridCol w:w="145"/>
        <w:gridCol w:w="1793"/>
        <w:gridCol w:w="1013"/>
        <w:gridCol w:w="172"/>
        <w:gridCol w:w="1936"/>
      </w:tblGrid>
      <w:tr w:rsidR="00EB4019" w:rsidRPr="00EB4019" w14:paraId="0BF8C43C" w14:textId="77777777" w:rsidTr="00EB4019">
        <w:trPr>
          <w:trHeight w:val="20"/>
        </w:trPr>
        <w:tc>
          <w:tcPr>
            <w:tcW w:w="1169" w:type="pct"/>
            <w:tcBorders>
              <w:top w:val="single" w:sz="4" w:space="0" w:color="auto"/>
              <w:bottom w:val="single" w:sz="4" w:space="0" w:color="auto"/>
            </w:tcBorders>
            <w:noWrap/>
            <w:vAlign w:val="center"/>
            <w:hideMark/>
          </w:tcPr>
          <w:p w14:paraId="446015B5" w14:textId="77777777" w:rsidR="00EB4019" w:rsidRPr="00EB4019" w:rsidRDefault="00EB4019" w:rsidP="00EB4019">
            <w:pPr>
              <w:jc w:val="center"/>
              <w:rPr>
                <w:rFonts w:ascii="Arial" w:hAnsi="Arial" w:cs="Arial"/>
                <w:b/>
                <w:bCs/>
              </w:rPr>
            </w:pPr>
          </w:p>
        </w:tc>
        <w:tc>
          <w:tcPr>
            <w:tcW w:w="915" w:type="pct"/>
            <w:gridSpan w:val="2"/>
            <w:tcBorders>
              <w:top w:val="single" w:sz="4" w:space="0" w:color="auto"/>
              <w:bottom w:val="single" w:sz="4" w:space="0" w:color="auto"/>
            </w:tcBorders>
            <w:noWrap/>
            <w:vAlign w:val="center"/>
            <w:hideMark/>
          </w:tcPr>
          <w:p w14:paraId="352D889C" w14:textId="77777777" w:rsidR="00EB4019" w:rsidRPr="00EB4019" w:rsidRDefault="00EB4019" w:rsidP="00EB4019">
            <w:pPr>
              <w:jc w:val="center"/>
              <w:rPr>
                <w:rFonts w:ascii="Arial" w:hAnsi="Arial" w:cs="Arial"/>
                <w:b/>
                <w:bCs/>
                <w:color w:val="000000"/>
              </w:rPr>
            </w:pPr>
            <w:r w:rsidRPr="00EB4019">
              <w:rPr>
                <w:rFonts w:ascii="Arial" w:hAnsi="Arial" w:cs="Arial"/>
                <w:b/>
                <w:bCs/>
                <w:color w:val="000000"/>
              </w:rPr>
              <w:t>E-Commerce</w:t>
            </w:r>
          </w:p>
        </w:tc>
        <w:tc>
          <w:tcPr>
            <w:tcW w:w="1064" w:type="pct"/>
            <w:tcBorders>
              <w:top w:val="single" w:sz="4" w:space="0" w:color="auto"/>
              <w:bottom w:val="single" w:sz="4" w:space="0" w:color="auto"/>
            </w:tcBorders>
            <w:noWrap/>
            <w:vAlign w:val="center"/>
            <w:hideMark/>
          </w:tcPr>
          <w:p w14:paraId="2EDEA9EE" w14:textId="77777777" w:rsidR="00EB4019" w:rsidRPr="00EB4019" w:rsidRDefault="00EB4019" w:rsidP="00EB4019">
            <w:pPr>
              <w:jc w:val="center"/>
              <w:rPr>
                <w:rFonts w:ascii="Arial" w:hAnsi="Arial" w:cs="Arial"/>
                <w:b/>
                <w:bCs/>
                <w:color w:val="000000"/>
              </w:rPr>
            </w:pPr>
            <w:r w:rsidRPr="00EB4019">
              <w:rPr>
                <w:rFonts w:ascii="Arial" w:hAnsi="Arial" w:cs="Arial"/>
                <w:b/>
                <w:bCs/>
                <w:color w:val="000000"/>
              </w:rPr>
              <w:t xml:space="preserve">MSME </w:t>
            </w:r>
            <w:proofErr w:type="spellStart"/>
            <w:r w:rsidRPr="00EB4019">
              <w:rPr>
                <w:rFonts w:ascii="Arial" w:hAnsi="Arial" w:cs="Arial"/>
                <w:b/>
                <w:bCs/>
                <w:color w:val="000000"/>
              </w:rPr>
              <w:t>Peformance</w:t>
            </w:r>
            <w:proofErr w:type="spellEnd"/>
          </w:p>
        </w:tc>
        <w:tc>
          <w:tcPr>
            <w:tcW w:w="703" w:type="pct"/>
            <w:gridSpan w:val="2"/>
            <w:tcBorders>
              <w:top w:val="single" w:sz="4" w:space="0" w:color="auto"/>
              <w:bottom w:val="single" w:sz="4" w:space="0" w:color="auto"/>
            </w:tcBorders>
            <w:noWrap/>
            <w:vAlign w:val="center"/>
            <w:hideMark/>
          </w:tcPr>
          <w:p w14:paraId="2F29E076" w14:textId="77777777" w:rsidR="00EB4019" w:rsidRPr="00EB4019" w:rsidRDefault="00EB4019" w:rsidP="00EB4019">
            <w:pPr>
              <w:jc w:val="center"/>
              <w:rPr>
                <w:rFonts w:ascii="Arial" w:hAnsi="Arial" w:cs="Arial"/>
                <w:b/>
                <w:bCs/>
                <w:color w:val="000000"/>
              </w:rPr>
            </w:pPr>
            <w:r w:rsidRPr="00EB4019">
              <w:rPr>
                <w:rFonts w:ascii="Arial" w:hAnsi="Arial" w:cs="Arial"/>
                <w:b/>
                <w:bCs/>
                <w:color w:val="000000"/>
              </w:rPr>
              <w:t>Location</w:t>
            </w:r>
          </w:p>
        </w:tc>
        <w:tc>
          <w:tcPr>
            <w:tcW w:w="1149" w:type="pct"/>
            <w:tcBorders>
              <w:top w:val="single" w:sz="4" w:space="0" w:color="auto"/>
              <w:bottom w:val="single" w:sz="4" w:space="0" w:color="auto"/>
            </w:tcBorders>
            <w:noWrap/>
            <w:vAlign w:val="center"/>
            <w:hideMark/>
          </w:tcPr>
          <w:p w14:paraId="7494CFE7" w14:textId="77777777" w:rsidR="00EB4019" w:rsidRPr="00EB4019" w:rsidRDefault="00EB4019" w:rsidP="00EB4019">
            <w:pPr>
              <w:jc w:val="center"/>
              <w:rPr>
                <w:rFonts w:ascii="Arial" w:hAnsi="Arial" w:cs="Arial"/>
                <w:b/>
                <w:bCs/>
                <w:color w:val="000000"/>
              </w:rPr>
            </w:pPr>
            <w:r w:rsidRPr="00EB4019">
              <w:rPr>
                <w:rFonts w:ascii="Arial" w:eastAsia="Book Antiqua" w:hAnsi="Arial" w:cs="Arial"/>
                <w:b/>
                <w:bCs/>
              </w:rPr>
              <w:t>Digital Capital Loans</w:t>
            </w:r>
          </w:p>
        </w:tc>
      </w:tr>
      <w:tr w:rsidR="00EB4019" w:rsidRPr="00EB4019" w14:paraId="5EE2165F" w14:textId="77777777" w:rsidTr="00EB4019">
        <w:trPr>
          <w:trHeight w:val="20"/>
        </w:trPr>
        <w:tc>
          <w:tcPr>
            <w:tcW w:w="1169" w:type="pct"/>
            <w:tcBorders>
              <w:top w:val="single" w:sz="4" w:space="0" w:color="auto"/>
            </w:tcBorders>
            <w:noWrap/>
            <w:hideMark/>
          </w:tcPr>
          <w:p w14:paraId="618CFA40" w14:textId="77777777" w:rsidR="00EB4019" w:rsidRPr="00EB4019" w:rsidRDefault="00EB4019" w:rsidP="00EB4019">
            <w:pPr>
              <w:rPr>
                <w:rFonts w:ascii="Arial" w:hAnsi="Arial" w:cs="Arial"/>
                <w:i/>
                <w:iCs/>
                <w:color w:val="000000"/>
              </w:rPr>
            </w:pPr>
            <w:r w:rsidRPr="00EB4019">
              <w:rPr>
                <w:rFonts w:ascii="Arial" w:hAnsi="Arial" w:cs="Arial"/>
                <w:i/>
                <w:iCs/>
                <w:color w:val="000000"/>
              </w:rPr>
              <w:lastRenderedPageBreak/>
              <w:t>E-Commerce</w:t>
            </w:r>
          </w:p>
        </w:tc>
        <w:tc>
          <w:tcPr>
            <w:tcW w:w="829" w:type="pct"/>
            <w:tcBorders>
              <w:top w:val="single" w:sz="4" w:space="0" w:color="auto"/>
            </w:tcBorders>
            <w:noWrap/>
            <w:hideMark/>
          </w:tcPr>
          <w:p w14:paraId="78695BE3" w14:textId="77777777" w:rsidR="00EB4019" w:rsidRPr="00EB4019" w:rsidRDefault="00EB4019" w:rsidP="00EB4019">
            <w:pPr>
              <w:rPr>
                <w:rFonts w:ascii="Arial" w:hAnsi="Arial" w:cs="Arial"/>
                <w:color w:val="000000"/>
              </w:rPr>
            </w:pPr>
          </w:p>
        </w:tc>
        <w:tc>
          <w:tcPr>
            <w:tcW w:w="1150" w:type="pct"/>
            <w:gridSpan w:val="2"/>
            <w:tcBorders>
              <w:top w:val="single" w:sz="4" w:space="0" w:color="auto"/>
            </w:tcBorders>
            <w:noWrap/>
            <w:hideMark/>
          </w:tcPr>
          <w:p w14:paraId="7CF71038" w14:textId="77777777" w:rsidR="00EB4019" w:rsidRPr="00EB4019" w:rsidRDefault="00EB4019" w:rsidP="00EB4019">
            <w:pPr>
              <w:jc w:val="center"/>
              <w:rPr>
                <w:rFonts w:ascii="Arial" w:hAnsi="Arial" w:cs="Arial"/>
                <w:color w:val="000000"/>
              </w:rPr>
            </w:pPr>
            <w:r w:rsidRPr="00EB4019">
              <w:rPr>
                <w:rFonts w:ascii="Arial" w:hAnsi="Arial" w:cs="Arial"/>
                <w:color w:val="000000"/>
              </w:rPr>
              <w:t>0.044</w:t>
            </w:r>
          </w:p>
        </w:tc>
        <w:tc>
          <w:tcPr>
            <w:tcW w:w="601" w:type="pct"/>
            <w:tcBorders>
              <w:top w:val="single" w:sz="4" w:space="0" w:color="auto"/>
            </w:tcBorders>
            <w:noWrap/>
            <w:hideMark/>
          </w:tcPr>
          <w:p w14:paraId="2D361ED1" w14:textId="77777777" w:rsidR="00EB4019" w:rsidRPr="00EB4019" w:rsidRDefault="00EB4019" w:rsidP="00EB4019">
            <w:pPr>
              <w:jc w:val="center"/>
              <w:rPr>
                <w:rFonts w:ascii="Arial" w:hAnsi="Arial" w:cs="Arial"/>
                <w:color w:val="000000"/>
              </w:rPr>
            </w:pPr>
          </w:p>
        </w:tc>
        <w:tc>
          <w:tcPr>
            <w:tcW w:w="1251" w:type="pct"/>
            <w:gridSpan w:val="2"/>
            <w:tcBorders>
              <w:top w:val="single" w:sz="4" w:space="0" w:color="auto"/>
            </w:tcBorders>
            <w:noWrap/>
            <w:hideMark/>
          </w:tcPr>
          <w:p w14:paraId="1049161D" w14:textId="77777777" w:rsidR="00EB4019" w:rsidRPr="00EB4019" w:rsidRDefault="00EB4019" w:rsidP="00EB4019">
            <w:pPr>
              <w:jc w:val="center"/>
              <w:rPr>
                <w:rFonts w:ascii="Arial" w:hAnsi="Arial" w:cs="Arial"/>
              </w:rPr>
            </w:pPr>
          </w:p>
        </w:tc>
      </w:tr>
      <w:tr w:rsidR="00EB4019" w:rsidRPr="00EB4019" w14:paraId="03F74C07" w14:textId="77777777" w:rsidTr="00EB4019">
        <w:trPr>
          <w:trHeight w:val="20"/>
        </w:trPr>
        <w:tc>
          <w:tcPr>
            <w:tcW w:w="1169" w:type="pct"/>
            <w:noWrap/>
            <w:hideMark/>
          </w:tcPr>
          <w:p w14:paraId="2281316D" w14:textId="77777777" w:rsidR="00EB4019" w:rsidRPr="00EB4019" w:rsidRDefault="00EB4019" w:rsidP="00EB4019">
            <w:pPr>
              <w:rPr>
                <w:rFonts w:ascii="Arial" w:hAnsi="Arial" w:cs="Arial"/>
                <w:color w:val="000000"/>
              </w:rPr>
            </w:pPr>
            <w:r w:rsidRPr="00EB4019">
              <w:rPr>
                <w:rFonts w:ascii="Arial" w:hAnsi="Arial" w:cs="Arial"/>
                <w:color w:val="000000"/>
              </w:rPr>
              <w:t xml:space="preserve">MSME </w:t>
            </w:r>
            <w:proofErr w:type="spellStart"/>
            <w:r w:rsidRPr="00EB4019">
              <w:rPr>
                <w:rFonts w:ascii="Arial" w:hAnsi="Arial" w:cs="Arial"/>
                <w:color w:val="000000"/>
              </w:rPr>
              <w:t>Peformance</w:t>
            </w:r>
            <w:proofErr w:type="spellEnd"/>
          </w:p>
        </w:tc>
        <w:tc>
          <w:tcPr>
            <w:tcW w:w="829" w:type="pct"/>
            <w:noWrap/>
            <w:hideMark/>
          </w:tcPr>
          <w:p w14:paraId="5151E030" w14:textId="77777777" w:rsidR="00EB4019" w:rsidRPr="00EB4019" w:rsidRDefault="00EB4019" w:rsidP="00EB4019">
            <w:pPr>
              <w:rPr>
                <w:rFonts w:ascii="Arial" w:hAnsi="Arial" w:cs="Arial"/>
                <w:color w:val="000000"/>
              </w:rPr>
            </w:pPr>
          </w:p>
        </w:tc>
        <w:tc>
          <w:tcPr>
            <w:tcW w:w="1150" w:type="pct"/>
            <w:gridSpan w:val="2"/>
            <w:noWrap/>
            <w:hideMark/>
          </w:tcPr>
          <w:p w14:paraId="4D12771D" w14:textId="77777777" w:rsidR="00EB4019" w:rsidRPr="00EB4019" w:rsidRDefault="00EB4019" w:rsidP="00EB4019">
            <w:pPr>
              <w:jc w:val="center"/>
              <w:rPr>
                <w:rFonts w:ascii="Arial" w:hAnsi="Arial" w:cs="Arial"/>
              </w:rPr>
            </w:pPr>
          </w:p>
        </w:tc>
        <w:tc>
          <w:tcPr>
            <w:tcW w:w="601" w:type="pct"/>
            <w:noWrap/>
            <w:hideMark/>
          </w:tcPr>
          <w:p w14:paraId="58708008" w14:textId="77777777" w:rsidR="00EB4019" w:rsidRPr="00EB4019" w:rsidRDefault="00EB4019" w:rsidP="00EB4019">
            <w:pPr>
              <w:jc w:val="center"/>
              <w:rPr>
                <w:rFonts w:ascii="Arial" w:hAnsi="Arial" w:cs="Arial"/>
              </w:rPr>
            </w:pPr>
          </w:p>
        </w:tc>
        <w:tc>
          <w:tcPr>
            <w:tcW w:w="1251" w:type="pct"/>
            <w:gridSpan w:val="2"/>
            <w:noWrap/>
            <w:hideMark/>
          </w:tcPr>
          <w:p w14:paraId="6EEC8D58" w14:textId="77777777" w:rsidR="00EB4019" w:rsidRPr="00EB4019" w:rsidRDefault="00EB4019" w:rsidP="00EB4019">
            <w:pPr>
              <w:jc w:val="center"/>
              <w:rPr>
                <w:rFonts w:ascii="Arial" w:hAnsi="Arial" w:cs="Arial"/>
              </w:rPr>
            </w:pPr>
          </w:p>
        </w:tc>
      </w:tr>
      <w:tr w:rsidR="00EB4019" w:rsidRPr="00EB4019" w14:paraId="52909745" w14:textId="77777777" w:rsidTr="00EB4019">
        <w:trPr>
          <w:trHeight w:val="20"/>
        </w:trPr>
        <w:tc>
          <w:tcPr>
            <w:tcW w:w="1169" w:type="pct"/>
            <w:noWrap/>
            <w:hideMark/>
          </w:tcPr>
          <w:p w14:paraId="412C611D" w14:textId="77777777" w:rsidR="00EB4019" w:rsidRPr="00EB4019" w:rsidRDefault="00EB4019" w:rsidP="00EB4019">
            <w:pPr>
              <w:rPr>
                <w:rFonts w:ascii="Arial" w:hAnsi="Arial" w:cs="Arial"/>
                <w:color w:val="000000"/>
              </w:rPr>
            </w:pPr>
            <w:r w:rsidRPr="00EB4019">
              <w:rPr>
                <w:rFonts w:ascii="Arial" w:hAnsi="Arial" w:cs="Arial"/>
                <w:color w:val="000000"/>
              </w:rPr>
              <w:t>Lokasi</w:t>
            </w:r>
          </w:p>
        </w:tc>
        <w:tc>
          <w:tcPr>
            <w:tcW w:w="829" w:type="pct"/>
            <w:noWrap/>
            <w:hideMark/>
          </w:tcPr>
          <w:p w14:paraId="5E9674B1" w14:textId="77777777" w:rsidR="00EB4019" w:rsidRPr="00EB4019" w:rsidRDefault="00EB4019" w:rsidP="00EB4019">
            <w:pPr>
              <w:rPr>
                <w:rFonts w:ascii="Arial" w:hAnsi="Arial" w:cs="Arial"/>
                <w:color w:val="000000"/>
              </w:rPr>
            </w:pPr>
          </w:p>
        </w:tc>
        <w:tc>
          <w:tcPr>
            <w:tcW w:w="1150" w:type="pct"/>
            <w:gridSpan w:val="2"/>
            <w:noWrap/>
            <w:hideMark/>
          </w:tcPr>
          <w:p w14:paraId="4D079E5D" w14:textId="77777777" w:rsidR="00EB4019" w:rsidRPr="00EB4019" w:rsidRDefault="00EB4019" w:rsidP="00EB4019">
            <w:pPr>
              <w:jc w:val="center"/>
              <w:rPr>
                <w:rFonts w:ascii="Arial" w:hAnsi="Arial" w:cs="Arial"/>
                <w:color w:val="000000"/>
              </w:rPr>
            </w:pPr>
            <w:r w:rsidRPr="00EB4019">
              <w:rPr>
                <w:rFonts w:ascii="Arial" w:hAnsi="Arial" w:cs="Arial"/>
                <w:color w:val="000000"/>
              </w:rPr>
              <w:t>0.145</w:t>
            </w:r>
          </w:p>
        </w:tc>
        <w:tc>
          <w:tcPr>
            <w:tcW w:w="601" w:type="pct"/>
            <w:noWrap/>
            <w:hideMark/>
          </w:tcPr>
          <w:p w14:paraId="38533D7D" w14:textId="77777777" w:rsidR="00EB4019" w:rsidRPr="00EB4019" w:rsidRDefault="00EB4019" w:rsidP="00EB4019">
            <w:pPr>
              <w:jc w:val="center"/>
              <w:rPr>
                <w:rFonts w:ascii="Arial" w:hAnsi="Arial" w:cs="Arial"/>
                <w:color w:val="000000"/>
              </w:rPr>
            </w:pPr>
          </w:p>
        </w:tc>
        <w:tc>
          <w:tcPr>
            <w:tcW w:w="1251" w:type="pct"/>
            <w:gridSpan w:val="2"/>
            <w:noWrap/>
            <w:hideMark/>
          </w:tcPr>
          <w:p w14:paraId="6C6AA6DF" w14:textId="77777777" w:rsidR="00EB4019" w:rsidRPr="00EB4019" w:rsidRDefault="00EB4019" w:rsidP="00EB4019">
            <w:pPr>
              <w:jc w:val="center"/>
              <w:rPr>
                <w:rFonts w:ascii="Arial" w:hAnsi="Arial" w:cs="Arial"/>
              </w:rPr>
            </w:pPr>
          </w:p>
        </w:tc>
      </w:tr>
      <w:tr w:rsidR="00EB4019" w:rsidRPr="00EB4019" w14:paraId="25194E8A" w14:textId="77777777" w:rsidTr="00EB4019">
        <w:trPr>
          <w:trHeight w:val="20"/>
        </w:trPr>
        <w:tc>
          <w:tcPr>
            <w:tcW w:w="1169" w:type="pct"/>
            <w:noWrap/>
            <w:hideMark/>
          </w:tcPr>
          <w:p w14:paraId="10081F64" w14:textId="77777777" w:rsidR="00EB4019" w:rsidRPr="00EB4019" w:rsidRDefault="00EB4019" w:rsidP="00EB4019">
            <w:pPr>
              <w:rPr>
                <w:rFonts w:ascii="Arial" w:hAnsi="Arial" w:cs="Arial"/>
                <w:color w:val="000000"/>
              </w:rPr>
            </w:pPr>
            <w:r w:rsidRPr="00EB4019">
              <w:rPr>
                <w:rFonts w:ascii="Arial" w:eastAsia="Book Antiqua" w:hAnsi="Arial" w:cs="Arial"/>
              </w:rPr>
              <w:t>Digital Capital Loans</w:t>
            </w:r>
          </w:p>
        </w:tc>
        <w:tc>
          <w:tcPr>
            <w:tcW w:w="829" w:type="pct"/>
            <w:noWrap/>
            <w:hideMark/>
          </w:tcPr>
          <w:p w14:paraId="22A8F355" w14:textId="77777777" w:rsidR="00EB4019" w:rsidRPr="00EB4019" w:rsidRDefault="00EB4019" w:rsidP="00EB4019">
            <w:pPr>
              <w:rPr>
                <w:rFonts w:ascii="Arial" w:hAnsi="Arial" w:cs="Arial"/>
                <w:color w:val="000000"/>
              </w:rPr>
            </w:pPr>
          </w:p>
        </w:tc>
        <w:tc>
          <w:tcPr>
            <w:tcW w:w="1150" w:type="pct"/>
            <w:gridSpan w:val="2"/>
            <w:noWrap/>
            <w:hideMark/>
          </w:tcPr>
          <w:p w14:paraId="468BB99A" w14:textId="77777777" w:rsidR="00EB4019" w:rsidRPr="00EB4019" w:rsidRDefault="00EB4019" w:rsidP="00EB4019">
            <w:pPr>
              <w:jc w:val="center"/>
              <w:rPr>
                <w:rFonts w:ascii="Arial" w:hAnsi="Arial" w:cs="Arial"/>
                <w:color w:val="000000"/>
              </w:rPr>
            </w:pPr>
            <w:r w:rsidRPr="00EB4019">
              <w:rPr>
                <w:rFonts w:ascii="Arial" w:hAnsi="Arial" w:cs="Arial"/>
                <w:color w:val="000000"/>
              </w:rPr>
              <w:t>0.006</w:t>
            </w:r>
          </w:p>
        </w:tc>
        <w:tc>
          <w:tcPr>
            <w:tcW w:w="601" w:type="pct"/>
            <w:noWrap/>
            <w:hideMark/>
          </w:tcPr>
          <w:p w14:paraId="795C2BD9" w14:textId="77777777" w:rsidR="00EB4019" w:rsidRPr="00EB4019" w:rsidRDefault="00EB4019" w:rsidP="00EB4019">
            <w:pPr>
              <w:jc w:val="center"/>
              <w:rPr>
                <w:rFonts w:ascii="Arial" w:hAnsi="Arial" w:cs="Arial"/>
                <w:color w:val="000000"/>
              </w:rPr>
            </w:pPr>
          </w:p>
        </w:tc>
        <w:tc>
          <w:tcPr>
            <w:tcW w:w="1251" w:type="pct"/>
            <w:gridSpan w:val="2"/>
            <w:noWrap/>
            <w:hideMark/>
          </w:tcPr>
          <w:p w14:paraId="600B1B0B" w14:textId="77777777" w:rsidR="00EB4019" w:rsidRPr="00EB4019" w:rsidRDefault="00EB4019" w:rsidP="00EB4019">
            <w:pPr>
              <w:jc w:val="center"/>
              <w:rPr>
                <w:rFonts w:ascii="Arial" w:hAnsi="Arial" w:cs="Arial"/>
              </w:rPr>
            </w:pPr>
          </w:p>
        </w:tc>
      </w:tr>
    </w:tbl>
    <w:p w14:paraId="56E6B9EE" w14:textId="77777777" w:rsidR="00EB4019" w:rsidRDefault="00EB4019" w:rsidP="003B280B">
      <w:pPr>
        <w:pStyle w:val="Body"/>
        <w:rPr>
          <w:rFonts w:ascii="Arial" w:hAnsi="Arial" w:cs="Arial"/>
        </w:rPr>
      </w:pPr>
    </w:p>
    <w:p w14:paraId="6C77C955" w14:textId="77777777" w:rsidR="002974FA" w:rsidRPr="00CB2259" w:rsidRDefault="002974FA" w:rsidP="002974FA">
      <w:pPr>
        <w:pStyle w:val="Body"/>
        <w:rPr>
          <w:rFonts w:ascii="Arial" w:hAnsi="Arial" w:cs="Arial"/>
          <w:b/>
          <w:bCs/>
        </w:rPr>
      </w:pPr>
      <w:r w:rsidRPr="00CB2259">
        <w:rPr>
          <w:rFonts w:ascii="Arial" w:hAnsi="Arial" w:cs="Arial"/>
          <w:b/>
          <w:bCs/>
        </w:rPr>
        <w:t>3.6 t-Test</w:t>
      </w:r>
    </w:p>
    <w:p w14:paraId="4A73B4F8" w14:textId="77777777" w:rsidR="004B0BB9" w:rsidRDefault="004B0BB9" w:rsidP="004B0BB9">
      <w:pPr>
        <w:pStyle w:val="Body"/>
        <w:rPr>
          <w:rFonts w:ascii="Arial" w:hAnsi="Arial" w:cs="Arial"/>
        </w:rPr>
      </w:pPr>
      <w:r w:rsidRPr="004B0BB9">
        <w:rPr>
          <w:rFonts w:ascii="Arial" w:hAnsi="Arial" w:cs="Arial"/>
        </w:rPr>
        <w:t>The t-test shows how much each independent variable affects MSME performance. E-commerce marketing has a t-statistic of 2.770 and a p-value of 0.006, below 0.05. If other factors remain constant, e-commerce marketing improves MSME performance, supporting hypothesis H2. Digital marketing platforms improve market reach and company results, as shown by this research. The location variable's t-statistic is 5.582 with a p-value of 0.000, supporting hypothesis H3. Strategic company location favorably impacts MSME performance, highlighting the relevance of accessibility, infrastructure, and market potential. Digital loan access exceeds the 0.05 significance threshold with a t-statistic of 1.078 and p-value of 0.282. We reject hypothesis H1, showing that digital finance has a favorable impact but does not substantially affect MSME performance in this research</w:t>
      </w:r>
      <w:r w:rsidR="003F0079">
        <w:rPr>
          <w:rFonts w:ascii="Arial" w:hAnsi="Arial" w:cs="Arial"/>
        </w:rPr>
        <w:t>.</w:t>
      </w:r>
      <w:r w:rsidRPr="004B0BB9">
        <w:rPr>
          <w:rFonts w:ascii="Arial" w:hAnsi="Arial" w:cs="Arial"/>
        </w:rPr>
        <w:t xml:space="preserve"> </w:t>
      </w:r>
    </w:p>
    <w:p w14:paraId="53F267EF" w14:textId="77777777" w:rsidR="004A3FD7" w:rsidRPr="004A3FD7" w:rsidRDefault="004A3FD7" w:rsidP="004A3FD7">
      <w:pPr>
        <w:pStyle w:val="Body"/>
        <w:jc w:val="center"/>
        <w:rPr>
          <w:rFonts w:ascii="Arial" w:hAnsi="Arial" w:cs="Arial"/>
          <w:b/>
          <w:bCs/>
        </w:rPr>
      </w:pPr>
      <w:r w:rsidRPr="004A3FD7">
        <w:rPr>
          <w:rFonts w:ascii="Arial" w:hAnsi="Arial" w:cs="Arial"/>
          <w:b/>
          <w:bCs/>
        </w:rPr>
        <w:t>Table 4. t-test</w:t>
      </w:r>
    </w:p>
    <w:tbl>
      <w:tblPr>
        <w:tblStyle w:val="TableGridLight"/>
        <w:tblW w:w="836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42"/>
        <w:gridCol w:w="1213"/>
        <w:gridCol w:w="1138"/>
        <w:gridCol w:w="1419"/>
        <w:gridCol w:w="1468"/>
        <w:gridCol w:w="1083"/>
      </w:tblGrid>
      <w:tr w:rsidR="004A3FD7" w:rsidRPr="004A3FD7" w14:paraId="49657516" w14:textId="77777777" w:rsidTr="004A3FD7">
        <w:trPr>
          <w:trHeight w:val="170"/>
        </w:trPr>
        <w:tc>
          <w:tcPr>
            <w:tcW w:w="2042" w:type="dxa"/>
            <w:tcBorders>
              <w:top w:val="single" w:sz="4" w:space="0" w:color="auto"/>
              <w:bottom w:val="single" w:sz="4" w:space="0" w:color="auto"/>
            </w:tcBorders>
            <w:noWrap/>
            <w:hideMark/>
          </w:tcPr>
          <w:p w14:paraId="158A0D80" w14:textId="77777777" w:rsidR="004A3FD7" w:rsidRPr="004A3FD7" w:rsidRDefault="004A3FD7" w:rsidP="004A3FD7">
            <w:pPr>
              <w:rPr>
                <w:rFonts w:ascii="Arial" w:hAnsi="Arial" w:cs="Arial"/>
                <w:b/>
                <w:bCs/>
              </w:rPr>
            </w:pPr>
          </w:p>
        </w:tc>
        <w:tc>
          <w:tcPr>
            <w:tcW w:w="1213" w:type="dxa"/>
            <w:tcBorders>
              <w:top w:val="single" w:sz="4" w:space="0" w:color="auto"/>
              <w:bottom w:val="single" w:sz="4" w:space="0" w:color="auto"/>
            </w:tcBorders>
            <w:noWrap/>
            <w:hideMark/>
          </w:tcPr>
          <w:p w14:paraId="6C349A86" w14:textId="77777777" w:rsidR="004A3FD7" w:rsidRPr="004A3FD7" w:rsidRDefault="004A3FD7" w:rsidP="004A3FD7">
            <w:pPr>
              <w:jc w:val="center"/>
              <w:rPr>
                <w:rFonts w:ascii="Arial" w:hAnsi="Arial" w:cs="Arial"/>
                <w:b/>
                <w:bCs/>
                <w:color w:val="000000"/>
              </w:rPr>
            </w:pPr>
            <w:r w:rsidRPr="004A3FD7">
              <w:rPr>
                <w:rFonts w:ascii="Arial" w:hAnsi="Arial" w:cs="Arial"/>
                <w:b/>
                <w:bCs/>
                <w:color w:val="000000"/>
              </w:rPr>
              <w:t>Original Sample (O)</w:t>
            </w:r>
          </w:p>
        </w:tc>
        <w:tc>
          <w:tcPr>
            <w:tcW w:w="1138" w:type="dxa"/>
            <w:tcBorders>
              <w:top w:val="single" w:sz="4" w:space="0" w:color="auto"/>
              <w:bottom w:val="single" w:sz="4" w:space="0" w:color="auto"/>
            </w:tcBorders>
            <w:noWrap/>
            <w:hideMark/>
          </w:tcPr>
          <w:p w14:paraId="3918FB45" w14:textId="77777777" w:rsidR="004A3FD7" w:rsidRPr="004A3FD7" w:rsidRDefault="004A3FD7" w:rsidP="004A3FD7">
            <w:pPr>
              <w:jc w:val="center"/>
              <w:rPr>
                <w:rFonts w:ascii="Arial" w:hAnsi="Arial" w:cs="Arial"/>
                <w:b/>
                <w:bCs/>
                <w:color w:val="000000"/>
              </w:rPr>
            </w:pPr>
            <w:r w:rsidRPr="004A3FD7">
              <w:rPr>
                <w:rFonts w:ascii="Arial" w:hAnsi="Arial" w:cs="Arial"/>
                <w:b/>
                <w:bCs/>
                <w:color w:val="000000"/>
              </w:rPr>
              <w:t>Sample Mean (M)</w:t>
            </w:r>
          </w:p>
        </w:tc>
        <w:tc>
          <w:tcPr>
            <w:tcW w:w="1419" w:type="dxa"/>
            <w:tcBorders>
              <w:top w:val="single" w:sz="4" w:space="0" w:color="auto"/>
              <w:bottom w:val="single" w:sz="4" w:space="0" w:color="auto"/>
            </w:tcBorders>
            <w:noWrap/>
            <w:hideMark/>
          </w:tcPr>
          <w:p w14:paraId="0E6C51D2" w14:textId="77777777" w:rsidR="004A3FD7" w:rsidRPr="004A3FD7" w:rsidRDefault="004A3FD7" w:rsidP="004A3FD7">
            <w:pPr>
              <w:jc w:val="center"/>
              <w:rPr>
                <w:rFonts w:ascii="Arial" w:hAnsi="Arial" w:cs="Arial"/>
                <w:b/>
                <w:bCs/>
                <w:color w:val="000000"/>
              </w:rPr>
            </w:pPr>
            <w:r w:rsidRPr="004A3FD7">
              <w:rPr>
                <w:rFonts w:ascii="Arial" w:hAnsi="Arial" w:cs="Arial"/>
                <w:b/>
                <w:bCs/>
                <w:color w:val="000000"/>
              </w:rPr>
              <w:t>Standard Deviation (STDEV)</w:t>
            </w:r>
          </w:p>
        </w:tc>
        <w:tc>
          <w:tcPr>
            <w:tcW w:w="1468" w:type="dxa"/>
            <w:tcBorders>
              <w:top w:val="single" w:sz="4" w:space="0" w:color="auto"/>
              <w:bottom w:val="single" w:sz="4" w:space="0" w:color="auto"/>
            </w:tcBorders>
            <w:noWrap/>
            <w:hideMark/>
          </w:tcPr>
          <w:p w14:paraId="6C8BB144" w14:textId="77777777" w:rsidR="004A3FD7" w:rsidRPr="004A3FD7" w:rsidRDefault="004A3FD7" w:rsidP="004A3FD7">
            <w:pPr>
              <w:jc w:val="center"/>
              <w:rPr>
                <w:rFonts w:ascii="Arial" w:hAnsi="Arial" w:cs="Arial"/>
                <w:b/>
                <w:bCs/>
                <w:color w:val="000000"/>
              </w:rPr>
            </w:pPr>
            <w:r w:rsidRPr="004A3FD7">
              <w:rPr>
                <w:rFonts w:ascii="Arial" w:hAnsi="Arial" w:cs="Arial"/>
                <w:b/>
                <w:bCs/>
                <w:color w:val="000000"/>
              </w:rPr>
              <w:t>T Statistics (|O/STDEV|)</w:t>
            </w:r>
          </w:p>
        </w:tc>
        <w:tc>
          <w:tcPr>
            <w:tcW w:w="1083" w:type="dxa"/>
            <w:tcBorders>
              <w:top w:val="single" w:sz="4" w:space="0" w:color="auto"/>
              <w:bottom w:val="single" w:sz="4" w:space="0" w:color="auto"/>
            </w:tcBorders>
            <w:noWrap/>
            <w:hideMark/>
          </w:tcPr>
          <w:p w14:paraId="461C5E96" w14:textId="77777777" w:rsidR="004A3FD7" w:rsidRPr="004A3FD7" w:rsidRDefault="004A3FD7" w:rsidP="004A3FD7">
            <w:pPr>
              <w:jc w:val="center"/>
              <w:rPr>
                <w:rFonts w:ascii="Arial" w:hAnsi="Arial" w:cs="Arial"/>
                <w:b/>
                <w:bCs/>
                <w:color w:val="000000"/>
              </w:rPr>
            </w:pPr>
            <w:r w:rsidRPr="004A3FD7">
              <w:rPr>
                <w:rFonts w:ascii="Arial" w:hAnsi="Arial" w:cs="Arial"/>
                <w:b/>
                <w:bCs/>
                <w:color w:val="000000"/>
              </w:rPr>
              <w:t>P Values</w:t>
            </w:r>
          </w:p>
        </w:tc>
      </w:tr>
      <w:tr w:rsidR="004A3FD7" w:rsidRPr="004A3FD7" w14:paraId="5F837285" w14:textId="77777777" w:rsidTr="004A3FD7">
        <w:trPr>
          <w:trHeight w:val="170"/>
        </w:trPr>
        <w:tc>
          <w:tcPr>
            <w:tcW w:w="2042" w:type="dxa"/>
            <w:tcBorders>
              <w:top w:val="single" w:sz="4" w:space="0" w:color="auto"/>
            </w:tcBorders>
            <w:noWrap/>
            <w:hideMark/>
          </w:tcPr>
          <w:p w14:paraId="5449A99A" w14:textId="77777777" w:rsidR="004A3FD7" w:rsidRPr="004A3FD7" w:rsidRDefault="004A3FD7" w:rsidP="004A3FD7">
            <w:pPr>
              <w:rPr>
                <w:rFonts w:ascii="Arial" w:hAnsi="Arial" w:cs="Arial"/>
                <w:color w:val="000000"/>
              </w:rPr>
            </w:pPr>
            <w:r w:rsidRPr="004A3FD7">
              <w:rPr>
                <w:rFonts w:ascii="Arial" w:hAnsi="Arial" w:cs="Arial"/>
                <w:i/>
                <w:iCs/>
                <w:color w:val="000000"/>
              </w:rPr>
              <w:t>E-Commerce</w:t>
            </w:r>
            <w:r w:rsidRPr="004A3FD7">
              <w:rPr>
                <w:rFonts w:ascii="Arial" w:hAnsi="Arial" w:cs="Arial"/>
                <w:color w:val="000000"/>
              </w:rPr>
              <w:t xml:space="preserve"> </w:t>
            </w:r>
            <w:r w:rsidRPr="004A3FD7">
              <w:rPr>
                <w:rFonts w:ascii="Arial" w:hAnsi="Arial" w:cs="Arial"/>
                <w:color w:val="000000"/>
              </w:rPr>
              <w:sym w:font="Wingdings" w:char="F0E0"/>
            </w:r>
            <w:r w:rsidRPr="004A3FD7">
              <w:rPr>
                <w:rFonts w:ascii="Arial" w:hAnsi="Arial" w:cs="Arial"/>
                <w:color w:val="000000"/>
              </w:rPr>
              <w:t xml:space="preserve"> MSME </w:t>
            </w:r>
            <w:proofErr w:type="spellStart"/>
            <w:r w:rsidRPr="004A3FD7">
              <w:rPr>
                <w:rFonts w:ascii="Arial" w:hAnsi="Arial" w:cs="Arial"/>
                <w:color w:val="000000"/>
              </w:rPr>
              <w:t>Peformance</w:t>
            </w:r>
            <w:proofErr w:type="spellEnd"/>
          </w:p>
        </w:tc>
        <w:tc>
          <w:tcPr>
            <w:tcW w:w="1213" w:type="dxa"/>
            <w:tcBorders>
              <w:top w:val="single" w:sz="4" w:space="0" w:color="auto"/>
            </w:tcBorders>
            <w:noWrap/>
            <w:vAlign w:val="center"/>
            <w:hideMark/>
          </w:tcPr>
          <w:p w14:paraId="28FC6644" w14:textId="77777777" w:rsidR="004A3FD7" w:rsidRPr="004A3FD7" w:rsidRDefault="004A3FD7" w:rsidP="004A3FD7">
            <w:pPr>
              <w:jc w:val="center"/>
              <w:rPr>
                <w:rFonts w:ascii="Arial" w:hAnsi="Arial" w:cs="Arial"/>
                <w:color w:val="000000"/>
              </w:rPr>
            </w:pPr>
            <w:r w:rsidRPr="004A3FD7">
              <w:rPr>
                <w:rFonts w:ascii="Arial" w:hAnsi="Arial" w:cs="Arial"/>
                <w:color w:val="000000"/>
              </w:rPr>
              <w:t>0.219</w:t>
            </w:r>
          </w:p>
        </w:tc>
        <w:tc>
          <w:tcPr>
            <w:tcW w:w="1138" w:type="dxa"/>
            <w:tcBorders>
              <w:top w:val="single" w:sz="4" w:space="0" w:color="auto"/>
            </w:tcBorders>
            <w:noWrap/>
            <w:vAlign w:val="center"/>
            <w:hideMark/>
          </w:tcPr>
          <w:p w14:paraId="75EC1910" w14:textId="77777777" w:rsidR="004A3FD7" w:rsidRPr="004A3FD7" w:rsidRDefault="004A3FD7" w:rsidP="004A3FD7">
            <w:pPr>
              <w:jc w:val="center"/>
              <w:rPr>
                <w:rFonts w:ascii="Arial" w:hAnsi="Arial" w:cs="Arial"/>
                <w:color w:val="000000"/>
              </w:rPr>
            </w:pPr>
            <w:r w:rsidRPr="004A3FD7">
              <w:rPr>
                <w:rFonts w:ascii="Arial" w:hAnsi="Arial" w:cs="Arial"/>
                <w:color w:val="000000"/>
              </w:rPr>
              <w:t>0.222</w:t>
            </w:r>
          </w:p>
        </w:tc>
        <w:tc>
          <w:tcPr>
            <w:tcW w:w="1419" w:type="dxa"/>
            <w:tcBorders>
              <w:top w:val="single" w:sz="4" w:space="0" w:color="auto"/>
            </w:tcBorders>
            <w:noWrap/>
            <w:vAlign w:val="center"/>
            <w:hideMark/>
          </w:tcPr>
          <w:p w14:paraId="7D8A7D42" w14:textId="77777777" w:rsidR="004A3FD7" w:rsidRPr="004A3FD7" w:rsidRDefault="004A3FD7" w:rsidP="004A3FD7">
            <w:pPr>
              <w:jc w:val="center"/>
              <w:rPr>
                <w:rFonts w:ascii="Arial" w:hAnsi="Arial" w:cs="Arial"/>
                <w:color w:val="000000"/>
              </w:rPr>
            </w:pPr>
            <w:r w:rsidRPr="004A3FD7">
              <w:rPr>
                <w:rFonts w:ascii="Arial" w:hAnsi="Arial" w:cs="Arial"/>
                <w:color w:val="000000"/>
              </w:rPr>
              <w:t>0.079</w:t>
            </w:r>
          </w:p>
        </w:tc>
        <w:tc>
          <w:tcPr>
            <w:tcW w:w="1468" w:type="dxa"/>
            <w:tcBorders>
              <w:top w:val="single" w:sz="4" w:space="0" w:color="auto"/>
            </w:tcBorders>
            <w:noWrap/>
            <w:vAlign w:val="center"/>
            <w:hideMark/>
          </w:tcPr>
          <w:p w14:paraId="44F45652" w14:textId="77777777" w:rsidR="004A3FD7" w:rsidRPr="004A3FD7" w:rsidRDefault="004A3FD7" w:rsidP="004A3FD7">
            <w:pPr>
              <w:jc w:val="center"/>
              <w:rPr>
                <w:rFonts w:ascii="Arial" w:hAnsi="Arial" w:cs="Arial"/>
                <w:color w:val="000000"/>
              </w:rPr>
            </w:pPr>
            <w:r w:rsidRPr="004A3FD7">
              <w:rPr>
                <w:rFonts w:ascii="Arial" w:hAnsi="Arial" w:cs="Arial"/>
                <w:color w:val="000000"/>
              </w:rPr>
              <w:t>2.770</w:t>
            </w:r>
          </w:p>
        </w:tc>
        <w:tc>
          <w:tcPr>
            <w:tcW w:w="1083" w:type="dxa"/>
            <w:tcBorders>
              <w:top w:val="single" w:sz="4" w:space="0" w:color="auto"/>
            </w:tcBorders>
            <w:noWrap/>
            <w:vAlign w:val="center"/>
            <w:hideMark/>
          </w:tcPr>
          <w:p w14:paraId="6CA05FAD" w14:textId="77777777" w:rsidR="004A3FD7" w:rsidRPr="004A3FD7" w:rsidRDefault="004A3FD7" w:rsidP="004A3FD7">
            <w:pPr>
              <w:jc w:val="center"/>
              <w:rPr>
                <w:rFonts w:ascii="Arial" w:hAnsi="Arial" w:cs="Arial"/>
                <w:color w:val="000000"/>
              </w:rPr>
            </w:pPr>
            <w:r w:rsidRPr="004A3FD7">
              <w:rPr>
                <w:rFonts w:ascii="Arial" w:hAnsi="Arial" w:cs="Arial"/>
                <w:color w:val="000000"/>
              </w:rPr>
              <w:t>0.006</w:t>
            </w:r>
          </w:p>
        </w:tc>
      </w:tr>
      <w:tr w:rsidR="004A3FD7" w:rsidRPr="004A3FD7" w14:paraId="0B1DFC24" w14:textId="77777777" w:rsidTr="004A3FD7">
        <w:trPr>
          <w:trHeight w:val="170"/>
        </w:trPr>
        <w:tc>
          <w:tcPr>
            <w:tcW w:w="2042" w:type="dxa"/>
            <w:noWrap/>
            <w:hideMark/>
          </w:tcPr>
          <w:p w14:paraId="50CD5020" w14:textId="77777777" w:rsidR="004A3FD7" w:rsidRPr="004A3FD7" w:rsidRDefault="004A3FD7" w:rsidP="004A3FD7">
            <w:pPr>
              <w:rPr>
                <w:rFonts w:ascii="Arial" w:hAnsi="Arial" w:cs="Arial"/>
                <w:color w:val="000000"/>
              </w:rPr>
            </w:pPr>
            <w:r w:rsidRPr="004A3FD7">
              <w:rPr>
                <w:rFonts w:ascii="Arial" w:hAnsi="Arial" w:cs="Arial"/>
                <w:color w:val="000000"/>
              </w:rPr>
              <w:t xml:space="preserve">Location </w:t>
            </w:r>
            <w:r w:rsidRPr="004A3FD7">
              <w:rPr>
                <w:rFonts w:ascii="Arial" w:hAnsi="Arial" w:cs="Arial"/>
                <w:color w:val="000000"/>
              </w:rPr>
              <w:sym w:font="Wingdings" w:char="F0E0"/>
            </w:r>
            <w:r w:rsidRPr="004A3FD7">
              <w:rPr>
                <w:rFonts w:ascii="Arial" w:hAnsi="Arial" w:cs="Arial"/>
                <w:color w:val="000000"/>
              </w:rPr>
              <w:t xml:space="preserve"> MSME </w:t>
            </w:r>
            <w:proofErr w:type="spellStart"/>
            <w:r w:rsidRPr="004A3FD7">
              <w:rPr>
                <w:rFonts w:ascii="Arial" w:hAnsi="Arial" w:cs="Arial"/>
                <w:color w:val="000000"/>
              </w:rPr>
              <w:t>Peformance</w:t>
            </w:r>
            <w:proofErr w:type="spellEnd"/>
          </w:p>
        </w:tc>
        <w:tc>
          <w:tcPr>
            <w:tcW w:w="1213" w:type="dxa"/>
            <w:noWrap/>
            <w:vAlign w:val="center"/>
            <w:hideMark/>
          </w:tcPr>
          <w:p w14:paraId="6F87C678" w14:textId="77777777" w:rsidR="004A3FD7" w:rsidRPr="004A3FD7" w:rsidRDefault="004A3FD7" w:rsidP="004A3FD7">
            <w:pPr>
              <w:jc w:val="center"/>
              <w:rPr>
                <w:rFonts w:ascii="Arial" w:hAnsi="Arial" w:cs="Arial"/>
                <w:color w:val="000000"/>
              </w:rPr>
            </w:pPr>
            <w:r w:rsidRPr="004A3FD7">
              <w:rPr>
                <w:rFonts w:ascii="Arial" w:hAnsi="Arial" w:cs="Arial"/>
                <w:color w:val="000000"/>
              </w:rPr>
              <w:t>0.379</w:t>
            </w:r>
          </w:p>
        </w:tc>
        <w:tc>
          <w:tcPr>
            <w:tcW w:w="1138" w:type="dxa"/>
            <w:noWrap/>
            <w:vAlign w:val="center"/>
            <w:hideMark/>
          </w:tcPr>
          <w:p w14:paraId="46D5EA8C" w14:textId="77777777" w:rsidR="004A3FD7" w:rsidRPr="004A3FD7" w:rsidRDefault="004A3FD7" w:rsidP="004A3FD7">
            <w:pPr>
              <w:jc w:val="center"/>
              <w:rPr>
                <w:rFonts w:ascii="Arial" w:hAnsi="Arial" w:cs="Arial"/>
                <w:color w:val="000000"/>
              </w:rPr>
            </w:pPr>
            <w:r w:rsidRPr="004A3FD7">
              <w:rPr>
                <w:rFonts w:ascii="Arial" w:hAnsi="Arial" w:cs="Arial"/>
                <w:color w:val="000000"/>
              </w:rPr>
              <w:t>0.382</w:t>
            </w:r>
          </w:p>
        </w:tc>
        <w:tc>
          <w:tcPr>
            <w:tcW w:w="1419" w:type="dxa"/>
            <w:noWrap/>
            <w:vAlign w:val="center"/>
            <w:hideMark/>
          </w:tcPr>
          <w:p w14:paraId="1793C791" w14:textId="77777777" w:rsidR="004A3FD7" w:rsidRPr="004A3FD7" w:rsidRDefault="004A3FD7" w:rsidP="004A3FD7">
            <w:pPr>
              <w:jc w:val="center"/>
              <w:rPr>
                <w:rFonts w:ascii="Arial" w:hAnsi="Arial" w:cs="Arial"/>
                <w:color w:val="000000"/>
              </w:rPr>
            </w:pPr>
            <w:r w:rsidRPr="004A3FD7">
              <w:rPr>
                <w:rFonts w:ascii="Arial" w:hAnsi="Arial" w:cs="Arial"/>
                <w:color w:val="000000"/>
              </w:rPr>
              <w:t>0.068</w:t>
            </w:r>
          </w:p>
        </w:tc>
        <w:tc>
          <w:tcPr>
            <w:tcW w:w="1468" w:type="dxa"/>
            <w:noWrap/>
            <w:vAlign w:val="center"/>
            <w:hideMark/>
          </w:tcPr>
          <w:p w14:paraId="1B5BBCD3" w14:textId="77777777" w:rsidR="004A3FD7" w:rsidRPr="004A3FD7" w:rsidRDefault="004A3FD7" w:rsidP="004A3FD7">
            <w:pPr>
              <w:jc w:val="center"/>
              <w:rPr>
                <w:rFonts w:ascii="Arial" w:hAnsi="Arial" w:cs="Arial"/>
                <w:color w:val="000000"/>
              </w:rPr>
            </w:pPr>
            <w:r w:rsidRPr="004A3FD7">
              <w:rPr>
                <w:rFonts w:ascii="Arial" w:hAnsi="Arial" w:cs="Arial"/>
                <w:color w:val="000000"/>
              </w:rPr>
              <w:t>5.582</w:t>
            </w:r>
          </w:p>
        </w:tc>
        <w:tc>
          <w:tcPr>
            <w:tcW w:w="1083" w:type="dxa"/>
            <w:noWrap/>
            <w:vAlign w:val="center"/>
            <w:hideMark/>
          </w:tcPr>
          <w:p w14:paraId="2967B881" w14:textId="77777777" w:rsidR="004A3FD7" w:rsidRPr="004A3FD7" w:rsidRDefault="004A3FD7" w:rsidP="004A3FD7">
            <w:pPr>
              <w:jc w:val="center"/>
              <w:rPr>
                <w:rFonts w:ascii="Arial" w:hAnsi="Arial" w:cs="Arial"/>
                <w:color w:val="000000"/>
              </w:rPr>
            </w:pPr>
            <w:r w:rsidRPr="004A3FD7">
              <w:rPr>
                <w:rFonts w:ascii="Arial" w:hAnsi="Arial" w:cs="Arial"/>
                <w:color w:val="000000"/>
              </w:rPr>
              <w:t>0.000</w:t>
            </w:r>
          </w:p>
        </w:tc>
      </w:tr>
      <w:tr w:rsidR="004A3FD7" w:rsidRPr="004A3FD7" w14:paraId="1C470473" w14:textId="77777777" w:rsidTr="004A3FD7">
        <w:trPr>
          <w:trHeight w:val="170"/>
        </w:trPr>
        <w:tc>
          <w:tcPr>
            <w:tcW w:w="2042" w:type="dxa"/>
            <w:noWrap/>
            <w:hideMark/>
          </w:tcPr>
          <w:p w14:paraId="185EAB4D" w14:textId="77777777" w:rsidR="004A3FD7" w:rsidRPr="004A3FD7" w:rsidRDefault="004A3FD7" w:rsidP="004A3FD7">
            <w:pPr>
              <w:rPr>
                <w:rFonts w:ascii="Arial" w:hAnsi="Arial" w:cs="Arial"/>
                <w:color w:val="000000"/>
              </w:rPr>
            </w:pPr>
            <w:r w:rsidRPr="004A3FD7">
              <w:rPr>
                <w:rFonts w:ascii="Arial" w:eastAsia="Book Antiqua" w:hAnsi="Arial" w:cs="Arial"/>
              </w:rPr>
              <w:t>Digital Capital Loans</w:t>
            </w:r>
            <w:r w:rsidRPr="004A3FD7">
              <w:rPr>
                <w:rFonts w:ascii="Arial" w:hAnsi="Arial" w:cs="Arial"/>
                <w:color w:val="000000"/>
              </w:rPr>
              <w:t xml:space="preserve"> </w:t>
            </w:r>
            <w:r w:rsidRPr="004A3FD7">
              <w:rPr>
                <w:rFonts w:ascii="Arial" w:hAnsi="Arial" w:cs="Arial"/>
                <w:color w:val="000000"/>
              </w:rPr>
              <w:sym w:font="Wingdings" w:char="F0E0"/>
            </w:r>
            <w:r w:rsidRPr="004A3FD7">
              <w:rPr>
                <w:rFonts w:ascii="Arial" w:hAnsi="Arial" w:cs="Arial"/>
                <w:color w:val="000000"/>
              </w:rPr>
              <w:t xml:space="preserve"> MSME </w:t>
            </w:r>
            <w:proofErr w:type="spellStart"/>
            <w:r w:rsidRPr="004A3FD7">
              <w:rPr>
                <w:rFonts w:ascii="Arial" w:hAnsi="Arial" w:cs="Arial"/>
                <w:color w:val="000000"/>
              </w:rPr>
              <w:t>Peformance</w:t>
            </w:r>
            <w:proofErr w:type="spellEnd"/>
          </w:p>
        </w:tc>
        <w:tc>
          <w:tcPr>
            <w:tcW w:w="1213" w:type="dxa"/>
            <w:noWrap/>
            <w:vAlign w:val="center"/>
            <w:hideMark/>
          </w:tcPr>
          <w:p w14:paraId="02DE619F" w14:textId="77777777" w:rsidR="004A3FD7" w:rsidRPr="004A3FD7" w:rsidRDefault="004A3FD7" w:rsidP="004A3FD7">
            <w:pPr>
              <w:jc w:val="center"/>
              <w:rPr>
                <w:rFonts w:ascii="Arial" w:hAnsi="Arial" w:cs="Arial"/>
                <w:color w:val="000000"/>
              </w:rPr>
            </w:pPr>
            <w:r w:rsidRPr="004A3FD7">
              <w:rPr>
                <w:rFonts w:ascii="Arial" w:hAnsi="Arial" w:cs="Arial"/>
                <w:color w:val="000000"/>
              </w:rPr>
              <w:t>0.070</w:t>
            </w:r>
          </w:p>
        </w:tc>
        <w:tc>
          <w:tcPr>
            <w:tcW w:w="1138" w:type="dxa"/>
            <w:noWrap/>
            <w:vAlign w:val="center"/>
            <w:hideMark/>
          </w:tcPr>
          <w:p w14:paraId="2853D087" w14:textId="77777777" w:rsidR="004A3FD7" w:rsidRPr="004A3FD7" w:rsidRDefault="004A3FD7" w:rsidP="004A3FD7">
            <w:pPr>
              <w:jc w:val="center"/>
              <w:rPr>
                <w:rFonts w:ascii="Arial" w:hAnsi="Arial" w:cs="Arial"/>
                <w:color w:val="000000"/>
              </w:rPr>
            </w:pPr>
            <w:r w:rsidRPr="004A3FD7">
              <w:rPr>
                <w:rFonts w:ascii="Arial" w:hAnsi="Arial" w:cs="Arial"/>
                <w:color w:val="000000"/>
              </w:rPr>
              <w:t>0.083</w:t>
            </w:r>
          </w:p>
        </w:tc>
        <w:tc>
          <w:tcPr>
            <w:tcW w:w="1419" w:type="dxa"/>
            <w:noWrap/>
            <w:vAlign w:val="center"/>
            <w:hideMark/>
          </w:tcPr>
          <w:p w14:paraId="327394A0" w14:textId="77777777" w:rsidR="004A3FD7" w:rsidRPr="004A3FD7" w:rsidRDefault="004A3FD7" w:rsidP="004A3FD7">
            <w:pPr>
              <w:jc w:val="center"/>
              <w:rPr>
                <w:rFonts w:ascii="Arial" w:hAnsi="Arial" w:cs="Arial"/>
                <w:color w:val="000000"/>
              </w:rPr>
            </w:pPr>
            <w:r w:rsidRPr="004A3FD7">
              <w:rPr>
                <w:rFonts w:ascii="Arial" w:hAnsi="Arial" w:cs="Arial"/>
                <w:color w:val="000000"/>
              </w:rPr>
              <w:t>0.065</w:t>
            </w:r>
          </w:p>
        </w:tc>
        <w:tc>
          <w:tcPr>
            <w:tcW w:w="1468" w:type="dxa"/>
            <w:noWrap/>
            <w:vAlign w:val="center"/>
            <w:hideMark/>
          </w:tcPr>
          <w:p w14:paraId="171996D8" w14:textId="77777777" w:rsidR="004A3FD7" w:rsidRPr="004A3FD7" w:rsidRDefault="004A3FD7" w:rsidP="004A3FD7">
            <w:pPr>
              <w:jc w:val="center"/>
              <w:rPr>
                <w:rFonts w:ascii="Arial" w:hAnsi="Arial" w:cs="Arial"/>
                <w:color w:val="000000"/>
              </w:rPr>
            </w:pPr>
            <w:r w:rsidRPr="004A3FD7">
              <w:rPr>
                <w:rFonts w:ascii="Arial" w:hAnsi="Arial" w:cs="Arial"/>
                <w:color w:val="000000"/>
              </w:rPr>
              <w:t>1.078</w:t>
            </w:r>
          </w:p>
        </w:tc>
        <w:tc>
          <w:tcPr>
            <w:tcW w:w="1083" w:type="dxa"/>
            <w:noWrap/>
            <w:vAlign w:val="center"/>
            <w:hideMark/>
          </w:tcPr>
          <w:p w14:paraId="4BBC9258" w14:textId="77777777" w:rsidR="004A3FD7" w:rsidRPr="004A3FD7" w:rsidRDefault="004A3FD7" w:rsidP="004A3FD7">
            <w:pPr>
              <w:jc w:val="center"/>
              <w:rPr>
                <w:rFonts w:ascii="Arial" w:hAnsi="Arial" w:cs="Arial"/>
                <w:color w:val="000000"/>
              </w:rPr>
            </w:pPr>
            <w:r w:rsidRPr="004A3FD7">
              <w:rPr>
                <w:rFonts w:ascii="Arial" w:hAnsi="Arial" w:cs="Arial"/>
                <w:color w:val="000000"/>
              </w:rPr>
              <w:t>0.282</w:t>
            </w:r>
          </w:p>
        </w:tc>
      </w:tr>
    </w:tbl>
    <w:p w14:paraId="6B827861" w14:textId="77777777" w:rsidR="004A3FD7" w:rsidRDefault="004A3FD7" w:rsidP="004B0BB9">
      <w:pPr>
        <w:pStyle w:val="Body"/>
        <w:rPr>
          <w:rFonts w:ascii="Arial" w:hAnsi="Arial" w:cs="Arial"/>
        </w:rPr>
      </w:pPr>
    </w:p>
    <w:p w14:paraId="075121D2" w14:textId="77777777" w:rsidR="002974FA" w:rsidRPr="000814DE" w:rsidRDefault="00C95C3C" w:rsidP="002974FA">
      <w:pPr>
        <w:pStyle w:val="Body"/>
        <w:rPr>
          <w:rFonts w:ascii="Arial" w:hAnsi="Arial" w:cs="Arial"/>
          <w:b/>
          <w:bCs/>
        </w:rPr>
      </w:pPr>
      <w:r w:rsidRPr="000814DE">
        <w:rPr>
          <w:rFonts w:ascii="Arial" w:hAnsi="Arial" w:cs="Arial"/>
          <w:b/>
          <w:bCs/>
        </w:rPr>
        <w:t xml:space="preserve">3.7 </w:t>
      </w:r>
      <w:r w:rsidR="002974FA" w:rsidRPr="000814DE">
        <w:rPr>
          <w:rFonts w:ascii="Arial" w:hAnsi="Arial" w:cs="Arial"/>
          <w:b/>
          <w:bCs/>
        </w:rPr>
        <w:t>The Effect of Access to Capital Loans (X1) on MSME Performance</w:t>
      </w:r>
    </w:p>
    <w:p w14:paraId="4E8B1D13" w14:textId="77777777" w:rsidR="003C59B3" w:rsidRDefault="003C59B3" w:rsidP="003C59B3">
      <w:pPr>
        <w:pStyle w:val="Body"/>
        <w:rPr>
          <w:rFonts w:ascii="Arial" w:hAnsi="Arial" w:cs="Arial"/>
        </w:rPr>
      </w:pPr>
      <w:r w:rsidRPr="003C59B3">
        <w:rPr>
          <w:rFonts w:ascii="Arial" w:hAnsi="Arial" w:cs="Arial"/>
        </w:rPr>
        <w:t xml:space="preserve">The digital loan access variable (X1) has a positive value of 1.078 in the t-test, supporting the hypothesis that increased digital loan access improves MSME performance (Y). However, the p-value of 0.282 above the 0.05 significance level, disproving the claim that digital loan availability improves MSME performance in Malang. This implies that digital loan availability alone may not always improve MSME performance in the area. The positive association suggests that increased access improves performance, although actual data do not support this throughout the population. It seems that management capabilities, marketing tactics, and human resource skills have a greater impact on MSME success (Y). In contrast, </w:t>
      </w:r>
      <w:proofErr w:type="spellStart"/>
      <w:r w:rsidRPr="003C59B3">
        <w:rPr>
          <w:rFonts w:ascii="Arial" w:hAnsi="Arial" w:cs="Arial"/>
        </w:rPr>
        <w:t>Sulistiogo</w:t>
      </w:r>
      <w:proofErr w:type="spellEnd"/>
      <w:r w:rsidRPr="003C59B3">
        <w:rPr>
          <w:rFonts w:ascii="Arial" w:hAnsi="Arial" w:cs="Arial"/>
        </w:rPr>
        <w:t xml:space="preserve"> (2019) discovered that loan availability substantially and positively improved MSME performance. This may be because Malang MSMEs face issues including poor financial literacy and low technology adoption in company management, which might inhibit digital financing. Thus, digital loan access may fuel corporate success, but without good financial management and technology adoption, it has little influence. </w:t>
      </w:r>
    </w:p>
    <w:p w14:paraId="49E74D0D" w14:textId="77777777" w:rsidR="002974FA" w:rsidRPr="003C59B3" w:rsidRDefault="00C95C3C" w:rsidP="002974FA">
      <w:pPr>
        <w:pStyle w:val="Body"/>
        <w:rPr>
          <w:rFonts w:ascii="Arial" w:hAnsi="Arial" w:cs="Arial"/>
          <w:b/>
          <w:bCs/>
        </w:rPr>
      </w:pPr>
      <w:r w:rsidRPr="003C59B3">
        <w:rPr>
          <w:rFonts w:ascii="Arial" w:hAnsi="Arial" w:cs="Arial"/>
          <w:b/>
          <w:bCs/>
        </w:rPr>
        <w:t xml:space="preserve">3.8 </w:t>
      </w:r>
      <w:r w:rsidR="002974FA" w:rsidRPr="003C59B3">
        <w:rPr>
          <w:rFonts w:ascii="Arial" w:hAnsi="Arial" w:cs="Arial"/>
          <w:b/>
          <w:bCs/>
        </w:rPr>
        <w:t>The Effect of E-commerce Marketing (X2) on MSME Performance</w:t>
      </w:r>
    </w:p>
    <w:p w14:paraId="4983BBD2" w14:textId="77777777" w:rsidR="003C59B3" w:rsidRDefault="003C59B3" w:rsidP="003C59B3">
      <w:pPr>
        <w:pStyle w:val="Body"/>
        <w:rPr>
          <w:rFonts w:ascii="Arial" w:hAnsi="Arial" w:cs="Arial"/>
        </w:rPr>
      </w:pPr>
      <w:r w:rsidRPr="003C59B3">
        <w:rPr>
          <w:rFonts w:ascii="Arial" w:hAnsi="Arial" w:cs="Arial"/>
        </w:rPr>
        <w:lastRenderedPageBreak/>
        <w:t xml:space="preserve">E-commerce (X2) positively and significantly affects MSME performance, supporting Hypothesis 2. This shows that MSME performance improves with e-commerce marketing. The data implies that technology, especially e-commerce platform-based internet marketing, has improved corporate performance. E-commerce makes registration and platform usage easier, enhances market reach, boosts sales volume, and simplifies transactions, improving MSME performance in Malang. These findings support </w:t>
      </w:r>
      <w:proofErr w:type="spellStart"/>
      <w:r w:rsidRPr="003C59B3">
        <w:rPr>
          <w:rFonts w:ascii="Arial" w:hAnsi="Arial" w:cs="Arial"/>
        </w:rPr>
        <w:t>Azhari</w:t>
      </w:r>
      <w:proofErr w:type="spellEnd"/>
      <w:r w:rsidRPr="003C59B3">
        <w:rPr>
          <w:rFonts w:ascii="Arial" w:hAnsi="Arial" w:cs="Arial"/>
        </w:rPr>
        <w:t xml:space="preserve"> </w:t>
      </w:r>
      <w:proofErr w:type="spellStart"/>
      <w:r w:rsidRPr="003C59B3">
        <w:rPr>
          <w:rFonts w:ascii="Arial" w:hAnsi="Arial" w:cs="Arial"/>
        </w:rPr>
        <w:t>Hutabarat</w:t>
      </w:r>
      <w:proofErr w:type="spellEnd"/>
      <w:r w:rsidRPr="003C59B3">
        <w:rPr>
          <w:rFonts w:ascii="Arial" w:hAnsi="Arial" w:cs="Arial"/>
        </w:rPr>
        <w:t xml:space="preserve"> et al. (2022) findings that e-commerce technologies may increase sales and profitability. </w:t>
      </w:r>
      <w:proofErr w:type="spellStart"/>
      <w:r w:rsidRPr="003C59B3">
        <w:rPr>
          <w:rFonts w:ascii="Arial" w:hAnsi="Arial" w:cs="Arial"/>
        </w:rPr>
        <w:t>Sukmantari</w:t>
      </w:r>
      <w:proofErr w:type="spellEnd"/>
      <w:r w:rsidRPr="003C59B3">
        <w:rPr>
          <w:rFonts w:ascii="Arial" w:hAnsi="Arial" w:cs="Arial"/>
        </w:rPr>
        <w:t xml:space="preserve"> and </w:t>
      </w:r>
      <w:proofErr w:type="spellStart"/>
      <w:r w:rsidRPr="003C59B3">
        <w:rPr>
          <w:rFonts w:ascii="Arial" w:hAnsi="Arial" w:cs="Arial"/>
        </w:rPr>
        <w:t>Julianto</w:t>
      </w:r>
      <w:proofErr w:type="spellEnd"/>
      <w:r w:rsidRPr="003C59B3">
        <w:rPr>
          <w:rFonts w:ascii="Arial" w:hAnsi="Arial" w:cs="Arial"/>
        </w:rPr>
        <w:t xml:space="preserve"> (2022) discovered that e-commerce platforms improve MSME performance significantly. Online marketing is a strategic method for businesses, who must master platform functions to reap rewards. This involves using platform promotions and understanding fees and taxes to change product price. E-commerce techniques help MSMEs streamline operations and develop their company. </w:t>
      </w:r>
    </w:p>
    <w:p w14:paraId="5DC947CC" w14:textId="77777777" w:rsidR="002974FA" w:rsidRPr="003C59B3" w:rsidRDefault="00C95C3C" w:rsidP="002974FA">
      <w:pPr>
        <w:pStyle w:val="Body"/>
        <w:spacing w:after="0"/>
        <w:rPr>
          <w:rFonts w:ascii="Arial" w:hAnsi="Arial" w:cs="Arial"/>
          <w:b/>
          <w:bCs/>
        </w:rPr>
      </w:pPr>
      <w:r w:rsidRPr="003C59B3">
        <w:rPr>
          <w:rFonts w:ascii="Arial" w:hAnsi="Arial" w:cs="Arial"/>
          <w:b/>
          <w:bCs/>
        </w:rPr>
        <w:t xml:space="preserve">3.9 </w:t>
      </w:r>
      <w:r w:rsidR="002974FA" w:rsidRPr="003C59B3">
        <w:rPr>
          <w:rFonts w:ascii="Arial" w:hAnsi="Arial" w:cs="Arial"/>
          <w:b/>
          <w:bCs/>
        </w:rPr>
        <w:t xml:space="preserve">The Effect of Business Location (X3) on MSME Performance </w:t>
      </w:r>
    </w:p>
    <w:p w14:paraId="0DD43527" w14:textId="77777777" w:rsidR="002974FA" w:rsidRDefault="002974FA" w:rsidP="002974FA">
      <w:pPr>
        <w:pStyle w:val="Body"/>
        <w:spacing w:after="0"/>
        <w:rPr>
          <w:rFonts w:ascii="Arial" w:hAnsi="Arial" w:cs="Arial"/>
        </w:rPr>
      </w:pPr>
    </w:p>
    <w:p w14:paraId="2107DD0E" w14:textId="77777777" w:rsidR="002002AC" w:rsidRDefault="002002AC" w:rsidP="002002AC">
      <w:pPr>
        <w:pStyle w:val="Body"/>
        <w:rPr>
          <w:rFonts w:ascii="Arial" w:hAnsi="Arial" w:cs="Arial"/>
        </w:rPr>
      </w:pPr>
      <w:r w:rsidRPr="002002AC">
        <w:rPr>
          <w:rFonts w:ascii="Arial" w:hAnsi="Arial" w:cs="Arial"/>
        </w:rPr>
        <w:t xml:space="preserve">T-test analysis shows that the company location variable (X3) has a t-statistics value of 5.582 and a p-value of 0.000, significantly below the significance level of 0.05. This shows that company location positively and significantly influences MSME performance in Malang, showing that smart business placement boosts sales, customer base, and profitability. The extremely low p-value suggests that choosing the best location increases a firm's competitiveness. </w:t>
      </w:r>
      <w:proofErr w:type="spellStart"/>
      <w:r w:rsidRPr="002002AC">
        <w:rPr>
          <w:rFonts w:ascii="Arial" w:hAnsi="Arial" w:cs="Arial"/>
        </w:rPr>
        <w:t>Aidina</w:t>
      </w:r>
      <w:proofErr w:type="spellEnd"/>
      <w:r w:rsidRPr="002002AC">
        <w:rPr>
          <w:rFonts w:ascii="Arial" w:hAnsi="Arial" w:cs="Arial"/>
        </w:rPr>
        <w:t xml:space="preserve"> and </w:t>
      </w:r>
      <w:proofErr w:type="spellStart"/>
      <w:r w:rsidRPr="002002AC">
        <w:rPr>
          <w:rFonts w:ascii="Arial" w:hAnsi="Arial" w:cs="Arial"/>
        </w:rPr>
        <w:t>Rudini</w:t>
      </w:r>
      <w:proofErr w:type="spellEnd"/>
      <w:r w:rsidRPr="002002AC">
        <w:rPr>
          <w:rFonts w:ascii="Arial" w:hAnsi="Arial" w:cs="Arial"/>
        </w:rPr>
        <w:t xml:space="preserve"> (2021) agree that strategic site improves consumer reach and supply chain operations, making company location accessibility crucial. Business location depends on environmental characteristics such as market proximity, supplier distance, competitive intensity, and operating expenses, according to </w:t>
      </w:r>
      <w:proofErr w:type="spellStart"/>
      <w:r w:rsidRPr="002002AC">
        <w:rPr>
          <w:rFonts w:ascii="Arial" w:hAnsi="Arial" w:cs="Arial"/>
        </w:rPr>
        <w:t>Mutianisa</w:t>
      </w:r>
      <w:proofErr w:type="spellEnd"/>
      <w:r w:rsidRPr="002002AC">
        <w:rPr>
          <w:rFonts w:ascii="Arial" w:hAnsi="Arial" w:cs="Arial"/>
        </w:rPr>
        <w:t xml:space="preserve"> and </w:t>
      </w:r>
      <w:proofErr w:type="spellStart"/>
      <w:r w:rsidRPr="002002AC">
        <w:rPr>
          <w:rFonts w:ascii="Arial" w:hAnsi="Arial" w:cs="Arial"/>
        </w:rPr>
        <w:t>Cahyani</w:t>
      </w:r>
      <w:proofErr w:type="spellEnd"/>
      <w:r w:rsidRPr="002002AC">
        <w:rPr>
          <w:rFonts w:ascii="Arial" w:hAnsi="Arial" w:cs="Arial"/>
        </w:rPr>
        <w:t xml:space="preserve"> (2024). Strategic placement enhanced clients and sales for the “</w:t>
      </w:r>
      <w:proofErr w:type="spellStart"/>
      <w:r w:rsidRPr="002002AC">
        <w:rPr>
          <w:rFonts w:ascii="Arial" w:hAnsi="Arial" w:cs="Arial"/>
        </w:rPr>
        <w:t>Bakso</w:t>
      </w:r>
      <w:proofErr w:type="spellEnd"/>
      <w:r w:rsidRPr="002002AC">
        <w:rPr>
          <w:rFonts w:ascii="Arial" w:hAnsi="Arial" w:cs="Arial"/>
        </w:rPr>
        <w:t xml:space="preserve"> </w:t>
      </w:r>
      <w:proofErr w:type="spellStart"/>
      <w:r w:rsidRPr="002002AC">
        <w:rPr>
          <w:rFonts w:ascii="Arial" w:hAnsi="Arial" w:cs="Arial"/>
        </w:rPr>
        <w:t>Rudal</w:t>
      </w:r>
      <w:proofErr w:type="spellEnd"/>
      <w:r w:rsidRPr="002002AC">
        <w:rPr>
          <w:rFonts w:ascii="Arial" w:hAnsi="Arial" w:cs="Arial"/>
        </w:rPr>
        <w:t xml:space="preserve">” company in </w:t>
      </w:r>
      <w:proofErr w:type="spellStart"/>
      <w:r w:rsidRPr="002002AC">
        <w:rPr>
          <w:rFonts w:ascii="Arial" w:hAnsi="Arial" w:cs="Arial"/>
        </w:rPr>
        <w:t>Setu-Lubang</w:t>
      </w:r>
      <w:proofErr w:type="spellEnd"/>
      <w:r w:rsidRPr="002002AC">
        <w:rPr>
          <w:rFonts w:ascii="Arial" w:hAnsi="Arial" w:cs="Arial"/>
        </w:rPr>
        <w:t xml:space="preserve"> </w:t>
      </w:r>
      <w:proofErr w:type="spellStart"/>
      <w:r w:rsidRPr="002002AC">
        <w:rPr>
          <w:rFonts w:ascii="Arial" w:hAnsi="Arial" w:cs="Arial"/>
        </w:rPr>
        <w:t>Buaya</w:t>
      </w:r>
      <w:proofErr w:type="spellEnd"/>
      <w:r w:rsidRPr="002002AC">
        <w:rPr>
          <w:rFonts w:ascii="Arial" w:hAnsi="Arial" w:cs="Arial"/>
        </w:rPr>
        <w:t xml:space="preserve"> (</w:t>
      </w:r>
      <w:proofErr w:type="spellStart"/>
      <w:r w:rsidR="00897559">
        <w:rPr>
          <w:rFonts w:ascii="Arial" w:hAnsi="Arial" w:cs="Arial"/>
        </w:rPr>
        <w:t>Panjaitan</w:t>
      </w:r>
      <w:proofErr w:type="spellEnd"/>
      <w:r w:rsidRPr="002002AC">
        <w:rPr>
          <w:rFonts w:ascii="Arial" w:hAnsi="Arial" w:cs="Arial"/>
        </w:rPr>
        <w:t xml:space="preserve"> et al., 2025) in Bekasi. Marketing management relies on location, part of the marketing mix (place), to make products and services accessible to consumers. A good location increases revenues, consumer traffic, and marketing techniques. Thus, choosing a strategic site improves operational efficiency and strengthens MSMEs' competitiveness in a changing market. The empirical findings complement company strategy and marketing management frameworks by showing that location is a key factor in MSME success. </w:t>
      </w:r>
    </w:p>
    <w:p w14:paraId="45B82B4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61A17B" w14:textId="77777777" w:rsidR="00790ADA" w:rsidRPr="00FB3A86" w:rsidRDefault="00790ADA" w:rsidP="00441B6F">
      <w:pPr>
        <w:pStyle w:val="ConcHead"/>
        <w:spacing w:after="0"/>
        <w:jc w:val="both"/>
        <w:rPr>
          <w:rFonts w:ascii="Arial" w:hAnsi="Arial" w:cs="Arial"/>
        </w:rPr>
      </w:pPr>
    </w:p>
    <w:p w14:paraId="4D7CBF3A" w14:textId="77777777" w:rsidR="002002AC" w:rsidRDefault="002002AC" w:rsidP="002002AC">
      <w:pPr>
        <w:pStyle w:val="Body"/>
        <w:rPr>
          <w:rFonts w:ascii="Arial" w:hAnsi="Arial" w:cs="Arial"/>
        </w:rPr>
      </w:pPr>
      <w:r w:rsidRPr="002002AC">
        <w:rPr>
          <w:rFonts w:ascii="Arial" w:hAnsi="Arial" w:cs="Arial"/>
        </w:rPr>
        <w:t xml:space="preserve">Based on data analysis and debate, numerous audiences may be derived about Malang MSME performance determinants. First, access to digital loans improves MSME performance but not statistically, showing that although digital lending services are accessible, their use has not yet improved MSME performance. MSME actors may be unprepared to manage loans or utilize digital lending platforms poorly. Second, e-commerce marketing has a good and substantial influence on MSMEs' revenue growth, operational efficiency, and market expansion. Third, strategic company location that is accessible to customers and backed by suitable infrastructure boosts sales and operational reliability. MSME success is 30% driven by digital loan availability, e-commerce marketing, and company location, and 70% by product innovation, human resource quality, and manufacturing technology. Digital marketing tactics and strategic placement are crucial to MSME success in Malang, as e-commerce marketing and strategic location are more important than digital loan access. These results provide numerous suggestions. MSME players should employ digital technologies, especially e-commerce, to improve marketing and financial literacy to use digital loans effectively. Along with infrastructure upgrades, local governments and affiliated institutions should provide continuing financial management, digital marketing, and strategic site planning training. Product quality, innovation, management capability, and social media use should be explored for future study, and </w:t>
      </w:r>
      <w:r w:rsidRPr="002002AC">
        <w:rPr>
          <w:rFonts w:ascii="Arial" w:hAnsi="Arial" w:cs="Arial"/>
        </w:rPr>
        <w:lastRenderedPageBreak/>
        <w:t xml:space="preserve">qualitative methods might provide more information. These strategies seek to boost Malang MSMEs' competitiveness, sustainability, and performance. </w:t>
      </w:r>
    </w:p>
    <w:p w14:paraId="5DDF4650" w14:textId="14F97924" w:rsidR="002B685A" w:rsidRDefault="002B685A" w:rsidP="00441B6F">
      <w:pPr>
        <w:pStyle w:val="ReferHead"/>
        <w:spacing w:after="0"/>
        <w:jc w:val="both"/>
        <w:rPr>
          <w:rFonts w:ascii="Arial" w:hAnsi="Arial" w:cs="Arial"/>
          <w:b w:val="0"/>
          <w:caps w:val="0"/>
          <w:sz w:val="20"/>
        </w:rPr>
      </w:pPr>
    </w:p>
    <w:p w14:paraId="41A90E3A" w14:textId="77777777" w:rsidR="00AF6C48" w:rsidRDefault="00AF6C48" w:rsidP="00441B6F">
      <w:pPr>
        <w:pStyle w:val="ReferHead"/>
        <w:spacing w:after="0"/>
        <w:jc w:val="both"/>
        <w:rPr>
          <w:rFonts w:ascii="Arial" w:hAnsi="Arial" w:cs="Arial"/>
          <w:b w:val="0"/>
          <w:caps w:val="0"/>
          <w:sz w:val="20"/>
        </w:rPr>
      </w:pPr>
    </w:p>
    <w:p w14:paraId="59995E8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CC375C" w14:textId="77777777" w:rsidR="00790ADA" w:rsidRPr="00FB3A86" w:rsidRDefault="00790ADA" w:rsidP="00441B6F">
      <w:pPr>
        <w:pStyle w:val="ReferHead"/>
        <w:spacing w:after="0"/>
        <w:jc w:val="both"/>
        <w:rPr>
          <w:rFonts w:ascii="Arial" w:hAnsi="Arial" w:cs="Arial"/>
        </w:rPr>
      </w:pPr>
    </w:p>
    <w:p w14:paraId="1216A27E"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Aidina, M., &amp; Rudini, A. (2021). The Influence of Business Capital and Business Location on the Success of Micro, Small, and Medium Enterprises (MSMEs) in the Food Sector in Sampit. Journal of the Application of Management Science and Entrepreneurship, 6(2), 47–57.</w:t>
      </w:r>
    </w:p>
    <w:p w14:paraId="09647E50"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Aji, A. W., &amp; Listyaningrum, S. P. (2021). The Influence of Business Capital, Business Location, and Information Technology on MSME Income in Bantul Regency. JIAI (Indonesian Accounting Scientific Journal), 6(1). https://doi.org/10.32528/jiai.v6i1.5067</w:t>
      </w:r>
    </w:p>
    <w:p w14:paraId="6F4E81ED"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Ali, M. M., Hariyati, T., Pratiwi, M. Y., &amp; Afifah, S. (2022). Quantitative Research Methodology and Its Application in Research. Education Journal. 2022, 2(2), 1–6.</w:t>
      </w:r>
    </w:p>
    <w:p w14:paraId="31DB4A26"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Anggara, R., &amp; Purnamawati, I. G. A. (2023). The Influence of Financial Literacy and Capital Access on the Sustainability of MSMEs in Karangasem District. JIMAT (Scientific Journal of Accounting Students) Undiksha, 14(03), 549–558. https://doi.org/10.23887/jimat.v14i03.62169</w:t>
      </w:r>
    </w:p>
    <w:p w14:paraId="44B860C2"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Azhari Hutabarat, M. P., Yunita, N. A., Putri, R. G., &amp; Indrayani, I. (2022). The Influence of Business Capital, Use of Accounting Information, and E-commerce Sales Systems on the Financial Performance of Micro, Small, and Medium Enterprises (A Study of Micro, Small, and Medium Enterprises in Lhokseumawe City). Malikussaleh Accounting Journal (JAM), 1(1), 1. https://doi.org/10.29103/jam.v1i1.6852</w:t>
      </w:r>
    </w:p>
    <w:p w14:paraId="7064BADB"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Candra Susanto, P., Ulfah Arini, D., Yuntina, L., Panatap Soehaditama, J., &amp; Nuraeni, N. (2024). Quantitative Research Concepts: Population, Sample, and Data Analysis (A Literature Review). Multidisciplinary Journal of Science, 3(1), 1–12. https://doi.org/10.38035/jim.v3i1.504</w:t>
      </w:r>
    </w:p>
    <w:p w14:paraId="63614F3B"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Choirunisa, R., &amp; Mulyanti, D. (2023). Literature Review: The Role of E-Commerce in Increasing MSME Income in the New Normal Era. EBI Journal, 5(1), 9–15. https://doi.org/10.52061/ebi.v5i1.102</w:t>
      </w:r>
    </w:p>
    <w:p w14:paraId="27296506"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Eka, A., Ningrum, K., Furqani, A., Wiraraja, U., &amp; E-cash, M. (2025). THE ROLE OF DIGITAL PAYMENT ON MSME PERFORMANCE (A STUDY OF KERIS MSMES IN SUMENEP). 2(2), 1847–1857.</w:t>
      </w:r>
    </w:p>
    <w:p w14:paraId="7A1561CE"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Fitriyani, H. S. (2023). The Influence of Entrepreneurial Knowledge and Business Location on the Success of a Perfume Business in Sampit. Journal of Management Science and Entrepreneurship, 3(1), 134–141.</w:t>
      </w:r>
    </w:p>
    <w:p w14:paraId="215618BE"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Gainau, P. C., &amp; Kilay, T. N. (2023). The Effect of Digital Capital Services on MSME Performance. Journal of Cita Ekonomika, 17(2), 208–215. https://doi.org/10.51125/citaekonomika.v17i2.11427</w:t>
      </w:r>
    </w:p>
    <w:p w14:paraId="7F000311"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lastRenderedPageBreak/>
        <w:t>Kartini, K., Meylin Rahmawati, Sulistya Rini Pratiwi, Rika Wahyuni, &amp; Istianah Asas. (2024). Digitally Capable MSMEs through E-Commerce Implementation: An Empirical Study in Tarakan City. Alwatzikhoebillah Journal: Studies on Islam, Education, Economics, and Humanities, 10(2), 318–331. https://doi.org/10.37567/alwatzikhoebillah.v10i2.2790</w:t>
      </w:r>
    </w:p>
    <w:p w14:paraId="3E829F68"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Marfuah, S. T., &amp; Hartiyah, S. (2019). The Effect of Equity, People's Business Credit (KUR), Technology, Length of Business, and Business Location on Business Income (A Case Study of MSMEs in Wonosobo Regency). Journal of Economic, Business and Engineering, 1(1), 183–195.</w:t>
      </w:r>
    </w:p>
    <w:p w14:paraId="342A38EA"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Masyitoh, S., Azhad, M. N., Program, J. R., Management, S., &amp; Ekonomi, F. (2017). Application of the Resource-Based View (RBV) Concept in Efforts to Maintain Company Competitive Advantage (Kaauss Study at Akifani Mutiara Mataram Artshop). Journal of Administrative Sciences: Media for the Development of Administrative Science and Practice, 14(1), 82–95.</w:t>
      </w:r>
    </w:p>
    <w:p w14:paraId="52D64492"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Mochamad, R., Wirakusumah, I., &amp; Hesananda, R. (2025). Predicting the Growth of MSMEs in West Java Towards Golden Indonesia 2045 Using Linear Regression. 2(1), 77–86.</w:t>
      </w:r>
    </w:p>
    <w:p w14:paraId="01116D89"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Muharam, D. R. (2017). Application of the Resource-Based View (RBV) Concept in Efforts to Maintain Company Competitive Advantage. Journal of Administrative Sciences: Media for the Development of Administrative Science and Practice, 14(1), 82–95. https://doi.org/10.31113/jia.v14i1.4</w:t>
      </w:r>
    </w:p>
    <w:p w14:paraId="14A3C1BE"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Mutianisa, R., &amp; Cahyani, R. R. (2024). Business Location Selection and Business Success. JUKERDI: Journal of Smart and Digital Entrepreneurship, 1(2), 10–17.</w:t>
      </w:r>
    </w:p>
    <w:p w14:paraId="694C4680"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Noviani Hanum, A., &amp; Sinarasri, A. (2018). Analysis of Factors Influencing E-Commerce Adoption and Its Impact on MSME Performance (Case Study of MSMEs in Semarang City). Maksimum, 8(1), 1. https://doi.org/10.26714/mki.8.1.2018.1-15</w:t>
      </w:r>
    </w:p>
    <w:p w14:paraId="2E3995D9"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Panjaitan, Y. G., Febrian, R., &amp; Faisal, A. (2025). Assistance in Determining Strategic Locations to Improve the Performance of MSMEs (Micro, Small, and Medium Enterprises) Meatballs (MSMEs) in Bekasi, Setu District. PENDIMAS: Journal of Community Service, 4(1), 72-78.</w:t>
      </w:r>
    </w:p>
    <w:p w14:paraId="723672DB"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Putri, P. B. M. (2022). The Influence of Capital, Labor, Management, Business Location, and E-Commerce Use on Sales of Fashion Traders in Denpasar City. E-Journal of Development Economics, Udayana University, 11(7), 2809. https://doi.org/10.24843/eep.2022.v11.i07.p13</w:t>
      </w:r>
    </w:p>
    <w:p w14:paraId="2DE13146"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Sukmantari, N. K. Y., &amp; Julianto, I. P. (2022). The Effect of Accounting Information System Implementation, Human Resource Quality, and E-Commerce Utilization on the Performance of MSMEs (Micro, Small, and Medium Enterprises) of Padas Stone Craftsmen in…. Journal of Professional Accounting, 13, 777–786.</w:t>
      </w:r>
    </w:p>
    <w:p w14:paraId="332C0BB1"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Sulistiogo, A. (2019). MSME Performance: The Impact of Human Resource Quality and Access to Information on Access to Capital. Journal of Management and Business Dynamics, 2(1), 1–11.</w:t>
      </w:r>
    </w:p>
    <w:p w14:paraId="3D3F2B00"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lastRenderedPageBreak/>
        <w:t>Sutanto, H., Nurhaliza, E., &amp; Mardiah, A. (2024). The Effect of Digital Technology Adoption and Online Marketing Strategies on Business Performance in KewEntrepreneurship in Indonesia. 3(01). https://doi.org/10.58812/sek.v3i01</w:t>
      </w:r>
    </w:p>
    <w:p w14:paraId="3B616176"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Teruna, D., &amp; Ardiansyah, T. (2021). Analysis of Online Product Sales of MSMEs through Marketplaces and E-Commerce Using a Binary Logistic Regression Approach. Journal of Education and Entrepreneurship, 10(1), 204–220. https://doi.org/10.47668/pkwu.v10i1.281</w:t>
      </w:r>
    </w:p>
    <w:p w14:paraId="21E4CA21"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Triandra, N., Hambali, D., Nurasia, &amp; Rosalina, N. (2019). Analysis of the Effect of E-Commerce on Improving MSME Performance (Case Study of MSMEs in Sumbawa Regency). Indonesian Journal of Economics and Business, 4(1), 6–10. https://doi.org/10.37673/jebi.v4i1.259</w:t>
      </w:r>
    </w:p>
    <w:p w14:paraId="612B1ACB" w14:textId="77777777" w:rsidR="00C61C56" w:rsidRPr="00C61C56" w:rsidRDefault="00C61C56" w:rsidP="00C61C56">
      <w:pPr>
        <w:pStyle w:val="Body"/>
        <w:ind w:left="709" w:hanging="709"/>
        <w:rPr>
          <w:rFonts w:ascii="Arial" w:hAnsi="Arial" w:cs="Arial"/>
          <w:lang w:val="id-ID"/>
        </w:rPr>
      </w:pPr>
      <w:r w:rsidRPr="00C61C56">
        <w:rPr>
          <w:rFonts w:ascii="Arial" w:hAnsi="Arial" w:cs="Arial"/>
          <w:lang w:val="id-ID"/>
        </w:rPr>
        <w:t>Utami, R. F. A. (2023). THE EFFECT OF FINANCIAL LITERACY, ACCESS TO CAPITAL, MOTIVATION, INTEREST IN USING E-COMMERCE, AND FINANCIAL INCLUSION ON THE PERFORMANCE OF MSMEs IN TEGAL CITY (Empirical Study on MSMEs in Tegal City). 1–100.</w:t>
      </w:r>
    </w:p>
    <w:p w14:paraId="3A0AB6E1" w14:textId="4DAFD089" w:rsidR="00AD560B" w:rsidRDefault="00C61C56" w:rsidP="00C61C56">
      <w:pPr>
        <w:pStyle w:val="Body"/>
        <w:spacing w:after="0"/>
        <w:ind w:left="709" w:hanging="709"/>
        <w:rPr>
          <w:rFonts w:ascii="Arial" w:hAnsi="Arial" w:cs="Arial"/>
        </w:rPr>
      </w:pPr>
      <w:r w:rsidRPr="00C61C56">
        <w:rPr>
          <w:rFonts w:ascii="Arial" w:hAnsi="Arial" w:cs="Arial"/>
          <w:lang w:val="id-ID"/>
        </w:rPr>
        <w:t>Windi, R., Masitoh, M., Wijayantini, B., Haris, H., &amp; Mm, S. E. (2020). RBV (Resources Based View) Analysis of Home Industries in Wuluhan District (Case Study of Kedai Mie 98). Journal of Islamic Economics, 5(2), 1–14.</w:t>
      </w:r>
    </w:p>
    <w:sectPr w:rsidR="00AD560B" w:rsidSect="00AF6C4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81E7D" w14:textId="77777777" w:rsidR="00814950" w:rsidRDefault="00814950" w:rsidP="00C37E61">
      <w:r>
        <w:separator/>
      </w:r>
    </w:p>
  </w:endnote>
  <w:endnote w:type="continuationSeparator" w:id="0">
    <w:p w14:paraId="04E9ED48" w14:textId="77777777" w:rsidR="00814950" w:rsidRDefault="008149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BACD" w14:textId="77777777" w:rsidR="00AF6C48" w:rsidRDefault="00AF6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EE3B" w14:textId="77777777" w:rsidR="00AF6C48" w:rsidRDefault="00AF6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55E9" w14:textId="05442403" w:rsidR="00754C9A" w:rsidRPr="00AF6C48" w:rsidRDefault="00754C9A" w:rsidP="00AF6C48">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A586A" w14:textId="77777777" w:rsidR="00814950" w:rsidRDefault="00814950" w:rsidP="00C37E61">
      <w:r>
        <w:separator/>
      </w:r>
    </w:p>
  </w:footnote>
  <w:footnote w:type="continuationSeparator" w:id="0">
    <w:p w14:paraId="7C9511A2" w14:textId="77777777" w:rsidR="00814950" w:rsidRDefault="008149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A3F32" w14:textId="5956D9EE" w:rsidR="00AF6C48" w:rsidRDefault="00AF6C48">
    <w:pPr>
      <w:pStyle w:val="Header"/>
    </w:pPr>
    <w:r>
      <w:rPr>
        <w:noProof/>
      </w:rPr>
      <w:pict w14:anchorId="26C11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546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F3120" w14:textId="411CB8B2" w:rsidR="00AF6C48" w:rsidRDefault="00AF6C48">
    <w:pPr>
      <w:pStyle w:val="Header"/>
    </w:pPr>
    <w:r>
      <w:rPr>
        <w:noProof/>
      </w:rPr>
      <w:pict w14:anchorId="3DE2C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546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E836" w14:textId="48AD5E91" w:rsidR="00296529" w:rsidRPr="00296529" w:rsidRDefault="00AF6C48" w:rsidP="00296529">
    <w:pPr>
      <w:ind w:left="2160"/>
      <w:jc w:val="center"/>
      <w:rPr>
        <w:rFonts w:ascii="Times New Roman" w:eastAsia="Calibri" w:hAnsi="Times New Roman"/>
        <w:i/>
        <w:sz w:val="18"/>
        <w:szCs w:val="22"/>
      </w:rPr>
    </w:pPr>
    <w:r>
      <w:rPr>
        <w:noProof/>
      </w:rPr>
      <w:pict w14:anchorId="38023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546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4924CA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92EE1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C3EEB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AAF6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CD88A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FF442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EE8"/>
    <w:rsid w:val="0001548E"/>
    <w:rsid w:val="000166D1"/>
    <w:rsid w:val="00030174"/>
    <w:rsid w:val="0004261A"/>
    <w:rsid w:val="0004579C"/>
    <w:rsid w:val="000814DE"/>
    <w:rsid w:val="00091918"/>
    <w:rsid w:val="000A47FA"/>
    <w:rsid w:val="000A65D3"/>
    <w:rsid w:val="000B1E33"/>
    <w:rsid w:val="000C64EC"/>
    <w:rsid w:val="000D33F9"/>
    <w:rsid w:val="000D689F"/>
    <w:rsid w:val="000D706A"/>
    <w:rsid w:val="000E7B7B"/>
    <w:rsid w:val="000E7D62"/>
    <w:rsid w:val="00103357"/>
    <w:rsid w:val="00123C9F"/>
    <w:rsid w:val="00126190"/>
    <w:rsid w:val="00130F17"/>
    <w:rsid w:val="001320BF"/>
    <w:rsid w:val="0015330A"/>
    <w:rsid w:val="00163BC4"/>
    <w:rsid w:val="00191062"/>
    <w:rsid w:val="00192B72"/>
    <w:rsid w:val="001A29D8"/>
    <w:rsid w:val="001A5CAA"/>
    <w:rsid w:val="001B0427"/>
    <w:rsid w:val="001D3A51"/>
    <w:rsid w:val="001E10D2"/>
    <w:rsid w:val="001E25B4"/>
    <w:rsid w:val="001E44FE"/>
    <w:rsid w:val="002002AC"/>
    <w:rsid w:val="00200595"/>
    <w:rsid w:val="0020279E"/>
    <w:rsid w:val="00204835"/>
    <w:rsid w:val="00231920"/>
    <w:rsid w:val="0023195C"/>
    <w:rsid w:val="0024282C"/>
    <w:rsid w:val="002460DC"/>
    <w:rsid w:val="00250985"/>
    <w:rsid w:val="002556F6"/>
    <w:rsid w:val="0027249B"/>
    <w:rsid w:val="00272B57"/>
    <w:rsid w:val="002825E2"/>
    <w:rsid w:val="00283105"/>
    <w:rsid w:val="00284C4C"/>
    <w:rsid w:val="00287E68"/>
    <w:rsid w:val="00295593"/>
    <w:rsid w:val="00296529"/>
    <w:rsid w:val="002974FA"/>
    <w:rsid w:val="002B27FB"/>
    <w:rsid w:val="002B685A"/>
    <w:rsid w:val="002C57D2"/>
    <w:rsid w:val="002E0D56"/>
    <w:rsid w:val="002E34E9"/>
    <w:rsid w:val="003026A5"/>
    <w:rsid w:val="00315186"/>
    <w:rsid w:val="0033343E"/>
    <w:rsid w:val="003512C2"/>
    <w:rsid w:val="0036052C"/>
    <w:rsid w:val="00371FB6"/>
    <w:rsid w:val="003763C1"/>
    <w:rsid w:val="00376BBE"/>
    <w:rsid w:val="0039224F"/>
    <w:rsid w:val="003A43A4"/>
    <w:rsid w:val="003A7E18"/>
    <w:rsid w:val="003B280B"/>
    <w:rsid w:val="003C4C86"/>
    <w:rsid w:val="003C59B3"/>
    <w:rsid w:val="003C6258"/>
    <w:rsid w:val="003C68A1"/>
    <w:rsid w:val="003E2904"/>
    <w:rsid w:val="003F0079"/>
    <w:rsid w:val="00401927"/>
    <w:rsid w:val="0041027F"/>
    <w:rsid w:val="00412475"/>
    <w:rsid w:val="00423789"/>
    <w:rsid w:val="004358CF"/>
    <w:rsid w:val="00440F43"/>
    <w:rsid w:val="00441B6F"/>
    <w:rsid w:val="004454AC"/>
    <w:rsid w:val="00446221"/>
    <w:rsid w:val="00450E62"/>
    <w:rsid w:val="004539DB"/>
    <w:rsid w:val="00471A80"/>
    <w:rsid w:val="004A3FD7"/>
    <w:rsid w:val="004B0BB9"/>
    <w:rsid w:val="004B7B42"/>
    <w:rsid w:val="004D305E"/>
    <w:rsid w:val="004D4277"/>
    <w:rsid w:val="004E355B"/>
    <w:rsid w:val="004E6A57"/>
    <w:rsid w:val="00502516"/>
    <w:rsid w:val="00505F06"/>
    <w:rsid w:val="00506828"/>
    <w:rsid w:val="0053056E"/>
    <w:rsid w:val="00532677"/>
    <w:rsid w:val="00540C23"/>
    <w:rsid w:val="00554FDA"/>
    <w:rsid w:val="00574D85"/>
    <w:rsid w:val="005B55F1"/>
    <w:rsid w:val="005C1010"/>
    <w:rsid w:val="005C784C"/>
    <w:rsid w:val="005D17F6"/>
    <w:rsid w:val="005E5539"/>
    <w:rsid w:val="005F5434"/>
    <w:rsid w:val="00602BF5"/>
    <w:rsid w:val="00617FDD"/>
    <w:rsid w:val="00630A04"/>
    <w:rsid w:val="00633614"/>
    <w:rsid w:val="00633F68"/>
    <w:rsid w:val="00636EB2"/>
    <w:rsid w:val="006375B8"/>
    <w:rsid w:val="006434F6"/>
    <w:rsid w:val="0066510A"/>
    <w:rsid w:val="00671A2B"/>
    <w:rsid w:val="00673F9F"/>
    <w:rsid w:val="00686953"/>
    <w:rsid w:val="00687DEA"/>
    <w:rsid w:val="00687E67"/>
    <w:rsid w:val="006967F7"/>
    <w:rsid w:val="006A250C"/>
    <w:rsid w:val="006B21D3"/>
    <w:rsid w:val="006B57D0"/>
    <w:rsid w:val="006C3186"/>
    <w:rsid w:val="006C3E34"/>
    <w:rsid w:val="006D30FF"/>
    <w:rsid w:val="006D6940"/>
    <w:rsid w:val="006E53B2"/>
    <w:rsid w:val="006F11EC"/>
    <w:rsid w:val="0070082C"/>
    <w:rsid w:val="00724FAC"/>
    <w:rsid w:val="007369E6"/>
    <w:rsid w:val="00746E59"/>
    <w:rsid w:val="00754C9A"/>
    <w:rsid w:val="0075599A"/>
    <w:rsid w:val="00761D52"/>
    <w:rsid w:val="0077749E"/>
    <w:rsid w:val="00790ADA"/>
    <w:rsid w:val="0079449F"/>
    <w:rsid w:val="007D2288"/>
    <w:rsid w:val="007E088F"/>
    <w:rsid w:val="007F29B3"/>
    <w:rsid w:val="007F7B32"/>
    <w:rsid w:val="00804BC2"/>
    <w:rsid w:val="0081431A"/>
    <w:rsid w:val="00814950"/>
    <w:rsid w:val="0083216F"/>
    <w:rsid w:val="00860000"/>
    <w:rsid w:val="00863BD3"/>
    <w:rsid w:val="008641ED"/>
    <w:rsid w:val="00866D66"/>
    <w:rsid w:val="008671C6"/>
    <w:rsid w:val="00875803"/>
    <w:rsid w:val="008769F0"/>
    <w:rsid w:val="00880816"/>
    <w:rsid w:val="00897559"/>
    <w:rsid w:val="008B459E"/>
    <w:rsid w:val="008B6310"/>
    <w:rsid w:val="008E13AE"/>
    <w:rsid w:val="008E1506"/>
    <w:rsid w:val="008E710C"/>
    <w:rsid w:val="008F69D6"/>
    <w:rsid w:val="00902823"/>
    <w:rsid w:val="0091234A"/>
    <w:rsid w:val="00915CA6"/>
    <w:rsid w:val="00927834"/>
    <w:rsid w:val="009500A6"/>
    <w:rsid w:val="00957C18"/>
    <w:rsid w:val="009659BA"/>
    <w:rsid w:val="0097764D"/>
    <w:rsid w:val="00983040"/>
    <w:rsid w:val="00997695"/>
    <w:rsid w:val="009B3FB9"/>
    <w:rsid w:val="009C2465"/>
    <w:rsid w:val="009D35A0"/>
    <w:rsid w:val="009D7EB7"/>
    <w:rsid w:val="009E048A"/>
    <w:rsid w:val="009E08E9"/>
    <w:rsid w:val="009E3DB9"/>
    <w:rsid w:val="009E65DF"/>
    <w:rsid w:val="009E6E35"/>
    <w:rsid w:val="009E700A"/>
    <w:rsid w:val="009F0EDA"/>
    <w:rsid w:val="009F47A7"/>
    <w:rsid w:val="00A03B96"/>
    <w:rsid w:val="00A05B19"/>
    <w:rsid w:val="00A1134E"/>
    <w:rsid w:val="00A11A4C"/>
    <w:rsid w:val="00A24E7E"/>
    <w:rsid w:val="00A258C3"/>
    <w:rsid w:val="00A347C0"/>
    <w:rsid w:val="00A51431"/>
    <w:rsid w:val="00A539AD"/>
    <w:rsid w:val="00A646BB"/>
    <w:rsid w:val="00A82053"/>
    <w:rsid w:val="00A94063"/>
    <w:rsid w:val="00AA6219"/>
    <w:rsid w:val="00AA74E0"/>
    <w:rsid w:val="00AB703F"/>
    <w:rsid w:val="00AC6BB8"/>
    <w:rsid w:val="00AD560B"/>
    <w:rsid w:val="00AE008F"/>
    <w:rsid w:val="00AF6C48"/>
    <w:rsid w:val="00B01FCD"/>
    <w:rsid w:val="00B1776C"/>
    <w:rsid w:val="00B50BB1"/>
    <w:rsid w:val="00B52583"/>
    <w:rsid w:val="00B52896"/>
    <w:rsid w:val="00B65566"/>
    <w:rsid w:val="00B95236"/>
    <w:rsid w:val="00B96BD9"/>
    <w:rsid w:val="00BA1B01"/>
    <w:rsid w:val="00BA2641"/>
    <w:rsid w:val="00BB37AA"/>
    <w:rsid w:val="00BB5414"/>
    <w:rsid w:val="00BC155B"/>
    <w:rsid w:val="00BC53A0"/>
    <w:rsid w:val="00BE62AD"/>
    <w:rsid w:val="00BF121F"/>
    <w:rsid w:val="00BF1F80"/>
    <w:rsid w:val="00C166EF"/>
    <w:rsid w:val="00C17EB0"/>
    <w:rsid w:val="00C27F5F"/>
    <w:rsid w:val="00C30A0F"/>
    <w:rsid w:val="00C37E61"/>
    <w:rsid w:val="00C61C56"/>
    <w:rsid w:val="00C70F1B"/>
    <w:rsid w:val="00C71A47"/>
    <w:rsid w:val="00C7464C"/>
    <w:rsid w:val="00C81E19"/>
    <w:rsid w:val="00C85588"/>
    <w:rsid w:val="00C95C3C"/>
    <w:rsid w:val="00CB2259"/>
    <w:rsid w:val="00CC6652"/>
    <w:rsid w:val="00CD6755"/>
    <w:rsid w:val="00CD6856"/>
    <w:rsid w:val="00CE0089"/>
    <w:rsid w:val="00CE793C"/>
    <w:rsid w:val="00CF193C"/>
    <w:rsid w:val="00CF2C81"/>
    <w:rsid w:val="00D05CB9"/>
    <w:rsid w:val="00D173F1"/>
    <w:rsid w:val="00D2074B"/>
    <w:rsid w:val="00D5655A"/>
    <w:rsid w:val="00D66418"/>
    <w:rsid w:val="00D66A88"/>
    <w:rsid w:val="00D74CB0"/>
    <w:rsid w:val="00D8295D"/>
    <w:rsid w:val="00DC2A65"/>
    <w:rsid w:val="00DE0D41"/>
    <w:rsid w:val="00DE15F0"/>
    <w:rsid w:val="00DE5663"/>
    <w:rsid w:val="00DE78AA"/>
    <w:rsid w:val="00E053D0"/>
    <w:rsid w:val="00E15994"/>
    <w:rsid w:val="00E3114E"/>
    <w:rsid w:val="00E31A70"/>
    <w:rsid w:val="00E35B02"/>
    <w:rsid w:val="00E36AAD"/>
    <w:rsid w:val="00E66496"/>
    <w:rsid w:val="00E66B35"/>
    <w:rsid w:val="00E66E10"/>
    <w:rsid w:val="00E769F6"/>
    <w:rsid w:val="00E8407C"/>
    <w:rsid w:val="00E84F3C"/>
    <w:rsid w:val="00EA012C"/>
    <w:rsid w:val="00EA6131"/>
    <w:rsid w:val="00EB4019"/>
    <w:rsid w:val="00EC6A55"/>
    <w:rsid w:val="00ED0288"/>
    <w:rsid w:val="00EE0423"/>
    <w:rsid w:val="00EE52CB"/>
    <w:rsid w:val="00EF581D"/>
    <w:rsid w:val="00EF7FD8"/>
    <w:rsid w:val="00F06F59"/>
    <w:rsid w:val="00F17988"/>
    <w:rsid w:val="00F469F0"/>
    <w:rsid w:val="00F53273"/>
    <w:rsid w:val="00F54355"/>
    <w:rsid w:val="00F755E4"/>
    <w:rsid w:val="00F77D02"/>
    <w:rsid w:val="00FA018A"/>
    <w:rsid w:val="00FA68B6"/>
    <w:rsid w:val="00FB3A86"/>
    <w:rsid w:val="00FC444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244763E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0279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citation-39">
    <w:name w:val="citation-39"/>
    <w:basedOn w:val="DefaultParagraphFont"/>
    <w:rsid w:val="00CC6652"/>
  </w:style>
  <w:style w:type="character" w:customStyle="1" w:styleId="citation-38">
    <w:name w:val="citation-38"/>
    <w:basedOn w:val="DefaultParagraphFont"/>
    <w:rsid w:val="00CC6652"/>
  </w:style>
  <w:style w:type="character" w:customStyle="1" w:styleId="citation-37">
    <w:name w:val="citation-37"/>
    <w:basedOn w:val="DefaultParagraphFont"/>
    <w:rsid w:val="00CC6652"/>
  </w:style>
  <w:style w:type="character" w:customStyle="1" w:styleId="citation-36">
    <w:name w:val="citation-36"/>
    <w:basedOn w:val="DefaultParagraphFont"/>
    <w:rsid w:val="00CC6652"/>
  </w:style>
  <w:style w:type="character" w:customStyle="1" w:styleId="citation-35">
    <w:name w:val="citation-35"/>
    <w:basedOn w:val="DefaultParagraphFont"/>
    <w:rsid w:val="00CC6652"/>
  </w:style>
  <w:style w:type="character" w:customStyle="1" w:styleId="citation-34">
    <w:name w:val="citation-34"/>
    <w:basedOn w:val="DefaultParagraphFont"/>
    <w:rsid w:val="00CC6652"/>
  </w:style>
  <w:style w:type="character" w:customStyle="1" w:styleId="citation-33">
    <w:name w:val="citation-33"/>
    <w:basedOn w:val="DefaultParagraphFont"/>
    <w:rsid w:val="00CC6652"/>
  </w:style>
  <w:style w:type="character" w:customStyle="1" w:styleId="citation-32">
    <w:name w:val="citation-32"/>
    <w:basedOn w:val="DefaultParagraphFont"/>
    <w:rsid w:val="00CC6652"/>
  </w:style>
  <w:style w:type="character" w:customStyle="1" w:styleId="citation-31">
    <w:name w:val="citation-31"/>
    <w:basedOn w:val="DefaultParagraphFont"/>
    <w:rsid w:val="00CC6652"/>
  </w:style>
  <w:style w:type="character" w:customStyle="1" w:styleId="citation-30">
    <w:name w:val="citation-30"/>
    <w:basedOn w:val="DefaultParagraphFont"/>
    <w:rsid w:val="00CC6652"/>
  </w:style>
  <w:style w:type="character" w:customStyle="1" w:styleId="citation-29">
    <w:name w:val="citation-29"/>
    <w:basedOn w:val="DefaultParagraphFont"/>
    <w:rsid w:val="00CC6652"/>
  </w:style>
  <w:style w:type="character" w:customStyle="1" w:styleId="citation-28">
    <w:name w:val="citation-28"/>
    <w:basedOn w:val="DefaultParagraphFont"/>
    <w:rsid w:val="00CC6652"/>
  </w:style>
  <w:style w:type="character" w:customStyle="1" w:styleId="citation-27">
    <w:name w:val="citation-27"/>
    <w:basedOn w:val="DefaultParagraphFont"/>
    <w:rsid w:val="00CC6652"/>
  </w:style>
  <w:style w:type="character" w:customStyle="1" w:styleId="citation-26">
    <w:name w:val="citation-26"/>
    <w:basedOn w:val="DefaultParagraphFont"/>
    <w:rsid w:val="00295593"/>
  </w:style>
  <w:style w:type="character" w:customStyle="1" w:styleId="citation-25">
    <w:name w:val="citation-25"/>
    <w:basedOn w:val="DefaultParagraphFont"/>
    <w:rsid w:val="00295593"/>
  </w:style>
  <w:style w:type="table" w:styleId="TableGridLight">
    <w:name w:val="Grid Table Light"/>
    <w:basedOn w:val="TableNormal"/>
    <w:uiPriority w:val="40"/>
    <w:rsid w:val="00EA61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20279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D54A1-C4F2-4499-A1E5-F30B9296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13</Pages>
  <Words>6095</Words>
  <Characters>34743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40757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94</cp:revision>
  <cp:lastPrinted>1999-07-06T11:00:00Z</cp:lastPrinted>
  <dcterms:created xsi:type="dcterms:W3CDTF">2014-10-25T14:34:00Z</dcterms:created>
  <dcterms:modified xsi:type="dcterms:W3CDTF">2025-09-26T12:22:00Z</dcterms:modified>
</cp:coreProperties>
</file>