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238F9" w14:textId="17F4AB55" w:rsidR="00A22AB3" w:rsidRDefault="00A22AB3" w:rsidP="00A22AB3">
      <w:pPr>
        <w:jc w:val="center"/>
        <w:rPr>
          <w:rFonts w:ascii="Times New Roman" w:hAnsi="Times New Roman" w:cs="Times New Roman"/>
          <w:b/>
          <w:bCs/>
          <w:sz w:val="28"/>
          <w:szCs w:val="28"/>
        </w:rPr>
      </w:pPr>
      <w:bookmarkStart w:id="0" w:name="_GoBack"/>
      <w:bookmarkEnd w:id="0"/>
      <w:r w:rsidRPr="00A22AB3">
        <w:rPr>
          <w:rFonts w:ascii="Times New Roman" w:hAnsi="Times New Roman" w:cs="Times New Roman"/>
          <w:b/>
          <w:bCs/>
          <w:sz w:val="28"/>
          <w:szCs w:val="28"/>
        </w:rPr>
        <w:t xml:space="preserve">Strategic Development of Commodity-Based Economic Zones: A Case Study of </w:t>
      </w:r>
      <w:proofErr w:type="spellStart"/>
      <w:r w:rsidRPr="00A22AB3">
        <w:rPr>
          <w:rFonts w:ascii="Times New Roman" w:hAnsi="Times New Roman" w:cs="Times New Roman"/>
          <w:b/>
          <w:bCs/>
          <w:sz w:val="28"/>
          <w:szCs w:val="28"/>
        </w:rPr>
        <w:t>Bebesen</w:t>
      </w:r>
      <w:proofErr w:type="spellEnd"/>
      <w:r w:rsidRPr="00A22AB3">
        <w:rPr>
          <w:rFonts w:ascii="Times New Roman" w:hAnsi="Times New Roman" w:cs="Times New Roman"/>
          <w:b/>
          <w:bCs/>
          <w:sz w:val="28"/>
          <w:szCs w:val="28"/>
        </w:rPr>
        <w:t xml:space="preserve"> </w:t>
      </w:r>
      <w:r w:rsidR="0059667B">
        <w:rPr>
          <w:rFonts w:ascii="Times New Roman" w:hAnsi="Times New Roman" w:cs="Times New Roman"/>
          <w:b/>
          <w:bCs/>
          <w:sz w:val="28"/>
          <w:szCs w:val="28"/>
        </w:rPr>
        <w:t>Dis</w:t>
      </w:r>
      <w:r w:rsidRPr="00A22AB3">
        <w:rPr>
          <w:rFonts w:ascii="Times New Roman" w:hAnsi="Times New Roman" w:cs="Times New Roman"/>
          <w:b/>
          <w:bCs/>
          <w:sz w:val="28"/>
          <w:szCs w:val="28"/>
        </w:rPr>
        <w:t>trict, Central Aceh, Indonesia</w:t>
      </w:r>
    </w:p>
    <w:p w14:paraId="006F07EC" w14:textId="77777777" w:rsidR="00E11EAC" w:rsidRPr="00A22AB3" w:rsidRDefault="00E11EAC" w:rsidP="00A22AB3">
      <w:pPr>
        <w:jc w:val="center"/>
        <w:rPr>
          <w:rFonts w:ascii="Times New Roman" w:hAnsi="Times New Roman" w:cs="Times New Roman"/>
          <w:b/>
          <w:bCs/>
          <w:sz w:val="28"/>
          <w:szCs w:val="28"/>
        </w:rPr>
      </w:pPr>
    </w:p>
    <w:p w14:paraId="0945216C" w14:textId="77777777" w:rsidR="00A22AB3" w:rsidRDefault="00A22AB3">
      <w:pPr>
        <w:rPr>
          <w:rFonts w:ascii="Times New Roman" w:hAnsi="Times New Roman" w:cs="Times New Roman"/>
        </w:rPr>
      </w:pPr>
    </w:p>
    <w:p w14:paraId="37C9065A" w14:textId="77777777" w:rsidR="00A22AB3" w:rsidRPr="00A22AB3" w:rsidRDefault="00A22AB3" w:rsidP="00A22AB3">
      <w:pPr>
        <w:jc w:val="center"/>
        <w:rPr>
          <w:rFonts w:ascii="Times New Roman" w:hAnsi="Times New Roman" w:cs="Times New Roman"/>
          <w:b/>
          <w:bCs/>
        </w:rPr>
      </w:pPr>
      <w:r w:rsidRPr="00A22AB3">
        <w:rPr>
          <w:rFonts w:ascii="Times New Roman" w:hAnsi="Times New Roman" w:cs="Times New Roman"/>
          <w:b/>
          <w:bCs/>
        </w:rPr>
        <w:t>Abstract</w:t>
      </w:r>
    </w:p>
    <w:p w14:paraId="36058309" w14:textId="5BB062FC" w:rsidR="00A22AB3" w:rsidRPr="00A22AB3" w:rsidRDefault="00A22AB3" w:rsidP="00A22AB3">
      <w:pPr>
        <w:jc w:val="both"/>
        <w:rPr>
          <w:rFonts w:ascii="Times New Roman" w:hAnsi="Times New Roman" w:cs="Times New Roman"/>
        </w:rPr>
      </w:pP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district in Central Aceh Regency holds significant potential in the agricultural sector, particularly in horticultural crops and Gayo Arabica coffee. However, regional development efforts are hindered by fluctuating productivity, technological limitations, and unstable market access. This study aims to identify key leading commodities, evaluate </w:t>
      </w:r>
      <w:proofErr w:type="spellStart"/>
      <w:r w:rsidRPr="00A22AB3">
        <w:rPr>
          <w:rFonts w:ascii="Times New Roman" w:hAnsi="Times New Roman" w:cs="Times New Roman"/>
        </w:rPr>
        <w:t>Bebesen’s</w:t>
      </w:r>
      <w:proofErr w:type="spellEnd"/>
      <w:r w:rsidRPr="00A22AB3">
        <w:rPr>
          <w:rFonts w:ascii="Times New Roman" w:hAnsi="Times New Roman" w:cs="Times New Roman"/>
        </w:rPr>
        <w:t xml:space="preserve"> economic sectoral classification, and formulate strategic development pathways that are grounded in local economic strengths. Using a mixed-methods approach, the research integrates Location Quotient (LQ), Klassen Typology, and a quantitative SWOT analysis, leveraging statistical data from the Central Bureau of Statistics (2019–2023) and insights from local stakeholder interviews. The results indicate that five horticultural commodities—potatoes, cabbage, cauliflower, spring onions, and shallots—demonstrate LQ values greater than 1, qualifying them as base sectors in the local economy. Conversely, Gayo Arabica coffee has experienced declining productivity and is currently categorized as a non-base sector. Klassen Typology places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in Quadrant I, indicating an advanced and rapidly growing region. The most appropriate development strategy is identified as aggressive, focusing on the downstream integration of horticultural commodities, digital transformation of marketing channels, revitalization of Gayo coffee, and the inclusion of agrotourism models. This integrated framework is expected to enhance the economic value chain, boost regional branding, and position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as a resilient and competitive commodity-based growth hub at both regional and national levels.</w:t>
      </w:r>
    </w:p>
    <w:p w14:paraId="0C80D008" w14:textId="77777777" w:rsidR="00A22AB3" w:rsidRPr="00A22AB3" w:rsidRDefault="00A22AB3" w:rsidP="00A22AB3">
      <w:pPr>
        <w:rPr>
          <w:rFonts w:ascii="Times New Roman" w:hAnsi="Times New Roman" w:cs="Times New Roman"/>
        </w:rPr>
      </w:pPr>
      <w:r w:rsidRPr="00A22AB3">
        <w:rPr>
          <w:rFonts w:ascii="Times New Roman" w:hAnsi="Times New Roman" w:cs="Times New Roman"/>
          <w:b/>
          <w:bCs/>
        </w:rPr>
        <w:t>Keywords:</w:t>
      </w:r>
      <w:r w:rsidRPr="00A22AB3">
        <w:rPr>
          <w:rFonts w:ascii="Times New Roman" w:hAnsi="Times New Roman" w:cs="Times New Roman"/>
        </w:rPr>
        <w:t xml:space="preserve"> Leading commodities, horticulture, Gayo Arabica coffee, regional development strategy, SWOT analysis, economic zoning</w:t>
      </w:r>
    </w:p>
    <w:p w14:paraId="2BC81275" w14:textId="77777777" w:rsidR="00A22AB3" w:rsidRDefault="00A22AB3">
      <w:pPr>
        <w:rPr>
          <w:rFonts w:ascii="Times New Roman" w:hAnsi="Times New Roman" w:cs="Times New Roman"/>
        </w:rPr>
      </w:pPr>
    </w:p>
    <w:p w14:paraId="216B75FD" w14:textId="1933A99B" w:rsidR="00A22AB3" w:rsidRPr="00A22AB3" w:rsidRDefault="0059667B" w:rsidP="00A22AB3">
      <w:pPr>
        <w:rPr>
          <w:rFonts w:ascii="Times New Roman" w:hAnsi="Times New Roman" w:cs="Times New Roman"/>
          <w:b/>
          <w:bCs/>
        </w:rPr>
      </w:pPr>
      <w:r>
        <w:rPr>
          <w:rFonts w:ascii="Times New Roman" w:hAnsi="Times New Roman" w:cs="Times New Roman"/>
          <w:b/>
          <w:bCs/>
        </w:rPr>
        <w:t xml:space="preserve">I. </w:t>
      </w:r>
      <w:r w:rsidRPr="00A22AB3">
        <w:rPr>
          <w:rFonts w:ascii="Times New Roman" w:hAnsi="Times New Roman" w:cs="Times New Roman"/>
          <w:b/>
          <w:bCs/>
        </w:rPr>
        <w:t>INTRODUCTION</w:t>
      </w:r>
    </w:p>
    <w:p w14:paraId="329A3218"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Regional development remains a pivotal component in achieving national economic equity and sustainability. As decentralized governance gains momentum in developing countries, local governments are increasingly tasked with formulating growth strategies that align with their unique resource profiles (</w:t>
      </w:r>
      <w:proofErr w:type="spellStart"/>
      <w:r w:rsidRPr="00A22AB3">
        <w:rPr>
          <w:rFonts w:ascii="Times New Roman" w:hAnsi="Times New Roman" w:cs="Times New Roman"/>
        </w:rPr>
        <w:t>Tarigan</w:t>
      </w:r>
      <w:proofErr w:type="spellEnd"/>
      <w:r w:rsidRPr="00A22AB3">
        <w:rPr>
          <w:rFonts w:ascii="Times New Roman" w:hAnsi="Times New Roman" w:cs="Times New Roman"/>
        </w:rPr>
        <w:t>, 2005). In this context, place-based planning grounded in local comparative advantage has emerged as a dominant paradigm in regional development discourse. This approach emphasizes endogenous growth strategies tailored to local assets, institutions, and market dynamics (Rodríguez-Pose, 2013).</w:t>
      </w:r>
    </w:p>
    <w:p w14:paraId="60808B9F"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One such strategy gaining traction is the development of commodity-based economic zones, which leverage regionally dominant agricultural or industrial outputs. These zones serve as growth nodes that stimulate peripheral development through sectoral clustering and backward-</w:t>
      </w:r>
      <w:r w:rsidRPr="00A22AB3">
        <w:rPr>
          <w:rFonts w:ascii="Times New Roman" w:hAnsi="Times New Roman" w:cs="Times New Roman"/>
        </w:rPr>
        <w:lastRenderedPageBreak/>
        <w:t xml:space="preserve">forward linkages (Porter, 1990). The identification and strategic positioning of leading commodities, therefore, become central to spatial economic transformation in rural regions (Anwar &amp; </w:t>
      </w:r>
      <w:proofErr w:type="spellStart"/>
      <w:r w:rsidRPr="00A22AB3">
        <w:rPr>
          <w:rFonts w:ascii="Times New Roman" w:hAnsi="Times New Roman" w:cs="Times New Roman"/>
        </w:rPr>
        <w:t>Rustiadi</w:t>
      </w:r>
      <w:proofErr w:type="spellEnd"/>
      <w:r w:rsidRPr="00A22AB3">
        <w:rPr>
          <w:rFonts w:ascii="Times New Roman" w:hAnsi="Times New Roman" w:cs="Times New Roman"/>
        </w:rPr>
        <w:t>, 2000). However, such efforts often encounter structural constraints including market volatility, limited technology transfer, and institutional fragmentation (World Bank, 2021).</w:t>
      </w:r>
    </w:p>
    <w:p w14:paraId="3E7948D9" w14:textId="16936D61"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In the Indonesian context, commodity-based planning has been embedded into national and subnational development frameworks. Regulations such as the Qanun No. 9/2009 of Aceh Tengah explicitly promote the utilization of local agricultural assets in driving regional growth. This legislative framework advocates the integration of spatial planning, environmental sustainability, and agricultural revitalization (Bappeda Aceh Tengah, 2023). Nevertheless, implementation at the </w:t>
      </w:r>
      <w:r w:rsidR="0059667B">
        <w:rPr>
          <w:rFonts w:ascii="Times New Roman" w:hAnsi="Times New Roman" w:cs="Times New Roman"/>
        </w:rPr>
        <w:t>dis</w:t>
      </w:r>
      <w:r w:rsidRPr="00A22AB3">
        <w:rPr>
          <w:rFonts w:ascii="Times New Roman" w:hAnsi="Times New Roman" w:cs="Times New Roman"/>
        </w:rPr>
        <w:t>trict level frequently lacks strategic coherence due to limited empirical analysis and fragmented data.</w:t>
      </w:r>
    </w:p>
    <w:p w14:paraId="4DEC90DC" w14:textId="00F4CE56" w:rsidR="00A22AB3" w:rsidRPr="00A22AB3" w:rsidRDefault="00A22AB3" w:rsidP="00A22AB3">
      <w:pPr>
        <w:jc w:val="both"/>
        <w:rPr>
          <w:rFonts w:ascii="Times New Roman" w:hAnsi="Times New Roman" w:cs="Times New Roman"/>
        </w:rPr>
      </w:pPr>
      <w:proofErr w:type="spellStart"/>
      <w:r w:rsidRPr="00A22AB3">
        <w:rPr>
          <w:rFonts w:ascii="Times New Roman" w:hAnsi="Times New Roman" w:cs="Times New Roman"/>
        </w:rPr>
        <w:t>Kecamatan</w:t>
      </w:r>
      <w:proofErr w:type="spellEnd"/>
      <w:r w:rsidRPr="00A22AB3">
        <w:rPr>
          <w:rFonts w:ascii="Times New Roman" w:hAnsi="Times New Roman" w:cs="Times New Roman"/>
        </w:rPr>
        <w:t xml:space="preserve">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t>
      </w:r>
      <w:r w:rsidR="0059667B">
        <w:rPr>
          <w:rFonts w:ascii="Times New Roman" w:hAnsi="Times New Roman" w:cs="Times New Roman"/>
        </w:rPr>
        <w:t>Dis</w:t>
      </w:r>
      <w:r w:rsidRPr="00A22AB3">
        <w:rPr>
          <w:rFonts w:ascii="Times New Roman" w:hAnsi="Times New Roman" w:cs="Times New Roman"/>
        </w:rPr>
        <w:t xml:space="preserve">trict), located in Central Aceh, exemplifies a rural zone with latent economic potential. As part of the </w:t>
      </w:r>
      <w:proofErr w:type="spellStart"/>
      <w:r w:rsidRPr="00A22AB3">
        <w:rPr>
          <w:rFonts w:ascii="Times New Roman" w:hAnsi="Times New Roman" w:cs="Times New Roman"/>
        </w:rPr>
        <w:t>Gayo</w:t>
      </w:r>
      <w:proofErr w:type="spellEnd"/>
      <w:r w:rsidRPr="00A22AB3">
        <w:rPr>
          <w:rFonts w:ascii="Times New Roman" w:hAnsi="Times New Roman" w:cs="Times New Roman"/>
        </w:rPr>
        <w:t xml:space="preserve"> Highlands,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benefits from fertile soils, favorable </w:t>
      </w:r>
      <w:proofErr w:type="spellStart"/>
      <w:r w:rsidRPr="00A22AB3">
        <w:rPr>
          <w:rFonts w:ascii="Times New Roman" w:hAnsi="Times New Roman" w:cs="Times New Roman"/>
        </w:rPr>
        <w:t>agro</w:t>
      </w:r>
      <w:proofErr w:type="spellEnd"/>
      <w:r w:rsidRPr="00A22AB3">
        <w:rPr>
          <w:rFonts w:ascii="Times New Roman" w:hAnsi="Times New Roman" w:cs="Times New Roman"/>
        </w:rPr>
        <w:t>-climatic conditions, and a strong tradition in highland agriculture—particularly horticulture and Arabica coffee (</w:t>
      </w:r>
      <w:proofErr w:type="spellStart"/>
      <w:r w:rsidRPr="00A22AB3">
        <w:rPr>
          <w:rFonts w:ascii="Times New Roman" w:hAnsi="Times New Roman" w:cs="Times New Roman"/>
        </w:rPr>
        <w:t>Zaputra</w:t>
      </w:r>
      <w:proofErr w:type="spellEnd"/>
      <w:r w:rsidRPr="00A22AB3">
        <w:rPr>
          <w:rFonts w:ascii="Times New Roman" w:hAnsi="Times New Roman" w:cs="Times New Roman"/>
        </w:rPr>
        <w:t xml:space="preserve"> &amp; Romano, 2013). The </w:t>
      </w:r>
      <w:r w:rsidR="0059667B">
        <w:rPr>
          <w:rFonts w:ascii="Times New Roman" w:hAnsi="Times New Roman" w:cs="Times New Roman"/>
        </w:rPr>
        <w:t>dis</w:t>
      </w:r>
      <w:r w:rsidRPr="00A22AB3">
        <w:rPr>
          <w:rFonts w:ascii="Times New Roman" w:hAnsi="Times New Roman" w:cs="Times New Roman"/>
        </w:rPr>
        <w:t xml:space="preserve">trict also holds demographic and geographic advantages, including high population density and proximity to the district capital, </w:t>
      </w:r>
      <w:proofErr w:type="spellStart"/>
      <w:r w:rsidRPr="00A22AB3">
        <w:rPr>
          <w:rFonts w:ascii="Times New Roman" w:hAnsi="Times New Roman" w:cs="Times New Roman"/>
        </w:rPr>
        <w:t>Takengon</w:t>
      </w:r>
      <w:proofErr w:type="spellEnd"/>
      <w:r w:rsidRPr="00A22AB3">
        <w:rPr>
          <w:rFonts w:ascii="Times New Roman" w:hAnsi="Times New Roman" w:cs="Times New Roman"/>
        </w:rPr>
        <w:t>. Despite these strengths, development remains hampered by uneven productivity, declining coffee yields, and underutilized post-harvest infrastructure (BPS Aceh Tengah, 2023).</w:t>
      </w:r>
    </w:p>
    <w:p w14:paraId="077E3492"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The prominence of Gayo Arabica coffee in </w:t>
      </w:r>
      <w:proofErr w:type="spellStart"/>
      <w:r w:rsidRPr="00A22AB3">
        <w:rPr>
          <w:rFonts w:ascii="Times New Roman" w:hAnsi="Times New Roman" w:cs="Times New Roman"/>
        </w:rPr>
        <w:t>Bebesen’s</w:t>
      </w:r>
      <w:proofErr w:type="spellEnd"/>
      <w:r w:rsidRPr="00A22AB3">
        <w:rPr>
          <w:rFonts w:ascii="Times New Roman" w:hAnsi="Times New Roman" w:cs="Times New Roman"/>
        </w:rPr>
        <w:t xml:space="preserve"> economy is historically significant. Recognized for its distinct flavor profile and awarded geographical indication (GI) status, Gayo coffee has become both a cultural identity and an economic mainstay in Central Aceh (Wahyuni et al., 2024). However, recent data suggests that coffee productivity in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has been declining due to aging trees, climate variability, and shifting labor dynamics (</w:t>
      </w:r>
      <w:proofErr w:type="spellStart"/>
      <w:r w:rsidRPr="00A22AB3">
        <w:rPr>
          <w:rFonts w:ascii="Times New Roman" w:hAnsi="Times New Roman" w:cs="Times New Roman"/>
        </w:rPr>
        <w:t>Rizani</w:t>
      </w:r>
      <w:proofErr w:type="spellEnd"/>
      <w:r w:rsidRPr="00A22AB3">
        <w:rPr>
          <w:rFonts w:ascii="Times New Roman" w:hAnsi="Times New Roman" w:cs="Times New Roman"/>
        </w:rPr>
        <w:t>, 2020). This decline underscores the need to reassess commodity prioritization and diversify economic strategies.</w:t>
      </w:r>
    </w:p>
    <w:p w14:paraId="0FB3870E"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Alongside coffee,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is emerging as a center for highland horticulture, producing vegetables such as potatoes, cabbage, and shallots. Several of these commodities now exhibit superior Location Quotient (LQ) values, indicating their role as base sectors in the regional economy (</w:t>
      </w:r>
      <w:proofErr w:type="spellStart"/>
      <w:r w:rsidRPr="00A22AB3">
        <w:rPr>
          <w:rFonts w:ascii="Times New Roman" w:hAnsi="Times New Roman" w:cs="Times New Roman"/>
        </w:rPr>
        <w:t>Mailendra</w:t>
      </w:r>
      <w:proofErr w:type="spellEnd"/>
      <w:r w:rsidRPr="00A22AB3">
        <w:rPr>
          <w:rFonts w:ascii="Times New Roman" w:hAnsi="Times New Roman" w:cs="Times New Roman"/>
        </w:rPr>
        <w:t xml:space="preserve"> et al., 2018). Yet, the potential of these commodities remains untapped due to low levels of value-added processing and limited access to national distribution channels (</w:t>
      </w:r>
      <w:proofErr w:type="spellStart"/>
      <w:r w:rsidRPr="00A22AB3">
        <w:rPr>
          <w:rFonts w:ascii="Times New Roman" w:hAnsi="Times New Roman" w:cs="Times New Roman"/>
        </w:rPr>
        <w:t>Nurlina</w:t>
      </w:r>
      <w:proofErr w:type="spellEnd"/>
      <w:r w:rsidRPr="00A22AB3">
        <w:rPr>
          <w:rFonts w:ascii="Times New Roman" w:hAnsi="Times New Roman" w:cs="Times New Roman"/>
        </w:rPr>
        <w:t xml:space="preserve"> et al., 2023). This situation calls for integrated downstream strategies such as cold storage, packaging, and digital marketing systems.</w:t>
      </w:r>
    </w:p>
    <w:p w14:paraId="7550D888"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Theoretical frameworks such as the economic base theory and Klassen typology offer valuable tools for evaluating sectoral performance and regional competitiveness. The economic base theory posits that regional growth is driven by export-oriented sectors, which in turn stimulate local services through multiplier effects (Hoyt, 1954). Klassen’s typology, meanwhile, categorizes sectors based on their relative growth and contribution, allowing planners to prioritize interventions (</w:t>
      </w:r>
      <w:proofErr w:type="spellStart"/>
      <w:r w:rsidRPr="00A22AB3">
        <w:rPr>
          <w:rFonts w:ascii="Times New Roman" w:hAnsi="Times New Roman" w:cs="Times New Roman"/>
        </w:rPr>
        <w:t>Sjafrizal</w:t>
      </w:r>
      <w:proofErr w:type="spellEnd"/>
      <w:r w:rsidRPr="00A22AB3">
        <w:rPr>
          <w:rFonts w:ascii="Times New Roman" w:hAnsi="Times New Roman" w:cs="Times New Roman"/>
        </w:rPr>
        <w:t>, 2012). When combined with SWOT analysis, these tools enable the formulation of empirically grounded and context-specific development strategies.</w:t>
      </w:r>
    </w:p>
    <w:p w14:paraId="398FDF4E"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lastRenderedPageBreak/>
        <w:t>This study seeks to apply a comprehensive analytical framework to assess the strategic potential of Bebesen’s leading commodities. By employing Location Quotient (LQ), Klassen Typology, and SWOT analysis, the research aims to generate evidence-based insights for spatial-economic planning. The integration of quantitative data with qualitative stakeholder input provides a holistic view of both market dynamics and institutional readiness (Creswell &amp; Plano Clark, 2018). This approach ensures that proposed strategies are both technically sound and socially viable.</w:t>
      </w:r>
    </w:p>
    <w:p w14:paraId="5F767D97" w14:textId="77777777" w:rsidR="00A22AB3" w:rsidRPr="00A22AB3" w:rsidRDefault="00A22AB3" w:rsidP="00A22AB3">
      <w:pPr>
        <w:jc w:val="both"/>
        <w:rPr>
          <w:rFonts w:ascii="Times New Roman" w:hAnsi="Times New Roman" w:cs="Times New Roman"/>
        </w:rPr>
      </w:pPr>
      <w:r w:rsidRPr="00A22AB3">
        <w:rPr>
          <w:rFonts w:ascii="Times New Roman" w:hAnsi="Times New Roman" w:cs="Times New Roman"/>
        </w:rPr>
        <w:t xml:space="preserve">The broader aim of this study is to reposition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not only as a production hub but as a fully integrated commodity-based economic zone. Through targeted interventions in value chains, market access, and institutional coordination,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has the potential to become a regional growth pole with national competitiveness. The findings are expected to inform policy at the district level and provide replicable models for other rural areas in Indonesia. Ultimately, this research contributes to the growing literature on rural transformation through place-based and commodity-centered development approaches (Fitriani et al., 2022).</w:t>
      </w:r>
    </w:p>
    <w:p w14:paraId="7907750C" w14:textId="77777777" w:rsidR="00A22AB3" w:rsidRDefault="00A22AB3">
      <w:pPr>
        <w:rPr>
          <w:rFonts w:ascii="Times New Roman" w:hAnsi="Times New Roman" w:cs="Times New Roman"/>
        </w:rPr>
      </w:pPr>
    </w:p>
    <w:p w14:paraId="6B6C2325" w14:textId="3A37E49F" w:rsidR="00A22AB3" w:rsidRPr="00A22AB3" w:rsidRDefault="0059667B" w:rsidP="00A22AB3">
      <w:pPr>
        <w:rPr>
          <w:rFonts w:ascii="Times New Roman" w:hAnsi="Times New Roman" w:cs="Times New Roman"/>
          <w:b/>
          <w:bCs/>
        </w:rPr>
      </w:pPr>
      <w:r>
        <w:rPr>
          <w:rFonts w:ascii="Times New Roman" w:hAnsi="Times New Roman" w:cs="Times New Roman"/>
          <w:b/>
          <w:bCs/>
        </w:rPr>
        <w:t xml:space="preserve">II. </w:t>
      </w:r>
      <w:r w:rsidRPr="00A22AB3">
        <w:rPr>
          <w:rFonts w:ascii="Times New Roman" w:hAnsi="Times New Roman" w:cs="Times New Roman"/>
          <w:b/>
          <w:bCs/>
        </w:rPr>
        <w:t>METHODS</w:t>
      </w:r>
    </w:p>
    <w:p w14:paraId="2E8D2CEA" w14:textId="6C5A33A8" w:rsidR="00A22AB3" w:rsidRPr="00A22AB3" w:rsidRDefault="00A22AB3" w:rsidP="0059667B">
      <w:pPr>
        <w:jc w:val="both"/>
        <w:rPr>
          <w:rFonts w:ascii="Times New Roman" w:hAnsi="Times New Roman" w:cs="Times New Roman"/>
        </w:rPr>
      </w:pPr>
      <w:r w:rsidRPr="00A22AB3">
        <w:rPr>
          <w:rFonts w:ascii="Times New Roman" w:hAnsi="Times New Roman" w:cs="Times New Roman"/>
        </w:rPr>
        <w:t xml:space="preserve">This study employs a convergent mixed-methods approach, combining quantitative economic analysis with qualitative stakeholder insights to formulate a strategic development framework for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t>
      </w:r>
      <w:r w:rsidR="0059667B" w:rsidRPr="0059667B">
        <w:rPr>
          <w:rFonts w:ascii="Times New Roman" w:hAnsi="Times New Roman" w:cs="Times New Roman"/>
        </w:rPr>
        <w:t>Dis</w:t>
      </w:r>
      <w:r w:rsidRPr="00A22AB3">
        <w:rPr>
          <w:rFonts w:ascii="Times New Roman" w:hAnsi="Times New Roman" w:cs="Times New Roman"/>
        </w:rPr>
        <w:t>trict. The integration of statistical data and contextual narratives ensures that findings reflect both macroeconomic trends and localized realities, as suggested by Creswell and Plano Clark (2018). The methodology is designed to not only identify priority commodities but also to examine their development potential within a dynamic spatial-economic system.</w:t>
      </w:r>
    </w:p>
    <w:p w14:paraId="7900EB31" w14:textId="6F0333F9" w:rsidR="00A22AB3" w:rsidRPr="00A22AB3" w:rsidRDefault="0059667B" w:rsidP="00A22AB3">
      <w:pPr>
        <w:rPr>
          <w:rFonts w:ascii="Times New Roman" w:hAnsi="Times New Roman" w:cs="Times New Roman"/>
          <w:b/>
          <w:bCs/>
        </w:rPr>
      </w:pPr>
      <w:r>
        <w:rPr>
          <w:rFonts w:ascii="Times New Roman" w:hAnsi="Times New Roman" w:cs="Times New Roman"/>
          <w:b/>
          <w:bCs/>
        </w:rPr>
        <w:t>2.</w:t>
      </w:r>
      <w:r w:rsidR="00A22AB3" w:rsidRPr="00A22AB3">
        <w:rPr>
          <w:rFonts w:ascii="Times New Roman" w:hAnsi="Times New Roman" w:cs="Times New Roman"/>
          <w:b/>
          <w:bCs/>
        </w:rPr>
        <w:t>1 Research Location and Context</w:t>
      </w:r>
    </w:p>
    <w:p w14:paraId="334B9D01" w14:textId="68EDDC9A" w:rsidR="00A22AB3" w:rsidRPr="00A22AB3" w:rsidRDefault="00A22AB3" w:rsidP="0059667B">
      <w:pPr>
        <w:jc w:val="both"/>
        <w:rPr>
          <w:rFonts w:ascii="Times New Roman" w:hAnsi="Times New Roman" w:cs="Times New Roman"/>
        </w:rPr>
      </w:pPr>
      <w:r w:rsidRPr="00A22AB3">
        <w:rPr>
          <w:rFonts w:ascii="Times New Roman" w:hAnsi="Times New Roman" w:cs="Times New Roman"/>
        </w:rPr>
        <w:t xml:space="preserve">The research was conducted in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located in Central Aceh Regency, Indonesia.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is a key </w:t>
      </w:r>
      <w:r w:rsidR="0059667B" w:rsidRPr="0059667B">
        <w:rPr>
          <w:rFonts w:ascii="Times New Roman" w:hAnsi="Times New Roman" w:cs="Times New Roman"/>
        </w:rPr>
        <w:t>dis</w:t>
      </w:r>
      <w:r w:rsidRPr="00A22AB3">
        <w:rPr>
          <w:rFonts w:ascii="Times New Roman" w:hAnsi="Times New Roman" w:cs="Times New Roman"/>
        </w:rPr>
        <w:t xml:space="preserve">trict with 28 administrative villages and over 42,000 residents, making it the most populous area in the regency (BPS Aceh Tengah, 2023). Its strategic location near the regency capital, combined with fertile </w:t>
      </w:r>
      <w:proofErr w:type="spellStart"/>
      <w:r w:rsidRPr="00A22AB3">
        <w:rPr>
          <w:rFonts w:ascii="Times New Roman" w:hAnsi="Times New Roman" w:cs="Times New Roman"/>
        </w:rPr>
        <w:t>agro</w:t>
      </w:r>
      <w:proofErr w:type="spellEnd"/>
      <w:r w:rsidRPr="00A22AB3">
        <w:rPr>
          <w:rFonts w:ascii="Times New Roman" w:hAnsi="Times New Roman" w:cs="Times New Roman"/>
        </w:rPr>
        <w:t xml:space="preserve">-ecological zones, positions it as a potential growth pole for agriculture and agrotourism. The </w:t>
      </w:r>
      <w:r w:rsidR="0059667B" w:rsidRPr="0059667B">
        <w:rPr>
          <w:rFonts w:ascii="Times New Roman" w:hAnsi="Times New Roman" w:cs="Times New Roman"/>
        </w:rPr>
        <w:t>dis</w:t>
      </w:r>
      <w:r w:rsidRPr="00A22AB3">
        <w:rPr>
          <w:rFonts w:ascii="Times New Roman" w:hAnsi="Times New Roman" w:cs="Times New Roman"/>
        </w:rPr>
        <w:t>trict has long been associated with Gayo Arabica coffee and highland horticultural commodities, both of which are integral to its socio-economic identity.</w:t>
      </w:r>
    </w:p>
    <w:p w14:paraId="76D2FFE8"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2. Data Sources</w:t>
      </w:r>
    </w:p>
    <w:p w14:paraId="17B0719A"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The study draws upon both primary and secondary data.</w:t>
      </w:r>
    </w:p>
    <w:p w14:paraId="7467F036" w14:textId="77777777" w:rsidR="00A22AB3" w:rsidRDefault="00A22AB3" w:rsidP="0059667B">
      <w:pPr>
        <w:numPr>
          <w:ilvl w:val="0"/>
          <w:numId w:val="1"/>
        </w:numPr>
        <w:jc w:val="both"/>
        <w:rPr>
          <w:rFonts w:ascii="Times New Roman" w:hAnsi="Times New Roman" w:cs="Times New Roman"/>
        </w:rPr>
      </w:pPr>
      <w:r w:rsidRPr="00A22AB3">
        <w:rPr>
          <w:rFonts w:ascii="Times New Roman" w:hAnsi="Times New Roman" w:cs="Times New Roman"/>
        </w:rPr>
        <w:t>Primary data were collected through semi-structured interviews with local stakeholders, including farmers, cooperatives, government officials, and agribusiness actors. The interviews aimed to uncover perceptions regarding key constraints, development opportunities, and policy effectiveness.</w:t>
      </w:r>
    </w:p>
    <w:p w14:paraId="19877136" w14:textId="4097B1A9" w:rsidR="0059667B" w:rsidRPr="00A22AB3" w:rsidRDefault="0059667B" w:rsidP="0059667B">
      <w:pPr>
        <w:numPr>
          <w:ilvl w:val="0"/>
          <w:numId w:val="1"/>
        </w:numPr>
        <w:jc w:val="both"/>
        <w:rPr>
          <w:rFonts w:ascii="Times New Roman" w:hAnsi="Times New Roman" w:cs="Times New Roman"/>
        </w:rPr>
      </w:pPr>
      <w:r w:rsidRPr="00A22AB3">
        <w:rPr>
          <w:rFonts w:ascii="Times New Roman" w:hAnsi="Times New Roman" w:cs="Times New Roman"/>
        </w:rPr>
        <w:lastRenderedPageBreak/>
        <w:t>Secondary data were sourced from the Central Bureau of Statistics (BPS) Aceh Tengah, covering the years 2019 to 2023, and include datasets on commodity production, land area, labor force, and Gross Regional Domestic Product (GRDP).</w:t>
      </w:r>
    </w:p>
    <w:p w14:paraId="5277402D"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Purposive sampling was used to select 100 respondents, ensuring representation from both institutional actors and community members. The Slovin formula was applied to determine the minimum sample size with a confidence level of 90% and a margin of error of 10% (</w:t>
      </w:r>
      <w:proofErr w:type="spellStart"/>
      <w:r w:rsidRPr="00A22AB3">
        <w:rPr>
          <w:rFonts w:ascii="Times New Roman" w:hAnsi="Times New Roman" w:cs="Times New Roman"/>
        </w:rPr>
        <w:t>Koentjaraningrat</w:t>
      </w:r>
      <w:proofErr w:type="spellEnd"/>
      <w:r w:rsidRPr="00A22AB3">
        <w:rPr>
          <w:rFonts w:ascii="Times New Roman" w:hAnsi="Times New Roman" w:cs="Times New Roman"/>
        </w:rPr>
        <w:t>, 1987).</w:t>
      </w:r>
    </w:p>
    <w:p w14:paraId="43E5E23A" w14:textId="5EAD5C7E" w:rsidR="00A22AB3" w:rsidRPr="00A22AB3" w:rsidRDefault="0059667B" w:rsidP="00A22AB3">
      <w:pPr>
        <w:rPr>
          <w:rFonts w:ascii="Times New Roman" w:hAnsi="Times New Roman" w:cs="Times New Roman"/>
          <w:b/>
          <w:bCs/>
        </w:rPr>
      </w:pPr>
      <w:r>
        <w:rPr>
          <w:rFonts w:ascii="Times New Roman" w:hAnsi="Times New Roman" w:cs="Times New Roman"/>
          <w:b/>
          <w:bCs/>
        </w:rPr>
        <w:t>2.</w:t>
      </w:r>
      <w:r w:rsidR="00A22AB3" w:rsidRPr="00A22AB3">
        <w:rPr>
          <w:rFonts w:ascii="Times New Roman" w:hAnsi="Times New Roman" w:cs="Times New Roman"/>
          <w:b/>
          <w:bCs/>
        </w:rPr>
        <w:t>3 Analytical Techniques</w:t>
      </w:r>
    </w:p>
    <w:p w14:paraId="6524A9C7" w14:textId="7FA1934D" w:rsidR="00A22AB3" w:rsidRPr="00A22AB3" w:rsidRDefault="00A22AB3" w:rsidP="00A22AB3">
      <w:pPr>
        <w:rPr>
          <w:rFonts w:ascii="Times New Roman" w:hAnsi="Times New Roman" w:cs="Times New Roman"/>
        </w:rPr>
      </w:pPr>
      <w:r w:rsidRPr="00A22AB3">
        <w:rPr>
          <w:rFonts w:ascii="Times New Roman" w:hAnsi="Times New Roman" w:cs="Times New Roman"/>
        </w:rPr>
        <w:t xml:space="preserve">The study integrates three main analytical tools to evaluate the </w:t>
      </w:r>
      <w:r w:rsidR="0059667B">
        <w:rPr>
          <w:rFonts w:ascii="Times New Roman" w:hAnsi="Times New Roman" w:cs="Times New Roman"/>
        </w:rPr>
        <w:t>dis</w:t>
      </w:r>
      <w:r w:rsidRPr="00A22AB3">
        <w:rPr>
          <w:rFonts w:ascii="Times New Roman" w:hAnsi="Times New Roman" w:cs="Times New Roman"/>
        </w:rPr>
        <w:t>trict's economic structure and formulate a development strategy:</w:t>
      </w:r>
    </w:p>
    <w:p w14:paraId="4A9227E9"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a. Location Quotient (LQ)</w:t>
      </w:r>
    </w:p>
    <w:p w14:paraId="6411EFB5"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 xml:space="preserve">LQ analysis measures the relative specialization of a sector or commodity in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compared to the larger Central Aceh economy.</w:t>
      </w:r>
      <w:r w:rsidRPr="00A22AB3">
        <w:rPr>
          <w:rFonts w:ascii="Times New Roman" w:hAnsi="Times New Roman" w:cs="Times New Roman"/>
        </w:rPr>
        <w:br/>
        <w:t>The LQ formula is as follows:</w:t>
      </w:r>
    </w:p>
    <w:p w14:paraId="0A0F5EE9" w14:textId="330D4A75" w:rsidR="00A22AB3" w:rsidRPr="00A22AB3" w:rsidRDefault="0059667B" w:rsidP="0059667B">
      <w:pPr>
        <w:jc w:val="center"/>
        <w:rPr>
          <w:rFonts w:ascii="Times New Roman" w:hAnsi="Times New Roman" w:cs="Times New Roman"/>
        </w:rPr>
      </w:pPr>
      <w:r w:rsidRPr="008131FC">
        <w:rPr>
          <w:noProof/>
        </w:rPr>
        <w:drawing>
          <wp:inline distT="0" distB="0" distL="0" distR="0" wp14:anchorId="1FEE2A6C" wp14:editId="0EDE2DE4">
            <wp:extent cx="2047240" cy="914400"/>
            <wp:effectExtent l="0" t="0" r="0" b="0"/>
            <wp:docPr id="1136870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4910" t="34111" r="37547" b="48682"/>
                    <a:stretch>
                      <a:fillRect/>
                    </a:stretch>
                  </pic:blipFill>
                  <pic:spPr bwMode="auto">
                    <a:xfrm>
                      <a:off x="0" y="0"/>
                      <a:ext cx="2047240" cy="914400"/>
                    </a:xfrm>
                    <a:prstGeom prst="rect">
                      <a:avLst/>
                    </a:prstGeom>
                    <a:noFill/>
                    <a:ln>
                      <a:noFill/>
                    </a:ln>
                  </pic:spPr>
                </pic:pic>
              </a:graphicData>
            </a:graphic>
          </wp:inline>
        </w:drawing>
      </w:r>
      <w:r w:rsidR="00A22AB3" w:rsidRPr="00A22AB3">
        <w:rPr>
          <w:rFonts w:ascii="Times New Roman" w:hAnsi="Times New Roman" w:cs="Times New Roman"/>
        </w:rPr>
        <w:t>Where:</w:t>
      </w:r>
    </w:p>
    <w:p w14:paraId="0AB8B9A2" w14:textId="46DC3E06" w:rsidR="00A22AB3" w:rsidRPr="00A22AB3" w:rsidRDefault="00A22AB3" w:rsidP="00A22AB3">
      <w:pPr>
        <w:numPr>
          <w:ilvl w:val="0"/>
          <w:numId w:val="2"/>
        </w:numPr>
        <w:rPr>
          <w:rFonts w:ascii="Times New Roman" w:hAnsi="Times New Roman" w:cs="Times New Roman"/>
        </w:rPr>
      </w:pPr>
      <w:r w:rsidRPr="00A22AB3">
        <w:rPr>
          <w:rFonts w:ascii="Times New Roman" w:hAnsi="Times New Roman" w:cs="Times New Roman"/>
        </w:rPr>
        <w:t>Pi</w:t>
      </w:r>
      <w:r w:rsidR="0059667B" w:rsidRPr="00A22AB3">
        <w:rPr>
          <w:rFonts w:ascii="Times New Roman" w:hAnsi="Times New Roman" w:cs="Times New Roman"/>
        </w:rPr>
        <w:t xml:space="preserve"> </w:t>
      </w:r>
      <w:r w:rsidRPr="00A22AB3">
        <w:rPr>
          <w:rFonts w:ascii="Times New Roman" w:hAnsi="Times New Roman" w:cs="Times New Roman"/>
        </w:rPr>
        <w:t xml:space="preserve">​ = GRDP of sector </w:t>
      </w:r>
      <w:proofErr w:type="spellStart"/>
      <w:r w:rsidRPr="00A22AB3">
        <w:rPr>
          <w:rFonts w:ascii="Times New Roman" w:hAnsi="Times New Roman" w:cs="Times New Roman"/>
          <w:i/>
          <w:iCs/>
        </w:rPr>
        <w:t>i</w:t>
      </w:r>
      <w:proofErr w:type="spellEnd"/>
      <w:r w:rsidRPr="00A22AB3">
        <w:rPr>
          <w:rFonts w:ascii="Times New Roman" w:hAnsi="Times New Roman" w:cs="Times New Roman"/>
        </w:rPr>
        <w:t xml:space="preserve"> in </w:t>
      </w:r>
      <w:proofErr w:type="spellStart"/>
      <w:r w:rsidRPr="00A22AB3">
        <w:rPr>
          <w:rFonts w:ascii="Times New Roman" w:hAnsi="Times New Roman" w:cs="Times New Roman"/>
        </w:rPr>
        <w:t>Bebesen</w:t>
      </w:r>
      <w:proofErr w:type="spellEnd"/>
    </w:p>
    <w:p w14:paraId="6BB63D09" w14:textId="7A194A25" w:rsidR="00A22AB3" w:rsidRPr="00A22AB3" w:rsidRDefault="00A22AB3" w:rsidP="00A22AB3">
      <w:pPr>
        <w:numPr>
          <w:ilvl w:val="0"/>
          <w:numId w:val="2"/>
        </w:numPr>
        <w:rPr>
          <w:rFonts w:ascii="Times New Roman" w:hAnsi="Times New Roman" w:cs="Times New Roman"/>
        </w:rPr>
      </w:pPr>
      <w:r w:rsidRPr="00A22AB3">
        <w:rPr>
          <w:rFonts w:ascii="Times New Roman" w:hAnsi="Times New Roman" w:cs="Times New Roman"/>
        </w:rPr>
        <w:t>Pt</w:t>
      </w:r>
      <w:r w:rsidR="0059667B" w:rsidRPr="00A22AB3">
        <w:rPr>
          <w:rFonts w:ascii="Times New Roman" w:hAnsi="Times New Roman" w:cs="Times New Roman"/>
        </w:rPr>
        <w:t xml:space="preserve"> </w:t>
      </w:r>
      <w:r w:rsidRPr="00A22AB3">
        <w:rPr>
          <w:rFonts w:ascii="Times New Roman" w:hAnsi="Times New Roman" w:cs="Times New Roman"/>
        </w:rPr>
        <w:t xml:space="preserve">​ = Total GRDP of </w:t>
      </w:r>
      <w:proofErr w:type="spellStart"/>
      <w:r w:rsidRPr="00A22AB3">
        <w:rPr>
          <w:rFonts w:ascii="Times New Roman" w:hAnsi="Times New Roman" w:cs="Times New Roman"/>
        </w:rPr>
        <w:t>Bebesen</w:t>
      </w:r>
      <w:proofErr w:type="spellEnd"/>
    </w:p>
    <w:p w14:paraId="49508385" w14:textId="7285334D" w:rsidR="00A22AB3" w:rsidRPr="00A22AB3" w:rsidRDefault="00A22AB3" w:rsidP="00A22AB3">
      <w:pPr>
        <w:numPr>
          <w:ilvl w:val="0"/>
          <w:numId w:val="2"/>
        </w:numPr>
        <w:rPr>
          <w:rFonts w:ascii="Times New Roman" w:hAnsi="Times New Roman" w:cs="Times New Roman"/>
        </w:rPr>
      </w:pPr>
      <w:r w:rsidRPr="00A22AB3">
        <w:rPr>
          <w:rFonts w:ascii="Times New Roman" w:hAnsi="Times New Roman" w:cs="Times New Roman"/>
        </w:rPr>
        <w:t>Bi</w:t>
      </w:r>
      <w:r w:rsidR="0059667B" w:rsidRPr="00A22AB3">
        <w:rPr>
          <w:rFonts w:ascii="Times New Roman" w:hAnsi="Times New Roman" w:cs="Times New Roman"/>
        </w:rPr>
        <w:t xml:space="preserve"> </w:t>
      </w:r>
      <w:r w:rsidRPr="00A22AB3">
        <w:rPr>
          <w:rFonts w:ascii="Times New Roman" w:hAnsi="Times New Roman" w:cs="Times New Roman"/>
        </w:rPr>
        <w:t xml:space="preserve">​ = GRDP of sector </w:t>
      </w:r>
      <w:proofErr w:type="spellStart"/>
      <w:r w:rsidRPr="00A22AB3">
        <w:rPr>
          <w:rFonts w:ascii="Times New Roman" w:hAnsi="Times New Roman" w:cs="Times New Roman"/>
          <w:i/>
          <w:iCs/>
        </w:rPr>
        <w:t>i</w:t>
      </w:r>
      <w:proofErr w:type="spellEnd"/>
      <w:r w:rsidRPr="00A22AB3">
        <w:rPr>
          <w:rFonts w:ascii="Times New Roman" w:hAnsi="Times New Roman" w:cs="Times New Roman"/>
        </w:rPr>
        <w:t xml:space="preserve"> in Central Aceh</w:t>
      </w:r>
    </w:p>
    <w:p w14:paraId="30D26BE5" w14:textId="64D86720" w:rsidR="00A22AB3" w:rsidRPr="00A22AB3" w:rsidRDefault="00A22AB3" w:rsidP="00A22AB3">
      <w:pPr>
        <w:numPr>
          <w:ilvl w:val="0"/>
          <w:numId w:val="2"/>
        </w:numPr>
        <w:rPr>
          <w:rFonts w:ascii="Times New Roman" w:hAnsi="Times New Roman" w:cs="Times New Roman"/>
        </w:rPr>
      </w:pPr>
      <w:proofErr w:type="spellStart"/>
      <w:r w:rsidRPr="00A22AB3">
        <w:rPr>
          <w:rFonts w:ascii="Times New Roman" w:hAnsi="Times New Roman" w:cs="Times New Roman"/>
        </w:rPr>
        <w:t>Bt</w:t>
      </w:r>
      <w:proofErr w:type="spellEnd"/>
      <w:r w:rsidR="0059667B" w:rsidRPr="00A22AB3">
        <w:rPr>
          <w:rFonts w:ascii="Times New Roman" w:hAnsi="Times New Roman" w:cs="Times New Roman"/>
        </w:rPr>
        <w:t xml:space="preserve"> </w:t>
      </w:r>
      <w:r w:rsidRPr="00A22AB3">
        <w:rPr>
          <w:rFonts w:ascii="Times New Roman" w:hAnsi="Times New Roman" w:cs="Times New Roman"/>
        </w:rPr>
        <w:t>​ = Total GRDP of Central Aceh</w:t>
      </w:r>
    </w:p>
    <w:p w14:paraId="1381FD39"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An LQ &gt; 1 indicates that the commodity is a basic sector that produces surplus output for export beyond the region (Bendavid-Val, 1991). LQ was applied both at the sectoral level (e.g., agriculture vs. manufacturing) and at the commodity level (e.g., shallots, potatoes, coffee).</w:t>
      </w:r>
    </w:p>
    <w:p w14:paraId="7CDC1CB0"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b. Klassen Typology</w:t>
      </w:r>
    </w:p>
    <w:p w14:paraId="234599DB" w14:textId="426D2DA6" w:rsidR="00A22AB3" w:rsidRPr="00A22AB3" w:rsidRDefault="00A22AB3" w:rsidP="0059667B">
      <w:pPr>
        <w:jc w:val="both"/>
        <w:rPr>
          <w:rFonts w:ascii="Times New Roman" w:hAnsi="Times New Roman" w:cs="Times New Roman"/>
        </w:rPr>
      </w:pPr>
      <w:r w:rsidRPr="00A22AB3">
        <w:rPr>
          <w:rFonts w:ascii="Times New Roman" w:hAnsi="Times New Roman" w:cs="Times New Roman"/>
        </w:rPr>
        <w:t xml:space="preserve">Klassen Typology was used to classify the </w:t>
      </w:r>
      <w:r w:rsidR="0059667B" w:rsidRPr="0059667B">
        <w:rPr>
          <w:rFonts w:ascii="Times New Roman" w:hAnsi="Times New Roman" w:cs="Times New Roman"/>
        </w:rPr>
        <w:t>dis</w:t>
      </w:r>
      <w:r w:rsidRPr="00A22AB3">
        <w:rPr>
          <w:rFonts w:ascii="Times New Roman" w:hAnsi="Times New Roman" w:cs="Times New Roman"/>
        </w:rPr>
        <w:t>trict's economy into four quadrants based on sectoral growth rate and contribution to GRDP (Klassen, 1967):</w:t>
      </w:r>
    </w:p>
    <w:p w14:paraId="402C1B3C"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 Advanced and fast-growing (high growth, high contribution)</w:t>
      </w:r>
    </w:p>
    <w:p w14:paraId="771D9ADE"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II: Advanced but stagnant</w:t>
      </w:r>
    </w:p>
    <w:p w14:paraId="45CB4131"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III: Rapidly growing but underdeveloped</w:t>
      </w:r>
    </w:p>
    <w:p w14:paraId="2190C919" w14:textId="77777777" w:rsidR="00A22AB3" w:rsidRPr="00A22AB3" w:rsidRDefault="00A22AB3" w:rsidP="00A22AB3">
      <w:pPr>
        <w:numPr>
          <w:ilvl w:val="0"/>
          <w:numId w:val="3"/>
        </w:numPr>
        <w:rPr>
          <w:rFonts w:ascii="Times New Roman" w:hAnsi="Times New Roman" w:cs="Times New Roman"/>
        </w:rPr>
      </w:pPr>
      <w:r w:rsidRPr="00A22AB3">
        <w:rPr>
          <w:rFonts w:ascii="Times New Roman" w:hAnsi="Times New Roman" w:cs="Times New Roman"/>
        </w:rPr>
        <w:t>Quadrant IV: Underdeveloped and lagging</w:t>
      </w:r>
    </w:p>
    <w:p w14:paraId="4A7F84D2" w14:textId="77777777" w:rsidR="00A22AB3" w:rsidRPr="00A22AB3" w:rsidRDefault="00A22AB3" w:rsidP="00A22AB3">
      <w:pPr>
        <w:rPr>
          <w:rFonts w:ascii="Times New Roman" w:hAnsi="Times New Roman" w:cs="Times New Roman"/>
        </w:rPr>
      </w:pPr>
      <w:r w:rsidRPr="00A22AB3">
        <w:rPr>
          <w:rFonts w:ascii="Times New Roman" w:hAnsi="Times New Roman" w:cs="Times New Roman"/>
        </w:rPr>
        <w:lastRenderedPageBreak/>
        <w:t xml:space="preserve">This classification helped position </w:t>
      </w:r>
      <w:proofErr w:type="spellStart"/>
      <w:r w:rsidRPr="00A22AB3">
        <w:rPr>
          <w:rFonts w:ascii="Times New Roman" w:hAnsi="Times New Roman" w:cs="Times New Roman"/>
        </w:rPr>
        <w:t>Bebesen</w:t>
      </w:r>
      <w:proofErr w:type="spellEnd"/>
      <w:r w:rsidRPr="00A22AB3">
        <w:rPr>
          <w:rFonts w:ascii="Times New Roman" w:hAnsi="Times New Roman" w:cs="Times New Roman"/>
        </w:rPr>
        <w:t xml:space="preserve"> within the regional economic landscape and identify leverage points for targeted intervention (</w:t>
      </w:r>
      <w:proofErr w:type="spellStart"/>
      <w:r w:rsidRPr="00A22AB3">
        <w:rPr>
          <w:rFonts w:ascii="Times New Roman" w:hAnsi="Times New Roman" w:cs="Times New Roman"/>
        </w:rPr>
        <w:t>Sjafrizal</w:t>
      </w:r>
      <w:proofErr w:type="spellEnd"/>
      <w:r w:rsidRPr="00A22AB3">
        <w:rPr>
          <w:rFonts w:ascii="Times New Roman" w:hAnsi="Times New Roman" w:cs="Times New Roman"/>
        </w:rPr>
        <w:t>, 2008).</w:t>
      </w:r>
    </w:p>
    <w:p w14:paraId="191743BC"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c. SWOT Analysis (Quantitative)</w:t>
      </w:r>
    </w:p>
    <w:p w14:paraId="2C8E35CD"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The final stage involved quantifying internal and external factors using the SWOT Matrix approach. This included:</w:t>
      </w:r>
    </w:p>
    <w:p w14:paraId="66B2BD48" w14:textId="77777777" w:rsidR="00A22AB3" w:rsidRPr="00A22AB3" w:rsidRDefault="00A22AB3" w:rsidP="0059667B">
      <w:pPr>
        <w:numPr>
          <w:ilvl w:val="0"/>
          <w:numId w:val="4"/>
        </w:numPr>
        <w:jc w:val="both"/>
        <w:rPr>
          <w:rFonts w:ascii="Times New Roman" w:hAnsi="Times New Roman" w:cs="Times New Roman"/>
        </w:rPr>
      </w:pPr>
      <w:r w:rsidRPr="00A22AB3">
        <w:rPr>
          <w:rFonts w:ascii="Times New Roman" w:hAnsi="Times New Roman" w:cs="Times New Roman"/>
        </w:rPr>
        <w:t>Strengths and Weaknesses (internal factors): e.g., infrastructure, human capital, institutional support</w:t>
      </w:r>
    </w:p>
    <w:p w14:paraId="72145BC1" w14:textId="77777777" w:rsidR="00A22AB3" w:rsidRPr="00A22AB3" w:rsidRDefault="00A22AB3" w:rsidP="0059667B">
      <w:pPr>
        <w:numPr>
          <w:ilvl w:val="0"/>
          <w:numId w:val="4"/>
        </w:numPr>
        <w:jc w:val="both"/>
        <w:rPr>
          <w:rFonts w:ascii="Times New Roman" w:hAnsi="Times New Roman" w:cs="Times New Roman"/>
        </w:rPr>
      </w:pPr>
      <w:r w:rsidRPr="00A22AB3">
        <w:rPr>
          <w:rFonts w:ascii="Times New Roman" w:hAnsi="Times New Roman" w:cs="Times New Roman"/>
        </w:rPr>
        <w:t>Opportunities and Threats (external factors): e.g., market access, regulatory changes, climate risks</w:t>
      </w:r>
    </w:p>
    <w:p w14:paraId="1210EAD6"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Each factor was rated by stakeholders using weighted scores (from 1 to 5), and IFAS-EFAS matrices were constructed to calculate the optimal strategic quadrant (</w:t>
      </w:r>
      <w:proofErr w:type="spellStart"/>
      <w:r w:rsidRPr="00A22AB3">
        <w:rPr>
          <w:rFonts w:ascii="Times New Roman" w:hAnsi="Times New Roman" w:cs="Times New Roman"/>
        </w:rPr>
        <w:t>Rangkuti</w:t>
      </w:r>
      <w:proofErr w:type="spellEnd"/>
      <w:r w:rsidRPr="00A22AB3">
        <w:rPr>
          <w:rFonts w:ascii="Times New Roman" w:hAnsi="Times New Roman" w:cs="Times New Roman"/>
        </w:rPr>
        <w:t>, 2015). This enabled the selection of SO, WO, ST, or WT strategies.</w:t>
      </w:r>
    </w:p>
    <w:p w14:paraId="2E0DC0A0" w14:textId="77777777" w:rsidR="00A22AB3" w:rsidRPr="00A22AB3" w:rsidRDefault="00A22AB3" w:rsidP="00A22AB3">
      <w:pPr>
        <w:rPr>
          <w:rFonts w:ascii="Times New Roman" w:hAnsi="Times New Roman" w:cs="Times New Roman"/>
          <w:b/>
          <w:bCs/>
        </w:rPr>
      </w:pPr>
      <w:r w:rsidRPr="00A22AB3">
        <w:rPr>
          <w:rFonts w:ascii="Times New Roman" w:hAnsi="Times New Roman" w:cs="Times New Roman"/>
          <w:b/>
          <w:bCs/>
        </w:rPr>
        <w:t>4. Triangulation and Validity</w:t>
      </w:r>
    </w:p>
    <w:p w14:paraId="60A38C65" w14:textId="77777777" w:rsidR="00A22AB3" w:rsidRPr="00A22AB3" w:rsidRDefault="00A22AB3" w:rsidP="0059667B">
      <w:pPr>
        <w:jc w:val="both"/>
        <w:rPr>
          <w:rFonts w:ascii="Times New Roman" w:hAnsi="Times New Roman" w:cs="Times New Roman"/>
        </w:rPr>
      </w:pPr>
      <w:r w:rsidRPr="00A22AB3">
        <w:rPr>
          <w:rFonts w:ascii="Times New Roman" w:hAnsi="Times New Roman" w:cs="Times New Roman"/>
        </w:rPr>
        <w:t>To ensure validity and reliability, data triangulation was applied by cross-referencing LQ and Klassen results with field observations and stakeholder responses. This methodological triangulation strengthens the credibility of both empirical and perceptual findings (Denzin &amp; Lincoln, 2011). All data collection tools, including questionnaires and interview guides, underwent pre-testing for consistency and clarity.</w:t>
      </w:r>
    </w:p>
    <w:p w14:paraId="71C1E49E" w14:textId="2B212509" w:rsidR="00A22AB3" w:rsidRPr="0059667B" w:rsidRDefault="0059667B">
      <w:pPr>
        <w:rPr>
          <w:rFonts w:ascii="Times New Roman" w:hAnsi="Times New Roman" w:cs="Times New Roman"/>
          <w:b/>
          <w:bCs/>
        </w:rPr>
      </w:pPr>
      <w:r>
        <w:rPr>
          <w:rFonts w:ascii="Times New Roman" w:hAnsi="Times New Roman" w:cs="Times New Roman"/>
          <w:b/>
          <w:bCs/>
        </w:rPr>
        <w:t>III. RESULT AND DISCUSSION</w:t>
      </w:r>
    </w:p>
    <w:p w14:paraId="135A54C7" w14:textId="2D72D23A" w:rsidR="00425F0D" w:rsidRDefault="0059667B" w:rsidP="00425F0D">
      <w:pPr>
        <w:rPr>
          <w:rFonts w:ascii="Times New Roman" w:hAnsi="Times New Roman" w:cs="Times New Roman"/>
          <w:b/>
          <w:bCs/>
        </w:rPr>
      </w:pPr>
      <w:r>
        <w:rPr>
          <w:rFonts w:ascii="Times New Roman" w:hAnsi="Times New Roman" w:cs="Times New Roman"/>
          <w:b/>
          <w:bCs/>
        </w:rPr>
        <w:t>3.</w:t>
      </w:r>
      <w:r w:rsidR="00425F0D" w:rsidRPr="00425F0D">
        <w:rPr>
          <w:rFonts w:ascii="Times New Roman" w:hAnsi="Times New Roman" w:cs="Times New Roman"/>
          <w:b/>
          <w:bCs/>
        </w:rPr>
        <w:t xml:space="preserve">1 Sectoral Contribution and Economic Structure of </w:t>
      </w:r>
      <w:proofErr w:type="spellStart"/>
      <w:r w:rsidR="00425F0D" w:rsidRPr="00425F0D">
        <w:rPr>
          <w:rFonts w:ascii="Times New Roman" w:hAnsi="Times New Roman" w:cs="Times New Roman"/>
          <w:b/>
          <w:bCs/>
        </w:rPr>
        <w:t>Bebesen</w:t>
      </w:r>
      <w:proofErr w:type="spellEnd"/>
    </w:p>
    <w:p w14:paraId="5E51C38D" w14:textId="026E716A" w:rsidR="0059667B" w:rsidRPr="00425F0D" w:rsidRDefault="0059667B" w:rsidP="0059667B">
      <w:pPr>
        <w:jc w:val="both"/>
        <w:rPr>
          <w:rFonts w:ascii="Times New Roman" w:hAnsi="Times New Roman" w:cs="Times New Roman"/>
          <w:b/>
          <w:bCs/>
        </w:rPr>
      </w:pPr>
      <w:r w:rsidRPr="00425F0D">
        <w:rPr>
          <w:rFonts w:ascii="Times New Roman" w:hAnsi="Times New Roman" w:cs="Times New Roman"/>
        </w:rPr>
        <w:t xml:space="preserve">The economic structure of </w:t>
      </w:r>
      <w:proofErr w:type="spellStart"/>
      <w:r w:rsidRPr="00425F0D">
        <w:rPr>
          <w:rFonts w:ascii="Times New Roman" w:hAnsi="Times New Roman" w:cs="Times New Roman"/>
        </w:rPr>
        <w:t>Bebesen</w:t>
      </w:r>
      <w:proofErr w:type="spellEnd"/>
      <w:r w:rsidRPr="00425F0D">
        <w:rPr>
          <w:rFonts w:ascii="Times New Roman" w:hAnsi="Times New Roman" w:cs="Times New Roman"/>
        </w:rPr>
        <w:t xml:space="preserve"> </w:t>
      </w:r>
      <w:r>
        <w:rPr>
          <w:rFonts w:ascii="Times New Roman" w:hAnsi="Times New Roman" w:cs="Times New Roman"/>
        </w:rPr>
        <w:t>Dis</w:t>
      </w:r>
      <w:r w:rsidRPr="00425F0D">
        <w:rPr>
          <w:rFonts w:ascii="Times New Roman" w:hAnsi="Times New Roman" w:cs="Times New Roman"/>
        </w:rPr>
        <w:t>trict has demonstrated consistent growth over the 2019–2023 period, as reflected in the increase of total Gross Regional Domestic Product (GRDP) from Rp 1,080.95 billion in 2019 to Rp 1,222.72 billion in 2023.</w:t>
      </w:r>
    </w:p>
    <w:p w14:paraId="6E85CE97" w14:textId="77777777" w:rsidR="0059667B" w:rsidRDefault="0059667B" w:rsidP="0059667B">
      <w:pPr>
        <w:jc w:val="center"/>
        <w:rPr>
          <w:rFonts w:ascii="Times New Roman" w:hAnsi="Times New Roman" w:cs="Times New Roman"/>
        </w:rPr>
      </w:pPr>
      <w:r w:rsidRPr="008131FC">
        <w:rPr>
          <w:rFonts w:ascii="Times New Roman" w:hAnsi="Times New Roman"/>
          <w:noProof/>
        </w:rPr>
        <w:drawing>
          <wp:inline distT="0" distB="0" distL="0" distR="0" wp14:anchorId="6A4C2246" wp14:editId="38C1BCE0">
            <wp:extent cx="3490913" cy="2308577"/>
            <wp:effectExtent l="0" t="0" r="0" b="0"/>
            <wp:docPr id="6679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2534" name=""/>
                    <pic:cNvPicPr/>
                  </pic:nvPicPr>
                  <pic:blipFill>
                    <a:blip r:embed="rId8"/>
                    <a:stretch>
                      <a:fillRect/>
                    </a:stretch>
                  </pic:blipFill>
                  <pic:spPr>
                    <a:xfrm>
                      <a:off x="0" y="0"/>
                      <a:ext cx="3501610" cy="2315651"/>
                    </a:xfrm>
                    <a:prstGeom prst="rect">
                      <a:avLst/>
                    </a:prstGeom>
                  </pic:spPr>
                </pic:pic>
              </a:graphicData>
            </a:graphic>
          </wp:inline>
        </w:drawing>
      </w:r>
    </w:p>
    <w:p w14:paraId="021F96CE" w14:textId="6BE54F54" w:rsidR="0059667B" w:rsidRPr="0059667B" w:rsidRDefault="0059667B" w:rsidP="0059667B">
      <w:pPr>
        <w:jc w:val="center"/>
        <w:rPr>
          <w:rFonts w:ascii="Times New Roman" w:hAnsi="Times New Roman" w:cs="Times New Roman"/>
          <w:b/>
          <w:bCs/>
        </w:rPr>
      </w:pPr>
      <w:r>
        <w:rPr>
          <w:rFonts w:ascii="Times New Roman" w:hAnsi="Times New Roman" w:cs="Times New Roman"/>
          <w:b/>
          <w:bCs/>
        </w:rPr>
        <w:t xml:space="preserve">Figure 1. </w:t>
      </w:r>
      <w:proofErr w:type="spellStart"/>
      <w:r>
        <w:rPr>
          <w:rFonts w:ascii="Times New Roman" w:hAnsi="Times New Roman" w:cs="Times New Roman"/>
          <w:b/>
          <w:bCs/>
        </w:rPr>
        <w:t>Bebesen</w:t>
      </w:r>
      <w:proofErr w:type="spellEnd"/>
      <w:r>
        <w:rPr>
          <w:rFonts w:ascii="Times New Roman" w:hAnsi="Times New Roman" w:cs="Times New Roman"/>
          <w:b/>
          <w:bCs/>
        </w:rPr>
        <w:t xml:space="preserve"> District</w:t>
      </w:r>
    </w:p>
    <w:p w14:paraId="0B730786" w14:textId="3D13F95F" w:rsidR="00425F0D" w:rsidRPr="00425F0D" w:rsidRDefault="00425F0D" w:rsidP="0059667B">
      <w:pPr>
        <w:jc w:val="both"/>
        <w:rPr>
          <w:rFonts w:ascii="Times New Roman" w:hAnsi="Times New Roman" w:cs="Times New Roman"/>
        </w:rPr>
      </w:pPr>
      <w:r w:rsidRPr="00425F0D">
        <w:rPr>
          <w:rFonts w:ascii="Times New Roman" w:hAnsi="Times New Roman" w:cs="Times New Roman"/>
        </w:rPr>
        <w:lastRenderedPageBreak/>
        <w:t xml:space="preserve">During the same period, the agricultural sector grew from Rp 379.59 billion to Rp 512.46 billion, representing a 35.0% growth rate, significantly outpacing overall GRDP growth of 13.1%. This trend indicates a strengthening role of agriculture in the local economy, particularly in horticultural production, and supports the designation of </w:t>
      </w:r>
      <w:proofErr w:type="spellStart"/>
      <w:r w:rsidRPr="00425F0D">
        <w:rPr>
          <w:rFonts w:ascii="Times New Roman" w:hAnsi="Times New Roman" w:cs="Times New Roman"/>
        </w:rPr>
        <w:t>Bebesen</w:t>
      </w:r>
      <w:proofErr w:type="spellEnd"/>
      <w:r w:rsidRPr="00425F0D">
        <w:rPr>
          <w:rFonts w:ascii="Times New Roman" w:hAnsi="Times New Roman" w:cs="Times New Roman"/>
        </w:rPr>
        <w:t xml:space="preserve"> as an agriculturally driven zone</w:t>
      </w:r>
      <w:r w:rsidR="00E75A1D">
        <w:rPr>
          <w:rFonts w:ascii="Times New Roman" w:hAnsi="Times New Roman" w:cs="Times New Roman"/>
        </w:rPr>
        <w:t>.</w:t>
      </w:r>
    </w:p>
    <w:p w14:paraId="56F4601E" w14:textId="7020F6C0" w:rsidR="00425F0D" w:rsidRPr="00425F0D" w:rsidRDefault="00425F0D" w:rsidP="0059667B">
      <w:pPr>
        <w:jc w:val="both"/>
        <w:rPr>
          <w:rFonts w:ascii="Times New Roman" w:hAnsi="Times New Roman" w:cs="Times New Roman"/>
        </w:rPr>
      </w:pPr>
      <w:r w:rsidRPr="00425F0D">
        <w:rPr>
          <w:rFonts w:ascii="Times New Roman" w:hAnsi="Times New Roman" w:cs="Times New Roman"/>
        </w:rPr>
        <w:t>Despite a brief stagnation in 2020 due to pandemic-related disruptions, both total and agricultural GRDP rebounded in subsequent years. The relative increase in the agriculture sector’s share of GRDP suggests not only quantitative expansion but also a sectoral shift in local economic dependence. This aligns with theories of rural transformation that emphasize the strategic prioritization of base sectors to stimulate endogenous growth</w:t>
      </w:r>
      <w:r w:rsidR="00E75A1D">
        <w:rPr>
          <w:rFonts w:ascii="Times New Roman" w:hAnsi="Times New Roman" w:cs="Times New Roman"/>
        </w:rPr>
        <w:t>.</w:t>
      </w:r>
    </w:p>
    <w:p w14:paraId="781840D4" w14:textId="28F7D6EF" w:rsidR="00425F0D" w:rsidRPr="00425F0D" w:rsidRDefault="00425F0D" w:rsidP="00425F0D">
      <w:pPr>
        <w:rPr>
          <w:rFonts w:ascii="Times New Roman" w:hAnsi="Times New Roman" w:cs="Times New Roman"/>
        </w:rPr>
      </w:pPr>
    </w:p>
    <w:p w14:paraId="557BEE5D" w14:textId="39EC2EA5" w:rsidR="00425F0D" w:rsidRPr="00425F0D" w:rsidRDefault="00E75A1D" w:rsidP="00425F0D">
      <w:pPr>
        <w:rPr>
          <w:rFonts w:ascii="Times New Roman" w:hAnsi="Times New Roman" w:cs="Times New Roman"/>
          <w:b/>
          <w:bCs/>
        </w:rPr>
      </w:pPr>
      <w:r>
        <w:rPr>
          <w:rFonts w:ascii="Times New Roman" w:hAnsi="Times New Roman" w:cs="Times New Roman"/>
          <w:b/>
          <w:bCs/>
        </w:rPr>
        <w:t>3.</w:t>
      </w:r>
      <w:r w:rsidR="00425F0D" w:rsidRPr="00425F0D">
        <w:rPr>
          <w:rFonts w:ascii="Times New Roman" w:hAnsi="Times New Roman" w:cs="Times New Roman"/>
          <w:b/>
          <w:bCs/>
        </w:rPr>
        <w:t>2 Identification of Leading Commodities via Location Quotient (LQ)</w:t>
      </w:r>
    </w:p>
    <w:p w14:paraId="694AC135" w14:textId="4ABB2ED2" w:rsidR="00E75A1D" w:rsidRPr="00E75A1D" w:rsidRDefault="00E75A1D" w:rsidP="00E75A1D">
      <w:pPr>
        <w:jc w:val="both"/>
        <w:rPr>
          <w:rFonts w:ascii="Times New Roman" w:hAnsi="Times New Roman" w:cs="Times New Roman"/>
        </w:rPr>
      </w:pPr>
      <w:r>
        <w:rPr>
          <w:rFonts w:ascii="Times New Roman" w:hAnsi="Times New Roman" w:cs="Times New Roman"/>
        </w:rPr>
        <w:t>T</w:t>
      </w:r>
      <w:r w:rsidRPr="00E75A1D">
        <w:rPr>
          <w:rFonts w:ascii="Times New Roman" w:hAnsi="Times New Roman" w:cs="Times New Roman"/>
        </w:rPr>
        <w:t xml:space="preserve">he strategic role of agricultural commodities in </w:t>
      </w:r>
      <w:proofErr w:type="spellStart"/>
      <w:r w:rsidRPr="00E75A1D">
        <w:rPr>
          <w:rFonts w:ascii="Times New Roman" w:hAnsi="Times New Roman" w:cs="Times New Roman"/>
        </w:rPr>
        <w:t>Bebesen’s</w:t>
      </w:r>
      <w:proofErr w:type="spellEnd"/>
      <w:r w:rsidRPr="00E75A1D">
        <w:rPr>
          <w:rFonts w:ascii="Times New Roman" w:hAnsi="Times New Roman" w:cs="Times New Roman"/>
        </w:rPr>
        <w:t xml:space="preserve"> local economy, a longitudinal Location Quotient (LQ) analysis was conducted for the years 2019 to 2023. The LQ method quantifies the relative specialization of each commodity by comparing its contribution to the local economy with that of the broader region</w:t>
      </w:r>
      <w:r>
        <w:rPr>
          <w:rFonts w:ascii="Times New Roman" w:hAnsi="Times New Roman" w:cs="Times New Roman"/>
        </w:rPr>
        <w:t xml:space="preserve">. </w:t>
      </w:r>
      <w:r w:rsidRPr="00E75A1D">
        <w:rPr>
          <w:rFonts w:ascii="Times New Roman" w:hAnsi="Times New Roman" w:cs="Times New Roman"/>
        </w:rPr>
        <w:t>Commodities with an LQ value greater than 1 are considered basic sectors, indicating that they produce beyond local demand and thus contribute to external market supply.</w:t>
      </w:r>
    </w:p>
    <w:p w14:paraId="73E2F760" w14:textId="02AA738F" w:rsidR="00E75A1D" w:rsidRPr="00E75A1D" w:rsidRDefault="00E75A1D" w:rsidP="00E75A1D">
      <w:pPr>
        <w:jc w:val="center"/>
        <w:rPr>
          <w:rFonts w:ascii="Times New Roman" w:hAnsi="Times New Roman" w:cs="Times New Roman"/>
        </w:rPr>
      </w:pPr>
      <w:r w:rsidRPr="00E75A1D">
        <w:rPr>
          <w:rFonts w:ascii="Times New Roman" w:hAnsi="Times New Roman" w:cs="Times New Roman"/>
          <w:b/>
          <w:bCs/>
        </w:rPr>
        <w:t xml:space="preserve">Table </w:t>
      </w:r>
      <w:r>
        <w:rPr>
          <w:rFonts w:ascii="Times New Roman" w:hAnsi="Times New Roman" w:cs="Times New Roman"/>
          <w:b/>
          <w:bCs/>
        </w:rPr>
        <w:t>1</w:t>
      </w:r>
      <w:r w:rsidRPr="00E75A1D">
        <w:rPr>
          <w:rFonts w:ascii="Times New Roman" w:hAnsi="Times New Roman" w:cs="Times New Roman"/>
          <w:b/>
          <w:bCs/>
        </w:rPr>
        <w:t xml:space="preserve">. </w:t>
      </w:r>
      <w:r w:rsidRPr="00E75A1D">
        <w:rPr>
          <w:rFonts w:ascii="Times New Roman" w:hAnsi="Times New Roman" w:cs="Times New Roman"/>
        </w:rPr>
        <w:t xml:space="preserve">Leading Commodities in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Based on LQ (2019–2023)</w:t>
      </w:r>
    </w:p>
    <w:tbl>
      <w:tblPr>
        <w:tblStyle w:val="TableGrid"/>
        <w:tblW w:w="0" w:type="auto"/>
        <w:tblLook w:val="04A0" w:firstRow="1" w:lastRow="0" w:firstColumn="1" w:lastColumn="0" w:noHBand="0" w:noVBand="1"/>
      </w:tblPr>
      <w:tblGrid>
        <w:gridCol w:w="2365"/>
        <w:gridCol w:w="821"/>
        <w:gridCol w:w="820"/>
        <w:gridCol w:w="821"/>
        <w:gridCol w:w="962"/>
        <w:gridCol w:w="962"/>
        <w:gridCol w:w="1983"/>
      </w:tblGrid>
      <w:tr w:rsidR="00E75A1D" w:rsidRPr="00E75A1D" w14:paraId="2DAE54AE" w14:textId="77777777" w:rsidTr="00E75A1D">
        <w:tc>
          <w:tcPr>
            <w:tcW w:w="2365" w:type="dxa"/>
            <w:hideMark/>
          </w:tcPr>
          <w:p w14:paraId="65391802"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Commodity</w:t>
            </w:r>
          </w:p>
        </w:tc>
        <w:tc>
          <w:tcPr>
            <w:tcW w:w="821" w:type="dxa"/>
            <w:hideMark/>
          </w:tcPr>
          <w:p w14:paraId="5A5AE190"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2019</w:t>
            </w:r>
          </w:p>
        </w:tc>
        <w:tc>
          <w:tcPr>
            <w:tcW w:w="820" w:type="dxa"/>
            <w:hideMark/>
          </w:tcPr>
          <w:p w14:paraId="6B8C2D2C"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2020</w:t>
            </w:r>
          </w:p>
        </w:tc>
        <w:tc>
          <w:tcPr>
            <w:tcW w:w="821" w:type="dxa"/>
            <w:hideMark/>
          </w:tcPr>
          <w:p w14:paraId="7BADE558"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2021</w:t>
            </w:r>
          </w:p>
        </w:tc>
        <w:tc>
          <w:tcPr>
            <w:tcW w:w="962" w:type="dxa"/>
            <w:hideMark/>
          </w:tcPr>
          <w:p w14:paraId="5944649E"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2022</w:t>
            </w:r>
          </w:p>
        </w:tc>
        <w:tc>
          <w:tcPr>
            <w:tcW w:w="962" w:type="dxa"/>
            <w:hideMark/>
          </w:tcPr>
          <w:p w14:paraId="2FD4E0C9"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2023</w:t>
            </w:r>
          </w:p>
        </w:tc>
        <w:tc>
          <w:tcPr>
            <w:tcW w:w="0" w:type="auto"/>
            <w:hideMark/>
          </w:tcPr>
          <w:p w14:paraId="14C03B44" w14:textId="77777777" w:rsidR="00E75A1D" w:rsidRPr="00E75A1D" w:rsidRDefault="00E75A1D" w:rsidP="00E75A1D">
            <w:pPr>
              <w:spacing w:after="160" w:line="278" w:lineRule="auto"/>
              <w:rPr>
                <w:rFonts w:ascii="Times New Roman" w:hAnsi="Times New Roman" w:cs="Times New Roman"/>
                <w:b/>
                <w:bCs/>
              </w:rPr>
            </w:pPr>
            <w:r w:rsidRPr="00E75A1D">
              <w:rPr>
                <w:rFonts w:ascii="Times New Roman" w:hAnsi="Times New Roman" w:cs="Times New Roman"/>
                <w:b/>
                <w:bCs/>
              </w:rPr>
              <w:t>Status</w:t>
            </w:r>
          </w:p>
        </w:tc>
      </w:tr>
      <w:tr w:rsidR="00E75A1D" w:rsidRPr="00E75A1D" w14:paraId="231BD850" w14:textId="77777777" w:rsidTr="00E75A1D">
        <w:tc>
          <w:tcPr>
            <w:tcW w:w="2365" w:type="dxa"/>
            <w:hideMark/>
          </w:tcPr>
          <w:p w14:paraId="13F35AC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Shallot</w:t>
            </w:r>
          </w:p>
        </w:tc>
        <w:tc>
          <w:tcPr>
            <w:tcW w:w="821" w:type="dxa"/>
            <w:hideMark/>
          </w:tcPr>
          <w:p w14:paraId="79EF17C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820" w:type="dxa"/>
            <w:hideMark/>
          </w:tcPr>
          <w:p w14:paraId="64710F8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0.13</w:t>
            </w:r>
          </w:p>
        </w:tc>
        <w:tc>
          <w:tcPr>
            <w:tcW w:w="821" w:type="dxa"/>
            <w:hideMark/>
          </w:tcPr>
          <w:p w14:paraId="606E8CA1"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962" w:type="dxa"/>
            <w:hideMark/>
          </w:tcPr>
          <w:p w14:paraId="0C15F8B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1.82</w:t>
            </w:r>
          </w:p>
        </w:tc>
        <w:tc>
          <w:tcPr>
            <w:tcW w:w="962" w:type="dxa"/>
            <w:hideMark/>
          </w:tcPr>
          <w:p w14:paraId="41F38AD4"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1.35</w:t>
            </w:r>
          </w:p>
        </w:tc>
        <w:tc>
          <w:tcPr>
            <w:tcW w:w="0" w:type="auto"/>
            <w:hideMark/>
          </w:tcPr>
          <w:p w14:paraId="3721B4A4"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Base (2022–2023)</w:t>
            </w:r>
          </w:p>
        </w:tc>
      </w:tr>
      <w:tr w:rsidR="00E75A1D" w:rsidRPr="00E75A1D" w14:paraId="48379907" w14:textId="77777777" w:rsidTr="00E75A1D">
        <w:tc>
          <w:tcPr>
            <w:tcW w:w="2365" w:type="dxa"/>
            <w:hideMark/>
          </w:tcPr>
          <w:p w14:paraId="7E463BA4"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Curly Chili</w:t>
            </w:r>
          </w:p>
        </w:tc>
        <w:tc>
          <w:tcPr>
            <w:tcW w:w="821" w:type="dxa"/>
            <w:hideMark/>
          </w:tcPr>
          <w:p w14:paraId="676B06D3"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0.34</w:t>
            </w:r>
          </w:p>
        </w:tc>
        <w:tc>
          <w:tcPr>
            <w:tcW w:w="820" w:type="dxa"/>
            <w:hideMark/>
          </w:tcPr>
          <w:p w14:paraId="0FF1BD6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0.21</w:t>
            </w:r>
          </w:p>
        </w:tc>
        <w:tc>
          <w:tcPr>
            <w:tcW w:w="821" w:type="dxa"/>
            <w:hideMark/>
          </w:tcPr>
          <w:p w14:paraId="47FC99DF"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0.12</w:t>
            </w:r>
          </w:p>
        </w:tc>
        <w:tc>
          <w:tcPr>
            <w:tcW w:w="962" w:type="dxa"/>
            <w:hideMark/>
          </w:tcPr>
          <w:p w14:paraId="40A7DE5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0.10</w:t>
            </w:r>
          </w:p>
        </w:tc>
        <w:tc>
          <w:tcPr>
            <w:tcW w:w="962" w:type="dxa"/>
            <w:hideMark/>
          </w:tcPr>
          <w:p w14:paraId="0309CA1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0.09</w:t>
            </w:r>
          </w:p>
        </w:tc>
        <w:tc>
          <w:tcPr>
            <w:tcW w:w="0" w:type="auto"/>
            <w:hideMark/>
          </w:tcPr>
          <w:p w14:paraId="299B5C7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Non-Base</w:t>
            </w:r>
          </w:p>
        </w:tc>
      </w:tr>
      <w:tr w:rsidR="00E75A1D" w:rsidRPr="00E75A1D" w14:paraId="6C99635D" w14:textId="77777777" w:rsidTr="00E75A1D">
        <w:tc>
          <w:tcPr>
            <w:tcW w:w="2365" w:type="dxa"/>
            <w:hideMark/>
          </w:tcPr>
          <w:p w14:paraId="17F670D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Bird’s Eye Chili</w:t>
            </w:r>
          </w:p>
        </w:tc>
        <w:tc>
          <w:tcPr>
            <w:tcW w:w="821" w:type="dxa"/>
            <w:hideMark/>
          </w:tcPr>
          <w:p w14:paraId="6452E28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0.46</w:t>
            </w:r>
          </w:p>
        </w:tc>
        <w:tc>
          <w:tcPr>
            <w:tcW w:w="820" w:type="dxa"/>
            <w:hideMark/>
          </w:tcPr>
          <w:p w14:paraId="5AC8743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0.72</w:t>
            </w:r>
          </w:p>
        </w:tc>
        <w:tc>
          <w:tcPr>
            <w:tcW w:w="821" w:type="dxa"/>
            <w:hideMark/>
          </w:tcPr>
          <w:p w14:paraId="572007E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1.52</w:t>
            </w:r>
          </w:p>
        </w:tc>
        <w:tc>
          <w:tcPr>
            <w:tcW w:w="962" w:type="dxa"/>
            <w:hideMark/>
          </w:tcPr>
          <w:p w14:paraId="02DCD8A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0.72</w:t>
            </w:r>
          </w:p>
        </w:tc>
        <w:tc>
          <w:tcPr>
            <w:tcW w:w="962" w:type="dxa"/>
            <w:hideMark/>
          </w:tcPr>
          <w:p w14:paraId="6D714CE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0.33</w:t>
            </w:r>
          </w:p>
        </w:tc>
        <w:tc>
          <w:tcPr>
            <w:tcW w:w="0" w:type="auto"/>
            <w:hideMark/>
          </w:tcPr>
          <w:p w14:paraId="2EA0DF0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Base (2021)</w:t>
            </w:r>
          </w:p>
        </w:tc>
      </w:tr>
      <w:tr w:rsidR="00E75A1D" w:rsidRPr="00E75A1D" w14:paraId="25211A3C" w14:textId="77777777" w:rsidTr="00E75A1D">
        <w:tc>
          <w:tcPr>
            <w:tcW w:w="2365" w:type="dxa"/>
            <w:hideMark/>
          </w:tcPr>
          <w:p w14:paraId="5385D3B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Potato</w:t>
            </w:r>
          </w:p>
        </w:tc>
        <w:tc>
          <w:tcPr>
            <w:tcW w:w="821" w:type="dxa"/>
            <w:hideMark/>
          </w:tcPr>
          <w:p w14:paraId="50188AF8"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11.69</w:t>
            </w:r>
          </w:p>
        </w:tc>
        <w:tc>
          <w:tcPr>
            <w:tcW w:w="820" w:type="dxa"/>
            <w:hideMark/>
          </w:tcPr>
          <w:p w14:paraId="5898245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3.61</w:t>
            </w:r>
          </w:p>
        </w:tc>
        <w:tc>
          <w:tcPr>
            <w:tcW w:w="821" w:type="dxa"/>
            <w:hideMark/>
          </w:tcPr>
          <w:p w14:paraId="5FB7B636"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1.04</w:t>
            </w:r>
          </w:p>
        </w:tc>
        <w:tc>
          <w:tcPr>
            <w:tcW w:w="962" w:type="dxa"/>
            <w:hideMark/>
          </w:tcPr>
          <w:p w14:paraId="25D618D3"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18.82</w:t>
            </w:r>
          </w:p>
        </w:tc>
        <w:tc>
          <w:tcPr>
            <w:tcW w:w="962" w:type="dxa"/>
            <w:hideMark/>
          </w:tcPr>
          <w:p w14:paraId="21831D03"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12.96</w:t>
            </w:r>
          </w:p>
        </w:tc>
        <w:tc>
          <w:tcPr>
            <w:tcW w:w="0" w:type="auto"/>
            <w:hideMark/>
          </w:tcPr>
          <w:p w14:paraId="3DFCC51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r w:rsidR="00E75A1D" w:rsidRPr="00E75A1D" w14:paraId="2205A934" w14:textId="77777777" w:rsidTr="00E75A1D">
        <w:tc>
          <w:tcPr>
            <w:tcW w:w="2365" w:type="dxa"/>
            <w:hideMark/>
          </w:tcPr>
          <w:p w14:paraId="01F8295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Cabbage</w:t>
            </w:r>
          </w:p>
        </w:tc>
        <w:tc>
          <w:tcPr>
            <w:tcW w:w="821" w:type="dxa"/>
            <w:hideMark/>
          </w:tcPr>
          <w:p w14:paraId="2856DBA1"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18.28</w:t>
            </w:r>
          </w:p>
        </w:tc>
        <w:tc>
          <w:tcPr>
            <w:tcW w:w="820" w:type="dxa"/>
            <w:hideMark/>
          </w:tcPr>
          <w:p w14:paraId="27346DFC"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8.41</w:t>
            </w:r>
          </w:p>
        </w:tc>
        <w:tc>
          <w:tcPr>
            <w:tcW w:w="821" w:type="dxa"/>
            <w:hideMark/>
          </w:tcPr>
          <w:p w14:paraId="216C1366"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962" w:type="dxa"/>
            <w:hideMark/>
          </w:tcPr>
          <w:p w14:paraId="4A30E208"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16.40</w:t>
            </w:r>
          </w:p>
        </w:tc>
        <w:tc>
          <w:tcPr>
            <w:tcW w:w="962" w:type="dxa"/>
            <w:hideMark/>
          </w:tcPr>
          <w:p w14:paraId="505C2CAA"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13.47</w:t>
            </w:r>
          </w:p>
        </w:tc>
        <w:tc>
          <w:tcPr>
            <w:tcW w:w="0" w:type="auto"/>
            <w:hideMark/>
          </w:tcPr>
          <w:p w14:paraId="7B2A54D7"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r w:rsidR="00E75A1D" w:rsidRPr="00E75A1D" w14:paraId="7517E208" w14:textId="77777777" w:rsidTr="00E75A1D">
        <w:tc>
          <w:tcPr>
            <w:tcW w:w="2365" w:type="dxa"/>
            <w:hideMark/>
          </w:tcPr>
          <w:p w14:paraId="4E38F55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Tomato</w:t>
            </w:r>
          </w:p>
        </w:tc>
        <w:tc>
          <w:tcPr>
            <w:tcW w:w="821" w:type="dxa"/>
            <w:hideMark/>
          </w:tcPr>
          <w:p w14:paraId="7A293FC7"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0.16</w:t>
            </w:r>
          </w:p>
        </w:tc>
        <w:tc>
          <w:tcPr>
            <w:tcW w:w="820" w:type="dxa"/>
            <w:hideMark/>
          </w:tcPr>
          <w:p w14:paraId="1B80BD71"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821" w:type="dxa"/>
            <w:hideMark/>
          </w:tcPr>
          <w:p w14:paraId="34F04D2D"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962" w:type="dxa"/>
            <w:hideMark/>
          </w:tcPr>
          <w:p w14:paraId="01CD88E0"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3.48</w:t>
            </w:r>
          </w:p>
        </w:tc>
        <w:tc>
          <w:tcPr>
            <w:tcW w:w="962" w:type="dxa"/>
            <w:hideMark/>
          </w:tcPr>
          <w:p w14:paraId="45089E77"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1.46</w:t>
            </w:r>
          </w:p>
        </w:tc>
        <w:tc>
          <w:tcPr>
            <w:tcW w:w="0" w:type="auto"/>
            <w:hideMark/>
          </w:tcPr>
          <w:p w14:paraId="76B411B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Base (2022–2023)</w:t>
            </w:r>
          </w:p>
        </w:tc>
      </w:tr>
      <w:tr w:rsidR="00E75A1D" w:rsidRPr="00E75A1D" w14:paraId="2CAEB12A" w14:textId="77777777" w:rsidTr="00E75A1D">
        <w:tc>
          <w:tcPr>
            <w:tcW w:w="2365" w:type="dxa"/>
            <w:hideMark/>
          </w:tcPr>
          <w:p w14:paraId="30473D3A"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Spring Onion</w:t>
            </w:r>
          </w:p>
        </w:tc>
        <w:tc>
          <w:tcPr>
            <w:tcW w:w="821" w:type="dxa"/>
            <w:hideMark/>
          </w:tcPr>
          <w:p w14:paraId="38049856"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7.95</w:t>
            </w:r>
          </w:p>
        </w:tc>
        <w:tc>
          <w:tcPr>
            <w:tcW w:w="820" w:type="dxa"/>
            <w:hideMark/>
          </w:tcPr>
          <w:p w14:paraId="2354F2E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4.69</w:t>
            </w:r>
          </w:p>
        </w:tc>
        <w:tc>
          <w:tcPr>
            <w:tcW w:w="821" w:type="dxa"/>
            <w:hideMark/>
          </w:tcPr>
          <w:p w14:paraId="0CF79C0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2.19</w:t>
            </w:r>
          </w:p>
        </w:tc>
        <w:tc>
          <w:tcPr>
            <w:tcW w:w="962" w:type="dxa"/>
            <w:hideMark/>
          </w:tcPr>
          <w:p w14:paraId="122A7C89"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6.71</w:t>
            </w:r>
          </w:p>
        </w:tc>
        <w:tc>
          <w:tcPr>
            <w:tcW w:w="962" w:type="dxa"/>
            <w:hideMark/>
          </w:tcPr>
          <w:p w14:paraId="02F85722"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5.10</w:t>
            </w:r>
          </w:p>
        </w:tc>
        <w:tc>
          <w:tcPr>
            <w:tcW w:w="0" w:type="auto"/>
            <w:hideMark/>
          </w:tcPr>
          <w:p w14:paraId="0C337225"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r w:rsidR="00E75A1D" w:rsidRPr="00E75A1D" w14:paraId="3BAFB469" w14:textId="77777777" w:rsidTr="00E75A1D">
        <w:tc>
          <w:tcPr>
            <w:tcW w:w="2365" w:type="dxa"/>
            <w:hideMark/>
          </w:tcPr>
          <w:p w14:paraId="44CF59D0"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Cauliflower</w:t>
            </w:r>
          </w:p>
        </w:tc>
        <w:tc>
          <w:tcPr>
            <w:tcW w:w="821" w:type="dxa"/>
            <w:hideMark/>
          </w:tcPr>
          <w:p w14:paraId="61B548A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0.00</w:t>
            </w:r>
          </w:p>
        </w:tc>
        <w:tc>
          <w:tcPr>
            <w:tcW w:w="820" w:type="dxa"/>
            <w:hideMark/>
          </w:tcPr>
          <w:p w14:paraId="02B221B8"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2.31</w:t>
            </w:r>
          </w:p>
        </w:tc>
        <w:tc>
          <w:tcPr>
            <w:tcW w:w="821" w:type="dxa"/>
            <w:hideMark/>
          </w:tcPr>
          <w:p w14:paraId="06C42F8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6.70</w:t>
            </w:r>
          </w:p>
        </w:tc>
        <w:tc>
          <w:tcPr>
            <w:tcW w:w="962" w:type="dxa"/>
            <w:hideMark/>
          </w:tcPr>
          <w:p w14:paraId="2F60949B"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22.75</w:t>
            </w:r>
          </w:p>
        </w:tc>
        <w:tc>
          <w:tcPr>
            <w:tcW w:w="962" w:type="dxa"/>
            <w:hideMark/>
          </w:tcPr>
          <w:p w14:paraId="2731D61E"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14.44</w:t>
            </w:r>
          </w:p>
        </w:tc>
        <w:tc>
          <w:tcPr>
            <w:tcW w:w="0" w:type="auto"/>
            <w:hideMark/>
          </w:tcPr>
          <w:p w14:paraId="3DF002FF" w14:textId="77777777" w:rsidR="00E75A1D" w:rsidRPr="00E75A1D" w:rsidRDefault="00E75A1D" w:rsidP="00E75A1D">
            <w:pPr>
              <w:spacing w:after="160" w:line="278" w:lineRule="auto"/>
              <w:rPr>
                <w:rFonts w:ascii="Times New Roman" w:hAnsi="Times New Roman" w:cs="Times New Roman"/>
              </w:rPr>
            </w:pPr>
            <w:r w:rsidRPr="00E75A1D">
              <w:rPr>
                <w:rFonts w:ascii="Times New Roman" w:hAnsi="Times New Roman" w:cs="Times New Roman"/>
              </w:rPr>
              <w:t>Flagship Base</w:t>
            </w:r>
          </w:p>
        </w:tc>
      </w:tr>
    </w:tbl>
    <w:p w14:paraId="5EA8F21D" w14:textId="77777777" w:rsidR="00E75A1D" w:rsidRPr="00E75A1D" w:rsidRDefault="00E75A1D" w:rsidP="00E75A1D">
      <w:pPr>
        <w:rPr>
          <w:rFonts w:ascii="Times New Roman" w:hAnsi="Times New Roman" w:cs="Times New Roman"/>
        </w:rPr>
      </w:pPr>
      <w:r w:rsidRPr="00E75A1D">
        <w:rPr>
          <w:rFonts w:ascii="Times New Roman" w:hAnsi="Times New Roman" w:cs="Times New Roman"/>
          <w:b/>
          <w:bCs/>
        </w:rPr>
        <w:t>Source:</w:t>
      </w:r>
      <w:r w:rsidRPr="00E75A1D">
        <w:rPr>
          <w:rFonts w:ascii="Times New Roman" w:hAnsi="Times New Roman" w:cs="Times New Roman"/>
        </w:rPr>
        <w:t xml:space="preserve"> Data Processed from BPS Aceh Tengah, 2025</w:t>
      </w:r>
    </w:p>
    <w:p w14:paraId="125D37CD" w14:textId="601FE919" w:rsidR="00E75A1D" w:rsidRPr="00E75A1D" w:rsidRDefault="00E75A1D" w:rsidP="00E75A1D">
      <w:pPr>
        <w:rPr>
          <w:rFonts w:ascii="Times New Roman" w:hAnsi="Times New Roman" w:cs="Times New Roman"/>
        </w:rPr>
      </w:pPr>
    </w:p>
    <w:p w14:paraId="332E183C" w14:textId="77777777" w:rsidR="00E75A1D" w:rsidRPr="00E75A1D" w:rsidRDefault="00E75A1D" w:rsidP="00E75A1D">
      <w:pPr>
        <w:rPr>
          <w:rFonts w:ascii="Times New Roman" w:hAnsi="Times New Roman" w:cs="Times New Roman"/>
        </w:rPr>
      </w:pPr>
      <w:r w:rsidRPr="00E75A1D">
        <w:rPr>
          <w:rFonts w:ascii="Times New Roman" w:hAnsi="Times New Roman" w:cs="Times New Roman"/>
        </w:rPr>
        <w:t xml:space="preserve">The five-year LQ trend reveals several important dynamics in </w:t>
      </w:r>
      <w:proofErr w:type="spellStart"/>
      <w:r w:rsidRPr="00E75A1D">
        <w:rPr>
          <w:rFonts w:ascii="Times New Roman" w:hAnsi="Times New Roman" w:cs="Times New Roman"/>
        </w:rPr>
        <w:t>Bebesen’s</w:t>
      </w:r>
      <w:proofErr w:type="spellEnd"/>
      <w:r w:rsidRPr="00E75A1D">
        <w:rPr>
          <w:rFonts w:ascii="Times New Roman" w:hAnsi="Times New Roman" w:cs="Times New Roman"/>
        </w:rPr>
        <w:t xml:space="preserve"> agricultural sector:</w:t>
      </w:r>
    </w:p>
    <w:p w14:paraId="0A6473B1"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Stable Flagship Commodities:</w:t>
      </w:r>
    </w:p>
    <w:p w14:paraId="4AB70220"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lastRenderedPageBreak/>
        <w:t>Potato, cabbage, spring onion, and cauliflower consistently exhibit high LQ values (&gt;2 in most years), confirming their status as flagship base commodities.</w:t>
      </w:r>
    </w:p>
    <w:p w14:paraId="69D961A2"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 xml:space="preserve">These commodities have outperformed others in both production volume and market orientation, benefiting from </w:t>
      </w:r>
      <w:proofErr w:type="spellStart"/>
      <w:r w:rsidRPr="00E75A1D">
        <w:rPr>
          <w:rFonts w:ascii="Times New Roman" w:hAnsi="Times New Roman" w:cs="Times New Roman"/>
        </w:rPr>
        <w:t>agro</w:t>
      </w:r>
      <w:proofErr w:type="spellEnd"/>
      <w:r w:rsidRPr="00E75A1D">
        <w:rPr>
          <w:rFonts w:ascii="Times New Roman" w:hAnsi="Times New Roman" w:cs="Times New Roman"/>
        </w:rPr>
        <w:t>-ecological suitability and established farmer expertise.</w:t>
      </w:r>
    </w:p>
    <w:p w14:paraId="53838627"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Emerging Base Commodities:</w:t>
      </w:r>
    </w:p>
    <w:p w14:paraId="77BE5B22"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Shallot and tomato transitioned into base commodities only in the last two years (2022–2023). Their recent emergence indicates a possible diversification of production systems and successful crop rotation strategies.</w:t>
      </w:r>
    </w:p>
    <w:p w14:paraId="5CBB26CE"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These commodities require further support in terms of post-harvest handling, storage, and market integration to sustain their base status.</w:t>
      </w:r>
    </w:p>
    <w:p w14:paraId="12CC85A1"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Volatile Commodities:</w:t>
      </w:r>
    </w:p>
    <w:p w14:paraId="4B2F2E54"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Bird’s eye chili (</w:t>
      </w:r>
      <w:proofErr w:type="spellStart"/>
      <w:r w:rsidRPr="00E75A1D">
        <w:rPr>
          <w:rFonts w:ascii="Times New Roman" w:hAnsi="Times New Roman" w:cs="Times New Roman"/>
        </w:rPr>
        <w:t>cabai</w:t>
      </w:r>
      <w:proofErr w:type="spellEnd"/>
      <w:r w:rsidRPr="00E75A1D">
        <w:rPr>
          <w:rFonts w:ascii="Times New Roman" w:hAnsi="Times New Roman" w:cs="Times New Roman"/>
        </w:rPr>
        <w:t xml:space="preserve"> </w:t>
      </w:r>
      <w:proofErr w:type="spellStart"/>
      <w:r w:rsidRPr="00E75A1D">
        <w:rPr>
          <w:rFonts w:ascii="Times New Roman" w:hAnsi="Times New Roman" w:cs="Times New Roman"/>
        </w:rPr>
        <w:t>rawit</w:t>
      </w:r>
      <w:proofErr w:type="spellEnd"/>
      <w:r w:rsidRPr="00E75A1D">
        <w:rPr>
          <w:rFonts w:ascii="Times New Roman" w:hAnsi="Times New Roman" w:cs="Times New Roman"/>
        </w:rPr>
        <w:t>) was only a base commodity in 2021 (LQ = 1.52) but declined afterward.</w:t>
      </w:r>
    </w:p>
    <w:p w14:paraId="6C11393C"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Curly chili (</w:t>
      </w:r>
      <w:proofErr w:type="spellStart"/>
      <w:r w:rsidRPr="00E75A1D">
        <w:rPr>
          <w:rFonts w:ascii="Times New Roman" w:hAnsi="Times New Roman" w:cs="Times New Roman"/>
        </w:rPr>
        <w:t>cabai</w:t>
      </w:r>
      <w:proofErr w:type="spellEnd"/>
      <w:r w:rsidRPr="00E75A1D">
        <w:rPr>
          <w:rFonts w:ascii="Times New Roman" w:hAnsi="Times New Roman" w:cs="Times New Roman"/>
        </w:rPr>
        <w:t xml:space="preserve"> </w:t>
      </w:r>
      <w:proofErr w:type="spellStart"/>
      <w:r w:rsidRPr="00E75A1D">
        <w:rPr>
          <w:rFonts w:ascii="Times New Roman" w:hAnsi="Times New Roman" w:cs="Times New Roman"/>
        </w:rPr>
        <w:t>keriting</w:t>
      </w:r>
      <w:proofErr w:type="spellEnd"/>
      <w:r w:rsidRPr="00E75A1D">
        <w:rPr>
          <w:rFonts w:ascii="Times New Roman" w:hAnsi="Times New Roman" w:cs="Times New Roman"/>
        </w:rPr>
        <w:t>) remained consistently non-base across all years, suggesting low comparative advantage and possibly high local consumption that limits export potential.</w:t>
      </w:r>
    </w:p>
    <w:p w14:paraId="6BCDA223" w14:textId="77777777" w:rsidR="00E75A1D" w:rsidRPr="00E75A1D" w:rsidRDefault="00E75A1D" w:rsidP="00E75A1D">
      <w:pPr>
        <w:numPr>
          <w:ilvl w:val="0"/>
          <w:numId w:val="13"/>
        </w:numPr>
        <w:jc w:val="both"/>
        <w:rPr>
          <w:rFonts w:ascii="Times New Roman" w:hAnsi="Times New Roman" w:cs="Times New Roman"/>
        </w:rPr>
      </w:pPr>
      <w:r w:rsidRPr="00E75A1D">
        <w:rPr>
          <w:rFonts w:ascii="Times New Roman" w:hAnsi="Times New Roman" w:cs="Times New Roman"/>
        </w:rPr>
        <w:t>Declining Strategic Role of Arabica Coffee:</w:t>
      </w:r>
    </w:p>
    <w:p w14:paraId="4AD215EB" w14:textId="77777777" w:rsidR="00E75A1D" w:rsidRPr="00E75A1D" w:rsidRDefault="00E75A1D" w:rsidP="00E75A1D">
      <w:pPr>
        <w:numPr>
          <w:ilvl w:val="1"/>
          <w:numId w:val="13"/>
        </w:numPr>
        <w:jc w:val="both"/>
        <w:rPr>
          <w:rFonts w:ascii="Times New Roman" w:hAnsi="Times New Roman" w:cs="Times New Roman"/>
        </w:rPr>
      </w:pPr>
      <w:r w:rsidRPr="00E75A1D">
        <w:rPr>
          <w:rFonts w:ascii="Times New Roman" w:hAnsi="Times New Roman" w:cs="Times New Roman"/>
        </w:rPr>
        <w:t>While not included in the table above, earlier analysis revealed that Gayo Arabica coffee's LQ value is 0.66, placing it below the base threshold. This supports the argument that Bebesen’s economic base is shifting away from traditional coffee toward high-value horticulture.</w:t>
      </w:r>
    </w:p>
    <w:p w14:paraId="0CCF1338" w14:textId="433E4E1C" w:rsidR="00425F0D" w:rsidRPr="00425F0D" w:rsidRDefault="00425F0D" w:rsidP="00425F0D">
      <w:pPr>
        <w:rPr>
          <w:rFonts w:ascii="Times New Roman" w:hAnsi="Times New Roman" w:cs="Times New Roman"/>
        </w:rPr>
      </w:pPr>
    </w:p>
    <w:p w14:paraId="7F20F2D4" w14:textId="77777777" w:rsidR="00425F0D" w:rsidRPr="00425F0D" w:rsidRDefault="00425F0D" w:rsidP="00425F0D">
      <w:pPr>
        <w:rPr>
          <w:rFonts w:ascii="Times New Roman" w:hAnsi="Times New Roman" w:cs="Times New Roman"/>
          <w:b/>
          <w:bCs/>
        </w:rPr>
      </w:pPr>
      <w:r w:rsidRPr="00425F0D">
        <w:rPr>
          <w:rFonts w:ascii="Times New Roman" w:hAnsi="Times New Roman" w:cs="Times New Roman"/>
          <w:b/>
          <w:bCs/>
        </w:rPr>
        <w:t>3. Growth Classification via Klassen Typology</w:t>
      </w:r>
    </w:p>
    <w:p w14:paraId="20A2DDD9" w14:textId="0A405EA6" w:rsidR="00E75A1D" w:rsidRPr="00E75A1D" w:rsidRDefault="00E75A1D" w:rsidP="00E75A1D">
      <w:pPr>
        <w:jc w:val="both"/>
        <w:rPr>
          <w:rFonts w:ascii="Times New Roman" w:hAnsi="Times New Roman" w:cs="Times New Roman"/>
        </w:rPr>
      </w:pPr>
      <w:proofErr w:type="spellStart"/>
      <w:r w:rsidRPr="00E75A1D">
        <w:rPr>
          <w:rFonts w:ascii="Times New Roman" w:hAnsi="Times New Roman" w:cs="Times New Roman"/>
        </w:rPr>
        <w:t>Tthe</w:t>
      </w:r>
      <w:proofErr w:type="spellEnd"/>
      <w:r w:rsidRPr="00E75A1D">
        <w:rPr>
          <w:rFonts w:ascii="Times New Roman" w:hAnsi="Times New Roman" w:cs="Times New Roman"/>
        </w:rPr>
        <w:t xml:space="preserve"> development trajectory of </w:t>
      </w:r>
      <w:proofErr w:type="spellStart"/>
      <w:r w:rsidRPr="00E75A1D">
        <w:rPr>
          <w:rFonts w:ascii="Times New Roman" w:hAnsi="Times New Roman" w:cs="Times New Roman"/>
        </w:rPr>
        <w:t>Bebesen’s</w:t>
      </w:r>
      <w:proofErr w:type="spellEnd"/>
      <w:r w:rsidRPr="00E75A1D">
        <w:rPr>
          <w:rFonts w:ascii="Times New Roman" w:hAnsi="Times New Roman" w:cs="Times New Roman"/>
        </w:rPr>
        <w:t xml:space="preserve"> agricultural sector, a Klassen Typology analysis was conducted by comparing its sectoral growth rate and contribution against that of Central Aceh Regency over the period 2019–2023. This framework enables the classification of economic sectors into four quadrants based on performance:</w:t>
      </w:r>
    </w:p>
    <w:p w14:paraId="23259B29" w14:textId="77777777"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 Advanced and fast-growing</w:t>
      </w:r>
    </w:p>
    <w:p w14:paraId="74BE38C0" w14:textId="77777777"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II: Advanced but pressured</w:t>
      </w:r>
    </w:p>
    <w:p w14:paraId="40941B2E" w14:textId="77777777"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III: Developing but lagging</w:t>
      </w:r>
    </w:p>
    <w:p w14:paraId="0CE39040" w14:textId="25CB51D9" w:rsidR="00E75A1D" w:rsidRPr="00E75A1D" w:rsidRDefault="00E75A1D" w:rsidP="00E75A1D">
      <w:pPr>
        <w:numPr>
          <w:ilvl w:val="0"/>
          <w:numId w:val="14"/>
        </w:numPr>
        <w:rPr>
          <w:rFonts w:ascii="Times New Roman" w:hAnsi="Times New Roman" w:cs="Times New Roman"/>
        </w:rPr>
      </w:pPr>
      <w:r w:rsidRPr="00E75A1D">
        <w:rPr>
          <w:rFonts w:ascii="Times New Roman" w:hAnsi="Times New Roman" w:cs="Times New Roman"/>
        </w:rPr>
        <w:t>Quadrant IV: Underdeveloped and stagnant</w:t>
      </w:r>
      <w:r w:rsidRPr="00E75A1D">
        <w:rPr>
          <w:rFonts w:ascii="Times New Roman" w:hAnsi="Times New Roman" w:cs="Times New Roman"/>
        </w:rPr>
        <w:br/>
      </w:r>
      <w:r>
        <w:rPr>
          <w:rFonts w:ascii="Times New Roman" w:hAnsi="Times New Roman" w:cs="Times New Roman"/>
        </w:rPr>
        <w:t xml:space="preserve"> </w:t>
      </w:r>
    </w:p>
    <w:p w14:paraId="6AC39126" w14:textId="77777777" w:rsidR="00E75A1D" w:rsidRDefault="00E75A1D" w:rsidP="00E75A1D">
      <w:pPr>
        <w:rPr>
          <w:rFonts w:ascii="Times New Roman" w:hAnsi="Times New Roman" w:cs="Times New Roman"/>
          <w:b/>
          <w:bCs/>
        </w:rPr>
      </w:pPr>
    </w:p>
    <w:p w14:paraId="1121A73E" w14:textId="6BA44EE5" w:rsidR="00E75A1D" w:rsidRPr="00E75A1D" w:rsidRDefault="00E75A1D" w:rsidP="00E75A1D">
      <w:pPr>
        <w:jc w:val="center"/>
        <w:rPr>
          <w:rFonts w:ascii="Times New Roman" w:hAnsi="Times New Roman" w:cs="Times New Roman"/>
        </w:rPr>
      </w:pPr>
      <w:r w:rsidRPr="00E75A1D">
        <w:rPr>
          <w:rFonts w:ascii="Times New Roman" w:hAnsi="Times New Roman" w:cs="Times New Roman"/>
          <w:b/>
          <w:bCs/>
        </w:rPr>
        <w:lastRenderedPageBreak/>
        <w:t>Table</w:t>
      </w:r>
      <w:r>
        <w:rPr>
          <w:rFonts w:ascii="Times New Roman" w:hAnsi="Times New Roman" w:cs="Times New Roman"/>
          <w:b/>
          <w:bCs/>
        </w:rPr>
        <w:t>2</w:t>
      </w:r>
      <w:r w:rsidRPr="00E75A1D">
        <w:rPr>
          <w:rFonts w:ascii="Times New Roman" w:hAnsi="Times New Roman" w:cs="Times New Roman"/>
          <w:b/>
          <w:bCs/>
        </w:rPr>
        <w:t xml:space="preserve">. </w:t>
      </w:r>
      <w:r w:rsidRPr="00E75A1D">
        <w:rPr>
          <w:rFonts w:ascii="Times New Roman" w:hAnsi="Times New Roman" w:cs="Times New Roman"/>
        </w:rPr>
        <w:t xml:space="preserve">Klassen Typology Analysis for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Subdistrict (2019–2023)</w:t>
      </w:r>
    </w:p>
    <w:tbl>
      <w:tblPr>
        <w:tblStyle w:val="TableGrid"/>
        <w:tblW w:w="0" w:type="auto"/>
        <w:tblLook w:val="04A0" w:firstRow="1" w:lastRow="0" w:firstColumn="1" w:lastColumn="0" w:noHBand="0" w:noVBand="1"/>
      </w:tblPr>
      <w:tblGrid>
        <w:gridCol w:w="616"/>
        <w:gridCol w:w="962"/>
        <w:gridCol w:w="908"/>
        <w:gridCol w:w="981"/>
        <w:gridCol w:w="906"/>
        <w:gridCol w:w="1366"/>
        <w:gridCol w:w="1364"/>
        <w:gridCol w:w="1914"/>
      </w:tblGrid>
      <w:tr w:rsidR="00E75A1D" w:rsidRPr="00E75A1D" w14:paraId="7F45B4E3" w14:textId="77777777" w:rsidTr="00E75A1D">
        <w:tc>
          <w:tcPr>
            <w:tcW w:w="0" w:type="auto"/>
            <w:hideMark/>
          </w:tcPr>
          <w:p w14:paraId="5319ADA5"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Year</w:t>
            </w:r>
          </w:p>
        </w:tc>
        <w:tc>
          <w:tcPr>
            <w:tcW w:w="0" w:type="auto"/>
            <w:hideMark/>
          </w:tcPr>
          <w:p w14:paraId="1B276EA8"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 xml:space="preserve">GRDP </w:t>
            </w:r>
            <w:proofErr w:type="spellStart"/>
            <w:r w:rsidRPr="00E75A1D">
              <w:rPr>
                <w:rFonts w:ascii="Times New Roman" w:hAnsi="Times New Roman" w:cs="Times New Roman"/>
                <w:b/>
                <w:bCs/>
                <w:sz w:val="20"/>
                <w:szCs w:val="20"/>
              </w:rPr>
              <w:t>Bebesen</w:t>
            </w:r>
            <w:proofErr w:type="spellEnd"/>
            <w:r w:rsidRPr="00E75A1D">
              <w:rPr>
                <w:rFonts w:ascii="Times New Roman" w:hAnsi="Times New Roman" w:cs="Times New Roman"/>
                <w:b/>
                <w:bCs/>
                <w:sz w:val="20"/>
                <w:szCs w:val="20"/>
              </w:rPr>
              <w:t xml:space="preserve"> (Yi)</w:t>
            </w:r>
          </w:p>
        </w:tc>
        <w:tc>
          <w:tcPr>
            <w:tcW w:w="0" w:type="auto"/>
            <w:hideMark/>
          </w:tcPr>
          <w:p w14:paraId="52CCE318"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Growth Yi (%)</w:t>
            </w:r>
          </w:p>
        </w:tc>
        <w:tc>
          <w:tcPr>
            <w:tcW w:w="0" w:type="auto"/>
            <w:hideMark/>
          </w:tcPr>
          <w:p w14:paraId="1930F52D"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GRDP Central Aceh (Y)</w:t>
            </w:r>
          </w:p>
        </w:tc>
        <w:tc>
          <w:tcPr>
            <w:tcW w:w="0" w:type="auto"/>
            <w:hideMark/>
          </w:tcPr>
          <w:p w14:paraId="063A7094"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Growth Y (%)</w:t>
            </w:r>
          </w:p>
        </w:tc>
        <w:tc>
          <w:tcPr>
            <w:tcW w:w="0" w:type="auto"/>
            <w:hideMark/>
          </w:tcPr>
          <w:p w14:paraId="0AFD9E35"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 xml:space="preserve">Contribution </w:t>
            </w:r>
            <w:proofErr w:type="spellStart"/>
            <w:r w:rsidRPr="00E75A1D">
              <w:rPr>
                <w:rFonts w:ascii="Times New Roman" w:hAnsi="Times New Roman" w:cs="Times New Roman"/>
                <w:b/>
                <w:bCs/>
                <w:sz w:val="20"/>
                <w:szCs w:val="20"/>
              </w:rPr>
              <w:t>ri</w:t>
            </w:r>
            <w:proofErr w:type="spellEnd"/>
            <w:r w:rsidRPr="00E75A1D">
              <w:rPr>
                <w:rFonts w:ascii="Times New Roman" w:hAnsi="Times New Roman" w:cs="Times New Roman"/>
                <w:b/>
                <w:bCs/>
                <w:sz w:val="20"/>
                <w:szCs w:val="20"/>
              </w:rPr>
              <w:t xml:space="preserve"> (%)</w:t>
            </w:r>
          </w:p>
        </w:tc>
        <w:tc>
          <w:tcPr>
            <w:tcW w:w="0" w:type="auto"/>
            <w:hideMark/>
          </w:tcPr>
          <w:p w14:paraId="3EAB12D3"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Contribution r (%)</w:t>
            </w:r>
          </w:p>
        </w:tc>
        <w:tc>
          <w:tcPr>
            <w:tcW w:w="0" w:type="auto"/>
            <w:hideMark/>
          </w:tcPr>
          <w:p w14:paraId="43FDEBA3" w14:textId="77777777" w:rsidR="00E75A1D" w:rsidRPr="00E75A1D" w:rsidRDefault="00E75A1D" w:rsidP="00E75A1D">
            <w:pPr>
              <w:spacing w:after="160" w:line="278" w:lineRule="auto"/>
              <w:rPr>
                <w:rFonts w:ascii="Times New Roman" w:hAnsi="Times New Roman" w:cs="Times New Roman"/>
                <w:b/>
                <w:bCs/>
                <w:sz w:val="20"/>
                <w:szCs w:val="20"/>
              </w:rPr>
            </w:pPr>
            <w:r w:rsidRPr="00E75A1D">
              <w:rPr>
                <w:rFonts w:ascii="Times New Roman" w:hAnsi="Times New Roman" w:cs="Times New Roman"/>
                <w:b/>
                <w:bCs/>
                <w:sz w:val="20"/>
                <w:szCs w:val="20"/>
              </w:rPr>
              <w:t>Klassen Position</w:t>
            </w:r>
          </w:p>
        </w:tc>
      </w:tr>
      <w:tr w:rsidR="00E75A1D" w:rsidRPr="00E75A1D" w14:paraId="34D2DFA5" w14:textId="77777777" w:rsidTr="00E75A1D">
        <w:tc>
          <w:tcPr>
            <w:tcW w:w="0" w:type="auto"/>
            <w:hideMark/>
          </w:tcPr>
          <w:p w14:paraId="30395F2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2019</w:t>
            </w:r>
          </w:p>
        </w:tc>
        <w:tc>
          <w:tcPr>
            <w:tcW w:w="0" w:type="auto"/>
            <w:hideMark/>
          </w:tcPr>
          <w:p w14:paraId="24042A3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1,080.95</w:t>
            </w:r>
          </w:p>
        </w:tc>
        <w:tc>
          <w:tcPr>
            <w:tcW w:w="0" w:type="auto"/>
            <w:hideMark/>
          </w:tcPr>
          <w:p w14:paraId="4ED47205"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w:t>
            </w:r>
          </w:p>
        </w:tc>
        <w:tc>
          <w:tcPr>
            <w:tcW w:w="0" w:type="auto"/>
            <w:hideMark/>
          </w:tcPr>
          <w:p w14:paraId="47271530"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5,836.85</w:t>
            </w:r>
          </w:p>
        </w:tc>
        <w:tc>
          <w:tcPr>
            <w:tcW w:w="0" w:type="auto"/>
            <w:hideMark/>
          </w:tcPr>
          <w:p w14:paraId="4164B771"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w:t>
            </w:r>
          </w:p>
        </w:tc>
        <w:tc>
          <w:tcPr>
            <w:tcW w:w="0" w:type="auto"/>
            <w:hideMark/>
          </w:tcPr>
          <w:p w14:paraId="4FDE3E3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35.1</w:t>
            </w:r>
          </w:p>
        </w:tc>
        <w:tc>
          <w:tcPr>
            <w:tcW w:w="0" w:type="auto"/>
            <w:hideMark/>
          </w:tcPr>
          <w:p w14:paraId="1C04DD55"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42.4</w:t>
            </w:r>
          </w:p>
        </w:tc>
        <w:tc>
          <w:tcPr>
            <w:tcW w:w="0" w:type="auto"/>
            <w:hideMark/>
          </w:tcPr>
          <w:p w14:paraId="01ABBF34"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w:t>
            </w:r>
          </w:p>
        </w:tc>
      </w:tr>
      <w:tr w:rsidR="00E75A1D" w:rsidRPr="00E75A1D" w14:paraId="241E0768" w14:textId="77777777" w:rsidTr="00E75A1D">
        <w:tc>
          <w:tcPr>
            <w:tcW w:w="0" w:type="auto"/>
            <w:hideMark/>
          </w:tcPr>
          <w:p w14:paraId="18DA87CD"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2020</w:t>
            </w:r>
          </w:p>
        </w:tc>
        <w:tc>
          <w:tcPr>
            <w:tcW w:w="0" w:type="auto"/>
            <w:hideMark/>
          </w:tcPr>
          <w:p w14:paraId="12987933"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1,068.22</w:t>
            </w:r>
          </w:p>
        </w:tc>
        <w:tc>
          <w:tcPr>
            <w:tcW w:w="0" w:type="auto"/>
            <w:hideMark/>
          </w:tcPr>
          <w:p w14:paraId="7E6E5611"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-1.17</w:t>
            </w:r>
          </w:p>
        </w:tc>
        <w:tc>
          <w:tcPr>
            <w:tcW w:w="0" w:type="auto"/>
            <w:hideMark/>
          </w:tcPr>
          <w:p w14:paraId="69E8C16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5,767.95</w:t>
            </w:r>
          </w:p>
        </w:tc>
        <w:tc>
          <w:tcPr>
            <w:tcW w:w="0" w:type="auto"/>
            <w:hideMark/>
          </w:tcPr>
          <w:p w14:paraId="214FCC8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-1.18</w:t>
            </w:r>
          </w:p>
        </w:tc>
        <w:tc>
          <w:tcPr>
            <w:tcW w:w="0" w:type="auto"/>
            <w:hideMark/>
          </w:tcPr>
          <w:p w14:paraId="0D654D0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42.4</w:t>
            </w:r>
          </w:p>
        </w:tc>
        <w:tc>
          <w:tcPr>
            <w:tcW w:w="0" w:type="auto"/>
            <w:hideMark/>
          </w:tcPr>
          <w:p w14:paraId="0248C90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42.5</w:t>
            </w:r>
          </w:p>
        </w:tc>
        <w:tc>
          <w:tcPr>
            <w:tcW w:w="0" w:type="auto"/>
            <w:hideMark/>
          </w:tcPr>
          <w:p w14:paraId="3D55EAD0"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Quadrant II (Advanced but Pressured)</w:t>
            </w:r>
          </w:p>
        </w:tc>
      </w:tr>
      <w:tr w:rsidR="00E75A1D" w:rsidRPr="00E75A1D" w14:paraId="1BD46800" w14:textId="77777777" w:rsidTr="00E75A1D">
        <w:tc>
          <w:tcPr>
            <w:tcW w:w="0" w:type="auto"/>
            <w:hideMark/>
          </w:tcPr>
          <w:p w14:paraId="2F0EE31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2021</w:t>
            </w:r>
          </w:p>
        </w:tc>
        <w:tc>
          <w:tcPr>
            <w:tcW w:w="0" w:type="auto"/>
            <w:hideMark/>
          </w:tcPr>
          <w:p w14:paraId="692AE00A"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1,103.44</w:t>
            </w:r>
          </w:p>
        </w:tc>
        <w:tc>
          <w:tcPr>
            <w:tcW w:w="0" w:type="auto"/>
            <w:hideMark/>
          </w:tcPr>
          <w:p w14:paraId="2CE1D50C"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+3.30</w:t>
            </w:r>
          </w:p>
        </w:tc>
        <w:tc>
          <w:tcPr>
            <w:tcW w:w="0" w:type="auto"/>
            <w:hideMark/>
          </w:tcPr>
          <w:p w14:paraId="6EB6F909"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5,958.12</w:t>
            </w:r>
          </w:p>
        </w:tc>
        <w:tc>
          <w:tcPr>
            <w:tcW w:w="0" w:type="auto"/>
            <w:hideMark/>
          </w:tcPr>
          <w:p w14:paraId="7C7CB9A3"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+3.30</w:t>
            </w:r>
          </w:p>
        </w:tc>
        <w:tc>
          <w:tcPr>
            <w:tcW w:w="0" w:type="auto"/>
            <w:hideMark/>
          </w:tcPr>
          <w:p w14:paraId="57EAADA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41.7</w:t>
            </w:r>
          </w:p>
        </w:tc>
        <w:tc>
          <w:tcPr>
            <w:tcW w:w="0" w:type="auto"/>
            <w:hideMark/>
          </w:tcPr>
          <w:p w14:paraId="6114E138"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41.0</w:t>
            </w:r>
          </w:p>
        </w:tc>
        <w:tc>
          <w:tcPr>
            <w:tcW w:w="0" w:type="auto"/>
            <w:hideMark/>
          </w:tcPr>
          <w:p w14:paraId="7910FD5A"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Transitional/Neutral</w:t>
            </w:r>
          </w:p>
        </w:tc>
      </w:tr>
      <w:tr w:rsidR="00E75A1D" w:rsidRPr="00E75A1D" w14:paraId="6920C8F5" w14:textId="77777777" w:rsidTr="00E75A1D">
        <w:tc>
          <w:tcPr>
            <w:tcW w:w="0" w:type="auto"/>
            <w:hideMark/>
          </w:tcPr>
          <w:p w14:paraId="3EA676AE"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2022</w:t>
            </w:r>
          </w:p>
        </w:tc>
        <w:tc>
          <w:tcPr>
            <w:tcW w:w="0" w:type="auto"/>
            <w:hideMark/>
          </w:tcPr>
          <w:p w14:paraId="1323D146"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1,157.99</w:t>
            </w:r>
          </w:p>
        </w:tc>
        <w:tc>
          <w:tcPr>
            <w:tcW w:w="0" w:type="auto"/>
            <w:hideMark/>
          </w:tcPr>
          <w:p w14:paraId="602018A9"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+4.94</w:t>
            </w:r>
          </w:p>
        </w:tc>
        <w:tc>
          <w:tcPr>
            <w:tcW w:w="0" w:type="auto"/>
            <w:hideMark/>
          </w:tcPr>
          <w:p w14:paraId="4A5EE801"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6,252.07</w:t>
            </w:r>
          </w:p>
        </w:tc>
        <w:tc>
          <w:tcPr>
            <w:tcW w:w="0" w:type="auto"/>
            <w:hideMark/>
          </w:tcPr>
          <w:p w14:paraId="35F75BA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+4.93</w:t>
            </w:r>
          </w:p>
        </w:tc>
        <w:tc>
          <w:tcPr>
            <w:tcW w:w="0" w:type="auto"/>
            <w:hideMark/>
          </w:tcPr>
          <w:p w14:paraId="6D8522E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41.2</w:t>
            </w:r>
          </w:p>
        </w:tc>
        <w:tc>
          <w:tcPr>
            <w:tcW w:w="0" w:type="auto"/>
            <w:hideMark/>
          </w:tcPr>
          <w:p w14:paraId="279A2D4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41.2</w:t>
            </w:r>
          </w:p>
        </w:tc>
        <w:tc>
          <w:tcPr>
            <w:tcW w:w="0" w:type="auto"/>
            <w:hideMark/>
          </w:tcPr>
          <w:p w14:paraId="60C7B969"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Quadrant I (Advanced and Fast-Growing)</w:t>
            </w:r>
          </w:p>
        </w:tc>
      </w:tr>
      <w:tr w:rsidR="00E75A1D" w:rsidRPr="00E75A1D" w14:paraId="4898D117" w14:textId="77777777" w:rsidTr="00E75A1D">
        <w:tc>
          <w:tcPr>
            <w:tcW w:w="0" w:type="auto"/>
            <w:hideMark/>
          </w:tcPr>
          <w:p w14:paraId="29CA5AB6"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2023</w:t>
            </w:r>
          </w:p>
        </w:tc>
        <w:tc>
          <w:tcPr>
            <w:tcW w:w="0" w:type="auto"/>
            <w:hideMark/>
          </w:tcPr>
          <w:p w14:paraId="5306CDAF"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1,222.72</w:t>
            </w:r>
          </w:p>
        </w:tc>
        <w:tc>
          <w:tcPr>
            <w:tcW w:w="0" w:type="auto"/>
            <w:hideMark/>
          </w:tcPr>
          <w:p w14:paraId="470D9D0C"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+5.59</w:t>
            </w:r>
          </w:p>
        </w:tc>
        <w:tc>
          <w:tcPr>
            <w:tcW w:w="0" w:type="auto"/>
            <w:hideMark/>
          </w:tcPr>
          <w:p w14:paraId="704EB37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6,602.15</w:t>
            </w:r>
          </w:p>
        </w:tc>
        <w:tc>
          <w:tcPr>
            <w:tcW w:w="0" w:type="auto"/>
            <w:hideMark/>
          </w:tcPr>
          <w:p w14:paraId="1647E1D5"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+5.61</w:t>
            </w:r>
          </w:p>
        </w:tc>
        <w:tc>
          <w:tcPr>
            <w:tcW w:w="0" w:type="auto"/>
            <w:hideMark/>
          </w:tcPr>
          <w:p w14:paraId="5EAF56C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41.9</w:t>
            </w:r>
          </w:p>
        </w:tc>
        <w:tc>
          <w:tcPr>
            <w:tcW w:w="0" w:type="auto"/>
            <w:hideMark/>
          </w:tcPr>
          <w:p w14:paraId="07A03B07"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41.8</w:t>
            </w:r>
          </w:p>
        </w:tc>
        <w:tc>
          <w:tcPr>
            <w:tcW w:w="0" w:type="auto"/>
            <w:hideMark/>
          </w:tcPr>
          <w:p w14:paraId="29053A42" w14:textId="77777777" w:rsidR="00E75A1D" w:rsidRPr="00E75A1D" w:rsidRDefault="00E75A1D" w:rsidP="00E75A1D">
            <w:pPr>
              <w:spacing w:after="160" w:line="278" w:lineRule="auto"/>
              <w:rPr>
                <w:rFonts w:ascii="Times New Roman" w:hAnsi="Times New Roman" w:cs="Times New Roman"/>
                <w:sz w:val="20"/>
                <w:szCs w:val="20"/>
              </w:rPr>
            </w:pPr>
            <w:r w:rsidRPr="00E75A1D">
              <w:rPr>
                <w:rFonts w:ascii="Times New Roman" w:hAnsi="Times New Roman" w:cs="Times New Roman"/>
                <w:sz w:val="20"/>
                <w:szCs w:val="20"/>
              </w:rPr>
              <w:t>Quadrant I (Advanced and Fast-Growing)</w:t>
            </w:r>
          </w:p>
        </w:tc>
      </w:tr>
    </w:tbl>
    <w:p w14:paraId="1BD90D1E" w14:textId="2CDDA363" w:rsidR="00E75A1D" w:rsidRPr="00E75A1D" w:rsidRDefault="00E75A1D" w:rsidP="00E75A1D">
      <w:pPr>
        <w:rPr>
          <w:rFonts w:ascii="Times New Roman" w:hAnsi="Times New Roman" w:cs="Times New Roman"/>
        </w:rPr>
      </w:pPr>
      <w:r w:rsidRPr="00E75A1D">
        <w:rPr>
          <w:rFonts w:ascii="Times New Roman" w:hAnsi="Times New Roman" w:cs="Times New Roman"/>
          <w:b/>
          <w:bCs/>
        </w:rPr>
        <w:t>Source:</w:t>
      </w:r>
      <w:r w:rsidRPr="00E75A1D">
        <w:rPr>
          <w:rFonts w:ascii="Times New Roman" w:hAnsi="Times New Roman" w:cs="Times New Roman"/>
        </w:rPr>
        <w:t xml:space="preserve"> Processed from BPS Aceh Tengah (2019–2023)</w:t>
      </w:r>
    </w:p>
    <w:p w14:paraId="369F902D" w14:textId="77777777" w:rsidR="00E75A1D" w:rsidRDefault="00E75A1D" w:rsidP="00E75A1D">
      <w:pPr>
        <w:numPr>
          <w:ilvl w:val="0"/>
          <w:numId w:val="15"/>
        </w:numPr>
        <w:jc w:val="both"/>
        <w:rPr>
          <w:rFonts w:ascii="Times New Roman" w:hAnsi="Times New Roman" w:cs="Times New Roman"/>
        </w:rPr>
      </w:pPr>
      <w:r w:rsidRPr="00E75A1D">
        <w:rPr>
          <w:rFonts w:ascii="Times New Roman" w:hAnsi="Times New Roman" w:cs="Times New Roman"/>
        </w:rPr>
        <w:t>2020 → Quadrant II</w:t>
      </w:r>
    </w:p>
    <w:p w14:paraId="4C015C99" w14:textId="5BFBE58A" w:rsidR="00E75A1D" w:rsidRPr="00E75A1D" w:rsidRDefault="00E75A1D" w:rsidP="00E75A1D">
      <w:pPr>
        <w:ind w:left="720"/>
        <w:jc w:val="both"/>
        <w:rPr>
          <w:rFonts w:ascii="Times New Roman" w:hAnsi="Times New Roman" w:cs="Times New Roman"/>
        </w:rPr>
      </w:pPr>
      <w:r w:rsidRPr="00E75A1D">
        <w:rPr>
          <w:rFonts w:ascii="Times New Roman" w:hAnsi="Times New Roman" w:cs="Times New Roman"/>
        </w:rPr>
        <w:t xml:space="preserve">Although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maintained a higher contribution (</w:t>
      </w:r>
      <w:proofErr w:type="spellStart"/>
      <w:r w:rsidRPr="00E75A1D">
        <w:rPr>
          <w:rFonts w:ascii="Times New Roman" w:hAnsi="Times New Roman" w:cs="Times New Roman"/>
        </w:rPr>
        <w:t>ri</w:t>
      </w:r>
      <w:proofErr w:type="spellEnd"/>
      <w:r w:rsidRPr="00E75A1D">
        <w:rPr>
          <w:rFonts w:ascii="Times New Roman" w:hAnsi="Times New Roman" w:cs="Times New Roman"/>
        </w:rPr>
        <w:t xml:space="preserve"> &gt; r) to regional GRDP, its growth rate slightly lagged behind Central Aceh due to pandemic-related market disruptions, reduced mobility, and commodity price volatility. This reflects a mature sector under short-term stress, aligning with national agricultural stagnation trends during COVID-19</w:t>
      </w:r>
      <w:r>
        <w:rPr>
          <w:rFonts w:ascii="Times New Roman" w:hAnsi="Times New Roman" w:cs="Times New Roman"/>
        </w:rPr>
        <w:t xml:space="preserve">. </w:t>
      </w:r>
    </w:p>
    <w:p w14:paraId="2AA98152" w14:textId="77777777" w:rsidR="00E75A1D" w:rsidRDefault="00E75A1D" w:rsidP="00E75A1D">
      <w:pPr>
        <w:numPr>
          <w:ilvl w:val="0"/>
          <w:numId w:val="15"/>
        </w:numPr>
        <w:jc w:val="both"/>
        <w:rPr>
          <w:rFonts w:ascii="Times New Roman" w:hAnsi="Times New Roman" w:cs="Times New Roman"/>
        </w:rPr>
      </w:pPr>
      <w:r w:rsidRPr="00E75A1D">
        <w:rPr>
          <w:rFonts w:ascii="Times New Roman" w:hAnsi="Times New Roman" w:cs="Times New Roman"/>
        </w:rPr>
        <w:t>2021 → Neutral/Transitional</w:t>
      </w:r>
    </w:p>
    <w:p w14:paraId="6B4A46E6" w14:textId="43D2DF5C" w:rsidR="00E75A1D" w:rsidRPr="00E75A1D" w:rsidRDefault="00E75A1D" w:rsidP="00E75A1D">
      <w:pPr>
        <w:ind w:left="720"/>
        <w:jc w:val="both"/>
        <w:rPr>
          <w:rFonts w:ascii="Times New Roman" w:hAnsi="Times New Roman" w:cs="Times New Roman"/>
        </w:rPr>
      </w:pPr>
      <w:r w:rsidRPr="00E75A1D">
        <w:rPr>
          <w:rFonts w:ascii="Times New Roman" w:hAnsi="Times New Roman" w:cs="Times New Roman"/>
        </w:rPr>
        <w:t xml:space="preserve">Sectoral growth in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and Central Aceh were identical (3.30%), with </w:t>
      </w: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maintaining a marginally higher contribution. This marks a transitional recovery phase, driven by increased investment in horticultural production and improved weather conditions.</w:t>
      </w:r>
    </w:p>
    <w:p w14:paraId="38F640D5" w14:textId="77777777" w:rsidR="00E75A1D" w:rsidRDefault="00E75A1D" w:rsidP="00E75A1D">
      <w:pPr>
        <w:numPr>
          <w:ilvl w:val="0"/>
          <w:numId w:val="15"/>
        </w:numPr>
        <w:jc w:val="both"/>
        <w:rPr>
          <w:rFonts w:ascii="Times New Roman" w:hAnsi="Times New Roman" w:cs="Times New Roman"/>
        </w:rPr>
      </w:pPr>
      <w:r w:rsidRPr="00E75A1D">
        <w:rPr>
          <w:rFonts w:ascii="Times New Roman" w:hAnsi="Times New Roman" w:cs="Times New Roman"/>
        </w:rPr>
        <w:t>2022–2023 → Quadrant I (Advanced and Fast-Growing)</w:t>
      </w:r>
    </w:p>
    <w:p w14:paraId="1B8EE649" w14:textId="593BBB98" w:rsidR="00E75A1D" w:rsidRPr="00E75A1D" w:rsidRDefault="00E75A1D" w:rsidP="00E75A1D">
      <w:pPr>
        <w:ind w:left="720"/>
        <w:jc w:val="both"/>
        <w:rPr>
          <w:rFonts w:ascii="Times New Roman" w:hAnsi="Times New Roman" w:cs="Times New Roman"/>
        </w:rPr>
      </w:pPr>
      <w:proofErr w:type="spellStart"/>
      <w:r w:rsidRPr="00E75A1D">
        <w:rPr>
          <w:rFonts w:ascii="Times New Roman" w:hAnsi="Times New Roman" w:cs="Times New Roman"/>
        </w:rPr>
        <w:t>Bebesen</w:t>
      </w:r>
      <w:proofErr w:type="spellEnd"/>
      <w:r w:rsidRPr="00E75A1D">
        <w:rPr>
          <w:rFonts w:ascii="Times New Roman" w:hAnsi="Times New Roman" w:cs="Times New Roman"/>
        </w:rPr>
        <w:t xml:space="preserve"> entered a high-performance trajectory, with both growth and contribution rates exceeding or matching regional averages. This elevation is attributable to:</w:t>
      </w:r>
    </w:p>
    <w:p w14:paraId="5C110EE2" w14:textId="14207372" w:rsidR="00425F0D" w:rsidRPr="00425F0D" w:rsidRDefault="00425F0D" w:rsidP="00425F0D">
      <w:pPr>
        <w:rPr>
          <w:rFonts w:ascii="Times New Roman" w:hAnsi="Times New Roman" w:cs="Times New Roman"/>
        </w:rPr>
      </w:pPr>
    </w:p>
    <w:p w14:paraId="1574E4CC" w14:textId="235BA6A3" w:rsidR="00425F0D" w:rsidRPr="00425F0D" w:rsidRDefault="00E75A1D" w:rsidP="00425F0D">
      <w:pPr>
        <w:rPr>
          <w:rFonts w:ascii="Times New Roman" w:hAnsi="Times New Roman" w:cs="Times New Roman"/>
          <w:b/>
          <w:bCs/>
        </w:rPr>
      </w:pPr>
      <w:r>
        <w:rPr>
          <w:rFonts w:ascii="Times New Roman" w:hAnsi="Times New Roman" w:cs="Times New Roman"/>
          <w:b/>
          <w:bCs/>
        </w:rPr>
        <w:t>3.</w:t>
      </w:r>
      <w:r w:rsidR="00425F0D" w:rsidRPr="00425F0D">
        <w:rPr>
          <w:rFonts w:ascii="Times New Roman" w:hAnsi="Times New Roman" w:cs="Times New Roman"/>
          <w:b/>
          <w:bCs/>
        </w:rPr>
        <w:t>4 Strategic Direction from SWOT Analysis</w:t>
      </w:r>
    </w:p>
    <w:p w14:paraId="4B7D8B3E"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 xml:space="preserve">The SWOT analysis provides a comprehensive framework to assess the strategic position of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Subdistrict in developing its agricultural economy, particularly in high-value horticulture. The method captures internal capabilities (Strengths and Weaknesses) and external conditions (Opportunities and Threats) that influence policy and investment decisions.</w:t>
      </w:r>
    </w:p>
    <w:p w14:paraId="2A53B0B4"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lastRenderedPageBreak/>
        <w:t>To move beyond descriptive analysis, this study applies a quantitative SWOT framework using the Internal Factor Analysis Summary (IFAS) and External Factor Analysis Summary (EFAS) matrices. These matrices help prioritize factors based on weight (relative importance) and rating (impact level), culminating in an aggregate score that informs strategic positioning.</w:t>
      </w:r>
    </w:p>
    <w:p w14:paraId="67AEA16F" w14:textId="27C6DA14" w:rsidR="00D35246" w:rsidRPr="00D35246" w:rsidRDefault="00D35246" w:rsidP="00D35246">
      <w:pPr>
        <w:jc w:val="both"/>
        <w:rPr>
          <w:rFonts w:ascii="Times New Roman" w:hAnsi="Times New Roman" w:cs="Times New Roman"/>
        </w:rPr>
      </w:pPr>
    </w:p>
    <w:p w14:paraId="31741A6F" w14:textId="687057E8" w:rsidR="00D35246" w:rsidRPr="00D35246" w:rsidRDefault="00D35246" w:rsidP="00D35246">
      <w:pPr>
        <w:jc w:val="both"/>
        <w:rPr>
          <w:rFonts w:ascii="Times New Roman" w:hAnsi="Times New Roman" w:cs="Times New Roman"/>
        </w:rPr>
      </w:pPr>
      <w:r w:rsidRPr="00D35246">
        <w:rPr>
          <w:rFonts w:ascii="Times New Roman" w:hAnsi="Times New Roman" w:cs="Times New Roman"/>
        </w:rPr>
        <w:t>3.4.1 Internal Factor Analysis Summary (IFAS)</w:t>
      </w:r>
    </w:p>
    <w:p w14:paraId="4E26D882"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 xml:space="preserve">The IFAS matrix reflects </w:t>
      </w:r>
      <w:proofErr w:type="spellStart"/>
      <w:r w:rsidRPr="00D35246">
        <w:rPr>
          <w:rFonts w:ascii="Times New Roman" w:hAnsi="Times New Roman" w:cs="Times New Roman"/>
        </w:rPr>
        <w:t>Bebesen’s</w:t>
      </w:r>
      <w:proofErr w:type="spellEnd"/>
      <w:r w:rsidRPr="00D35246">
        <w:rPr>
          <w:rFonts w:ascii="Times New Roman" w:hAnsi="Times New Roman" w:cs="Times New Roman"/>
        </w:rPr>
        <w:t xml:space="preserve"> strengths and weaknesses as a function of its internal agricultural and economic landscape.</w:t>
      </w:r>
    </w:p>
    <w:p w14:paraId="434CD84E" w14:textId="5F95D388" w:rsidR="00D35246" w:rsidRPr="00D35246" w:rsidRDefault="00D35246" w:rsidP="00D35246">
      <w:pPr>
        <w:jc w:val="center"/>
        <w:rPr>
          <w:rFonts w:ascii="Times New Roman" w:hAnsi="Times New Roman" w:cs="Times New Roman"/>
        </w:rPr>
      </w:pPr>
      <w:r w:rsidRPr="00D35246">
        <w:rPr>
          <w:rFonts w:ascii="Times New Roman" w:hAnsi="Times New Roman" w:cs="Times New Roman"/>
          <w:b/>
          <w:bCs/>
        </w:rPr>
        <w:t xml:space="preserve">Table </w:t>
      </w:r>
      <w:r w:rsidR="00B04030">
        <w:rPr>
          <w:rFonts w:ascii="Times New Roman" w:hAnsi="Times New Roman" w:cs="Times New Roman"/>
          <w:b/>
          <w:bCs/>
        </w:rPr>
        <w:t>3</w:t>
      </w:r>
      <w:r w:rsidRPr="00D35246">
        <w:rPr>
          <w:rFonts w:ascii="Times New Roman" w:hAnsi="Times New Roman" w:cs="Times New Roman"/>
          <w:b/>
          <w:bCs/>
        </w:rPr>
        <w:t xml:space="preserve">. </w:t>
      </w:r>
      <w:r w:rsidRPr="00D35246">
        <w:rPr>
          <w:rFonts w:ascii="Times New Roman" w:hAnsi="Times New Roman" w:cs="Times New Roman"/>
        </w:rPr>
        <w:t xml:space="preserve">Internal Factor Analysis Summary (IFAS) of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Subdistrict</w:t>
      </w:r>
    </w:p>
    <w:tbl>
      <w:tblPr>
        <w:tblStyle w:val="TableGrid"/>
        <w:tblW w:w="0" w:type="auto"/>
        <w:tblLook w:val="04A0" w:firstRow="1" w:lastRow="0" w:firstColumn="1" w:lastColumn="0" w:noHBand="0" w:noVBand="1"/>
      </w:tblPr>
      <w:tblGrid>
        <w:gridCol w:w="6051"/>
        <w:gridCol w:w="1245"/>
        <w:gridCol w:w="910"/>
        <w:gridCol w:w="785"/>
      </w:tblGrid>
      <w:tr w:rsidR="00D35246" w:rsidRPr="00D35246" w14:paraId="1ECDE79A" w14:textId="77777777" w:rsidTr="00D35246">
        <w:tc>
          <w:tcPr>
            <w:tcW w:w="6051" w:type="dxa"/>
            <w:hideMark/>
          </w:tcPr>
          <w:p w14:paraId="76130372"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Internal Factors</w:t>
            </w:r>
          </w:p>
        </w:tc>
        <w:tc>
          <w:tcPr>
            <w:tcW w:w="1245" w:type="dxa"/>
            <w:hideMark/>
          </w:tcPr>
          <w:p w14:paraId="527827D2"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Weight</w:t>
            </w:r>
          </w:p>
        </w:tc>
        <w:tc>
          <w:tcPr>
            <w:tcW w:w="0" w:type="auto"/>
            <w:hideMark/>
          </w:tcPr>
          <w:p w14:paraId="669C836C"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Rating</w:t>
            </w:r>
          </w:p>
        </w:tc>
        <w:tc>
          <w:tcPr>
            <w:tcW w:w="761" w:type="dxa"/>
            <w:hideMark/>
          </w:tcPr>
          <w:p w14:paraId="1D6AA1CD"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Score</w:t>
            </w:r>
          </w:p>
        </w:tc>
      </w:tr>
      <w:tr w:rsidR="00D35246" w:rsidRPr="00D35246" w14:paraId="0A085DBB" w14:textId="77777777" w:rsidTr="00D35246">
        <w:tc>
          <w:tcPr>
            <w:tcW w:w="6051" w:type="dxa"/>
            <w:hideMark/>
          </w:tcPr>
          <w:p w14:paraId="5C3AC64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Strengths</w:t>
            </w:r>
          </w:p>
        </w:tc>
        <w:tc>
          <w:tcPr>
            <w:tcW w:w="1245" w:type="dxa"/>
            <w:hideMark/>
          </w:tcPr>
          <w:p w14:paraId="55D568A2"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771BFCB2"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07BA1D72"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6D91CA0F" w14:textId="77777777" w:rsidTr="00D35246">
        <w:tc>
          <w:tcPr>
            <w:tcW w:w="6051" w:type="dxa"/>
            <w:hideMark/>
          </w:tcPr>
          <w:p w14:paraId="7E00951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High productivity of horticultural commodities</w:t>
            </w:r>
          </w:p>
        </w:tc>
        <w:tc>
          <w:tcPr>
            <w:tcW w:w="1245" w:type="dxa"/>
            <w:hideMark/>
          </w:tcPr>
          <w:p w14:paraId="7763879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4056752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761" w:type="dxa"/>
            <w:hideMark/>
          </w:tcPr>
          <w:p w14:paraId="4FD9B21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0.60</w:t>
            </w:r>
          </w:p>
        </w:tc>
      </w:tr>
      <w:tr w:rsidR="00D35246" w:rsidRPr="00D35246" w14:paraId="7649F99A" w14:textId="77777777" w:rsidTr="00D35246">
        <w:tc>
          <w:tcPr>
            <w:tcW w:w="6051" w:type="dxa"/>
            <w:hideMark/>
          </w:tcPr>
          <w:p w14:paraId="0D019A0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Variety of flagship crops and regional market fit</w:t>
            </w:r>
          </w:p>
        </w:tc>
        <w:tc>
          <w:tcPr>
            <w:tcW w:w="1245" w:type="dxa"/>
            <w:hideMark/>
          </w:tcPr>
          <w:p w14:paraId="117E229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2F027305"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761" w:type="dxa"/>
            <w:hideMark/>
          </w:tcPr>
          <w:p w14:paraId="0C03511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0.48</w:t>
            </w:r>
          </w:p>
        </w:tc>
      </w:tr>
      <w:tr w:rsidR="00D35246" w:rsidRPr="00D35246" w14:paraId="306828BB" w14:textId="77777777" w:rsidTr="00D35246">
        <w:tc>
          <w:tcPr>
            <w:tcW w:w="6051" w:type="dxa"/>
            <w:hideMark/>
          </w:tcPr>
          <w:p w14:paraId="0EF96F8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Fertile agroclimatic conditions</w:t>
            </w:r>
          </w:p>
        </w:tc>
        <w:tc>
          <w:tcPr>
            <w:tcW w:w="1245" w:type="dxa"/>
            <w:hideMark/>
          </w:tcPr>
          <w:p w14:paraId="123834C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114DB2F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761" w:type="dxa"/>
            <w:hideMark/>
          </w:tcPr>
          <w:p w14:paraId="6CD7DDE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1C82462E" w14:textId="77777777" w:rsidTr="00D35246">
        <w:tc>
          <w:tcPr>
            <w:tcW w:w="6051" w:type="dxa"/>
            <w:hideMark/>
          </w:tcPr>
          <w:p w14:paraId="26EF4AB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Gayo cultural value and tourism synergy</w:t>
            </w:r>
          </w:p>
        </w:tc>
        <w:tc>
          <w:tcPr>
            <w:tcW w:w="1245" w:type="dxa"/>
            <w:hideMark/>
          </w:tcPr>
          <w:p w14:paraId="45119AC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4F6BB7C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761" w:type="dxa"/>
            <w:hideMark/>
          </w:tcPr>
          <w:p w14:paraId="727563C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64227F43" w14:textId="77777777" w:rsidTr="00D35246">
        <w:tc>
          <w:tcPr>
            <w:tcW w:w="6051" w:type="dxa"/>
            <w:hideMark/>
          </w:tcPr>
          <w:p w14:paraId="4CCB07A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Strengths</w:t>
            </w:r>
          </w:p>
        </w:tc>
        <w:tc>
          <w:tcPr>
            <w:tcW w:w="1245" w:type="dxa"/>
            <w:hideMark/>
          </w:tcPr>
          <w:p w14:paraId="23F2AE8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301E1E60"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0E801E9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1.62</w:t>
            </w:r>
          </w:p>
        </w:tc>
      </w:tr>
      <w:tr w:rsidR="00D35246" w:rsidRPr="00D35246" w14:paraId="1E28D3B3" w14:textId="77777777" w:rsidTr="00D35246">
        <w:tc>
          <w:tcPr>
            <w:tcW w:w="6051" w:type="dxa"/>
            <w:hideMark/>
          </w:tcPr>
          <w:p w14:paraId="1A79299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Weaknesses</w:t>
            </w:r>
          </w:p>
        </w:tc>
        <w:tc>
          <w:tcPr>
            <w:tcW w:w="1245" w:type="dxa"/>
            <w:hideMark/>
          </w:tcPr>
          <w:p w14:paraId="353CA606"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72BA01CD"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64E41C91"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7A720754" w14:textId="77777777" w:rsidTr="00D35246">
        <w:tc>
          <w:tcPr>
            <w:tcW w:w="6051" w:type="dxa"/>
            <w:hideMark/>
          </w:tcPr>
          <w:p w14:paraId="1F4E3885"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Limited post-harvest infrastructure</w:t>
            </w:r>
          </w:p>
        </w:tc>
        <w:tc>
          <w:tcPr>
            <w:tcW w:w="1245" w:type="dxa"/>
            <w:hideMark/>
          </w:tcPr>
          <w:p w14:paraId="16DB0C8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6C7C521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7865F4E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1A23F908" w14:textId="77777777" w:rsidTr="00D35246">
        <w:tc>
          <w:tcPr>
            <w:tcW w:w="6051" w:type="dxa"/>
            <w:hideMark/>
          </w:tcPr>
          <w:p w14:paraId="03901CA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Inadequate access to finance</w:t>
            </w:r>
          </w:p>
        </w:tc>
        <w:tc>
          <w:tcPr>
            <w:tcW w:w="1245" w:type="dxa"/>
            <w:hideMark/>
          </w:tcPr>
          <w:p w14:paraId="4AA6EA6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007A9DA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7AFEC04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43282FD1" w14:textId="77777777" w:rsidTr="00D35246">
        <w:tc>
          <w:tcPr>
            <w:tcW w:w="6051" w:type="dxa"/>
            <w:hideMark/>
          </w:tcPr>
          <w:p w14:paraId="7115699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Traditional farming practices</w:t>
            </w:r>
          </w:p>
        </w:tc>
        <w:tc>
          <w:tcPr>
            <w:tcW w:w="1245" w:type="dxa"/>
            <w:hideMark/>
          </w:tcPr>
          <w:p w14:paraId="5D81B7B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54713E0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17661B0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0.20</w:t>
            </w:r>
          </w:p>
        </w:tc>
      </w:tr>
      <w:tr w:rsidR="00D35246" w:rsidRPr="00D35246" w14:paraId="67EF2F9D" w14:textId="77777777" w:rsidTr="00D35246">
        <w:tc>
          <w:tcPr>
            <w:tcW w:w="6051" w:type="dxa"/>
            <w:hideMark/>
          </w:tcPr>
          <w:p w14:paraId="77BF2EF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Weak farmer institutions</w:t>
            </w:r>
          </w:p>
        </w:tc>
        <w:tc>
          <w:tcPr>
            <w:tcW w:w="1245" w:type="dxa"/>
            <w:hideMark/>
          </w:tcPr>
          <w:p w14:paraId="7C79322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508641E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761" w:type="dxa"/>
            <w:hideMark/>
          </w:tcPr>
          <w:p w14:paraId="499B5A9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0.16</w:t>
            </w:r>
          </w:p>
        </w:tc>
      </w:tr>
      <w:tr w:rsidR="00D35246" w:rsidRPr="00D35246" w14:paraId="552B3F25" w14:textId="77777777" w:rsidTr="00D35246">
        <w:tc>
          <w:tcPr>
            <w:tcW w:w="6051" w:type="dxa"/>
            <w:hideMark/>
          </w:tcPr>
          <w:p w14:paraId="5E02954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Weaknesses</w:t>
            </w:r>
          </w:p>
        </w:tc>
        <w:tc>
          <w:tcPr>
            <w:tcW w:w="1245" w:type="dxa"/>
            <w:hideMark/>
          </w:tcPr>
          <w:p w14:paraId="2426305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681A62FC"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5754396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0.90</w:t>
            </w:r>
          </w:p>
        </w:tc>
      </w:tr>
      <w:tr w:rsidR="00D35246" w:rsidRPr="00D35246" w14:paraId="33F56ED9" w14:textId="77777777" w:rsidTr="00D35246">
        <w:tc>
          <w:tcPr>
            <w:tcW w:w="6051" w:type="dxa"/>
            <w:hideMark/>
          </w:tcPr>
          <w:p w14:paraId="77224BA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Total IFAS Score</w:t>
            </w:r>
          </w:p>
        </w:tc>
        <w:tc>
          <w:tcPr>
            <w:tcW w:w="1245" w:type="dxa"/>
            <w:hideMark/>
          </w:tcPr>
          <w:p w14:paraId="79BD1E01"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1.00</w:t>
            </w:r>
          </w:p>
        </w:tc>
        <w:tc>
          <w:tcPr>
            <w:tcW w:w="0" w:type="auto"/>
            <w:hideMark/>
          </w:tcPr>
          <w:p w14:paraId="6735128F" w14:textId="77777777" w:rsidR="00D35246" w:rsidRPr="00D35246" w:rsidRDefault="00D35246" w:rsidP="00D35246">
            <w:pPr>
              <w:spacing w:after="160" w:line="278" w:lineRule="auto"/>
              <w:jc w:val="both"/>
              <w:rPr>
                <w:rFonts w:ascii="Times New Roman" w:hAnsi="Times New Roman" w:cs="Times New Roman"/>
              </w:rPr>
            </w:pPr>
          </w:p>
        </w:tc>
        <w:tc>
          <w:tcPr>
            <w:tcW w:w="761" w:type="dxa"/>
            <w:hideMark/>
          </w:tcPr>
          <w:p w14:paraId="7A15DE1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2.52</w:t>
            </w:r>
          </w:p>
        </w:tc>
      </w:tr>
    </w:tbl>
    <w:p w14:paraId="69AA3CB1"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The total IFAS score of 2.52 suggests that strengths significantly outweigh weaknesses, indicating strong internal capability to pursue aggressive development strategies.</w:t>
      </w:r>
    </w:p>
    <w:p w14:paraId="42E7458A" w14:textId="09584C77" w:rsidR="00D35246" w:rsidRPr="00D35246" w:rsidRDefault="00D35246" w:rsidP="00D35246">
      <w:pPr>
        <w:jc w:val="both"/>
        <w:rPr>
          <w:rFonts w:ascii="Times New Roman" w:hAnsi="Times New Roman" w:cs="Times New Roman"/>
        </w:rPr>
      </w:pPr>
    </w:p>
    <w:p w14:paraId="3D63A6E9" w14:textId="30CA5C0B" w:rsidR="00D35246" w:rsidRPr="00D35246" w:rsidRDefault="00C96495" w:rsidP="00D35246">
      <w:pPr>
        <w:jc w:val="both"/>
        <w:rPr>
          <w:rFonts w:ascii="Times New Roman" w:hAnsi="Times New Roman" w:cs="Times New Roman"/>
        </w:rPr>
      </w:pPr>
      <w:r w:rsidRPr="00CC1B66">
        <w:rPr>
          <w:rFonts w:ascii="Times New Roman" w:hAnsi="Times New Roman" w:cs="Times New Roman"/>
        </w:rPr>
        <w:t>3.4</w:t>
      </w:r>
      <w:r w:rsidR="00D35246" w:rsidRPr="00D35246">
        <w:rPr>
          <w:rFonts w:ascii="Times New Roman" w:hAnsi="Times New Roman" w:cs="Times New Roman"/>
        </w:rPr>
        <w:t>.</w:t>
      </w:r>
      <w:r w:rsidRPr="00CC1B66">
        <w:rPr>
          <w:rFonts w:ascii="Times New Roman" w:hAnsi="Times New Roman" w:cs="Times New Roman"/>
        </w:rPr>
        <w:t>2</w:t>
      </w:r>
      <w:r w:rsidR="00D35246" w:rsidRPr="00D35246">
        <w:rPr>
          <w:rFonts w:ascii="Times New Roman" w:hAnsi="Times New Roman" w:cs="Times New Roman"/>
        </w:rPr>
        <w:t xml:space="preserve"> External Factor Analysis Summary (EFAS)</w:t>
      </w:r>
    </w:p>
    <w:p w14:paraId="33070213"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The EFAS matrix captures external dynamics influencing horticultural advancement, including market trends, policy support, and potential threats.</w:t>
      </w:r>
    </w:p>
    <w:p w14:paraId="2EE76D0B" w14:textId="7D6B0480" w:rsidR="00D35246" w:rsidRPr="00D35246" w:rsidRDefault="00D35246" w:rsidP="00CC1B66">
      <w:pPr>
        <w:jc w:val="center"/>
        <w:rPr>
          <w:rFonts w:ascii="Times New Roman" w:hAnsi="Times New Roman" w:cs="Times New Roman"/>
        </w:rPr>
      </w:pPr>
      <w:r w:rsidRPr="00D35246">
        <w:rPr>
          <w:rFonts w:ascii="Times New Roman" w:hAnsi="Times New Roman" w:cs="Times New Roman"/>
          <w:b/>
          <w:bCs/>
        </w:rPr>
        <w:t xml:space="preserve">Table </w:t>
      </w:r>
      <w:r w:rsidR="00B04030">
        <w:rPr>
          <w:rFonts w:ascii="Times New Roman" w:hAnsi="Times New Roman" w:cs="Times New Roman"/>
          <w:b/>
          <w:bCs/>
        </w:rPr>
        <w:t>4</w:t>
      </w:r>
      <w:r w:rsidRPr="00D35246">
        <w:rPr>
          <w:rFonts w:ascii="Times New Roman" w:hAnsi="Times New Roman" w:cs="Times New Roman"/>
          <w:b/>
          <w:bCs/>
        </w:rPr>
        <w:t xml:space="preserve">. </w:t>
      </w:r>
      <w:r w:rsidRPr="00D35246">
        <w:rPr>
          <w:rFonts w:ascii="Times New Roman" w:hAnsi="Times New Roman" w:cs="Times New Roman"/>
        </w:rPr>
        <w:t xml:space="preserve">External Factor Analysis Summary (EFAS) of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Subdistrict</w:t>
      </w:r>
    </w:p>
    <w:tbl>
      <w:tblPr>
        <w:tblStyle w:val="TableGrid"/>
        <w:tblW w:w="0" w:type="auto"/>
        <w:tblLook w:val="04A0" w:firstRow="1" w:lastRow="0" w:firstColumn="1" w:lastColumn="0" w:noHBand="0" w:noVBand="1"/>
      </w:tblPr>
      <w:tblGrid>
        <w:gridCol w:w="5807"/>
        <w:gridCol w:w="1418"/>
        <w:gridCol w:w="910"/>
        <w:gridCol w:w="785"/>
      </w:tblGrid>
      <w:tr w:rsidR="00D35246" w:rsidRPr="00D35246" w14:paraId="747A9E6B" w14:textId="77777777" w:rsidTr="00CC1B66">
        <w:tc>
          <w:tcPr>
            <w:tcW w:w="5807" w:type="dxa"/>
            <w:hideMark/>
          </w:tcPr>
          <w:p w14:paraId="7F4F062D"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lastRenderedPageBreak/>
              <w:t>External Factors</w:t>
            </w:r>
          </w:p>
        </w:tc>
        <w:tc>
          <w:tcPr>
            <w:tcW w:w="1418" w:type="dxa"/>
            <w:hideMark/>
          </w:tcPr>
          <w:p w14:paraId="15ACDB9E"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Weight</w:t>
            </w:r>
          </w:p>
        </w:tc>
        <w:tc>
          <w:tcPr>
            <w:tcW w:w="0" w:type="auto"/>
            <w:hideMark/>
          </w:tcPr>
          <w:p w14:paraId="23720C33"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Rating</w:t>
            </w:r>
          </w:p>
        </w:tc>
        <w:tc>
          <w:tcPr>
            <w:tcW w:w="0" w:type="auto"/>
            <w:hideMark/>
          </w:tcPr>
          <w:p w14:paraId="694AC529"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Score</w:t>
            </w:r>
          </w:p>
        </w:tc>
      </w:tr>
      <w:tr w:rsidR="00D35246" w:rsidRPr="00D35246" w14:paraId="170CF01F" w14:textId="77777777" w:rsidTr="00CC1B66">
        <w:tc>
          <w:tcPr>
            <w:tcW w:w="5807" w:type="dxa"/>
            <w:hideMark/>
          </w:tcPr>
          <w:p w14:paraId="1F1C57A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Opportunities</w:t>
            </w:r>
          </w:p>
        </w:tc>
        <w:tc>
          <w:tcPr>
            <w:tcW w:w="1418" w:type="dxa"/>
            <w:hideMark/>
          </w:tcPr>
          <w:p w14:paraId="1D5A4635"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2B4411C2"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6D6A0349"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6901A3BE" w14:textId="77777777" w:rsidTr="00CC1B66">
        <w:tc>
          <w:tcPr>
            <w:tcW w:w="5807" w:type="dxa"/>
            <w:hideMark/>
          </w:tcPr>
          <w:p w14:paraId="66649E9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Growth in national and export market demand</w:t>
            </w:r>
          </w:p>
        </w:tc>
        <w:tc>
          <w:tcPr>
            <w:tcW w:w="1418" w:type="dxa"/>
            <w:hideMark/>
          </w:tcPr>
          <w:p w14:paraId="3D25E692"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720B3A5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0" w:type="auto"/>
            <w:hideMark/>
          </w:tcPr>
          <w:p w14:paraId="33CA0A8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0.60</w:t>
            </w:r>
          </w:p>
        </w:tc>
      </w:tr>
      <w:tr w:rsidR="00D35246" w:rsidRPr="00D35246" w14:paraId="363FF5AC" w14:textId="77777777" w:rsidTr="00CC1B66">
        <w:tc>
          <w:tcPr>
            <w:tcW w:w="5807" w:type="dxa"/>
            <w:hideMark/>
          </w:tcPr>
          <w:p w14:paraId="7EF3A8A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Government policy support and incentives</w:t>
            </w:r>
          </w:p>
        </w:tc>
        <w:tc>
          <w:tcPr>
            <w:tcW w:w="1418" w:type="dxa"/>
            <w:hideMark/>
          </w:tcPr>
          <w:p w14:paraId="649A1FC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07C2F5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4</w:t>
            </w:r>
          </w:p>
        </w:tc>
        <w:tc>
          <w:tcPr>
            <w:tcW w:w="0" w:type="auto"/>
            <w:hideMark/>
          </w:tcPr>
          <w:p w14:paraId="5D52381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0.48</w:t>
            </w:r>
          </w:p>
        </w:tc>
      </w:tr>
      <w:tr w:rsidR="00D35246" w:rsidRPr="00D35246" w14:paraId="2913D1E8" w14:textId="77777777" w:rsidTr="00CC1B66">
        <w:tc>
          <w:tcPr>
            <w:tcW w:w="5807" w:type="dxa"/>
            <w:hideMark/>
          </w:tcPr>
          <w:p w14:paraId="4EC09D5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Cultural-based agrotourism potential</w:t>
            </w:r>
          </w:p>
        </w:tc>
        <w:tc>
          <w:tcPr>
            <w:tcW w:w="1418" w:type="dxa"/>
            <w:hideMark/>
          </w:tcPr>
          <w:p w14:paraId="4E6165A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098691D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0" w:type="auto"/>
            <w:hideMark/>
          </w:tcPr>
          <w:p w14:paraId="0A959F7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7D460D01" w14:textId="77777777" w:rsidTr="00CC1B66">
        <w:tc>
          <w:tcPr>
            <w:tcW w:w="5807" w:type="dxa"/>
            <w:hideMark/>
          </w:tcPr>
          <w:p w14:paraId="786868C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Digital agriculture and e-commerce integration</w:t>
            </w:r>
          </w:p>
        </w:tc>
        <w:tc>
          <w:tcPr>
            <w:tcW w:w="1418" w:type="dxa"/>
            <w:hideMark/>
          </w:tcPr>
          <w:p w14:paraId="5889712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2BC7394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w:t>
            </w:r>
          </w:p>
        </w:tc>
        <w:tc>
          <w:tcPr>
            <w:tcW w:w="0" w:type="auto"/>
            <w:hideMark/>
          </w:tcPr>
          <w:p w14:paraId="14EDAE5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1D1DD914" w14:textId="77777777" w:rsidTr="00CC1B66">
        <w:tc>
          <w:tcPr>
            <w:tcW w:w="5807" w:type="dxa"/>
            <w:hideMark/>
          </w:tcPr>
          <w:p w14:paraId="036DD18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Opportunities</w:t>
            </w:r>
          </w:p>
        </w:tc>
        <w:tc>
          <w:tcPr>
            <w:tcW w:w="1418" w:type="dxa"/>
            <w:hideMark/>
          </w:tcPr>
          <w:p w14:paraId="270D07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39E6C92B"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65C04B8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1.62</w:t>
            </w:r>
          </w:p>
        </w:tc>
      </w:tr>
      <w:tr w:rsidR="00D35246" w:rsidRPr="00D35246" w14:paraId="76EF3992" w14:textId="77777777" w:rsidTr="00CC1B66">
        <w:tc>
          <w:tcPr>
            <w:tcW w:w="5807" w:type="dxa"/>
            <w:hideMark/>
          </w:tcPr>
          <w:p w14:paraId="1D1D8AB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Threats</w:t>
            </w:r>
          </w:p>
        </w:tc>
        <w:tc>
          <w:tcPr>
            <w:tcW w:w="1418" w:type="dxa"/>
            <w:hideMark/>
          </w:tcPr>
          <w:p w14:paraId="11605087"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36FDF2AE"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4753DA6C" w14:textId="77777777" w:rsidR="00D35246" w:rsidRPr="00D35246" w:rsidRDefault="00D35246" w:rsidP="00D35246">
            <w:pPr>
              <w:spacing w:after="160" w:line="278" w:lineRule="auto"/>
              <w:jc w:val="both"/>
              <w:rPr>
                <w:rFonts w:ascii="Times New Roman" w:hAnsi="Times New Roman" w:cs="Times New Roman"/>
              </w:rPr>
            </w:pPr>
          </w:p>
        </w:tc>
      </w:tr>
      <w:tr w:rsidR="00D35246" w:rsidRPr="00D35246" w14:paraId="00BCFFE0" w14:textId="77777777" w:rsidTr="00CC1B66">
        <w:tc>
          <w:tcPr>
            <w:tcW w:w="5807" w:type="dxa"/>
            <w:hideMark/>
          </w:tcPr>
          <w:p w14:paraId="52809C2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Regional competition</w:t>
            </w:r>
          </w:p>
        </w:tc>
        <w:tc>
          <w:tcPr>
            <w:tcW w:w="1418" w:type="dxa"/>
            <w:hideMark/>
          </w:tcPr>
          <w:p w14:paraId="2AF3B021"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0.15</w:t>
            </w:r>
          </w:p>
        </w:tc>
        <w:tc>
          <w:tcPr>
            <w:tcW w:w="0" w:type="auto"/>
            <w:hideMark/>
          </w:tcPr>
          <w:p w14:paraId="61B8B6A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06442E9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0.30</w:t>
            </w:r>
          </w:p>
        </w:tc>
      </w:tr>
      <w:tr w:rsidR="00D35246" w:rsidRPr="00D35246" w14:paraId="5930196A" w14:textId="77777777" w:rsidTr="00CC1B66">
        <w:tc>
          <w:tcPr>
            <w:tcW w:w="5807" w:type="dxa"/>
            <w:hideMark/>
          </w:tcPr>
          <w:p w14:paraId="6DB0E8B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Climate-induced risks and production shocks</w:t>
            </w:r>
          </w:p>
        </w:tc>
        <w:tc>
          <w:tcPr>
            <w:tcW w:w="1418" w:type="dxa"/>
            <w:hideMark/>
          </w:tcPr>
          <w:p w14:paraId="36DDE651"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0.12</w:t>
            </w:r>
          </w:p>
        </w:tc>
        <w:tc>
          <w:tcPr>
            <w:tcW w:w="0" w:type="auto"/>
            <w:hideMark/>
          </w:tcPr>
          <w:p w14:paraId="79D98B4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29C08160"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0.24</w:t>
            </w:r>
          </w:p>
        </w:tc>
      </w:tr>
      <w:tr w:rsidR="00D35246" w:rsidRPr="00D35246" w14:paraId="118F1BCD" w14:textId="77777777" w:rsidTr="00CC1B66">
        <w:tc>
          <w:tcPr>
            <w:tcW w:w="5807" w:type="dxa"/>
            <w:hideMark/>
          </w:tcPr>
          <w:p w14:paraId="254BD3A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Market volatility and supply instability</w:t>
            </w:r>
          </w:p>
        </w:tc>
        <w:tc>
          <w:tcPr>
            <w:tcW w:w="1418" w:type="dxa"/>
            <w:hideMark/>
          </w:tcPr>
          <w:p w14:paraId="690430FE"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0.10</w:t>
            </w:r>
          </w:p>
        </w:tc>
        <w:tc>
          <w:tcPr>
            <w:tcW w:w="0" w:type="auto"/>
            <w:hideMark/>
          </w:tcPr>
          <w:p w14:paraId="60D8735D"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6ACE909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0.20</w:t>
            </w:r>
          </w:p>
        </w:tc>
      </w:tr>
      <w:tr w:rsidR="00D35246" w:rsidRPr="00D35246" w14:paraId="1FE2E21D" w14:textId="77777777" w:rsidTr="00CC1B66">
        <w:tc>
          <w:tcPr>
            <w:tcW w:w="5807" w:type="dxa"/>
            <w:hideMark/>
          </w:tcPr>
          <w:p w14:paraId="3A2A3AA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Weak commodity protection policy</w:t>
            </w:r>
          </w:p>
        </w:tc>
        <w:tc>
          <w:tcPr>
            <w:tcW w:w="1418" w:type="dxa"/>
            <w:hideMark/>
          </w:tcPr>
          <w:p w14:paraId="0118CE7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0.08</w:t>
            </w:r>
          </w:p>
        </w:tc>
        <w:tc>
          <w:tcPr>
            <w:tcW w:w="0" w:type="auto"/>
            <w:hideMark/>
          </w:tcPr>
          <w:p w14:paraId="2FB5951B"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w:t>
            </w:r>
          </w:p>
        </w:tc>
        <w:tc>
          <w:tcPr>
            <w:tcW w:w="0" w:type="auto"/>
            <w:hideMark/>
          </w:tcPr>
          <w:p w14:paraId="6425F9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0.16</w:t>
            </w:r>
          </w:p>
        </w:tc>
      </w:tr>
      <w:tr w:rsidR="00D35246" w:rsidRPr="00D35246" w14:paraId="5EA0BD40" w14:textId="77777777" w:rsidTr="00CC1B66">
        <w:tc>
          <w:tcPr>
            <w:tcW w:w="5807" w:type="dxa"/>
            <w:hideMark/>
          </w:tcPr>
          <w:p w14:paraId="5E092C87"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Subtotal Threats</w:t>
            </w:r>
          </w:p>
        </w:tc>
        <w:tc>
          <w:tcPr>
            <w:tcW w:w="1418" w:type="dxa"/>
            <w:hideMark/>
          </w:tcPr>
          <w:p w14:paraId="20FE2783"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0.45</w:t>
            </w:r>
          </w:p>
        </w:tc>
        <w:tc>
          <w:tcPr>
            <w:tcW w:w="0" w:type="auto"/>
            <w:hideMark/>
          </w:tcPr>
          <w:p w14:paraId="513E98B7"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6975934C"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0.90</w:t>
            </w:r>
          </w:p>
        </w:tc>
      </w:tr>
      <w:tr w:rsidR="00D35246" w:rsidRPr="00D35246" w14:paraId="063B2981" w14:textId="77777777" w:rsidTr="00CC1B66">
        <w:tc>
          <w:tcPr>
            <w:tcW w:w="5807" w:type="dxa"/>
            <w:hideMark/>
          </w:tcPr>
          <w:p w14:paraId="578916A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Total EFAS Score</w:t>
            </w:r>
          </w:p>
        </w:tc>
        <w:tc>
          <w:tcPr>
            <w:tcW w:w="1418" w:type="dxa"/>
            <w:hideMark/>
          </w:tcPr>
          <w:p w14:paraId="41367BFA"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1.00</w:t>
            </w:r>
          </w:p>
        </w:tc>
        <w:tc>
          <w:tcPr>
            <w:tcW w:w="0" w:type="auto"/>
            <w:hideMark/>
          </w:tcPr>
          <w:p w14:paraId="623EFCF6" w14:textId="77777777" w:rsidR="00D35246" w:rsidRPr="00D35246" w:rsidRDefault="00D35246" w:rsidP="00D35246">
            <w:pPr>
              <w:spacing w:after="160" w:line="278" w:lineRule="auto"/>
              <w:jc w:val="both"/>
              <w:rPr>
                <w:rFonts w:ascii="Times New Roman" w:hAnsi="Times New Roman" w:cs="Times New Roman"/>
              </w:rPr>
            </w:pPr>
          </w:p>
        </w:tc>
        <w:tc>
          <w:tcPr>
            <w:tcW w:w="0" w:type="auto"/>
            <w:hideMark/>
          </w:tcPr>
          <w:p w14:paraId="257B4CB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b/>
                <w:bCs/>
              </w:rPr>
              <w:t>2.52</w:t>
            </w:r>
          </w:p>
        </w:tc>
      </w:tr>
    </w:tbl>
    <w:p w14:paraId="26B3FA9A" w14:textId="77777777" w:rsidR="00D35246" w:rsidRPr="00D35246" w:rsidRDefault="00D35246" w:rsidP="00D35246">
      <w:pPr>
        <w:jc w:val="both"/>
        <w:rPr>
          <w:rFonts w:ascii="Times New Roman" w:hAnsi="Times New Roman" w:cs="Times New Roman"/>
        </w:rPr>
      </w:pPr>
      <w:r w:rsidRPr="00D35246">
        <w:rPr>
          <w:rFonts w:ascii="Times New Roman" w:hAnsi="Times New Roman" w:cs="Times New Roman"/>
        </w:rPr>
        <w:t>The EFAS score of 2.52 reinforces that external opportunities exceed threats, providing a fertile environment for policy innovation and private investment.</w:t>
      </w:r>
    </w:p>
    <w:p w14:paraId="61A1BD63" w14:textId="69C1541C" w:rsidR="00D35246" w:rsidRPr="00D35246" w:rsidRDefault="00D35246" w:rsidP="00D35246">
      <w:pPr>
        <w:jc w:val="both"/>
        <w:rPr>
          <w:rFonts w:ascii="Times New Roman" w:hAnsi="Times New Roman" w:cs="Times New Roman"/>
        </w:rPr>
      </w:pPr>
    </w:p>
    <w:p w14:paraId="14EB57D5" w14:textId="1EDCCC1E" w:rsidR="00D35246" w:rsidRPr="00D35246" w:rsidRDefault="003F7A84" w:rsidP="00D35246">
      <w:pPr>
        <w:jc w:val="both"/>
        <w:rPr>
          <w:rFonts w:ascii="Times New Roman" w:hAnsi="Times New Roman" w:cs="Times New Roman"/>
          <w:b/>
          <w:bCs/>
        </w:rPr>
      </w:pPr>
      <w:r>
        <w:rPr>
          <w:rFonts w:ascii="Times New Roman" w:hAnsi="Times New Roman" w:cs="Times New Roman"/>
          <w:b/>
          <w:bCs/>
        </w:rPr>
        <w:t>3</w:t>
      </w:r>
      <w:r w:rsidR="00D35246" w:rsidRPr="00D35246">
        <w:rPr>
          <w:rFonts w:ascii="Times New Roman" w:hAnsi="Times New Roman" w:cs="Times New Roman"/>
          <w:b/>
          <w:bCs/>
        </w:rPr>
        <w:t>.4</w:t>
      </w:r>
      <w:r w:rsidR="002B3C29">
        <w:rPr>
          <w:rFonts w:ascii="Times New Roman" w:hAnsi="Times New Roman" w:cs="Times New Roman"/>
          <w:b/>
          <w:bCs/>
        </w:rPr>
        <w:t>.3</w:t>
      </w:r>
      <w:r w:rsidR="00D35246" w:rsidRPr="00D35246">
        <w:rPr>
          <w:rFonts w:ascii="Times New Roman" w:hAnsi="Times New Roman" w:cs="Times New Roman"/>
          <w:b/>
          <w:bCs/>
        </w:rPr>
        <w:t xml:space="preserve"> SWOT Matrix Positioning: Aggressive Strategy (Quadrant I)</w:t>
      </w:r>
    </w:p>
    <w:p w14:paraId="5FC7C114" w14:textId="076BB993" w:rsidR="00D35246" w:rsidRPr="00D35246" w:rsidRDefault="00D35246" w:rsidP="00D35246">
      <w:pPr>
        <w:jc w:val="both"/>
        <w:rPr>
          <w:rFonts w:ascii="Times New Roman" w:hAnsi="Times New Roman" w:cs="Times New Roman"/>
        </w:rPr>
      </w:pPr>
      <w:r w:rsidRPr="00D35246">
        <w:rPr>
          <w:rFonts w:ascii="Times New Roman" w:hAnsi="Times New Roman" w:cs="Times New Roman"/>
        </w:rPr>
        <w:t xml:space="preserve">With IFAS = 2.52 and EFAS = 2.52, </w:t>
      </w:r>
      <w:proofErr w:type="spellStart"/>
      <w:r w:rsidRPr="00D35246">
        <w:rPr>
          <w:rFonts w:ascii="Times New Roman" w:hAnsi="Times New Roman" w:cs="Times New Roman"/>
        </w:rPr>
        <w:t>Bebesen</w:t>
      </w:r>
      <w:proofErr w:type="spellEnd"/>
      <w:r w:rsidRPr="00D35246">
        <w:rPr>
          <w:rFonts w:ascii="Times New Roman" w:hAnsi="Times New Roman" w:cs="Times New Roman"/>
        </w:rPr>
        <w:t xml:space="preserve"> falls into Quadrant I of the SWOT matrix. This quadrant is characterized by a strong internal position coupled with favorable external conditions, justifying the adoption of aggressive, opportunity-driven strategies</w:t>
      </w:r>
      <w:r w:rsidR="00B04030">
        <w:rPr>
          <w:rFonts w:ascii="Times New Roman" w:hAnsi="Times New Roman" w:cs="Times New Roman"/>
        </w:rPr>
        <w:t>.</w:t>
      </w:r>
      <w:r w:rsidRPr="00D35246">
        <w:rPr>
          <w:rFonts w:ascii="Times New Roman" w:hAnsi="Times New Roman" w:cs="Times New Roman"/>
        </w:rPr>
        <w:t xml:space="preserve"> Based on the SWOT matrix and stakeholder inputs, the following strategies are proposed:</w:t>
      </w:r>
    </w:p>
    <w:p w14:paraId="0D470DEF" w14:textId="33B2249F" w:rsidR="00D35246" w:rsidRPr="00D35246" w:rsidRDefault="00D35246" w:rsidP="00B04030">
      <w:pPr>
        <w:jc w:val="center"/>
        <w:rPr>
          <w:rFonts w:ascii="Times New Roman" w:hAnsi="Times New Roman" w:cs="Times New Roman"/>
        </w:rPr>
      </w:pPr>
      <w:r w:rsidRPr="00D35246">
        <w:rPr>
          <w:rFonts w:ascii="Times New Roman" w:hAnsi="Times New Roman" w:cs="Times New Roman"/>
          <w:b/>
          <w:bCs/>
        </w:rPr>
        <w:t xml:space="preserve">Table </w:t>
      </w:r>
      <w:r w:rsidR="00B04030">
        <w:rPr>
          <w:rFonts w:ascii="Times New Roman" w:hAnsi="Times New Roman" w:cs="Times New Roman"/>
          <w:b/>
          <w:bCs/>
        </w:rPr>
        <w:t>5</w:t>
      </w:r>
      <w:r w:rsidRPr="00D35246">
        <w:rPr>
          <w:rFonts w:ascii="Times New Roman" w:hAnsi="Times New Roman" w:cs="Times New Roman"/>
          <w:b/>
          <w:bCs/>
        </w:rPr>
        <w:t xml:space="preserve">. </w:t>
      </w:r>
      <w:r w:rsidRPr="00D35246">
        <w:rPr>
          <w:rFonts w:ascii="Times New Roman" w:hAnsi="Times New Roman" w:cs="Times New Roman"/>
        </w:rPr>
        <w:t xml:space="preserve">Aggressive Strategy Formulation for </w:t>
      </w:r>
      <w:proofErr w:type="spellStart"/>
      <w:r w:rsidRPr="00D35246">
        <w:rPr>
          <w:rFonts w:ascii="Times New Roman" w:hAnsi="Times New Roman" w:cs="Times New Roman"/>
        </w:rPr>
        <w:t>Bebesen</w:t>
      </w:r>
      <w:proofErr w:type="spellEnd"/>
    </w:p>
    <w:tbl>
      <w:tblPr>
        <w:tblStyle w:val="TableGrid"/>
        <w:tblW w:w="0" w:type="auto"/>
        <w:tblLook w:val="04A0" w:firstRow="1" w:lastRow="0" w:firstColumn="1" w:lastColumn="0" w:noHBand="0" w:noVBand="1"/>
      </w:tblPr>
      <w:tblGrid>
        <w:gridCol w:w="2792"/>
        <w:gridCol w:w="6225"/>
      </w:tblGrid>
      <w:tr w:rsidR="00D35246" w:rsidRPr="00D35246" w14:paraId="3DE1C2AF" w14:textId="77777777" w:rsidTr="00B04030">
        <w:tc>
          <w:tcPr>
            <w:tcW w:w="0" w:type="auto"/>
            <w:hideMark/>
          </w:tcPr>
          <w:p w14:paraId="79EE525A"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Strategic Priority</w:t>
            </w:r>
          </w:p>
        </w:tc>
        <w:tc>
          <w:tcPr>
            <w:tcW w:w="0" w:type="auto"/>
            <w:hideMark/>
          </w:tcPr>
          <w:p w14:paraId="46DA404E" w14:textId="77777777" w:rsidR="00D35246" w:rsidRPr="00D35246" w:rsidRDefault="00D35246" w:rsidP="00D35246">
            <w:pPr>
              <w:spacing w:after="160" w:line="278" w:lineRule="auto"/>
              <w:jc w:val="both"/>
              <w:rPr>
                <w:rFonts w:ascii="Times New Roman" w:hAnsi="Times New Roman" w:cs="Times New Roman"/>
                <w:b/>
                <w:bCs/>
              </w:rPr>
            </w:pPr>
            <w:r w:rsidRPr="00D35246">
              <w:rPr>
                <w:rFonts w:ascii="Times New Roman" w:hAnsi="Times New Roman" w:cs="Times New Roman"/>
                <w:b/>
                <w:bCs/>
              </w:rPr>
              <w:t>Description</w:t>
            </w:r>
          </w:p>
        </w:tc>
      </w:tr>
      <w:tr w:rsidR="00D35246" w:rsidRPr="00D35246" w14:paraId="66D10233" w14:textId="77777777" w:rsidTr="00B04030">
        <w:tc>
          <w:tcPr>
            <w:tcW w:w="0" w:type="auto"/>
            <w:hideMark/>
          </w:tcPr>
          <w:p w14:paraId="18F67EF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1. Strengthen Value Chain Integration</w:t>
            </w:r>
          </w:p>
        </w:tc>
        <w:tc>
          <w:tcPr>
            <w:tcW w:w="0" w:type="auto"/>
            <w:hideMark/>
          </w:tcPr>
          <w:p w14:paraId="43712624"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Develop local processing industries (e.g., potato chips, cabbage pickles), expand cold storage.</w:t>
            </w:r>
          </w:p>
        </w:tc>
      </w:tr>
      <w:tr w:rsidR="00D35246" w:rsidRPr="00D35246" w14:paraId="7C6A4757" w14:textId="77777777" w:rsidTr="00B04030">
        <w:tc>
          <w:tcPr>
            <w:tcW w:w="0" w:type="auto"/>
            <w:hideMark/>
          </w:tcPr>
          <w:p w14:paraId="7B4E578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2. Enhance Digital Market Access</w:t>
            </w:r>
          </w:p>
        </w:tc>
        <w:tc>
          <w:tcPr>
            <w:tcW w:w="0" w:type="auto"/>
            <w:hideMark/>
          </w:tcPr>
          <w:p w14:paraId="07810A0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 xml:space="preserve">Promote e-commerce, Gayo branding, and social media marketing; train youth as </w:t>
            </w:r>
            <w:proofErr w:type="spellStart"/>
            <w:r w:rsidRPr="00D35246">
              <w:rPr>
                <w:rFonts w:ascii="Times New Roman" w:hAnsi="Times New Roman" w:cs="Times New Roman"/>
              </w:rPr>
              <w:t>agro</w:t>
            </w:r>
            <w:proofErr w:type="spellEnd"/>
            <w:r w:rsidRPr="00D35246">
              <w:rPr>
                <w:rFonts w:ascii="Times New Roman" w:hAnsi="Times New Roman" w:cs="Times New Roman"/>
              </w:rPr>
              <w:t>-digital agents.</w:t>
            </w:r>
          </w:p>
        </w:tc>
      </w:tr>
      <w:tr w:rsidR="00D35246" w:rsidRPr="00D35246" w14:paraId="50DA4541" w14:textId="77777777" w:rsidTr="00B04030">
        <w:tc>
          <w:tcPr>
            <w:tcW w:w="0" w:type="auto"/>
            <w:hideMark/>
          </w:tcPr>
          <w:p w14:paraId="143FD988"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3. Develop Agrotourism Synergies</w:t>
            </w:r>
          </w:p>
        </w:tc>
        <w:tc>
          <w:tcPr>
            <w:tcW w:w="0" w:type="auto"/>
            <w:hideMark/>
          </w:tcPr>
          <w:p w14:paraId="7088F2DF"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Link farms to tourism (e.g., harvest tours, local food products), promote Gayo culture.</w:t>
            </w:r>
          </w:p>
        </w:tc>
      </w:tr>
      <w:tr w:rsidR="00D35246" w:rsidRPr="00D35246" w14:paraId="6B66F644" w14:textId="77777777" w:rsidTr="00B04030">
        <w:tc>
          <w:tcPr>
            <w:tcW w:w="0" w:type="auto"/>
            <w:hideMark/>
          </w:tcPr>
          <w:p w14:paraId="609FAC59"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lastRenderedPageBreak/>
              <w:t>4. Revitalize Arabica Coffee Sector</w:t>
            </w:r>
          </w:p>
        </w:tc>
        <w:tc>
          <w:tcPr>
            <w:tcW w:w="0" w:type="auto"/>
            <w:hideMark/>
          </w:tcPr>
          <w:p w14:paraId="68A3B516" w14:textId="77777777" w:rsidR="00D35246" w:rsidRPr="00D35246" w:rsidRDefault="00D35246" w:rsidP="00D35246">
            <w:pPr>
              <w:spacing w:after="160" w:line="278" w:lineRule="auto"/>
              <w:jc w:val="both"/>
              <w:rPr>
                <w:rFonts w:ascii="Times New Roman" w:hAnsi="Times New Roman" w:cs="Times New Roman"/>
              </w:rPr>
            </w:pPr>
            <w:r w:rsidRPr="00D35246">
              <w:rPr>
                <w:rFonts w:ascii="Times New Roman" w:hAnsi="Times New Roman" w:cs="Times New Roman"/>
              </w:rPr>
              <w:t>Provide improved seeds, support post-harvest processing, enhance product storytelling &amp; GI labeling.</w:t>
            </w:r>
          </w:p>
        </w:tc>
      </w:tr>
    </w:tbl>
    <w:p w14:paraId="47859E2D" w14:textId="77777777" w:rsidR="00B04030" w:rsidRDefault="00B04030" w:rsidP="00B04030">
      <w:pPr>
        <w:jc w:val="both"/>
        <w:rPr>
          <w:rFonts w:ascii="Times New Roman" w:hAnsi="Times New Roman" w:cs="Times New Roman"/>
        </w:rPr>
      </w:pPr>
    </w:p>
    <w:p w14:paraId="1CFF9D2A" w14:textId="7C0E3148" w:rsidR="00425F0D" w:rsidRPr="00B04030" w:rsidRDefault="00D35246" w:rsidP="00B04030">
      <w:pPr>
        <w:jc w:val="both"/>
        <w:rPr>
          <w:rFonts w:ascii="Times New Roman" w:hAnsi="Times New Roman" w:cs="Times New Roman"/>
        </w:rPr>
      </w:pPr>
      <w:r w:rsidRPr="00D35246">
        <w:rPr>
          <w:rFonts w:ascii="Times New Roman" w:hAnsi="Times New Roman" w:cs="Times New Roman"/>
        </w:rPr>
        <w:t>These strategies leverage Bebesen’s agroecological advantage, flagship commodities, and cultural assets to expand regional competitiveness in Aceh Tengah and beyond.</w:t>
      </w:r>
      <w:r w:rsidR="00B04030" w:rsidRPr="00B04030">
        <w:rPr>
          <w:rFonts w:ascii="Times New Roman" w:hAnsi="Times New Roman" w:cs="Times New Roman"/>
        </w:rPr>
        <w:t xml:space="preserve"> </w:t>
      </w:r>
      <w:r w:rsidR="00425F0D" w:rsidRPr="00B04030">
        <w:rPr>
          <w:rFonts w:ascii="Times New Roman" w:hAnsi="Times New Roman" w:cs="Times New Roman"/>
        </w:rPr>
        <w:t>The results of this study hold several implications for local development planning. First, policy must move beyond generic agricultural promotion and target value chain upgrading for specific commodities. This includes incentives for cold-chain infrastructure, packaging innovation, and farm-to-market logistics. Second, capacity building programs are needed to improve farmers' technical skills and entrepreneurial readiness, especially in digital tools and cooperative models (World Bank, 2021).</w:t>
      </w:r>
    </w:p>
    <w:p w14:paraId="153D1453" w14:textId="77777777" w:rsidR="00425F0D" w:rsidRPr="00B04030" w:rsidRDefault="00425F0D" w:rsidP="00B04030">
      <w:pPr>
        <w:jc w:val="both"/>
        <w:rPr>
          <w:rFonts w:ascii="Times New Roman" w:hAnsi="Times New Roman" w:cs="Times New Roman"/>
        </w:rPr>
      </w:pPr>
      <w:r w:rsidRPr="00B04030">
        <w:rPr>
          <w:rFonts w:ascii="Times New Roman" w:hAnsi="Times New Roman" w:cs="Times New Roman"/>
        </w:rPr>
        <w:t>Third, local government must play a coordinating role in aligning stakeholders—farmers, processors, cooperatives, and financial institutions—through an institutionalized cluster development model. This aligns with the concept of territorial competitiveness, which links sectoral growth to spatial planning and governance effectiveness (Rodríguez-Pose, 2013).</w:t>
      </w:r>
    </w:p>
    <w:p w14:paraId="6341733D" w14:textId="77777777" w:rsidR="00425F0D" w:rsidRPr="00B04030" w:rsidRDefault="00425F0D" w:rsidP="00B04030">
      <w:pPr>
        <w:jc w:val="both"/>
        <w:rPr>
          <w:rFonts w:ascii="Times New Roman" w:hAnsi="Times New Roman" w:cs="Times New Roman"/>
        </w:rPr>
      </w:pPr>
      <w:r w:rsidRPr="00B04030">
        <w:rPr>
          <w:rFonts w:ascii="Times New Roman" w:hAnsi="Times New Roman" w:cs="Times New Roman"/>
        </w:rPr>
        <w:t>Finally, integrating agriculture with non-agricultural rural sectors such as tourism and creative industries could serve as a buffer against commodity price volatility, thus ensuring income diversification and rural resilience.</w:t>
      </w:r>
    </w:p>
    <w:p w14:paraId="40976395" w14:textId="24E5A3CF" w:rsidR="003C017D" w:rsidRPr="003C017D" w:rsidRDefault="005C28A5" w:rsidP="003C017D">
      <w:pPr>
        <w:rPr>
          <w:rFonts w:ascii="Times New Roman" w:hAnsi="Times New Roman" w:cs="Times New Roman"/>
          <w:b/>
          <w:bCs/>
        </w:rPr>
      </w:pPr>
      <w:r>
        <w:rPr>
          <w:rFonts w:ascii="Times New Roman" w:hAnsi="Times New Roman" w:cs="Times New Roman"/>
          <w:b/>
          <w:bCs/>
        </w:rPr>
        <w:t xml:space="preserve">4. </w:t>
      </w:r>
      <w:r w:rsidRPr="003C017D">
        <w:rPr>
          <w:rFonts w:ascii="Times New Roman" w:hAnsi="Times New Roman" w:cs="Times New Roman"/>
          <w:b/>
          <w:bCs/>
        </w:rPr>
        <w:t>CONCLUSION AND RECOMMENDATIONS</w:t>
      </w:r>
    </w:p>
    <w:p w14:paraId="0AD433CF" w14:textId="77777777" w:rsidR="003C017D" w:rsidRPr="003C017D" w:rsidRDefault="003C017D" w:rsidP="003C017D">
      <w:pPr>
        <w:rPr>
          <w:rFonts w:ascii="Times New Roman" w:hAnsi="Times New Roman" w:cs="Times New Roman"/>
          <w:b/>
          <w:bCs/>
        </w:rPr>
      </w:pPr>
      <w:r w:rsidRPr="003C017D">
        <w:rPr>
          <w:rFonts w:ascii="Times New Roman" w:hAnsi="Times New Roman" w:cs="Times New Roman"/>
          <w:b/>
          <w:bCs/>
        </w:rPr>
        <w:t>Conclusion</w:t>
      </w:r>
    </w:p>
    <w:p w14:paraId="09D4362A" w14:textId="442BBAF4" w:rsidR="003C017D" w:rsidRPr="003C017D" w:rsidRDefault="003C017D" w:rsidP="003C017D">
      <w:pPr>
        <w:rPr>
          <w:rFonts w:ascii="Times New Roman" w:hAnsi="Times New Roman" w:cs="Times New Roman"/>
        </w:rPr>
      </w:pPr>
      <w:r w:rsidRPr="003C017D">
        <w:rPr>
          <w:rFonts w:ascii="Times New Roman" w:hAnsi="Times New Roman" w:cs="Times New Roman"/>
        </w:rPr>
        <w:t xml:space="preserve">This study has examined the strategic development potential of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w:t>
      </w:r>
      <w:r w:rsidR="0059667B">
        <w:rPr>
          <w:rFonts w:ascii="Times New Roman" w:hAnsi="Times New Roman" w:cs="Times New Roman"/>
        </w:rPr>
        <w:t>Dis</w:t>
      </w:r>
      <w:r w:rsidRPr="003C017D">
        <w:rPr>
          <w:rFonts w:ascii="Times New Roman" w:hAnsi="Times New Roman" w:cs="Times New Roman"/>
        </w:rPr>
        <w:t>trict through a comprehensive analysis of its agricultural economy, focusing on leading commodities and sectoral dynamics. The findings reveal that five horticultural commodities—potatoes, cabbage, cauliflower, spring onions, and shallots—possess high localization advantages and qualify as economic base sectors, as indicated by their LQ values exceeding 1. In contrast, Gayo Arabica coffee, despite its cultural and historical significance, has declined in productivity and competitiveness, falling below the economic base threshold.</w:t>
      </w:r>
    </w:p>
    <w:p w14:paraId="2D2E91F2" w14:textId="77777777" w:rsidR="003C017D" w:rsidRPr="003C017D" w:rsidRDefault="003C017D" w:rsidP="003C017D">
      <w:pPr>
        <w:rPr>
          <w:rFonts w:ascii="Times New Roman" w:hAnsi="Times New Roman" w:cs="Times New Roman"/>
        </w:rPr>
      </w:pPr>
      <w:r w:rsidRPr="003C017D">
        <w:rPr>
          <w:rFonts w:ascii="Times New Roman" w:hAnsi="Times New Roman" w:cs="Times New Roman"/>
        </w:rPr>
        <w:t xml:space="preserve">Through Klassen Typology,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is classified as an </w:t>
      </w:r>
      <w:r w:rsidRPr="003C017D">
        <w:rPr>
          <w:rFonts w:ascii="Times New Roman" w:hAnsi="Times New Roman" w:cs="Times New Roman"/>
          <w:b/>
          <w:bCs/>
        </w:rPr>
        <w:t>advanced and rapidly growing</w:t>
      </w:r>
      <w:r w:rsidRPr="003C017D">
        <w:rPr>
          <w:rFonts w:ascii="Times New Roman" w:hAnsi="Times New Roman" w:cs="Times New Roman"/>
        </w:rPr>
        <w:t xml:space="preserve"> region, reaffirming its strategic role in regional economic development. The SWOT analysis further substantiates this potential by placing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in an </w:t>
      </w:r>
      <w:r w:rsidRPr="003C017D">
        <w:rPr>
          <w:rFonts w:ascii="Times New Roman" w:hAnsi="Times New Roman" w:cs="Times New Roman"/>
          <w:b/>
          <w:bCs/>
        </w:rPr>
        <w:t>aggressive strategic quadrant</w:t>
      </w:r>
      <w:r w:rsidRPr="003C017D">
        <w:rPr>
          <w:rFonts w:ascii="Times New Roman" w:hAnsi="Times New Roman" w:cs="Times New Roman"/>
        </w:rPr>
        <w:t>, enabling a proactive approach that capitalizes on internal strengths and external opportunities. The recommended development trajectory includes downstream integration, digitalization of agricultural marketing, agrotourism development, and the revitalization of coffee plantations.</w:t>
      </w:r>
    </w:p>
    <w:p w14:paraId="6EA1BC97" w14:textId="77777777" w:rsidR="003C017D" w:rsidRPr="003C017D" w:rsidRDefault="003C017D" w:rsidP="003C017D">
      <w:pPr>
        <w:rPr>
          <w:rFonts w:ascii="Times New Roman" w:hAnsi="Times New Roman" w:cs="Times New Roman"/>
        </w:rPr>
      </w:pPr>
      <w:r w:rsidRPr="003C017D">
        <w:rPr>
          <w:rFonts w:ascii="Times New Roman" w:hAnsi="Times New Roman" w:cs="Times New Roman"/>
        </w:rPr>
        <w:t xml:space="preserve">Collectively, these findings highlight the importance of </w:t>
      </w:r>
      <w:r w:rsidRPr="003C017D">
        <w:rPr>
          <w:rFonts w:ascii="Times New Roman" w:hAnsi="Times New Roman" w:cs="Times New Roman"/>
          <w:b/>
          <w:bCs/>
        </w:rPr>
        <w:t>evidence-based, commodity-centered planning</w:t>
      </w:r>
      <w:r w:rsidRPr="003C017D">
        <w:rPr>
          <w:rFonts w:ascii="Times New Roman" w:hAnsi="Times New Roman" w:cs="Times New Roman"/>
        </w:rPr>
        <w:t xml:space="preserve"> in advancing rural economic resilience. The integration of quantitative economic tools with stakeholder insights offers a robust model for sub-regional planning that aligns with both market realities and local aspirations.</w:t>
      </w:r>
    </w:p>
    <w:p w14:paraId="4DCCD83A" w14:textId="77777777" w:rsidR="003C017D" w:rsidRPr="003C017D" w:rsidRDefault="00630623" w:rsidP="003C017D">
      <w:pPr>
        <w:rPr>
          <w:rFonts w:ascii="Times New Roman" w:hAnsi="Times New Roman" w:cs="Times New Roman"/>
        </w:rPr>
      </w:pPr>
      <w:r>
        <w:rPr>
          <w:rFonts w:ascii="Times New Roman" w:hAnsi="Times New Roman" w:cs="Times New Roman"/>
        </w:rPr>
        <w:pict w14:anchorId="36AE6796">
          <v:rect id="_x0000_i1025" style="width:0;height:1.5pt" o:hralign="center" o:hrstd="t" o:hr="t" fillcolor="#a0a0a0" stroked="f"/>
        </w:pict>
      </w:r>
    </w:p>
    <w:p w14:paraId="46900E26" w14:textId="77777777" w:rsidR="003C017D" w:rsidRPr="003C017D" w:rsidRDefault="003C017D" w:rsidP="003C017D">
      <w:pPr>
        <w:rPr>
          <w:rFonts w:ascii="Times New Roman" w:hAnsi="Times New Roman" w:cs="Times New Roman"/>
          <w:b/>
          <w:bCs/>
        </w:rPr>
      </w:pPr>
      <w:r w:rsidRPr="003C017D">
        <w:rPr>
          <w:rFonts w:ascii="Times New Roman" w:hAnsi="Times New Roman" w:cs="Times New Roman"/>
          <w:b/>
          <w:bCs/>
        </w:rPr>
        <w:lastRenderedPageBreak/>
        <w:t>Recommendations</w:t>
      </w:r>
    </w:p>
    <w:p w14:paraId="1F7BA2EB"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1. Policy and Institutional Interventions</w:t>
      </w:r>
    </w:p>
    <w:p w14:paraId="6525E66A" w14:textId="77777777" w:rsidR="003C017D" w:rsidRPr="005C28A5" w:rsidRDefault="003C017D" w:rsidP="003C017D">
      <w:pPr>
        <w:numPr>
          <w:ilvl w:val="0"/>
          <w:numId w:val="9"/>
        </w:numPr>
        <w:rPr>
          <w:rFonts w:ascii="Times New Roman" w:hAnsi="Times New Roman" w:cs="Times New Roman"/>
        </w:rPr>
      </w:pPr>
      <w:r w:rsidRPr="005C28A5">
        <w:rPr>
          <w:rFonts w:ascii="Times New Roman" w:hAnsi="Times New Roman" w:cs="Times New Roman"/>
        </w:rPr>
        <w:t>The local government should prioritize infrastructure investment in post-harvest processing, cold storage, and logistics systems for horticultural commodities.</w:t>
      </w:r>
    </w:p>
    <w:p w14:paraId="7A055090" w14:textId="77777777" w:rsidR="003C017D" w:rsidRPr="005C28A5" w:rsidRDefault="003C017D" w:rsidP="003C017D">
      <w:pPr>
        <w:numPr>
          <w:ilvl w:val="0"/>
          <w:numId w:val="9"/>
        </w:numPr>
        <w:rPr>
          <w:rFonts w:ascii="Times New Roman" w:hAnsi="Times New Roman" w:cs="Times New Roman"/>
        </w:rPr>
      </w:pPr>
      <w:r w:rsidRPr="005C28A5">
        <w:rPr>
          <w:rFonts w:ascii="Times New Roman" w:hAnsi="Times New Roman" w:cs="Times New Roman"/>
        </w:rPr>
        <w:t>Establish a commodity cluster governance model, involving farmer cooperatives, local enterprises, and research institutions to ensure coordinated and sustainable value chain development.</w:t>
      </w:r>
    </w:p>
    <w:p w14:paraId="38F09F45" w14:textId="77777777" w:rsidR="003C017D" w:rsidRPr="005C28A5" w:rsidRDefault="003C017D" w:rsidP="003C017D">
      <w:pPr>
        <w:numPr>
          <w:ilvl w:val="0"/>
          <w:numId w:val="9"/>
        </w:numPr>
        <w:rPr>
          <w:rFonts w:ascii="Times New Roman" w:hAnsi="Times New Roman" w:cs="Times New Roman"/>
        </w:rPr>
      </w:pPr>
      <w:r w:rsidRPr="005C28A5">
        <w:rPr>
          <w:rFonts w:ascii="Times New Roman" w:hAnsi="Times New Roman" w:cs="Times New Roman"/>
        </w:rPr>
        <w:t>Enforce policies that protect and enhance the Geographical Indication (GI) status of Gayo Arabica coffee through replanting programs, soil rehabilitation, and quality assurance mechanisms.</w:t>
      </w:r>
    </w:p>
    <w:p w14:paraId="021AF6C2"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2. Digital and Market Integration</w:t>
      </w:r>
    </w:p>
    <w:p w14:paraId="5F79180A" w14:textId="77777777" w:rsidR="003C017D" w:rsidRPr="005C28A5" w:rsidRDefault="003C017D" w:rsidP="003C017D">
      <w:pPr>
        <w:numPr>
          <w:ilvl w:val="0"/>
          <w:numId w:val="10"/>
        </w:numPr>
        <w:rPr>
          <w:rFonts w:ascii="Times New Roman" w:hAnsi="Times New Roman" w:cs="Times New Roman"/>
        </w:rPr>
      </w:pPr>
      <w:r w:rsidRPr="005C28A5">
        <w:rPr>
          <w:rFonts w:ascii="Times New Roman" w:hAnsi="Times New Roman" w:cs="Times New Roman"/>
        </w:rPr>
        <w:t>Promote digital literacy among farmers and cooperatives to improve market access through e-commerce, product traceability, and direct-to-consumer models.</w:t>
      </w:r>
    </w:p>
    <w:p w14:paraId="439C0DE1" w14:textId="77777777" w:rsidR="003C017D" w:rsidRPr="005C28A5" w:rsidRDefault="003C017D" w:rsidP="003C017D">
      <w:pPr>
        <w:numPr>
          <w:ilvl w:val="0"/>
          <w:numId w:val="10"/>
        </w:numPr>
        <w:rPr>
          <w:rFonts w:ascii="Times New Roman" w:hAnsi="Times New Roman" w:cs="Times New Roman"/>
        </w:rPr>
      </w:pPr>
      <w:r w:rsidRPr="005C28A5">
        <w:rPr>
          <w:rFonts w:ascii="Times New Roman" w:hAnsi="Times New Roman" w:cs="Times New Roman"/>
        </w:rPr>
        <w:t xml:space="preserve">Collaborate with fintech platforms to expand access to digital financial services for smallholder farmers and </w:t>
      </w:r>
      <w:proofErr w:type="spellStart"/>
      <w:r w:rsidRPr="005C28A5">
        <w:rPr>
          <w:rFonts w:ascii="Times New Roman" w:hAnsi="Times New Roman" w:cs="Times New Roman"/>
        </w:rPr>
        <w:t>agri</w:t>
      </w:r>
      <w:proofErr w:type="spellEnd"/>
      <w:r w:rsidRPr="005C28A5">
        <w:rPr>
          <w:rFonts w:ascii="Times New Roman" w:hAnsi="Times New Roman" w:cs="Times New Roman"/>
        </w:rPr>
        <w:t>-entrepreneurs.</w:t>
      </w:r>
    </w:p>
    <w:p w14:paraId="54CD3DD7"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3. Agrotourism and Territorial Branding</w:t>
      </w:r>
    </w:p>
    <w:p w14:paraId="60CA376C" w14:textId="77777777" w:rsidR="003C017D" w:rsidRPr="005C28A5" w:rsidRDefault="003C017D" w:rsidP="003C017D">
      <w:pPr>
        <w:numPr>
          <w:ilvl w:val="0"/>
          <w:numId w:val="11"/>
        </w:numPr>
        <w:rPr>
          <w:rFonts w:ascii="Times New Roman" w:hAnsi="Times New Roman" w:cs="Times New Roman"/>
        </w:rPr>
      </w:pPr>
      <w:r w:rsidRPr="005C28A5">
        <w:rPr>
          <w:rFonts w:ascii="Times New Roman" w:hAnsi="Times New Roman" w:cs="Times New Roman"/>
        </w:rPr>
        <w:t>Integrate agricultural production zones with rural tourism circuits, supported by promotional campaigns emphasizing organic farming, local cuisine, and traditional Gayo culture.</w:t>
      </w:r>
    </w:p>
    <w:p w14:paraId="48BD0DAA" w14:textId="66FA0668" w:rsidR="003C017D" w:rsidRPr="005C28A5" w:rsidRDefault="003C017D" w:rsidP="003C017D">
      <w:pPr>
        <w:numPr>
          <w:ilvl w:val="0"/>
          <w:numId w:val="11"/>
        </w:numPr>
        <w:rPr>
          <w:rFonts w:ascii="Times New Roman" w:hAnsi="Times New Roman" w:cs="Times New Roman"/>
        </w:rPr>
      </w:pPr>
      <w:r w:rsidRPr="005C28A5">
        <w:rPr>
          <w:rFonts w:ascii="Times New Roman" w:hAnsi="Times New Roman" w:cs="Times New Roman"/>
        </w:rPr>
        <w:t>Develop a “</w:t>
      </w:r>
      <w:proofErr w:type="spellStart"/>
      <w:r w:rsidRPr="005C28A5">
        <w:rPr>
          <w:rFonts w:ascii="Times New Roman" w:hAnsi="Times New Roman" w:cs="Times New Roman"/>
        </w:rPr>
        <w:t>Bebesen</w:t>
      </w:r>
      <w:proofErr w:type="spellEnd"/>
      <w:r w:rsidRPr="005C28A5">
        <w:rPr>
          <w:rFonts w:ascii="Times New Roman" w:hAnsi="Times New Roman" w:cs="Times New Roman"/>
        </w:rPr>
        <w:t xml:space="preserve"> </w:t>
      </w:r>
      <w:proofErr w:type="spellStart"/>
      <w:r w:rsidRPr="005C28A5">
        <w:rPr>
          <w:rFonts w:ascii="Times New Roman" w:hAnsi="Times New Roman" w:cs="Times New Roman"/>
        </w:rPr>
        <w:t>Agro</w:t>
      </w:r>
      <w:proofErr w:type="spellEnd"/>
      <w:r w:rsidRPr="005C28A5">
        <w:rPr>
          <w:rFonts w:ascii="Times New Roman" w:hAnsi="Times New Roman" w:cs="Times New Roman"/>
        </w:rPr>
        <w:t xml:space="preserve">-Tourism” brand to differentiate the </w:t>
      </w:r>
      <w:r w:rsidR="0059667B" w:rsidRPr="005C28A5">
        <w:rPr>
          <w:rFonts w:ascii="Times New Roman" w:hAnsi="Times New Roman" w:cs="Times New Roman"/>
        </w:rPr>
        <w:t>dis</w:t>
      </w:r>
      <w:r w:rsidRPr="005C28A5">
        <w:rPr>
          <w:rFonts w:ascii="Times New Roman" w:hAnsi="Times New Roman" w:cs="Times New Roman"/>
        </w:rPr>
        <w:t>trict in national and regional markets.</w:t>
      </w:r>
    </w:p>
    <w:p w14:paraId="17C20E06" w14:textId="77777777" w:rsidR="003C017D" w:rsidRPr="005C28A5" w:rsidRDefault="003C017D" w:rsidP="003C017D">
      <w:pPr>
        <w:rPr>
          <w:rFonts w:ascii="Times New Roman" w:hAnsi="Times New Roman" w:cs="Times New Roman"/>
        </w:rPr>
      </w:pPr>
      <w:r w:rsidRPr="005C28A5">
        <w:rPr>
          <w:rFonts w:ascii="Times New Roman" w:hAnsi="Times New Roman" w:cs="Times New Roman"/>
        </w:rPr>
        <w:t>4. Research and Monitoring</w:t>
      </w:r>
    </w:p>
    <w:p w14:paraId="0AA0B8CD" w14:textId="77777777" w:rsidR="003C017D" w:rsidRPr="005C28A5" w:rsidRDefault="003C017D" w:rsidP="003C017D">
      <w:pPr>
        <w:numPr>
          <w:ilvl w:val="0"/>
          <w:numId w:val="12"/>
        </w:numPr>
        <w:rPr>
          <w:rFonts w:ascii="Times New Roman" w:hAnsi="Times New Roman" w:cs="Times New Roman"/>
        </w:rPr>
      </w:pPr>
      <w:r w:rsidRPr="005C28A5">
        <w:rPr>
          <w:rFonts w:ascii="Times New Roman" w:hAnsi="Times New Roman" w:cs="Times New Roman"/>
        </w:rPr>
        <w:t>Future studies should adopt longitudinal approaches to monitor the effectiveness of implemented strategies and assess evolving commodity dynamics.</w:t>
      </w:r>
    </w:p>
    <w:p w14:paraId="3393F671" w14:textId="1D158F7C" w:rsidR="003C017D" w:rsidRPr="005C28A5" w:rsidRDefault="003C017D" w:rsidP="003C017D">
      <w:pPr>
        <w:numPr>
          <w:ilvl w:val="0"/>
          <w:numId w:val="12"/>
        </w:numPr>
        <w:rPr>
          <w:rFonts w:ascii="Times New Roman" w:hAnsi="Times New Roman" w:cs="Times New Roman"/>
        </w:rPr>
      </w:pPr>
      <w:r w:rsidRPr="005C28A5">
        <w:rPr>
          <w:rFonts w:ascii="Times New Roman" w:hAnsi="Times New Roman" w:cs="Times New Roman"/>
        </w:rPr>
        <w:t>Encourage collaboration between universities, local governments, and international development partners to pilot innovation-based rural development models.</w:t>
      </w:r>
    </w:p>
    <w:p w14:paraId="4E62229E" w14:textId="77777777" w:rsidR="003C017D" w:rsidRDefault="003C017D" w:rsidP="003C017D">
      <w:pPr>
        <w:rPr>
          <w:rFonts w:ascii="Times New Roman" w:hAnsi="Times New Roman" w:cs="Times New Roman"/>
        </w:rPr>
      </w:pPr>
      <w:r w:rsidRPr="003C017D">
        <w:rPr>
          <w:rFonts w:ascii="Times New Roman" w:hAnsi="Times New Roman" w:cs="Times New Roman"/>
        </w:rPr>
        <w:t xml:space="preserve">The strategic transformation of </w:t>
      </w:r>
      <w:proofErr w:type="spellStart"/>
      <w:r w:rsidRPr="003C017D">
        <w:rPr>
          <w:rFonts w:ascii="Times New Roman" w:hAnsi="Times New Roman" w:cs="Times New Roman"/>
        </w:rPr>
        <w:t>Bebesen</w:t>
      </w:r>
      <w:proofErr w:type="spellEnd"/>
      <w:r w:rsidRPr="003C017D">
        <w:rPr>
          <w:rFonts w:ascii="Times New Roman" w:hAnsi="Times New Roman" w:cs="Times New Roman"/>
        </w:rPr>
        <w:t xml:space="preserve"> into a commodity-driven economic zone not only aligns with regional development mandates but also presents a scalable model for rural revitalization in other agrarian regions of Indonesia.</w:t>
      </w:r>
    </w:p>
    <w:p w14:paraId="0183C185" w14:textId="290A9F91" w:rsidR="003C017D" w:rsidRPr="003C017D" w:rsidRDefault="005C28A5" w:rsidP="003C017D">
      <w:pPr>
        <w:rPr>
          <w:rFonts w:ascii="Times New Roman" w:hAnsi="Times New Roman" w:cs="Times New Roman"/>
          <w:b/>
          <w:bCs/>
        </w:rPr>
      </w:pPr>
      <w:r w:rsidRPr="003C017D">
        <w:rPr>
          <w:rFonts w:ascii="Times New Roman" w:hAnsi="Times New Roman" w:cs="Times New Roman"/>
          <w:b/>
          <w:bCs/>
        </w:rPr>
        <w:t>REFERENCES</w:t>
      </w:r>
    </w:p>
    <w:p w14:paraId="18E76D89"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 xml:space="preserve">Anwar, M., &amp; </w:t>
      </w:r>
      <w:proofErr w:type="spellStart"/>
      <w:r w:rsidRPr="00764316">
        <w:rPr>
          <w:rFonts w:ascii="Times New Roman" w:hAnsi="Times New Roman" w:cs="Times New Roman"/>
        </w:rPr>
        <w:t>Rustiadi</w:t>
      </w:r>
      <w:proofErr w:type="spellEnd"/>
      <w:r w:rsidRPr="00764316">
        <w:rPr>
          <w:rFonts w:ascii="Times New Roman" w:hAnsi="Times New Roman" w:cs="Times New Roman"/>
        </w:rPr>
        <w:t>, E. (2000). Local Economy-Based Regional Development. IPB Press.</w:t>
      </w:r>
    </w:p>
    <w:p w14:paraId="0161EB54"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Bappeda Aceh Tengah. (2023). Regional Medium-Term Development Plan (RPJMD) of Central Aceh Regency 2023–2027. Central Aceh Regional Government.</w:t>
      </w:r>
    </w:p>
    <w:p w14:paraId="248D9EBA"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lastRenderedPageBreak/>
        <w:t>Bendavid-Val, A. (1991). Regional and local economic analysis for practitioners. Praeger Publishers.</w:t>
      </w:r>
    </w:p>
    <w:p w14:paraId="680F1BA9"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BPS Aceh Tengah. (2023). Central Aceh in Figures 2023. Central Aceh Regency Statistics Agency. https://acehtengahkab.bps.go.id</w:t>
      </w:r>
    </w:p>
    <w:p w14:paraId="26A522C9"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Creswell, J. W., &amp; Plano Clark, V. L. (2018). Designing and Conducting Mixed Methods Research (3rd ed.). SAGE Publications.</w:t>
      </w:r>
    </w:p>
    <w:p w14:paraId="283448E5"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Denzin, N. K., &amp; Lincoln, Y. S. (2011). The SAGE Handbook of Qualitative Research (4th ed.). SAGE Publications.</w:t>
      </w:r>
    </w:p>
    <w:p w14:paraId="78DD44CA"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Fitriani, E., Susanti, D., &amp; Rahayu, L. (2022). Agricultural value chains and rural transformation in Southeast Asia. Asian Journal of Rural Development, 12(2), 99–114. https://doi.org/10.1007/s12345-022-0009</w:t>
      </w:r>
    </w:p>
    <w:p w14:paraId="5BA50426"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Hoyt, H. (1954). Economic base and regional development. Harvard University Press.</w:t>
      </w:r>
    </w:p>
    <w:p w14:paraId="649D0EED"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Klassen, W. (1967). Typology and analysis of regional economic growth. Regional Science Review, 4(1), 20–32.</w:t>
      </w:r>
    </w:p>
    <w:p w14:paraId="7852943A"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Koentjaraningrat</w:t>
      </w:r>
      <w:proofErr w:type="spellEnd"/>
      <w:r w:rsidRPr="00764316">
        <w:rPr>
          <w:rFonts w:ascii="Times New Roman" w:hAnsi="Times New Roman" w:cs="Times New Roman"/>
        </w:rPr>
        <w:t>, (1987). Community research methods. Gramedia.</w:t>
      </w:r>
    </w:p>
    <w:p w14:paraId="130D781F"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Mailendra</w:t>
      </w:r>
      <w:proofErr w:type="spellEnd"/>
      <w:r w:rsidRPr="00764316">
        <w:rPr>
          <w:rFonts w:ascii="Times New Roman" w:hAnsi="Times New Roman" w:cs="Times New Roman"/>
        </w:rPr>
        <w:t>, S., Prabowo, D., &amp; Widodo, T. (2018). Leading sectors and LQ analysis for rural planning in Indonesia. Journal of Economics and Development, 18(1), 56–65. https://doi.org/10.22219/jep.v18i1.4921</w:t>
      </w:r>
    </w:p>
    <w:p w14:paraId="06C60B44"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Nurlina</w:t>
      </w:r>
      <w:proofErr w:type="spellEnd"/>
      <w:r w:rsidRPr="00764316">
        <w:rPr>
          <w:rFonts w:ascii="Times New Roman" w:hAnsi="Times New Roman" w:cs="Times New Roman"/>
        </w:rPr>
        <w:t>, A., Yuliani, S., &amp; Fitri, R. (2023). Unlocking the horticultural value chain in highland regions. Indonesian Journal of Agricultural Economics, 11(2), 45–60. https://doi.org/10.24843/ijae.2023.v11.i2</w:t>
      </w:r>
    </w:p>
    <w:p w14:paraId="76AAE68C"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Porter, M. E. (1990). The competitive advantage of nations. Free Press.</w:t>
      </w:r>
    </w:p>
    <w:p w14:paraId="155B8791"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Rangkuti</w:t>
      </w:r>
      <w:proofErr w:type="spellEnd"/>
      <w:r w:rsidRPr="00764316">
        <w:rPr>
          <w:rFonts w:ascii="Times New Roman" w:hAnsi="Times New Roman" w:cs="Times New Roman"/>
        </w:rPr>
        <w:t>, F. (2015). SWOT analysis: techniques for dissecting business cases. Gramedia Pustaka Utama.</w:t>
      </w:r>
    </w:p>
    <w:p w14:paraId="736C7F25"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Rizani, R. (2020). Revitalizing Gayo Arabica coffee in the face of climate and market challenges. Indonesian Agribusiness Journal, 8(2), 74–89. https://doi.org/10.1234/jai.v8i2.567</w:t>
      </w:r>
    </w:p>
    <w:p w14:paraId="2456947F"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t>Rodríguez-Pose, A. (2013). Do institutions matter for regional development? Regional Studies, 47(7), 1034–1047. https://doi.org/10.1080/00343404.2012.748978</w:t>
      </w:r>
    </w:p>
    <w:p w14:paraId="288B8EE6"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Sjafrizal</w:t>
      </w:r>
      <w:proofErr w:type="spellEnd"/>
      <w:r w:rsidRPr="00764316">
        <w:rPr>
          <w:rFonts w:ascii="Times New Roman" w:hAnsi="Times New Roman" w:cs="Times New Roman"/>
        </w:rPr>
        <w:t xml:space="preserve">. (2008). Regional economics: Theory and application. </w:t>
      </w:r>
      <w:proofErr w:type="spellStart"/>
      <w:r w:rsidRPr="00764316">
        <w:rPr>
          <w:rFonts w:ascii="Times New Roman" w:hAnsi="Times New Roman" w:cs="Times New Roman"/>
        </w:rPr>
        <w:t>Baduose</w:t>
      </w:r>
      <w:proofErr w:type="spellEnd"/>
      <w:r w:rsidRPr="00764316">
        <w:rPr>
          <w:rFonts w:ascii="Times New Roman" w:hAnsi="Times New Roman" w:cs="Times New Roman"/>
        </w:rPr>
        <w:t xml:space="preserve"> Media.</w:t>
      </w:r>
    </w:p>
    <w:p w14:paraId="0CF5E154"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Sjafrizal</w:t>
      </w:r>
      <w:proofErr w:type="spellEnd"/>
      <w:r w:rsidRPr="00764316">
        <w:rPr>
          <w:rFonts w:ascii="Times New Roman" w:hAnsi="Times New Roman" w:cs="Times New Roman"/>
        </w:rPr>
        <w:t xml:space="preserve">. (2012). Regional development planning in the era of autonomy. PT </w:t>
      </w:r>
      <w:proofErr w:type="spellStart"/>
      <w:r w:rsidRPr="00764316">
        <w:rPr>
          <w:rFonts w:ascii="Times New Roman" w:hAnsi="Times New Roman" w:cs="Times New Roman"/>
        </w:rPr>
        <w:t>RajaGrafindo</w:t>
      </w:r>
      <w:proofErr w:type="spellEnd"/>
      <w:r w:rsidRPr="00764316">
        <w:rPr>
          <w:rFonts w:ascii="Times New Roman" w:hAnsi="Times New Roman" w:cs="Times New Roman"/>
        </w:rPr>
        <w:t xml:space="preserve"> </w:t>
      </w:r>
      <w:proofErr w:type="spellStart"/>
      <w:r w:rsidRPr="00764316">
        <w:rPr>
          <w:rFonts w:ascii="Times New Roman" w:hAnsi="Times New Roman" w:cs="Times New Roman"/>
        </w:rPr>
        <w:t>Persada</w:t>
      </w:r>
      <w:proofErr w:type="spellEnd"/>
      <w:r w:rsidRPr="00764316">
        <w:rPr>
          <w:rFonts w:ascii="Times New Roman" w:hAnsi="Times New Roman" w:cs="Times New Roman"/>
        </w:rPr>
        <w:t>.</w:t>
      </w:r>
    </w:p>
    <w:p w14:paraId="4FD209D7"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Tacoli</w:t>
      </w:r>
      <w:proofErr w:type="spellEnd"/>
      <w:r w:rsidRPr="00764316">
        <w:rPr>
          <w:rFonts w:ascii="Times New Roman" w:hAnsi="Times New Roman" w:cs="Times New Roman"/>
        </w:rPr>
        <w:t>, C. (2006). The Earthscan reader in rural-urban linkages. Earthscan.</w:t>
      </w:r>
    </w:p>
    <w:p w14:paraId="47D04B08"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Tarigan</w:t>
      </w:r>
      <w:proofErr w:type="spellEnd"/>
      <w:r w:rsidRPr="00764316">
        <w:rPr>
          <w:rFonts w:ascii="Times New Roman" w:hAnsi="Times New Roman" w:cs="Times New Roman"/>
        </w:rPr>
        <w:t>, R. (2005). Regional development planning. Bumi Aksara.</w:t>
      </w:r>
    </w:p>
    <w:p w14:paraId="1CDB4827" w14:textId="77777777" w:rsidR="00764316" w:rsidRPr="00764316" w:rsidRDefault="00764316" w:rsidP="00764316">
      <w:pPr>
        <w:rPr>
          <w:rFonts w:ascii="Times New Roman" w:hAnsi="Times New Roman" w:cs="Times New Roman"/>
        </w:rPr>
      </w:pPr>
      <w:r w:rsidRPr="00764316">
        <w:rPr>
          <w:rFonts w:ascii="Times New Roman" w:hAnsi="Times New Roman" w:cs="Times New Roman"/>
        </w:rPr>
        <w:lastRenderedPageBreak/>
        <w:t>Wahyuni, D., Ibrahim, M., &amp; Sari, P. (2024). Legal protection and branding strategies for Gayo Arabica coffee. Journal of Law and Economics, 6(1), 15–28. https://doi.org/10.2345/jhe.v6i1.321</w:t>
      </w:r>
    </w:p>
    <w:p w14:paraId="236BB645" w14:textId="77777777" w:rsidR="00764316" w:rsidRPr="00764316" w:rsidRDefault="00764316" w:rsidP="00764316">
      <w:pPr>
        <w:rPr>
          <w:rFonts w:ascii="Times New Roman" w:hAnsi="Times New Roman" w:cs="Times New Roman"/>
        </w:rPr>
      </w:pPr>
      <w:proofErr w:type="spellStart"/>
      <w:r w:rsidRPr="00764316">
        <w:rPr>
          <w:rFonts w:ascii="Times New Roman" w:hAnsi="Times New Roman" w:cs="Times New Roman"/>
        </w:rPr>
        <w:t>Zaputra</w:t>
      </w:r>
      <w:proofErr w:type="spellEnd"/>
      <w:r w:rsidRPr="00764316">
        <w:rPr>
          <w:rFonts w:ascii="Times New Roman" w:hAnsi="Times New Roman" w:cs="Times New Roman"/>
        </w:rPr>
        <w:t>, F., &amp; Romano, F. (2013). Land suitability and economic potential of coffee production in the Gayo Highlands. Agroforestry Journal, 10(1), 31–40. https://doi.org/10.1234/afj.v10i1.1203</w:t>
      </w:r>
    </w:p>
    <w:p w14:paraId="27ACEC1E" w14:textId="763C2E15" w:rsidR="00A22AB3" w:rsidRDefault="00764316" w:rsidP="00764316">
      <w:pPr>
        <w:rPr>
          <w:rFonts w:ascii="Times New Roman" w:hAnsi="Times New Roman" w:cs="Times New Roman"/>
        </w:rPr>
      </w:pPr>
      <w:r w:rsidRPr="00764316">
        <w:rPr>
          <w:rFonts w:ascii="Times New Roman" w:hAnsi="Times New Roman" w:cs="Times New Roman"/>
        </w:rPr>
        <w:t>World Bank. (2021). Enabling the business of agriculture 2021. https://www.worldbank.org/en/topic/agriculture</w:t>
      </w:r>
    </w:p>
    <w:p w14:paraId="64AD74B0" w14:textId="77777777" w:rsidR="00A22AB3" w:rsidRDefault="00A22AB3">
      <w:pPr>
        <w:rPr>
          <w:rFonts w:ascii="Times New Roman" w:hAnsi="Times New Roman" w:cs="Times New Roman"/>
        </w:rPr>
      </w:pPr>
    </w:p>
    <w:p w14:paraId="767FD5BD" w14:textId="77777777" w:rsidR="00A22AB3" w:rsidRDefault="00A22AB3">
      <w:pPr>
        <w:rPr>
          <w:rFonts w:ascii="Times New Roman" w:hAnsi="Times New Roman" w:cs="Times New Roman"/>
        </w:rPr>
      </w:pPr>
    </w:p>
    <w:p w14:paraId="71AE2F03" w14:textId="77777777" w:rsidR="00A22AB3" w:rsidRDefault="00A22AB3">
      <w:pPr>
        <w:rPr>
          <w:rFonts w:ascii="Times New Roman" w:hAnsi="Times New Roman" w:cs="Times New Roman"/>
        </w:rPr>
      </w:pPr>
    </w:p>
    <w:p w14:paraId="56B13D61" w14:textId="77777777" w:rsidR="00A22AB3" w:rsidRDefault="00A22AB3">
      <w:pPr>
        <w:rPr>
          <w:rFonts w:ascii="Times New Roman" w:hAnsi="Times New Roman" w:cs="Times New Roman"/>
        </w:rPr>
      </w:pPr>
    </w:p>
    <w:p w14:paraId="729ED02B" w14:textId="77777777" w:rsidR="00A22AB3" w:rsidRDefault="00A22AB3">
      <w:pPr>
        <w:rPr>
          <w:rFonts w:ascii="Times New Roman" w:hAnsi="Times New Roman" w:cs="Times New Roman"/>
        </w:rPr>
      </w:pPr>
    </w:p>
    <w:p w14:paraId="4063C2EC" w14:textId="77777777" w:rsidR="00A22AB3" w:rsidRDefault="00A22AB3">
      <w:pPr>
        <w:rPr>
          <w:rFonts w:ascii="Times New Roman" w:hAnsi="Times New Roman" w:cs="Times New Roman"/>
        </w:rPr>
      </w:pPr>
    </w:p>
    <w:p w14:paraId="7D8BAD8A" w14:textId="77777777" w:rsidR="00A22AB3" w:rsidRPr="00A22AB3" w:rsidRDefault="00A22AB3">
      <w:pPr>
        <w:rPr>
          <w:rFonts w:ascii="Times New Roman" w:hAnsi="Times New Roman" w:cs="Times New Roman"/>
        </w:rPr>
      </w:pPr>
    </w:p>
    <w:sectPr w:rsidR="00A22AB3" w:rsidRPr="00A22AB3" w:rsidSect="00A22AB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8119F" w14:textId="77777777" w:rsidR="00630623" w:rsidRDefault="00630623" w:rsidP="00433DAD">
      <w:pPr>
        <w:spacing w:after="0" w:line="240" w:lineRule="auto"/>
      </w:pPr>
      <w:r>
        <w:separator/>
      </w:r>
    </w:p>
  </w:endnote>
  <w:endnote w:type="continuationSeparator" w:id="0">
    <w:p w14:paraId="36E850B1" w14:textId="77777777" w:rsidR="00630623" w:rsidRDefault="00630623" w:rsidP="0043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0155" w14:textId="77777777" w:rsidR="00433DAD" w:rsidRDefault="0043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5368" w14:textId="77777777" w:rsidR="00433DAD" w:rsidRDefault="0043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C50E" w14:textId="77777777" w:rsidR="00433DAD" w:rsidRDefault="0043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005C" w14:textId="77777777" w:rsidR="00630623" w:rsidRDefault="00630623" w:rsidP="00433DAD">
      <w:pPr>
        <w:spacing w:after="0" w:line="240" w:lineRule="auto"/>
      </w:pPr>
      <w:r>
        <w:separator/>
      </w:r>
    </w:p>
  </w:footnote>
  <w:footnote w:type="continuationSeparator" w:id="0">
    <w:p w14:paraId="6BC9DBF3" w14:textId="77777777" w:rsidR="00630623" w:rsidRDefault="00630623" w:rsidP="0043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40AC" w14:textId="3B51CB38" w:rsidR="00433DAD" w:rsidRDefault="00433DAD">
    <w:pPr>
      <w:pStyle w:val="Header"/>
    </w:pPr>
    <w:r>
      <w:rPr>
        <w:noProof/>
      </w:rPr>
      <w:pict w14:anchorId="5B17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D8B7" w14:textId="63BFE0F7" w:rsidR="00433DAD" w:rsidRDefault="00433DAD">
    <w:pPr>
      <w:pStyle w:val="Header"/>
    </w:pPr>
    <w:r>
      <w:rPr>
        <w:noProof/>
      </w:rPr>
      <w:pict w14:anchorId="47961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A1D4" w14:textId="776087C8" w:rsidR="00433DAD" w:rsidRDefault="00433DAD">
    <w:pPr>
      <w:pStyle w:val="Header"/>
    </w:pPr>
    <w:r>
      <w:rPr>
        <w:noProof/>
      </w:rPr>
      <w:pict w14:anchorId="50AC2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26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3D2"/>
    <w:multiLevelType w:val="multilevel"/>
    <w:tmpl w:val="73D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6E4"/>
    <w:multiLevelType w:val="multilevel"/>
    <w:tmpl w:val="CD7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544B"/>
    <w:multiLevelType w:val="multilevel"/>
    <w:tmpl w:val="08E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25568"/>
    <w:multiLevelType w:val="multilevel"/>
    <w:tmpl w:val="8CE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47129"/>
    <w:multiLevelType w:val="multilevel"/>
    <w:tmpl w:val="FC6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7376D"/>
    <w:multiLevelType w:val="multilevel"/>
    <w:tmpl w:val="018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66266"/>
    <w:multiLevelType w:val="multilevel"/>
    <w:tmpl w:val="79D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E4A81"/>
    <w:multiLevelType w:val="multilevel"/>
    <w:tmpl w:val="E2C8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D47D8"/>
    <w:multiLevelType w:val="multilevel"/>
    <w:tmpl w:val="CA942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07C85"/>
    <w:multiLevelType w:val="multilevel"/>
    <w:tmpl w:val="BB1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812BB"/>
    <w:multiLevelType w:val="multilevel"/>
    <w:tmpl w:val="ADBE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E2BC0"/>
    <w:multiLevelType w:val="multilevel"/>
    <w:tmpl w:val="42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F4BF2"/>
    <w:multiLevelType w:val="multilevel"/>
    <w:tmpl w:val="A3E8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17DBD"/>
    <w:multiLevelType w:val="multilevel"/>
    <w:tmpl w:val="3AE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D766F"/>
    <w:multiLevelType w:val="multilevel"/>
    <w:tmpl w:val="A158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7"/>
  </w:num>
  <w:num w:numId="4">
    <w:abstractNumId w:val="2"/>
  </w:num>
  <w:num w:numId="5">
    <w:abstractNumId w:val="13"/>
  </w:num>
  <w:num w:numId="6">
    <w:abstractNumId w:val="12"/>
  </w:num>
  <w:num w:numId="7">
    <w:abstractNumId w:val="5"/>
  </w:num>
  <w:num w:numId="8">
    <w:abstractNumId w:val="14"/>
  </w:num>
  <w:num w:numId="9">
    <w:abstractNumId w:val="6"/>
  </w:num>
  <w:num w:numId="10">
    <w:abstractNumId w:val="11"/>
  </w:num>
  <w:num w:numId="11">
    <w:abstractNumId w:val="9"/>
  </w:num>
  <w:num w:numId="12">
    <w:abstractNumId w:val="4"/>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B3"/>
    <w:rsid w:val="00013C0F"/>
    <w:rsid w:val="002B3C29"/>
    <w:rsid w:val="00325413"/>
    <w:rsid w:val="003C017D"/>
    <w:rsid w:val="003C5BE2"/>
    <w:rsid w:val="003F7A84"/>
    <w:rsid w:val="00425F0D"/>
    <w:rsid w:val="00425FFA"/>
    <w:rsid w:val="00433DAD"/>
    <w:rsid w:val="0059667B"/>
    <w:rsid w:val="005C28A5"/>
    <w:rsid w:val="005D2D56"/>
    <w:rsid w:val="00630623"/>
    <w:rsid w:val="00764316"/>
    <w:rsid w:val="007663BF"/>
    <w:rsid w:val="00770967"/>
    <w:rsid w:val="00886989"/>
    <w:rsid w:val="008C013E"/>
    <w:rsid w:val="009A77E1"/>
    <w:rsid w:val="00A22AB3"/>
    <w:rsid w:val="00A55D98"/>
    <w:rsid w:val="00B04030"/>
    <w:rsid w:val="00B73D59"/>
    <w:rsid w:val="00BE5F50"/>
    <w:rsid w:val="00C96495"/>
    <w:rsid w:val="00CC1B66"/>
    <w:rsid w:val="00D300CD"/>
    <w:rsid w:val="00D35246"/>
    <w:rsid w:val="00E11EAC"/>
    <w:rsid w:val="00E7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C5D98"/>
  <w15:chartTrackingRefBased/>
  <w15:docId w15:val="{D5542E90-AFBF-46AF-AE47-DDD40C3A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AB3"/>
    <w:rPr>
      <w:rFonts w:eastAsiaTheme="majorEastAsia" w:cstheme="majorBidi"/>
      <w:color w:val="272727" w:themeColor="text1" w:themeTint="D8"/>
    </w:rPr>
  </w:style>
  <w:style w:type="paragraph" w:styleId="Title">
    <w:name w:val="Title"/>
    <w:basedOn w:val="Normal"/>
    <w:next w:val="Normal"/>
    <w:link w:val="TitleChar"/>
    <w:uiPriority w:val="10"/>
    <w:qFormat/>
    <w:rsid w:val="00A2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AB3"/>
    <w:pPr>
      <w:spacing w:before="160"/>
      <w:jc w:val="center"/>
    </w:pPr>
    <w:rPr>
      <w:i/>
      <w:iCs/>
      <w:color w:val="404040" w:themeColor="text1" w:themeTint="BF"/>
    </w:rPr>
  </w:style>
  <w:style w:type="character" w:customStyle="1" w:styleId="QuoteChar">
    <w:name w:val="Quote Char"/>
    <w:basedOn w:val="DefaultParagraphFont"/>
    <w:link w:val="Quote"/>
    <w:uiPriority w:val="29"/>
    <w:rsid w:val="00A22AB3"/>
    <w:rPr>
      <w:i/>
      <w:iCs/>
      <w:color w:val="404040" w:themeColor="text1" w:themeTint="BF"/>
    </w:rPr>
  </w:style>
  <w:style w:type="paragraph" w:styleId="ListParagraph">
    <w:name w:val="List Paragraph"/>
    <w:basedOn w:val="Normal"/>
    <w:uiPriority w:val="34"/>
    <w:qFormat/>
    <w:rsid w:val="00A22AB3"/>
    <w:pPr>
      <w:ind w:left="720"/>
      <w:contextualSpacing/>
    </w:pPr>
  </w:style>
  <w:style w:type="character" w:styleId="IntenseEmphasis">
    <w:name w:val="Intense Emphasis"/>
    <w:basedOn w:val="DefaultParagraphFont"/>
    <w:uiPriority w:val="21"/>
    <w:qFormat/>
    <w:rsid w:val="00A22AB3"/>
    <w:rPr>
      <w:i/>
      <w:iCs/>
      <w:color w:val="0F4761" w:themeColor="accent1" w:themeShade="BF"/>
    </w:rPr>
  </w:style>
  <w:style w:type="paragraph" w:styleId="IntenseQuote">
    <w:name w:val="Intense Quote"/>
    <w:basedOn w:val="Normal"/>
    <w:next w:val="Normal"/>
    <w:link w:val="IntenseQuoteChar"/>
    <w:uiPriority w:val="30"/>
    <w:qFormat/>
    <w:rsid w:val="00A2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AB3"/>
    <w:rPr>
      <w:i/>
      <w:iCs/>
      <w:color w:val="0F4761" w:themeColor="accent1" w:themeShade="BF"/>
    </w:rPr>
  </w:style>
  <w:style w:type="character" w:styleId="IntenseReference">
    <w:name w:val="Intense Reference"/>
    <w:basedOn w:val="DefaultParagraphFont"/>
    <w:uiPriority w:val="32"/>
    <w:qFormat/>
    <w:rsid w:val="00A22AB3"/>
    <w:rPr>
      <w:b/>
      <w:bCs/>
      <w:smallCaps/>
      <w:color w:val="0F4761" w:themeColor="accent1" w:themeShade="BF"/>
      <w:spacing w:val="5"/>
    </w:rPr>
  </w:style>
  <w:style w:type="character" w:styleId="Hyperlink">
    <w:name w:val="Hyperlink"/>
    <w:basedOn w:val="DefaultParagraphFont"/>
    <w:uiPriority w:val="99"/>
    <w:unhideWhenUsed/>
    <w:rsid w:val="003C017D"/>
    <w:rPr>
      <w:color w:val="467886" w:themeColor="hyperlink"/>
      <w:u w:val="single"/>
    </w:rPr>
  </w:style>
  <w:style w:type="character" w:styleId="UnresolvedMention">
    <w:name w:val="Unresolved Mention"/>
    <w:basedOn w:val="DefaultParagraphFont"/>
    <w:uiPriority w:val="99"/>
    <w:semiHidden/>
    <w:unhideWhenUsed/>
    <w:rsid w:val="003C017D"/>
    <w:rPr>
      <w:color w:val="605E5C"/>
      <w:shd w:val="clear" w:color="auto" w:fill="E1DFDD"/>
    </w:rPr>
  </w:style>
  <w:style w:type="table" w:styleId="TableGrid">
    <w:name w:val="Table Grid"/>
    <w:basedOn w:val="TableNormal"/>
    <w:uiPriority w:val="39"/>
    <w:rsid w:val="00E7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DAD"/>
  </w:style>
  <w:style w:type="paragraph" w:styleId="Footer">
    <w:name w:val="footer"/>
    <w:basedOn w:val="Normal"/>
    <w:link w:val="FooterChar"/>
    <w:uiPriority w:val="99"/>
    <w:unhideWhenUsed/>
    <w:rsid w:val="0043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559</TotalTime>
  <Pages>14</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1180</cp:lastModifiedBy>
  <cp:revision>31</cp:revision>
  <dcterms:created xsi:type="dcterms:W3CDTF">2025-09-23T07:12:00Z</dcterms:created>
  <dcterms:modified xsi:type="dcterms:W3CDTF">2025-09-24T11:48:00Z</dcterms:modified>
</cp:coreProperties>
</file>