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D0909" w14:textId="77777777" w:rsidR="00A11211" w:rsidRPr="00904805" w:rsidRDefault="00A11211" w:rsidP="00A11211">
      <w:pPr>
        <w:spacing w:line="360" w:lineRule="auto"/>
        <w:jc w:val="center"/>
        <w:rPr>
          <w:rFonts w:ascii="Times New Roman" w:hAnsi="Times New Roman" w:cs="Times New Roman"/>
          <w:b/>
          <w:bCs/>
          <w:sz w:val="28"/>
          <w:szCs w:val="28"/>
        </w:rPr>
      </w:pPr>
      <w:bookmarkStart w:id="0" w:name="_GoBack"/>
      <w:bookmarkEnd w:id="0"/>
      <w:r w:rsidRPr="00904805">
        <w:rPr>
          <w:rFonts w:ascii="Times New Roman" w:hAnsi="Times New Roman" w:cs="Times New Roman"/>
          <w:b/>
          <w:bCs/>
          <w:sz w:val="28"/>
          <w:szCs w:val="28"/>
        </w:rPr>
        <w:t>Remittances and Growth Nexus in India: A VECM Approach</w:t>
      </w:r>
    </w:p>
    <w:p w14:paraId="6AA05890" w14:textId="77777777" w:rsidR="00A11211" w:rsidRPr="0041441E" w:rsidRDefault="00A11211" w:rsidP="00A11211">
      <w:pPr>
        <w:spacing w:line="360" w:lineRule="auto"/>
        <w:rPr>
          <w:rFonts w:ascii="Times New Roman" w:hAnsi="Times New Roman" w:cs="Times New Roman"/>
          <w:b/>
          <w:bCs/>
          <w:sz w:val="28"/>
          <w:szCs w:val="28"/>
        </w:rPr>
      </w:pPr>
    </w:p>
    <w:p w14:paraId="448181F4" w14:textId="77777777" w:rsidR="00A11211" w:rsidRPr="00A11211" w:rsidRDefault="00A11211" w:rsidP="00A11211">
      <w:pPr>
        <w:spacing w:line="360" w:lineRule="auto"/>
        <w:rPr>
          <w:rFonts w:ascii="Times New Roman" w:hAnsi="Times New Roman" w:cs="Times New Roman"/>
          <w:sz w:val="28"/>
          <w:szCs w:val="28"/>
        </w:rPr>
      </w:pPr>
    </w:p>
    <w:p w14:paraId="4EC1EFC1" w14:textId="77777777" w:rsidR="00A80680" w:rsidRDefault="00A80680" w:rsidP="00A11211"/>
    <w:p w14:paraId="65650E6E" w14:textId="77777777" w:rsidR="00A11211" w:rsidRDefault="00A11211" w:rsidP="00A11211"/>
    <w:p w14:paraId="7D275AB7" w14:textId="77777777" w:rsidR="00A11211" w:rsidRDefault="00A11211" w:rsidP="00A11211"/>
    <w:p w14:paraId="6CE8D757" w14:textId="77777777" w:rsidR="00A11211" w:rsidRDefault="00A11211" w:rsidP="00A11211"/>
    <w:p w14:paraId="2215DB4C" w14:textId="77777777" w:rsidR="00A11211" w:rsidRDefault="00A11211" w:rsidP="00A11211"/>
    <w:p w14:paraId="54B2E1E4" w14:textId="77777777" w:rsidR="00A11211" w:rsidRDefault="00A11211" w:rsidP="00A11211"/>
    <w:p w14:paraId="670EDB85" w14:textId="77777777" w:rsidR="00A11211" w:rsidRDefault="00A11211" w:rsidP="00A11211"/>
    <w:p w14:paraId="20AD2A06" w14:textId="77777777" w:rsidR="00A11211" w:rsidRDefault="00A11211" w:rsidP="00A11211"/>
    <w:p w14:paraId="4EA41593" w14:textId="77777777" w:rsidR="00A11211" w:rsidRDefault="00A11211" w:rsidP="00A11211"/>
    <w:p w14:paraId="66E694B7" w14:textId="77777777" w:rsidR="00C703A0" w:rsidRDefault="00C703A0" w:rsidP="00A11211"/>
    <w:p w14:paraId="68FED455" w14:textId="77777777" w:rsidR="00C703A0" w:rsidRDefault="00C703A0" w:rsidP="00A11211"/>
    <w:p w14:paraId="03131FAF" w14:textId="77777777" w:rsidR="00C703A0" w:rsidRDefault="00C703A0" w:rsidP="00A11211"/>
    <w:p w14:paraId="6AD0D72B" w14:textId="77777777" w:rsidR="00C703A0" w:rsidRDefault="00C703A0" w:rsidP="00A11211"/>
    <w:p w14:paraId="153D5305" w14:textId="77777777" w:rsidR="00106B8E" w:rsidRDefault="00106B8E" w:rsidP="00A11211"/>
    <w:p w14:paraId="3399BDE2" w14:textId="77777777" w:rsidR="00A11211" w:rsidRDefault="00A11211" w:rsidP="00A11211"/>
    <w:p w14:paraId="4E2BEE96" w14:textId="77777777" w:rsidR="00A11211" w:rsidRDefault="00A11211" w:rsidP="00A11211">
      <w:pPr>
        <w:spacing w:line="360" w:lineRule="auto"/>
        <w:jc w:val="both"/>
        <w:rPr>
          <w:rFonts w:ascii="Times New Roman" w:hAnsi="Times New Roman" w:cs="Times New Roman"/>
          <w:b/>
          <w:bCs/>
          <w:i/>
          <w:iCs/>
          <w:sz w:val="24"/>
          <w:szCs w:val="24"/>
        </w:rPr>
      </w:pPr>
    </w:p>
    <w:p w14:paraId="066CDD71" w14:textId="77777777" w:rsidR="00A11211" w:rsidRPr="00D176A1" w:rsidRDefault="00A11211" w:rsidP="00A11211">
      <w:pPr>
        <w:spacing w:line="360" w:lineRule="auto"/>
        <w:jc w:val="both"/>
        <w:rPr>
          <w:rFonts w:ascii="Times New Roman" w:hAnsi="Times New Roman" w:cs="Times New Roman"/>
          <w:b/>
          <w:bCs/>
          <w:sz w:val="24"/>
          <w:szCs w:val="24"/>
        </w:rPr>
      </w:pPr>
      <w:r w:rsidRPr="00D176A1">
        <w:rPr>
          <w:rFonts w:ascii="Times New Roman" w:hAnsi="Times New Roman" w:cs="Times New Roman"/>
          <w:b/>
          <w:bCs/>
          <w:i/>
          <w:iCs/>
          <w:sz w:val="24"/>
          <w:szCs w:val="24"/>
        </w:rPr>
        <w:t>Abstract</w:t>
      </w:r>
    </w:p>
    <w:p w14:paraId="1977EF93" w14:textId="77777777"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The present study attempts to analyze the impact of remittances on economic growth in India in the long run as well as in the short run for the period 1980 to 2021</w:t>
      </w:r>
      <w:r>
        <w:rPr>
          <w:rFonts w:ascii="Times New Roman" w:hAnsi="Times New Roman" w:cs="Times New Roman"/>
          <w:sz w:val="24"/>
          <w:szCs w:val="24"/>
        </w:rPr>
        <w:t xml:space="preserve"> using annual data from the </w:t>
      </w:r>
      <w:r w:rsidRPr="00D176A1">
        <w:rPr>
          <w:rFonts w:ascii="Times New Roman" w:hAnsi="Times New Roman" w:cs="Times New Roman"/>
          <w:sz w:val="24"/>
          <w:szCs w:val="24"/>
        </w:rPr>
        <w:t xml:space="preserve">World Development Indicators (World Bank). </w:t>
      </w:r>
      <w:r>
        <w:rPr>
          <w:rFonts w:ascii="Times New Roman" w:hAnsi="Times New Roman" w:cs="Times New Roman"/>
          <w:sz w:val="24"/>
          <w:szCs w:val="24"/>
        </w:rPr>
        <w:t xml:space="preserve">Using the Johansen co-integration test, the result shows that there is a </w:t>
      </w:r>
      <w:r w:rsidRPr="00D176A1">
        <w:rPr>
          <w:rFonts w:ascii="Times New Roman" w:hAnsi="Times New Roman" w:cs="Times New Roman"/>
          <w:sz w:val="24"/>
          <w:szCs w:val="24"/>
        </w:rPr>
        <w:t>significant positive long-run relationship between remittances and economic growth in India.</w:t>
      </w:r>
      <w:r>
        <w:rPr>
          <w:rFonts w:ascii="Times New Roman" w:hAnsi="Times New Roman" w:cs="Times New Roman"/>
          <w:sz w:val="24"/>
          <w:szCs w:val="24"/>
        </w:rPr>
        <w:t xml:space="preserve"> The </w:t>
      </w:r>
      <w:r w:rsidRPr="00D176A1">
        <w:rPr>
          <w:rFonts w:ascii="Times New Roman" w:hAnsi="Times New Roman" w:cs="Times New Roman"/>
          <w:sz w:val="24"/>
          <w:szCs w:val="24"/>
        </w:rPr>
        <w:t>Vector Error Correction Model (VECM)</w:t>
      </w:r>
      <w:r>
        <w:rPr>
          <w:rFonts w:ascii="Times New Roman" w:hAnsi="Times New Roman" w:cs="Times New Roman"/>
          <w:sz w:val="24"/>
          <w:szCs w:val="24"/>
        </w:rPr>
        <w:t xml:space="preserve"> and</w:t>
      </w:r>
      <w:r w:rsidRPr="00D176A1">
        <w:rPr>
          <w:rFonts w:ascii="Times New Roman" w:hAnsi="Times New Roman" w:cs="Times New Roman"/>
          <w:sz w:val="24"/>
          <w:szCs w:val="24"/>
        </w:rPr>
        <w:t xml:space="preserve"> Granger causality</w:t>
      </w:r>
      <w:r>
        <w:rPr>
          <w:rFonts w:ascii="Times New Roman" w:hAnsi="Times New Roman" w:cs="Times New Roman"/>
          <w:sz w:val="24"/>
          <w:szCs w:val="24"/>
        </w:rPr>
        <w:t xml:space="preserve"> analysis </w:t>
      </w:r>
      <w:r>
        <w:rPr>
          <w:rFonts w:ascii="Times New Roman" w:hAnsi="Times New Roman" w:cs="Times New Roman"/>
          <w:sz w:val="24"/>
          <w:szCs w:val="24"/>
        </w:rPr>
        <w:lastRenderedPageBreak/>
        <w:t>demonstrate that remittances and capital stock have a short run impact on economic growth, and from remittances to capital stock without feedback and from economic growth to capital stock. These findings indicates that remittances are a significant factor influencing India’s economic performance by promoting growth and capital accumulation.</w:t>
      </w:r>
    </w:p>
    <w:p w14:paraId="292EA4BC" w14:textId="77777777" w:rsidR="00A11211" w:rsidRPr="002C247C" w:rsidRDefault="00A11211" w:rsidP="00A11211">
      <w:pPr>
        <w:spacing w:line="360" w:lineRule="auto"/>
        <w:jc w:val="both"/>
        <w:rPr>
          <w:rFonts w:ascii="Times New Roman" w:hAnsi="Times New Roman" w:cs="Times New Roman"/>
          <w:bCs/>
          <w:i/>
          <w:iCs/>
          <w:sz w:val="24"/>
          <w:szCs w:val="24"/>
        </w:rPr>
      </w:pPr>
      <w:r w:rsidRPr="00D176A1">
        <w:rPr>
          <w:rFonts w:ascii="Times New Roman" w:hAnsi="Times New Roman" w:cs="Times New Roman"/>
          <w:b/>
          <w:sz w:val="24"/>
          <w:szCs w:val="24"/>
        </w:rPr>
        <w:t xml:space="preserve">Keywords: </w:t>
      </w:r>
      <w:r w:rsidRPr="002C247C">
        <w:rPr>
          <w:rFonts w:ascii="Times New Roman" w:hAnsi="Times New Roman" w:cs="Times New Roman"/>
          <w:bCs/>
          <w:i/>
          <w:iCs/>
          <w:sz w:val="24"/>
          <w:szCs w:val="24"/>
        </w:rPr>
        <w:t>Remittances, capital stock, VECM, Granger Causality, economic growth, India</w:t>
      </w:r>
    </w:p>
    <w:p w14:paraId="7D727AF6" w14:textId="77777777" w:rsidR="00A11211" w:rsidRPr="002C247C" w:rsidRDefault="00A11211" w:rsidP="00A11211">
      <w:pPr>
        <w:spacing w:line="360" w:lineRule="auto"/>
        <w:jc w:val="both"/>
        <w:rPr>
          <w:rFonts w:ascii="Times New Roman" w:hAnsi="Times New Roman" w:cs="Times New Roman"/>
          <w:bCs/>
          <w:sz w:val="24"/>
          <w:szCs w:val="24"/>
        </w:rPr>
      </w:pPr>
    </w:p>
    <w:p w14:paraId="2BE43830" w14:textId="77777777" w:rsidR="00A11211" w:rsidRPr="00D176A1" w:rsidRDefault="00A11211" w:rsidP="00A11211">
      <w:pPr>
        <w:spacing w:line="360" w:lineRule="auto"/>
        <w:jc w:val="both"/>
        <w:rPr>
          <w:rFonts w:ascii="Times New Roman" w:hAnsi="Times New Roman" w:cs="Times New Roman"/>
          <w:b/>
          <w:bCs/>
          <w:sz w:val="24"/>
          <w:szCs w:val="24"/>
        </w:rPr>
      </w:pPr>
    </w:p>
    <w:p w14:paraId="6D4C56FC" w14:textId="77777777" w:rsidR="00A11211" w:rsidRPr="00D176A1" w:rsidRDefault="00A11211" w:rsidP="00A11211">
      <w:pPr>
        <w:spacing w:line="360" w:lineRule="auto"/>
        <w:jc w:val="both"/>
        <w:rPr>
          <w:rFonts w:ascii="Times New Roman" w:hAnsi="Times New Roman" w:cs="Times New Roman"/>
          <w:b/>
          <w:bCs/>
          <w:sz w:val="24"/>
          <w:szCs w:val="24"/>
        </w:rPr>
      </w:pPr>
    </w:p>
    <w:p w14:paraId="24B201AD" w14:textId="77777777" w:rsidR="00A11211" w:rsidRPr="00D176A1" w:rsidRDefault="00A11211" w:rsidP="00A11211">
      <w:pPr>
        <w:spacing w:line="360" w:lineRule="auto"/>
        <w:jc w:val="both"/>
        <w:rPr>
          <w:rFonts w:ascii="Times New Roman" w:hAnsi="Times New Roman" w:cs="Times New Roman"/>
          <w:b/>
          <w:bCs/>
          <w:sz w:val="24"/>
          <w:szCs w:val="24"/>
        </w:rPr>
      </w:pPr>
    </w:p>
    <w:p w14:paraId="5BF714B3" w14:textId="77777777" w:rsidR="00A11211" w:rsidRPr="00D176A1" w:rsidRDefault="00A11211" w:rsidP="00A11211">
      <w:pPr>
        <w:spacing w:line="360" w:lineRule="auto"/>
        <w:jc w:val="both"/>
        <w:rPr>
          <w:rFonts w:ascii="Times New Roman" w:hAnsi="Times New Roman" w:cs="Times New Roman"/>
          <w:b/>
          <w:bCs/>
          <w:sz w:val="24"/>
          <w:szCs w:val="24"/>
        </w:rPr>
      </w:pPr>
    </w:p>
    <w:p w14:paraId="30E2027A" w14:textId="77777777" w:rsidR="00A11211" w:rsidRPr="00D176A1" w:rsidRDefault="00A11211" w:rsidP="00A11211">
      <w:pPr>
        <w:spacing w:line="360" w:lineRule="auto"/>
        <w:jc w:val="both"/>
        <w:rPr>
          <w:rFonts w:ascii="Times New Roman" w:hAnsi="Times New Roman" w:cs="Times New Roman"/>
          <w:b/>
          <w:bCs/>
          <w:sz w:val="24"/>
          <w:szCs w:val="24"/>
        </w:rPr>
      </w:pPr>
    </w:p>
    <w:p w14:paraId="6985C7ED" w14:textId="77777777" w:rsidR="00A11211" w:rsidRPr="00D176A1" w:rsidRDefault="00A11211" w:rsidP="00A11211">
      <w:pPr>
        <w:spacing w:line="360" w:lineRule="auto"/>
        <w:jc w:val="both"/>
        <w:rPr>
          <w:rFonts w:ascii="Times New Roman" w:hAnsi="Times New Roman" w:cs="Times New Roman"/>
          <w:b/>
          <w:bCs/>
          <w:sz w:val="24"/>
          <w:szCs w:val="24"/>
        </w:rPr>
      </w:pPr>
    </w:p>
    <w:p w14:paraId="4C53C57C" w14:textId="77777777" w:rsidR="00A11211" w:rsidRDefault="00A11211" w:rsidP="00A11211">
      <w:pPr>
        <w:spacing w:line="360" w:lineRule="auto"/>
        <w:jc w:val="both"/>
        <w:rPr>
          <w:rFonts w:ascii="Times New Roman" w:hAnsi="Times New Roman" w:cs="Times New Roman"/>
          <w:b/>
          <w:bCs/>
          <w:sz w:val="24"/>
          <w:szCs w:val="24"/>
        </w:rPr>
      </w:pPr>
    </w:p>
    <w:p w14:paraId="44CBFF96" w14:textId="77777777" w:rsidR="00A11211" w:rsidRDefault="00A11211" w:rsidP="00A11211">
      <w:pPr>
        <w:spacing w:line="360" w:lineRule="auto"/>
        <w:jc w:val="both"/>
        <w:rPr>
          <w:rFonts w:ascii="Times New Roman" w:hAnsi="Times New Roman" w:cs="Times New Roman"/>
          <w:b/>
          <w:bCs/>
          <w:sz w:val="24"/>
          <w:szCs w:val="24"/>
        </w:rPr>
      </w:pPr>
    </w:p>
    <w:p w14:paraId="6118F9A7" w14:textId="77777777" w:rsidR="00A11211" w:rsidRPr="00D176A1" w:rsidRDefault="00A11211" w:rsidP="00A11211">
      <w:pPr>
        <w:spacing w:line="360" w:lineRule="auto"/>
        <w:jc w:val="both"/>
        <w:rPr>
          <w:rFonts w:ascii="Times New Roman" w:hAnsi="Times New Roman" w:cs="Times New Roman"/>
          <w:b/>
          <w:bCs/>
          <w:sz w:val="24"/>
          <w:szCs w:val="24"/>
        </w:rPr>
      </w:pPr>
    </w:p>
    <w:p w14:paraId="162E658B" w14:textId="77777777" w:rsidR="00A11211" w:rsidRDefault="00A11211" w:rsidP="00A11211">
      <w:pPr>
        <w:spacing w:line="360" w:lineRule="auto"/>
        <w:jc w:val="both"/>
        <w:rPr>
          <w:rFonts w:ascii="Times New Roman" w:hAnsi="Times New Roman" w:cs="Times New Roman"/>
          <w:b/>
          <w:bCs/>
          <w:sz w:val="24"/>
          <w:szCs w:val="24"/>
        </w:rPr>
      </w:pPr>
    </w:p>
    <w:p w14:paraId="0CFA523A" w14:textId="30B14E1D" w:rsidR="00A11211" w:rsidRPr="005B25C1" w:rsidRDefault="005B25C1" w:rsidP="005B25C1">
      <w:pPr>
        <w:spacing w:line="360" w:lineRule="auto"/>
        <w:rPr>
          <w:rFonts w:ascii="Times New Roman" w:hAnsi="Times New Roman" w:cs="Times New Roman"/>
          <w:b/>
          <w:bCs/>
          <w:sz w:val="28"/>
          <w:szCs w:val="28"/>
        </w:rPr>
      </w:pPr>
      <w:r>
        <w:rPr>
          <w:rFonts w:ascii="Times New Roman" w:hAnsi="Times New Roman" w:cs="Times New Roman"/>
          <w:b/>
          <w:sz w:val="28"/>
          <w:szCs w:val="28"/>
        </w:rPr>
        <w:t>I.</w:t>
      </w:r>
      <w:r w:rsidRPr="005B25C1">
        <w:rPr>
          <w:rFonts w:ascii="Times New Roman" w:hAnsi="Times New Roman" w:cs="Times New Roman"/>
          <w:b/>
          <w:sz w:val="28"/>
          <w:szCs w:val="28"/>
        </w:rPr>
        <w:t xml:space="preserve"> Introduction</w:t>
      </w:r>
    </w:p>
    <w:p w14:paraId="7A312E8B" w14:textId="77777777" w:rsidR="00A11211" w:rsidRDefault="00A11211" w:rsidP="00117C1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Remittance is the significant source of external financing for developing nations (Ratha, 2003). According to the World Migration Report 2022, there are 281 million international migrants in 2020, which is 3.6 percent of the world’s population. According to the estimation of UN DESA 2021, about 35 to 40 million people relocate every five years. The number of international migrations is expected to reach 405 million by 2050, if the number of migrants keeps growing at the same rate as it has in the last two decades (United Nations, 2022). Migrants’ remittance is the vital component of the growth of developing countries. The most noticeable and immediate benefit </w:t>
      </w:r>
      <w:r>
        <w:rPr>
          <w:rFonts w:ascii="Times New Roman" w:hAnsi="Times New Roman" w:cs="Times New Roman"/>
          <w:sz w:val="24"/>
          <w:szCs w:val="24"/>
        </w:rPr>
        <w:lastRenderedPageBreak/>
        <w:t xml:space="preserve">of international migration is remittances, which migrants send back to their home countries. In general, remittance is the money that foreign worker transfers their earnings to home country. The Indian diaspora ranks second worldwide with an estimated 30 million people currently residing outside of their home nation. It recognizes how important the Indian diaspora is, which has helped India in several ways, including economically and globally. Remittances to India have been going up steadily, and this trend got stronger when economic reforms were put into the place in 1991 (World Bank, 2022). </w:t>
      </w:r>
    </w:p>
    <w:p w14:paraId="4BD38288" w14:textId="77777777" w:rsidR="00A11211" w:rsidRDefault="00A11211" w:rsidP="00117C1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Remittances transferred outside to developing countries are increasingly the principal source of money coming into many developing countries. In most nations where emigration is frequent, remittances have already exceeded export revenues. Remittances are the second biggest source of external finance for developing nations after foreign direct investment. They are worth approximately three times as much as the official development aid given to lower-income countries (United Nations, 2005).</w:t>
      </w:r>
    </w:p>
    <w:p w14:paraId="0C4374F3" w14:textId="77777777" w:rsidR="00A11211" w:rsidRDefault="00A11211" w:rsidP="00117C1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As figure 1 shows, remittances have always been higher than other types of foreign flows such as foreign direct investment (FDI) and official development assistance (ODA). The global financial crisis of 2007-08 affected foreign direct investment (FDI0, yest remittances increased substantially. In 2016, both remittances and foreign direct investment were on the decline, but they have substantially grown quickly. Remittances function more like to compensatory payments than to foreign investment flows (Chami et al., 2005). In contrast, Giuliano et al. (2006) contended that remittances enhance the economic growth in economically disadvantaged countries by providing credit that would have been inaccessible. However, they observed an adverse link between remittance flows and economic growth in nations with an adequately developed in financial sector.</w:t>
      </w:r>
    </w:p>
    <w:p w14:paraId="12EA4414" w14:textId="77777777" w:rsidR="00A11211" w:rsidRPr="00F41E7B" w:rsidRDefault="00A11211" w:rsidP="00A11211">
      <w:pPr>
        <w:spacing w:line="360" w:lineRule="auto"/>
        <w:jc w:val="both"/>
        <w:rPr>
          <w:rFonts w:ascii="Times New Roman" w:hAnsi="Times New Roman" w:cs="Times New Roman"/>
          <w:b/>
          <w:bCs/>
          <w:sz w:val="24"/>
          <w:szCs w:val="24"/>
        </w:rPr>
      </w:pPr>
      <w:r w:rsidRPr="00F41E7B">
        <w:rPr>
          <w:rFonts w:ascii="Times New Roman" w:hAnsi="Times New Roman" w:cs="Times New Roman"/>
          <w:b/>
          <w:bCs/>
          <w:iCs/>
          <w:sz w:val="24"/>
          <w:szCs w:val="24"/>
        </w:rPr>
        <w:lastRenderedPageBreak/>
        <w:t>Figure 1: Remittances via-vis other foreign inflows to India 1980 to 2020 (in current $US).</w:t>
      </w:r>
      <w:r w:rsidRPr="00F41E7B">
        <w:rPr>
          <w:rFonts w:ascii="Times New Roman" w:hAnsi="Times New Roman" w:cs="Times New Roman"/>
          <w:b/>
          <w:bCs/>
          <w:noProof/>
          <w:sz w:val="24"/>
          <w:szCs w:val="24"/>
        </w:rPr>
        <w:drawing>
          <wp:inline distT="0" distB="0" distL="0" distR="0" wp14:anchorId="1C4ED218" wp14:editId="16DE9287">
            <wp:extent cx="6102350" cy="36195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4276C7" w14:textId="77777777" w:rsidR="00A11211" w:rsidRPr="00D176A1" w:rsidRDefault="00A11211" w:rsidP="00A11211">
      <w:pPr>
        <w:spacing w:line="360" w:lineRule="auto"/>
        <w:jc w:val="both"/>
        <w:rPr>
          <w:rFonts w:ascii="Times New Roman" w:hAnsi="Times New Roman" w:cs="Times New Roman"/>
          <w:i/>
          <w:sz w:val="24"/>
          <w:szCs w:val="24"/>
        </w:rPr>
      </w:pPr>
      <w:r w:rsidRPr="00D176A1">
        <w:rPr>
          <w:rFonts w:ascii="Times New Roman" w:hAnsi="Times New Roman" w:cs="Times New Roman"/>
          <w:i/>
          <w:sz w:val="24"/>
          <w:szCs w:val="24"/>
        </w:rPr>
        <w:t>Source: World Development Indicators World Bank (202</w:t>
      </w:r>
      <w:r>
        <w:rPr>
          <w:rFonts w:ascii="Times New Roman" w:hAnsi="Times New Roman" w:cs="Times New Roman"/>
          <w:i/>
          <w:sz w:val="24"/>
          <w:szCs w:val="24"/>
        </w:rPr>
        <w:t>2</w:t>
      </w:r>
      <w:r w:rsidRPr="00D176A1">
        <w:rPr>
          <w:rFonts w:ascii="Times New Roman" w:hAnsi="Times New Roman" w:cs="Times New Roman"/>
          <w:i/>
          <w:sz w:val="24"/>
          <w:szCs w:val="24"/>
        </w:rPr>
        <w:t>)</w:t>
      </w:r>
    </w:p>
    <w:p w14:paraId="50D37D05" w14:textId="77777777"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India's economy benefits greatly from foreign remittances, which also help to meet the needs of the population. India continued to be the leading recipient of remittances in the world in 2021, getting USD 89 billion from Indian expats around the world.</w:t>
      </w:r>
    </w:p>
    <w:p w14:paraId="5C7002A7" w14:textId="77777777" w:rsidR="00A11211" w:rsidRPr="00D176A1" w:rsidRDefault="00A11211" w:rsidP="00A11211">
      <w:pPr>
        <w:spacing w:line="360" w:lineRule="auto"/>
        <w:jc w:val="both"/>
        <w:rPr>
          <w:rFonts w:ascii="Times New Roman" w:hAnsi="Times New Roman" w:cs="Times New Roman"/>
          <w:sz w:val="24"/>
          <w:szCs w:val="24"/>
        </w:rPr>
      </w:pPr>
    </w:p>
    <w:p w14:paraId="5022B8B4" w14:textId="77777777" w:rsidR="00A11211" w:rsidRPr="00D176A1" w:rsidRDefault="00A11211" w:rsidP="00A11211">
      <w:pPr>
        <w:spacing w:line="360" w:lineRule="auto"/>
        <w:jc w:val="both"/>
        <w:rPr>
          <w:rFonts w:ascii="Times New Roman" w:hAnsi="Times New Roman" w:cs="Times New Roman"/>
          <w:sz w:val="24"/>
          <w:szCs w:val="24"/>
        </w:rPr>
      </w:pPr>
    </w:p>
    <w:p w14:paraId="5F14AAC7" w14:textId="77777777" w:rsidR="00A11211" w:rsidRPr="00D176A1" w:rsidRDefault="00A11211" w:rsidP="00A11211">
      <w:pPr>
        <w:spacing w:line="360" w:lineRule="auto"/>
        <w:jc w:val="both"/>
        <w:rPr>
          <w:rFonts w:ascii="Times New Roman" w:hAnsi="Times New Roman" w:cs="Times New Roman"/>
          <w:sz w:val="24"/>
          <w:szCs w:val="24"/>
        </w:rPr>
      </w:pPr>
    </w:p>
    <w:p w14:paraId="36E888E2" w14:textId="77777777" w:rsidR="00A11211" w:rsidRDefault="00A11211" w:rsidP="00A11211">
      <w:pPr>
        <w:spacing w:line="360" w:lineRule="auto"/>
        <w:jc w:val="both"/>
        <w:rPr>
          <w:rFonts w:ascii="Times New Roman" w:hAnsi="Times New Roman" w:cs="Times New Roman"/>
          <w:sz w:val="24"/>
          <w:szCs w:val="24"/>
        </w:rPr>
      </w:pPr>
    </w:p>
    <w:p w14:paraId="11D811DB" w14:textId="77777777" w:rsidR="00A11211" w:rsidRDefault="00A11211" w:rsidP="00A11211">
      <w:pPr>
        <w:spacing w:line="360" w:lineRule="auto"/>
        <w:jc w:val="both"/>
        <w:rPr>
          <w:rFonts w:ascii="Times New Roman" w:hAnsi="Times New Roman" w:cs="Times New Roman"/>
          <w:sz w:val="24"/>
          <w:szCs w:val="24"/>
        </w:rPr>
      </w:pPr>
    </w:p>
    <w:p w14:paraId="2931CA8A" w14:textId="77777777" w:rsidR="00A11211" w:rsidRDefault="00A11211" w:rsidP="00A11211">
      <w:pPr>
        <w:spacing w:line="360" w:lineRule="auto"/>
        <w:jc w:val="both"/>
        <w:rPr>
          <w:rFonts w:ascii="Times New Roman" w:hAnsi="Times New Roman" w:cs="Times New Roman"/>
          <w:sz w:val="24"/>
          <w:szCs w:val="24"/>
        </w:rPr>
      </w:pPr>
    </w:p>
    <w:p w14:paraId="7633CAA6" w14:textId="77777777" w:rsidR="00A11211" w:rsidRPr="00D176A1" w:rsidRDefault="00A11211" w:rsidP="00A11211">
      <w:pPr>
        <w:spacing w:line="360" w:lineRule="auto"/>
        <w:jc w:val="both"/>
        <w:rPr>
          <w:rFonts w:ascii="Times New Roman" w:hAnsi="Times New Roman" w:cs="Times New Roman"/>
          <w:sz w:val="24"/>
          <w:szCs w:val="24"/>
        </w:rPr>
      </w:pPr>
    </w:p>
    <w:p w14:paraId="3BF23D30" w14:textId="77777777" w:rsidR="00A11211" w:rsidRPr="0082371A" w:rsidRDefault="00A11211" w:rsidP="00A11211">
      <w:pPr>
        <w:spacing w:line="360" w:lineRule="auto"/>
        <w:jc w:val="both"/>
        <w:rPr>
          <w:rFonts w:ascii="Times New Roman" w:hAnsi="Times New Roman" w:cs="Times New Roman"/>
          <w:b/>
          <w:bCs/>
          <w:sz w:val="24"/>
          <w:szCs w:val="24"/>
        </w:rPr>
      </w:pPr>
      <w:r w:rsidRPr="0082371A">
        <w:rPr>
          <w:rFonts w:ascii="Times New Roman" w:hAnsi="Times New Roman" w:cs="Times New Roman"/>
          <w:b/>
          <w:bCs/>
          <w:sz w:val="24"/>
          <w:szCs w:val="24"/>
        </w:rPr>
        <w:lastRenderedPageBreak/>
        <w:t>Fig</w:t>
      </w:r>
      <w:r>
        <w:rPr>
          <w:rFonts w:ascii="Times New Roman" w:hAnsi="Times New Roman" w:cs="Times New Roman"/>
          <w:b/>
          <w:bCs/>
          <w:sz w:val="24"/>
          <w:szCs w:val="24"/>
        </w:rPr>
        <w:t xml:space="preserve">ure </w:t>
      </w:r>
      <w:r w:rsidRPr="0082371A">
        <w:rPr>
          <w:rFonts w:ascii="Times New Roman" w:hAnsi="Times New Roman" w:cs="Times New Roman"/>
          <w:b/>
          <w:bCs/>
          <w:sz w:val="24"/>
          <w:szCs w:val="24"/>
        </w:rPr>
        <w:t>2: Top 20 Major Remittances Receiving Countries, 2021 ($US current millions)</w:t>
      </w:r>
    </w:p>
    <w:p w14:paraId="57223014" w14:textId="48E10DA6" w:rsidR="00A11211" w:rsidRPr="00D176A1" w:rsidRDefault="00A11211" w:rsidP="00A11211">
      <w:pPr>
        <w:spacing w:line="360" w:lineRule="auto"/>
        <w:jc w:val="both"/>
        <w:rPr>
          <w:rFonts w:ascii="Times New Roman" w:hAnsi="Times New Roman" w:cs="Times New Roman"/>
          <w:sz w:val="24"/>
          <w:szCs w:val="24"/>
        </w:rPr>
      </w:pPr>
      <w:r w:rsidRPr="00D176A1">
        <w:rPr>
          <w:rFonts w:ascii="Times New Roman" w:hAnsi="Times New Roman" w:cs="Times New Roman"/>
          <w:noProof/>
          <w:sz w:val="24"/>
          <w:szCs w:val="24"/>
        </w:rPr>
        <w:drawing>
          <wp:inline distT="0" distB="0" distL="0" distR="0" wp14:anchorId="73A7F42C" wp14:editId="0D4F1F7E">
            <wp:extent cx="5974080" cy="3779520"/>
            <wp:effectExtent l="0" t="0" r="7620" b="11430"/>
            <wp:docPr id="3" name="Chart 3">
              <a:extLst xmlns:a="http://schemas.openxmlformats.org/drawingml/2006/main">
                <a:ext uri="{FF2B5EF4-FFF2-40B4-BE49-F238E27FC236}">
                  <a16:creationId xmlns:a16="http://schemas.microsoft.com/office/drawing/2014/main" id="{27E8C199-9966-F9A5-0FBF-703A8F863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D176A1">
        <w:rPr>
          <w:rFonts w:ascii="Times New Roman" w:hAnsi="Times New Roman" w:cs="Times New Roman"/>
          <w:i/>
          <w:sz w:val="24"/>
          <w:szCs w:val="24"/>
        </w:rPr>
        <w:t>Source: World Bank KNOMAD (202</w:t>
      </w:r>
      <w:r w:rsidR="00CA568E">
        <w:rPr>
          <w:rFonts w:ascii="Times New Roman" w:hAnsi="Times New Roman" w:cs="Times New Roman"/>
          <w:i/>
          <w:sz w:val="24"/>
          <w:szCs w:val="24"/>
        </w:rPr>
        <w:t>3</w:t>
      </w:r>
      <w:r w:rsidRPr="00D176A1">
        <w:rPr>
          <w:rFonts w:ascii="Times New Roman" w:hAnsi="Times New Roman" w:cs="Times New Roman"/>
          <w:i/>
          <w:sz w:val="24"/>
          <w:szCs w:val="24"/>
        </w:rPr>
        <w:t>).</w:t>
      </w:r>
    </w:p>
    <w:p w14:paraId="559B60B5" w14:textId="265B4556" w:rsidR="00A1121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 xml:space="preserve">According to </w:t>
      </w:r>
      <w:r>
        <w:rPr>
          <w:rFonts w:ascii="Times New Roman" w:hAnsi="Times New Roman" w:cs="Times New Roman"/>
          <w:sz w:val="24"/>
          <w:szCs w:val="24"/>
        </w:rPr>
        <w:t>f</w:t>
      </w:r>
      <w:r w:rsidRPr="00D176A1">
        <w:rPr>
          <w:rFonts w:ascii="Times New Roman" w:hAnsi="Times New Roman" w:cs="Times New Roman"/>
          <w:sz w:val="24"/>
          <w:szCs w:val="24"/>
        </w:rPr>
        <w:t>ig</w:t>
      </w:r>
      <w:r>
        <w:rPr>
          <w:rFonts w:ascii="Times New Roman" w:hAnsi="Times New Roman" w:cs="Times New Roman"/>
          <w:sz w:val="24"/>
          <w:szCs w:val="24"/>
        </w:rPr>
        <w:t xml:space="preserve">ure </w:t>
      </w:r>
      <w:r w:rsidRPr="00D176A1">
        <w:rPr>
          <w:rFonts w:ascii="Times New Roman" w:hAnsi="Times New Roman" w:cs="Times New Roman"/>
          <w:sz w:val="24"/>
          <w:szCs w:val="24"/>
        </w:rPr>
        <w:t>2, among the top 20 countries that will receive remittances in 2021, India will be the top recipient nation, followed by China, Mexico, Philippines, France, Egypt, Pakistan, Bangladesh, Germany, Nigeria, Ukraine, Vietnam, Guatemala, Dominican Republic, Morocco, Italy, Russian Federation, Indonesia, Uzbekistan and Romania. (World Bank, 202</w:t>
      </w:r>
      <w:r w:rsidR="00CA568E">
        <w:rPr>
          <w:rFonts w:ascii="Times New Roman" w:hAnsi="Times New Roman" w:cs="Times New Roman"/>
          <w:sz w:val="24"/>
          <w:szCs w:val="24"/>
        </w:rPr>
        <w:t>3</w:t>
      </w:r>
      <w:r w:rsidRPr="00D176A1">
        <w:rPr>
          <w:rFonts w:ascii="Times New Roman" w:hAnsi="Times New Roman" w:cs="Times New Roman"/>
          <w:sz w:val="24"/>
          <w:szCs w:val="24"/>
        </w:rPr>
        <w:t>).</w:t>
      </w:r>
    </w:p>
    <w:p w14:paraId="44D9D9BE" w14:textId="77777777" w:rsidR="00A11211" w:rsidRPr="005B25C1" w:rsidRDefault="00A11211" w:rsidP="00A11211">
      <w:pPr>
        <w:spacing w:line="360" w:lineRule="auto"/>
        <w:jc w:val="both"/>
        <w:rPr>
          <w:rFonts w:ascii="Times New Roman" w:hAnsi="Times New Roman" w:cs="Times New Roman"/>
          <w:sz w:val="28"/>
          <w:szCs w:val="28"/>
        </w:rPr>
      </w:pPr>
      <w:r w:rsidRPr="005B25C1">
        <w:rPr>
          <w:rFonts w:ascii="Times New Roman" w:hAnsi="Times New Roman" w:cs="Times New Roman"/>
          <w:b/>
          <w:bCs/>
          <w:sz w:val="28"/>
          <w:szCs w:val="28"/>
        </w:rPr>
        <w:t>II</w:t>
      </w:r>
      <w:r w:rsidRPr="005B25C1">
        <w:rPr>
          <w:rFonts w:ascii="Times New Roman" w:hAnsi="Times New Roman" w:cs="Times New Roman"/>
          <w:b/>
          <w:sz w:val="28"/>
          <w:szCs w:val="28"/>
        </w:rPr>
        <w:t>. Review of Literature</w:t>
      </w:r>
    </w:p>
    <w:p w14:paraId="74832DA1" w14:textId="77777777" w:rsidR="00A11211" w:rsidRDefault="00A11211" w:rsidP="00A659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exists a substantial and expanding body of work that endeavors to empirically assess the impact of remittances on economic growth. Remittances are seen as an essential source of financing for investment and consumption activities that ultimately foster overall economic growth (Pradhan et al., 2008; Randazzo &amp; Piracha, 2019). Likewise, capital inflow via foreign direct investment is regarded as a prospective source of financing for domestic investment, hence promoting economic growth (Tahir et al., 2020). However, another perspective asserts that institutional factors are necessary for long-term growth and that FDI and remittance flows have </w:t>
      </w:r>
      <w:r>
        <w:rPr>
          <w:rFonts w:ascii="Times New Roman" w:hAnsi="Times New Roman" w:cs="Times New Roman"/>
          <w:sz w:val="24"/>
          <w:szCs w:val="24"/>
        </w:rPr>
        <w:lastRenderedPageBreak/>
        <w:t>not been enough to cause better economic growth (Nyasha &amp; Odhiambo, 2020; Somng et al., 2021). Remittances positively influence economic growth by enhancing employment opportunities in the recipient country and reducing the incidence of compulsion to migrate from low-income countries (Ratha &amp; Shaw, 2006; Freund &amp; Spatafora, 2008). In the same way, remittances also contribute to overall human and social capital of communities (Sasin &amp; McKenzie, 2007). A few well-known works of literature argue that FDI boosts the productive potential of domestic firms and provides ownership that positively affects economic growth (Rivera-Batiz &amp; Romer, 1991; Haddad &amp; Harrison, 1993).</w:t>
      </w:r>
    </w:p>
    <w:p w14:paraId="677A70FF" w14:textId="77777777" w:rsidR="00A1121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The effect of remittances on economic expansion and the reduction of poverty has been the subject of numerous studies. In a cross-sectional analysis of 36 countries, Pradhan et al. (2008) found that remittances, one of five variables in a linear regression model, have a tiny but beneficial impact on economic growth. In their study of 99 countries from 1975 to 2003, Aggarwal et al. (2006) discovered that remittances have a favorable impact on bank deposits and credit to GDP. Citing earlier research that demonstrates the beneficial effects of these two variables on economic growth, the authors then extrapolate the positive influence on development.</w:t>
      </w:r>
    </w:p>
    <w:p w14:paraId="48FFAA66" w14:textId="393995EA" w:rsidR="00A11211" w:rsidRDefault="00A11211" w:rsidP="00D955E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Numerous studies demonstrate a beneficial effect, contending that remittances serve as a substantial catalyst for economic expansion by augmenting household income, facilitating investment and fostering human capital development. Remittances help African economies expand by increasing savings and investment (Fayissa &amp; Nsiah, 2010), </w:t>
      </w:r>
      <w:r w:rsidR="00A65992">
        <w:rPr>
          <w:rFonts w:ascii="Times New Roman" w:hAnsi="Times New Roman" w:cs="Times New Roman"/>
          <w:sz w:val="24"/>
          <w:szCs w:val="24"/>
        </w:rPr>
        <w:t>whereas</w:t>
      </w:r>
      <w:r>
        <w:rPr>
          <w:rFonts w:ascii="Times New Roman" w:hAnsi="Times New Roman" w:cs="Times New Roman"/>
          <w:sz w:val="24"/>
          <w:szCs w:val="24"/>
        </w:rPr>
        <w:t xml:space="preserve"> Meyer and Shera (2017), utilizing a panel dataset, validated that remittance inflows enhance production by promoting expenditure, investment and financial inclusion. In the Indian context, research conducted by Kumar (2013) and Srinivasan and Kalaivani (2016) underscores the significant importance of remittances in facilitating economic growth by bolstering household consumption and productive investments</w:t>
      </w:r>
      <w:r w:rsidR="00117C15">
        <w:rPr>
          <w:rFonts w:ascii="Times New Roman" w:hAnsi="Times New Roman" w:cs="Times New Roman"/>
          <w:sz w:val="24"/>
          <w:szCs w:val="24"/>
        </w:rPr>
        <w:t>.</w:t>
      </w:r>
    </w:p>
    <w:p w14:paraId="1338F66E" w14:textId="43F5DE0F" w:rsidR="00A11211" w:rsidRDefault="00A11211" w:rsidP="00D955E3">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Taylor (1992) and Faini (2001) establish a favorable correlation between remittances and economic growth. Conversely, Spatafora (2005) finds no correlation between the increase in remittances and per capita output. On the other </w:t>
      </w:r>
      <w:r w:rsidR="00D955E3">
        <w:rPr>
          <w:rFonts w:ascii="Times New Roman" w:hAnsi="Times New Roman" w:cs="Times New Roman"/>
          <w:sz w:val="24"/>
          <w:szCs w:val="24"/>
        </w:rPr>
        <w:t>hand,</w:t>
      </w:r>
      <w:r>
        <w:rPr>
          <w:rFonts w:ascii="Times New Roman" w:hAnsi="Times New Roman" w:cs="Times New Roman"/>
          <w:sz w:val="24"/>
          <w:szCs w:val="24"/>
        </w:rPr>
        <w:t xml:space="preserve"> remittances adversely affect economic growth in a sample of 113 countries in a significant cross-country analysis. Existing studies on remittances has primarily focused on poverty alleviation rather than overall economic growth (Adams and Page, 2003). The impact of remittances on economic growth in both host and home </w:t>
      </w:r>
      <w:r>
        <w:rPr>
          <w:rFonts w:ascii="Times New Roman" w:hAnsi="Times New Roman" w:cs="Times New Roman"/>
          <w:sz w:val="24"/>
          <w:szCs w:val="24"/>
        </w:rPr>
        <w:lastRenderedPageBreak/>
        <w:t xml:space="preserve">countries of expatriate workers has garnered the interest of development economists. Conflicting viewpoints have emerged concerning the impact on the expatriate employees’ country of origin. Some researchers asserts that remittances foster economic growth </w:t>
      </w:r>
      <w:r w:rsidRPr="008C2AE8">
        <w:rPr>
          <w:rFonts w:ascii="Times New Roman" w:eastAsia="Times New Roman" w:hAnsi="Times New Roman" w:cs="Times New Roman"/>
          <w:sz w:val="24"/>
          <w:szCs w:val="24"/>
        </w:rPr>
        <w:t xml:space="preserve">(Adelman and Taylor, 1990; Durand et al., 1996), </w:t>
      </w:r>
      <w:r>
        <w:rPr>
          <w:rFonts w:ascii="Times New Roman" w:eastAsia="Times New Roman" w:hAnsi="Times New Roman" w:cs="Times New Roman"/>
          <w:sz w:val="24"/>
          <w:szCs w:val="24"/>
        </w:rPr>
        <w:t xml:space="preserve">while others </w:t>
      </w:r>
      <w:r w:rsidRPr="008C2AE8">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w:t>
      </w:r>
      <w:r w:rsidRPr="008C2AE8">
        <w:rPr>
          <w:rFonts w:ascii="Times New Roman" w:eastAsia="Times New Roman" w:hAnsi="Times New Roman" w:cs="Times New Roman"/>
          <w:sz w:val="24"/>
          <w:szCs w:val="24"/>
        </w:rPr>
        <w:t>Chami et al., 2005; 2008, Ekanayake and Halkides, and Spatafora, 2005</w:t>
      </w:r>
      <w:r>
        <w:rPr>
          <w:rFonts w:ascii="Times New Roman" w:eastAsia="Times New Roman" w:hAnsi="Times New Roman" w:cs="Times New Roman"/>
          <w:sz w:val="24"/>
          <w:szCs w:val="24"/>
        </w:rPr>
        <w:t>)</w:t>
      </w:r>
      <w:r w:rsidRPr="008C2A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hold a contrary perspective. For example, inhabitants of a host nation may seek job in their own country if the unemployment rate is elevated there. As individuals’ salaries increase, they can travel greater distances in pursuit of higher-paying employment, therefore enhancing remittances to their home nations. The magnitude of remittance revenue may be affected by economic growth for the aforementioned reasons.</w:t>
      </w:r>
    </w:p>
    <w:p w14:paraId="0B52989B" w14:textId="77777777" w:rsidR="00A11211" w:rsidRDefault="00A11211" w:rsidP="00A1121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the present study is to analyze the impact of remittances on economic growth in India. India continues to be an important source of expatriate workers. The size of expatriate workers has risen substantially throughout the years. In the process remittances have emerged as a vital source of foreign exchange earnings for the nation. Thus, the country offers a distinctive opportunity to examine the influence and causal relationship between remittances and economic growth.</w:t>
      </w:r>
    </w:p>
    <w:p w14:paraId="7AB52016" w14:textId="77777777" w:rsidR="00A11211" w:rsidRPr="005B25C1" w:rsidRDefault="00A11211" w:rsidP="00A11211">
      <w:pPr>
        <w:spacing w:line="360" w:lineRule="auto"/>
        <w:jc w:val="both"/>
        <w:rPr>
          <w:rFonts w:ascii="Times New Roman" w:hAnsi="Times New Roman" w:cs="Times New Roman"/>
          <w:i/>
          <w:sz w:val="28"/>
          <w:szCs w:val="28"/>
        </w:rPr>
      </w:pPr>
      <w:r w:rsidRPr="005B25C1">
        <w:rPr>
          <w:rFonts w:ascii="Times New Roman" w:hAnsi="Times New Roman" w:cs="Times New Roman"/>
          <w:b/>
          <w:sz w:val="28"/>
          <w:szCs w:val="28"/>
        </w:rPr>
        <w:t>III. Data and Methodology</w:t>
      </w:r>
    </w:p>
    <w:p w14:paraId="119CEB86" w14:textId="158BC8C1"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Th</w:t>
      </w:r>
      <w:r>
        <w:rPr>
          <w:rFonts w:ascii="Times New Roman" w:hAnsi="Times New Roman" w:cs="Times New Roman"/>
          <w:sz w:val="24"/>
          <w:szCs w:val="24"/>
        </w:rPr>
        <w:t>e present</w:t>
      </w:r>
      <w:r w:rsidRPr="00D176A1">
        <w:rPr>
          <w:rFonts w:ascii="Times New Roman" w:hAnsi="Times New Roman" w:cs="Times New Roman"/>
          <w:sz w:val="24"/>
          <w:szCs w:val="24"/>
        </w:rPr>
        <w:t xml:space="preserve"> study is based on secondary data from the World Development Indicators (World Bank, 202</w:t>
      </w:r>
      <w:r w:rsidR="00D955E3">
        <w:rPr>
          <w:rFonts w:ascii="Times New Roman" w:hAnsi="Times New Roman" w:cs="Times New Roman"/>
          <w:sz w:val="24"/>
          <w:szCs w:val="24"/>
        </w:rPr>
        <w:t>3</w:t>
      </w:r>
      <w:r w:rsidRPr="00D176A1">
        <w:rPr>
          <w:rFonts w:ascii="Times New Roman" w:hAnsi="Times New Roman" w:cs="Times New Roman"/>
          <w:sz w:val="24"/>
          <w:szCs w:val="24"/>
        </w:rPr>
        <w:t>) for the period 1980-2021. To test the significant impact of remittances on economic growth, we set up the growth equation as follows;</w:t>
      </w:r>
    </w:p>
    <w:p w14:paraId="4C042D26" w14:textId="77777777" w:rsidR="00A11211" w:rsidRPr="00D176A1" w:rsidRDefault="00A11211" w:rsidP="00A11211">
      <w:pPr>
        <w:spacing w:line="360" w:lineRule="auto"/>
        <w:jc w:val="both"/>
        <w:rPr>
          <w:rFonts w:ascii="Times New Roman" w:hAnsi="Times New Roman" w:cs="Times New Roman"/>
          <w:sz w:val="24"/>
          <w:szCs w:val="24"/>
        </w:rPr>
      </w:pPr>
      <w:r w:rsidRPr="0082371A">
        <w:rPr>
          <w:rFonts w:ascii="Times New Roman" w:hAnsi="Times New Roman" w:cs="Times New Roman"/>
          <w:i/>
          <w:iCs/>
          <w:sz w:val="24"/>
          <w:szCs w:val="24"/>
        </w:rPr>
        <w:t xml:space="preserve">                          ln </w:t>
      </w:r>
      <w:proofErr w:type="spellStart"/>
      <w:r w:rsidRPr="0082371A">
        <w:rPr>
          <w:rFonts w:ascii="Times New Roman" w:hAnsi="Times New Roman" w:cs="Times New Roman"/>
          <w:i/>
          <w:iCs/>
          <w:sz w:val="24"/>
          <w:szCs w:val="24"/>
        </w:rPr>
        <w:t>GDP</w:t>
      </w:r>
      <w:r w:rsidRPr="0082371A">
        <w:rPr>
          <w:rFonts w:ascii="Times New Roman" w:hAnsi="Times New Roman" w:cs="Times New Roman"/>
          <w:i/>
          <w:iCs/>
          <w:sz w:val="24"/>
          <w:szCs w:val="24"/>
          <w:vertAlign w:val="subscript"/>
        </w:rPr>
        <w:t>t</w:t>
      </w:r>
      <w:proofErr w:type="spellEnd"/>
      <w:r w:rsidRPr="0082371A">
        <w:rPr>
          <w:rFonts w:ascii="Times New Roman" w:hAnsi="Times New Roman" w:cs="Times New Roman"/>
          <w:i/>
          <w:iCs/>
          <w:sz w:val="24"/>
          <w:szCs w:val="24"/>
        </w:rPr>
        <w:t>= α+β</w:t>
      </w:r>
      <w:r w:rsidRPr="0082371A">
        <w:rPr>
          <w:rFonts w:ascii="Times New Roman" w:hAnsi="Times New Roman" w:cs="Times New Roman"/>
          <w:i/>
          <w:iCs/>
          <w:sz w:val="24"/>
          <w:szCs w:val="24"/>
          <w:vertAlign w:val="subscript"/>
        </w:rPr>
        <w:t>1</w:t>
      </w:r>
      <w:r w:rsidRPr="0082371A">
        <w:rPr>
          <w:rFonts w:ascii="Times New Roman" w:hAnsi="Times New Roman" w:cs="Times New Roman"/>
          <w:i/>
          <w:iCs/>
          <w:sz w:val="24"/>
          <w:szCs w:val="24"/>
        </w:rPr>
        <w:t xml:space="preserve">ln </w:t>
      </w:r>
      <w:proofErr w:type="spellStart"/>
      <w:r w:rsidRPr="0082371A">
        <w:rPr>
          <w:rFonts w:ascii="Times New Roman" w:hAnsi="Times New Roman" w:cs="Times New Roman"/>
          <w:i/>
          <w:iCs/>
          <w:sz w:val="24"/>
          <w:szCs w:val="24"/>
        </w:rPr>
        <w:t>GFCF</w:t>
      </w:r>
      <w:r w:rsidRPr="0082371A">
        <w:rPr>
          <w:rFonts w:ascii="Times New Roman" w:hAnsi="Times New Roman" w:cs="Times New Roman"/>
          <w:i/>
          <w:iCs/>
          <w:sz w:val="24"/>
          <w:szCs w:val="24"/>
          <w:vertAlign w:val="subscript"/>
        </w:rPr>
        <w:t>t</w:t>
      </w:r>
      <w:proofErr w:type="spellEnd"/>
      <w:r w:rsidRPr="0082371A">
        <w:rPr>
          <w:rFonts w:ascii="Times New Roman" w:hAnsi="Times New Roman" w:cs="Times New Roman"/>
          <w:i/>
          <w:iCs/>
          <w:sz w:val="24"/>
          <w:szCs w:val="24"/>
        </w:rPr>
        <w:t>+ β</w:t>
      </w:r>
      <w:r w:rsidRPr="0082371A">
        <w:rPr>
          <w:rFonts w:ascii="Times New Roman" w:hAnsi="Times New Roman" w:cs="Times New Roman"/>
          <w:i/>
          <w:iCs/>
          <w:sz w:val="24"/>
          <w:szCs w:val="24"/>
          <w:vertAlign w:val="subscript"/>
        </w:rPr>
        <w:t>2</w:t>
      </w:r>
      <w:r w:rsidRPr="0082371A">
        <w:rPr>
          <w:rFonts w:ascii="Times New Roman" w:hAnsi="Times New Roman" w:cs="Times New Roman"/>
          <w:i/>
          <w:iCs/>
          <w:sz w:val="24"/>
          <w:szCs w:val="24"/>
        </w:rPr>
        <w:t xml:space="preserve">ln </w:t>
      </w:r>
      <w:proofErr w:type="spellStart"/>
      <w:r w:rsidRPr="0082371A">
        <w:rPr>
          <w:rFonts w:ascii="Times New Roman" w:hAnsi="Times New Roman" w:cs="Times New Roman"/>
          <w:i/>
          <w:iCs/>
          <w:sz w:val="24"/>
          <w:szCs w:val="24"/>
        </w:rPr>
        <w:t>REMt</w:t>
      </w:r>
      <w:proofErr w:type="spellEnd"/>
      <w:r w:rsidRPr="0082371A">
        <w:rPr>
          <w:rFonts w:ascii="Times New Roman" w:hAnsi="Times New Roman" w:cs="Times New Roman"/>
          <w:i/>
          <w:iCs/>
          <w:sz w:val="24"/>
          <w:szCs w:val="24"/>
        </w:rPr>
        <w:t xml:space="preserve"> +</w:t>
      </w:r>
      <w:proofErr w:type="spellStart"/>
      <w:r w:rsidRPr="0082371A">
        <w:rPr>
          <w:rFonts w:ascii="Times New Roman" w:hAnsi="Times New Roman" w:cs="Times New Roman"/>
          <w:i/>
          <w:iCs/>
          <w:sz w:val="24"/>
          <w:szCs w:val="24"/>
        </w:rPr>
        <w:t>μ</w:t>
      </w:r>
      <w:r w:rsidRPr="0082371A">
        <w:rPr>
          <w:rFonts w:ascii="Times New Roman" w:hAnsi="Times New Roman" w:cs="Times New Roman"/>
          <w:i/>
          <w:iCs/>
          <w:sz w:val="24"/>
          <w:szCs w:val="24"/>
          <w:vertAlign w:val="subscript"/>
        </w:rPr>
        <w:t>i</w:t>
      </w:r>
      <w:proofErr w:type="spellEnd"/>
      <w:r w:rsidRPr="0082371A">
        <w:rPr>
          <w:rFonts w:ascii="Times New Roman" w:hAnsi="Times New Roman" w:cs="Times New Roman"/>
          <w:i/>
          <w:iCs/>
          <w:sz w:val="24"/>
          <w:szCs w:val="24"/>
        </w:rPr>
        <w:t>……………………</w:t>
      </w:r>
      <w:r>
        <w:rPr>
          <w:rFonts w:ascii="Times New Roman" w:hAnsi="Times New Roman" w:cs="Times New Roman"/>
          <w:i/>
          <w:iCs/>
          <w:sz w:val="24"/>
          <w:szCs w:val="24"/>
        </w:rPr>
        <w:t>…….</w:t>
      </w:r>
      <w:r w:rsidRPr="0082371A">
        <w:rPr>
          <w:rFonts w:ascii="Times New Roman" w:hAnsi="Times New Roman" w:cs="Times New Roman"/>
          <w:i/>
          <w:iCs/>
          <w:sz w:val="24"/>
          <w:szCs w:val="24"/>
        </w:rPr>
        <w:t>..</w:t>
      </w:r>
      <w:r>
        <w:rPr>
          <w:rFonts w:ascii="Times New Roman" w:hAnsi="Times New Roman" w:cs="Times New Roman"/>
          <w:i/>
          <w:iCs/>
          <w:sz w:val="24"/>
          <w:szCs w:val="24"/>
        </w:rPr>
        <w:t xml:space="preserve"> </w:t>
      </w:r>
      <w:r w:rsidRPr="0082371A">
        <w:rPr>
          <w:rFonts w:ascii="Times New Roman" w:hAnsi="Times New Roman" w:cs="Times New Roman"/>
          <w:i/>
          <w:iCs/>
          <w:sz w:val="24"/>
          <w:szCs w:val="24"/>
        </w:rPr>
        <w:t>(</w:t>
      </w:r>
      <w:r w:rsidRPr="00D176A1">
        <w:rPr>
          <w:rFonts w:ascii="Times New Roman" w:hAnsi="Times New Roman" w:cs="Times New Roman"/>
          <w:sz w:val="24"/>
          <w:szCs w:val="24"/>
        </w:rPr>
        <w:t>1)</w:t>
      </w:r>
    </w:p>
    <w:p w14:paraId="5744F0DB" w14:textId="77777777" w:rsidR="00A11211" w:rsidRPr="00D176A1" w:rsidRDefault="00A11211" w:rsidP="00A11211">
      <w:pPr>
        <w:spacing w:line="360" w:lineRule="auto"/>
        <w:jc w:val="both"/>
        <w:rPr>
          <w:rFonts w:ascii="Times New Roman" w:hAnsi="Times New Roman" w:cs="Times New Roman"/>
          <w:sz w:val="24"/>
          <w:szCs w:val="24"/>
        </w:rPr>
      </w:pPr>
      <w:r w:rsidRPr="00D176A1">
        <w:rPr>
          <w:rFonts w:ascii="Times New Roman" w:hAnsi="Times New Roman" w:cs="Times New Roman"/>
          <w:sz w:val="24"/>
          <w:szCs w:val="24"/>
        </w:rPr>
        <w:t>“Where ‘</w:t>
      </w:r>
      <w:r w:rsidRPr="00D176A1">
        <w:rPr>
          <w:rFonts w:ascii="Times New Roman" w:hAnsi="Times New Roman" w:cs="Times New Roman"/>
          <w:i/>
          <w:sz w:val="24"/>
          <w:szCs w:val="24"/>
        </w:rPr>
        <w:t>ln</w:t>
      </w:r>
      <w:r w:rsidRPr="00D176A1">
        <w:rPr>
          <w:rFonts w:ascii="Times New Roman" w:hAnsi="Times New Roman" w:cs="Times New Roman"/>
          <w:sz w:val="24"/>
          <w:szCs w:val="24"/>
        </w:rPr>
        <w:t>’ denotes the natural logarithms of respective variables. Data for real GDP per capita (</w:t>
      </w:r>
      <w:r w:rsidRPr="00D176A1">
        <w:rPr>
          <w:rFonts w:ascii="Times New Roman" w:hAnsi="Times New Roman" w:cs="Times New Roman"/>
          <w:i/>
          <w:sz w:val="24"/>
          <w:szCs w:val="24"/>
        </w:rPr>
        <w:t xml:space="preserve">ln </w:t>
      </w:r>
      <w:r w:rsidRPr="00D176A1">
        <w:rPr>
          <w:rFonts w:ascii="Times New Roman" w:hAnsi="Times New Roman" w:cs="Times New Roman"/>
          <w:sz w:val="24"/>
          <w:szCs w:val="24"/>
        </w:rPr>
        <w:t>GDP) represents the data for Real GDP Per capita which is used as proxy for per capita income, (</w:t>
      </w:r>
      <w:r w:rsidRPr="00D176A1">
        <w:rPr>
          <w:rFonts w:ascii="Times New Roman" w:hAnsi="Times New Roman" w:cs="Times New Roman"/>
          <w:i/>
          <w:sz w:val="24"/>
          <w:szCs w:val="24"/>
        </w:rPr>
        <w:t xml:space="preserve">ln </w:t>
      </w:r>
      <w:r w:rsidRPr="00D176A1">
        <w:rPr>
          <w:rFonts w:ascii="Times New Roman" w:hAnsi="Times New Roman" w:cs="Times New Roman"/>
          <w:sz w:val="24"/>
          <w:szCs w:val="24"/>
        </w:rPr>
        <w:t>GFCF) is the Real Gross Fixed Capital Formation which is used as proxy for capital stock, and (</w:t>
      </w:r>
      <w:r w:rsidRPr="00D176A1">
        <w:rPr>
          <w:rFonts w:ascii="Times New Roman" w:hAnsi="Times New Roman" w:cs="Times New Roman"/>
          <w:i/>
          <w:sz w:val="24"/>
          <w:szCs w:val="24"/>
        </w:rPr>
        <w:t xml:space="preserve">ln </w:t>
      </w:r>
      <w:r w:rsidRPr="00D176A1">
        <w:rPr>
          <w:rFonts w:ascii="Times New Roman" w:hAnsi="Times New Roman" w:cs="Times New Roman"/>
          <w:sz w:val="24"/>
          <w:szCs w:val="24"/>
        </w:rPr>
        <w:t>REM) is the Real Remittances per capita, these are the variables were taken from WDI for the year 1980-2021 in US$ at current prices”.</w:t>
      </w:r>
    </w:p>
    <w:p w14:paraId="0AD8EA89" w14:textId="77777777"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 xml:space="preserve">In order to eliminate spurious regression, the unit root test for stationary was conducted to complete the econometric approach. Series were examined for cointegration in a second phase to ascertain the long-term connection. The outcome of the cointegration test revealed whether a </w:t>
      </w:r>
      <w:r w:rsidRPr="00D176A1">
        <w:rPr>
          <w:rFonts w:ascii="Times New Roman" w:hAnsi="Times New Roman" w:cs="Times New Roman"/>
          <w:sz w:val="24"/>
          <w:szCs w:val="24"/>
        </w:rPr>
        <w:lastRenderedPageBreak/>
        <w:t>correction term existed in the model, which was then employed in the following action. The error-correction model (ECM) is used to determine the relationship in this third phase if the series are cointegrated of the same order (Engle, R., &amp; Granger, 1987). In accordance with the Engle-Granger method, co integration in the model is checked using residual series produced by the following equation.</w:t>
      </w:r>
    </w:p>
    <w:p w14:paraId="3EAA4F9A" w14:textId="77777777" w:rsidR="00A11211" w:rsidRPr="00D176A1" w:rsidRDefault="00A11211" w:rsidP="00A11211">
      <w:pPr>
        <w:spacing w:line="360" w:lineRule="auto"/>
        <w:jc w:val="both"/>
        <w:rPr>
          <w:rFonts w:ascii="Times New Roman" w:hAnsi="Times New Roman" w:cs="Times New Roman"/>
          <w:sz w:val="24"/>
          <w:szCs w:val="24"/>
        </w:rPr>
      </w:pPr>
      <w:r w:rsidRPr="0082371A">
        <w:rPr>
          <w:rFonts w:ascii="Times New Roman" w:hAnsi="Times New Roman" w:cs="Times New Roman"/>
          <w:i/>
          <w:iCs/>
          <w:sz w:val="24"/>
          <w:szCs w:val="24"/>
        </w:rPr>
        <w:t xml:space="preserve">                         </w:t>
      </w:r>
      <w:proofErr w:type="spellStart"/>
      <w:r w:rsidRPr="0082371A">
        <w:rPr>
          <w:rFonts w:ascii="Times New Roman" w:hAnsi="Times New Roman" w:cs="Times New Roman"/>
          <w:i/>
          <w:iCs/>
          <w:sz w:val="24"/>
          <w:szCs w:val="24"/>
        </w:rPr>
        <w:t>μ</w:t>
      </w:r>
      <w:r w:rsidRPr="0082371A">
        <w:rPr>
          <w:rFonts w:ascii="Times New Roman" w:hAnsi="Times New Roman" w:cs="Times New Roman"/>
          <w:i/>
          <w:iCs/>
          <w:sz w:val="24"/>
          <w:szCs w:val="24"/>
          <w:vertAlign w:val="subscript"/>
        </w:rPr>
        <w:t>i</w:t>
      </w:r>
      <w:proofErr w:type="spellEnd"/>
      <w:r w:rsidRPr="0082371A">
        <w:rPr>
          <w:rFonts w:ascii="Times New Roman" w:hAnsi="Times New Roman" w:cs="Times New Roman"/>
          <w:i/>
          <w:iCs/>
          <w:sz w:val="24"/>
          <w:szCs w:val="24"/>
        </w:rPr>
        <w:t>= ln</w:t>
      </w:r>
      <w:r w:rsidRPr="0082371A">
        <w:rPr>
          <w:rFonts w:ascii="Times New Roman" w:hAnsi="Times New Roman" w:cs="Times New Roman"/>
          <w:sz w:val="24"/>
          <w:szCs w:val="24"/>
        </w:rPr>
        <w:t xml:space="preserve"> </w:t>
      </w:r>
      <w:proofErr w:type="spellStart"/>
      <w:r w:rsidRPr="0082371A">
        <w:rPr>
          <w:rFonts w:ascii="Times New Roman" w:hAnsi="Times New Roman" w:cs="Times New Roman"/>
          <w:sz w:val="24"/>
          <w:szCs w:val="24"/>
        </w:rPr>
        <w:t>GDP</w:t>
      </w:r>
      <w:r w:rsidRPr="0082371A">
        <w:rPr>
          <w:rFonts w:ascii="Times New Roman" w:hAnsi="Times New Roman" w:cs="Times New Roman"/>
          <w:i/>
          <w:iCs/>
          <w:sz w:val="24"/>
          <w:szCs w:val="24"/>
          <w:vertAlign w:val="subscript"/>
        </w:rPr>
        <w:t>t</w:t>
      </w:r>
      <w:proofErr w:type="spellEnd"/>
      <w:r w:rsidRPr="0082371A">
        <w:rPr>
          <w:rFonts w:ascii="Times New Roman" w:hAnsi="Times New Roman" w:cs="Times New Roman"/>
          <w:sz w:val="24"/>
          <w:szCs w:val="24"/>
        </w:rPr>
        <w:t xml:space="preserve"> – (</w:t>
      </w:r>
      <w:r w:rsidRPr="0082371A">
        <w:rPr>
          <w:rFonts w:ascii="Times New Roman" w:hAnsi="Times New Roman" w:cs="Times New Roman"/>
          <w:i/>
          <w:iCs/>
          <w:sz w:val="24"/>
          <w:szCs w:val="24"/>
        </w:rPr>
        <w:t>α+β</w:t>
      </w:r>
      <w:r w:rsidRPr="0082371A">
        <w:rPr>
          <w:rFonts w:ascii="Times New Roman" w:hAnsi="Times New Roman" w:cs="Times New Roman"/>
          <w:i/>
          <w:iCs/>
          <w:sz w:val="24"/>
          <w:szCs w:val="24"/>
          <w:vertAlign w:val="subscript"/>
        </w:rPr>
        <w:t>1</w:t>
      </w:r>
      <w:r w:rsidRPr="0082371A">
        <w:rPr>
          <w:rFonts w:ascii="Times New Roman" w:hAnsi="Times New Roman" w:cs="Times New Roman"/>
          <w:i/>
          <w:iCs/>
          <w:sz w:val="24"/>
          <w:szCs w:val="24"/>
        </w:rPr>
        <w:t xml:space="preserve">ln </w:t>
      </w:r>
      <w:proofErr w:type="spellStart"/>
      <w:r w:rsidRPr="0082371A">
        <w:rPr>
          <w:rFonts w:ascii="Times New Roman" w:hAnsi="Times New Roman" w:cs="Times New Roman"/>
          <w:i/>
          <w:iCs/>
          <w:sz w:val="24"/>
          <w:szCs w:val="24"/>
        </w:rPr>
        <w:t>GFCF</w:t>
      </w:r>
      <w:r w:rsidRPr="0082371A">
        <w:rPr>
          <w:rFonts w:ascii="Times New Roman" w:hAnsi="Times New Roman" w:cs="Times New Roman"/>
          <w:i/>
          <w:iCs/>
          <w:sz w:val="24"/>
          <w:szCs w:val="24"/>
          <w:vertAlign w:val="subscript"/>
        </w:rPr>
        <w:t>t</w:t>
      </w:r>
      <w:proofErr w:type="spellEnd"/>
      <w:r w:rsidRPr="0082371A">
        <w:rPr>
          <w:rFonts w:ascii="Times New Roman" w:hAnsi="Times New Roman" w:cs="Times New Roman"/>
          <w:i/>
          <w:iCs/>
          <w:sz w:val="24"/>
          <w:szCs w:val="24"/>
        </w:rPr>
        <w:t>+ β</w:t>
      </w:r>
      <w:r w:rsidRPr="0082371A">
        <w:rPr>
          <w:rFonts w:ascii="Times New Roman" w:hAnsi="Times New Roman" w:cs="Times New Roman"/>
          <w:i/>
          <w:iCs/>
          <w:sz w:val="24"/>
          <w:szCs w:val="24"/>
          <w:vertAlign w:val="subscript"/>
        </w:rPr>
        <w:t>2</w:t>
      </w:r>
      <w:r w:rsidRPr="0082371A">
        <w:rPr>
          <w:rFonts w:ascii="Times New Roman" w:hAnsi="Times New Roman" w:cs="Times New Roman"/>
          <w:i/>
          <w:iCs/>
          <w:sz w:val="24"/>
          <w:szCs w:val="24"/>
        </w:rPr>
        <w:t xml:space="preserve">ln </w:t>
      </w:r>
      <w:proofErr w:type="spellStart"/>
      <w:r w:rsidRPr="0082371A">
        <w:rPr>
          <w:rFonts w:ascii="Times New Roman" w:hAnsi="Times New Roman" w:cs="Times New Roman"/>
          <w:i/>
          <w:iCs/>
          <w:sz w:val="24"/>
          <w:szCs w:val="24"/>
        </w:rPr>
        <w:t>REM</w:t>
      </w:r>
      <w:r w:rsidRPr="0082371A">
        <w:rPr>
          <w:rFonts w:ascii="Times New Roman" w:hAnsi="Times New Roman" w:cs="Times New Roman"/>
          <w:i/>
          <w:iCs/>
          <w:sz w:val="24"/>
          <w:szCs w:val="24"/>
          <w:vertAlign w:val="subscript"/>
        </w:rPr>
        <w:t>t</w:t>
      </w:r>
      <w:proofErr w:type="spellEnd"/>
      <w:r w:rsidRPr="0082371A">
        <w:rPr>
          <w:rFonts w:ascii="Times New Roman" w:hAnsi="Times New Roman" w:cs="Times New Roman"/>
          <w:i/>
          <w:iCs/>
          <w:sz w:val="24"/>
          <w:szCs w:val="24"/>
        </w:rPr>
        <w:t xml:space="preserve">) </w:t>
      </w:r>
      <w:r w:rsidRPr="0082371A">
        <w:rPr>
          <w:rFonts w:ascii="Times New Roman" w:hAnsi="Times New Roman" w:cs="Times New Roman"/>
          <w:sz w:val="24"/>
          <w:szCs w:val="24"/>
        </w:rPr>
        <w:t>…………………</w:t>
      </w:r>
      <w:proofErr w:type="gramStart"/>
      <w:r w:rsidRPr="0082371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2371A">
        <w:rPr>
          <w:rFonts w:ascii="Times New Roman" w:hAnsi="Times New Roman" w:cs="Times New Roman"/>
          <w:sz w:val="24"/>
          <w:szCs w:val="24"/>
        </w:rPr>
        <w:t>(</w:t>
      </w:r>
      <w:r w:rsidRPr="00D176A1">
        <w:rPr>
          <w:rFonts w:ascii="Times New Roman" w:hAnsi="Times New Roman" w:cs="Times New Roman"/>
          <w:sz w:val="24"/>
          <w:szCs w:val="24"/>
        </w:rPr>
        <w:t>2)</w:t>
      </w:r>
    </w:p>
    <w:p w14:paraId="26BCABE0" w14:textId="77777777" w:rsidR="00A11211" w:rsidRPr="0082371A" w:rsidRDefault="00A11211" w:rsidP="00A11211">
      <w:pPr>
        <w:spacing w:line="360" w:lineRule="auto"/>
        <w:jc w:val="both"/>
        <w:rPr>
          <w:rFonts w:ascii="Times New Roman" w:hAnsi="Times New Roman" w:cs="Times New Roman"/>
          <w:b/>
          <w:bCs/>
          <w:i/>
          <w:iCs/>
          <w:sz w:val="24"/>
          <w:szCs w:val="24"/>
        </w:rPr>
      </w:pPr>
      <w:r w:rsidRPr="0082371A">
        <w:rPr>
          <w:rFonts w:ascii="Times New Roman" w:hAnsi="Times New Roman" w:cs="Times New Roman"/>
          <w:b/>
          <w:bCs/>
          <w:i/>
          <w:iCs/>
          <w:sz w:val="24"/>
          <w:szCs w:val="24"/>
        </w:rPr>
        <w:t>Unit Root Test</w:t>
      </w:r>
      <w:r w:rsidRPr="0082371A">
        <w:rPr>
          <w:rFonts w:ascii="Times New Roman" w:hAnsi="Times New Roman" w:cs="Times New Roman"/>
          <w:i/>
          <w:iCs/>
          <w:sz w:val="24"/>
          <w:szCs w:val="24"/>
        </w:rPr>
        <w:t xml:space="preserve"> </w:t>
      </w:r>
    </w:p>
    <w:p w14:paraId="2F1A7D8D" w14:textId="77777777"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Both the causality test and the cointegration test require a stationary test (</w:t>
      </w:r>
      <w:proofErr w:type="spellStart"/>
      <w:r w:rsidRPr="00D176A1">
        <w:rPr>
          <w:rFonts w:ascii="Times New Roman" w:hAnsi="Times New Roman" w:cs="Times New Roman"/>
          <w:sz w:val="24"/>
          <w:szCs w:val="24"/>
        </w:rPr>
        <w:t>Gyanwaly</w:t>
      </w:r>
      <w:proofErr w:type="spellEnd"/>
      <w:r w:rsidRPr="00D176A1">
        <w:rPr>
          <w:rFonts w:ascii="Times New Roman" w:hAnsi="Times New Roman" w:cs="Times New Roman"/>
          <w:sz w:val="24"/>
          <w:szCs w:val="24"/>
        </w:rPr>
        <w:t>, 2012). For every series taken into consideration in the analysis, it is critical to test for non-stationary behavior, defined as mean, variance, and auto-covariance that are not constant across time. A series is said to be integrated of order "n" if, after being differentiated "n" times, it becomes stationary. This is the first stage in time series econometrics to establish causation between variables. The next stage is to check for the presence of cointegration, which is the long-term link between variables, if the series are found to be integrated of the same order (Gujarati, D., 2004).</w:t>
      </w:r>
    </w:p>
    <w:p w14:paraId="264F6783" w14:textId="77777777" w:rsidR="00A11211" w:rsidRPr="0082371A" w:rsidRDefault="00A11211" w:rsidP="00A11211">
      <w:pPr>
        <w:spacing w:line="360" w:lineRule="auto"/>
        <w:jc w:val="both"/>
        <w:rPr>
          <w:rFonts w:ascii="Times New Roman" w:hAnsi="Times New Roman" w:cs="Times New Roman"/>
          <w:i/>
          <w:iCs/>
          <w:sz w:val="24"/>
          <w:szCs w:val="24"/>
        </w:rPr>
      </w:pPr>
      <w:r w:rsidRPr="0082371A">
        <w:rPr>
          <w:rFonts w:ascii="Times New Roman" w:hAnsi="Times New Roman" w:cs="Times New Roman"/>
          <w:b/>
          <w:bCs/>
          <w:i/>
          <w:iCs/>
          <w:sz w:val="24"/>
          <w:szCs w:val="24"/>
        </w:rPr>
        <w:t>Error Correction Mechanism (ECM)</w:t>
      </w:r>
    </w:p>
    <w:p w14:paraId="4F42C589" w14:textId="577E8478"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 xml:space="preserve">Since the cointegration tests described in the preceding section showed that the variables in our analysis are cointegrated of order one, i.e., the long-run causality, the ECM mechanism is </w:t>
      </w:r>
      <w:r w:rsidR="001447B0" w:rsidRPr="00D176A1">
        <w:rPr>
          <w:rFonts w:ascii="Times New Roman" w:hAnsi="Times New Roman" w:cs="Times New Roman"/>
          <w:sz w:val="24"/>
          <w:szCs w:val="24"/>
        </w:rPr>
        <w:t>utilized</w:t>
      </w:r>
      <w:r w:rsidRPr="00D176A1">
        <w:rPr>
          <w:rFonts w:ascii="Times New Roman" w:hAnsi="Times New Roman" w:cs="Times New Roman"/>
          <w:sz w:val="24"/>
          <w:szCs w:val="24"/>
        </w:rPr>
        <w:t xml:space="preserve"> in this paper to evaluate the link between GDP and remittances. Error-correction mechanism (ECM) is employed to test the relationship in equation (2), because the Engle-Granger critical value indicates that the model has long-run association ship. Based on the error-correction term ECT (-1), the ECM can evaluate long-term causal linkages and can be expressed as;</w:t>
      </w:r>
    </w:p>
    <w:p w14:paraId="4FA0F468" w14:textId="69D2CA82" w:rsidR="00A11211" w:rsidRPr="0082371A" w:rsidRDefault="00A11211" w:rsidP="00A11211">
      <w:pPr>
        <w:spacing w:line="360" w:lineRule="auto"/>
        <w:jc w:val="both"/>
        <w:rPr>
          <w:rFonts w:ascii="Times New Roman" w:hAnsi="Times New Roman" w:cs="Times New Roman"/>
          <w:sz w:val="24"/>
          <w:szCs w:val="24"/>
        </w:rPr>
      </w:pPr>
      <w:r w:rsidRPr="00D176A1">
        <w:rPr>
          <w:rFonts w:ascii="Times New Roman" w:hAnsi="Times New Roman" w:cs="Times New Roman"/>
          <w:b/>
          <w:bCs/>
          <w:sz w:val="24"/>
          <w:szCs w:val="24"/>
        </w:rPr>
        <w:t xml:space="preserve">  </w:t>
      </w:r>
      <w:r w:rsidRPr="0082371A">
        <w:rPr>
          <w:rFonts w:ascii="Times New Roman" w:hAnsi="Times New Roman" w:cs="Times New Roman"/>
          <w:sz w:val="24"/>
          <w:szCs w:val="24"/>
        </w:rPr>
        <w:t xml:space="preserve">∆ </w:t>
      </w:r>
      <w:r w:rsidRPr="0082371A">
        <w:rPr>
          <w:rFonts w:ascii="Times New Roman" w:hAnsi="Times New Roman" w:cs="Times New Roman"/>
          <w:i/>
          <w:iCs/>
          <w:sz w:val="24"/>
          <w:szCs w:val="24"/>
        </w:rPr>
        <w:t>ln</w:t>
      </w:r>
      <w:r w:rsidRPr="0082371A">
        <w:rPr>
          <w:rFonts w:ascii="Times New Roman" w:hAnsi="Times New Roman" w:cs="Times New Roman"/>
          <w:sz w:val="24"/>
          <w:szCs w:val="24"/>
        </w:rPr>
        <w:t xml:space="preserve"> GDP</w:t>
      </w:r>
      <w:r w:rsidRPr="0082371A">
        <w:rPr>
          <w:rFonts w:ascii="Times New Roman" w:hAnsi="Times New Roman" w:cs="Times New Roman"/>
          <w:sz w:val="24"/>
          <w:szCs w:val="24"/>
          <w:vertAlign w:val="subscript"/>
        </w:rPr>
        <w:t>t</w:t>
      </w:r>
      <w:r w:rsidRPr="0082371A">
        <w:rPr>
          <w:rFonts w:ascii="Times New Roman" w:hAnsi="Times New Roman" w:cs="Times New Roman"/>
          <w:sz w:val="24"/>
          <w:szCs w:val="24"/>
        </w:rPr>
        <w:t xml:space="preserve">= </w:t>
      </w:r>
      <w:r w:rsidRPr="0082371A">
        <w:rPr>
          <w:rFonts w:ascii="Times New Roman" w:hAnsi="Times New Roman" w:cs="Times New Roman"/>
          <w:i/>
          <w:iCs/>
          <w:sz w:val="24"/>
          <w:szCs w:val="24"/>
        </w:rPr>
        <w:t>α +β</w:t>
      </w:r>
      <w:r w:rsidRPr="0082371A">
        <w:rPr>
          <w:rFonts w:ascii="Times New Roman" w:hAnsi="Times New Roman" w:cs="Times New Roman"/>
          <w:i/>
          <w:iCs/>
          <w:sz w:val="24"/>
          <w:szCs w:val="24"/>
          <w:vertAlign w:val="subscript"/>
        </w:rPr>
        <w:t>1</w:t>
      </w:r>
      <w:r w:rsidRPr="0082371A">
        <w:rPr>
          <w:rFonts w:ascii="Times New Roman" w:hAnsi="Times New Roman" w:cs="Times New Roman"/>
          <w:sz w:val="24"/>
          <w:szCs w:val="24"/>
        </w:rPr>
        <w:t xml:space="preserve"> ∆ </w:t>
      </w:r>
      <w:r w:rsidRPr="0082371A">
        <w:rPr>
          <w:rFonts w:ascii="Times New Roman" w:hAnsi="Times New Roman" w:cs="Times New Roman"/>
          <w:i/>
          <w:iCs/>
          <w:sz w:val="24"/>
          <w:szCs w:val="24"/>
        </w:rPr>
        <w:t xml:space="preserve">ln </w:t>
      </w:r>
      <w:proofErr w:type="spellStart"/>
      <w:r w:rsidRPr="0082371A">
        <w:rPr>
          <w:rFonts w:ascii="Times New Roman" w:hAnsi="Times New Roman" w:cs="Times New Roman"/>
          <w:i/>
          <w:iCs/>
          <w:sz w:val="24"/>
          <w:szCs w:val="24"/>
        </w:rPr>
        <w:t>GFCF</w:t>
      </w:r>
      <w:r w:rsidRPr="0082371A">
        <w:rPr>
          <w:rFonts w:ascii="Times New Roman" w:hAnsi="Times New Roman" w:cs="Times New Roman"/>
          <w:sz w:val="24"/>
          <w:szCs w:val="24"/>
          <w:vertAlign w:val="subscript"/>
        </w:rPr>
        <w:t>t</w:t>
      </w:r>
      <w:proofErr w:type="spellEnd"/>
      <w:r w:rsidRPr="0082371A">
        <w:rPr>
          <w:rFonts w:ascii="Times New Roman" w:hAnsi="Times New Roman" w:cs="Times New Roman"/>
          <w:i/>
          <w:iCs/>
          <w:sz w:val="24"/>
          <w:szCs w:val="24"/>
        </w:rPr>
        <w:t>+ β</w:t>
      </w:r>
      <w:r w:rsidRPr="0082371A">
        <w:rPr>
          <w:rFonts w:ascii="Times New Roman" w:hAnsi="Times New Roman" w:cs="Times New Roman"/>
          <w:i/>
          <w:iCs/>
          <w:sz w:val="24"/>
          <w:szCs w:val="24"/>
          <w:vertAlign w:val="subscript"/>
        </w:rPr>
        <w:t>2</w:t>
      </w:r>
      <w:r w:rsidRPr="0082371A">
        <w:rPr>
          <w:rFonts w:ascii="Times New Roman" w:hAnsi="Times New Roman" w:cs="Times New Roman"/>
          <w:sz w:val="24"/>
          <w:szCs w:val="24"/>
        </w:rPr>
        <w:t xml:space="preserve"> ∆ </w:t>
      </w:r>
      <w:r w:rsidRPr="0082371A">
        <w:rPr>
          <w:rFonts w:ascii="Times New Roman" w:hAnsi="Times New Roman" w:cs="Times New Roman"/>
          <w:i/>
          <w:iCs/>
          <w:sz w:val="24"/>
          <w:szCs w:val="24"/>
        </w:rPr>
        <w:t xml:space="preserve">ln </w:t>
      </w:r>
      <w:proofErr w:type="spellStart"/>
      <w:r w:rsidRPr="0082371A">
        <w:rPr>
          <w:rFonts w:ascii="Times New Roman" w:hAnsi="Times New Roman" w:cs="Times New Roman"/>
          <w:i/>
          <w:iCs/>
          <w:sz w:val="24"/>
          <w:szCs w:val="24"/>
        </w:rPr>
        <w:t>REM</w:t>
      </w:r>
      <w:r w:rsidRPr="0082371A">
        <w:rPr>
          <w:rFonts w:ascii="Times New Roman" w:hAnsi="Times New Roman" w:cs="Times New Roman"/>
          <w:sz w:val="24"/>
          <w:szCs w:val="24"/>
          <w:vertAlign w:val="subscript"/>
        </w:rPr>
        <w:t>t</w:t>
      </w:r>
      <w:proofErr w:type="spellEnd"/>
      <w:r w:rsidRPr="0082371A">
        <w:rPr>
          <w:rFonts w:ascii="Times New Roman" w:hAnsi="Times New Roman" w:cs="Times New Roman"/>
          <w:i/>
          <w:iCs/>
          <w:sz w:val="24"/>
          <w:szCs w:val="24"/>
        </w:rPr>
        <w:t xml:space="preserve"> +</w:t>
      </w:r>
      <w:proofErr w:type="spellStart"/>
      <w:r w:rsidRPr="0082371A">
        <w:rPr>
          <w:rFonts w:ascii="Times New Roman" w:hAnsi="Times New Roman" w:cs="Times New Roman"/>
          <w:i/>
          <w:iCs/>
          <w:sz w:val="24"/>
          <w:szCs w:val="24"/>
        </w:rPr>
        <w:t>μ</w:t>
      </w:r>
      <w:r w:rsidRPr="0082371A">
        <w:rPr>
          <w:rFonts w:ascii="Times New Roman" w:hAnsi="Times New Roman" w:cs="Times New Roman"/>
          <w:i/>
          <w:iCs/>
          <w:sz w:val="24"/>
          <w:szCs w:val="24"/>
          <w:vertAlign w:val="subscript"/>
        </w:rPr>
        <w:t>i</w:t>
      </w:r>
      <w:proofErr w:type="spellEnd"/>
      <w:r w:rsidRPr="0082371A">
        <w:rPr>
          <w:rFonts w:ascii="Times New Roman" w:hAnsi="Times New Roman" w:cs="Times New Roman"/>
          <w:sz w:val="24"/>
          <w:szCs w:val="24"/>
        </w:rPr>
        <w:t>…………………</w:t>
      </w:r>
      <w:r w:rsidR="001447B0">
        <w:rPr>
          <w:rFonts w:ascii="Times New Roman" w:hAnsi="Times New Roman" w:cs="Times New Roman"/>
          <w:sz w:val="24"/>
          <w:szCs w:val="24"/>
        </w:rPr>
        <w:t>………………</w:t>
      </w:r>
      <w:proofErr w:type="gramStart"/>
      <w:r w:rsidR="001447B0">
        <w:rPr>
          <w:rFonts w:ascii="Times New Roman" w:hAnsi="Times New Roman" w:cs="Times New Roman"/>
          <w:sz w:val="24"/>
          <w:szCs w:val="24"/>
        </w:rPr>
        <w:t>…..</w:t>
      </w:r>
      <w:proofErr w:type="gramEnd"/>
      <w:r w:rsidR="001447B0">
        <w:rPr>
          <w:rFonts w:ascii="Times New Roman" w:hAnsi="Times New Roman" w:cs="Times New Roman"/>
          <w:sz w:val="24"/>
          <w:szCs w:val="24"/>
        </w:rPr>
        <w:t xml:space="preserve"> </w:t>
      </w:r>
      <w:r w:rsidRPr="0082371A">
        <w:rPr>
          <w:rFonts w:ascii="Times New Roman" w:hAnsi="Times New Roman" w:cs="Times New Roman"/>
          <w:sz w:val="24"/>
          <w:szCs w:val="24"/>
        </w:rPr>
        <w:t>(2)</w:t>
      </w:r>
    </w:p>
    <w:p w14:paraId="6CCD193D" w14:textId="252408F2" w:rsidR="00A11211" w:rsidRDefault="00A11211" w:rsidP="00A11211">
      <w:pPr>
        <w:spacing w:line="360" w:lineRule="auto"/>
        <w:jc w:val="both"/>
        <w:rPr>
          <w:rFonts w:ascii="Times New Roman" w:hAnsi="Times New Roman" w:cs="Times New Roman"/>
          <w:sz w:val="24"/>
          <w:szCs w:val="24"/>
        </w:rPr>
      </w:pPr>
      <w:r w:rsidRPr="00D176A1">
        <w:rPr>
          <w:rFonts w:ascii="Times New Roman" w:hAnsi="Times New Roman" w:cs="Times New Roman"/>
          <w:sz w:val="24"/>
          <w:szCs w:val="24"/>
        </w:rPr>
        <w:t xml:space="preserve">Where ECTt-1 is the error correction term (ECT) resulting from the long-run cointegration relationship, and </w:t>
      </w:r>
      <w:proofErr w:type="spellStart"/>
      <w:r w:rsidRPr="00D176A1">
        <w:rPr>
          <w:rFonts w:ascii="Times New Roman" w:hAnsi="Times New Roman" w:cs="Times New Roman"/>
          <w:i/>
          <w:iCs/>
          <w:sz w:val="24"/>
          <w:szCs w:val="24"/>
        </w:rPr>
        <w:t>μ</w:t>
      </w:r>
      <w:r w:rsidRPr="00D176A1">
        <w:rPr>
          <w:rFonts w:ascii="Times New Roman" w:hAnsi="Times New Roman" w:cs="Times New Roman"/>
          <w:i/>
          <w:iCs/>
          <w:sz w:val="24"/>
          <w:szCs w:val="24"/>
          <w:vertAlign w:val="subscript"/>
        </w:rPr>
        <w:t>i</w:t>
      </w:r>
      <w:proofErr w:type="spellEnd"/>
      <w:r w:rsidRPr="00D176A1">
        <w:rPr>
          <w:rFonts w:ascii="Times New Roman" w:hAnsi="Times New Roman" w:cs="Times New Roman"/>
          <w:i/>
          <w:iCs/>
          <w:sz w:val="24"/>
          <w:szCs w:val="24"/>
          <w:vertAlign w:val="subscript"/>
        </w:rPr>
        <w:t xml:space="preserve"> </w:t>
      </w:r>
      <w:r w:rsidRPr="00D176A1">
        <w:rPr>
          <w:rFonts w:ascii="Times New Roman" w:hAnsi="Times New Roman" w:cs="Times New Roman"/>
          <w:sz w:val="24"/>
          <w:szCs w:val="24"/>
        </w:rPr>
        <w:t>is the white noise error term, ∆ denotes the first difference of variables that captures their short-run disturbances throughout periods t=1,2,</w:t>
      </w:r>
      <w:r>
        <w:rPr>
          <w:rFonts w:ascii="Times New Roman" w:hAnsi="Times New Roman" w:cs="Times New Roman"/>
          <w:sz w:val="24"/>
          <w:szCs w:val="24"/>
        </w:rPr>
        <w:t xml:space="preserve"> </w:t>
      </w:r>
      <w:r w:rsidRPr="00D176A1">
        <w:rPr>
          <w:rFonts w:ascii="Times New Roman" w:hAnsi="Times New Roman" w:cs="Times New Roman"/>
          <w:sz w:val="24"/>
          <w:szCs w:val="24"/>
        </w:rPr>
        <w:t>3, 4,</w:t>
      </w:r>
      <w:r>
        <w:rPr>
          <w:rFonts w:ascii="Times New Roman" w:hAnsi="Times New Roman" w:cs="Times New Roman"/>
          <w:sz w:val="24"/>
          <w:szCs w:val="24"/>
        </w:rPr>
        <w:t xml:space="preserve"> </w:t>
      </w:r>
      <w:r w:rsidRPr="00D176A1">
        <w:rPr>
          <w:rFonts w:ascii="Times New Roman" w:hAnsi="Times New Roman" w:cs="Times New Roman"/>
          <w:sz w:val="24"/>
          <w:szCs w:val="24"/>
        </w:rPr>
        <w:t>…….</w:t>
      </w:r>
      <w:r w:rsidR="001447B0">
        <w:rPr>
          <w:rFonts w:ascii="Times New Roman" w:hAnsi="Times New Roman" w:cs="Times New Roman"/>
          <w:sz w:val="24"/>
          <w:szCs w:val="24"/>
        </w:rPr>
        <w:t xml:space="preserve"> n.</w:t>
      </w:r>
    </w:p>
    <w:p w14:paraId="28CDF027" w14:textId="77777777" w:rsidR="001447B0" w:rsidRDefault="001447B0" w:rsidP="00A11211">
      <w:pPr>
        <w:spacing w:line="360" w:lineRule="auto"/>
        <w:jc w:val="both"/>
        <w:rPr>
          <w:rFonts w:ascii="Times New Roman" w:hAnsi="Times New Roman" w:cs="Times New Roman"/>
          <w:sz w:val="24"/>
          <w:szCs w:val="24"/>
        </w:rPr>
      </w:pPr>
    </w:p>
    <w:p w14:paraId="56C9EA93" w14:textId="77777777" w:rsidR="001447B0" w:rsidRPr="00D176A1" w:rsidRDefault="001447B0" w:rsidP="00A11211">
      <w:pPr>
        <w:spacing w:line="360" w:lineRule="auto"/>
        <w:jc w:val="both"/>
        <w:rPr>
          <w:rFonts w:ascii="Times New Roman" w:hAnsi="Times New Roman" w:cs="Times New Roman"/>
          <w:sz w:val="24"/>
          <w:szCs w:val="24"/>
        </w:rPr>
      </w:pPr>
    </w:p>
    <w:p w14:paraId="134E22BD" w14:textId="77777777" w:rsidR="00A11211" w:rsidRPr="0082371A" w:rsidRDefault="00A11211" w:rsidP="00A11211">
      <w:pPr>
        <w:spacing w:line="360" w:lineRule="auto"/>
        <w:jc w:val="both"/>
        <w:rPr>
          <w:rFonts w:ascii="Times New Roman" w:hAnsi="Times New Roman" w:cs="Times New Roman"/>
          <w:b/>
          <w:bCs/>
          <w:i/>
          <w:iCs/>
          <w:sz w:val="24"/>
          <w:szCs w:val="24"/>
        </w:rPr>
      </w:pPr>
      <w:r w:rsidRPr="0082371A">
        <w:rPr>
          <w:rFonts w:ascii="Times New Roman" w:hAnsi="Times New Roman" w:cs="Times New Roman"/>
          <w:b/>
          <w:bCs/>
          <w:i/>
          <w:iCs/>
          <w:sz w:val="24"/>
          <w:szCs w:val="24"/>
        </w:rPr>
        <w:lastRenderedPageBreak/>
        <w:t xml:space="preserve">Long-Run and Short Run Relationship </w:t>
      </w:r>
    </w:p>
    <w:p w14:paraId="37975D97" w14:textId="2B8AAB8D"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The pace of adjustment is indicated by the ECT coefficient, which also explains the long-term relationship between the dependent and independent variables. The size of coefficient of ECT provides information on how much the dependent variables have deviated from the long-term equilibrium, and its significance coefficient implies that the dependent variables are derived from the long-term mechanism in the equilibrium connection. A negative number between 0 and -1, according to the general rule, shows roughly how many periods the equilibrium is regained. The ECT coefficient should also be substantial. Analyzing the significance of the independent variable's coefficients allows us to assess the short-run relationship at the same time.</w:t>
      </w:r>
    </w:p>
    <w:p w14:paraId="44EE34C9" w14:textId="77777777" w:rsidR="00A11211" w:rsidRPr="005B25C1" w:rsidRDefault="00A11211" w:rsidP="00A11211">
      <w:pPr>
        <w:spacing w:line="360" w:lineRule="auto"/>
        <w:jc w:val="both"/>
        <w:rPr>
          <w:rFonts w:ascii="Times New Roman" w:hAnsi="Times New Roman" w:cs="Times New Roman"/>
          <w:b/>
          <w:sz w:val="28"/>
          <w:szCs w:val="28"/>
        </w:rPr>
      </w:pPr>
      <w:r w:rsidRPr="005B25C1">
        <w:rPr>
          <w:rFonts w:ascii="Times New Roman" w:hAnsi="Times New Roman" w:cs="Times New Roman"/>
          <w:b/>
          <w:sz w:val="28"/>
          <w:szCs w:val="28"/>
        </w:rPr>
        <w:t>IV. Results and Discussions</w:t>
      </w:r>
    </w:p>
    <w:p w14:paraId="016BCF13" w14:textId="77777777"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The major goal of the study is to look at the relationship between remittances and economic growth in the Indian economy from 1980 to 2021. If remittances are used effectively, they can significantly increase saving, investment, the creation of human capital, and household consumption, lowering poverty and raising the country's GDP. Remittances' impact on development is mostly influenced by their volume and successful usage by the recipient. Consequently, remittances can get through the saving and foreign exchange restrictions, allowing an economy to grow at a faster rate (Nayyar, 2008).</w:t>
      </w:r>
    </w:p>
    <w:p w14:paraId="1FF3CD64" w14:textId="0E81AFB4" w:rsidR="00A1121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The co</w:t>
      </w:r>
      <w:r>
        <w:rPr>
          <w:rFonts w:ascii="Times New Roman" w:hAnsi="Times New Roman" w:cs="Times New Roman"/>
          <w:sz w:val="24"/>
          <w:szCs w:val="24"/>
        </w:rPr>
        <w:t>-</w:t>
      </w:r>
      <w:r w:rsidRPr="00D176A1">
        <w:rPr>
          <w:rFonts w:ascii="Times New Roman" w:hAnsi="Times New Roman" w:cs="Times New Roman"/>
          <w:sz w:val="24"/>
          <w:szCs w:val="24"/>
        </w:rPr>
        <w:t xml:space="preserve">integration and VECM techniques are applied on selected indicators to determine the relationship between remittances and the expansion of the Indian economy. Through the ADF test, the unit root situation among the chosen variables is examined. All of the selected variables are discovered to be non-stationary at level with constant term. Table-1 summarizes the ADF results and all the variables were found to be stationary when considering the first difference. Therefore, all of the chosen variables are integrated in the same order, i.e. </w:t>
      </w:r>
      <w:proofErr w:type="gramStart"/>
      <w:r w:rsidR="00162CD8">
        <w:rPr>
          <w:rFonts w:ascii="Times New Roman" w:hAnsi="Times New Roman" w:cs="Times New Roman"/>
          <w:sz w:val="24"/>
          <w:szCs w:val="24"/>
        </w:rPr>
        <w:t>I</w:t>
      </w:r>
      <w:r w:rsidRPr="00D176A1">
        <w:rPr>
          <w:rFonts w:ascii="Times New Roman" w:hAnsi="Times New Roman" w:cs="Times New Roman"/>
          <w:sz w:val="24"/>
          <w:szCs w:val="24"/>
        </w:rPr>
        <w:t>(</w:t>
      </w:r>
      <w:proofErr w:type="gramEnd"/>
      <w:r w:rsidRPr="00D176A1">
        <w:rPr>
          <w:rFonts w:ascii="Times New Roman" w:hAnsi="Times New Roman" w:cs="Times New Roman"/>
          <w:sz w:val="24"/>
          <w:szCs w:val="24"/>
        </w:rPr>
        <w:t>1).</w:t>
      </w:r>
    </w:p>
    <w:p w14:paraId="671B45BA" w14:textId="77777777" w:rsidR="00A11211" w:rsidRDefault="00A11211" w:rsidP="00A11211">
      <w:pPr>
        <w:spacing w:line="360" w:lineRule="auto"/>
        <w:jc w:val="both"/>
        <w:rPr>
          <w:rFonts w:ascii="Times New Roman" w:hAnsi="Times New Roman" w:cs="Times New Roman"/>
          <w:sz w:val="24"/>
          <w:szCs w:val="24"/>
        </w:rPr>
      </w:pPr>
    </w:p>
    <w:p w14:paraId="26CB895B" w14:textId="77777777" w:rsidR="00B41F09" w:rsidRDefault="00B41F09" w:rsidP="00A11211">
      <w:pPr>
        <w:spacing w:line="360" w:lineRule="auto"/>
        <w:jc w:val="both"/>
        <w:rPr>
          <w:rFonts w:ascii="Times New Roman" w:hAnsi="Times New Roman" w:cs="Times New Roman"/>
          <w:sz w:val="24"/>
          <w:szCs w:val="24"/>
        </w:rPr>
      </w:pPr>
    </w:p>
    <w:p w14:paraId="08D961BF" w14:textId="77777777" w:rsidR="00B41F09" w:rsidRDefault="00B41F09" w:rsidP="00A11211">
      <w:pPr>
        <w:spacing w:line="360" w:lineRule="auto"/>
        <w:jc w:val="both"/>
        <w:rPr>
          <w:rFonts w:ascii="Times New Roman" w:hAnsi="Times New Roman" w:cs="Times New Roman"/>
          <w:sz w:val="24"/>
          <w:szCs w:val="24"/>
        </w:rPr>
      </w:pPr>
    </w:p>
    <w:p w14:paraId="6A7B9962" w14:textId="77777777" w:rsidR="00B41F09" w:rsidRDefault="00B41F09" w:rsidP="00A11211">
      <w:pPr>
        <w:spacing w:line="360" w:lineRule="auto"/>
        <w:jc w:val="both"/>
        <w:rPr>
          <w:rFonts w:ascii="Times New Roman" w:hAnsi="Times New Roman" w:cs="Times New Roman"/>
          <w:sz w:val="24"/>
          <w:szCs w:val="24"/>
        </w:rPr>
      </w:pPr>
    </w:p>
    <w:tbl>
      <w:tblPr>
        <w:tblStyle w:val="PlainTable2"/>
        <w:tblpPr w:leftFromText="180" w:rightFromText="180" w:vertAnchor="text" w:horzAnchor="margin" w:tblpXSpec="center" w:tblpY="530"/>
        <w:tblW w:w="4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115"/>
        <w:gridCol w:w="3095"/>
      </w:tblGrid>
      <w:tr w:rsidR="00E3323C" w:rsidRPr="00D176A1" w14:paraId="5057BCC4" w14:textId="77777777" w:rsidTr="00E3323C">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568" w:type="pct"/>
          </w:tcPr>
          <w:p w14:paraId="501894EF" w14:textId="77777777" w:rsidR="00E3323C" w:rsidRPr="00D176A1" w:rsidRDefault="00E3323C" w:rsidP="00E3323C">
            <w:pPr>
              <w:spacing w:line="360" w:lineRule="auto"/>
              <w:jc w:val="center"/>
              <w:rPr>
                <w:rFonts w:ascii="Times New Roman" w:hAnsi="Times New Roman" w:cs="Times New Roman"/>
                <w:sz w:val="24"/>
                <w:szCs w:val="24"/>
              </w:rPr>
            </w:pPr>
            <w:r w:rsidRPr="00D176A1">
              <w:rPr>
                <w:rFonts w:ascii="Times New Roman" w:hAnsi="Times New Roman" w:cs="Times New Roman"/>
                <w:sz w:val="24"/>
                <w:szCs w:val="24"/>
              </w:rPr>
              <w:lastRenderedPageBreak/>
              <w:t>Variables</w:t>
            </w:r>
          </w:p>
        </w:tc>
        <w:tc>
          <w:tcPr>
            <w:tcW w:w="1393" w:type="pct"/>
          </w:tcPr>
          <w:p w14:paraId="5A168032" w14:textId="77777777" w:rsidR="00E3323C" w:rsidRPr="00D176A1" w:rsidRDefault="00E3323C" w:rsidP="00E332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ADF at Level</w:t>
            </w:r>
          </w:p>
        </w:tc>
        <w:tc>
          <w:tcPr>
            <w:tcW w:w="2039" w:type="pct"/>
          </w:tcPr>
          <w:p w14:paraId="2C40E32B" w14:textId="77777777" w:rsidR="00E3323C" w:rsidRPr="00D176A1" w:rsidRDefault="00E3323C" w:rsidP="00E3323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ADF at 1</w:t>
            </w:r>
            <w:r w:rsidRPr="00D176A1">
              <w:rPr>
                <w:rFonts w:ascii="Times New Roman" w:hAnsi="Times New Roman" w:cs="Times New Roman"/>
                <w:sz w:val="24"/>
                <w:szCs w:val="24"/>
                <w:vertAlign w:val="superscript"/>
              </w:rPr>
              <w:t>st</w:t>
            </w:r>
            <w:r w:rsidRPr="00D176A1">
              <w:rPr>
                <w:rFonts w:ascii="Times New Roman" w:hAnsi="Times New Roman" w:cs="Times New Roman"/>
                <w:sz w:val="24"/>
                <w:szCs w:val="24"/>
              </w:rPr>
              <w:t xml:space="preserve"> difference</w:t>
            </w:r>
          </w:p>
        </w:tc>
      </w:tr>
      <w:tr w:rsidR="00E3323C" w:rsidRPr="00D176A1" w14:paraId="29379AFE" w14:textId="77777777" w:rsidTr="00E3323C">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568" w:type="pct"/>
          </w:tcPr>
          <w:p w14:paraId="50F1845E" w14:textId="77777777" w:rsidR="00E3323C" w:rsidRPr="00D176A1" w:rsidRDefault="00E3323C" w:rsidP="00E3323C">
            <w:pPr>
              <w:spacing w:line="360" w:lineRule="auto"/>
              <w:jc w:val="center"/>
              <w:rPr>
                <w:rFonts w:ascii="Times New Roman" w:hAnsi="Times New Roman" w:cs="Times New Roman"/>
                <w:sz w:val="24"/>
                <w:szCs w:val="24"/>
              </w:rPr>
            </w:pPr>
            <w:r w:rsidRPr="00D176A1">
              <w:rPr>
                <w:rFonts w:ascii="Times New Roman" w:hAnsi="Times New Roman" w:cs="Times New Roman"/>
                <w:i/>
                <w:iCs/>
                <w:sz w:val="24"/>
                <w:szCs w:val="24"/>
              </w:rPr>
              <w:t xml:space="preserve">ln </w:t>
            </w:r>
            <w:r w:rsidRPr="00D176A1">
              <w:rPr>
                <w:rFonts w:ascii="Times New Roman" w:hAnsi="Times New Roman" w:cs="Times New Roman"/>
                <w:sz w:val="24"/>
                <w:szCs w:val="24"/>
              </w:rPr>
              <w:t>GDP</w:t>
            </w:r>
          </w:p>
        </w:tc>
        <w:tc>
          <w:tcPr>
            <w:tcW w:w="1393" w:type="pct"/>
          </w:tcPr>
          <w:p w14:paraId="5C6FE9D5" w14:textId="77777777" w:rsidR="00E3323C" w:rsidRPr="00D176A1" w:rsidRDefault="00E3323C" w:rsidP="00E332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0.959418</w:t>
            </w:r>
          </w:p>
        </w:tc>
        <w:tc>
          <w:tcPr>
            <w:tcW w:w="2039" w:type="pct"/>
          </w:tcPr>
          <w:p w14:paraId="4C6A687F" w14:textId="77777777" w:rsidR="00E3323C" w:rsidRPr="00D176A1" w:rsidRDefault="00E3323C" w:rsidP="00E332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-5.952947*</w:t>
            </w:r>
          </w:p>
        </w:tc>
      </w:tr>
      <w:tr w:rsidR="00E3323C" w:rsidRPr="00D176A1" w14:paraId="2AC16800" w14:textId="77777777" w:rsidTr="00E3323C">
        <w:trPr>
          <w:trHeight w:val="181"/>
        </w:trPr>
        <w:tc>
          <w:tcPr>
            <w:cnfStyle w:val="001000000000" w:firstRow="0" w:lastRow="0" w:firstColumn="1" w:lastColumn="0" w:oddVBand="0" w:evenVBand="0" w:oddHBand="0" w:evenHBand="0" w:firstRowFirstColumn="0" w:firstRowLastColumn="0" w:lastRowFirstColumn="0" w:lastRowLastColumn="0"/>
            <w:tcW w:w="1568" w:type="pct"/>
          </w:tcPr>
          <w:p w14:paraId="5541C75B" w14:textId="77777777" w:rsidR="00E3323C" w:rsidRPr="00D176A1" w:rsidRDefault="00E3323C" w:rsidP="00E3323C">
            <w:pPr>
              <w:spacing w:line="360" w:lineRule="auto"/>
              <w:jc w:val="center"/>
              <w:rPr>
                <w:rFonts w:ascii="Times New Roman" w:hAnsi="Times New Roman" w:cs="Times New Roman"/>
                <w:sz w:val="24"/>
                <w:szCs w:val="24"/>
              </w:rPr>
            </w:pPr>
            <w:r w:rsidRPr="00D176A1">
              <w:rPr>
                <w:rFonts w:ascii="Times New Roman" w:hAnsi="Times New Roman" w:cs="Times New Roman"/>
                <w:i/>
                <w:iCs/>
                <w:sz w:val="24"/>
                <w:szCs w:val="24"/>
              </w:rPr>
              <w:t xml:space="preserve">ln </w:t>
            </w:r>
            <w:r w:rsidRPr="00D176A1">
              <w:rPr>
                <w:rFonts w:ascii="Times New Roman" w:hAnsi="Times New Roman" w:cs="Times New Roman"/>
                <w:sz w:val="24"/>
                <w:szCs w:val="24"/>
              </w:rPr>
              <w:t>GFCF</w:t>
            </w:r>
          </w:p>
        </w:tc>
        <w:tc>
          <w:tcPr>
            <w:tcW w:w="1393" w:type="pct"/>
          </w:tcPr>
          <w:p w14:paraId="5789DA07" w14:textId="77777777" w:rsidR="00E3323C" w:rsidRPr="00D176A1" w:rsidRDefault="00E3323C" w:rsidP="00E332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4.584147</w:t>
            </w:r>
          </w:p>
        </w:tc>
        <w:tc>
          <w:tcPr>
            <w:tcW w:w="2039" w:type="pct"/>
          </w:tcPr>
          <w:p w14:paraId="5E7E34EE" w14:textId="77777777" w:rsidR="00E3323C" w:rsidRPr="00D176A1" w:rsidRDefault="00E3323C" w:rsidP="00E3323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-2.290769**</w:t>
            </w:r>
          </w:p>
        </w:tc>
      </w:tr>
      <w:tr w:rsidR="00E3323C" w:rsidRPr="00D176A1" w14:paraId="26CE1316" w14:textId="77777777" w:rsidTr="00E3323C">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1568" w:type="pct"/>
          </w:tcPr>
          <w:p w14:paraId="58BFA429" w14:textId="77777777" w:rsidR="00E3323C" w:rsidRPr="00D176A1" w:rsidRDefault="00E3323C" w:rsidP="00E3323C">
            <w:pPr>
              <w:spacing w:line="360" w:lineRule="auto"/>
              <w:jc w:val="center"/>
              <w:rPr>
                <w:rFonts w:ascii="Times New Roman" w:hAnsi="Times New Roman" w:cs="Times New Roman"/>
                <w:sz w:val="24"/>
                <w:szCs w:val="24"/>
              </w:rPr>
            </w:pPr>
            <w:r w:rsidRPr="00D176A1">
              <w:rPr>
                <w:rFonts w:ascii="Times New Roman" w:hAnsi="Times New Roman" w:cs="Times New Roman"/>
                <w:i/>
                <w:iCs/>
                <w:sz w:val="24"/>
                <w:szCs w:val="24"/>
              </w:rPr>
              <w:t xml:space="preserve">ln </w:t>
            </w:r>
            <w:r w:rsidRPr="00D176A1">
              <w:rPr>
                <w:rFonts w:ascii="Times New Roman" w:hAnsi="Times New Roman" w:cs="Times New Roman"/>
                <w:sz w:val="24"/>
                <w:szCs w:val="24"/>
              </w:rPr>
              <w:t>REM</w:t>
            </w:r>
          </w:p>
        </w:tc>
        <w:tc>
          <w:tcPr>
            <w:tcW w:w="1393" w:type="pct"/>
          </w:tcPr>
          <w:p w14:paraId="4B09A2C5" w14:textId="77777777" w:rsidR="00E3323C" w:rsidRPr="00D176A1" w:rsidRDefault="00E3323C" w:rsidP="00E332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3.517464</w:t>
            </w:r>
          </w:p>
        </w:tc>
        <w:tc>
          <w:tcPr>
            <w:tcW w:w="2039" w:type="pct"/>
          </w:tcPr>
          <w:p w14:paraId="4BB62C4B" w14:textId="77777777" w:rsidR="00E3323C" w:rsidRPr="00D176A1" w:rsidRDefault="00E3323C" w:rsidP="00E3323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-7.050117*</w:t>
            </w:r>
          </w:p>
        </w:tc>
      </w:tr>
    </w:tbl>
    <w:p w14:paraId="51A5C2B1" w14:textId="486A8C8E" w:rsidR="00A11211" w:rsidRPr="00E3323C" w:rsidRDefault="00E3323C" w:rsidP="00A11211">
      <w:pPr>
        <w:spacing w:line="360" w:lineRule="auto"/>
        <w:jc w:val="both"/>
        <w:rPr>
          <w:rFonts w:ascii="Times New Roman" w:hAnsi="Times New Roman" w:cs="Times New Roman"/>
          <w:b/>
          <w:bCs/>
          <w:iCs/>
          <w:sz w:val="24"/>
          <w:szCs w:val="24"/>
        </w:rPr>
      </w:pPr>
      <w:r w:rsidRPr="00E3323C">
        <w:rPr>
          <w:rFonts w:ascii="Times New Roman" w:hAnsi="Times New Roman" w:cs="Times New Roman"/>
          <w:b/>
          <w:bCs/>
          <w:iCs/>
          <w:sz w:val="24"/>
          <w:szCs w:val="24"/>
        </w:rPr>
        <w:t>Table 1: Unit Root Test (Augmented Dicky-Fuller)</w:t>
      </w:r>
    </w:p>
    <w:p w14:paraId="5F2AE168" w14:textId="77777777" w:rsidR="00A11211" w:rsidRPr="00D176A1" w:rsidRDefault="00A11211" w:rsidP="00A11211">
      <w:pPr>
        <w:spacing w:line="360" w:lineRule="auto"/>
        <w:jc w:val="both"/>
        <w:rPr>
          <w:rFonts w:ascii="Times New Roman" w:hAnsi="Times New Roman" w:cs="Times New Roman"/>
          <w:i/>
          <w:sz w:val="24"/>
          <w:szCs w:val="24"/>
        </w:rPr>
      </w:pPr>
    </w:p>
    <w:p w14:paraId="0B163C35" w14:textId="77777777" w:rsidR="00A11211" w:rsidRPr="00D176A1" w:rsidRDefault="00A11211" w:rsidP="00A11211">
      <w:pPr>
        <w:spacing w:line="360" w:lineRule="auto"/>
        <w:jc w:val="both"/>
        <w:rPr>
          <w:rFonts w:ascii="Times New Roman" w:hAnsi="Times New Roman" w:cs="Times New Roman"/>
          <w:i/>
          <w:sz w:val="24"/>
          <w:szCs w:val="24"/>
        </w:rPr>
      </w:pPr>
    </w:p>
    <w:p w14:paraId="6F108688" w14:textId="77777777" w:rsidR="00A11211" w:rsidRPr="00D176A1" w:rsidRDefault="00A11211" w:rsidP="00A11211">
      <w:pPr>
        <w:spacing w:line="360" w:lineRule="auto"/>
        <w:jc w:val="both"/>
        <w:rPr>
          <w:rFonts w:ascii="Times New Roman" w:hAnsi="Times New Roman" w:cs="Times New Roman"/>
          <w:i/>
          <w:sz w:val="24"/>
          <w:szCs w:val="24"/>
        </w:rPr>
      </w:pPr>
      <w:r w:rsidRPr="00D176A1">
        <w:rPr>
          <w:rFonts w:ascii="Times New Roman" w:hAnsi="Times New Roman" w:cs="Times New Roman"/>
          <w:i/>
          <w:sz w:val="24"/>
          <w:szCs w:val="24"/>
        </w:rPr>
        <w:t xml:space="preserve">                      </w:t>
      </w:r>
    </w:p>
    <w:p w14:paraId="680601F8" w14:textId="132B5DEC" w:rsidR="00A11211" w:rsidRPr="00D176A1" w:rsidRDefault="00A11211" w:rsidP="00A11211">
      <w:pPr>
        <w:spacing w:line="360" w:lineRule="auto"/>
        <w:jc w:val="both"/>
        <w:rPr>
          <w:rFonts w:ascii="Times New Roman" w:hAnsi="Times New Roman" w:cs="Times New Roman"/>
          <w:i/>
          <w:sz w:val="24"/>
          <w:szCs w:val="24"/>
        </w:rPr>
      </w:pPr>
      <w:r w:rsidRPr="00D176A1">
        <w:rPr>
          <w:rFonts w:ascii="Times New Roman" w:hAnsi="Times New Roman" w:cs="Times New Roman"/>
          <w:i/>
          <w:sz w:val="24"/>
          <w:szCs w:val="24"/>
        </w:rPr>
        <w:t xml:space="preserve">                       </w:t>
      </w:r>
    </w:p>
    <w:p w14:paraId="7E172B2A" w14:textId="47D59095" w:rsidR="00E3323C" w:rsidRDefault="00E3323C" w:rsidP="00A11211">
      <w:pPr>
        <w:spacing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Note: </w:t>
      </w:r>
      <w:r w:rsidRPr="00D176A1">
        <w:rPr>
          <w:rFonts w:ascii="Times New Roman" w:hAnsi="Times New Roman" w:cs="Times New Roman"/>
          <w:i/>
          <w:sz w:val="24"/>
          <w:szCs w:val="24"/>
        </w:rPr>
        <w:t>*</w:t>
      </w:r>
      <w:r>
        <w:rPr>
          <w:rFonts w:ascii="Times New Roman" w:hAnsi="Times New Roman" w:cs="Times New Roman"/>
          <w:i/>
          <w:sz w:val="24"/>
          <w:szCs w:val="24"/>
        </w:rPr>
        <w:t xml:space="preserve">and </w:t>
      </w:r>
      <w:r w:rsidRPr="00D176A1">
        <w:rPr>
          <w:rFonts w:ascii="Times New Roman" w:hAnsi="Times New Roman" w:cs="Times New Roman"/>
          <w:i/>
          <w:sz w:val="24"/>
          <w:szCs w:val="24"/>
        </w:rPr>
        <w:t>** represents that the value is significant at 1% and 5% level of significance</w:t>
      </w:r>
    </w:p>
    <w:p w14:paraId="49867CF5" w14:textId="3A9EEDD7"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We proceed to test for the co integration relationships by using the Johansen test for co integration after determining that all variables are non-stationary and integrated of order one. Co-integrated variables ensure that we remove erroneous relationships and, as a result, share similar stochastic trends. Additionally, the fact that they are allows us to formulate an Error Correction Model (ECM) when we establish the long-term correlation between the variables. We first calculate the unrestricted VAR and establish the lag length selection criteria. The ideal lag length is 1, which was chosen. So, using the ideal lag length 1, we apply the Johansen co integration test.</w:t>
      </w:r>
    </w:p>
    <w:p w14:paraId="47749221" w14:textId="77777777" w:rsidR="00A11211" w:rsidRPr="00D176A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b/>
          <w:bCs/>
          <w:sz w:val="24"/>
          <w:szCs w:val="24"/>
        </w:rPr>
        <w:t>Table-2 Lag length selection criteria through VAR</w:t>
      </w:r>
    </w:p>
    <w:tbl>
      <w:tblPr>
        <w:tblStyle w:val="PlainTable2"/>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334"/>
        <w:gridCol w:w="1334"/>
        <w:gridCol w:w="1334"/>
        <w:gridCol w:w="1334"/>
        <w:gridCol w:w="1334"/>
        <w:gridCol w:w="1334"/>
      </w:tblGrid>
      <w:tr w:rsidR="00A11211" w:rsidRPr="00D176A1" w14:paraId="4431B512" w14:textId="77777777" w:rsidTr="00E3323C">
        <w:trPr>
          <w:cnfStyle w:val="100000000000" w:firstRow="1" w:lastRow="0" w:firstColumn="0" w:lastColumn="0" w:oddVBand="0" w:evenVBand="0" w:oddHBand="0"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bottom w:val="none" w:sz="0" w:space="0" w:color="auto"/>
            </w:tcBorders>
          </w:tcPr>
          <w:p w14:paraId="5E16CEA2" w14:textId="77777777" w:rsidR="00A11211" w:rsidRPr="00D176A1" w:rsidRDefault="00A11211" w:rsidP="006C35CE">
            <w:pPr>
              <w:spacing w:line="360" w:lineRule="auto"/>
              <w:jc w:val="both"/>
              <w:rPr>
                <w:rFonts w:ascii="Times New Roman" w:hAnsi="Times New Roman" w:cs="Times New Roman"/>
                <w:sz w:val="24"/>
                <w:szCs w:val="24"/>
              </w:rPr>
            </w:pPr>
            <w:r w:rsidRPr="00D176A1">
              <w:rPr>
                <w:rFonts w:ascii="Times New Roman" w:hAnsi="Times New Roman" w:cs="Times New Roman"/>
                <w:sz w:val="24"/>
                <w:szCs w:val="24"/>
              </w:rPr>
              <w:t>Lag</w:t>
            </w:r>
          </w:p>
        </w:tc>
        <w:tc>
          <w:tcPr>
            <w:tcW w:w="1334" w:type="dxa"/>
            <w:tcBorders>
              <w:bottom w:val="none" w:sz="0" w:space="0" w:color="auto"/>
            </w:tcBorders>
          </w:tcPr>
          <w:p w14:paraId="2C02041B" w14:textId="77777777" w:rsidR="00A11211" w:rsidRPr="00D176A1" w:rsidRDefault="00A11211" w:rsidP="006C35C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Log L</w:t>
            </w:r>
          </w:p>
        </w:tc>
        <w:tc>
          <w:tcPr>
            <w:tcW w:w="1334" w:type="dxa"/>
            <w:tcBorders>
              <w:bottom w:val="none" w:sz="0" w:space="0" w:color="auto"/>
            </w:tcBorders>
          </w:tcPr>
          <w:p w14:paraId="64643ED2" w14:textId="77777777" w:rsidR="00A11211" w:rsidRPr="00D176A1" w:rsidRDefault="00A11211" w:rsidP="006C35C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LR</w:t>
            </w:r>
          </w:p>
        </w:tc>
        <w:tc>
          <w:tcPr>
            <w:tcW w:w="1334" w:type="dxa"/>
            <w:tcBorders>
              <w:bottom w:val="none" w:sz="0" w:space="0" w:color="auto"/>
            </w:tcBorders>
          </w:tcPr>
          <w:p w14:paraId="74CAF546" w14:textId="77777777" w:rsidR="00A11211" w:rsidRPr="00D176A1" w:rsidRDefault="00A11211" w:rsidP="006C35C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FPE</w:t>
            </w:r>
          </w:p>
        </w:tc>
        <w:tc>
          <w:tcPr>
            <w:tcW w:w="1334" w:type="dxa"/>
            <w:tcBorders>
              <w:bottom w:val="none" w:sz="0" w:space="0" w:color="auto"/>
            </w:tcBorders>
          </w:tcPr>
          <w:p w14:paraId="2930695B" w14:textId="77777777" w:rsidR="00A11211" w:rsidRPr="00D176A1" w:rsidRDefault="00A11211" w:rsidP="006C35C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AIC</w:t>
            </w:r>
          </w:p>
        </w:tc>
        <w:tc>
          <w:tcPr>
            <w:tcW w:w="1334" w:type="dxa"/>
            <w:tcBorders>
              <w:bottom w:val="none" w:sz="0" w:space="0" w:color="auto"/>
            </w:tcBorders>
          </w:tcPr>
          <w:p w14:paraId="41468354" w14:textId="77777777" w:rsidR="00A11211" w:rsidRPr="00D176A1" w:rsidRDefault="00A11211" w:rsidP="006C35C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SC</w:t>
            </w:r>
          </w:p>
        </w:tc>
        <w:tc>
          <w:tcPr>
            <w:tcW w:w="1334" w:type="dxa"/>
            <w:tcBorders>
              <w:bottom w:val="none" w:sz="0" w:space="0" w:color="auto"/>
            </w:tcBorders>
          </w:tcPr>
          <w:p w14:paraId="4928FAFE" w14:textId="77777777" w:rsidR="00A11211" w:rsidRPr="00D176A1" w:rsidRDefault="00A11211" w:rsidP="006C35C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HQ</w:t>
            </w:r>
          </w:p>
        </w:tc>
      </w:tr>
      <w:tr w:rsidR="00A11211" w:rsidRPr="00D176A1" w14:paraId="3F0329AB" w14:textId="77777777" w:rsidTr="00E3323C">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top w:val="none" w:sz="0" w:space="0" w:color="auto"/>
              <w:bottom w:val="none" w:sz="0" w:space="0" w:color="auto"/>
            </w:tcBorders>
          </w:tcPr>
          <w:p w14:paraId="41FC425D" w14:textId="77777777" w:rsidR="00A11211" w:rsidRPr="00D176A1" w:rsidRDefault="00A11211" w:rsidP="006C35CE">
            <w:pPr>
              <w:spacing w:line="360" w:lineRule="auto"/>
              <w:jc w:val="both"/>
              <w:rPr>
                <w:rFonts w:ascii="Times New Roman" w:hAnsi="Times New Roman" w:cs="Times New Roman"/>
                <w:sz w:val="24"/>
                <w:szCs w:val="24"/>
              </w:rPr>
            </w:pPr>
            <w:r w:rsidRPr="00D176A1">
              <w:rPr>
                <w:rFonts w:ascii="Times New Roman" w:hAnsi="Times New Roman" w:cs="Times New Roman"/>
                <w:sz w:val="24"/>
                <w:szCs w:val="24"/>
              </w:rPr>
              <w:t>0</w:t>
            </w:r>
          </w:p>
        </w:tc>
        <w:tc>
          <w:tcPr>
            <w:tcW w:w="1334" w:type="dxa"/>
            <w:tcBorders>
              <w:top w:val="none" w:sz="0" w:space="0" w:color="auto"/>
              <w:bottom w:val="none" w:sz="0" w:space="0" w:color="auto"/>
            </w:tcBorders>
          </w:tcPr>
          <w:p w14:paraId="058AC6ED"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-25.49606</w:t>
            </w:r>
          </w:p>
        </w:tc>
        <w:tc>
          <w:tcPr>
            <w:tcW w:w="1334" w:type="dxa"/>
            <w:tcBorders>
              <w:top w:val="none" w:sz="0" w:space="0" w:color="auto"/>
              <w:bottom w:val="none" w:sz="0" w:space="0" w:color="auto"/>
            </w:tcBorders>
          </w:tcPr>
          <w:p w14:paraId="37FE1D1B"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NA</w:t>
            </w:r>
          </w:p>
        </w:tc>
        <w:tc>
          <w:tcPr>
            <w:tcW w:w="1334" w:type="dxa"/>
            <w:tcBorders>
              <w:top w:val="none" w:sz="0" w:space="0" w:color="auto"/>
              <w:bottom w:val="none" w:sz="0" w:space="0" w:color="auto"/>
            </w:tcBorders>
          </w:tcPr>
          <w:p w14:paraId="2AAF78B1"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0.000865</w:t>
            </w:r>
          </w:p>
        </w:tc>
        <w:tc>
          <w:tcPr>
            <w:tcW w:w="1334" w:type="dxa"/>
            <w:tcBorders>
              <w:top w:val="none" w:sz="0" w:space="0" w:color="auto"/>
              <w:bottom w:val="none" w:sz="0" w:space="0" w:color="auto"/>
            </w:tcBorders>
          </w:tcPr>
          <w:p w14:paraId="28B5D6A6"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1.461336</w:t>
            </w:r>
          </w:p>
        </w:tc>
        <w:tc>
          <w:tcPr>
            <w:tcW w:w="1334" w:type="dxa"/>
            <w:tcBorders>
              <w:top w:val="none" w:sz="0" w:space="0" w:color="auto"/>
              <w:bottom w:val="none" w:sz="0" w:space="0" w:color="auto"/>
            </w:tcBorders>
          </w:tcPr>
          <w:p w14:paraId="62F8688F"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1.589303</w:t>
            </w:r>
          </w:p>
        </w:tc>
        <w:tc>
          <w:tcPr>
            <w:tcW w:w="1334" w:type="dxa"/>
            <w:tcBorders>
              <w:top w:val="none" w:sz="0" w:space="0" w:color="auto"/>
              <w:bottom w:val="none" w:sz="0" w:space="0" w:color="auto"/>
            </w:tcBorders>
          </w:tcPr>
          <w:p w14:paraId="6ED01003"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1.507250</w:t>
            </w:r>
          </w:p>
        </w:tc>
      </w:tr>
      <w:tr w:rsidR="00A11211" w:rsidRPr="00D176A1" w14:paraId="08E70CA9" w14:textId="77777777" w:rsidTr="00E3323C">
        <w:trPr>
          <w:trHeight w:val="421"/>
          <w:jc w:val="center"/>
        </w:trPr>
        <w:tc>
          <w:tcPr>
            <w:cnfStyle w:val="001000000000" w:firstRow="0" w:lastRow="0" w:firstColumn="1" w:lastColumn="0" w:oddVBand="0" w:evenVBand="0" w:oddHBand="0" w:evenHBand="0" w:firstRowFirstColumn="0" w:firstRowLastColumn="0" w:lastRowFirstColumn="0" w:lastRowLastColumn="0"/>
            <w:tcW w:w="1054" w:type="dxa"/>
          </w:tcPr>
          <w:p w14:paraId="77625238" w14:textId="77777777" w:rsidR="00A11211" w:rsidRPr="00D176A1" w:rsidRDefault="00A11211" w:rsidP="006C35CE">
            <w:pPr>
              <w:spacing w:line="360" w:lineRule="auto"/>
              <w:jc w:val="both"/>
              <w:rPr>
                <w:rFonts w:ascii="Times New Roman" w:hAnsi="Times New Roman" w:cs="Times New Roman"/>
                <w:sz w:val="24"/>
                <w:szCs w:val="24"/>
              </w:rPr>
            </w:pPr>
            <w:r w:rsidRPr="00D176A1">
              <w:rPr>
                <w:rFonts w:ascii="Times New Roman" w:hAnsi="Times New Roman" w:cs="Times New Roman"/>
                <w:sz w:val="24"/>
                <w:szCs w:val="24"/>
              </w:rPr>
              <w:t>1</w:t>
            </w:r>
          </w:p>
        </w:tc>
        <w:tc>
          <w:tcPr>
            <w:tcW w:w="1334" w:type="dxa"/>
          </w:tcPr>
          <w:p w14:paraId="11F92B07"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139.4411</w:t>
            </w:r>
          </w:p>
        </w:tc>
        <w:tc>
          <w:tcPr>
            <w:tcW w:w="1334" w:type="dxa"/>
          </w:tcPr>
          <w:p w14:paraId="1EF4689D"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296.0411*</w:t>
            </w:r>
          </w:p>
        </w:tc>
        <w:tc>
          <w:tcPr>
            <w:tcW w:w="1334" w:type="dxa"/>
          </w:tcPr>
          <w:p w14:paraId="215E03F0"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2.92e-07*</w:t>
            </w:r>
          </w:p>
        </w:tc>
        <w:tc>
          <w:tcPr>
            <w:tcW w:w="1334" w:type="dxa"/>
          </w:tcPr>
          <w:p w14:paraId="2EC9CACE"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-6.535442*</w:t>
            </w:r>
          </w:p>
        </w:tc>
        <w:tc>
          <w:tcPr>
            <w:tcW w:w="1334" w:type="dxa"/>
          </w:tcPr>
          <w:p w14:paraId="0E7618A8"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-6.023577*</w:t>
            </w:r>
          </w:p>
        </w:tc>
        <w:tc>
          <w:tcPr>
            <w:tcW w:w="1334" w:type="dxa"/>
          </w:tcPr>
          <w:p w14:paraId="639C9402"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-6.351790*</w:t>
            </w:r>
          </w:p>
        </w:tc>
      </w:tr>
      <w:tr w:rsidR="00A11211" w:rsidRPr="00D176A1" w14:paraId="45B40FA1" w14:textId="77777777" w:rsidTr="00E3323C">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1054" w:type="dxa"/>
            <w:tcBorders>
              <w:top w:val="none" w:sz="0" w:space="0" w:color="auto"/>
              <w:bottom w:val="none" w:sz="0" w:space="0" w:color="auto"/>
            </w:tcBorders>
          </w:tcPr>
          <w:p w14:paraId="22DD7382" w14:textId="77777777" w:rsidR="00A11211" w:rsidRPr="00D176A1" w:rsidRDefault="00A11211" w:rsidP="006C35CE">
            <w:pPr>
              <w:spacing w:line="360" w:lineRule="auto"/>
              <w:jc w:val="both"/>
              <w:rPr>
                <w:rFonts w:ascii="Times New Roman" w:hAnsi="Times New Roman" w:cs="Times New Roman"/>
                <w:sz w:val="24"/>
                <w:szCs w:val="24"/>
              </w:rPr>
            </w:pPr>
            <w:r w:rsidRPr="00D176A1">
              <w:rPr>
                <w:rFonts w:ascii="Times New Roman" w:hAnsi="Times New Roman" w:cs="Times New Roman"/>
                <w:sz w:val="24"/>
                <w:szCs w:val="24"/>
              </w:rPr>
              <w:t>2</w:t>
            </w:r>
          </w:p>
        </w:tc>
        <w:tc>
          <w:tcPr>
            <w:tcW w:w="1334" w:type="dxa"/>
            <w:tcBorders>
              <w:top w:val="none" w:sz="0" w:space="0" w:color="auto"/>
              <w:bottom w:val="none" w:sz="0" w:space="0" w:color="auto"/>
            </w:tcBorders>
          </w:tcPr>
          <w:p w14:paraId="24A4F9FA"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143.8993</w:t>
            </w:r>
          </w:p>
        </w:tc>
        <w:tc>
          <w:tcPr>
            <w:tcW w:w="1334" w:type="dxa"/>
            <w:tcBorders>
              <w:top w:val="none" w:sz="0" w:space="0" w:color="auto"/>
              <w:bottom w:val="none" w:sz="0" w:space="0" w:color="auto"/>
            </w:tcBorders>
          </w:tcPr>
          <w:p w14:paraId="6816A4B0"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7.316030</w:t>
            </w:r>
          </w:p>
        </w:tc>
        <w:tc>
          <w:tcPr>
            <w:tcW w:w="1334" w:type="dxa"/>
            <w:tcBorders>
              <w:top w:val="none" w:sz="0" w:space="0" w:color="auto"/>
              <w:bottom w:val="none" w:sz="0" w:space="0" w:color="auto"/>
            </w:tcBorders>
          </w:tcPr>
          <w:p w14:paraId="47B8EEF8"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3.72e-07</w:t>
            </w:r>
          </w:p>
        </w:tc>
        <w:tc>
          <w:tcPr>
            <w:tcW w:w="1334" w:type="dxa"/>
            <w:tcBorders>
              <w:top w:val="none" w:sz="0" w:space="0" w:color="auto"/>
              <w:bottom w:val="none" w:sz="0" w:space="0" w:color="auto"/>
            </w:tcBorders>
          </w:tcPr>
          <w:p w14:paraId="1CB483AD"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-6.302530</w:t>
            </w:r>
          </w:p>
        </w:tc>
        <w:tc>
          <w:tcPr>
            <w:tcW w:w="1334" w:type="dxa"/>
            <w:tcBorders>
              <w:top w:val="none" w:sz="0" w:space="0" w:color="auto"/>
              <w:bottom w:val="none" w:sz="0" w:space="0" w:color="auto"/>
            </w:tcBorders>
          </w:tcPr>
          <w:p w14:paraId="542C46AF"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-5.406766</w:t>
            </w:r>
          </w:p>
        </w:tc>
        <w:tc>
          <w:tcPr>
            <w:tcW w:w="1334" w:type="dxa"/>
            <w:tcBorders>
              <w:top w:val="none" w:sz="0" w:space="0" w:color="auto"/>
              <w:bottom w:val="none" w:sz="0" w:space="0" w:color="auto"/>
            </w:tcBorders>
          </w:tcPr>
          <w:p w14:paraId="41A08250" w14:textId="77777777" w:rsidR="00A11211" w:rsidRPr="00D176A1" w:rsidRDefault="00A11211" w:rsidP="006C35C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-5.981138</w:t>
            </w:r>
          </w:p>
        </w:tc>
      </w:tr>
      <w:tr w:rsidR="00A11211" w:rsidRPr="00D176A1" w14:paraId="6DB00B36" w14:textId="77777777" w:rsidTr="00E3323C">
        <w:trPr>
          <w:trHeight w:val="421"/>
          <w:jc w:val="center"/>
        </w:trPr>
        <w:tc>
          <w:tcPr>
            <w:cnfStyle w:val="001000000000" w:firstRow="0" w:lastRow="0" w:firstColumn="1" w:lastColumn="0" w:oddVBand="0" w:evenVBand="0" w:oddHBand="0" w:evenHBand="0" w:firstRowFirstColumn="0" w:firstRowLastColumn="0" w:lastRowFirstColumn="0" w:lastRowLastColumn="0"/>
            <w:tcW w:w="1054" w:type="dxa"/>
          </w:tcPr>
          <w:p w14:paraId="27C861CA" w14:textId="77777777" w:rsidR="00A11211" w:rsidRPr="00D176A1" w:rsidRDefault="00A11211" w:rsidP="006C35CE">
            <w:pPr>
              <w:spacing w:line="360" w:lineRule="auto"/>
              <w:jc w:val="both"/>
              <w:rPr>
                <w:rFonts w:ascii="Times New Roman" w:hAnsi="Times New Roman" w:cs="Times New Roman"/>
                <w:sz w:val="24"/>
                <w:szCs w:val="24"/>
              </w:rPr>
            </w:pPr>
            <w:r w:rsidRPr="00D176A1">
              <w:rPr>
                <w:rFonts w:ascii="Times New Roman" w:hAnsi="Times New Roman" w:cs="Times New Roman"/>
                <w:sz w:val="24"/>
                <w:szCs w:val="24"/>
              </w:rPr>
              <w:t>3</w:t>
            </w:r>
          </w:p>
        </w:tc>
        <w:tc>
          <w:tcPr>
            <w:tcW w:w="1334" w:type="dxa"/>
          </w:tcPr>
          <w:p w14:paraId="4D5C551A"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150.8850</w:t>
            </w:r>
          </w:p>
        </w:tc>
        <w:tc>
          <w:tcPr>
            <w:tcW w:w="1334" w:type="dxa"/>
          </w:tcPr>
          <w:p w14:paraId="6A39B4AA"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10.38897</w:t>
            </w:r>
          </w:p>
        </w:tc>
        <w:tc>
          <w:tcPr>
            <w:tcW w:w="1334" w:type="dxa"/>
          </w:tcPr>
          <w:p w14:paraId="42D4BF04"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4.22e-07</w:t>
            </w:r>
          </w:p>
        </w:tc>
        <w:tc>
          <w:tcPr>
            <w:tcW w:w="1334" w:type="dxa"/>
          </w:tcPr>
          <w:p w14:paraId="76B0CD73"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-6.199232</w:t>
            </w:r>
          </w:p>
        </w:tc>
        <w:tc>
          <w:tcPr>
            <w:tcW w:w="1334" w:type="dxa"/>
          </w:tcPr>
          <w:p w14:paraId="77C69C2D"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-4.919569</w:t>
            </w:r>
          </w:p>
        </w:tc>
        <w:tc>
          <w:tcPr>
            <w:tcW w:w="1334" w:type="dxa"/>
          </w:tcPr>
          <w:p w14:paraId="19625DAA" w14:textId="77777777" w:rsidR="00A11211" w:rsidRPr="00D176A1" w:rsidRDefault="00A11211" w:rsidP="006C35C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-5.740100</w:t>
            </w:r>
          </w:p>
        </w:tc>
      </w:tr>
    </w:tbl>
    <w:p w14:paraId="15AB0943" w14:textId="7972B527" w:rsidR="00A11211" w:rsidRPr="00D176A1" w:rsidRDefault="00E3323C" w:rsidP="00A11211">
      <w:pPr>
        <w:pStyle w:val="ListParagraph"/>
        <w:spacing w:line="360" w:lineRule="auto"/>
        <w:ind w:left="540"/>
        <w:jc w:val="both"/>
        <w:rPr>
          <w:rFonts w:ascii="Times New Roman" w:hAnsi="Times New Roman" w:cs="Times New Roman"/>
          <w:i/>
          <w:sz w:val="24"/>
          <w:szCs w:val="24"/>
        </w:rPr>
      </w:pPr>
      <w:r>
        <w:rPr>
          <w:rFonts w:ascii="Times New Roman" w:hAnsi="Times New Roman" w:cs="Times New Roman"/>
          <w:i/>
          <w:sz w:val="24"/>
          <w:szCs w:val="24"/>
        </w:rPr>
        <w:t xml:space="preserve">Note: </w:t>
      </w:r>
      <w:r w:rsidR="00A11211" w:rsidRPr="00D176A1">
        <w:rPr>
          <w:rFonts w:ascii="Times New Roman" w:hAnsi="Times New Roman" w:cs="Times New Roman"/>
          <w:i/>
          <w:sz w:val="24"/>
          <w:szCs w:val="24"/>
        </w:rPr>
        <w:t>*Indicates lag order selected by the criterion.</w:t>
      </w:r>
    </w:p>
    <w:p w14:paraId="5D8EFF84" w14:textId="77777777" w:rsidR="00A11211" w:rsidRPr="00D176A1" w:rsidRDefault="00A11211" w:rsidP="00A11211">
      <w:pPr>
        <w:spacing w:line="360" w:lineRule="auto"/>
        <w:ind w:firstLine="540"/>
        <w:jc w:val="both"/>
        <w:rPr>
          <w:rFonts w:ascii="Times New Roman" w:hAnsi="Times New Roman" w:cs="Times New Roman"/>
          <w:iCs/>
          <w:sz w:val="24"/>
          <w:szCs w:val="24"/>
        </w:rPr>
      </w:pPr>
      <w:r w:rsidRPr="00D176A1">
        <w:rPr>
          <w:rFonts w:ascii="Times New Roman" w:hAnsi="Times New Roman" w:cs="Times New Roman"/>
          <w:iCs/>
          <w:sz w:val="24"/>
          <w:szCs w:val="24"/>
        </w:rPr>
        <w:t xml:space="preserve">The findings, as shown in Table 3, imply that the variables have two co-integrating relationships. The trace statistics (45.96291) is greater than the critical value (35.19275) from the Johansen table at 5% level of significance, rejecting the null hypothesis that there is no co </w:t>
      </w:r>
      <w:r w:rsidRPr="00D176A1">
        <w:rPr>
          <w:rFonts w:ascii="Times New Roman" w:hAnsi="Times New Roman" w:cs="Times New Roman"/>
          <w:iCs/>
          <w:sz w:val="24"/>
          <w:szCs w:val="24"/>
        </w:rPr>
        <w:lastRenderedPageBreak/>
        <w:t>integrating vector. Furthermore, at the 5% level of significance, the maximum Eigen statistics (23.24864) is higher than the Eigen critical value (22.29962).</w:t>
      </w:r>
    </w:p>
    <w:p w14:paraId="51ED634A" w14:textId="77777777" w:rsidR="00A11211" w:rsidRPr="00D176A1" w:rsidRDefault="00A11211" w:rsidP="00A11211">
      <w:pPr>
        <w:spacing w:line="360" w:lineRule="auto"/>
        <w:jc w:val="both"/>
        <w:rPr>
          <w:rFonts w:ascii="Times New Roman" w:hAnsi="Times New Roman" w:cs="Times New Roman"/>
          <w:b/>
          <w:bCs/>
          <w:sz w:val="24"/>
          <w:szCs w:val="24"/>
        </w:rPr>
      </w:pPr>
      <w:r w:rsidRPr="00D176A1">
        <w:rPr>
          <w:rFonts w:ascii="Times New Roman" w:hAnsi="Times New Roman" w:cs="Times New Roman"/>
          <w:b/>
          <w:sz w:val="24"/>
          <w:szCs w:val="24"/>
        </w:rPr>
        <w:t xml:space="preserve">Table-3 </w:t>
      </w:r>
      <w:r w:rsidRPr="00D176A1">
        <w:rPr>
          <w:rFonts w:ascii="Times New Roman" w:hAnsi="Times New Roman" w:cs="Times New Roman"/>
          <w:b/>
          <w:bCs/>
          <w:sz w:val="24"/>
          <w:szCs w:val="24"/>
        </w:rPr>
        <w:t>Results of the Co integration test</w:t>
      </w:r>
    </w:p>
    <w:tbl>
      <w:tblPr>
        <w:tblStyle w:val="PlainTable2"/>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18"/>
        <w:gridCol w:w="1617"/>
        <w:gridCol w:w="1617"/>
        <w:gridCol w:w="1617"/>
        <w:gridCol w:w="1617"/>
      </w:tblGrid>
      <w:tr w:rsidR="00A11211" w:rsidRPr="00D176A1" w14:paraId="0C59B2F8" w14:textId="77777777" w:rsidTr="00E3323C">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1675" w:type="dxa"/>
            <w:tcBorders>
              <w:bottom w:val="none" w:sz="0" w:space="0" w:color="auto"/>
            </w:tcBorders>
          </w:tcPr>
          <w:p w14:paraId="1B06DCC9" w14:textId="77777777" w:rsidR="00A11211" w:rsidRPr="00D176A1" w:rsidRDefault="00A11211" w:rsidP="006C35CE">
            <w:pPr>
              <w:spacing w:after="0" w:line="360" w:lineRule="auto"/>
              <w:jc w:val="both"/>
              <w:rPr>
                <w:rFonts w:ascii="Times New Roman" w:hAnsi="Times New Roman" w:cs="Times New Roman"/>
                <w:sz w:val="24"/>
                <w:szCs w:val="24"/>
              </w:rPr>
            </w:pPr>
            <w:r w:rsidRPr="00D176A1">
              <w:rPr>
                <w:rFonts w:ascii="Times New Roman" w:hAnsi="Times New Roman" w:cs="Times New Roman"/>
                <w:sz w:val="24"/>
                <w:szCs w:val="24"/>
              </w:rPr>
              <w:t>Hypothesized</w:t>
            </w:r>
          </w:p>
        </w:tc>
        <w:tc>
          <w:tcPr>
            <w:tcW w:w="1618" w:type="dxa"/>
            <w:tcBorders>
              <w:bottom w:val="none" w:sz="0" w:space="0" w:color="auto"/>
            </w:tcBorders>
          </w:tcPr>
          <w:p w14:paraId="7150C8C2" w14:textId="77777777" w:rsidR="00A11211" w:rsidRPr="00D176A1" w:rsidRDefault="00A11211" w:rsidP="006C35CE">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Eigen value</w:t>
            </w:r>
          </w:p>
        </w:tc>
        <w:tc>
          <w:tcPr>
            <w:tcW w:w="1617" w:type="dxa"/>
            <w:tcBorders>
              <w:bottom w:val="none" w:sz="0" w:space="0" w:color="auto"/>
            </w:tcBorders>
          </w:tcPr>
          <w:p w14:paraId="4332AE17" w14:textId="77777777" w:rsidR="00A11211" w:rsidRPr="00D176A1" w:rsidRDefault="00A11211" w:rsidP="006C35CE">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 xml:space="preserve">Trace statistics </w:t>
            </w:r>
          </w:p>
        </w:tc>
        <w:tc>
          <w:tcPr>
            <w:tcW w:w="1617" w:type="dxa"/>
            <w:tcBorders>
              <w:bottom w:val="none" w:sz="0" w:space="0" w:color="auto"/>
            </w:tcBorders>
          </w:tcPr>
          <w:p w14:paraId="0A4D8CB0" w14:textId="77777777" w:rsidR="00A11211" w:rsidRPr="00D176A1" w:rsidRDefault="00A11211" w:rsidP="006C35CE">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Critical value</w:t>
            </w:r>
          </w:p>
        </w:tc>
        <w:tc>
          <w:tcPr>
            <w:tcW w:w="1617" w:type="dxa"/>
            <w:tcBorders>
              <w:bottom w:val="none" w:sz="0" w:space="0" w:color="auto"/>
            </w:tcBorders>
          </w:tcPr>
          <w:p w14:paraId="5C1AF7BB" w14:textId="77777777" w:rsidR="00A11211" w:rsidRPr="00D176A1" w:rsidRDefault="00A11211" w:rsidP="006C35CE">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Max-eigen value</w:t>
            </w:r>
          </w:p>
        </w:tc>
        <w:tc>
          <w:tcPr>
            <w:tcW w:w="1617" w:type="dxa"/>
            <w:tcBorders>
              <w:bottom w:val="none" w:sz="0" w:space="0" w:color="auto"/>
            </w:tcBorders>
          </w:tcPr>
          <w:p w14:paraId="119E98D4" w14:textId="77777777" w:rsidR="00A11211" w:rsidRPr="00D176A1" w:rsidRDefault="00A11211" w:rsidP="006C35CE">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Critical value</w:t>
            </w:r>
          </w:p>
        </w:tc>
      </w:tr>
      <w:tr w:rsidR="00A11211" w:rsidRPr="00D176A1" w14:paraId="748081AB" w14:textId="77777777" w:rsidTr="00E3323C">
        <w:trPr>
          <w:cnfStyle w:val="000000100000" w:firstRow="0" w:lastRow="0" w:firstColumn="0" w:lastColumn="0" w:oddVBand="0" w:evenVBand="0" w:oddHBand="1" w:evenHBand="0" w:firstRowFirstColumn="0" w:firstRowLastColumn="0" w:lastRowFirstColumn="0" w:lastRowLastColumn="0"/>
          <w:trHeight w:val="535"/>
          <w:jc w:val="center"/>
        </w:trPr>
        <w:tc>
          <w:tcPr>
            <w:cnfStyle w:val="001000000000" w:firstRow="0" w:lastRow="0" w:firstColumn="1" w:lastColumn="0" w:oddVBand="0" w:evenVBand="0" w:oddHBand="0" w:evenHBand="0" w:firstRowFirstColumn="0" w:firstRowLastColumn="0" w:lastRowFirstColumn="0" w:lastRowLastColumn="0"/>
            <w:tcW w:w="1675" w:type="dxa"/>
            <w:tcBorders>
              <w:top w:val="none" w:sz="0" w:space="0" w:color="auto"/>
              <w:bottom w:val="none" w:sz="0" w:space="0" w:color="auto"/>
            </w:tcBorders>
          </w:tcPr>
          <w:p w14:paraId="68337F2D" w14:textId="77777777" w:rsidR="00A11211" w:rsidRPr="00D176A1" w:rsidRDefault="00A11211" w:rsidP="006C35CE">
            <w:pPr>
              <w:spacing w:after="0" w:line="360" w:lineRule="auto"/>
              <w:jc w:val="both"/>
              <w:rPr>
                <w:rFonts w:ascii="Times New Roman" w:hAnsi="Times New Roman" w:cs="Times New Roman"/>
                <w:sz w:val="24"/>
                <w:szCs w:val="24"/>
              </w:rPr>
            </w:pPr>
            <w:r w:rsidRPr="00D176A1">
              <w:rPr>
                <w:rFonts w:ascii="Times New Roman" w:hAnsi="Times New Roman" w:cs="Times New Roman"/>
                <w:sz w:val="24"/>
                <w:szCs w:val="24"/>
              </w:rPr>
              <w:t>None *</w:t>
            </w:r>
          </w:p>
        </w:tc>
        <w:tc>
          <w:tcPr>
            <w:tcW w:w="1618" w:type="dxa"/>
            <w:tcBorders>
              <w:top w:val="none" w:sz="0" w:space="0" w:color="auto"/>
              <w:bottom w:val="none" w:sz="0" w:space="0" w:color="auto"/>
            </w:tcBorders>
          </w:tcPr>
          <w:p w14:paraId="1AA2CC33"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0.440782</w:t>
            </w:r>
          </w:p>
        </w:tc>
        <w:tc>
          <w:tcPr>
            <w:tcW w:w="1617" w:type="dxa"/>
            <w:tcBorders>
              <w:top w:val="none" w:sz="0" w:space="0" w:color="auto"/>
              <w:bottom w:val="none" w:sz="0" w:space="0" w:color="auto"/>
            </w:tcBorders>
          </w:tcPr>
          <w:p w14:paraId="728074C0"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45.96291</w:t>
            </w:r>
          </w:p>
          <w:p w14:paraId="450BDABE"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(0.0024) *</w:t>
            </w:r>
          </w:p>
        </w:tc>
        <w:tc>
          <w:tcPr>
            <w:tcW w:w="1617" w:type="dxa"/>
            <w:tcBorders>
              <w:top w:val="none" w:sz="0" w:space="0" w:color="auto"/>
              <w:bottom w:val="none" w:sz="0" w:space="0" w:color="auto"/>
            </w:tcBorders>
          </w:tcPr>
          <w:p w14:paraId="72D38190"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35.19275</w:t>
            </w:r>
          </w:p>
        </w:tc>
        <w:tc>
          <w:tcPr>
            <w:tcW w:w="1617" w:type="dxa"/>
            <w:tcBorders>
              <w:top w:val="none" w:sz="0" w:space="0" w:color="auto"/>
              <w:bottom w:val="none" w:sz="0" w:space="0" w:color="auto"/>
            </w:tcBorders>
          </w:tcPr>
          <w:p w14:paraId="371E69A6"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23.24864</w:t>
            </w:r>
          </w:p>
          <w:p w14:paraId="24C7D45B"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(0.0368) *</w:t>
            </w:r>
          </w:p>
        </w:tc>
        <w:tc>
          <w:tcPr>
            <w:tcW w:w="1617" w:type="dxa"/>
            <w:tcBorders>
              <w:top w:val="none" w:sz="0" w:space="0" w:color="auto"/>
              <w:bottom w:val="none" w:sz="0" w:space="0" w:color="auto"/>
            </w:tcBorders>
          </w:tcPr>
          <w:p w14:paraId="212A72BD"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22.29962</w:t>
            </w:r>
          </w:p>
        </w:tc>
      </w:tr>
      <w:tr w:rsidR="00A11211" w:rsidRPr="00D176A1" w14:paraId="1634A192" w14:textId="77777777" w:rsidTr="00E3323C">
        <w:trPr>
          <w:trHeight w:val="541"/>
          <w:jc w:val="center"/>
        </w:trPr>
        <w:tc>
          <w:tcPr>
            <w:cnfStyle w:val="001000000000" w:firstRow="0" w:lastRow="0" w:firstColumn="1" w:lastColumn="0" w:oddVBand="0" w:evenVBand="0" w:oddHBand="0" w:evenHBand="0" w:firstRowFirstColumn="0" w:firstRowLastColumn="0" w:lastRowFirstColumn="0" w:lastRowLastColumn="0"/>
            <w:tcW w:w="1675" w:type="dxa"/>
          </w:tcPr>
          <w:p w14:paraId="00FB6221" w14:textId="77777777" w:rsidR="00A11211" w:rsidRPr="00D176A1" w:rsidRDefault="00A11211" w:rsidP="006C35CE">
            <w:pPr>
              <w:spacing w:after="0" w:line="360" w:lineRule="auto"/>
              <w:jc w:val="both"/>
              <w:rPr>
                <w:rFonts w:ascii="Times New Roman" w:hAnsi="Times New Roman" w:cs="Times New Roman"/>
                <w:sz w:val="24"/>
                <w:szCs w:val="24"/>
              </w:rPr>
            </w:pPr>
            <w:r w:rsidRPr="00D176A1">
              <w:rPr>
                <w:rFonts w:ascii="Times New Roman" w:hAnsi="Times New Roman" w:cs="Times New Roman"/>
                <w:sz w:val="24"/>
                <w:szCs w:val="24"/>
              </w:rPr>
              <w:t>At most 1 *</w:t>
            </w:r>
          </w:p>
        </w:tc>
        <w:tc>
          <w:tcPr>
            <w:tcW w:w="1618" w:type="dxa"/>
          </w:tcPr>
          <w:p w14:paraId="46F039C5" w14:textId="77777777" w:rsidR="00A11211" w:rsidRPr="00D176A1" w:rsidRDefault="00A11211" w:rsidP="006C35CE">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0.328412</w:t>
            </w:r>
          </w:p>
        </w:tc>
        <w:tc>
          <w:tcPr>
            <w:tcW w:w="1617" w:type="dxa"/>
          </w:tcPr>
          <w:p w14:paraId="08E513BC" w14:textId="77777777" w:rsidR="00A11211" w:rsidRPr="00D176A1" w:rsidRDefault="00A11211" w:rsidP="006C35CE">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22.71427</w:t>
            </w:r>
          </w:p>
          <w:p w14:paraId="5732D814" w14:textId="77777777" w:rsidR="00A11211" w:rsidRPr="00D176A1" w:rsidRDefault="00A11211" w:rsidP="006C35CE">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(0.0225) *</w:t>
            </w:r>
          </w:p>
        </w:tc>
        <w:tc>
          <w:tcPr>
            <w:tcW w:w="1617" w:type="dxa"/>
          </w:tcPr>
          <w:p w14:paraId="54986DBA" w14:textId="77777777" w:rsidR="00A11211" w:rsidRPr="00D176A1" w:rsidRDefault="00A11211" w:rsidP="006C35CE">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20.26184</w:t>
            </w:r>
          </w:p>
        </w:tc>
        <w:tc>
          <w:tcPr>
            <w:tcW w:w="1617" w:type="dxa"/>
          </w:tcPr>
          <w:p w14:paraId="76B65913" w14:textId="77777777" w:rsidR="00A11211" w:rsidRPr="00D176A1" w:rsidRDefault="00A11211" w:rsidP="006C35CE">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15.92442</w:t>
            </w:r>
          </w:p>
          <w:p w14:paraId="4C842C4E" w14:textId="77777777" w:rsidR="00A11211" w:rsidRPr="00D176A1" w:rsidRDefault="00A11211" w:rsidP="006C35CE">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(0.0494) *</w:t>
            </w:r>
          </w:p>
        </w:tc>
        <w:tc>
          <w:tcPr>
            <w:tcW w:w="1617" w:type="dxa"/>
          </w:tcPr>
          <w:p w14:paraId="05A496AA" w14:textId="77777777" w:rsidR="00A11211" w:rsidRPr="00D176A1" w:rsidRDefault="00A11211" w:rsidP="006C35CE">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15.89210</w:t>
            </w:r>
          </w:p>
        </w:tc>
      </w:tr>
      <w:tr w:rsidR="00A11211" w:rsidRPr="00D176A1" w14:paraId="5E5387A5" w14:textId="77777777" w:rsidTr="00E3323C">
        <w:trPr>
          <w:cnfStyle w:val="000000100000" w:firstRow="0" w:lastRow="0" w:firstColumn="0" w:lastColumn="0" w:oddVBand="0" w:evenVBand="0" w:oddHBand="1"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1675" w:type="dxa"/>
            <w:tcBorders>
              <w:top w:val="none" w:sz="0" w:space="0" w:color="auto"/>
              <w:bottom w:val="none" w:sz="0" w:space="0" w:color="auto"/>
            </w:tcBorders>
          </w:tcPr>
          <w:p w14:paraId="7C271F26" w14:textId="77777777" w:rsidR="00A11211" w:rsidRPr="00D176A1" w:rsidRDefault="00A11211" w:rsidP="006C35CE">
            <w:pPr>
              <w:spacing w:after="0" w:line="360" w:lineRule="auto"/>
              <w:jc w:val="both"/>
              <w:rPr>
                <w:rFonts w:ascii="Times New Roman" w:hAnsi="Times New Roman" w:cs="Times New Roman"/>
                <w:sz w:val="24"/>
                <w:szCs w:val="24"/>
              </w:rPr>
            </w:pPr>
            <w:r w:rsidRPr="00D176A1">
              <w:rPr>
                <w:rFonts w:ascii="Times New Roman" w:hAnsi="Times New Roman" w:cs="Times New Roman"/>
                <w:sz w:val="24"/>
                <w:szCs w:val="24"/>
              </w:rPr>
              <w:t>At most 2</w:t>
            </w:r>
          </w:p>
        </w:tc>
        <w:tc>
          <w:tcPr>
            <w:tcW w:w="1618" w:type="dxa"/>
            <w:tcBorders>
              <w:top w:val="none" w:sz="0" w:space="0" w:color="auto"/>
              <w:bottom w:val="none" w:sz="0" w:space="0" w:color="auto"/>
            </w:tcBorders>
          </w:tcPr>
          <w:p w14:paraId="03E2EF17"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0.156121</w:t>
            </w:r>
          </w:p>
        </w:tc>
        <w:tc>
          <w:tcPr>
            <w:tcW w:w="1617" w:type="dxa"/>
            <w:tcBorders>
              <w:top w:val="none" w:sz="0" w:space="0" w:color="auto"/>
              <w:bottom w:val="none" w:sz="0" w:space="0" w:color="auto"/>
            </w:tcBorders>
          </w:tcPr>
          <w:p w14:paraId="33FB099E"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6.789849</w:t>
            </w:r>
          </w:p>
          <w:p w14:paraId="40ACB815"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(0.1379)</w:t>
            </w:r>
          </w:p>
        </w:tc>
        <w:tc>
          <w:tcPr>
            <w:tcW w:w="1617" w:type="dxa"/>
            <w:tcBorders>
              <w:top w:val="none" w:sz="0" w:space="0" w:color="auto"/>
              <w:bottom w:val="none" w:sz="0" w:space="0" w:color="auto"/>
            </w:tcBorders>
          </w:tcPr>
          <w:p w14:paraId="3D1ED49F"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9.164546</w:t>
            </w:r>
          </w:p>
        </w:tc>
        <w:tc>
          <w:tcPr>
            <w:tcW w:w="1617" w:type="dxa"/>
            <w:tcBorders>
              <w:top w:val="none" w:sz="0" w:space="0" w:color="auto"/>
              <w:bottom w:val="none" w:sz="0" w:space="0" w:color="auto"/>
            </w:tcBorders>
          </w:tcPr>
          <w:p w14:paraId="62CFAD2E"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6.789849</w:t>
            </w:r>
          </w:p>
          <w:p w14:paraId="54339A3F"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(0.1379)</w:t>
            </w:r>
          </w:p>
        </w:tc>
        <w:tc>
          <w:tcPr>
            <w:tcW w:w="1617" w:type="dxa"/>
            <w:tcBorders>
              <w:top w:val="none" w:sz="0" w:space="0" w:color="auto"/>
              <w:bottom w:val="none" w:sz="0" w:space="0" w:color="auto"/>
            </w:tcBorders>
          </w:tcPr>
          <w:p w14:paraId="5AB1493D" w14:textId="77777777" w:rsidR="00A11211" w:rsidRPr="00D176A1" w:rsidRDefault="00A11211" w:rsidP="006C35CE">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9.164546</w:t>
            </w:r>
          </w:p>
        </w:tc>
      </w:tr>
    </w:tbl>
    <w:p w14:paraId="4587A0A7" w14:textId="67C9BBEE" w:rsidR="00A11211" w:rsidRPr="00D176A1" w:rsidRDefault="00A11211" w:rsidP="00A11211">
      <w:pPr>
        <w:spacing w:line="360" w:lineRule="auto"/>
        <w:jc w:val="both"/>
        <w:rPr>
          <w:rFonts w:ascii="Times New Roman" w:hAnsi="Times New Roman" w:cs="Times New Roman"/>
          <w:i/>
          <w:sz w:val="24"/>
          <w:szCs w:val="24"/>
        </w:rPr>
      </w:pPr>
      <w:r w:rsidRPr="00D176A1">
        <w:rPr>
          <w:rFonts w:ascii="Times New Roman" w:hAnsi="Times New Roman" w:cs="Times New Roman"/>
          <w:i/>
          <w:sz w:val="24"/>
          <w:szCs w:val="24"/>
        </w:rPr>
        <w:t>Not</w:t>
      </w:r>
      <w:r w:rsidR="00E3323C">
        <w:rPr>
          <w:rFonts w:ascii="Times New Roman" w:hAnsi="Times New Roman" w:cs="Times New Roman"/>
          <w:i/>
          <w:sz w:val="24"/>
          <w:szCs w:val="24"/>
        </w:rPr>
        <w:t>e</w:t>
      </w:r>
      <w:r w:rsidRPr="00D176A1">
        <w:rPr>
          <w:rFonts w:ascii="Times New Roman" w:hAnsi="Times New Roman" w:cs="Times New Roman"/>
          <w:i/>
          <w:sz w:val="24"/>
          <w:szCs w:val="24"/>
        </w:rPr>
        <w:t xml:space="preserve">: Figures in the parentheses </w:t>
      </w:r>
      <w:proofErr w:type="gramStart"/>
      <w:r w:rsidR="00F00403" w:rsidRPr="00D176A1">
        <w:rPr>
          <w:rFonts w:ascii="Times New Roman" w:hAnsi="Times New Roman" w:cs="Times New Roman"/>
          <w:i/>
          <w:sz w:val="24"/>
          <w:szCs w:val="24"/>
        </w:rPr>
        <w:t>( )</w:t>
      </w:r>
      <w:proofErr w:type="gramEnd"/>
      <w:r w:rsidRPr="00D176A1">
        <w:rPr>
          <w:rFonts w:ascii="Times New Roman" w:hAnsi="Times New Roman" w:cs="Times New Roman"/>
          <w:i/>
          <w:sz w:val="24"/>
          <w:szCs w:val="24"/>
        </w:rPr>
        <w:t xml:space="preserve"> indicates the p-</w:t>
      </w:r>
      <w:r w:rsidR="00F00403" w:rsidRPr="00D176A1">
        <w:rPr>
          <w:rFonts w:ascii="Times New Roman" w:hAnsi="Times New Roman" w:cs="Times New Roman"/>
          <w:i/>
          <w:sz w:val="24"/>
          <w:szCs w:val="24"/>
        </w:rPr>
        <w:t>value</w:t>
      </w:r>
      <w:r w:rsidR="00F00403">
        <w:rPr>
          <w:rFonts w:ascii="Times New Roman" w:hAnsi="Times New Roman" w:cs="Times New Roman"/>
          <w:i/>
          <w:sz w:val="24"/>
          <w:szCs w:val="24"/>
        </w:rPr>
        <w:t>,</w:t>
      </w:r>
      <w:r w:rsidR="00F00403" w:rsidRPr="00D176A1">
        <w:rPr>
          <w:rFonts w:ascii="Times New Roman" w:hAnsi="Times New Roman" w:cs="Times New Roman"/>
          <w:i/>
          <w:sz w:val="24"/>
          <w:szCs w:val="24"/>
        </w:rPr>
        <w:t xml:space="preserve"> *</w:t>
      </w:r>
      <w:r w:rsidRPr="00D176A1">
        <w:rPr>
          <w:rFonts w:ascii="Times New Roman" w:hAnsi="Times New Roman" w:cs="Times New Roman"/>
          <w:i/>
          <w:sz w:val="24"/>
          <w:szCs w:val="24"/>
        </w:rPr>
        <w:t xml:space="preserve"> represent 5% level of significance.</w:t>
      </w:r>
    </w:p>
    <w:p w14:paraId="7F2B0D17" w14:textId="77777777" w:rsidR="00A11211" w:rsidRPr="000C4311" w:rsidRDefault="00A11211" w:rsidP="00A11211">
      <w:pPr>
        <w:spacing w:line="360" w:lineRule="auto"/>
        <w:jc w:val="both"/>
        <w:rPr>
          <w:rFonts w:ascii="Times New Roman" w:hAnsi="Times New Roman" w:cs="Times New Roman"/>
          <w:b/>
          <w:i/>
          <w:iCs/>
          <w:sz w:val="24"/>
          <w:szCs w:val="24"/>
        </w:rPr>
      </w:pPr>
      <w:r w:rsidRPr="000C4311">
        <w:rPr>
          <w:rFonts w:ascii="Times New Roman" w:hAnsi="Times New Roman" w:cs="Times New Roman"/>
          <w:b/>
          <w:i/>
          <w:iCs/>
          <w:sz w:val="24"/>
          <w:szCs w:val="24"/>
        </w:rPr>
        <w:t>Vector Error Correction Model (VECM)</w:t>
      </w:r>
    </w:p>
    <w:p w14:paraId="31A2372C" w14:textId="679D6B38" w:rsidR="00A11211" w:rsidRPr="00D176A1" w:rsidRDefault="00A11211" w:rsidP="00A11211">
      <w:pPr>
        <w:spacing w:line="360" w:lineRule="auto"/>
        <w:ind w:firstLine="720"/>
        <w:jc w:val="both"/>
        <w:rPr>
          <w:rFonts w:ascii="Times New Roman" w:hAnsi="Times New Roman" w:cs="Times New Roman"/>
          <w:bCs/>
          <w:sz w:val="24"/>
          <w:szCs w:val="24"/>
        </w:rPr>
      </w:pPr>
      <w:r w:rsidRPr="00D176A1">
        <w:rPr>
          <w:rFonts w:ascii="Times New Roman" w:hAnsi="Times New Roman" w:cs="Times New Roman"/>
          <w:bCs/>
          <w:sz w:val="24"/>
          <w:szCs w:val="24"/>
        </w:rPr>
        <w:t xml:space="preserve">After conducting the cointegration test using Johansen &amp; </w:t>
      </w:r>
      <w:r w:rsidR="00F00403" w:rsidRPr="00D176A1">
        <w:rPr>
          <w:rFonts w:ascii="Times New Roman" w:hAnsi="Times New Roman" w:cs="Times New Roman"/>
          <w:sz w:val="24"/>
          <w:szCs w:val="24"/>
        </w:rPr>
        <w:t>Julius</w:t>
      </w:r>
      <w:r w:rsidRPr="00D176A1">
        <w:rPr>
          <w:rFonts w:ascii="Times New Roman" w:hAnsi="Times New Roman" w:cs="Times New Roman"/>
          <w:sz w:val="24"/>
          <w:szCs w:val="24"/>
        </w:rPr>
        <w:t xml:space="preserve"> co integration test</w:t>
      </w:r>
      <w:r w:rsidRPr="00D176A1">
        <w:rPr>
          <w:rFonts w:ascii="Times New Roman" w:hAnsi="Times New Roman" w:cs="Times New Roman"/>
          <w:bCs/>
          <w:sz w:val="24"/>
          <w:szCs w:val="24"/>
        </w:rPr>
        <w:t xml:space="preserve"> both max eigen test and trace statistics suggested the existence of one cointegration between </w:t>
      </w:r>
      <w:r w:rsidRPr="00D176A1">
        <w:rPr>
          <w:rFonts w:ascii="Times New Roman" w:hAnsi="Times New Roman" w:cs="Times New Roman"/>
          <w:bCs/>
          <w:i/>
          <w:iCs/>
          <w:sz w:val="24"/>
          <w:szCs w:val="24"/>
        </w:rPr>
        <w:t>ln</w:t>
      </w:r>
      <w:r w:rsidRPr="00D176A1">
        <w:rPr>
          <w:rFonts w:ascii="Times New Roman" w:hAnsi="Times New Roman" w:cs="Times New Roman"/>
          <w:bCs/>
          <w:sz w:val="24"/>
          <w:szCs w:val="24"/>
        </w:rPr>
        <w:t xml:space="preserve"> GDP, </w:t>
      </w:r>
      <w:r w:rsidRPr="00D176A1">
        <w:rPr>
          <w:rFonts w:ascii="Times New Roman" w:hAnsi="Times New Roman" w:cs="Times New Roman"/>
          <w:bCs/>
          <w:i/>
          <w:iCs/>
          <w:sz w:val="24"/>
          <w:szCs w:val="24"/>
        </w:rPr>
        <w:t>ln</w:t>
      </w:r>
      <w:r w:rsidRPr="00D176A1">
        <w:rPr>
          <w:rFonts w:ascii="Times New Roman" w:hAnsi="Times New Roman" w:cs="Times New Roman"/>
          <w:bCs/>
          <w:sz w:val="24"/>
          <w:szCs w:val="24"/>
        </w:rPr>
        <w:t xml:space="preserve"> GFCF &amp; </w:t>
      </w:r>
      <w:r w:rsidRPr="00D176A1">
        <w:rPr>
          <w:rFonts w:ascii="Times New Roman" w:hAnsi="Times New Roman" w:cs="Times New Roman"/>
          <w:bCs/>
          <w:i/>
          <w:iCs/>
          <w:sz w:val="24"/>
          <w:szCs w:val="24"/>
        </w:rPr>
        <w:t>ln</w:t>
      </w:r>
      <w:r w:rsidRPr="00D176A1">
        <w:rPr>
          <w:rFonts w:ascii="Times New Roman" w:hAnsi="Times New Roman" w:cs="Times New Roman"/>
          <w:bCs/>
          <w:sz w:val="24"/>
          <w:szCs w:val="24"/>
        </w:rPr>
        <w:t xml:space="preserve"> REM by rejecting the null hypothesis of no cointegration. However, now it is important to know whether the long run relationship between the variables exist or not hence, the study would go for a VECM analysis. Where if the coefficient of independent variables is positive than there exists a positive long run relationship between both the dependent and independent variables.</w:t>
      </w:r>
    </w:p>
    <w:p w14:paraId="372B6ABA" w14:textId="77777777" w:rsidR="00A11211" w:rsidRPr="000C4311" w:rsidRDefault="00A11211" w:rsidP="00A11211">
      <w:pPr>
        <w:spacing w:line="360" w:lineRule="auto"/>
        <w:jc w:val="both"/>
        <w:rPr>
          <w:rFonts w:ascii="Times New Roman" w:hAnsi="Times New Roman" w:cs="Times New Roman"/>
          <w:bCs/>
          <w:i/>
          <w:iCs/>
          <w:sz w:val="24"/>
          <w:szCs w:val="24"/>
        </w:rPr>
      </w:pPr>
      <w:r w:rsidRPr="000C4311">
        <w:rPr>
          <w:rFonts w:ascii="Times New Roman" w:hAnsi="Times New Roman" w:cs="Times New Roman"/>
          <w:bCs/>
          <w:i/>
          <w:iCs/>
          <w:sz w:val="24"/>
          <w:szCs w:val="24"/>
        </w:rPr>
        <w:t>Long run equation:</w:t>
      </w:r>
    </w:p>
    <w:p w14:paraId="17AA2FF3" w14:textId="77777777" w:rsidR="00A11211" w:rsidRPr="000C4311" w:rsidRDefault="00A11211" w:rsidP="00A11211">
      <w:pPr>
        <w:spacing w:line="360" w:lineRule="auto"/>
        <w:ind w:left="720"/>
        <w:jc w:val="both"/>
        <w:rPr>
          <w:rFonts w:ascii="Times New Roman" w:hAnsi="Times New Roman" w:cs="Times New Roman"/>
          <w:bCs/>
          <w:sz w:val="24"/>
          <w:szCs w:val="24"/>
        </w:rPr>
      </w:pPr>
      <w:r w:rsidRPr="000C4311">
        <w:rPr>
          <w:rFonts w:ascii="Times New Roman" w:hAnsi="Times New Roman" w:cs="Times New Roman"/>
          <w:bCs/>
          <w:i/>
          <w:iCs/>
          <w:sz w:val="24"/>
          <w:szCs w:val="24"/>
        </w:rPr>
        <w:t>ln</w:t>
      </w:r>
      <w:r w:rsidRPr="000C4311">
        <w:rPr>
          <w:rFonts w:ascii="Times New Roman" w:hAnsi="Times New Roman" w:cs="Times New Roman"/>
          <w:bCs/>
          <w:sz w:val="24"/>
          <w:szCs w:val="24"/>
        </w:rPr>
        <w:t xml:space="preserve"> (GDP)</w:t>
      </w:r>
      <w:r w:rsidRPr="000C4311">
        <w:rPr>
          <w:rFonts w:ascii="Times New Roman" w:hAnsi="Times New Roman" w:cs="Times New Roman"/>
          <w:bCs/>
          <w:sz w:val="24"/>
          <w:szCs w:val="24"/>
          <w:vertAlign w:val="subscript"/>
        </w:rPr>
        <w:t>t-1</w:t>
      </w:r>
      <w:r w:rsidRPr="000C4311">
        <w:rPr>
          <w:rFonts w:ascii="Times New Roman" w:hAnsi="Times New Roman" w:cs="Times New Roman"/>
          <w:bCs/>
          <w:sz w:val="24"/>
          <w:szCs w:val="24"/>
        </w:rPr>
        <w:t xml:space="preserve">= </w:t>
      </w:r>
      <w:r w:rsidRPr="000C4311">
        <w:rPr>
          <w:rFonts w:ascii="Times New Roman" w:hAnsi="Times New Roman" w:cs="Times New Roman"/>
          <w:bCs/>
          <w:i/>
          <w:iCs/>
          <w:sz w:val="24"/>
          <w:szCs w:val="24"/>
        </w:rPr>
        <w:t>-7.09+0.50 ln (GFCF)</w:t>
      </w:r>
      <w:r w:rsidRPr="000C4311">
        <w:rPr>
          <w:rFonts w:ascii="Times New Roman" w:hAnsi="Times New Roman" w:cs="Times New Roman"/>
          <w:bCs/>
          <w:sz w:val="24"/>
          <w:szCs w:val="24"/>
          <w:vertAlign w:val="subscript"/>
        </w:rPr>
        <w:t>t-1</w:t>
      </w:r>
      <w:r w:rsidRPr="000C4311">
        <w:rPr>
          <w:rFonts w:ascii="Times New Roman" w:hAnsi="Times New Roman" w:cs="Times New Roman"/>
          <w:bCs/>
          <w:i/>
          <w:iCs/>
          <w:sz w:val="24"/>
          <w:szCs w:val="24"/>
        </w:rPr>
        <w:t>+0.078 ln (REM)</w:t>
      </w:r>
      <w:r w:rsidRPr="000C4311">
        <w:rPr>
          <w:rFonts w:ascii="Times New Roman" w:hAnsi="Times New Roman" w:cs="Times New Roman"/>
          <w:bCs/>
          <w:sz w:val="24"/>
          <w:szCs w:val="24"/>
          <w:vertAlign w:val="subscript"/>
        </w:rPr>
        <w:t>t-1</w:t>
      </w:r>
      <w:r w:rsidRPr="000C4311">
        <w:rPr>
          <w:rFonts w:ascii="Times New Roman" w:hAnsi="Times New Roman" w:cs="Times New Roman"/>
          <w:bCs/>
          <w:sz w:val="24"/>
          <w:szCs w:val="24"/>
        </w:rPr>
        <w:t>………………….</w:t>
      </w:r>
      <w:r>
        <w:rPr>
          <w:rFonts w:ascii="Times New Roman" w:hAnsi="Times New Roman" w:cs="Times New Roman"/>
          <w:bCs/>
          <w:sz w:val="24"/>
          <w:szCs w:val="24"/>
        </w:rPr>
        <w:t xml:space="preserve"> </w:t>
      </w:r>
      <w:r w:rsidRPr="000C4311">
        <w:rPr>
          <w:rFonts w:ascii="Times New Roman" w:hAnsi="Times New Roman" w:cs="Times New Roman"/>
          <w:bCs/>
          <w:sz w:val="24"/>
          <w:szCs w:val="24"/>
        </w:rPr>
        <w:t>(3)</w:t>
      </w:r>
    </w:p>
    <w:p w14:paraId="76E88DE6" w14:textId="77777777" w:rsidR="00A11211" w:rsidRPr="00D176A1" w:rsidRDefault="00A11211" w:rsidP="00A11211">
      <w:pPr>
        <w:spacing w:line="360" w:lineRule="auto"/>
        <w:ind w:firstLine="720"/>
        <w:jc w:val="both"/>
        <w:rPr>
          <w:rFonts w:ascii="Times New Roman" w:hAnsi="Times New Roman" w:cs="Times New Roman"/>
          <w:bCs/>
          <w:sz w:val="24"/>
          <w:szCs w:val="24"/>
        </w:rPr>
      </w:pPr>
      <w:r w:rsidRPr="00D176A1">
        <w:rPr>
          <w:rFonts w:ascii="Times New Roman" w:hAnsi="Times New Roman" w:cs="Times New Roman"/>
          <w:bCs/>
          <w:sz w:val="24"/>
          <w:szCs w:val="24"/>
        </w:rPr>
        <w:t xml:space="preserve">From the above equation i.e., the result of VECM analysis, it was found that the long run </w:t>
      </w:r>
      <w:r w:rsidRPr="00D176A1">
        <w:rPr>
          <w:rFonts w:ascii="Times New Roman" w:hAnsi="Times New Roman" w:cs="Times New Roman"/>
          <w:bCs/>
          <w:i/>
          <w:iCs/>
          <w:sz w:val="24"/>
          <w:szCs w:val="24"/>
        </w:rPr>
        <w:t xml:space="preserve">ln </w:t>
      </w:r>
      <w:r w:rsidRPr="00D176A1">
        <w:rPr>
          <w:rFonts w:ascii="Times New Roman" w:hAnsi="Times New Roman" w:cs="Times New Roman"/>
          <w:bCs/>
          <w:sz w:val="24"/>
          <w:szCs w:val="24"/>
        </w:rPr>
        <w:t xml:space="preserve">GFCF is the positive and significant effect on </w:t>
      </w:r>
      <w:r w:rsidRPr="00D176A1">
        <w:rPr>
          <w:rFonts w:ascii="Times New Roman" w:hAnsi="Times New Roman" w:cs="Times New Roman"/>
          <w:bCs/>
          <w:i/>
          <w:iCs/>
          <w:sz w:val="24"/>
          <w:szCs w:val="24"/>
        </w:rPr>
        <w:t xml:space="preserve">ln </w:t>
      </w:r>
      <w:r w:rsidRPr="00D176A1">
        <w:rPr>
          <w:rFonts w:ascii="Times New Roman" w:hAnsi="Times New Roman" w:cs="Times New Roman"/>
          <w:bCs/>
          <w:sz w:val="24"/>
          <w:szCs w:val="24"/>
        </w:rPr>
        <w:t xml:space="preserve">GDP, but </w:t>
      </w:r>
      <w:r w:rsidRPr="00D176A1">
        <w:rPr>
          <w:rFonts w:ascii="Times New Roman" w:hAnsi="Times New Roman" w:cs="Times New Roman"/>
          <w:bCs/>
          <w:i/>
          <w:iCs/>
          <w:sz w:val="24"/>
          <w:szCs w:val="24"/>
        </w:rPr>
        <w:t xml:space="preserve">ln </w:t>
      </w:r>
      <w:r w:rsidRPr="00D176A1">
        <w:rPr>
          <w:rFonts w:ascii="Times New Roman" w:hAnsi="Times New Roman" w:cs="Times New Roman"/>
          <w:bCs/>
          <w:sz w:val="24"/>
          <w:szCs w:val="24"/>
        </w:rPr>
        <w:t xml:space="preserve">REM is positive but insignificant on </w:t>
      </w:r>
      <w:r w:rsidRPr="00D176A1">
        <w:rPr>
          <w:rFonts w:ascii="Times New Roman" w:hAnsi="Times New Roman" w:cs="Times New Roman"/>
          <w:bCs/>
          <w:i/>
          <w:iCs/>
          <w:sz w:val="24"/>
          <w:szCs w:val="24"/>
        </w:rPr>
        <w:t>lnGDP</w:t>
      </w:r>
      <w:r w:rsidRPr="00D176A1">
        <w:rPr>
          <w:rFonts w:ascii="Times New Roman" w:hAnsi="Times New Roman" w:cs="Times New Roman"/>
          <w:bCs/>
          <w:sz w:val="24"/>
          <w:szCs w:val="24"/>
        </w:rPr>
        <w:t xml:space="preserve">. </w:t>
      </w:r>
    </w:p>
    <w:p w14:paraId="0D7E2388" w14:textId="77777777" w:rsidR="00E3323C" w:rsidRDefault="00A11211" w:rsidP="00A11211">
      <w:pPr>
        <w:spacing w:line="360" w:lineRule="auto"/>
        <w:jc w:val="both"/>
        <w:rPr>
          <w:rFonts w:ascii="Times New Roman" w:hAnsi="Times New Roman" w:cs="Times New Roman"/>
          <w:i/>
          <w:iCs/>
          <w:sz w:val="24"/>
          <w:szCs w:val="24"/>
        </w:rPr>
      </w:pPr>
      <w:r w:rsidRPr="000C4311">
        <w:rPr>
          <w:rFonts w:ascii="Times New Roman" w:hAnsi="Times New Roman" w:cs="Times New Roman"/>
          <w:i/>
          <w:iCs/>
          <w:sz w:val="24"/>
          <w:szCs w:val="24"/>
        </w:rPr>
        <w:t>Dynamic Short run Relationship (VECM):</w:t>
      </w:r>
    </w:p>
    <w:p w14:paraId="44C50B30" w14:textId="131AFD8F" w:rsidR="00A11211" w:rsidRPr="00E3323C" w:rsidRDefault="00A11211" w:rsidP="00A11211">
      <w:pPr>
        <w:spacing w:line="360" w:lineRule="auto"/>
        <w:jc w:val="both"/>
        <w:rPr>
          <w:rFonts w:ascii="Times New Roman" w:hAnsi="Times New Roman" w:cs="Times New Roman"/>
          <w:i/>
          <w:iCs/>
          <w:sz w:val="24"/>
          <w:szCs w:val="24"/>
        </w:rPr>
      </w:pPr>
      <w:r w:rsidRPr="00E3323C">
        <w:rPr>
          <w:rFonts w:ascii="Times New Roman" w:hAnsi="Times New Roman" w:cs="Times New Roman"/>
          <w:sz w:val="24"/>
          <w:szCs w:val="24"/>
        </w:rPr>
        <w:t xml:space="preserve"> ∆ </w:t>
      </w:r>
      <w:r w:rsidRPr="00E3323C">
        <w:rPr>
          <w:rFonts w:ascii="Times New Roman" w:hAnsi="Times New Roman" w:cs="Times New Roman"/>
          <w:i/>
          <w:sz w:val="24"/>
          <w:szCs w:val="24"/>
        </w:rPr>
        <w:t xml:space="preserve">ln </w:t>
      </w:r>
      <w:r w:rsidRPr="00E3323C">
        <w:rPr>
          <w:rFonts w:ascii="Times New Roman" w:hAnsi="Times New Roman" w:cs="Times New Roman"/>
          <w:sz w:val="24"/>
          <w:szCs w:val="24"/>
        </w:rPr>
        <w:t xml:space="preserve">(GDP)= </w:t>
      </w:r>
      <w:r w:rsidRPr="00E3323C">
        <w:rPr>
          <w:rFonts w:ascii="Times New Roman" w:hAnsi="Times New Roman" w:cs="Times New Roman"/>
          <w:i/>
          <w:iCs/>
          <w:sz w:val="24"/>
          <w:szCs w:val="24"/>
        </w:rPr>
        <w:t>-0.18 ECM</w:t>
      </w:r>
      <w:r w:rsidRPr="00E3323C">
        <w:rPr>
          <w:rFonts w:ascii="Times New Roman" w:hAnsi="Times New Roman" w:cs="Times New Roman"/>
          <w:i/>
          <w:iCs/>
          <w:sz w:val="24"/>
          <w:szCs w:val="24"/>
          <w:vertAlign w:val="subscript"/>
        </w:rPr>
        <w:t>t-1</w:t>
      </w:r>
      <w:r w:rsidRPr="00E3323C">
        <w:rPr>
          <w:rFonts w:ascii="Times New Roman" w:hAnsi="Times New Roman" w:cs="Times New Roman"/>
          <w:i/>
          <w:iCs/>
          <w:sz w:val="24"/>
          <w:szCs w:val="24"/>
        </w:rPr>
        <w:t>+ 0.65 ∆ ln (GDP)</w:t>
      </w:r>
      <w:r w:rsidRPr="00E3323C">
        <w:rPr>
          <w:rFonts w:ascii="Times New Roman" w:hAnsi="Times New Roman" w:cs="Times New Roman"/>
          <w:i/>
          <w:iCs/>
          <w:sz w:val="24"/>
          <w:szCs w:val="24"/>
          <w:vertAlign w:val="subscript"/>
        </w:rPr>
        <w:t>t-1</w:t>
      </w:r>
      <w:r w:rsidRPr="00E3323C">
        <w:rPr>
          <w:rFonts w:ascii="Times New Roman" w:hAnsi="Times New Roman" w:cs="Times New Roman"/>
          <w:i/>
          <w:iCs/>
          <w:sz w:val="24"/>
          <w:szCs w:val="24"/>
        </w:rPr>
        <w:t>- 0.51 ∆ ln (GFCF)</w:t>
      </w:r>
      <w:r w:rsidRPr="00E3323C">
        <w:rPr>
          <w:rFonts w:ascii="Times New Roman" w:hAnsi="Times New Roman" w:cs="Times New Roman"/>
          <w:i/>
          <w:iCs/>
          <w:sz w:val="24"/>
          <w:szCs w:val="24"/>
          <w:vertAlign w:val="subscript"/>
        </w:rPr>
        <w:t>t-1</w:t>
      </w:r>
      <w:r w:rsidRPr="00E3323C">
        <w:rPr>
          <w:rFonts w:ascii="Times New Roman" w:hAnsi="Times New Roman" w:cs="Times New Roman"/>
          <w:i/>
          <w:iCs/>
          <w:sz w:val="24"/>
          <w:szCs w:val="24"/>
        </w:rPr>
        <w:t>+ 0.02 ∆ ln (REM)</w:t>
      </w:r>
      <w:r w:rsidRPr="00E3323C">
        <w:rPr>
          <w:rFonts w:ascii="Times New Roman" w:hAnsi="Times New Roman" w:cs="Times New Roman"/>
          <w:i/>
          <w:iCs/>
          <w:sz w:val="24"/>
          <w:szCs w:val="24"/>
          <w:vertAlign w:val="subscript"/>
        </w:rPr>
        <w:t>t-1</w:t>
      </w:r>
      <w:proofErr w:type="gramStart"/>
      <w:r w:rsidR="00E3323C">
        <w:rPr>
          <w:rFonts w:ascii="Times New Roman" w:hAnsi="Times New Roman" w:cs="Times New Roman"/>
          <w:sz w:val="24"/>
          <w:szCs w:val="24"/>
        </w:rPr>
        <w:t>….</w:t>
      </w:r>
      <w:r w:rsidRPr="00E3323C">
        <w:rPr>
          <w:rFonts w:ascii="Times New Roman" w:hAnsi="Times New Roman" w:cs="Times New Roman"/>
          <w:sz w:val="24"/>
          <w:szCs w:val="24"/>
        </w:rPr>
        <w:t>(</w:t>
      </w:r>
      <w:proofErr w:type="gramEnd"/>
      <w:r w:rsidRPr="00E3323C">
        <w:rPr>
          <w:rFonts w:ascii="Times New Roman" w:hAnsi="Times New Roman" w:cs="Times New Roman"/>
          <w:sz w:val="24"/>
          <w:szCs w:val="24"/>
        </w:rPr>
        <w:t>4)</w:t>
      </w:r>
    </w:p>
    <w:p w14:paraId="564B1849" w14:textId="77777777" w:rsidR="00A11211" w:rsidRDefault="00A11211" w:rsidP="00A11211">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lastRenderedPageBreak/>
        <w:t>As per short run adjustment ECM values for all variables are given in above equation. According to the above equation ECM coefficient of GDP is negative and significant which as expectation explains that adjustments in these variables is significant in short run. The coefficient value of ECT</w:t>
      </w:r>
      <w:r w:rsidRPr="00D176A1">
        <w:rPr>
          <w:rFonts w:ascii="Times New Roman" w:hAnsi="Times New Roman" w:cs="Times New Roman"/>
          <w:sz w:val="24"/>
          <w:szCs w:val="24"/>
          <w:vertAlign w:val="subscript"/>
        </w:rPr>
        <w:t>t-1</w:t>
      </w:r>
      <w:r w:rsidRPr="00D176A1">
        <w:rPr>
          <w:rFonts w:ascii="Times New Roman" w:hAnsi="Times New Roman" w:cs="Times New Roman"/>
          <w:sz w:val="24"/>
          <w:szCs w:val="24"/>
        </w:rPr>
        <w:t xml:space="preserve"> is -0.18, this means that the prior period’s deviation from the long run equilibrium has been corrected in current period with 18% speed of adjustment.</w:t>
      </w:r>
    </w:p>
    <w:p w14:paraId="3C967C81" w14:textId="4862AEB3" w:rsidR="004B7FB8" w:rsidRPr="00D176A1" w:rsidRDefault="004B7FB8" w:rsidP="003A793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equation (4) demonstrates that the coefficient of the error correction term is -0.18 is negative, confirming the presence of a long-term relationship among remittances, GDP and investment. Approximately 18</w:t>
      </w:r>
      <w:r w:rsidR="001746C9">
        <w:rPr>
          <w:rFonts w:ascii="Times New Roman" w:hAnsi="Times New Roman" w:cs="Times New Roman"/>
          <w:sz w:val="24"/>
          <w:szCs w:val="24"/>
        </w:rPr>
        <w:t xml:space="preserve">% </w:t>
      </w:r>
      <w:r>
        <w:rPr>
          <w:rFonts w:ascii="Times New Roman" w:hAnsi="Times New Roman" w:cs="Times New Roman"/>
          <w:sz w:val="24"/>
          <w:szCs w:val="24"/>
        </w:rPr>
        <w:t xml:space="preserve">of any short-run disequilibrium reverts to equilibrium annually indicating a moderate adjustment rate (Engle &amp; Granger, 1987). The positive coefficient of lagged GDP growth (0.65) indicates persistence in growth, suggesting that previous growth significantly bolsters current growth, in accordance with the endogenous growth theory (Romer, 1990). The negative coefficient of gross fixed capital formation (-0.51) indicates that investment does mot promptly result in increased growth in the short run, potentially due to </w:t>
      </w:r>
      <w:r w:rsidR="00EF3000">
        <w:rPr>
          <w:rFonts w:ascii="Times New Roman" w:hAnsi="Times New Roman" w:cs="Times New Roman"/>
          <w:sz w:val="24"/>
          <w:szCs w:val="24"/>
        </w:rPr>
        <w:t xml:space="preserve">delays in </w:t>
      </w:r>
      <w:r>
        <w:rPr>
          <w:rFonts w:ascii="Times New Roman" w:hAnsi="Times New Roman" w:cs="Times New Roman"/>
          <w:sz w:val="24"/>
          <w:szCs w:val="24"/>
        </w:rPr>
        <w:t>implementation</w:t>
      </w:r>
      <w:r w:rsidR="00EF3000">
        <w:rPr>
          <w:rFonts w:ascii="Times New Roman" w:hAnsi="Times New Roman" w:cs="Times New Roman"/>
          <w:sz w:val="24"/>
          <w:szCs w:val="24"/>
        </w:rPr>
        <w:t xml:space="preserve"> or crowding-out effects, consistent with findings that capital accumulation has a more substantial impact in the long-term (Pradhan, 2010). Remittances, characterized by a modest yet positive coefficient (0.02), contribute to income stabilization and facilitate consumption or minor investments (Giuliano &amp; Ruiz-Arranz</w:t>
      </w:r>
      <w:r w:rsidR="00EE42DF">
        <w:rPr>
          <w:rFonts w:ascii="Times New Roman" w:hAnsi="Times New Roman" w:cs="Times New Roman"/>
          <w:sz w:val="24"/>
          <w:szCs w:val="24"/>
        </w:rPr>
        <w:t>, 2009; Ratha, 2013). The results indicate that India’s short- term growth is mostly influenced by past behavior and remittance inflows, whereas investment contributes more significantly in the long-term.</w:t>
      </w:r>
      <w:r>
        <w:rPr>
          <w:rFonts w:ascii="Times New Roman" w:hAnsi="Times New Roman" w:cs="Times New Roman"/>
          <w:sz w:val="24"/>
          <w:szCs w:val="24"/>
        </w:rPr>
        <w:t xml:space="preserve"> </w:t>
      </w:r>
    </w:p>
    <w:p w14:paraId="19EF9F49" w14:textId="77777777" w:rsidR="00A11211" w:rsidRPr="005B25C1" w:rsidRDefault="00A11211" w:rsidP="00A11211">
      <w:pPr>
        <w:spacing w:line="360" w:lineRule="auto"/>
        <w:jc w:val="both"/>
        <w:rPr>
          <w:rFonts w:ascii="Times New Roman" w:hAnsi="Times New Roman" w:cs="Times New Roman"/>
          <w:b/>
          <w:sz w:val="28"/>
          <w:szCs w:val="28"/>
          <w:u w:val="single"/>
        </w:rPr>
      </w:pPr>
      <w:r w:rsidRPr="005B25C1">
        <w:rPr>
          <w:rFonts w:ascii="Times New Roman" w:hAnsi="Times New Roman" w:cs="Times New Roman"/>
          <w:b/>
          <w:sz w:val="28"/>
          <w:szCs w:val="28"/>
        </w:rPr>
        <w:t>V. Granger Causality Test</w:t>
      </w:r>
    </w:p>
    <w:p w14:paraId="7B72FF44" w14:textId="3CE0778E" w:rsidR="00A11211" w:rsidRPr="004F237B" w:rsidRDefault="00A11211" w:rsidP="004F237B">
      <w:pPr>
        <w:spacing w:line="360" w:lineRule="auto"/>
        <w:ind w:firstLine="720"/>
        <w:jc w:val="both"/>
        <w:rPr>
          <w:rFonts w:ascii="Times New Roman" w:hAnsi="Times New Roman" w:cs="Times New Roman"/>
          <w:sz w:val="24"/>
          <w:szCs w:val="24"/>
        </w:rPr>
      </w:pPr>
      <w:r w:rsidRPr="00D176A1">
        <w:rPr>
          <w:rFonts w:ascii="Times New Roman" w:hAnsi="Times New Roman" w:cs="Times New Roman"/>
          <w:sz w:val="24"/>
          <w:szCs w:val="24"/>
        </w:rPr>
        <w:t>Pair-wise Granger Causality tests are then carried out to determine causality based on the error correction model. The findings demonstrate a one-way causal relationship between gross fixed capital formation and economic growth. As the p-value (0.06) is less than 10% level of significance, we reject the null hypothesis of exogeneity of gross fixed capital creation in the economic growth function. As the p-value (0.04) is significant at the 5% threshold of significance, the result also implies that GDP also Granger causes GFCF. Furthermore, it is clear that there is a one-way causal relationship between gross fixed capital production and GDP. According to the findings, there is a one-way causal relationship between remittances and gross fixed capital formation as well as economic growth.</w:t>
      </w:r>
    </w:p>
    <w:p w14:paraId="05B7DE66" w14:textId="77777777" w:rsidR="00A11211" w:rsidRPr="00D176A1" w:rsidRDefault="00A11211" w:rsidP="00A11211">
      <w:pPr>
        <w:spacing w:line="360" w:lineRule="auto"/>
        <w:jc w:val="both"/>
        <w:rPr>
          <w:rFonts w:ascii="Times New Roman" w:hAnsi="Times New Roman" w:cs="Times New Roman"/>
          <w:b/>
          <w:bCs/>
          <w:sz w:val="24"/>
          <w:szCs w:val="24"/>
        </w:rPr>
      </w:pPr>
      <w:r w:rsidRPr="00D176A1">
        <w:rPr>
          <w:rFonts w:ascii="Times New Roman" w:hAnsi="Times New Roman" w:cs="Times New Roman"/>
          <w:b/>
          <w:bCs/>
          <w:sz w:val="24"/>
          <w:szCs w:val="24"/>
        </w:rPr>
        <w:lastRenderedPageBreak/>
        <w:t>Table-4 Result of Granger Causality Test</w:t>
      </w:r>
    </w:p>
    <w:tbl>
      <w:tblPr>
        <w:tblStyle w:val="PlainTable1"/>
        <w:tblpPr w:leftFromText="180" w:rightFromText="180" w:vertAnchor="text" w:horzAnchor="margin"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2197"/>
        <w:gridCol w:w="2197"/>
        <w:gridCol w:w="2197"/>
      </w:tblGrid>
      <w:tr w:rsidR="00E3323C" w:rsidRPr="00D176A1" w14:paraId="12F6A4B6" w14:textId="77777777" w:rsidTr="00E3323C">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196" w:type="dxa"/>
          </w:tcPr>
          <w:p w14:paraId="79DBAAEB" w14:textId="08C054BE" w:rsidR="00A11211" w:rsidRPr="00D176A1" w:rsidRDefault="00A11211" w:rsidP="00F032FA">
            <w:pPr>
              <w:spacing w:after="0" w:line="360" w:lineRule="auto"/>
              <w:jc w:val="center"/>
              <w:rPr>
                <w:rFonts w:ascii="Times New Roman" w:hAnsi="Times New Roman" w:cs="Times New Roman"/>
                <w:sz w:val="24"/>
                <w:szCs w:val="24"/>
              </w:rPr>
            </w:pPr>
            <w:r w:rsidRPr="00D176A1">
              <w:rPr>
                <w:rFonts w:ascii="Times New Roman" w:hAnsi="Times New Roman" w:cs="Times New Roman"/>
                <w:sz w:val="24"/>
                <w:szCs w:val="24"/>
              </w:rPr>
              <w:t>Null Hypothes</w:t>
            </w:r>
            <w:r w:rsidR="00F032FA">
              <w:rPr>
                <w:rFonts w:ascii="Times New Roman" w:hAnsi="Times New Roman" w:cs="Times New Roman"/>
                <w:sz w:val="24"/>
                <w:szCs w:val="24"/>
              </w:rPr>
              <w:t>e</w:t>
            </w:r>
            <w:r w:rsidRPr="00D176A1">
              <w:rPr>
                <w:rFonts w:ascii="Times New Roman" w:hAnsi="Times New Roman" w:cs="Times New Roman"/>
                <w:sz w:val="24"/>
                <w:szCs w:val="24"/>
              </w:rPr>
              <w:t>s</w:t>
            </w:r>
          </w:p>
        </w:tc>
        <w:tc>
          <w:tcPr>
            <w:tcW w:w="2197" w:type="dxa"/>
          </w:tcPr>
          <w:p w14:paraId="7B38FE97" w14:textId="77777777" w:rsidR="00A11211" w:rsidRPr="00D176A1" w:rsidRDefault="00A11211" w:rsidP="00F032F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F-statistics</w:t>
            </w:r>
          </w:p>
        </w:tc>
        <w:tc>
          <w:tcPr>
            <w:tcW w:w="2197" w:type="dxa"/>
          </w:tcPr>
          <w:p w14:paraId="548BE58F" w14:textId="77777777" w:rsidR="00A11211" w:rsidRPr="00D176A1" w:rsidRDefault="00A11211" w:rsidP="00F032F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p-value</w:t>
            </w:r>
          </w:p>
        </w:tc>
        <w:tc>
          <w:tcPr>
            <w:tcW w:w="2197" w:type="dxa"/>
          </w:tcPr>
          <w:p w14:paraId="15F27EC9" w14:textId="557FBA64" w:rsidR="00A11211" w:rsidRPr="00D176A1" w:rsidRDefault="00A11211" w:rsidP="00F032FA">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 xml:space="preserve">Conclusion </w:t>
            </w:r>
          </w:p>
        </w:tc>
      </w:tr>
      <w:tr w:rsidR="00E3323C" w:rsidRPr="00D176A1" w14:paraId="1E1F64F0" w14:textId="77777777" w:rsidTr="00E3323C">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196" w:type="dxa"/>
          </w:tcPr>
          <w:p w14:paraId="02130055" w14:textId="00BF7F7B" w:rsidR="00A11211" w:rsidRPr="00F032FA" w:rsidRDefault="00A11211" w:rsidP="00F032FA">
            <w:pPr>
              <w:spacing w:after="0" w:line="360" w:lineRule="auto"/>
              <w:jc w:val="center"/>
              <w:rPr>
                <w:rFonts w:ascii="Times New Roman" w:hAnsi="Times New Roman" w:cs="Times New Roman"/>
                <w:b w:val="0"/>
                <w:bCs w:val="0"/>
                <w:sz w:val="24"/>
                <w:szCs w:val="24"/>
              </w:rPr>
            </w:pPr>
            <w:r w:rsidRPr="00F032FA">
              <w:rPr>
                <w:rFonts w:ascii="Times New Roman" w:hAnsi="Times New Roman" w:cs="Times New Roman"/>
                <w:b w:val="0"/>
                <w:bCs w:val="0"/>
                <w:sz w:val="24"/>
                <w:szCs w:val="24"/>
              </w:rPr>
              <w:t>H</w:t>
            </w:r>
            <w:r w:rsidRPr="00F032FA">
              <w:rPr>
                <w:rFonts w:ascii="Times New Roman" w:hAnsi="Times New Roman" w:cs="Times New Roman"/>
                <w:b w:val="0"/>
                <w:bCs w:val="0"/>
                <w:sz w:val="24"/>
                <w:szCs w:val="24"/>
                <w:vertAlign w:val="subscript"/>
              </w:rPr>
              <w:t>0</w:t>
            </w:r>
            <w:r w:rsidRPr="00F032FA">
              <w:rPr>
                <w:rFonts w:ascii="Times New Roman" w:hAnsi="Times New Roman" w:cs="Times New Roman"/>
                <w:b w:val="0"/>
                <w:bCs w:val="0"/>
                <w:sz w:val="24"/>
                <w:szCs w:val="24"/>
              </w:rPr>
              <w:t>: GFCF≠&gt; GDP</w:t>
            </w:r>
          </w:p>
          <w:p w14:paraId="2E0075D3" w14:textId="77777777" w:rsidR="00A11211" w:rsidRPr="00F032FA" w:rsidRDefault="00A11211" w:rsidP="00F032FA">
            <w:pPr>
              <w:spacing w:after="0" w:line="360" w:lineRule="auto"/>
              <w:jc w:val="center"/>
              <w:rPr>
                <w:rFonts w:ascii="Times New Roman" w:hAnsi="Times New Roman" w:cs="Times New Roman"/>
                <w:b w:val="0"/>
                <w:bCs w:val="0"/>
                <w:sz w:val="24"/>
                <w:szCs w:val="24"/>
              </w:rPr>
            </w:pPr>
            <w:r w:rsidRPr="00F032FA">
              <w:rPr>
                <w:rFonts w:ascii="Times New Roman" w:hAnsi="Times New Roman" w:cs="Times New Roman"/>
                <w:b w:val="0"/>
                <w:bCs w:val="0"/>
                <w:sz w:val="24"/>
                <w:szCs w:val="24"/>
              </w:rPr>
              <w:t>H</w:t>
            </w:r>
            <w:r w:rsidRPr="00F032FA">
              <w:rPr>
                <w:rFonts w:ascii="Times New Roman" w:hAnsi="Times New Roman" w:cs="Times New Roman"/>
                <w:b w:val="0"/>
                <w:bCs w:val="0"/>
                <w:sz w:val="24"/>
                <w:szCs w:val="24"/>
                <w:vertAlign w:val="subscript"/>
              </w:rPr>
              <w:t>0</w:t>
            </w:r>
            <w:r w:rsidRPr="00F032FA">
              <w:rPr>
                <w:rFonts w:ascii="Times New Roman" w:hAnsi="Times New Roman" w:cs="Times New Roman"/>
                <w:b w:val="0"/>
                <w:bCs w:val="0"/>
                <w:sz w:val="24"/>
                <w:szCs w:val="24"/>
              </w:rPr>
              <w:t>: GDP≠&gt; GFCF</w:t>
            </w:r>
          </w:p>
        </w:tc>
        <w:tc>
          <w:tcPr>
            <w:tcW w:w="2197" w:type="dxa"/>
          </w:tcPr>
          <w:p w14:paraId="58CE0FAB" w14:textId="52E6F12F" w:rsidR="00A11211" w:rsidRPr="00D176A1" w:rsidRDefault="00A11211" w:rsidP="00F032F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2.93709</w:t>
            </w:r>
          </w:p>
          <w:p w14:paraId="743C02B0" w14:textId="77777777" w:rsidR="00A11211" w:rsidRPr="00D176A1" w:rsidRDefault="00A11211" w:rsidP="00F032F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1.12988</w:t>
            </w:r>
          </w:p>
        </w:tc>
        <w:tc>
          <w:tcPr>
            <w:tcW w:w="2197" w:type="dxa"/>
          </w:tcPr>
          <w:p w14:paraId="03E6C7B2" w14:textId="1BBA3DF0" w:rsidR="00A11211" w:rsidRPr="00D176A1" w:rsidRDefault="00A11211" w:rsidP="00F032F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0.0947**</w:t>
            </w:r>
          </w:p>
          <w:p w14:paraId="5FB8FCB5" w14:textId="4C272DD4" w:rsidR="00A11211" w:rsidRPr="00D176A1" w:rsidRDefault="00A11211" w:rsidP="00F032F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0.2945</w:t>
            </w:r>
          </w:p>
        </w:tc>
        <w:tc>
          <w:tcPr>
            <w:tcW w:w="2197" w:type="dxa"/>
          </w:tcPr>
          <w:p w14:paraId="2C002F32" w14:textId="10BB2977" w:rsidR="00F032FA" w:rsidRPr="00D176A1" w:rsidRDefault="00F032FA" w:rsidP="00F032F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Unidirectional</w:t>
            </w:r>
          </w:p>
        </w:tc>
      </w:tr>
      <w:tr w:rsidR="00E3323C" w:rsidRPr="00D176A1" w14:paraId="380E26E6" w14:textId="77777777" w:rsidTr="00E3323C">
        <w:trPr>
          <w:trHeight w:val="1242"/>
        </w:trPr>
        <w:tc>
          <w:tcPr>
            <w:cnfStyle w:val="001000000000" w:firstRow="0" w:lastRow="0" w:firstColumn="1" w:lastColumn="0" w:oddVBand="0" w:evenVBand="0" w:oddHBand="0" w:evenHBand="0" w:firstRowFirstColumn="0" w:firstRowLastColumn="0" w:lastRowFirstColumn="0" w:lastRowLastColumn="0"/>
            <w:tcW w:w="2196" w:type="dxa"/>
          </w:tcPr>
          <w:p w14:paraId="2B10BA32" w14:textId="5B470B6C" w:rsidR="00A11211" w:rsidRPr="00F032FA" w:rsidRDefault="00A11211" w:rsidP="00F032FA">
            <w:pPr>
              <w:spacing w:after="0" w:line="360" w:lineRule="auto"/>
              <w:jc w:val="center"/>
              <w:rPr>
                <w:rFonts w:ascii="Times New Roman" w:hAnsi="Times New Roman" w:cs="Times New Roman"/>
                <w:b w:val="0"/>
                <w:bCs w:val="0"/>
                <w:sz w:val="24"/>
                <w:szCs w:val="24"/>
              </w:rPr>
            </w:pPr>
            <w:r w:rsidRPr="00F032FA">
              <w:rPr>
                <w:rFonts w:ascii="Times New Roman" w:hAnsi="Times New Roman" w:cs="Times New Roman"/>
                <w:b w:val="0"/>
                <w:bCs w:val="0"/>
                <w:sz w:val="24"/>
                <w:szCs w:val="24"/>
              </w:rPr>
              <w:t>H</w:t>
            </w:r>
            <w:r w:rsidRPr="00F032FA">
              <w:rPr>
                <w:rFonts w:ascii="Times New Roman" w:hAnsi="Times New Roman" w:cs="Times New Roman"/>
                <w:b w:val="0"/>
                <w:bCs w:val="0"/>
                <w:sz w:val="24"/>
                <w:szCs w:val="24"/>
                <w:vertAlign w:val="subscript"/>
              </w:rPr>
              <w:t>0</w:t>
            </w:r>
            <w:r w:rsidRPr="00F032FA">
              <w:rPr>
                <w:rFonts w:ascii="Times New Roman" w:hAnsi="Times New Roman" w:cs="Times New Roman"/>
                <w:b w:val="0"/>
                <w:bCs w:val="0"/>
                <w:sz w:val="24"/>
                <w:szCs w:val="24"/>
              </w:rPr>
              <w:t>: REM≠&gt;GDP</w:t>
            </w:r>
          </w:p>
          <w:p w14:paraId="3BC3ECA0" w14:textId="3A86AA7B" w:rsidR="00F032FA" w:rsidRPr="00F032FA" w:rsidRDefault="00A11211" w:rsidP="00F032FA">
            <w:pPr>
              <w:spacing w:after="0" w:line="360" w:lineRule="auto"/>
              <w:jc w:val="center"/>
              <w:rPr>
                <w:rFonts w:ascii="Times New Roman" w:hAnsi="Times New Roman" w:cs="Times New Roman"/>
                <w:b w:val="0"/>
                <w:bCs w:val="0"/>
                <w:sz w:val="24"/>
                <w:szCs w:val="24"/>
              </w:rPr>
            </w:pPr>
            <w:r w:rsidRPr="00F032FA">
              <w:rPr>
                <w:rFonts w:ascii="Times New Roman" w:hAnsi="Times New Roman" w:cs="Times New Roman"/>
                <w:b w:val="0"/>
                <w:bCs w:val="0"/>
                <w:sz w:val="24"/>
                <w:szCs w:val="24"/>
              </w:rPr>
              <w:t>H</w:t>
            </w:r>
            <w:r w:rsidRPr="00F032FA">
              <w:rPr>
                <w:rFonts w:ascii="Times New Roman" w:hAnsi="Times New Roman" w:cs="Times New Roman"/>
                <w:b w:val="0"/>
                <w:bCs w:val="0"/>
                <w:sz w:val="24"/>
                <w:szCs w:val="24"/>
                <w:vertAlign w:val="subscript"/>
              </w:rPr>
              <w:t>0</w:t>
            </w:r>
            <w:r w:rsidRPr="00F032FA">
              <w:rPr>
                <w:rFonts w:ascii="Times New Roman" w:hAnsi="Times New Roman" w:cs="Times New Roman"/>
                <w:b w:val="0"/>
                <w:bCs w:val="0"/>
                <w:sz w:val="24"/>
                <w:szCs w:val="24"/>
              </w:rPr>
              <w:t>: GDP≠&gt;REM</w:t>
            </w:r>
          </w:p>
        </w:tc>
        <w:tc>
          <w:tcPr>
            <w:tcW w:w="2197" w:type="dxa"/>
          </w:tcPr>
          <w:p w14:paraId="6E138CB7" w14:textId="4F8E06CD" w:rsidR="00A11211" w:rsidRPr="00D176A1" w:rsidRDefault="00A11211" w:rsidP="00F032F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7.82571</w:t>
            </w:r>
          </w:p>
          <w:p w14:paraId="7F0A326D" w14:textId="77777777" w:rsidR="00A11211" w:rsidRPr="00D176A1" w:rsidRDefault="00A11211" w:rsidP="00F032F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0.42150</w:t>
            </w:r>
          </w:p>
        </w:tc>
        <w:tc>
          <w:tcPr>
            <w:tcW w:w="2197" w:type="dxa"/>
          </w:tcPr>
          <w:p w14:paraId="7F6D0672" w14:textId="16A7B4C7" w:rsidR="00A11211" w:rsidRPr="00D176A1" w:rsidRDefault="00A11211" w:rsidP="00F032F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0.0080*</w:t>
            </w:r>
          </w:p>
          <w:p w14:paraId="149D3C47" w14:textId="77777777" w:rsidR="00A11211" w:rsidRPr="00D176A1" w:rsidRDefault="00A11211" w:rsidP="00F032F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0.5201</w:t>
            </w:r>
          </w:p>
          <w:p w14:paraId="722AA083" w14:textId="77777777" w:rsidR="00A11211" w:rsidRPr="00D176A1" w:rsidRDefault="00A11211" w:rsidP="00F032F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197" w:type="dxa"/>
          </w:tcPr>
          <w:p w14:paraId="72155942" w14:textId="4CC74091" w:rsidR="00A11211" w:rsidRPr="00D176A1" w:rsidRDefault="00F032FA" w:rsidP="00F032F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Unidirectional</w:t>
            </w:r>
          </w:p>
        </w:tc>
      </w:tr>
      <w:tr w:rsidR="00E3323C" w:rsidRPr="00D176A1" w14:paraId="528A630A" w14:textId="77777777" w:rsidTr="00E3323C">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2196" w:type="dxa"/>
          </w:tcPr>
          <w:p w14:paraId="5BB1896B" w14:textId="0A81E880" w:rsidR="00A11211" w:rsidRPr="00F032FA" w:rsidRDefault="00A11211" w:rsidP="00F032FA">
            <w:pPr>
              <w:spacing w:after="0" w:line="360" w:lineRule="auto"/>
              <w:jc w:val="center"/>
              <w:rPr>
                <w:rFonts w:ascii="Times New Roman" w:hAnsi="Times New Roman" w:cs="Times New Roman"/>
                <w:b w:val="0"/>
                <w:bCs w:val="0"/>
                <w:sz w:val="24"/>
                <w:szCs w:val="24"/>
              </w:rPr>
            </w:pPr>
            <w:r w:rsidRPr="00F032FA">
              <w:rPr>
                <w:rFonts w:ascii="Times New Roman" w:hAnsi="Times New Roman" w:cs="Times New Roman"/>
                <w:b w:val="0"/>
                <w:bCs w:val="0"/>
                <w:sz w:val="24"/>
                <w:szCs w:val="24"/>
              </w:rPr>
              <w:t>H</w:t>
            </w:r>
            <w:r w:rsidRPr="00F032FA">
              <w:rPr>
                <w:rFonts w:ascii="Times New Roman" w:hAnsi="Times New Roman" w:cs="Times New Roman"/>
                <w:b w:val="0"/>
                <w:bCs w:val="0"/>
                <w:sz w:val="24"/>
                <w:szCs w:val="24"/>
                <w:vertAlign w:val="subscript"/>
              </w:rPr>
              <w:t>0</w:t>
            </w:r>
            <w:r w:rsidRPr="00F032FA">
              <w:rPr>
                <w:rFonts w:ascii="Times New Roman" w:hAnsi="Times New Roman" w:cs="Times New Roman"/>
                <w:b w:val="0"/>
                <w:bCs w:val="0"/>
                <w:sz w:val="24"/>
                <w:szCs w:val="24"/>
              </w:rPr>
              <w:t>: REM≠&gt;GFCF</w:t>
            </w:r>
          </w:p>
          <w:p w14:paraId="44F1BECA" w14:textId="77777777" w:rsidR="00A11211" w:rsidRPr="00F032FA" w:rsidRDefault="00A11211" w:rsidP="00F032FA">
            <w:pPr>
              <w:spacing w:after="0" w:line="360" w:lineRule="auto"/>
              <w:jc w:val="center"/>
              <w:rPr>
                <w:rFonts w:ascii="Times New Roman" w:hAnsi="Times New Roman" w:cs="Times New Roman"/>
                <w:b w:val="0"/>
                <w:bCs w:val="0"/>
                <w:sz w:val="24"/>
                <w:szCs w:val="24"/>
              </w:rPr>
            </w:pPr>
            <w:r w:rsidRPr="00F032FA">
              <w:rPr>
                <w:rFonts w:ascii="Times New Roman" w:hAnsi="Times New Roman" w:cs="Times New Roman"/>
                <w:b w:val="0"/>
                <w:bCs w:val="0"/>
                <w:sz w:val="24"/>
                <w:szCs w:val="24"/>
              </w:rPr>
              <w:t>H</w:t>
            </w:r>
            <w:r w:rsidRPr="00F032FA">
              <w:rPr>
                <w:rFonts w:ascii="Times New Roman" w:hAnsi="Times New Roman" w:cs="Times New Roman"/>
                <w:b w:val="0"/>
                <w:bCs w:val="0"/>
                <w:sz w:val="24"/>
                <w:szCs w:val="24"/>
                <w:vertAlign w:val="subscript"/>
              </w:rPr>
              <w:t>0</w:t>
            </w:r>
            <w:r w:rsidRPr="00F032FA">
              <w:rPr>
                <w:rFonts w:ascii="Times New Roman" w:hAnsi="Times New Roman" w:cs="Times New Roman"/>
                <w:b w:val="0"/>
                <w:bCs w:val="0"/>
                <w:sz w:val="24"/>
                <w:szCs w:val="24"/>
              </w:rPr>
              <w:t>: GFCF≠&gt;REM</w:t>
            </w:r>
          </w:p>
        </w:tc>
        <w:tc>
          <w:tcPr>
            <w:tcW w:w="2197" w:type="dxa"/>
          </w:tcPr>
          <w:p w14:paraId="7F5B91EE" w14:textId="78EF2C42" w:rsidR="00A11211" w:rsidRPr="00D176A1" w:rsidRDefault="00A11211" w:rsidP="00F032F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5.32595</w:t>
            </w:r>
          </w:p>
          <w:p w14:paraId="76FA5FAD" w14:textId="77777777" w:rsidR="00A11211" w:rsidRPr="00D176A1" w:rsidRDefault="00A11211" w:rsidP="00F032F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1.28432</w:t>
            </w:r>
          </w:p>
        </w:tc>
        <w:tc>
          <w:tcPr>
            <w:tcW w:w="2197" w:type="dxa"/>
          </w:tcPr>
          <w:p w14:paraId="70573522" w14:textId="67B72ABB" w:rsidR="00A11211" w:rsidRPr="00D176A1" w:rsidRDefault="00A11211" w:rsidP="00F032F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0.0265*</w:t>
            </w:r>
          </w:p>
          <w:p w14:paraId="5C9E5535" w14:textId="77777777" w:rsidR="00A11211" w:rsidRPr="00D176A1" w:rsidRDefault="00A11211" w:rsidP="00F032F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76A1">
              <w:rPr>
                <w:rFonts w:ascii="Times New Roman" w:hAnsi="Times New Roman" w:cs="Times New Roman"/>
                <w:sz w:val="24"/>
                <w:szCs w:val="24"/>
              </w:rPr>
              <w:t>0.2642</w:t>
            </w:r>
          </w:p>
          <w:p w14:paraId="4137B5D5" w14:textId="77777777" w:rsidR="00A11211" w:rsidRPr="00D176A1" w:rsidRDefault="00A11211" w:rsidP="00F032F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197" w:type="dxa"/>
          </w:tcPr>
          <w:p w14:paraId="7485F810" w14:textId="3D9883C3" w:rsidR="00A11211" w:rsidRPr="00D176A1" w:rsidRDefault="00F032FA" w:rsidP="00F032F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Unidirectional</w:t>
            </w:r>
          </w:p>
        </w:tc>
      </w:tr>
    </w:tbl>
    <w:p w14:paraId="22065FC2" w14:textId="77777777" w:rsidR="00A11211" w:rsidRPr="00D176A1" w:rsidRDefault="00A11211" w:rsidP="00A11211">
      <w:pPr>
        <w:spacing w:line="360" w:lineRule="auto"/>
        <w:jc w:val="both"/>
        <w:rPr>
          <w:rFonts w:ascii="Times New Roman" w:hAnsi="Times New Roman" w:cs="Times New Roman"/>
          <w:b/>
          <w:bCs/>
          <w:sz w:val="24"/>
          <w:szCs w:val="24"/>
        </w:rPr>
      </w:pPr>
    </w:p>
    <w:p w14:paraId="6994693F" w14:textId="77777777" w:rsidR="00A11211" w:rsidRPr="00D176A1" w:rsidRDefault="00A11211" w:rsidP="00A11211">
      <w:pPr>
        <w:spacing w:line="360" w:lineRule="auto"/>
        <w:jc w:val="both"/>
        <w:rPr>
          <w:rFonts w:ascii="Times New Roman" w:hAnsi="Times New Roman" w:cs="Times New Roman"/>
          <w:b/>
          <w:bCs/>
          <w:sz w:val="24"/>
          <w:szCs w:val="24"/>
        </w:rPr>
      </w:pPr>
    </w:p>
    <w:p w14:paraId="19B89F6A" w14:textId="26D9C347" w:rsidR="00F12E84" w:rsidRDefault="00A11211" w:rsidP="00F032FA">
      <w:pPr>
        <w:pStyle w:val="ListParagraph"/>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Note: </w:t>
      </w:r>
      <w:r w:rsidRPr="00D176A1">
        <w:rPr>
          <w:rFonts w:ascii="Times New Roman" w:hAnsi="Times New Roman" w:cs="Times New Roman"/>
          <w:i/>
          <w:sz w:val="24"/>
          <w:szCs w:val="24"/>
        </w:rPr>
        <w:t>*,</w:t>
      </w:r>
      <w:r>
        <w:rPr>
          <w:rFonts w:ascii="Times New Roman" w:hAnsi="Times New Roman" w:cs="Times New Roman"/>
          <w:i/>
          <w:sz w:val="24"/>
          <w:szCs w:val="24"/>
        </w:rPr>
        <w:t xml:space="preserve"> and </w:t>
      </w:r>
      <w:r w:rsidRPr="00D176A1">
        <w:rPr>
          <w:rFonts w:ascii="Times New Roman" w:hAnsi="Times New Roman" w:cs="Times New Roman"/>
          <w:i/>
          <w:sz w:val="24"/>
          <w:szCs w:val="24"/>
        </w:rPr>
        <w:t>** represents the 5% and 10% level of significance.</w:t>
      </w:r>
    </w:p>
    <w:p w14:paraId="023E45B7" w14:textId="77777777" w:rsidR="003A09D6" w:rsidRDefault="00F032FA" w:rsidP="003A09D6">
      <w:pPr>
        <w:spacing w:after="0" w:line="360" w:lineRule="auto"/>
        <w:ind w:firstLine="720"/>
        <w:jc w:val="both"/>
        <w:rPr>
          <w:rFonts w:ascii="Times New Roman" w:hAnsi="Times New Roman" w:cs="Times New Roman"/>
          <w:iCs/>
          <w:sz w:val="24"/>
          <w:szCs w:val="24"/>
        </w:rPr>
      </w:pPr>
      <w:r w:rsidRPr="0094089F">
        <w:rPr>
          <w:rFonts w:ascii="Times New Roman" w:hAnsi="Times New Roman" w:cs="Times New Roman"/>
          <w:iCs/>
          <w:sz w:val="24"/>
          <w:szCs w:val="24"/>
        </w:rPr>
        <w:t>The</w:t>
      </w:r>
      <w:r w:rsidR="0094089F" w:rsidRPr="0094089F">
        <w:rPr>
          <w:rFonts w:ascii="Times New Roman" w:hAnsi="Times New Roman" w:cs="Times New Roman"/>
          <w:iCs/>
          <w:sz w:val="24"/>
          <w:szCs w:val="24"/>
        </w:rPr>
        <w:t xml:space="preserve"> result of</w:t>
      </w:r>
      <w:r w:rsidRPr="0094089F">
        <w:rPr>
          <w:rFonts w:ascii="Times New Roman" w:hAnsi="Times New Roman" w:cs="Times New Roman"/>
          <w:iCs/>
          <w:sz w:val="24"/>
          <w:szCs w:val="24"/>
        </w:rPr>
        <w:t xml:space="preserve"> Granger causality test </w:t>
      </w:r>
      <w:r w:rsidR="0094089F" w:rsidRPr="0094089F">
        <w:rPr>
          <w:rFonts w:ascii="Times New Roman" w:hAnsi="Times New Roman" w:cs="Times New Roman"/>
          <w:iCs/>
          <w:sz w:val="24"/>
          <w:szCs w:val="24"/>
        </w:rPr>
        <w:t xml:space="preserve">(Table 4) indicates significant relationships among remittances, investment and economic growth. </w:t>
      </w:r>
      <w:r w:rsidR="00332EA4">
        <w:rPr>
          <w:rFonts w:ascii="Times New Roman" w:hAnsi="Times New Roman" w:cs="Times New Roman"/>
          <w:iCs/>
          <w:sz w:val="24"/>
          <w:szCs w:val="24"/>
        </w:rPr>
        <w:t xml:space="preserve">First a </w:t>
      </w:r>
      <w:r w:rsidR="0094089F" w:rsidRPr="0094089F">
        <w:rPr>
          <w:rFonts w:ascii="Times New Roman" w:hAnsi="Times New Roman" w:cs="Times New Roman"/>
          <w:iCs/>
          <w:sz w:val="24"/>
          <w:szCs w:val="24"/>
        </w:rPr>
        <w:t>one-way relationship between gross capital formation and GDP at 10 % level of significance shows that capital accumulation is a big part of economic growth, but growth doesn’t seem to lead to more capital formation in the short-run. This corresponds with the conclusions of Solow’s (1956) growth model, which posits that investment serves as a fundamental driver of economic growth.</w:t>
      </w:r>
      <w:r w:rsidR="00332EA4">
        <w:rPr>
          <w:rFonts w:ascii="Times New Roman" w:hAnsi="Times New Roman" w:cs="Times New Roman"/>
          <w:iCs/>
          <w:sz w:val="24"/>
          <w:szCs w:val="24"/>
        </w:rPr>
        <w:t xml:space="preserve"> Secondly, a unidirectional causality from remittances to GDP is evident at the 5% significance level, underscoring the crucial influence of remittance inflows on economic growth. This substantiates the perspective that remittances serve as a reliable and countercyclical source of foreign capital, frequently exceeding foreign direct investment (FDI) in developing countries (Ratha, 2013). The outcome aligns with the findings by Giuliano and Ruiz-Arranz (2009), which contend that remittances alleviate liquidity constraints, thereby promoting higher growth. Finally, a unidirectional causality from remittances to gross fixed capital formation suggests that remittances enhance consumption and also facilitate productive investment endeavors. This outcome supports findings from Adams and Cuecuecha (2010), who stated that a portion of remittances is allocated to physical and human capital investment, hence enh</w:t>
      </w:r>
      <w:r w:rsidR="003A09D6">
        <w:rPr>
          <w:rFonts w:ascii="Times New Roman" w:hAnsi="Times New Roman" w:cs="Times New Roman"/>
          <w:iCs/>
          <w:sz w:val="24"/>
          <w:szCs w:val="24"/>
        </w:rPr>
        <w:t>a</w:t>
      </w:r>
      <w:r w:rsidR="00332EA4">
        <w:rPr>
          <w:rFonts w:ascii="Times New Roman" w:hAnsi="Times New Roman" w:cs="Times New Roman"/>
          <w:iCs/>
          <w:sz w:val="24"/>
          <w:szCs w:val="24"/>
        </w:rPr>
        <w:t>ncing long-term development prospects.</w:t>
      </w:r>
    </w:p>
    <w:p w14:paraId="5DE011CE" w14:textId="0002B09E" w:rsidR="00332EA4" w:rsidRDefault="003A09D6" w:rsidP="003A09D6">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lastRenderedPageBreak/>
        <w:t>Overall, these results demonstrates that remittances serve as a catalyst for economic growth and capital formation in India, highlighting their dual function in enhancing household welfare and financing development.</w:t>
      </w:r>
    </w:p>
    <w:p w14:paraId="46456275" w14:textId="77777777" w:rsidR="0094089F" w:rsidRPr="0094089F" w:rsidRDefault="0094089F" w:rsidP="0094089F">
      <w:pPr>
        <w:spacing w:after="0" w:line="360" w:lineRule="auto"/>
        <w:jc w:val="both"/>
        <w:rPr>
          <w:rFonts w:ascii="Times New Roman" w:hAnsi="Times New Roman" w:cs="Times New Roman"/>
          <w:iCs/>
          <w:sz w:val="24"/>
          <w:szCs w:val="24"/>
        </w:rPr>
      </w:pPr>
    </w:p>
    <w:p w14:paraId="0FB63F55" w14:textId="3E5D3B4C" w:rsidR="00A11211" w:rsidRPr="005B25C1" w:rsidRDefault="00A11211" w:rsidP="00A11211">
      <w:pPr>
        <w:spacing w:line="360" w:lineRule="auto"/>
        <w:jc w:val="both"/>
        <w:rPr>
          <w:rFonts w:ascii="Times New Roman" w:hAnsi="Times New Roman" w:cs="Times New Roman"/>
          <w:bCs/>
          <w:sz w:val="28"/>
          <w:szCs w:val="28"/>
        </w:rPr>
      </w:pPr>
      <w:r w:rsidRPr="005B25C1">
        <w:rPr>
          <w:rFonts w:ascii="Times New Roman" w:hAnsi="Times New Roman" w:cs="Times New Roman"/>
          <w:b/>
          <w:sz w:val="28"/>
          <w:szCs w:val="28"/>
        </w:rPr>
        <w:t>VI. Residual Diagnostic Test</w:t>
      </w:r>
    </w:p>
    <w:p w14:paraId="5D1494EC" w14:textId="4866629F" w:rsidR="00F12E84" w:rsidRPr="00D176A1" w:rsidRDefault="00F12E84" w:rsidP="00A11211">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variety of post-estimation diagnostic tests are performed to validate the robustness of the model, including the </w:t>
      </w:r>
      <w:r w:rsidRPr="00D176A1">
        <w:rPr>
          <w:rFonts w:ascii="Times New Roman" w:hAnsi="Times New Roman" w:cs="Times New Roman"/>
          <w:bCs/>
          <w:sz w:val="24"/>
          <w:szCs w:val="24"/>
        </w:rPr>
        <w:t>Breusch-Godfrey serial correlation LM test, the Jarque-Bera normality test, and the heteroskedasticity test</w:t>
      </w:r>
      <w:r>
        <w:rPr>
          <w:rFonts w:ascii="Times New Roman" w:hAnsi="Times New Roman" w:cs="Times New Roman"/>
          <w:bCs/>
          <w:sz w:val="24"/>
          <w:szCs w:val="24"/>
        </w:rPr>
        <w:t xml:space="preserve">. Ther results of these tests validated that the model meets the fundamental econometric features, demonstrating an adequate functional form with residuals that are serially uncorrelated, </w:t>
      </w:r>
      <w:r w:rsidRPr="00D176A1">
        <w:rPr>
          <w:rFonts w:ascii="Times New Roman" w:hAnsi="Times New Roman" w:cs="Times New Roman"/>
          <w:bCs/>
          <w:sz w:val="24"/>
          <w:szCs w:val="24"/>
        </w:rPr>
        <w:t>normally distributed, homoscedastic residuals.</w:t>
      </w:r>
      <w:r>
        <w:rPr>
          <w:rFonts w:ascii="Times New Roman" w:hAnsi="Times New Roman" w:cs="Times New Roman"/>
          <w:bCs/>
          <w:sz w:val="24"/>
          <w:szCs w:val="24"/>
        </w:rPr>
        <w:t xml:space="preserve"> Therefore, the estimated results are considered reliable and trustworthy interpretation.</w:t>
      </w:r>
    </w:p>
    <w:p w14:paraId="1D08A1F1" w14:textId="7F8A24B3" w:rsidR="00A11211" w:rsidRPr="005B25C1" w:rsidRDefault="00A11211" w:rsidP="00A11211">
      <w:pPr>
        <w:spacing w:line="360" w:lineRule="auto"/>
        <w:jc w:val="both"/>
        <w:rPr>
          <w:rFonts w:ascii="Times New Roman" w:hAnsi="Times New Roman" w:cs="Times New Roman"/>
          <w:b/>
          <w:sz w:val="28"/>
          <w:szCs w:val="28"/>
        </w:rPr>
      </w:pPr>
      <w:r>
        <w:rPr>
          <w:rFonts w:ascii="Times New Roman" w:hAnsi="Times New Roman" w:cs="Times New Roman"/>
          <w:b/>
          <w:sz w:val="24"/>
          <w:szCs w:val="24"/>
        </w:rPr>
        <w:t xml:space="preserve">VIII. </w:t>
      </w:r>
      <w:r w:rsidR="005B25C1" w:rsidRPr="005B25C1">
        <w:rPr>
          <w:rFonts w:ascii="Times New Roman" w:hAnsi="Times New Roman" w:cs="Times New Roman"/>
          <w:b/>
          <w:sz w:val="28"/>
          <w:szCs w:val="28"/>
        </w:rPr>
        <w:t>Conclusion</w:t>
      </w:r>
    </w:p>
    <w:p w14:paraId="6F395392" w14:textId="4396B12F" w:rsidR="00A11211" w:rsidRPr="00D176A1" w:rsidRDefault="00A11211" w:rsidP="00A11211">
      <w:pPr>
        <w:spacing w:line="360" w:lineRule="auto"/>
        <w:ind w:firstLine="720"/>
        <w:jc w:val="both"/>
        <w:rPr>
          <w:rFonts w:ascii="Times New Roman" w:hAnsi="Times New Roman" w:cs="Times New Roman"/>
          <w:bCs/>
          <w:sz w:val="24"/>
          <w:szCs w:val="24"/>
        </w:rPr>
      </w:pPr>
      <w:r w:rsidRPr="00D176A1">
        <w:rPr>
          <w:rFonts w:ascii="Times New Roman" w:hAnsi="Times New Roman" w:cs="Times New Roman"/>
          <w:bCs/>
          <w:sz w:val="24"/>
          <w:szCs w:val="24"/>
        </w:rPr>
        <w:t xml:space="preserve">The present analysis has estimated the impact of remittances on economic growth in India in long run as well as in short run, using time series data for 42 years from the period 1980 to 2021 by employing VECM model. By employing Augmented Dicky-Fuller test statistics, it was shown that all the chosen variables </w:t>
      </w:r>
      <w:r w:rsidR="00F12E84">
        <w:rPr>
          <w:rFonts w:ascii="Times New Roman" w:hAnsi="Times New Roman" w:cs="Times New Roman"/>
          <w:bCs/>
          <w:sz w:val="24"/>
          <w:szCs w:val="24"/>
        </w:rPr>
        <w:t xml:space="preserve">are </w:t>
      </w:r>
      <w:r w:rsidRPr="00D176A1">
        <w:rPr>
          <w:rFonts w:ascii="Times New Roman" w:hAnsi="Times New Roman" w:cs="Times New Roman"/>
          <w:bCs/>
          <w:sz w:val="24"/>
          <w:szCs w:val="24"/>
        </w:rPr>
        <w:t xml:space="preserve">stationary, which indicated that a cointegration relationship existed between them. From the analysis of Vector Error Correction Model, co integration results confirms that there exists a significant positive long run relationship between gross fixed capital formation and economic growth, but positive insignificant relationship is found between the remittances and economic growth. The ECM results indicates that the convergence of the model and implying that about 18% adjustment takes place in every year. </w:t>
      </w:r>
    </w:p>
    <w:p w14:paraId="717CCFC9" w14:textId="78244671" w:rsidR="007A77D2" w:rsidRDefault="00A11211" w:rsidP="003A7937">
      <w:pPr>
        <w:spacing w:line="360" w:lineRule="auto"/>
        <w:ind w:firstLine="720"/>
        <w:jc w:val="both"/>
        <w:rPr>
          <w:rFonts w:ascii="Times New Roman" w:hAnsi="Times New Roman" w:cs="Times New Roman"/>
          <w:sz w:val="24"/>
          <w:szCs w:val="24"/>
        </w:rPr>
      </w:pPr>
      <w:r w:rsidRPr="00D176A1">
        <w:rPr>
          <w:rFonts w:ascii="Times New Roman" w:hAnsi="Times New Roman" w:cs="Times New Roman"/>
          <w:bCs/>
          <w:sz w:val="24"/>
          <w:szCs w:val="24"/>
        </w:rPr>
        <w:t>The empirical findings on India suggests that there is unidirectional causal relationship exists between remittances and economic growth and capital stock to economic growth as well. That means remittances causes economic growth but growth does not lead to remittances and in the same vein capital stock also.</w:t>
      </w:r>
      <w:r w:rsidRPr="00D176A1">
        <w:rPr>
          <w:rFonts w:ascii="Times New Roman" w:hAnsi="Times New Roman" w:cs="Times New Roman"/>
          <w:sz w:val="24"/>
          <w:szCs w:val="24"/>
        </w:rPr>
        <w:t xml:space="preserve"> </w:t>
      </w:r>
      <w:r w:rsidRPr="00D176A1">
        <w:rPr>
          <w:rFonts w:ascii="Times New Roman" w:hAnsi="Times New Roman" w:cs="Times New Roman"/>
          <w:bCs/>
          <w:sz w:val="24"/>
          <w:szCs w:val="24"/>
        </w:rPr>
        <w:t xml:space="preserve">Therefore, it can be said that the role of remittances has positive impact on economic growth in India. However, capital stock was found to be positive and significant to contribute to economic growth. </w:t>
      </w:r>
      <w:r w:rsidR="003A09D6" w:rsidRPr="00D176A1">
        <w:rPr>
          <w:rFonts w:ascii="Times New Roman" w:hAnsi="Times New Roman" w:cs="Times New Roman"/>
          <w:sz w:val="24"/>
          <w:szCs w:val="24"/>
        </w:rPr>
        <w:t xml:space="preserve">Remittances positively impact economic growth through human capital investments. </w:t>
      </w:r>
      <w:r w:rsidRPr="00D176A1">
        <w:rPr>
          <w:rFonts w:ascii="Times New Roman" w:hAnsi="Times New Roman" w:cs="Times New Roman"/>
          <w:sz w:val="24"/>
          <w:szCs w:val="24"/>
        </w:rPr>
        <w:t>This suggests that in order to increase remittance support in the nation, the government should concentrate on raising its human capital levels.</w:t>
      </w:r>
    </w:p>
    <w:p w14:paraId="536014B8" w14:textId="58C2F88A" w:rsidR="00A11211" w:rsidRPr="00D176A1" w:rsidRDefault="00A11211" w:rsidP="00A11211">
      <w:pPr>
        <w:spacing w:line="360" w:lineRule="auto"/>
        <w:jc w:val="both"/>
        <w:rPr>
          <w:rFonts w:ascii="Times New Roman" w:hAnsi="Times New Roman" w:cs="Times New Roman"/>
          <w:b/>
          <w:sz w:val="24"/>
          <w:szCs w:val="24"/>
        </w:rPr>
      </w:pPr>
      <w:r w:rsidRPr="00D176A1">
        <w:rPr>
          <w:rFonts w:ascii="Times New Roman" w:hAnsi="Times New Roman" w:cs="Times New Roman"/>
          <w:b/>
          <w:sz w:val="24"/>
          <w:szCs w:val="24"/>
        </w:rPr>
        <w:lastRenderedPageBreak/>
        <w:t>REFERENCES</w:t>
      </w:r>
    </w:p>
    <w:p w14:paraId="2807AC90"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Adams, R. (2009). The determinants of international remittances in developing countries. World Development, 37(1), pp. 93–103.</w:t>
      </w:r>
    </w:p>
    <w:p w14:paraId="4973E25C"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 xml:space="preserve">Adams, R. and Page, J. (2003). The impact of international migration and remittances on poverty. Policy Research Working Paper 2761, Washington DC: World Bank. </w:t>
      </w:r>
    </w:p>
    <w:p w14:paraId="7DBFB949"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 xml:space="preserve">Adelman, I. and Taylor, J.E. (1990). </w:t>
      </w:r>
      <w:proofErr w:type="gramStart"/>
      <w:r w:rsidRPr="00D176A1">
        <w:rPr>
          <w:rFonts w:ascii="Times New Roman" w:hAnsi="Times New Roman" w:cs="Times New Roman"/>
          <w:sz w:val="24"/>
          <w:szCs w:val="24"/>
        </w:rPr>
        <w:t>Is</w:t>
      </w:r>
      <w:proofErr w:type="gramEnd"/>
      <w:r w:rsidRPr="00D176A1">
        <w:rPr>
          <w:rFonts w:ascii="Times New Roman" w:hAnsi="Times New Roman" w:cs="Times New Roman"/>
          <w:sz w:val="24"/>
          <w:szCs w:val="24"/>
        </w:rPr>
        <w:t xml:space="preserve"> structural adjustments in the human face possible? The case of Mexico. Journal of Development Studies, 26, pp. 387–407.</w:t>
      </w:r>
    </w:p>
    <w:p w14:paraId="3F342BDE"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 xml:space="preserve">Aggarwal, R., </w:t>
      </w:r>
      <w:proofErr w:type="spellStart"/>
      <w:r w:rsidRPr="00D176A1">
        <w:rPr>
          <w:rFonts w:ascii="Times New Roman" w:hAnsi="Times New Roman" w:cs="Times New Roman"/>
          <w:sz w:val="24"/>
          <w:szCs w:val="24"/>
        </w:rPr>
        <w:t>Demirguc-Kunt</w:t>
      </w:r>
      <w:proofErr w:type="spellEnd"/>
      <w:r w:rsidRPr="00D176A1">
        <w:rPr>
          <w:rFonts w:ascii="Times New Roman" w:hAnsi="Times New Roman" w:cs="Times New Roman"/>
          <w:sz w:val="24"/>
          <w:szCs w:val="24"/>
        </w:rPr>
        <w:t>, A. and Martinez Peria, M.S. (2006). Do workers’ remittances promote financial development? World Bank Policy Research Working Paper No. 3957. Accessed at http://ssrn.com/abstract¼ 923264.</w:t>
      </w:r>
    </w:p>
    <w:p w14:paraId="4F83B159"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Aitken, B. J., &amp; Harrison, A. E. (1999). Do domestic firms benefit from direct foreign investment? Evidence from Venezuela. American Economic Review, 89(3), 605–618.</w:t>
      </w:r>
    </w:p>
    <w:p w14:paraId="0A378B09" w14:textId="77777777" w:rsidR="00A11211" w:rsidRPr="00D176A1" w:rsidRDefault="00A11211" w:rsidP="00A11211">
      <w:pPr>
        <w:spacing w:line="360" w:lineRule="auto"/>
        <w:ind w:left="720" w:hanging="720"/>
        <w:jc w:val="both"/>
        <w:rPr>
          <w:rFonts w:ascii="Times New Roman" w:hAnsi="Times New Roman" w:cs="Times New Roman"/>
          <w:sz w:val="24"/>
          <w:szCs w:val="24"/>
          <w:shd w:val="clear" w:color="auto" w:fill="FFFFFF"/>
        </w:rPr>
      </w:pPr>
      <w:r w:rsidRPr="00D176A1">
        <w:rPr>
          <w:rFonts w:ascii="Times New Roman" w:hAnsi="Times New Roman" w:cs="Times New Roman"/>
          <w:sz w:val="24"/>
          <w:szCs w:val="24"/>
          <w:shd w:val="clear" w:color="auto" w:fill="FFFFFF"/>
        </w:rPr>
        <w:t>Azam, M., &amp; Khan, A. (2011). Workers’ remittances and economic growth: evidence from Azerbaijan and Armenia. </w:t>
      </w:r>
      <w:r w:rsidRPr="00D176A1">
        <w:rPr>
          <w:rFonts w:ascii="Times New Roman" w:hAnsi="Times New Roman" w:cs="Times New Roman"/>
          <w:i/>
          <w:iCs/>
          <w:sz w:val="24"/>
          <w:szCs w:val="24"/>
          <w:shd w:val="clear" w:color="auto" w:fill="FFFFFF"/>
        </w:rPr>
        <w:t>Global Journal of Human Social Science</w:t>
      </w:r>
      <w:r w:rsidRPr="00D176A1">
        <w:rPr>
          <w:rFonts w:ascii="Times New Roman" w:hAnsi="Times New Roman" w:cs="Times New Roman"/>
          <w:sz w:val="24"/>
          <w:szCs w:val="24"/>
          <w:shd w:val="clear" w:color="auto" w:fill="FFFFFF"/>
        </w:rPr>
        <w:t>, </w:t>
      </w:r>
      <w:r w:rsidRPr="00D176A1">
        <w:rPr>
          <w:rFonts w:ascii="Times New Roman" w:hAnsi="Times New Roman" w:cs="Times New Roman"/>
          <w:i/>
          <w:iCs/>
          <w:sz w:val="24"/>
          <w:szCs w:val="24"/>
          <w:shd w:val="clear" w:color="auto" w:fill="FFFFFF"/>
        </w:rPr>
        <w:t>11</w:t>
      </w:r>
      <w:r w:rsidRPr="00D176A1">
        <w:rPr>
          <w:rFonts w:ascii="Times New Roman" w:hAnsi="Times New Roman" w:cs="Times New Roman"/>
          <w:sz w:val="24"/>
          <w:szCs w:val="24"/>
          <w:shd w:val="clear" w:color="auto" w:fill="FFFFFF"/>
        </w:rPr>
        <w:t>(7), 40-46.</w:t>
      </w:r>
    </w:p>
    <w:p w14:paraId="0FDD9ABC"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 xml:space="preserve">Barajas, A., Chami, R., Fullenkamp, C. and Garg, A. (2010). The global financial crisis and workers’ remittances to Africa: what’s the damage? IMF Working Paper No. 10/24. Accessed from Social Science Research Network (21 June 2011). </w:t>
      </w:r>
    </w:p>
    <w:p w14:paraId="4385D632"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Chami, R., Fullenkamp, C. and Jahjah, S. (2005). Are immigrant remittance flows a source of capital for development? IMF Staff Papers, 52(1), Washington, DC: IMF.</w:t>
      </w:r>
    </w:p>
    <w:p w14:paraId="007702FA"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shd w:val="clear" w:color="auto" w:fill="FFFFFF"/>
        </w:rPr>
        <w:t>Durand, J., Kandel, W., Parrado, E. A., &amp; Massey, D. S. (1996). International migration and development in Mexican communities. </w:t>
      </w:r>
      <w:r w:rsidRPr="00D176A1">
        <w:rPr>
          <w:rFonts w:ascii="Times New Roman" w:hAnsi="Times New Roman" w:cs="Times New Roman"/>
          <w:i/>
          <w:iCs/>
          <w:sz w:val="24"/>
          <w:szCs w:val="24"/>
          <w:shd w:val="clear" w:color="auto" w:fill="FFFFFF"/>
        </w:rPr>
        <w:t>Demography</w:t>
      </w:r>
      <w:r w:rsidRPr="00D176A1">
        <w:rPr>
          <w:rFonts w:ascii="Times New Roman" w:hAnsi="Times New Roman" w:cs="Times New Roman"/>
          <w:sz w:val="24"/>
          <w:szCs w:val="24"/>
          <w:shd w:val="clear" w:color="auto" w:fill="FFFFFF"/>
        </w:rPr>
        <w:t>, </w:t>
      </w:r>
      <w:r w:rsidRPr="00D176A1">
        <w:rPr>
          <w:rFonts w:ascii="Times New Roman" w:hAnsi="Times New Roman" w:cs="Times New Roman"/>
          <w:i/>
          <w:iCs/>
          <w:sz w:val="24"/>
          <w:szCs w:val="24"/>
          <w:shd w:val="clear" w:color="auto" w:fill="FFFFFF"/>
        </w:rPr>
        <w:t>33</w:t>
      </w:r>
      <w:r w:rsidRPr="00D176A1">
        <w:rPr>
          <w:rFonts w:ascii="Times New Roman" w:hAnsi="Times New Roman" w:cs="Times New Roman"/>
          <w:sz w:val="24"/>
          <w:szCs w:val="24"/>
          <w:shd w:val="clear" w:color="auto" w:fill="FFFFFF"/>
        </w:rPr>
        <w:t>, 249-264.</w:t>
      </w:r>
    </w:p>
    <w:p w14:paraId="70B9D6E2"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Engle, R. F., &amp; Granger, C. W. (1987). Co-integration and error correction: representation, estimation, and testing. Econometrical: Journal of the Econometric Society, 251–276.</w:t>
      </w:r>
    </w:p>
    <w:p w14:paraId="2475806F"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Engle, R., &amp; Granger, C. (1991). Long-run economic relationships: readings in cointegration. Oxford University Press.</w:t>
      </w:r>
    </w:p>
    <w:p w14:paraId="4ACCE9BB"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lastRenderedPageBreak/>
        <w:t xml:space="preserve">Faini, R. (2001). Development, Trade, and Migration (Washington, DC: IMF). </w:t>
      </w:r>
    </w:p>
    <w:p w14:paraId="322F88BF"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Faini, R. (2007). Remittances and the brain drain: do more skilled migrants remit more? World Banking Economic Review, 21(2), pp. 177–191.</w:t>
      </w:r>
    </w:p>
    <w:p w14:paraId="649DCABF"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Freund, C. and Spatafora, N. (2008). Remittances, transaction costs, and informality. Journal of Development Economics, 86(2), pp. 356–366.</w:t>
      </w:r>
    </w:p>
    <w:p w14:paraId="1477E68B"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Giuliano, P. and Ruiz-Arranz, M. (2009). Remittances, financial development, and growth, Journal of Development Economics, 90(1), pp. 144–152.</w:t>
      </w:r>
    </w:p>
    <w:p w14:paraId="56D41E36"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Haddad, M., &amp; Harrison, A. (1993). Are there positive spillovers from direct foreign investment? Evidence from panel data for Morocco. Journal of Development Economics, 42(1), 51–74.</w:t>
      </w:r>
    </w:p>
    <w:p w14:paraId="2297F4E8" w14:textId="033F5E82"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shd w:val="clear" w:color="auto" w:fill="FFFFFF"/>
        </w:rPr>
        <w:t xml:space="preserve">Haddad, M., &amp; Harrison, A. (1993). Are there positive spillovers from direct foreign </w:t>
      </w:r>
      <w:r w:rsidR="003A7937" w:rsidRPr="00D176A1">
        <w:rPr>
          <w:rFonts w:ascii="Times New Roman" w:hAnsi="Times New Roman" w:cs="Times New Roman"/>
          <w:sz w:val="24"/>
          <w:szCs w:val="24"/>
          <w:shd w:val="clear" w:color="auto" w:fill="FFFFFF"/>
        </w:rPr>
        <w:t>investment?</w:t>
      </w:r>
      <w:r w:rsidRPr="00D176A1">
        <w:rPr>
          <w:rFonts w:ascii="Times New Roman" w:hAnsi="Times New Roman" w:cs="Times New Roman"/>
          <w:sz w:val="24"/>
          <w:szCs w:val="24"/>
          <w:shd w:val="clear" w:color="auto" w:fill="FFFFFF"/>
        </w:rPr>
        <w:t xml:space="preserve"> Evidence from panel data for Morocco. </w:t>
      </w:r>
      <w:r w:rsidRPr="00D176A1">
        <w:rPr>
          <w:rFonts w:ascii="Times New Roman" w:hAnsi="Times New Roman" w:cs="Times New Roman"/>
          <w:i/>
          <w:iCs/>
          <w:sz w:val="24"/>
          <w:szCs w:val="24"/>
          <w:shd w:val="clear" w:color="auto" w:fill="FFFFFF"/>
        </w:rPr>
        <w:t>Journal of development economics</w:t>
      </w:r>
      <w:r w:rsidRPr="00D176A1">
        <w:rPr>
          <w:rFonts w:ascii="Times New Roman" w:hAnsi="Times New Roman" w:cs="Times New Roman"/>
          <w:sz w:val="24"/>
          <w:szCs w:val="24"/>
          <w:shd w:val="clear" w:color="auto" w:fill="FFFFFF"/>
        </w:rPr>
        <w:t>, </w:t>
      </w:r>
      <w:r w:rsidRPr="00D176A1">
        <w:rPr>
          <w:rFonts w:ascii="Times New Roman" w:hAnsi="Times New Roman" w:cs="Times New Roman"/>
          <w:i/>
          <w:iCs/>
          <w:sz w:val="24"/>
          <w:szCs w:val="24"/>
          <w:shd w:val="clear" w:color="auto" w:fill="FFFFFF"/>
        </w:rPr>
        <w:t>42</w:t>
      </w:r>
      <w:r w:rsidRPr="00D176A1">
        <w:rPr>
          <w:rFonts w:ascii="Times New Roman" w:hAnsi="Times New Roman" w:cs="Times New Roman"/>
          <w:sz w:val="24"/>
          <w:szCs w:val="24"/>
          <w:shd w:val="clear" w:color="auto" w:fill="FFFFFF"/>
        </w:rPr>
        <w:t>(1), 51-74.</w:t>
      </w:r>
    </w:p>
    <w:p w14:paraId="3A9B225A" w14:textId="77777777" w:rsidR="00A11211" w:rsidRPr="00D176A1" w:rsidRDefault="00A11211" w:rsidP="00A11211">
      <w:pPr>
        <w:spacing w:line="360" w:lineRule="auto"/>
        <w:ind w:left="720" w:hanging="720"/>
        <w:jc w:val="both"/>
        <w:rPr>
          <w:rFonts w:ascii="Times New Roman" w:hAnsi="Times New Roman" w:cs="Times New Roman"/>
          <w:sz w:val="24"/>
          <w:szCs w:val="24"/>
          <w:shd w:val="clear" w:color="auto" w:fill="FFFFFF"/>
        </w:rPr>
      </w:pPr>
      <w:r w:rsidRPr="00D176A1">
        <w:rPr>
          <w:rFonts w:ascii="Times New Roman" w:hAnsi="Times New Roman" w:cs="Times New Roman"/>
          <w:sz w:val="24"/>
          <w:szCs w:val="24"/>
          <w:shd w:val="clear" w:color="auto" w:fill="FFFFFF"/>
        </w:rPr>
        <w:t xml:space="preserve">Johansen, S., &amp; </w:t>
      </w:r>
      <w:proofErr w:type="spellStart"/>
      <w:r w:rsidRPr="00D176A1">
        <w:rPr>
          <w:rFonts w:ascii="Times New Roman" w:hAnsi="Times New Roman" w:cs="Times New Roman"/>
          <w:sz w:val="24"/>
          <w:szCs w:val="24"/>
          <w:shd w:val="clear" w:color="auto" w:fill="FFFFFF"/>
        </w:rPr>
        <w:t>Juselius</w:t>
      </w:r>
      <w:proofErr w:type="spellEnd"/>
      <w:r w:rsidRPr="00D176A1">
        <w:rPr>
          <w:rFonts w:ascii="Times New Roman" w:hAnsi="Times New Roman" w:cs="Times New Roman"/>
          <w:sz w:val="24"/>
          <w:szCs w:val="24"/>
          <w:shd w:val="clear" w:color="auto" w:fill="FFFFFF"/>
        </w:rPr>
        <w:t xml:space="preserve">, K. (1990). Maximum likelihood estimation and inference on cointegration—with </w:t>
      </w:r>
      <w:proofErr w:type="spellStart"/>
      <w:r w:rsidRPr="00D176A1">
        <w:rPr>
          <w:rFonts w:ascii="Times New Roman" w:hAnsi="Times New Roman" w:cs="Times New Roman"/>
          <w:sz w:val="24"/>
          <w:szCs w:val="24"/>
          <w:shd w:val="clear" w:color="auto" w:fill="FFFFFF"/>
        </w:rPr>
        <w:t>appucations</w:t>
      </w:r>
      <w:proofErr w:type="spellEnd"/>
      <w:r w:rsidRPr="00D176A1">
        <w:rPr>
          <w:rFonts w:ascii="Times New Roman" w:hAnsi="Times New Roman" w:cs="Times New Roman"/>
          <w:sz w:val="24"/>
          <w:szCs w:val="24"/>
          <w:shd w:val="clear" w:color="auto" w:fill="FFFFFF"/>
        </w:rPr>
        <w:t xml:space="preserve"> to the demand for money. </w:t>
      </w:r>
      <w:r w:rsidRPr="00D176A1">
        <w:rPr>
          <w:rFonts w:ascii="Times New Roman" w:hAnsi="Times New Roman" w:cs="Times New Roman"/>
          <w:i/>
          <w:iCs/>
          <w:sz w:val="24"/>
          <w:szCs w:val="24"/>
          <w:shd w:val="clear" w:color="auto" w:fill="FFFFFF"/>
        </w:rPr>
        <w:t>Oxford Bulletin of Economics and statistics</w:t>
      </w:r>
      <w:r w:rsidRPr="00D176A1">
        <w:rPr>
          <w:rFonts w:ascii="Times New Roman" w:hAnsi="Times New Roman" w:cs="Times New Roman"/>
          <w:sz w:val="24"/>
          <w:szCs w:val="24"/>
          <w:shd w:val="clear" w:color="auto" w:fill="FFFFFF"/>
        </w:rPr>
        <w:t>, </w:t>
      </w:r>
      <w:r w:rsidRPr="00D176A1">
        <w:rPr>
          <w:rFonts w:ascii="Times New Roman" w:hAnsi="Times New Roman" w:cs="Times New Roman"/>
          <w:i/>
          <w:iCs/>
          <w:sz w:val="24"/>
          <w:szCs w:val="24"/>
          <w:shd w:val="clear" w:color="auto" w:fill="FFFFFF"/>
        </w:rPr>
        <w:t>52</w:t>
      </w:r>
      <w:r w:rsidRPr="00D176A1">
        <w:rPr>
          <w:rFonts w:ascii="Times New Roman" w:hAnsi="Times New Roman" w:cs="Times New Roman"/>
          <w:sz w:val="24"/>
          <w:szCs w:val="24"/>
          <w:shd w:val="clear" w:color="auto" w:fill="FFFFFF"/>
        </w:rPr>
        <w:t>(2), 169-210.</w:t>
      </w:r>
    </w:p>
    <w:p w14:paraId="6C81A7C4" w14:textId="7009E07C"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shd w:val="clear" w:color="auto" w:fill="FFFFFF"/>
        </w:rPr>
        <w:t>McKenzie, D., &amp; Sasin, M. J. (2007). Migration</w:t>
      </w:r>
      <w:r w:rsidR="003A7937" w:rsidRPr="00D176A1">
        <w:rPr>
          <w:rFonts w:ascii="Times New Roman" w:hAnsi="Times New Roman" w:cs="Times New Roman"/>
          <w:sz w:val="24"/>
          <w:szCs w:val="24"/>
          <w:shd w:val="clear" w:color="auto" w:fill="FFFFFF"/>
        </w:rPr>
        <w:t xml:space="preserve">, Remittances, Poverty, </w:t>
      </w:r>
      <w:r w:rsidR="003A7937">
        <w:rPr>
          <w:rFonts w:ascii="Times New Roman" w:hAnsi="Times New Roman" w:cs="Times New Roman"/>
          <w:sz w:val="24"/>
          <w:szCs w:val="24"/>
          <w:shd w:val="clear" w:color="auto" w:fill="FFFFFF"/>
        </w:rPr>
        <w:t>a</w:t>
      </w:r>
      <w:r w:rsidR="003A7937" w:rsidRPr="00D176A1">
        <w:rPr>
          <w:rFonts w:ascii="Times New Roman" w:hAnsi="Times New Roman" w:cs="Times New Roman"/>
          <w:sz w:val="24"/>
          <w:szCs w:val="24"/>
          <w:shd w:val="clear" w:color="auto" w:fill="FFFFFF"/>
        </w:rPr>
        <w:t xml:space="preserve">nd Human Capital: Conceptual </w:t>
      </w:r>
      <w:r w:rsidR="003A7937">
        <w:rPr>
          <w:rFonts w:ascii="Times New Roman" w:hAnsi="Times New Roman" w:cs="Times New Roman"/>
          <w:sz w:val="24"/>
          <w:szCs w:val="24"/>
          <w:shd w:val="clear" w:color="auto" w:fill="FFFFFF"/>
        </w:rPr>
        <w:t>a</w:t>
      </w:r>
      <w:r w:rsidR="003A7937" w:rsidRPr="00D176A1">
        <w:rPr>
          <w:rFonts w:ascii="Times New Roman" w:hAnsi="Times New Roman" w:cs="Times New Roman"/>
          <w:sz w:val="24"/>
          <w:szCs w:val="24"/>
          <w:shd w:val="clear" w:color="auto" w:fill="FFFFFF"/>
        </w:rPr>
        <w:t>nd Empirical Challenges.</w:t>
      </w:r>
    </w:p>
    <w:p w14:paraId="450DF893" w14:textId="26850F03" w:rsidR="00A11211" w:rsidRPr="00D176A1" w:rsidRDefault="00A11211" w:rsidP="00A11211">
      <w:pPr>
        <w:spacing w:line="360" w:lineRule="auto"/>
        <w:ind w:left="720" w:hanging="720"/>
        <w:jc w:val="both"/>
        <w:rPr>
          <w:rFonts w:ascii="Times New Roman" w:hAnsi="Times New Roman" w:cs="Times New Roman"/>
          <w:sz w:val="24"/>
          <w:szCs w:val="24"/>
          <w:shd w:val="clear" w:color="auto" w:fill="FFFFFF"/>
        </w:rPr>
      </w:pPr>
      <w:r w:rsidRPr="00D176A1">
        <w:rPr>
          <w:rFonts w:ascii="Times New Roman" w:hAnsi="Times New Roman" w:cs="Times New Roman"/>
          <w:sz w:val="24"/>
          <w:szCs w:val="24"/>
          <w:shd w:val="clear" w:color="auto" w:fill="FFFFFF"/>
        </w:rPr>
        <w:t xml:space="preserve">Mohapatra, S., &amp; Ratha, D. (2010). Forecasting </w:t>
      </w:r>
      <w:r w:rsidR="003A7937">
        <w:rPr>
          <w:rFonts w:ascii="Times New Roman" w:hAnsi="Times New Roman" w:cs="Times New Roman"/>
          <w:sz w:val="24"/>
          <w:szCs w:val="24"/>
          <w:shd w:val="clear" w:color="auto" w:fill="FFFFFF"/>
        </w:rPr>
        <w:t>M</w:t>
      </w:r>
      <w:r w:rsidRPr="00D176A1">
        <w:rPr>
          <w:rFonts w:ascii="Times New Roman" w:hAnsi="Times New Roman" w:cs="Times New Roman"/>
          <w:sz w:val="24"/>
          <w:szCs w:val="24"/>
          <w:shd w:val="clear" w:color="auto" w:fill="FFFFFF"/>
        </w:rPr>
        <w:t xml:space="preserve">igrant </w:t>
      </w:r>
      <w:r w:rsidR="003A7937">
        <w:rPr>
          <w:rFonts w:ascii="Times New Roman" w:hAnsi="Times New Roman" w:cs="Times New Roman"/>
          <w:sz w:val="24"/>
          <w:szCs w:val="24"/>
          <w:shd w:val="clear" w:color="auto" w:fill="FFFFFF"/>
        </w:rPr>
        <w:t>R</w:t>
      </w:r>
      <w:r w:rsidRPr="00D176A1">
        <w:rPr>
          <w:rFonts w:ascii="Times New Roman" w:hAnsi="Times New Roman" w:cs="Times New Roman"/>
          <w:sz w:val="24"/>
          <w:szCs w:val="24"/>
          <w:shd w:val="clear" w:color="auto" w:fill="FFFFFF"/>
        </w:rPr>
        <w:t xml:space="preserve">emittances </w:t>
      </w:r>
      <w:r w:rsidR="003A7937">
        <w:rPr>
          <w:rFonts w:ascii="Times New Roman" w:hAnsi="Times New Roman" w:cs="Times New Roman"/>
          <w:sz w:val="24"/>
          <w:szCs w:val="24"/>
          <w:shd w:val="clear" w:color="auto" w:fill="FFFFFF"/>
        </w:rPr>
        <w:t>D</w:t>
      </w:r>
      <w:r w:rsidRPr="00D176A1">
        <w:rPr>
          <w:rFonts w:ascii="Times New Roman" w:hAnsi="Times New Roman" w:cs="Times New Roman"/>
          <w:sz w:val="24"/>
          <w:szCs w:val="24"/>
          <w:shd w:val="clear" w:color="auto" w:fill="FFFFFF"/>
        </w:rPr>
        <w:t xml:space="preserve">uring the </w:t>
      </w:r>
      <w:r w:rsidR="003A7937">
        <w:rPr>
          <w:rFonts w:ascii="Times New Roman" w:hAnsi="Times New Roman" w:cs="Times New Roman"/>
          <w:sz w:val="24"/>
          <w:szCs w:val="24"/>
          <w:shd w:val="clear" w:color="auto" w:fill="FFFFFF"/>
        </w:rPr>
        <w:t>G</w:t>
      </w:r>
      <w:r w:rsidRPr="00D176A1">
        <w:rPr>
          <w:rFonts w:ascii="Times New Roman" w:hAnsi="Times New Roman" w:cs="Times New Roman"/>
          <w:sz w:val="24"/>
          <w:szCs w:val="24"/>
          <w:shd w:val="clear" w:color="auto" w:fill="FFFFFF"/>
        </w:rPr>
        <w:t xml:space="preserve">lobal </w:t>
      </w:r>
      <w:r w:rsidR="003A7937">
        <w:rPr>
          <w:rFonts w:ascii="Times New Roman" w:hAnsi="Times New Roman" w:cs="Times New Roman"/>
          <w:sz w:val="24"/>
          <w:szCs w:val="24"/>
          <w:shd w:val="clear" w:color="auto" w:fill="FFFFFF"/>
        </w:rPr>
        <w:t>F</w:t>
      </w:r>
      <w:r w:rsidRPr="00D176A1">
        <w:rPr>
          <w:rFonts w:ascii="Times New Roman" w:hAnsi="Times New Roman" w:cs="Times New Roman"/>
          <w:sz w:val="24"/>
          <w:szCs w:val="24"/>
          <w:shd w:val="clear" w:color="auto" w:fill="FFFFFF"/>
        </w:rPr>
        <w:t xml:space="preserve">inancial </w:t>
      </w:r>
      <w:r w:rsidR="003A7937">
        <w:rPr>
          <w:rFonts w:ascii="Times New Roman" w:hAnsi="Times New Roman" w:cs="Times New Roman"/>
          <w:sz w:val="24"/>
          <w:szCs w:val="24"/>
          <w:shd w:val="clear" w:color="auto" w:fill="FFFFFF"/>
        </w:rPr>
        <w:t>C</w:t>
      </w:r>
      <w:r w:rsidRPr="00D176A1">
        <w:rPr>
          <w:rFonts w:ascii="Times New Roman" w:hAnsi="Times New Roman" w:cs="Times New Roman"/>
          <w:sz w:val="24"/>
          <w:szCs w:val="24"/>
          <w:shd w:val="clear" w:color="auto" w:fill="FFFFFF"/>
        </w:rPr>
        <w:t>risis. </w:t>
      </w:r>
      <w:r w:rsidRPr="00D176A1">
        <w:rPr>
          <w:rFonts w:ascii="Times New Roman" w:hAnsi="Times New Roman" w:cs="Times New Roman"/>
          <w:i/>
          <w:iCs/>
          <w:sz w:val="24"/>
          <w:szCs w:val="24"/>
          <w:shd w:val="clear" w:color="auto" w:fill="FFFFFF"/>
        </w:rPr>
        <w:t>Migration Letters</w:t>
      </w:r>
      <w:r w:rsidRPr="00D176A1">
        <w:rPr>
          <w:rFonts w:ascii="Times New Roman" w:hAnsi="Times New Roman" w:cs="Times New Roman"/>
          <w:sz w:val="24"/>
          <w:szCs w:val="24"/>
          <w:shd w:val="clear" w:color="auto" w:fill="FFFFFF"/>
        </w:rPr>
        <w:t>, </w:t>
      </w:r>
      <w:r w:rsidRPr="00D176A1">
        <w:rPr>
          <w:rFonts w:ascii="Times New Roman" w:hAnsi="Times New Roman" w:cs="Times New Roman"/>
          <w:i/>
          <w:iCs/>
          <w:sz w:val="24"/>
          <w:szCs w:val="24"/>
          <w:shd w:val="clear" w:color="auto" w:fill="FFFFFF"/>
        </w:rPr>
        <w:t>7</w:t>
      </w:r>
      <w:r w:rsidRPr="00D176A1">
        <w:rPr>
          <w:rFonts w:ascii="Times New Roman" w:hAnsi="Times New Roman" w:cs="Times New Roman"/>
          <w:sz w:val="24"/>
          <w:szCs w:val="24"/>
          <w:shd w:val="clear" w:color="auto" w:fill="FFFFFF"/>
        </w:rPr>
        <w:t>(2), 203.</w:t>
      </w:r>
    </w:p>
    <w:p w14:paraId="4405E84F" w14:textId="61D003D0"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shd w:val="clear" w:color="auto" w:fill="FFFFFF"/>
        </w:rPr>
        <w:t xml:space="preserve">Nyasha, S., &amp; Odhiambo, N. M. (2020). Does </w:t>
      </w:r>
      <w:r w:rsidR="003A7937">
        <w:rPr>
          <w:rFonts w:ascii="Times New Roman" w:hAnsi="Times New Roman" w:cs="Times New Roman"/>
          <w:sz w:val="24"/>
          <w:szCs w:val="24"/>
          <w:shd w:val="clear" w:color="auto" w:fill="FFFFFF"/>
        </w:rPr>
        <w:t>R</w:t>
      </w:r>
      <w:r w:rsidRPr="00D176A1">
        <w:rPr>
          <w:rFonts w:ascii="Times New Roman" w:hAnsi="Times New Roman" w:cs="Times New Roman"/>
          <w:sz w:val="24"/>
          <w:szCs w:val="24"/>
          <w:shd w:val="clear" w:color="auto" w:fill="FFFFFF"/>
        </w:rPr>
        <w:t xml:space="preserve">emittance </w:t>
      </w:r>
      <w:r w:rsidR="003A7937">
        <w:rPr>
          <w:rFonts w:ascii="Times New Roman" w:hAnsi="Times New Roman" w:cs="Times New Roman"/>
          <w:sz w:val="24"/>
          <w:szCs w:val="24"/>
          <w:shd w:val="clear" w:color="auto" w:fill="FFFFFF"/>
        </w:rPr>
        <w:t>I</w:t>
      </w:r>
      <w:r w:rsidRPr="00D176A1">
        <w:rPr>
          <w:rFonts w:ascii="Times New Roman" w:hAnsi="Times New Roman" w:cs="Times New Roman"/>
          <w:sz w:val="24"/>
          <w:szCs w:val="24"/>
          <w:shd w:val="clear" w:color="auto" w:fill="FFFFFF"/>
        </w:rPr>
        <w:t xml:space="preserve">nflow </w:t>
      </w:r>
      <w:r w:rsidR="003A7937">
        <w:rPr>
          <w:rFonts w:ascii="Times New Roman" w:hAnsi="Times New Roman" w:cs="Times New Roman"/>
          <w:sz w:val="24"/>
          <w:szCs w:val="24"/>
          <w:shd w:val="clear" w:color="auto" w:fill="FFFFFF"/>
        </w:rPr>
        <w:t>G</w:t>
      </w:r>
      <w:r w:rsidRPr="00D176A1">
        <w:rPr>
          <w:rFonts w:ascii="Times New Roman" w:hAnsi="Times New Roman" w:cs="Times New Roman"/>
          <w:sz w:val="24"/>
          <w:szCs w:val="24"/>
          <w:shd w:val="clear" w:color="auto" w:fill="FFFFFF"/>
        </w:rPr>
        <w:t>ranger</w:t>
      </w:r>
      <w:r w:rsidR="003A7937">
        <w:rPr>
          <w:rFonts w:ascii="Times New Roman" w:hAnsi="Times New Roman" w:cs="Times New Roman"/>
          <w:sz w:val="24"/>
          <w:szCs w:val="24"/>
          <w:shd w:val="clear" w:color="auto" w:fill="FFFFFF"/>
        </w:rPr>
        <w:t xml:space="preserve"> C</w:t>
      </w:r>
      <w:r w:rsidRPr="00D176A1">
        <w:rPr>
          <w:rFonts w:ascii="Times New Roman" w:hAnsi="Times New Roman" w:cs="Times New Roman"/>
          <w:sz w:val="24"/>
          <w:szCs w:val="24"/>
          <w:shd w:val="clear" w:color="auto" w:fill="FFFFFF"/>
        </w:rPr>
        <w:t xml:space="preserve">ause </w:t>
      </w:r>
      <w:r w:rsidR="003A7937">
        <w:rPr>
          <w:rFonts w:ascii="Times New Roman" w:hAnsi="Times New Roman" w:cs="Times New Roman"/>
          <w:sz w:val="24"/>
          <w:szCs w:val="24"/>
          <w:shd w:val="clear" w:color="auto" w:fill="FFFFFF"/>
        </w:rPr>
        <w:t>E</w:t>
      </w:r>
      <w:r w:rsidRPr="00D176A1">
        <w:rPr>
          <w:rFonts w:ascii="Times New Roman" w:hAnsi="Times New Roman" w:cs="Times New Roman"/>
          <w:sz w:val="24"/>
          <w:szCs w:val="24"/>
          <w:shd w:val="clear" w:color="auto" w:fill="FFFFFF"/>
        </w:rPr>
        <w:t xml:space="preserve">conomic </w:t>
      </w:r>
      <w:r w:rsidR="003A7937">
        <w:rPr>
          <w:rFonts w:ascii="Times New Roman" w:hAnsi="Times New Roman" w:cs="Times New Roman"/>
          <w:sz w:val="24"/>
          <w:szCs w:val="24"/>
          <w:shd w:val="clear" w:color="auto" w:fill="FFFFFF"/>
        </w:rPr>
        <w:t>G</w:t>
      </w:r>
      <w:r w:rsidRPr="00D176A1">
        <w:rPr>
          <w:rFonts w:ascii="Times New Roman" w:hAnsi="Times New Roman" w:cs="Times New Roman"/>
          <w:sz w:val="24"/>
          <w:szCs w:val="24"/>
          <w:shd w:val="clear" w:color="auto" w:fill="FFFFFF"/>
        </w:rPr>
        <w:t xml:space="preserve">rowth in South Africa? A dynamic </w:t>
      </w:r>
      <w:r w:rsidR="003A7937">
        <w:rPr>
          <w:rFonts w:ascii="Times New Roman" w:hAnsi="Times New Roman" w:cs="Times New Roman"/>
          <w:sz w:val="24"/>
          <w:szCs w:val="24"/>
          <w:shd w:val="clear" w:color="auto" w:fill="FFFFFF"/>
        </w:rPr>
        <w:t>M</w:t>
      </w:r>
      <w:r w:rsidRPr="00D176A1">
        <w:rPr>
          <w:rFonts w:ascii="Times New Roman" w:hAnsi="Times New Roman" w:cs="Times New Roman"/>
          <w:sz w:val="24"/>
          <w:szCs w:val="24"/>
          <w:shd w:val="clear" w:color="auto" w:fill="FFFFFF"/>
        </w:rPr>
        <w:t xml:space="preserve">ultivariate </w:t>
      </w:r>
      <w:r w:rsidR="003A7937">
        <w:rPr>
          <w:rFonts w:ascii="Times New Roman" w:hAnsi="Times New Roman" w:cs="Times New Roman"/>
          <w:sz w:val="24"/>
          <w:szCs w:val="24"/>
          <w:shd w:val="clear" w:color="auto" w:fill="FFFFFF"/>
        </w:rPr>
        <w:t>C</w:t>
      </w:r>
      <w:r w:rsidRPr="00D176A1">
        <w:rPr>
          <w:rFonts w:ascii="Times New Roman" w:hAnsi="Times New Roman" w:cs="Times New Roman"/>
          <w:sz w:val="24"/>
          <w:szCs w:val="24"/>
          <w:shd w:val="clear" w:color="auto" w:fill="FFFFFF"/>
        </w:rPr>
        <w:t xml:space="preserve">ausality </w:t>
      </w:r>
      <w:r w:rsidR="003A7937">
        <w:rPr>
          <w:rFonts w:ascii="Times New Roman" w:hAnsi="Times New Roman" w:cs="Times New Roman"/>
          <w:sz w:val="24"/>
          <w:szCs w:val="24"/>
          <w:shd w:val="clear" w:color="auto" w:fill="FFFFFF"/>
        </w:rPr>
        <w:t>T</w:t>
      </w:r>
      <w:r w:rsidRPr="00D176A1">
        <w:rPr>
          <w:rFonts w:ascii="Times New Roman" w:hAnsi="Times New Roman" w:cs="Times New Roman"/>
          <w:sz w:val="24"/>
          <w:szCs w:val="24"/>
          <w:shd w:val="clear" w:color="auto" w:fill="FFFFFF"/>
        </w:rPr>
        <w:t>est. </w:t>
      </w:r>
      <w:r w:rsidRPr="00D176A1">
        <w:rPr>
          <w:rFonts w:ascii="Times New Roman" w:hAnsi="Times New Roman" w:cs="Times New Roman"/>
          <w:i/>
          <w:iCs/>
          <w:sz w:val="24"/>
          <w:szCs w:val="24"/>
          <w:shd w:val="clear" w:color="auto" w:fill="FFFFFF"/>
        </w:rPr>
        <w:t>The Review of Black Political Economy</w:t>
      </w:r>
      <w:r w:rsidRPr="00D176A1">
        <w:rPr>
          <w:rFonts w:ascii="Times New Roman" w:hAnsi="Times New Roman" w:cs="Times New Roman"/>
          <w:sz w:val="24"/>
          <w:szCs w:val="24"/>
          <w:shd w:val="clear" w:color="auto" w:fill="FFFFFF"/>
        </w:rPr>
        <w:t>, </w:t>
      </w:r>
      <w:r w:rsidRPr="00D176A1">
        <w:rPr>
          <w:rFonts w:ascii="Times New Roman" w:hAnsi="Times New Roman" w:cs="Times New Roman"/>
          <w:i/>
          <w:iCs/>
          <w:sz w:val="24"/>
          <w:szCs w:val="24"/>
          <w:shd w:val="clear" w:color="auto" w:fill="FFFFFF"/>
        </w:rPr>
        <w:t>47</w:t>
      </w:r>
      <w:r w:rsidRPr="00D176A1">
        <w:rPr>
          <w:rFonts w:ascii="Times New Roman" w:hAnsi="Times New Roman" w:cs="Times New Roman"/>
          <w:sz w:val="24"/>
          <w:szCs w:val="24"/>
          <w:shd w:val="clear" w:color="auto" w:fill="FFFFFF"/>
        </w:rPr>
        <w:t>(1), 86-103.</w:t>
      </w:r>
    </w:p>
    <w:p w14:paraId="31ADEE6D" w14:textId="257D5AD3"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 xml:space="preserve">Pradhan, G., Upadhyay, M. and Upadhyaya, K. (2008). Remittances and </w:t>
      </w:r>
      <w:r w:rsidR="003A7937">
        <w:rPr>
          <w:rFonts w:ascii="Times New Roman" w:hAnsi="Times New Roman" w:cs="Times New Roman"/>
          <w:sz w:val="24"/>
          <w:szCs w:val="24"/>
        </w:rPr>
        <w:t>E</w:t>
      </w:r>
      <w:r w:rsidRPr="00D176A1">
        <w:rPr>
          <w:rFonts w:ascii="Times New Roman" w:hAnsi="Times New Roman" w:cs="Times New Roman"/>
          <w:sz w:val="24"/>
          <w:szCs w:val="24"/>
        </w:rPr>
        <w:t xml:space="preserve">conomic </w:t>
      </w:r>
      <w:r w:rsidR="003A7937">
        <w:rPr>
          <w:rFonts w:ascii="Times New Roman" w:hAnsi="Times New Roman" w:cs="Times New Roman"/>
          <w:sz w:val="24"/>
          <w:szCs w:val="24"/>
        </w:rPr>
        <w:t>G</w:t>
      </w:r>
      <w:r w:rsidRPr="00D176A1">
        <w:rPr>
          <w:rFonts w:ascii="Times New Roman" w:hAnsi="Times New Roman" w:cs="Times New Roman"/>
          <w:sz w:val="24"/>
          <w:szCs w:val="24"/>
        </w:rPr>
        <w:t xml:space="preserve">rowth in </w:t>
      </w:r>
      <w:r w:rsidR="003A7937">
        <w:rPr>
          <w:rFonts w:ascii="Times New Roman" w:hAnsi="Times New Roman" w:cs="Times New Roman"/>
          <w:sz w:val="24"/>
          <w:szCs w:val="24"/>
        </w:rPr>
        <w:t>D</w:t>
      </w:r>
      <w:r w:rsidRPr="00D176A1">
        <w:rPr>
          <w:rFonts w:ascii="Times New Roman" w:hAnsi="Times New Roman" w:cs="Times New Roman"/>
          <w:sz w:val="24"/>
          <w:szCs w:val="24"/>
        </w:rPr>
        <w:t xml:space="preserve">eveloping </w:t>
      </w:r>
      <w:r w:rsidR="003A7937">
        <w:rPr>
          <w:rFonts w:ascii="Times New Roman" w:hAnsi="Times New Roman" w:cs="Times New Roman"/>
          <w:sz w:val="24"/>
          <w:szCs w:val="24"/>
        </w:rPr>
        <w:t>C</w:t>
      </w:r>
      <w:r w:rsidRPr="00D176A1">
        <w:rPr>
          <w:rFonts w:ascii="Times New Roman" w:hAnsi="Times New Roman" w:cs="Times New Roman"/>
          <w:sz w:val="24"/>
          <w:szCs w:val="24"/>
        </w:rPr>
        <w:t xml:space="preserve">ountries. </w:t>
      </w:r>
      <w:r w:rsidRPr="003A7937">
        <w:rPr>
          <w:rFonts w:ascii="Times New Roman" w:hAnsi="Times New Roman" w:cs="Times New Roman"/>
          <w:i/>
          <w:iCs/>
          <w:sz w:val="24"/>
          <w:szCs w:val="24"/>
        </w:rPr>
        <w:t>European Journal of Development Research, 20</w:t>
      </w:r>
      <w:r w:rsidRPr="00D176A1">
        <w:rPr>
          <w:rFonts w:ascii="Times New Roman" w:hAnsi="Times New Roman" w:cs="Times New Roman"/>
          <w:sz w:val="24"/>
          <w:szCs w:val="24"/>
        </w:rPr>
        <w:t>(3), pp. 497–506.</w:t>
      </w:r>
    </w:p>
    <w:p w14:paraId="78A08943" w14:textId="7FF2D91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 xml:space="preserve">Randazzo, T., &amp; Piracha, M. (2019). Remittances and </w:t>
      </w:r>
      <w:r w:rsidR="003A7937">
        <w:rPr>
          <w:rFonts w:ascii="Times New Roman" w:hAnsi="Times New Roman" w:cs="Times New Roman"/>
          <w:sz w:val="24"/>
          <w:szCs w:val="24"/>
        </w:rPr>
        <w:t>H</w:t>
      </w:r>
      <w:r w:rsidRPr="00D176A1">
        <w:rPr>
          <w:rFonts w:ascii="Times New Roman" w:hAnsi="Times New Roman" w:cs="Times New Roman"/>
          <w:sz w:val="24"/>
          <w:szCs w:val="24"/>
        </w:rPr>
        <w:t xml:space="preserve">ousehold </w:t>
      </w:r>
      <w:r w:rsidR="003A7937">
        <w:rPr>
          <w:rFonts w:ascii="Times New Roman" w:hAnsi="Times New Roman" w:cs="Times New Roman"/>
          <w:sz w:val="24"/>
          <w:szCs w:val="24"/>
        </w:rPr>
        <w:t>E</w:t>
      </w:r>
      <w:r w:rsidRPr="00D176A1">
        <w:rPr>
          <w:rFonts w:ascii="Times New Roman" w:hAnsi="Times New Roman" w:cs="Times New Roman"/>
          <w:sz w:val="24"/>
          <w:szCs w:val="24"/>
        </w:rPr>
        <w:t xml:space="preserve">xpenditure </w:t>
      </w:r>
      <w:r w:rsidR="003A7937">
        <w:rPr>
          <w:rFonts w:ascii="Times New Roman" w:hAnsi="Times New Roman" w:cs="Times New Roman"/>
          <w:sz w:val="24"/>
          <w:szCs w:val="24"/>
        </w:rPr>
        <w:t>B</w:t>
      </w:r>
      <w:r w:rsidRPr="00D176A1">
        <w:rPr>
          <w:rFonts w:ascii="Times New Roman" w:hAnsi="Times New Roman" w:cs="Times New Roman"/>
          <w:sz w:val="24"/>
          <w:szCs w:val="24"/>
        </w:rPr>
        <w:t xml:space="preserve">ehavior: Evidence from Senegal. </w:t>
      </w:r>
      <w:r w:rsidRPr="003A7937">
        <w:rPr>
          <w:rFonts w:ascii="Times New Roman" w:hAnsi="Times New Roman" w:cs="Times New Roman"/>
          <w:i/>
          <w:iCs/>
          <w:sz w:val="24"/>
          <w:szCs w:val="24"/>
        </w:rPr>
        <w:t>Economic Modelling</w:t>
      </w:r>
      <w:r w:rsidRPr="00D176A1">
        <w:rPr>
          <w:rFonts w:ascii="Times New Roman" w:hAnsi="Times New Roman" w:cs="Times New Roman"/>
          <w:sz w:val="24"/>
          <w:szCs w:val="24"/>
        </w:rPr>
        <w:t>, 79, 141–153.</w:t>
      </w:r>
    </w:p>
    <w:p w14:paraId="41BEBBFC" w14:textId="48D78D5E" w:rsidR="00A11211" w:rsidRPr="00211FE9" w:rsidRDefault="00A11211" w:rsidP="00A11211">
      <w:pPr>
        <w:spacing w:line="360" w:lineRule="auto"/>
        <w:ind w:left="720" w:hanging="720"/>
        <w:jc w:val="both"/>
        <w:rPr>
          <w:rFonts w:ascii="Times New Roman" w:hAnsi="Times New Roman" w:cs="Times New Roman"/>
          <w:sz w:val="24"/>
          <w:szCs w:val="24"/>
        </w:rPr>
      </w:pPr>
      <w:r w:rsidRPr="00211FE9">
        <w:rPr>
          <w:rFonts w:ascii="Times New Roman" w:hAnsi="Times New Roman" w:cs="Times New Roman"/>
          <w:color w:val="222222"/>
          <w:sz w:val="24"/>
          <w:szCs w:val="24"/>
          <w:shd w:val="clear" w:color="auto" w:fill="FFFFFF"/>
        </w:rPr>
        <w:lastRenderedPageBreak/>
        <w:t xml:space="preserve">Ratha, D. (2003). Workers’ </w:t>
      </w:r>
      <w:r w:rsidR="003A7937">
        <w:rPr>
          <w:rFonts w:ascii="Times New Roman" w:hAnsi="Times New Roman" w:cs="Times New Roman"/>
          <w:color w:val="222222"/>
          <w:sz w:val="24"/>
          <w:szCs w:val="24"/>
          <w:shd w:val="clear" w:color="auto" w:fill="FFFFFF"/>
        </w:rPr>
        <w:t>R</w:t>
      </w:r>
      <w:r w:rsidRPr="00211FE9">
        <w:rPr>
          <w:rFonts w:ascii="Times New Roman" w:hAnsi="Times New Roman" w:cs="Times New Roman"/>
          <w:color w:val="222222"/>
          <w:sz w:val="24"/>
          <w:szCs w:val="24"/>
          <w:shd w:val="clear" w:color="auto" w:fill="FFFFFF"/>
        </w:rPr>
        <w:t xml:space="preserve">emittances: </w:t>
      </w:r>
      <w:r w:rsidR="003A7937">
        <w:rPr>
          <w:rFonts w:ascii="Times New Roman" w:hAnsi="Times New Roman" w:cs="Times New Roman"/>
          <w:color w:val="222222"/>
          <w:sz w:val="24"/>
          <w:szCs w:val="24"/>
          <w:shd w:val="clear" w:color="auto" w:fill="FFFFFF"/>
        </w:rPr>
        <w:t>A</w:t>
      </w:r>
      <w:r w:rsidRPr="00211FE9">
        <w:rPr>
          <w:rFonts w:ascii="Times New Roman" w:hAnsi="Times New Roman" w:cs="Times New Roman"/>
          <w:color w:val="222222"/>
          <w:sz w:val="24"/>
          <w:szCs w:val="24"/>
          <w:shd w:val="clear" w:color="auto" w:fill="FFFFFF"/>
        </w:rPr>
        <w:t xml:space="preserve">n </w:t>
      </w:r>
      <w:r w:rsidR="003A7937">
        <w:rPr>
          <w:rFonts w:ascii="Times New Roman" w:hAnsi="Times New Roman" w:cs="Times New Roman"/>
          <w:color w:val="222222"/>
          <w:sz w:val="24"/>
          <w:szCs w:val="24"/>
          <w:shd w:val="clear" w:color="auto" w:fill="FFFFFF"/>
        </w:rPr>
        <w:t>I</w:t>
      </w:r>
      <w:r w:rsidRPr="00211FE9">
        <w:rPr>
          <w:rFonts w:ascii="Times New Roman" w:hAnsi="Times New Roman" w:cs="Times New Roman"/>
          <w:color w:val="222222"/>
          <w:sz w:val="24"/>
          <w:szCs w:val="24"/>
          <w:shd w:val="clear" w:color="auto" w:fill="FFFFFF"/>
        </w:rPr>
        <w:t xml:space="preserve">mportant and </w:t>
      </w:r>
      <w:r w:rsidR="003A7937">
        <w:rPr>
          <w:rFonts w:ascii="Times New Roman" w:hAnsi="Times New Roman" w:cs="Times New Roman"/>
          <w:color w:val="222222"/>
          <w:sz w:val="24"/>
          <w:szCs w:val="24"/>
          <w:shd w:val="clear" w:color="auto" w:fill="FFFFFF"/>
        </w:rPr>
        <w:t>S</w:t>
      </w:r>
      <w:r w:rsidRPr="00211FE9">
        <w:rPr>
          <w:rFonts w:ascii="Times New Roman" w:hAnsi="Times New Roman" w:cs="Times New Roman"/>
          <w:color w:val="222222"/>
          <w:sz w:val="24"/>
          <w:szCs w:val="24"/>
          <w:shd w:val="clear" w:color="auto" w:fill="FFFFFF"/>
        </w:rPr>
        <w:t xml:space="preserve">table </w:t>
      </w:r>
      <w:r w:rsidR="003A7937">
        <w:rPr>
          <w:rFonts w:ascii="Times New Roman" w:hAnsi="Times New Roman" w:cs="Times New Roman"/>
          <w:color w:val="222222"/>
          <w:sz w:val="24"/>
          <w:szCs w:val="24"/>
          <w:shd w:val="clear" w:color="auto" w:fill="FFFFFF"/>
        </w:rPr>
        <w:t>S</w:t>
      </w:r>
      <w:r w:rsidRPr="00211FE9">
        <w:rPr>
          <w:rFonts w:ascii="Times New Roman" w:hAnsi="Times New Roman" w:cs="Times New Roman"/>
          <w:color w:val="222222"/>
          <w:sz w:val="24"/>
          <w:szCs w:val="24"/>
          <w:shd w:val="clear" w:color="auto" w:fill="FFFFFF"/>
        </w:rPr>
        <w:t xml:space="preserve">ource of </w:t>
      </w:r>
      <w:r w:rsidR="003A7937">
        <w:rPr>
          <w:rFonts w:ascii="Times New Roman" w:hAnsi="Times New Roman" w:cs="Times New Roman"/>
          <w:color w:val="222222"/>
          <w:sz w:val="24"/>
          <w:szCs w:val="24"/>
          <w:shd w:val="clear" w:color="auto" w:fill="FFFFFF"/>
        </w:rPr>
        <w:t>E</w:t>
      </w:r>
      <w:r w:rsidRPr="00211FE9">
        <w:rPr>
          <w:rFonts w:ascii="Times New Roman" w:hAnsi="Times New Roman" w:cs="Times New Roman"/>
          <w:color w:val="222222"/>
          <w:sz w:val="24"/>
          <w:szCs w:val="24"/>
          <w:shd w:val="clear" w:color="auto" w:fill="FFFFFF"/>
        </w:rPr>
        <w:t xml:space="preserve">xternal </w:t>
      </w:r>
      <w:r w:rsidR="003A7937">
        <w:rPr>
          <w:rFonts w:ascii="Times New Roman" w:hAnsi="Times New Roman" w:cs="Times New Roman"/>
          <w:color w:val="222222"/>
          <w:sz w:val="24"/>
          <w:szCs w:val="24"/>
          <w:shd w:val="clear" w:color="auto" w:fill="FFFFFF"/>
        </w:rPr>
        <w:t>D</w:t>
      </w:r>
      <w:r w:rsidRPr="00211FE9">
        <w:rPr>
          <w:rFonts w:ascii="Times New Roman" w:hAnsi="Times New Roman" w:cs="Times New Roman"/>
          <w:color w:val="222222"/>
          <w:sz w:val="24"/>
          <w:szCs w:val="24"/>
          <w:shd w:val="clear" w:color="auto" w:fill="FFFFFF"/>
        </w:rPr>
        <w:t xml:space="preserve">evelopment </w:t>
      </w:r>
      <w:r w:rsidR="003A7937">
        <w:rPr>
          <w:rFonts w:ascii="Times New Roman" w:hAnsi="Times New Roman" w:cs="Times New Roman"/>
          <w:color w:val="222222"/>
          <w:sz w:val="24"/>
          <w:szCs w:val="24"/>
          <w:shd w:val="clear" w:color="auto" w:fill="FFFFFF"/>
        </w:rPr>
        <w:t>F</w:t>
      </w:r>
      <w:r w:rsidRPr="00211FE9">
        <w:rPr>
          <w:rFonts w:ascii="Times New Roman" w:hAnsi="Times New Roman" w:cs="Times New Roman"/>
          <w:color w:val="222222"/>
          <w:sz w:val="24"/>
          <w:szCs w:val="24"/>
          <w:shd w:val="clear" w:color="auto" w:fill="FFFFFF"/>
        </w:rPr>
        <w:t>inance. </w:t>
      </w:r>
      <w:r w:rsidRPr="00211FE9">
        <w:rPr>
          <w:rFonts w:ascii="Times New Roman" w:hAnsi="Times New Roman" w:cs="Times New Roman"/>
          <w:i/>
          <w:iCs/>
          <w:color w:val="222222"/>
          <w:sz w:val="24"/>
          <w:szCs w:val="24"/>
          <w:shd w:val="clear" w:color="auto" w:fill="FFFFFF"/>
        </w:rPr>
        <w:t xml:space="preserve">Global </w:t>
      </w:r>
      <w:r w:rsidR="003A7937" w:rsidRPr="00211FE9">
        <w:rPr>
          <w:rFonts w:ascii="Times New Roman" w:hAnsi="Times New Roman" w:cs="Times New Roman"/>
          <w:i/>
          <w:iCs/>
          <w:color w:val="222222"/>
          <w:sz w:val="24"/>
          <w:szCs w:val="24"/>
          <w:shd w:val="clear" w:color="auto" w:fill="FFFFFF"/>
        </w:rPr>
        <w:t>Development Finance</w:t>
      </w:r>
      <w:r w:rsidRPr="00211FE9">
        <w:rPr>
          <w:rFonts w:ascii="Times New Roman" w:hAnsi="Times New Roman" w:cs="Times New Roman"/>
          <w:color w:val="222222"/>
          <w:sz w:val="24"/>
          <w:szCs w:val="24"/>
          <w:shd w:val="clear" w:color="auto" w:fill="FFFFFF"/>
        </w:rPr>
        <w:t>.</w:t>
      </w:r>
    </w:p>
    <w:p w14:paraId="4D3E9B12" w14:textId="7EDC01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 xml:space="preserve">Ratha, D., &amp; Shaw, W. (2006). South-South </w:t>
      </w:r>
      <w:r w:rsidR="003A7937">
        <w:rPr>
          <w:rFonts w:ascii="Times New Roman" w:hAnsi="Times New Roman" w:cs="Times New Roman"/>
          <w:sz w:val="24"/>
          <w:szCs w:val="24"/>
        </w:rPr>
        <w:t>M</w:t>
      </w:r>
      <w:r w:rsidRPr="00D176A1">
        <w:rPr>
          <w:rFonts w:ascii="Times New Roman" w:hAnsi="Times New Roman" w:cs="Times New Roman"/>
          <w:sz w:val="24"/>
          <w:szCs w:val="24"/>
        </w:rPr>
        <w:t xml:space="preserve">igration and </w:t>
      </w:r>
      <w:r w:rsidR="003A7937">
        <w:rPr>
          <w:rFonts w:ascii="Times New Roman" w:hAnsi="Times New Roman" w:cs="Times New Roman"/>
          <w:sz w:val="24"/>
          <w:szCs w:val="24"/>
        </w:rPr>
        <w:t>R</w:t>
      </w:r>
      <w:r w:rsidRPr="00D176A1">
        <w:rPr>
          <w:rFonts w:ascii="Times New Roman" w:hAnsi="Times New Roman" w:cs="Times New Roman"/>
          <w:sz w:val="24"/>
          <w:szCs w:val="24"/>
        </w:rPr>
        <w:t>emittances. World Bank Working Paper, 102, 334934–1110315015165.</w:t>
      </w:r>
    </w:p>
    <w:p w14:paraId="75CFEA49" w14:textId="77777777" w:rsidR="00A11211" w:rsidRPr="00D176A1" w:rsidRDefault="00A11211" w:rsidP="00A11211">
      <w:pPr>
        <w:spacing w:line="360" w:lineRule="auto"/>
        <w:ind w:left="720" w:hanging="720"/>
        <w:jc w:val="both"/>
        <w:rPr>
          <w:rFonts w:ascii="Times New Roman" w:hAnsi="Times New Roman" w:cs="Times New Roman"/>
          <w:sz w:val="24"/>
          <w:szCs w:val="24"/>
          <w:shd w:val="clear" w:color="auto" w:fill="FFFFFF"/>
        </w:rPr>
      </w:pPr>
      <w:r w:rsidRPr="00D176A1">
        <w:rPr>
          <w:rFonts w:ascii="Times New Roman" w:hAnsi="Times New Roman" w:cs="Times New Roman"/>
          <w:sz w:val="24"/>
          <w:szCs w:val="24"/>
          <w:shd w:val="clear" w:color="auto" w:fill="FFFFFF"/>
        </w:rPr>
        <w:t>Rivera-Batiz, L. A., &amp; Romer, P. M. (1991). Economic integration and endogenous growth. </w:t>
      </w:r>
      <w:r w:rsidRPr="00D176A1">
        <w:rPr>
          <w:rFonts w:ascii="Times New Roman" w:hAnsi="Times New Roman" w:cs="Times New Roman"/>
          <w:i/>
          <w:iCs/>
          <w:sz w:val="24"/>
          <w:szCs w:val="24"/>
          <w:shd w:val="clear" w:color="auto" w:fill="FFFFFF"/>
        </w:rPr>
        <w:t>The Quarterly Journal of Economics</w:t>
      </w:r>
      <w:r w:rsidRPr="00D176A1">
        <w:rPr>
          <w:rFonts w:ascii="Times New Roman" w:hAnsi="Times New Roman" w:cs="Times New Roman"/>
          <w:sz w:val="24"/>
          <w:szCs w:val="24"/>
          <w:shd w:val="clear" w:color="auto" w:fill="FFFFFF"/>
        </w:rPr>
        <w:t>, </w:t>
      </w:r>
      <w:r w:rsidRPr="00D176A1">
        <w:rPr>
          <w:rFonts w:ascii="Times New Roman" w:hAnsi="Times New Roman" w:cs="Times New Roman"/>
          <w:i/>
          <w:iCs/>
          <w:sz w:val="24"/>
          <w:szCs w:val="24"/>
          <w:shd w:val="clear" w:color="auto" w:fill="FFFFFF"/>
        </w:rPr>
        <w:t>106</w:t>
      </w:r>
      <w:r w:rsidRPr="00D176A1">
        <w:rPr>
          <w:rFonts w:ascii="Times New Roman" w:hAnsi="Times New Roman" w:cs="Times New Roman"/>
          <w:sz w:val="24"/>
          <w:szCs w:val="24"/>
          <w:shd w:val="clear" w:color="auto" w:fill="FFFFFF"/>
        </w:rPr>
        <w:t>(2), 531-555.</w:t>
      </w:r>
    </w:p>
    <w:p w14:paraId="445BF02D"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shd w:val="clear" w:color="auto" w:fill="FFFFFF"/>
        </w:rPr>
        <w:t>Ruiz, I., &amp; Vargas-Silva, C. (2010). Monetary policy and international remittances. </w:t>
      </w:r>
      <w:r w:rsidRPr="00D176A1">
        <w:rPr>
          <w:rFonts w:ascii="Times New Roman" w:hAnsi="Times New Roman" w:cs="Times New Roman"/>
          <w:i/>
          <w:iCs/>
          <w:sz w:val="24"/>
          <w:szCs w:val="24"/>
          <w:shd w:val="clear" w:color="auto" w:fill="FFFFFF"/>
        </w:rPr>
        <w:t>The Journal of Developing Areas</w:t>
      </w:r>
      <w:r w:rsidRPr="00D176A1">
        <w:rPr>
          <w:rFonts w:ascii="Times New Roman" w:hAnsi="Times New Roman" w:cs="Times New Roman"/>
          <w:sz w:val="24"/>
          <w:szCs w:val="24"/>
          <w:shd w:val="clear" w:color="auto" w:fill="FFFFFF"/>
        </w:rPr>
        <w:t>, 173-186.</w:t>
      </w:r>
    </w:p>
    <w:p w14:paraId="1619B95B" w14:textId="7B39F989"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 xml:space="preserve">Song, Y., Paramati, S. R., Ummalla, M., Zakari, A., &amp; Kummitha, H. R. (2021). The </w:t>
      </w:r>
      <w:r w:rsidR="003A7937" w:rsidRPr="00D176A1">
        <w:rPr>
          <w:rFonts w:ascii="Times New Roman" w:hAnsi="Times New Roman" w:cs="Times New Roman"/>
          <w:sz w:val="24"/>
          <w:szCs w:val="24"/>
        </w:rPr>
        <w:t xml:space="preserve">Effect </w:t>
      </w:r>
      <w:r w:rsidR="003A7937">
        <w:rPr>
          <w:rFonts w:ascii="Times New Roman" w:hAnsi="Times New Roman" w:cs="Times New Roman"/>
          <w:sz w:val="24"/>
          <w:szCs w:val="24"/>
        </w:rPr>
        <w:t>o</w:t>
      </w:r>
      <w:r w:rsidR="003A7937" w:rsidRPr="00D176A1">
        <w:rPr>
          <w:rFonts w:ascii="Times New Roman" w:hAnsi="Times New Roman" w:cs="Times New Roman"/>
          <w:sz w:val="24"/>
          <w:szCs w:val="24"/>
        </w:rPr>
        <w:t xml:space="preserve">f Remittances </w:t>
      </w:r>
      <w:r w:rsidR="003A7937">
        <w:rPr>
          <w:rFonts w:ascii="Times New Roman" w:hAnsi="Times New Roman" w:cs="Times New Roman"/>
          <w:sz w:val="24"/>
          <w:szCs w:val="24"/>
        </w:rPr>
        <w:t>a</w:t>
      </w:r>
      <w:r w:rsidR="003A7937" w:rsidRPr="00D176A1">
        <w:rPr>
          <w:rFonts w:ascii="Times New Roman" w:hAnsi="Times New Roman" w:cs="Times New Roman"/>
          <w:sz w:val="24"/>
          <w:szCs w:val="24"/>
        </w:rPr>
        <w:t xml:space="preserve">nd </w:t>
      </w:r>
      <w:r w:rsidRPr="00D176A1">
        <w:rPr>
          <w:rFonts w:ascii="Times New Roman" w:hAnsi="Times New Roman" w:cs="Times New Roman"/>
          <w:sz w:val="24"/>
          <w:szCs w:val="24"/>
        </w:rPr>
        <w:t xml:space="preserve">FDI </w:t>
      </w:r>
      <w:r w:rsidR="003A7937" w:rsidRPr="00D176A1">
        <w:rPr>
          <w:rFonts w:ascii="Times New Roman" w:hAnsi="Times New Roman" w:cs="Times New Roman"/>
          <w:sz w:val="24"/>
          <w:szCs w:val="24"/>
        </w:rPr>
        <w:t xml:space="preserve">Inflows </w:t>
      </w:r>
      <w:r w:rsidR="003A7937">
        <w:rPr>
          <w:rFonts w:ascii="Times New Roman" w:hAnsi="Times New Roman" w:cs="Times New Roman"/>
          <w:sz w:val="24"/>
          <w:szCs w:val="24"/>
        </w:rPr>
        <w:t>o</w:t>
      </w:r>
      <w:r w:rsidR="003A7937" w:rsidRPr="00D176A1">
        <w:rPr>
          <w:rFonts w:ascii="Times New Roman" w:hAnsi="Times New Roman" w:cs="Times New Roman"/>
          <w:sz w:val="24"/>
          <w:szCs w:val="24"/>
        </w:rPr>
        <w:t xml:space="preserve">n Income Distribution </w:t>
      </w:r>
      <w:r w:rsidR="003A7937">
        <w:rPr>
          <w:rFonts w:ascii="Times New Roman" w:hAnsi="Times New Roman" w:cs="Times New Roman"/>
          <w:sz w:val="24"/>
          <w:szCs w:val="24"/>
        </w:rPr>
        <w:t>i</w:t>
      </w:r>
      <w:r w:rsidR="003A7937" w:rsidRPr="00D176A1">
        <w:rPr>
          <w:rFonts w:ascii="Times New Roman" w:hAnsi="Times New Roman" w:cs="Times New Roman"/>
          <w:sz w:val="24"/>
          <w:szCs w:val="24"/>
        </w:rPr>
        <w:t>n Developing Economies. </w:t>
      </w:r>
      <w:r w:rsidRPr="003A7937">
        <w:rPr>
          <w:rFonts w:ascii="Times New Roman" w:hAnsi="Times New Roman" w:cs="Times New Roman"/>
          <w:i/>
          <w:iCs/>
          <w:sz w:val="24"/>
          <w:szCs w:val="24"/>
        </w:rPr>
        <w:t>Economic Analysis and Policy</w:t>
      </w:r>
      <w:r w:rsidRPr="00D176A1">
        <w:rPr>
          <w:rFonts w:ascii="Times New Roman" w:hAnsi="Times New Roman" w:cs="Times New Roman"/>
          <w:sz w:val="24"/>
          <w:szCs w:val="24"/>
        </w:rPr>
        <w:t>.</w:t>
      </w:r>
    </w:p>
    <w:p w14:paraId="73E884B7" w14:textId="330A51B5"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 xml:space="preserve">Spatafora, N. (2005). Two </w:t>
      </w:r>
      <w:r w:rsidR="003A7937" w:rsidRPr="00D176A1">
        <w:rPr>
          <w:rFonts w:ascii="Times New Roman" w:hAnsi="Times New Roman" w:cs="Times New Roman"/>
          <w:sz w:val="24"/>
          <w:szCs w:val="24"/>
        </w:rPr>
        <w:t>Current Issues Facing Developing Countries</w:t>
      </w:r>
      <w:r w:rsidRPr="00D176A1">
        <w:rPr>
          <w:rFonts w:ascii="Times New Roman" w:hAnsi="Times New Roman" w:cs="Times New Roman"/>
          <w:sz w:val="24"/>
          <w:szCs w:val="24"/>
        </w:rPr>
        <w:t xml:space="preserve">, </w:t>
      </w:r>
      <w:r w:rsidRPr="003A7937">
        <w:rPr>
          <w:rFonts w:ascii="Times New Roman" w:hAnsi="Times New Roman" w:cs="Times New Roman"/>
          <w:i/>
          <w:iCs/>
          <w:sz w:val="24"/>
          <w:szCs w:val="24"/>
        </w:rPr>
        <w:t>World Economic Outlook.</w:t>
      </w:r>
      <w:r w:rsidRPr="00D176A1">
        <w:rPr>
          <w:rFonts w:ascii="Times New Roman" w:hAnsi="Times New Roman" w:cs="Times New Roman"/>
          <w:sz w:val="24"/>
          <w:szCs w:val="24"/>
        </w:rPr>
        <w:t xml:space="preserve"> International Monetary Fund, Washington, DC</w:t>
      </w:r>
      <w:r w:rsidR="003A7937">
        <w:rPr>
          <w:rFonts w:ascii="Times New Roman" w:hAnsi="Times New Roman" w:cs="Times New Roman"/>
          <w:sz w:val="24"/>
          <w:szCs w:val="24"/>
        </w:rPr>
        <w:t>.</w:t>
      </w:r>
    </w:p>
    <w:p w14:paraId="3A384436" w14:textId="77777777" w:rsidR="00A11211" w:rsidRPr="00D176A1" w:rsidRDefault="00A11211" w:rsidP="00A11211">
      <w:pPr>
        <w:spacing w:line="360" w:lineRule="auto"/>
        <w:ind w:left="720" w:hanging="720"/>
        <w:jc w:val="both"/>
        <w:rPr>
          <w:rFonts w:ascii="Times New Roman" w:hAnsi="Times New Roman" w:cs="Times New Roman"/>
          <w:sz w:val="24"/>
          <w:szCs w:val="24"/>
          <w:shd w:val="clear" w:color="auto" w:fill="FFFFFF"/>
        </w:rPr>
      </w:pPr>
      <w:r w:rsidRPr="00D176A1">
        <w:rPr>
          <w:rFonts w:ascii="Times New Roman" w:hAnsi="Times New Roman" w:cs="Times New Roman"/>
          <w:sz w:val="24"/>
          <w:szCs w:val="24"/>
          <w:shd w:val="clear" w:color="auto" w:fill="FFFFFF"/>
        </w:rPr>
        <w:t>Stahl, C. W., &amp; Arnold, F. (1986). Overseas workers’ remittances in Asian development. </w:t>
      </w:r>
      <w:r w:rsidRPr="00D176A1">
        <w:rPr>
          <w:rFonts w:ascii="Times New Roman" w:hAnsi="Times New Roman" w:cs="Times New Roman"/>
          <w:i/>
          <w:iCs/>
          <w:sz w:val="24"/>
          <w:szCs w:val="24"/>
          <w:shd w:val="clear" w:color="auto" w:fill="FFFFFF"/>
        </w:rPr>
        <w:t>International migration review</w:t>
      </w:r>
      <w:r w:rsidRPr="00D176A1">
        <w:rPr>
          <w:rFonts w:ascii="Times New Roman" w:hAnsi="Times New Roman" w:cs="Times New Roman"/>
          <w:sz w:val="24"/>
          <w:szCs w:val="24"/>
          <w:shd w:val="clear" w:color="auto" w:fill="FFFFFF"/>
        </w:rPr>
        <w:t>, </w:t>
      </w:r>
      <w:r w:rsidRPr="00D176A1">
        <w:rPr>
          <w:rFonts w:ascii="Times New Roman" w:hAnsi="Times New Roman" w:cs="Times New Roman"/>
          <w:i/>
          <w:iCs/>
          <w:sz w:val="24"/>
          <w:szCs w:val="24"/>
          <w:shd w:val="clear" w:color="auto" w:fill="FFFFFF"/>
        </w:rPr>
        <w:t>20</w:t>
      </w:r>
      <w:r w:rsidRPr="00D176A1">
        <w:rPr>
          <w:rFonts w:ascii="Times New Roman" w:hAnsi="Times New Roman" w:cs="Times New Roman"/>
          <w:sz w:val="24"/>
          <w:szCs w:val="24"/>
          <w:shd w:val="clear" w:color="auto" w:fill="FFFFFF"/>
        </w:rPr>
        <w:t>(4), 899-925.</w:t>
      </w:r>
    </w:p>
    <w:p w14:paraId="1B9D9C78" w14:textId="77777777" w:rsidR="00A11211" w:rsidRPr="003A7937" w:rsidRDefault="00A11211" w:rsidP="00A11211">
      <w:pPr>
        <w:spacing w:line="360" w:lineRule="auto"/>
        <w:ind w:left="720" w:hanging="720"/>
        <w:jc w:val="both"/>
        <w:rPr>
          <w:rFonts w:ascii="Times New Roman" w:hAnsi="Times New Roman" w:cs="Times New Roman"/>
          <w:i/>
          <w:iCs/>
          <w:sz w:val="24"/>
          <w:szCs w:val="24"/>
        </w:rPr>
      </w:pPr>
      <w:r w:rsidRPr="00D176A1">
        <w:rPr>
          <w:rFonts w:ascii="Times New Roman" w:hAnsi="Times New Roman" w:cs="Times New Roman"/>
          <w:sz w:val="24"/>
          <w:szCs w:val="24"/>
        </w:rPr>
        <w:t xml:space="preserve">Tahir, M., Jan, A. A., Shah, S. Q. A., Alam, M. B., Afridi, M. A., Tariq, Y. B., &amp; Bashir, M. F. (2020). Foreign inflows and economic growth in Pakistan: Some new insights.  </w:t>
      </w:r>
      <w:r w:rsidRPr="003A7937">
        <w:rPr>
          <w:rFonts w:ascii="Times New Roman" w:hAnsi="Times New Roman" w:cs="Times New Roman"/>
          <w:i/>
          <w:iCs/>
          <w:sz w:val="24"/>
          <w:szCs w:val="24"/>
        </w:rPr>
        <w:t>Journal of Chinese Economic and Foreign Trade Studies.</w:t>
      </w:r>
    </w:p>
    <w:p w14:paraId="08885AB3"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 xml:space="preserve">Taylor, J.E. (1992). Remittances and inequality reconsidered: direct, indirect and intertemporal effects. Journal of Policy Modelling, 14(2), pp. 187–208. </w:t>
      </w:r>
    </w:p>
    <w:p w14:paraId="720C33DB" w14:textId="6B2B98DD"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United Nations (20</w:t>
      </w:r>
      <w:r w:rsidR="003A7937">
        <w:rPr>
          <w:rFonts w:ascii="Times New Roman" w:hAnsi="Times New Roman" w:cs="Times New Roman"/>
          <w:sz w:val="24"/>
          <w:szCs w:val="24"/>
        </w:rPr>
        <w:t>22</w:t>
      </w:r>
      <w:r w:rsidRPr="00D176A1">
        <w:rPr>
          <w:rFonts w:ascii="Times New Roman" w:hAnsi="Times New Roman" w:cs="Times New Roman"/>
          <w:sz w:val="24"/>
          <w:szCs w:val="24"/>
        </w:rPr>
        <w:t xml:space="preserve">). International Migrant Stock. Department of Economic and Social Affairs, United Nations Population Division. </w:t>
      </w:r>
    </w:p>
    <w:p w14:paraId="592E468D"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 xml:space="preserve">United Nations (2009). International Migrant Stock. Department of Economic and Social Affairs, United Nations Population Division. </w:t>
      </w:r>
    </w:p>
    <w:p w14:paraId="5F5581F0"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shd w:val="clear" w:color="auto" w:fill="FFFFFF"/>
        </w:rPr>
        <w:lastRenderedPageBreak/>
        <w:t>Vargas-Silva, C., &amp; Huang, P. (2006). Macroeconomic determinants of workers' remittances: Hostversus home country's economic conditions. </w:t>
      </w:r>
      <w:r w:rsidRPr="00D176A1">
        <w:rPr>
          <w:rFonts w:ascii="Times New Roman" w:hAnsi="Times New Roman" w:cs="Times New Roman"/>
          <w:i/>
          <w:iCs/>
          <w:sz w:val="24"/>
          <w:szCs w:val="24"/>
          <w:shd w:val="clear" w:color="auto" w:fill="FFFFFF"/>
        </w:rPr>
        <w:t>Journal of International Trade &amp; Economic Development</w:t>
      </w:r>
      <w:r w:rsidRPr="00D176A1">
        <w:rPr>
          <w:rFonts w:ascii="Times New Roman" w:hAnsi="Times New Roman" w:cs="Times New Roman"/>
          <w:sz w:val="24"/>
          <w:szCs w:val="24"/>
          <w:shd w:val="clear" w:color="auto" w:fill="FFFFFF"/>
        </w:rPr>
        <w:t>, </w:t>
      </w:r>
      <w:r w:rsidRPr="00D176A1">
        <w:rPr>
          <w:rFonts w:ascii="Times New Roman" w:hAnsi="Times New Roman" w:cs="Times New Roman"/>
          <w:i/>
          <w:iCs/>
          <w:sz w:val="24"/>
          <w:szCs w:val="24"/>
          <w:shd w:val="clear" w:color="auto" w:fill="FFFFFF"/>
        </w:rPr>
        <w:t>15</w:t>
      </w:r>
      <w:r w:rsidRPr="00D176A1">
        <w:rPr>
          <w:rFonts w:ascii="Times New Roman" w:hAnsi="Times New Roman" w:cs="Times New Roman"/>
          <w:sz w:val="24"/>
          <w:szCs w:val="24"/>
          <w:shd w:val="clear" w:color="auto" w:fill="FFFFFF"/>
        </w:rPr>
        <w:t>(1), 81-99.</w:t>
      </w:r>
    </w:p>
    <w:p w14:paraId="6E66B18C" w14:textId="77777777" w:rsidR="00A11211" w:rsidRPr="00D176A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World Bank. (2022). World development indicators online database. Washington, DC: World Bank. Retrieved from http://data.worldbank.org/indicator</w:t>
      </w:r>
    </w:p>
    <w:p w14:paraId="74B62E22" w14:textId="77777777" w:rsidR="00A11211" w:rsidRDefault="00A11211" w:rsidP="00A11211">
      <w:pPr>
        <w:spacing w:line="360" w:lineRule="auto"/>
        <w:ind w:left="720" w:hanging="720"/>
        <w:jc w:val="both"/>
        <w:rPr>
          <w:rFonts w:ascii="Times New Roman" w:hAnsi="Times New Roman" w:cs="Times New Roman"/>
          <w:sz w:val="24"/>
          <w:szCs w:val="24"/>
        </w:rPr>
      </w:pPr>
      <w:r w:rsidRPr="00D176A1">
        <w:rPr>
          <w:rFonts w:ascii="Times New Roman" w:hAnsi="Times New Roman" w:cs="Times New Roman"/>
          <w:sz w:val="24"/>
          <w:szCs w:val="24"/>
        </w:rPr>
        <w:t>World Migration Report (2022).</w:t>
      </w:r>
      <w:r>
        <w:rPr>
          <w:rFonts w:ascii="Times New Roman" w:hAnsi="Times New Roman" w:cs="Times New Roman"/>
          <w:sz w:val="24"/>
          <w:szCs w:val="24"/>
        </w:rPr>
        <w:t xml:space="preserve"> </w:t>
      </w:r>
      <w:r w:rsidRPr="00D176A1">
        <w:rPr>
          <w:rFonts w:ascii="Times New Roman" w:hAnsi="Times New Roman" w:cs="Times New Roman"/>
          <w:sz w:val="24"/>
          <w:szCs w:val="24"/>
        </w:rPr>
        <w:t>World Migration Report, International Organization for Migration.</w:t>
      </w:r>
    </w:p>
    <w:sectPr w:rsidR="00A112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604D4" w14:textId="77777777" w:rsidR="00BF7379" w:rsidRDefault="00BF7379" w:rsidP="00A11211">
      <w:pPr>
        <w:spacing w:after="0" w:line="240" w:lineRule="auto"/>
      </w:pPr>
      <w:r>
        <w:separator/>
      </w:r>
    </w:p>
  </w:endnote>
  <w:endnote w:type="continuationSeparator" w:id="0">
    <w:p w14:paraId="3B0AFA89" w14:textId="77777777" w:rsidR="00BF7379" w:rsidRDefault="00BF7379" w:rsidP="00A1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EE7F" w14:textId="77777777" w:rsidR="002F359B" w:rsidRDefault="002F3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5569" w14:textId="77777777" w:rsidR="002F359B" w:rsidRDefault="002F3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879A" w14:textId="77777777" w:rsidR="002F359B" w:rsidRDefault="002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B8A51" w14:textId="77777777" w:rsidR="00BF7379" w:rsidRDefault="00BF7379" w:rsidP="00A11211">
      <w:pPr>
        <w:spacing w:after="0" w:line="240" w:lineRule="auto"/>
      </w:pPr>
      <w:r>
        <w:separator/>
      </w:r>
    </w:p>
  </w:footnote>
  <w:footnote w:type="continuationSeparator" w:id="0">
    <w:p w14:paraId="6495E5F7" w14:textId="77777777" w:rsidR="00BF7379" w:rsidRDefault="00BF7379" w:rsidP="00A11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6D304" w14:textId="78CD60C0" w:rsidR="002F359B" w:rsidRDefault="002F359B">
    <w:pPr>
      <w:pStyle w:val="Header"/>
    </w:pPr>
    <w:r>
      <w:rPr>
        <w:noProof/>
      </w:rPr>
      <w:pict w14:anchorId="63741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D8501" w14:textId="52C9D219" w:rsidR="002F359B" w:rsidRDefault="002F359B">
    <w:pPr>
      <w:pStyle w:val="Header"/>
    </w:pPr>
    <w:r>
      <w:rPr>
        <w:noProof/>
      </w:rPr>
      <w:pict w14:anchorId="4B929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5549" w14:textId="21FA2030" w:rsidR="002F359B" w:rsidRDefault="002F359B">
    <w:pPr>
      <w:pStyle w:val="Header"/>
    </w:pPr>
    <w:r>
      <w:rPr>
        <w:noProof/>
      </w:rPr>
      <w:pict w14:anchorId="726B8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059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D374A"/>
    <w:multiLevelType w:val="hybridMultilevel"/>
    <w:tmpl w:val="B3C2925C"/>
    <w:lvl w:ilvl="0" w:tplc="889AE1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969DA"/>
    <w:multiLevelType w:val="hybridMultilevel"/>
    <w:tmpl w:val="8CE24F52"/>
    <w:lvl w:ilvl="0" w:tplc="7C38F5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2MrAwMDU3NDIwMTZT0lEKTi0uzszPAykwqgUAm2YG6ywAAAA="/>
  </w:docVars>
  <w:rsids>
    <w:rsidRoot w:val="00A11211"/>
    <w:rsid w:val="00012401"/>
    <w:rsid w:val="00054695"/>
    <w:rsid w:val="00076720"/>
    <w:rsid w:val="00106B8E"/>
    <w:rsid w:val="00117C15"/>
    <w:rsid w:val="001447B0"/>
    <w:rsid w:val="00162CD8"/>
    <w:rsid w:val="001746C9"/>
    <w:rsid w:val="001832BF"/>
    <w:rsid w:val="001F10D2"/>
    <w:rsid w:val="002F359B"/>
    <w:rsid w:val="00332EA4"/>
    <w:rsid w:val="00364FCE"/>
    <w:rsid w:val="003A09D6"/>
    <w:rsid w:val="003A7937"/>
    <w:rsid w:val="0047558B"/>
    <w:rsid w:val="004B6B0E"/>
    <w:rsid w:val="004B7FB8"/>
    <w:rsid w:val="004F237B"/>
    <w:rsid w:val="00507433"/>
    <w:rsid w:val="005B25C1"/>
    <w:rsid w:val="00631183"/>
    <w:rsid w:val="00746021"/>
    <w:rsid w:val="007A77D2"/>
    <w:rsid w:val="008D7F24"/>
    <w:rsid w:val="00901067"/>
    <w:rsid w:val="0094089F"/>
    <w:rsid w:val="00963AB3"/>
    <w:rsid w:val="00A11211"/>
    <w:rsid w:val="00A60A7F"/>
    <w:rsid w:val="00A65992"/>
    <w:rsid w:val="00A80680"/>
    <w:rsid w:val="00B03BFD"/>
    <w:rsid w:val="00B40C05"/>
    <w:rsid w:val="00B41F09"/>
    <w:rsid w:val="00BA1348"/>
    <w:rsid w:val="00BF41FC"/>
    <w:rsid w:val="00BF7379"/>
    <w:rsid w:val="00C407CD"/>
    <w:rsid w:val="00C520A3"/>
    <w:rsid w:val="00C703A0"/>
    <w:rsid w:val="00CA568E"/>
    <w:rsid w:val="00D955E3"/>
    <w:rsid w:val="00DA0C8F"/>
    <w:rsid w:val="00E3323C"/>
    <w:rsid w:val="00E66F53"/>
    <w:rsid w:val="00EB04E5"/>
    <w:rsid w:val="00EE42DF"/>
    <w:rsid w:val="00EF3000"/>
    <w:rsid w:val="00F00403"/>
    <w:rsid w:val="00F032FA"/>
    <w:rsid w:val="00F12E84"/>
    <w:rsid w:val="00F77F47"/>
    <w:rsid w:val="00F9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3D4EC6"/>
  <w15:chartTrackingRefBased/>
  <w15:docId w15:val="{D07984F0-2AB6-4B02-8431-7F5D3E9B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21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11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1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12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2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2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2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12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12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2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2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211"/>
    <w:rPr>
      <w:rFonts w:eastAsiaTheme="majorEastAsia" w:cstheme="majorBidi"/>
      <w:color w:val="272727" w:themeColor="text1" w:themeTint="D8"/>
    </w:rPr>
  </w:style>
  <w:style w:type="paragraph" w:styleId="Title">
    <w:name w:val="Title"/>
    <w:basedOn w:val="Normal"/>
    <w:next w:val="Normal"/>
    <w:link w:val="TitleChar"/>
    <w:uiPriority w:val="10"/>
    <w:qFormat/>
    <w:rsid w:val="00A11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211"/>
    <w:pPr>
      <w:spacing w:before="160"/>
      <w:jc w:val="center"/>
    </w:pPr>
    <w:rPr>
      <w:i/>
      <w:iCs/>
      <w:color w:val="404040" w:themeColor="text1" w:themeTint="BF"/>
    </w:rPr>
  </w:style>
  <w:style w:type="character" w:customStyle="1" w:styleId="QuoteChar">
    <w:name w:val="Quote Char"/>
    <w:basedOn w:val="DefaultParagraphFont"/>
    <w:link w:val="Quote"/>
    <w:uiPriority w:val="29"/>
    <w:rsid w:val="00A11211"/>
    <w:rPr>
      <w:i/>
      <w:iCs/>
      <w:color w:val="404040" w:themeColor="text1" w:themeTint="BF"/>
    </w:rPr>
  </w:style>
  <w:style w:type="paragraph" w:styleId="ListParagraph">
    <w:name w:val="List Paragraph"/>
    <w:basedOn w:val="Normal"/>
    <w:uiPriority w:val="34"/>
    <w:qFormat/>
    <w:rsid w:val="00A11211"/>
    <w:pPr>
      <w:ind w:left="720"/>
      <w:contextualSpacing/>
    </w:pPr>
  </w:style>
  <w:style w:type="character" w:styleId="IntenseEmphasis">
    <w:name w:val="Intense Emphasis"/>
    <w:basedOn w:val="DefaultParagraphFont"/>
    <w:uiPriority w:val="21"/>
    <w:qFormat/>
    <w:rsid w:val="00A11211"/>
    <w:rPr>
      <w:i/>
      <w:iCs/>
      <w:color w:val="2F5496" w:themeColor="accent1" w:themeShade="BF"/>
    </w:rPr>
  </w:style>
  <w:style w:type="paragraph" w:styleId="IntenseQuote">
    <w:name w:val="Intense Quote"/>
    <w:basedOn w:val="Normal"/>
    <w:next w:val="Normal"/>
    <w:link w:val="IntenseQuoteChar"/>
    <w:uiPriority w:val="30"/>
    <w:qFormat/>
    <w:rsid w:val="00A11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211"/>
    <w:rPr>
      <w:i/>
      <w:iCs/>
      <w:color w:val="2F5496" w:themeColor="accent1" w:themeShade="BF"/>
    </w:rPr>
  </w:style>
  <w:style w:type="character" w:styleId="IntenseReference">
    <w:name w:val="Intense Reference"/>
    <w:basedOn w:val="DefaultParagraphFont"/>
    <w:uiPriority w:val="32"/>
    <w:qFormat/>
    <w:rsid w:val="00A11211"/>
    <w:rPr>
      <w:b/>
      <w:bCs/>
      <w:smallCaps/>
      <w:color w:val="2F5496" w:themeColor="accent1" w:themeShade="BF"/>
      <w:spacing w:val="5"/>
    </w:rPr>
  </w:style>
  <w:style w:type="character" w:styleId="Hyperlink">
    <w:name w:val="Hyperlink"/>
    <w:basedOn w:val="DefaultParagraphFont"/>
    <w:uiPriority w:val="99"/>
    <w:unhideWhenUsed/>
    <w:rsid w:val="00A11211"/>
    <w:rPr>
      <w:color w:val="0563C1" w:themeColor="hyperlink"/>
      <w:u w:val="single"/>
    </w:rPr>
  </w:style>
  <w:style w:type="paragraph" w:styleId="FootnoteText">
    <w:name w:val="footnote text"/>
    <w:basedOn w:val="Normal"/>
    <w:link w:val="FootnoteTextChar"/>
    <w:uiPriority w:val="99"/>
    <w:semiHidden/>
    <w:unhideWhenUsed/>
    <w:rsid w:val="00A112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211"/>
    <w:rPr>
      <w:kern w:val="0"/>
      <w:sz w:val="20"/>
      <w:szCs w:val="20"/>
      <w14:ligatures w14:val="none"/>
    </w:rPr>
  </w:style>
  <w:style w:type="character" w:styleId="FootnoteReference">
    <w:name w:val="footnote reference"/>
    <w:basedOn w:val="DefaultParagraphFont"/>
    <w:uiPriority w:val="99"/>
    <w:semiHidden/>
    <w:unhideWhenUsed/>
    <w:rsid w:val="00A11211"/>
    <w:rPr>
      <w:vertAlign w:val="superscript"/>
    </w:rPr>
  </w:style>
  <w:style w:type="table" w:styleId="PlainTable2">
    <w:name w:val="Plain Table 2"/>
    <w:basedOn w:val="TableNormal"/>
    <w:uiPriority w:val="42"/>
    <w:rsid w:val="00A11211"/>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F032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C520A3"/>
    <w:rPr>
      <w:color w:val="605E5C"/>
      <w:shd w:val="clear" w:color="auto" w:fill="E1DFDD"/>
    </w:rPr>
  </w:style>
  <w:style w:type="paragraph" w:styleId="Header">
    <w:name w:val="header"/>
    <w:basedOn w:val="Normal"/>
    <w:link w:val="HeaderChar"/>
    <w:uiPriority w:val="99"/>
    <w:unhideWhenUsed/>
    <w:rsid w:val="002F3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59B"/>
    <w:rPr>
      <w:kern w:val="0"/>
      <w:sz w:val="22"/>
      <w:szCs w:val="22"/>
      <w14:ligatures w14:val="none"/>
    </w:rPr>
  </w:style>
  <w:style w:type="paragraph" w:styleId="Footer">
    <w:name w:val="footer"/>
    <w:basedOn w:val="Normal"/>
    <w:link w:val="FooterChar"/>
    <w:uiPriority w:val="99"/>
    <w:unhideWhenUsed/>
    <w:rsid w:val="002F3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9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G:\New%20folder\New%20folder%20(2)\fdi%20od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816946d31819188/Desktop/inward_remittance_flows_as_of_dec._2_2022_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200" b="0">
                <a:latin typeface="Times New Roman" pitchFamily="18" charset="0"/>
                <a:cs typeface="Times New Roman" pitchFamily="18" charset="0"/>
              </a:rPr>
              <a:t>Remittances</a:t>
            </a:r>
            <a:r>
              <a:rPr lang="en-US" sz="1200" b="0" baseline="0">
                <a:latin typeface="Times New Roman" pitchFamily="18" charset="0"/>
                <a:cs typeface="Times New Roman" pitchFamily="18" charset="0"/>
              </a:rPr>
              <a:t> </a:t>
            </a:r>
            <a:r>
              <a:rPr lang="en-US" sz="1200" b="0" i="1" baseline="0">
                <a:latin typeface="Times New Roman" pitchFamily="18" charset="0"/>
                <a:cs typeface="Times New Roman" pitchFamily="18" charset="0"/>
              </a:rPr>
              <a:t>vis-a-vis</a:t>
            </a:r>
            <a:r>
              <a:rPr lang="en-US" sz="1200" b="0" baseline="0">
                <a:latin typeface="Times New Roman" pitchFamily="18" charset="0"/>
                <a:cs typeface="Times New Roman" pitchFamily="18" charset="0"/>
              </a:rPr>
              <a:t> other foreign inflows to India</a:t>
            </a:r>
            <a:endParaRPr lang="en-US" sz="1200" b="0">
              <a:latin typeface="Times New Roman" pitchFamily="18" charset="0"/>
              <a:cs typeface="Times New Roman" pitchFamily="18" charset="0"/>
            </a:endParaRPr>
          </a:p>
        </c:rich>
      </c:tx>
      <c:layout>
        <c:manualLayout>
          <c:xMode val="edge"/>
          <c:yMode val="edge"/>
          <c:x val="0.2294230769230769"/>
          <c:y val="0.93141075604053003"/>
        </c:manualLayout>
      </c:layout>
      <c:overlay val="0"/>
    </c:title>
    <c:autoTitleDeleted val="0"/>
    <c:plotArea>
      <c:layout>
        <c:manualLayout>
          <c:layoutTarget val="inner"/>
          <c:xMode val="edge"/>
          <c:yMode val="edge"/>
          <c:x val="0.15901333092988779"/>
          <c:y val="7.8480672870436738E-2"/>
          <c:w val="0.66076923076923244"/>
          <c:h val="0.72402514159414288"/>
        </c:manualLayout>
      </c:layout>
      <c:lineChart>
        <c:grouping val="standard"/>
        <c:varyColors val="0"/>
        <c:ser>
          <c:idx val="0"/>
          <c:order val="0"/>
          <c:tx>
            <c:v>FDI</c:v>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Sheet1!$B$2:$B$42</c:f>
              <c:numCache>
                <c:formatCode>General</c:formatCode>
                <c:ptCount val="41"/>
                <c:pt idx="0">
                  <c:v>79159999.900000006</c:v>
                </c:pt>
                <c:pt idx="1">
                  <c:v>91920000</c:v>
                </c:pt>
                <c:pt idx="2">
                  <c:v>72079999.900000006</c:v>
                </c:pt>
                <c:pt idx="3">
                  <c:v>5639999.9000000004</c:v>
                </c:pt>
                <c:pt idx="4">
                  <c:v>19239999.899999999</c:v>
                </c:pt>
                <c:pt idx="5">
                  <c:v>106090000</c:v>
                </c:pt>
                <c:pt idx="6">
                  <c:v>117730000</c:v>
                </c:pt>
                <c:pt idx="7">
                  <c:v>212319999.90000001</c:v>
                </c:pt>
                <c:pt idx="8">
                  <c:v>91250000</c:v>
                </c:pt>
                <c:pt idx="9">
                  <c:v>252099999.90000001</c:v>
                </c:pt>
                <c:pt idx="10">
                  <c:v>236690000</c:v>
                </c:pt>
                <c:pt idx="11">
                  <c:v>73537638.388532653</c:v>
                </c:pt>
                <c:pt idx="12">
                  <c:v>276512438.97389305</c:v>
                </c:pt>
                <c:pt idx="13">
                  <c:v>550370024.92938292</c:v>
                </c:pt>
                <c:pt idx="14">
                  <c:v>973271468.72287405</c:v>
                </c:pt>
                <c:pt idx="15">
                  <c:v>2143628110.28392</c:v>
                </c:pt>
                <c:pt idx="16">
                  <c:v>2426057021.9109201</c:v>
                </c:pt>
                <c:pt idx="17">
                  <c:v>3577330042.3458652</c:v>
                </c:pt>
                <c:pt idx="18">
                  <c:v>2634651657.77141</c:v>
                </c:pt>
                <c:pt idx="19">
                  <c:v>2168591054.37924</c:v>
                </c:pt>
                <c:pt idx="20">
                  <c:v>3584217307.1875601</c:v>
                </c:pt>
                <c:pt idx="21">
                  <c:v>5128093561.6268797</c:v>
                </c:pt>
                <c:pt idx="22">
                  <c:v>5208967106.2789402</c:v>
                </c:pt>
                <c:pt idx="23">
                  <c:v>3681984671.4342937</c:v>
                </c:pt>
                <c:pt idx="24">
                  <c:v>5429250989.8571701</c:v>
                </c:pt>
                <c:pt idx="25">
                  <c:v>7269407225.6143799</c:v>
                </c:pt>
                <c:pt idx="26">
                  <c:v>20029119267.139538</c:v>
                </c:pt>
                <c:pt idx="27">
                  <c:v>25227740886.6819</c:v>
                </c:pt>
                <c:pt idx="28">
                  <c:v>43406277075.810913</c:v>
                </c:pt>
                <c:pt idx="29">
                  <c:v>35581372929.664154</c:v>
                </c:pt>
                <c:pt idx="30">
                  <c:v>27396885033.783901</c:v>
                </c:pt>
                <c:pt idx="31">
                  <c:v>36498654597.859047</c:v>
                </c:pt>
                <c:pt idx="32">
                  <c:v>23995685014.214199</c:v>
                </c:pt>
                <c:pt idx="33">
                  <c:v>28153031270.320301</c:v>
                </c:pt>
                <c:pt idx="34">
                  <c:v>34576643694.138298</c:v>
                </c:pt>
                <c:pt idx="35">
                  <c:v>44009492129.531898</c:v>
                </c:pt>
                <c:pt idx="36">
                  <c:v>44458571545.797997</c:v>
                </c:pt>
                <c:pt idx="37">
                  <c:v>39966091358.738396</c:v>
                </c:pt>
                <c:pt idx="38">
                  <c:v>42117450737.264252</c:v>
                </c:pt>
                <c:pt idx="39">
                  <c:v>50610647353.591194</c:v>
                </c:pt>
                <c:pt idx="40">
                  <c:v>64362364994.375397</c:v>
                </c:pt>
              </c:numCache>
            </c:numRef>
          </c:val>
          <c:smooth val="0"/>
          <c:extLst>
            <c:ext xmlns:c16="http://schemas.microsoft.com/office/drawing/2014/chart" uri="{C3380CC4-5D6E-409C-BE32-E72D297353CC}">
              <c16:uniqueId val="{00000000-91FD-457D-B603-5782EC774536}"/>
            </c:ext>
          </c:extLst>
        </c:ser>
        <c:ser>
          <c:idx val="1"/>
          <c:order val="1"/>
          <c:tx>
            <c:v>Net ODA</c:v>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Sheet1!$C$2:$C$42</c:f>
              <c:numCache>
                <c:formatCode>General</c:formatCode>
                <c:ptCount val="41"/>
                <c:pt idx="0">
                  <c:v>2185959960.9375052</c:v>
                </c:pt>
                <c:pt idx="1">
                  <c:v>1972469970.70313</c:v>
                </c:pt>
                <c:pt idx="2">
                  <c:v>1635750000</c:v>
                </c:pt>
                <c:pt idx="3">
                  <c:v>1830510009.7656336</c:v>
                </c:pt>
                <c:pt idx="4">
                  <c:v>1665939941.4062521</c:v>
                </c:pt>
                <c:pt idx="5">
                  <c:v>1587010009.7656336</c:v>
                </c:pt>
                <c:pt idx="6">
                  <c:v>1989939941.4062521</c:v>
                </c:pt>
                <c:pt idx="7">
                  <c:v>1695479980.46875</c:v>
                </c:pt>
                <c:pt idx="8">
                  <c:v>1947650024.4140601</c:v>
                </c:pt>
                <c:pt idx="9">
                  <c:v>1766109985.3515599</c:v>
                </c:pt>
                <c:pt idx="10">
                  <c:v>1395000000</c:v>
                </c:pt>
                <c:pt idx="11">
                  <c:v>2733520019.53125</c:v>
                </c:pt>
                <c:pt idx="12">
                  <c:v>2425139892.5781302</c:v>
                </c:pt>
                <c:pt idx="13">
                  <c:v>1466290039.0625</c:v>
                </c:pt>
                <c:pt idx="14">
                  <c:v>2322320068.3593802</c:v>
                </c:pt>
                <c:pt idx="15">
                  <c:v>1732829956.0546901</c:v>
                </c:pt>
                <c:pt idx="16">
                  <c:v>1904150024.4140601</c:v>
                </c:pt>
                <c:pt idx="17">
                  <c:v>1646250000</c:v>
                </c:pt>
                <c:pt idx="18">
                  <c:v>1608949951.1718786</c:v>
                </c:pt>
                <c:pt idx="19">
                  <c:v>1490760009.7656336</c:v>
                </c:pt>
                <c:pt idx="20">
                  <c:v>1383420043.9453101</c:v>
                </c:pt>
                <c:pt idx="21">
                  <c:v>1729609985.3515599</c:v>
                </c:pt>
                <c:pt idx="22">
                  <c:v>1738209960.9375</c:v>
                </c:pt>
                <c:pt idx="23">
                  <c:v>720900024.41406298</c:v>
                </c:pt>
                <c:pt idx="24">
                  <c:v>778309997.55859399</c:v>
                </c:pt>
                <c:pt idx="25">
                  <c:v>1875959960.9375</c:v>
                </c:pt>
                <c:pt idx="26">
                  <c:v>1383579956.0546901</c:v>
                </c:pt>
                <c:pt idx="27">
                  <c:v>1329209960.9375</c:v>
                </c:pt>
                <c:pt idx="28">
                  <c:v>2011579956.0546901</c:v>
                </c:pt>
                <c:pt idx="29">
                  <c:v>2456610107.4218802</c:v>
                </c:pt>
                <c:pt idx="30">
                  <c:v>2831340087.8906302</c:v>
                </c:pt>
                <c:pt idx="31">
                  <c:v>3270219970.7031298</c:v>
                </c:pt>
                <c:pt idx="32">
                  <c:v>1681790039.0625</c:v>
                </c:pt>
                <c:pt idx="33">
                  <c:v>2456330078.125</c:v>
                </c:pt>
                <c:pt idx="34">
                  <c:v>2991820068.3593802</c:v>
                </c:pt>
                <c:pt idx="35">
                  <c:v>3174350097.65625</c:v>
                </c:pt>
                <c:pt idx="36">
                  <c:v>2678669921.8750052</c:v>
                </c:pt>
                <c:pt idx="37">
                  <c:v>3197679931.6406298</c:v>
                </c:pt>
                <c:pt idx="38">
                  <c:v>2461629882.8125052</c:v>
                </c:pt>
                <c:pt idx="39">
                  <c:v>2550409912.1093798</c:v>
                </c:pt>
                <c:pt idx="40">
                  <c:v>1794209960.9375</c:v>
                </c:pt>
              </c:numCache>
            </c:numRef>
          </c:val>
          <c:smooth val="0"/>
          <c:extLst>
            <c:ext xmlns:c16="http://schemas.microsoft.com/office/drawing/2014/chart" uri="{C3380CC4-5D6E-409C-BE32-E72D297353CC}">
              <c16:uniqueId val="{00000001-91FD-457D-B603-5782EC774536}"/>
            </c:ext>
          </c:extLst>
        </c:ser>
        <c:ser>
          <c:idx val="2"/>
          <c:order val="2"/>
          <c:tx>
            <c:v>Remittances</c:v>
          </c:tx>
          <c:marker>
            <c:symbol val="none"/>
          </c:marker>
          <c:cat>
            <c:numRef>
              <c:f>Sheet1!$A$2:$A$42</c:f>
              <c:numCache>
                <c:formatCode>General</c:formatCode>
                <c:ptCount val="41"/>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pt idx="40">
                  <c:v>2020</c:v>
                </c:pt>
              </c:numCache>
            </c:numRef>
          </c:cat>
          <c:val>
            <c:numRef>
              <c:f>Sheet1!$E$2:$E$42</c:f>
              <c:numCache>
                <c:formatCode>General</c:formatCode>
                <c:ptCount val="41"/>
                <c:pt idx="0">
                  <c:v>2761280684.5999999</c:v>
                </c:pt>
                <c:pt idx="1">
                  <c:v>2301890114.5999999</c:v>
                </c:pt>
                <c:pt idx="2">
                  <c:v>2621913836.3000002</c:v>
                </c:pt>
                <c:pt idx="3">
                  <c:v>2662479622.3000002</c:v>
                </c:pt>
                <c:pt idx="4">
                  <c:v>2293065837.4000001</c:v>
                </c:pt>
                <c:pt idx="5">
                  <c:v>2472285486.6999998</c:v>
                </c:pt>
                <c:pt idx="6">
                  <c:v>2243013880.4000001</c:v>
                </c:pt>
                <c:pt idx="7">
                  <c:v>2663469748.1999998</c:v>
                </c:pt>
                <c:pt idx="8">
                  <c:v>2316724190.5</c:v>
                </c:pt>
                <c:pt idx="9">
                  <c:v>2609857302</c:v>
                </c:pt>
                <c:pt idx="10">
                  <c:v>2383740065.6081424</c:v>
                </c:pt>
                <c:pt idx="11">
                  <c:v>3289109445.1017303</c:v>
                </c:pt>
                <c:pt idx="12">
                  <c:v>2897425636.8947215</c:v>
                </c:pt>
                <c:pt idx="13">
                  <c:v>3522788020.8303742</c:v>
                </c:pt>
                <c:pt idx="14">
                  <c:v>5856694457.8566275</c:v>
                </c:pt>
                <c:pt idx="15">
                  <c:v>6222996281.5047865</c:v>
                </c:pt>
                <c:pt idx="16">
                  <c:v>8765693606.594347</c:v>
                </c:pt>
                <c:pt idx="17">
                  <c:v>10330965043.377201</c:v>
                </c:pt>
                <c:pt idx="18">
                  <c:v>9479300349.992321</c:v>
                </c:pt>
                <c:pt idx="19">
                  <c:v>11124280843.181576</c:v>
                </c:pt>
                <c:pt idx="20">
                  <c:v>12883465957.061543</c:v>
                </c:pt>
                <c:pt idx="21">
                  <c:v>14273018777.531107</c:v>
                </c:pt>
                <c:pt idx="22">
                  <c:v>15735736285.913736</c:v>
                </c:pt>
                <c:pt idx="23">
                  <c:v>20999150983.033112</c:v>
                </c:pt>
                <c:pt idx="24">
                  <c:v>18750377106.624073</c:v>
                </c:pt>
                <c:pt idx="25">
                  <c:v>22125089480.498219</c:v>
                </c:pt>
                <c:pt idx="26">
                  <c:v>28333642279.85408</c:v>
                </c:pt>
                <c:pt idx="27">
                  <c:v>37216755275.250267</c:v>
                </c:pt>
                <c:pt idx="28">
                  <c:v>49977276916.32093</c:v>
                </c:pt>
                <c:pt idx="29">
                  <c:v>49204000000</c:v>
                </c:pt>
                <c:pt idx="30">
                  <c:v>53479960083.243195</c:v>
                </c:pt>
                <c:pt idx="31">
                  <c:v>62499075444.736664</c:v>
                </c:pt>
                <c:pt idx="32">
                  <c:v>68820517837.653625</c:v>
                </c:pt>
                <c:pt idx="33">
                  <c:v>69970360846.785843</c:v>
                </c:pt>
                <c:pt idx="34">
                  <c:v>70388642796.547089</c:v>
                </c:pt>
                <c:pt idx="35">
                  <c:v>68909693352.835083</c:v>
                </c:pt>
                <c:pt idx="36">
                  <c:v>62744364089.951141</c:v>
                </c:pt>
                <c:pt idx="37">
                  <c:v>68967175499.866547</c:v>
                </c:pt>
                <c:pt idx="38">
                  <c:v>78790170928.674225</c:v>
                </c:pt>
                <c:pt idx="39">
                  <c:v>83332078002.303207</c:v>
                </c:pt>
                <c:pt idx="40">
                  <c:v>83149172934.104294</c:v>
                </c:pt>
              </c:numCache>
            </c:numRef>
          </c:val>
          <c:smooth val="0"/>
          <c:extLst>
            <c:ext xmlns:c16="http://schemas.microsoft.com/office/drawing/2014/chart" uri="{C3380CC4-5D6E-409C-BE32-E72D297353CC}">
              <c16:uniqueId val="{00000002-91FD-457D-B603-5782EC774536}"/>
            </c:ext>
          </c:extLst>
        </c:ser>
        <c:dLbls>
          <c:showLegendKey val="0"/>
          <c:showVal val="0"/>
          <c:showCatName val="0"/>
          <c:showSerName val="0"/>
          <c:showPercent val="0"/>
          <c:showBubbleSize val="0"/>
        </c:dLbls>
        <c:smooth val="0"/>
        <c:axId val="54834688"/>
        <c:axId val="54836224"/>
      </c:lineChart>
      <c:catAx>
        <c:axId val="54834688"/>
        <c:scaling>
          <c:orientation val="minMax"/>
        </c:scaling>
        <c:delete val="0"/>
        <c:axPos val="b"/>
        <c:numFmt formatCode="General" sourceLinked="1"/>
        <c:majorTickMark val="none"/>
        <c:minorTickMark val="none"/>
        <c:tickLblPos val="nextTo"/>
        <c:txPr>
          <a:bodyPr/>
          <a:lstStyle/>
          <a:p>
            <a:pPr>
              <a:defRPr lang="en-US" sz="900">
                <a:latin typeface="Times New Roman" pitchFamily="18" charset="0"/>
                <a:cs typeface="Times New Roman" pitchFamily="18" charset="0"/>
              </a:defRPr>
            </a:pPr>
            <a:endParaRPr lang="en-US"/>
          </a:p>
        </c:txPr>
        <c:crossAx val="54836224"/>
        <c:crosses val="autoZero"/>
        <c:auto val="1"/>
        <c:lblAlgn val="ctr"/>
        <c:lblOffset val="100"/>
        <c:noMultiLvlLbl val="0"/>
      </c:catAx>
      <c:valAx>
        <c:axId val="54836224"/>
        <c:scaling>
          <c:orientation val="minMax"/>
        </c:scaling>
        <c:delete val="0"/>
        <c:axPos val="l"/>
        <c:majorGridlines/>
        <c:title>
          <c:tx>
            <c:rich>
              <a:bodyPr/>
              <a:lstStyle/>
              <a:p>
                <a:pPr>
                  <a:defRPr lang="en-US" sz="1200" b="1"/>
                </a:pPr>
                <a:r>
                  <a:rPr lang="en-US" sz="1200" b="0">
                    <a:latin typeface="Times New Roman" pitchFamily="18" charset="0"/>
                    <a:cs typeface="Times New Roman" pitchFamily="18" charset="0"/>
                  </a:rPr>
                  <a:t>in</a:t>
                </a:r>
                <a:r>
                  <a:rPr lang="en-US" sz="1200" b="0" baseline="0">
                    <a:latin typeface="Times New Roman" pitchFamily="18" charset="0"/>
                    <a:cs typeface="Times New Roman" pitchFamily="18" charset="0"/>
                  </a:rPr>
                  <a:t> current $US</a:t>
                </a:r>
                <a:endParaRPr lang="en-US" sz="1200" b="0">
                  <a:latin typeface="Times New Roman" pitchFamily="18" charset="0"/>
                  <a:cs typeface="Times New Roman" pitchFamily="18" charset="0"/>
                </a:endParaRPr>
              </a:p>
            </c:rich>
          </c:tx>
          <c:overlay val="0"/>
        </c:title>
        <c:numFmt formatCode="General" sourceLinked="1"/>
        <c:majorTickMark val="none"/>
        <c:minorTickMark val="none"/>
        <c:tickLblPos val="nextTo"/>
        <c:txPr>
          <a:bodyPr/>
          <a:lstStyle/>
          <a:p>
            <a:pPr>
              <a:defRPr lang="en-US" sz="900">
                <a:latin typeface="Times New Roman" pitchFamily="18" charset="0"/>
                <a:cs typeface="Times New Roman" pitchFamily="18" charset="0"/>
              </a:defRPr>
            </a:pPr>
            <a:endParaRPr lang="en-US"/>
          </a:p>
        </c:txPr>
        <c:crossAx val="54834688"/>
        <c:crosses val="autoZero"/>
        <c:crossBetween val="between"/>
      </c:valAx>
    </c:plotArea>
    <c:legend>
      <c:legendPos val="r"/>
      <c:legendEntry>
        <c:idx val="0"/>
        <c:txPr>
          <a:bodyPr/>
          <a:lstStyle/>
          <a:p>
            <a:pPr>
              <a:defRPr sz="1000">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egendEntry>
        <c:idx val="2"/>
        <c:txPr>
          <a:bodyPr/>
          <a:lstStyle/>
          <a:p>
            <a:pPr>
              <a:defRPr>
                <a:latin typeface="Times New Roman" pitchFamily="18" charset="0"/>
                <a:cs typeface="Times New Roman" pitchFamily="18" charset="0"/>
              </a:defRPr>
            </a:pPr>
            <a:endParaRPr lang="en-US"/>
          </a:p>
        </c:txPr>
      </c:legendEntry>
      <c:overlay val="0"/>
      <c:txPr>
        <a:bodyPr/>
        <a:lstStyle/>
        <a:p>
          <a:pPr>
            <a:defRPr lang="en-US"/>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india</c:v>
          </c:tx>
          <c:spPr>
            <a:solidFill>
              <a:schemeClr val="accent1"/>
            </a:solidFill>
            <a:ln>
              <a:noFill/>
            </a:ln>
            <a:effectLst/>
          </c:spPr>
          <c:invertIfNegative val="0"/>
          <c:cat>
            <c:strRef>
              <c:f>Sheet2!$A$2:$A$21</c:f>
              <c:strCache>
                <c:ptCount val="20"/>
                <c:pt idx="0">
                  <c:v>India</c:v>
                </c:pt>
                <c:pt idx="1">
                  <c:v>China</c:v>
                </c:pt>
                <c:pt idx="2">
                  <c:v>Mexico</c:v>
                </c:pt>
                <c:pt idx="3">
                  <c:v>Philippines</c:v>
                </c:pt>
                <c:pt idx="4">
                  <c:v>France</c:v>
                </c:pt>
                <c:pt idx="5">
                  <c:v>Egypt, Arab Rep.</c:v>
                </c:pt>
                <c:pt idx="6">
                  <c:v>Pakistan</c:v>
                </c:pt>
                <c:pt idx="7">
                  <c:v>Bangladesh</c:v>
                </c:pt>
                <c:pt idx="8">
                  <c:v>Germany</c:v>
                </c:pt>
                <c:pt idx="9">
                  <c:v>Nigeria</c:v>
                </c:pt>
                <c:pt idx="10">
                  <c:v>Ukraine</c:v>
                </c:pt>
                <c:pt idx="11">
                  <c:v>Vietnam</c:v>
                </c:pt>
                <c:pt idx="12">
                  <c:v>Guatemala</c:v>
                </c:pt>
                <c:pt idx="13">
                  <c:v>Dominican Republic</c:v>
                </c:pt>
                <c:pt idx="14">
                  <c:v>Morocco</c:v>
                </c:pt>
                <c:pt idx="15">
                  <c:v>Italy</c:v>
                </c:pt>
                <c:pt idx="16">
                  <c:v>Russian Federation</c:v>
                </c:pt>
                <c:pt idx="17">
                  <c:v>Indonesia</c:v>
                </c:pt>
                <c:pt idx="18">
                  <c:v>Uzbekistan</c:v>
                </c:pt>
                <c:pt idx="19">
                  <c:v>Romania</c:v>
                </c:pt>
              </c:strCache>
            </c:strRef>
          </c:cat>
          <c:val>
            <c:numRef>
              <c:f>Sheet2!$B$2:$B$21</c:f>
              <c:numCache>
                <c:formatCode>#,##0</c:formatCode>
                <c:ptCount val="20"/>
                <c:pt idx="0">
                  <c:v>89375.152217565759</c:v>
                </c:pt>
                <c:pt idx="1">
                  <c:v>53000</c:v>
                </c:pt>
                <c:pt idx="2">
                  <c:v>54130.111445000002</c:v>
                </c:pt>
                <c:pt idx="3">
                  <c:v>36685.313168048</c:v>
                </c:pt>
                <c:pt idx="4">
                  <c:v>32077.312215223628</c:v>
                </c:pt>
                <c:pt idx="5">
                  <c:v>31487</c:v>
                </c:pt>
                <c:pt idx="6">
                  <c:v>31312</c:v>
                </c:pt>
                <c:pt idx="7">
                  <c:v>22202.917783868626</c:v>
                </c:pt>
                <c:pt idx="8">
                  <c:v>20411.777594011546</c:v>
                </c:pt>
                <c:pt idx="9">
                  <c:v>19483.402058910615</c:v>
                </c:pt>
                <c:pt idx="10">
                  <c:v>18060</c:v>
                </c:pt>
                <c:pt idx="11">
                  <c:v>18060</c:v>
                </c:pt>
                <c:pt idx="12">
                  <c:v>15395.390249999999</c:v>
                </c:pt>
                <c:pt idx="13">
                  <c:v>10742.8</c:v>
                </c:pt>
                <c:pt idx="14">
                  <c:v>10704.83003789597</c:v>
                </c:pt>
                <c:pt idx="15">
                  <c:v>10258.423410750358</c:v>
                </c:pt>
                <c:pt idx="16">
                  <c:v>9646.92</c:v>
                </c:pt>
                <c:pt idx="17">
                  <c:v>9402.4270888548472</c:v>
                </c:pt>
                <c:pt idx="18">
                  <c:v>9197.5264645253828</c:v>
                </c:pt>
                <c:pt idx="19">
                  <c:v>9159.745932684229</c:v>
                </c:pt>
              </c:numCache>
            </c:numRef>
          </c:val>
          <c:extLst>
            <c:ext xmlns:c16="http://schemas.microsoft.com/office/drawing/2014/chart" uri="{C3380CC4-5D6E-409C-BE32-E72D297353CC}">
              <c16:uniqueId val="{00000000-50BA-4E3A-AB8A-DF87E9CC6962}"/>
            </c:ext>
          </c:extLst>
        </c:ser>
        <c:dLbls>
          <c:showLegendKey val="0"/>
          <c:showVal val="0"/>
          <c:showCatName val="0"/>
          <c:showSerName val="0"/>
          <c:showPercent val="0"/>
          <c:showBubbleSize val="0"/>
        </c:dLbls>
        <c:gapWidth val="219"/>
        <c:overlap val="-27"/>
        <c:axId val="643110800"/>
        <c:axId val="643104560"/>
      </c:barChart>
      <c:catAx>
        <c:axId val="643110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104560"/>
        <c:crosses val="autoZero"/>
        <c:auto val="1"/>
        <c:lblAlgn val="ctr"/>
        <c:lblOffset val="100"/>
        <c:noMultiLvlLbl val="0"/>
      </c:catAx>
      <c:valAx>
        <c:axId val="643104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3110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18</Pages>
  <Words>4497</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Seemarani Meher</dc:creator>
  <cp:keywords/>
  <dc:description/>
  <cp:lastModifiedBy>SDI 1180</cp:lastModifiedBy>
  <cp:revision>46</cp:revision>
  <dcterms:created xsi:type="dcterms:W3CDTF">2025-09-13T10:05:00Z</dcterms:created>
  <dcterms:modified xsi:type="dcterms:W3CDTF">2025-09-16T07:47:00Z</dcterms:modified>
</cp:coreProperties>
</file>