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B462C" w14:textId="77777777" w:rsidR="006E7B42" w:rsidRDefault="006E7B42" w:rsidP="00760ADB">
      <w:pPr>
        <w:spacing w:line="276" w:lineRule="auto"/>
        <w:jc w:val="center"/>
        <w:rPr>
          <w:rFonts w:ascii="Times New Roman" w:eastAsia="SimSun" w:hAnsi="Times New Roman" w:cs="Times New Roman"/>
          <w:b/>
          <w:sz w:val="24"/>
          <w:szCs w:val="24"/>
        </w:rPr>
      </w:pPr>
      <w:bookmarkStart w:id="0" w:name="_GoBack"/>
      <w:bookmarkEnd w:id="0"/>
      <w:r w:rsidRPr="006E7B42">
        <w:rPr>
          <w:rFonts w:ascii="Times New Roman" w:eastAsia="SimSun" w:hAnsi="Times New Roman" w:cs="Times New Roman"/>
          <w:b/>
          <w:sz w:val="24"/>
          <w:szCs w:val="24"/>
        </w:rPr>
        <w:t xml:space="preserve">Original Research Article </w:t>
      </w:r>
    </w:p>
    <w:p w14:paraId="67CE62A8" w14:textId="77777777" w:rsidR="006E7B42" w:rsidRDefault="006E7B42" w:rsidP="00760ADB">
      <w:pPr>
        <w:spacing w:line="276" w:lineRule="auto"/>
        <w:jc w:val="center"/>
        <w:rPr>
          <w:rFonts w:ascii="Times New Roman" w:eastAsia="SimSun" w:hAnsi="Times New Roman" w:cs="Times New Roman"/>
          <w:b/>
          <w:sz w:val="24"/>
          <w:szCs w:val="24"/>
        </w:rPr>
      </w:pPr>
    </w:p>
    <w:p w14:paraId="6FCABAF9" w14:textId="716FC466" w:rsidR="00FC6C4C" w:rsidRPr="00760ADB" w:rsidRDefault="00FC6C4C" w:rsidP="00760ADB">
      <w:pPr>
        <w:spacing w:line="276" w:lineRule="auto"/>
        <w:jc w:val="center"/>
        <w:rPr>
          <w:rFonts w:ascii="Times New Roman" w:eastAsia="SimSun" w:hAnsi="Times New Roman" w:cs="Times New Roman"/>
          <w:b/>
          <w:sz w:val="24"/>
          <w:szCs w:val="24"/>
        </w:rPr>
      </w:pPr>
      <w:r w:rsidRPr="00760ADB">
        <w:rPr>
          <w:rFonts w:ascii="Times New Roman" w:eastAsia="SimSun" w:hAnsi="Times New Roman" w:cs="Times New Roman"/>
          <w:b/>
          <w:sz w:val="24"/>
          <w:szCs w:val="24"/>
        </w:rPr>
        <w:t>The Role of Financial Literacy in Shaping Household Financial Asset Allocation in India (2019–2024)</w:t>
      </w:r>
    </w:p>
    <w:p w14:paraId="4F73D672" w14:textId="77777777" w:rsidR="00FC6C4C" w:rsidRDefault="00FC6C4C" w:rsidP="00FC6C4C">
      <w:pPr>
        <w:spacing w:line="276" w:lineRule="auto"/>
        <w:jc w:val="center"/>
        <w:rPr>
          <w:rFonts w:ascii="Times New Roman" w:eastAsia="SimSun" w:hAnsi="Times New Roman" w:cs="Times New Roman"/>
          <w:sz w:val="24"/>
          <w:szCs w:val="24"/>
        </w:rPr>
      </w:pPr>
    </w:p>
    <w:p w14:paraId="67593899" w14:textId="77777777" w:rsidR="001C754B" w:rsidRPr="007046AD" w:rsidRDefault="00007268" w:rsidP="00D57DBF">
      <w:pPr>
        <w:pStyle w:val="Heading3"/>
        <w:spacing w:line="276" w:lineRule="auto"/>
        <w:jc w:val="both"/>
        <w:rPr>
          <w:rFonts w:ascii="Times New Roman" w:hAnsi="Times New Roman" w:hint="default"/>
          <w:sz w:val="24"/>
          <w:szCs w:val="24"/>
        </w:rPr>
      </w:pPr>
      <w:r w:rsidRPr="007046AD">
        <w:rPr>
          <w:rStyle w:val="Strong"/>
          <w:rFonts w:ascii="Times New Roman" w:hAnsi="Times New Roman" w:hint="default"/>
          <w:b/>
          <w:bCs/>
          <w:sz w:val="24"/>
          <w:szCs w:val="24"/>
        </w:rPr>
        <w:t>ABSTRACT</w:t>
      </w:r>
    </w:p>
    <w:p w14:paraId="64DD2D95" w14:textId="77777777" w:rsidR="00C46EDE" w:rsidRPr="007046AD" w:rsidRDefault="001C754B" w:rsidP="00C46EDE">
      <w:pPr>
        <w:shd w:val="clear" w:color="auto" w:fill="FFFFFF"/>
        <w:spacing w:line="276" w:lineRule="auto"/>
        <w:jc w:val="both"/>
        <w:rPr>
          <w:rFonts w:ascii="Times New Roman" w:eastAsia="SimSun" w:hAnsi="Times New Roman" w:cs="Times New Roman"/>
          <w:sz w:val="24"/>
          <w:szCs w:val="24"/>
        </w:rPr>
      </w:pPr>
      <w:r w:rsidRPr="007046AD">
        <w:rPr>
          <w:rFonts w:ascii="Times New Roman" w:eastAsia="SimSun" w:hAnsi="Times New Roman" w:cs="Times New Roman"/>
          <w:sz w:val="24"/>
          <w:szCs w:val="24"/>
        </w:rPr>
        <w:t xml:space="preserve">This paper focuses on the trend of household allocation of financial assets in India in the past 5 years, between 2019 and 2024. Conservative investment options that traditionally include bank deposits and cash holdings are slowly being replaced by diversified financial options like stocks, mutual funds, and pension plans within Indian households. The study draws on secondary sources such as the reserve bank of India (RBI), ministry of statistics and </w:t>
      </w:r>
      <w:proofErr w:type="spellStart"/>
      <w:r w:rsidRPr="007046AD">
        <w:rPr>
          <w:rFonts w:ascii="Times New Roman" w:eastAsia="SimSun" w:hAnsi="Times New Roman" w:cs="Times New Roman"/>
          <w:sz w:val="24"/>
          <w:szCs w:val="24"/>
        </w:rPr>
        <w:t>programme</w:t>
      </w:r>
      <w:proofErr w:type="spellEnd"/>
      <w:r w:rsidRPr="007046AD">
        <w:rPr>
          <w:rFonts w:ascii="Times New Roman" w:eastAsia="SimSun" w:hAnsi="Times New Roman" w:cs="Times New Roman"/>
          <w:sz w:val="24"/>
          <w:szCs w:val="24"/>
        </w:rPr>
        <w:t xml:space="preserve"> implementation (</w:t>
      </w:r>
      <w:proofErr w:type="spellStart"/>
      <w:r w:rsidRPr="007046AD">
        <w:rPr>
          <w:rFonts w:ascii="Times New Roman" w:eastAsia="SimSun" w:hAnsi="Times New Roman" w:cs="Times New Roman"/>
          <w:sz w:val="24"/>
          <w:szCs w:val="24"/>
        </w:rPr>
        <w:t>MoSPI</w:t>
      </w:r>
      <w:proofErr w:type="spellEnd"/>
      <w:r w:rsidRPr="007046AD">
        <w:rPr>
          <w:rFonts w:ascii="Times New Roman" w:eastAsia="SimSun" w:hAnsi="Times New Roman" w:cs="Times New Roman"/>
          <w:sz w:val="24"/>
          <w:szCs w:val="24"/>
        </w:rPr>
        <w:t>), with the proportionate allocation of household assets in different categories of financial resources.</w:t>
      </w:r>
    </w:p>
    <w:p w14:paraId="142A8B77" w14:textId="77777777" w:rsidR="00C46EDE" w:rsidRPr="007046AD" w:rsidRDefault="001C754B" w:rsidP="00C46EDE">
      <w:pPr>
        <w:shd w:val="clear" w:color="auto" w:fill="FFFFFF"/>
        <w:spacing w:line="276" w:lineRule="auto"/>
        <w:jc w:val="both"/>
        <w:rPr>
          <w:rFonts w:ascii="Times New Roman" w:hAnsi="Times New Roman"/>
          <w:sz w:val="24"/>
          <w:szCs w:val="24"/>
        </w:rPr>
      </w:pPr>
      <w:r w:rsidRPr="007046AD">
        <w:rPr>
          <w:rFonts w:ascii="Times New Roman" w:hAnsi="Times New Roman"/>
          <w:sz w:val="24"/>
          <w:szCs w:val="24"/>
        </w:rPr>
        <w:t>The analysis shows that the portion of bank deposits is decreasing, and the portion of market-linked investments is increasing significantly, which indicates a slow change in the risk appetite and investment pattern. There has not been much instability in insurance and provident/pension funds to suggest that they are not still dependent on long-term financial security instruments. The paper also points to the increasing role of financial literacy, and the rise of online investments as a factor in household decision-making.</w:t>
      </w:r>
    </w:p>
    <w:p w14:paraId="3F352202" w14:textId="77777777" w:rsidR="00C46EDE" w:rsidRPr="007046AD" w:rsidRDefault="00C46EDE" w:rsidP="00C46EDE">
      <w:pPr>
        <w:shd w:val="clear" w:color="auto" w:fill="FFFFFF"/>
        <w:spacing w:line="276" w:lineRule="auto"/>
        <w:jc w:val="both"/>
        <w:rPr>
          <w:rFonts w:ascii="Times New Roman" w:hAnsi="Times New Roman"/>
          <w:sz w:val="24"/>
          <w:szCs w:val="24"/>
        </w:rPr>
      </w:pPr>
    </w:p>
    <w:p w14:paraId="74666F08" w14:textId="77777777" w:rsidR="001C754B" w:rsidRPr="007046AD" w:rsidRDefault="001C754B" w:rsidP="00C46EDE">
      <w:pPr>
        <w:shd w:val="clear" w:color="auto" w:fill="FFFFFF"/>
        <w:spacing w:line="276" w:lineRule="auto"/>
        <w:jc w:val="both"/>
        <w:rPr>
          <w:rFonts w:ascii="Times New Roman" w:eastAsia="SimSun" w:hAnsi="Times New Roman" w:cs="Times New Roman"/>
          <w:sz w:val="24"/>
          <w:szCs w:val="24"/>
        </w:rPr>
      </w:pPr>
      <w:r w:rsidRPr="007046AD">
        <w:rPr>
          <w:rFonts w:ascii="Times New Roman" w:hAnsi="Times New Roman"/>
          <w:sz w:val="24"/>
          <w:szCs w:val="24"/>
        </w:rPr>
        <w:t>Comparative and trend analysis deliver significant information about the changing financial environment and make a recommendation on how to improve financial education, promote the construction of balanced portfolios, and introduce a more inclusive online audience. The results are of practical value to policymakers, financial advisors, and institutions that seek to increase financial resilience and the involvement of households in formal financial markets.</w:t>
      </w:r>
    </w:p>
    <w:p w14:paraId="18BE6A9D" w14:textId="77777777" w:rsidR="00285543" w:rsidRPr="006A3E0D" w:rsidRDefault="00F93862" w:rsidP="001C754B">
      <w:pPr>
        <w:pStyle w:val="NormalWeb"/>
        <w:spacing w:line="276" w:lineRule="auto"/>
        <w:jc w:val="both"/>
      </w:pPr>
      <w:r w:rsidRPr="006A3E0D">
        <w:rPr>
          <w:rStyle w:val="Strong"/>
        </w:rPr>
        <w:t>Keywords:</w:t>
      </w:r>
      <w:r w:rsidRPr="006A3E0D">
        <w:t xml:space="preserve"> Household savings, Financial asset allocation, Financial literacy, Digital investment platforms, India, 2019–2024, Bank deposits, Mutual funds.</w:t>
      </w:r>
    </w:p>
    <w:p w14:paraId="5C0CC14E" w14:textId="77777777" w:rsidR="00B15C12" w:rsidRDefault="00B15C12" w:rsidP="004360A5">
      <w:pPr>
        <w:pStyle w:val="Heading3"/>
        <w:spacing w:before="100" w:after="100" w:line="276" w:lineRule="auto"/>
        <w:jc w:val="both"/>
        <w:rPr>
          <w:rStyle w:val="Strong"/>
          <w:rFonts w:ascii="Times New Roman" w:hAnsi="Times New Roman" w:hint="default"/>
          <w:b/>
          <w:bCs/>
          <w:sz w:val="24"/>
          <w:szCs w:val="24"/>
        </w:rPr>
      </w:pPr>
    </w:p>
    <w:p w14:paraId="7060B6FB" w14:textId="77777777" w:rsidR="00216EAF" w:rsidRPr="00D57DBF" w:rsidRDefault="00007268" w:rsidP="004360A5">
      <w:pPr>
        <w:pStyle w:val="Heading3"/>
        <w:spacing w:before="100" w:after="100" w:line="276" w:lineRule="auto"/>
        <w:jc w:val="both"/>
        <w:rPr>
          <w:rFonts w:ascii="Times New Roman" w:hAnsi="Times New Roman" w:hint="default"/>
          <w:sz w:val="24"/>
          <w:szCs w:val="24"/>
        </w:rPr>
      </w:pPr>
      <w:r w:rsidRPr="006A3E0D">
        <w:rPr>
          <w:rStyle w:val="Strong"/>
          <w:rFonts w:ascii="Times New Roman" w:hAnsi="Times New Roman" w:hint="default"/>
          <w:b/>
          <w:bCs/>
          <w:sz w:val="24"/>
          <w:szCs w:val="24"/>
        </w:rPr>
        <w:t>INTRODUCTION</w:t>
      </w:r>
    </w:p>
    <w:p w14:paraId="4958BFBB" w14:textId="77777777" w:rsidR="009777C6" w:rsidRPr="007046AD" w:rsidRDefault="009777C6" w:rsidP="006A3E0D">
      <w:pPr>
        <w:pStyle w:val="NormalWeb"/>
        <w:spacing w:line="276" w:lineRule="auto"/>
        <w:jc w:val="both"/>
      </w:pPr>
      <w:r w:rsidRPr="007046AD">
        <w:t xml:space="preserve">Over the past few years, the household financial behavior in India has been changing tremendously due to extensive structural reforms, innovations in technology, rise in financial literacy and changing economic environment. Historically, Indian families have been conservative in their investment orientation, and have preferred secure investments like bank deposits, cash holdings and insurance. Nevertheless, the distribution of household assets is slowly changing in accordance with the new </w:t>
      </w:r>
      <w:r w:rsidRPr="007046AD">
        <w:lastRenderedPageBreak/>
        <w:t>modernized market trends, generalized access to the digital sphere, and increased the level of awareness concerning diversified investment opportunities.</w:t>
      </w:r>
    </w:p>
    <w:p w14:paraId="6CC04F35" w14:textId="77777777" w:rsidR="009777C6" w:rsidRPr="007046AD" w:rsidRDefault="009777C6" w:rsidP="006A3E0D">
      <w:pPr>
        <w:pStyle w:val="NormalWeb"/>
        <w:spacing w:line="276" w:lineRule="auto"/>
        <w:jc w:val="both"/>
      </w:pPr>
      <w:r w:rsidRPr="007046AD">
        <w:t>The years 2019-2024 will be a critical time in this transition. It encompasses the consequences of economic shocks due to the COVID-19 pandemic, increased digital financial infrastructure and active regulation encouraging financial inclusion and market access. Therefore, they have started reconsidering their saving and investment policies and have started gravitating towards more market-oriented products such as stock and mutual funds even as they stayed dependent on long-term instruments such as insurance and provident funds.</w:t>
      </w:r>
    </w:p>
    <w:p w14:paraId="28ABA223" w14:textId="77777777" w:rsidR="009777C6" w:rsidRPr="007046AD" w:rsidRDefault="009777C6" w:rsidP="00B94270">
      <w:pPr>
        <w:pStyle w:val="Heading3"/>
        <w:spacing w:line="276" w:lineRule="auto"/>
        <w:jc w:val="both"/>
        <w:rPr>
          <w:rStyle w:val="Strong"/>
          <w:rFonts w:ascii="Times New Roman" w:hAnsi="Times New Roman" w:hint="default"/>
          <w:sz w:val="24"/>
          <w:szCs w:val="24"/>
        </w:rPr>
      </w:pPr>
      <w:r w:rsidRPr="007046AD">
        <w:rPr>
          <w:rFonts w:ascii="Times New Roman" w:hAnsi="Times New Roman"/>
          <w:b w:val="0"/>
          <w:bCs w:val="0"/>
          <w:sz w:val="24"/>
          <w:szCs w:val="24"/>
        </w:rPr>
        <w:t xml:space="preserve">This change is indicative of a combination of risk-taking attitudes and return-seeking </w:t>
      </w:r>
      <w:proofErr w:type="spellStart"/>
      <w:r w:rsidRPr="007046AD">
        <w:rPr>
          <w:rFonts w:ascii="Times New Roman" w:hAnsi="Times New Roman"/>
          <w:b w:val="0"/>
          <w:bCs w:val="0"/>
          <w:sz w:val="24"/>
          <w:szCs w:val="24"/>
        </w:rPr>
        <w:t>behaviour</w:t>
      </w:r>
      <w:proofErr w:type="spellEnd"/>
      <w:r w:rsidRPr="007046AD">
        <w:rPr>
          <w:rFonts w:ascii="Times New Roman" w:hAnsi="Times New Roman"/>
          <w:b w:val="0"/>
          <w:bCs w:val="0"/>
          <w:sz w:val="24"/>
          <w:szCs w:val="24"/>
        </w:rPr>
        <w:t>, particularly in urban and financially literate groups. At the same time, initiatives by the government and other institutions to improve awareness of financial literacy and ease access to investment platforms have enabled more households to consider diversified portfolios. It is against this background that the current study seeks to examine the dynamics of the household portfolio of financial assets in India between 2019 and 2024. It also aims to evaluate the increasing popularity of market-based investments, the stability of traditional instruments, the contribution of financial literacy and digital applications to household investment choices. The lessons learned during this study will be used to educate policymakers, financial institutions, and investors on new trends and the imperative to provide inclusive financial education and advisory services.</w:t>
      </w:r>
    </w:p>
    <w:p w14:paraId="5B77D22F" w14:textId="77777777" w:rsidR="009777C6" w:rsidRPr="00093D40" w:rsidRDefault="009777C6" w:rsidP="00EA6CF9">
      <w:pPr>
        <w:pStyle w:val="ds-markdown-paragraph"/>
        <w:shd w:val="clear" w:color="auto" w:fill="FFFFFF"/>
        <w:spacing w:after="230" w:afterAutospacing="0" w:line="276" w:lineRule="auto"/>
        <w:jc w:val="both"/>
        <w:rPr>
          <w:rStyle w:val="Strong"/>
          <w:rFonts w:eastAsia="SimSun"/>
          <w:lang w:eastAsia="zh-CN"/>
        </w:rPr>
      </w:pPr>
      <w:r w:rsidRPr="007046AD">
        <w:rPr>
          <w:rFonts w:eastAsia="SimSun"/>
          <w:lang w:eastAsia="zh-CN"/>
        </w:rPr>
        <w:t xml:space="preserve">RESEARCH OBJECTIVES 1. To explore the difference in household financial asset allocation in 2019-2024. 2. To examine the growth in the popularity of </w:t>
      </w:r>
      <w:proofErr w:type="gramStart"/>
      <w:r w:rsidRPr="007046AD">
        <w:rPr>
          <w:rFonts w:eastAsia="SimSun"/>
          <w:lang w:eastAsia="zh-CN"/>
        </w:rPr>
        <w:t>market based</w:t>
      </w:r>
      <w:proofErr w:type="gramEnd"/>
      <w:r w:rsidRPr="007046AD">
        <w:rPr>
          <w:rFonts w:eastAsia="SimSun"/>
          <w:lang w:eastAsia="zh-CN"/>
        </w:rPr>
        <w:t xml:space="preserve"> investments like stocks and mutual funds as </w:t>
      </w:r>
      <w:proofErr w:type="spellStart"/>
      <w:r w:rsidRPr="007046AD">
        <w:rPr>
          <w:rFonts w:eastAsia="SimSun"/>
          <w:lang w:eastAsia="zh-CN"/>
        </w:rPr>
        <w:t>favoured</w:t>
      </w:r>
      <w:proofErr w:type="spellEnd"/>
      <w:r w:rsidRPr="007046AD">
        <w:rPr>
          <w:rFonts w:eastAsia="SimSun"/>
          <w:lang w:eastAsia="zh-CN"/>
        </w:rPr>
        <w:t xml:space="preserve"> by households. 3. To evaluate the determinacy and importance of insurance and provident/pension funds to household savings behavior. 4. To assess the ability of financial literacy and digital platforms to affect household investment choices.</w:t>
      </w:r>
    </w:p>
    <w:p w14:paraId="1EC73B21" w14:textId="77777777" w:rsidR="009777C6" w:rsidRPr="007046AD" w:rsidRDefault="00007268" w:rsidP="00093D40">
      <w:pPr>
        <w:pStyle w:val="ds-markdown-paragraph"/>
        <w:shd w:val="clear" w:color="auto" w:fill="FFFFFF"/>
        <w:spacing w:after="230" w:afterAutospacing="0" w:line="276" w:lineRule="auto"/>
        <w:jc w:val="both"/>
      </w:pPr>
      <w:r w:rsidRPr="007046AD">
        <w:rPr>
          <w:rStyle w:val="Strong"/>
        </w:rPr>
        <w:t>LITERATURE REVIEW</w:t>
      </w:r>
    </w:p>
    <w:p w14:paraId="5C342399" w14:textId="77777777" w:rsidR="009777C6" w:rsidRPr="00030B85" w:rsidRDefault="009777C6" w:rsidP="00EA6CF9">
      <w:pPr>
        <w:pStyle w:val="ds-markdown-paragraph"/>
        <w:shd w:val="clear" w:color="auto" w:fill="FFFFFF"/>
        <w:spacing w:before="230" w:beforeAutospacing="0" w:after="230" w:afterAutospacing="0" w:line="276" w:lineRule="auto"/>
        <w:jc w:val="both"/>
        <w:rPr>
          <w:rFonts w:eastAsia="SimSun"/>
          <w:lang w:eastAsia="zh-CN"/>
        </w:rPr>
      </w:pPr>
      <w:r w:rsidRPr="007046AD">
        <w:rPr>
          <w:rFonts w:eastAsia="SimSun"/>
          <w:lang w:eastAsia="zh-CN"/>
        </w:rPr>
        <w:t>Household financial behavior has become an important field of study particularly in the context of how families manage their financial resources and what it means to wider economic development and financial inclusion. Studies by the Reserve Bank of India and the National Council of Applied Economic Research have continuously revealed in the Indian context that households have always preferred safe and liquid assets like bank deposits, cash holdings and gold. This risk aversion towards investment is indicative of deeply rooted cultural preferences and an overall distaste towards financial risk by Indian investors.</w:t>
      </w:r>
    </w:p>
    <w:p w14:paraId="574690C7" w14:textId="77777777" w:rsidR="009777C6" w:rsidRPr="007046AD" w:rsidRDefault="009777C6" w:rsidP="00EA6CF9">
      <w:pPr>
        <w:pStyle w:val="ds-markdown-paragraph"/>
        <w:shd w:val="clear" w:color="auto" w:fill="FFFFFF"/>
        <w:spacing w:before="230" w:beforeAutospacing="0" w:after="230" w:afterAutospacing="0" w:line="276" w:lineRule="auto"/>
        <w:jc w:val="both"/>
        <w:rPr>
          <w:rFonts w:eastAsia="SimSun"/>
          <w:lang w:eastAsia="zh-CN"/>
        </w:rPr>
      </w:pPr>
      <w:r w:rsidRPr="007046AD">
        <w:rPr>
          <w:rFonts w:eastAsia="SimSun"/>
          <w:lang w:eastAsia="zh-CN"/>
        </w:rPr>
        <w:t xml:space="preserve">The last few years have, however, seen a slow shift in the type of investment people make with market-based instruments such as stock, mutual funds and insurance products increasingly picking up. This has been especially apparent with city, </w:t>
      </w:r>
      <w:r w:rsidRPr="007046AD">
        <w:rPr>
          <w:rFonts w:eastAsia="SimSun"/>
          <w:lang w:eastAsia="zh-CN"/>
        </w:rPr>
        <w:lastRenderedPageBreak/>
        <w:t>digitally-connected families that are more financially literate and risk-takers. Research by Chakrabarti and Sanyal has found that, financial literacy is a key predictor of investment behavior or risk appetite and portfolio diversification. Their study also points to the long-standing urban-rural gap in the composition of investment, with households in the urban areas more willing to experiment in capital market instruments than rural households.</w:t>
      </w:r>
    </w:p>
    <w:p w14:paraId="492D0739" w14:textId="77777777" w:rsidR="009777C6" w:rsidRPr="007046AD" w:rsidRDefault="009777C6" w:rsidP="00EA6CF9">
      <w:pPr>
        <w:pStyle w:val="ds-markdown-paragraph"/>
        <w:shd w:val="clear" w:color="auto" w:fill="FFFFFF"/>
        <w:spacing w:before="230" w:beforeAutospacing="0" w:after="230" w:afterAutospacing="0" w:line="276" w:lineRule="auto"/>
        <w:jc w:val="both"/>
        <w:rPr>
          <w:rFonts w:eastAsia="SimSun"/>
          <w:lang w:eastAsia="zh-CN"/>
        </w:rPr>
      </w:pPr>
      <w:r w:rsidRPr="007046AD">
        <w:rPr>
          <w:rFonts w:eastAsia="SimSun"/>
          <w:lang w:eastAsia="zh-CN"/>
        </w:rPr>
        <w:t xml:space="preserve">Digital revolution in the Indian financial sector has been instrumental in changing the household investment </w:t>
      </w:r>
      <w:proofErr w:type="spellStart"/>
      <w:r w:rsidRPr="007046AD">
        <w:rPr>
          <w:rFonts w:eastAsia="SimSun"/>
          <w:lang w:eastAsia="zh-CN"/>
        </w:rPr>
        <w:t>behaviour</w:t>
      </w:r>
      <w:proofErr w:type="spellEnd"/>
      <w:r w:rsidRPr="007046AD">
        <w:rPr>
          <w:rFonts w:eastAsia="SimSun"/>
          <w:lang w:eastAsia="zh-CN"/>
        </w:rPr>
        <w:t xml:space="preserve">. A study conducted by Sinha and Sinha reveals the way digital platforms have democratized financial products, reduced barriers to entry by middle-income investors, and enabled more active management of portfolios. Government efforts such as the Pradhan Mantri Jan Dhan Yojana, combined with the booming developments of fintech solutions, have only increased the pace of this transition. According to the data of the Ministry of Statistics and </w:t>
      </w:r>
      <w:proofErr w:type="spellStart"/>
      <w:r w:rsidRPr="007046AD">
        <w:rPr>
          <w:rFonts w:eastAsia="SimSun"/>
          <w:lang w:eastAsia="zh-CN"/>
        </w:rPr>
        <w:t>Programme</w:t>
      </w:r>
      <w:proofErr w:type="spellEnd"/>
      <w:r w:rsidRPr="007046AD">
        <w:rPr>
          <w:rFonts w:eastAsia="SimSun"/>
          <w:lang w:eastAsia="zh-CN"/>
        </w:rPr>
        <w:t xml:space="preserve"> Implementation, the trend of increased diversification in the household savings patterns is confirmed.</w:t>
      </w:r>
    </w:p>
    <w:p w14:paraId="5F7AE2E2" w14:textId="77777777" w:rsidR="009777C6" w:rsidRPr="004F43F0" w:rsidRDefault="009777C6" w:rsidP="00EA6CF9">
      <w:pPr>
        <w:pStyle w:val="ds-markdown-paragraph"/>
        <w:shd w:val="clear" w:color="auto" w:fill="FFFFFF"/>
        <w:spacing w:before="230" w:beforeAutospacing="0" w:after="230" w:afterAutospacing="0" w:line="276" w:lineRule="auto"/>
        <w:jc w:val="both"/>
        <w:rPr>
          <w:rFonts w:eastAsia="SimSun"/>
          <w:lang w:eastAsia="zh-CN"/>
        </w:rPr>
      </w:pPr>
      <w:r w:rsidRPr="007046AD">
        <w:rPr>
          <w:rFonts w:eastAsia="SimSun"/>
          <w:lang w:eastAsia="zh-CN"/>
        </w:rPr>
        <w:t>Irrespective of such positive trends, the investment environment in India is still faced with several challenges. The latest reports released by the Securities and Exchange Board of India point to alarming deficiencies in investor knowledge, especially in risk-return tradeoffs and appropriate risk portfolio diversification. Most new investors show behavioral biases which result in suboptimal investment choices, whether they are over-investing in the safest of safe-havens or over-investing in risky securities without due diligence.</w:t>
      </w:r>
    </w:p>
    <w:p w14:paraId="085ED564" w14:textId="77777777" w:rsidR="009777C6" w:rsidRPr="007046AD" w:rsidRDefault="009777C6" w:rsidP="00EA6CF9">
      <w:pPr>
        <w:pStyle w:val="ds-markdown-paragraph"/>
        <w:shd w:val="clear" w:color="auto" w:fill="FFFFFF"/>
        <w:spacing w:before="230" w:beforeAutospacing="0" w:after="230" w:afterAutospacing="0" w:line="276" w:lineRule="auto"/>
        <w:jc w:val="both"/>
        <w:rPr>
          <w:rFonts w:eastAsia="SimSun"/>
          <w:lang w:eastAsia="zh-CN"/>
        </w:rPr>
      </w:pPr>
      <w:r w:rsidRPr="007046AD">
        <w:rPr>
          <w:rFonts w:eastAsia="SimSun"/>
          <w:lang w:eastAsia="zh-CN"/>
        </w:rPr>
        <w:t xml:space="preserve">The available literature has some significant gaps which this study aims to fill. Most notably, no systematic research has been conducted to investigate the changes of household asset allocation between 2019 and 2024, which is a time frame that includes numerous economic shocks such as the COVID-19 pandemic. Also, although several studies have investigated digital access or financial literacy separately, few have investigated them jointly in relation to investment decisions. There is also excessive dependence on primary survey data and under-use of the rich secondary data provided by financial institutions such as RBI and </w:t>
      </w:r>
      <w:proofErr w:type="spellStart"/>
      <w:r w:rsidRPr="007046AD">
        <w:rPr>
          <w:rFonts w:eastAsia="SimSun"/>
          <w:lang w:eastAsia="zh-CN"/>
        </w:rPr>
        <w:t>MoSPI</w:t>
      </w:r>
      <w:proofErr w:type="spellEnd"/>
      <w:r w:rsidRPr="007046AD">
        <w:rPr>
          <w:rFonts w:eastAsia="SimSun"/>
          <w:lang w:eastAsia="zh-CN"/>
        </w:rPr>
        <w:t>. In addition, studies have been biased in their attention to popular investment products such as stocks and mutual funds and have failed to address less popular products such as debentures and pension products.</w:t>
      </w:r>
    </w:p>
    <w:p w14:paraId="392D1646" w14:textId="77777777" w:rsidR="009777C6" w:rsidRPr="007046AD" w:rsidRDefault="00007268" w:rsidP="00EA6CF9">
      <w:pPr>
        <w:pStyle w:val="ds-markdown-paragraph"/>
        <w:shd w:val="clear" w:color="auto" w:fill="FFFFFF"/>
        <w:spacing w:before="230" w:beforeAutospacing="0" w:line="276" w:lineRule="auto"/>
        <w:jc w:val="both"/>
        <w:rPr>
          <w:b/>
        </w:rPr>
      </w:pPr>
      <w:r w:rsidRPr="007046AD">
        <w:rPr>
          <w:b/>
        </w:rPr>
        <w:t>RESEARCH GAP</w:t>
      </w:r>
    </w:p>
    <w:p w14:paraId="11BC5712" w14:textId="77777777" w:rsidR="009777C6" w:rsidRPr="007046AD" w:rsidRDefault="009777C6" w:rsidP="00EA6CF9">
      <w:pPr>
        <w:pStyle w:val="ds-markdown-paragraph"/>
        <w:shd w:val="clear" w:color="auto" w:fill="FFFFFF"/>
        <w:spacing w:before="230" w:beforeAutospacing="0" w:line="276" w:lineRule="auto"/>
        <w:jc w:val="both"/>
        <w:rPr>
          <w:rFonts w:eastAsia="SimSun"/>
          <w:lang w:eastAsia="zh-CN"/>
        </w:rPr>
      </w:pPr>
      <w:r w:rsidRPr="007046AD">
        <w:rPr>
          <w:rFonts w:eastAsia="SimSun"/>
          <w:lang w:eastAsia="zh-CN"/>
        </w:rPr>
        <w:t xml:space="preserve">The proposed study will help fill such gaps through a five-year analysis of the shifting household investment trends with detailed analysis of the influence of full access to digital and financial literacy as well as the analysis of the interaction of these two aspects using extensive sources of secondary data. The study provides a clearer picture of the changing nature of investment in India by broadening the range of the analytical findings to cover traditionally ignored financial instruments. The results </w:t>
      </w:r>
      <w:r w:rsidRPr="007046AD">
        <w:rPr>
          <w:rFonts w:eastAsia="SimSun"/>
          <w:lang w:eastAsia="zh-CN"/>
        </w:rPr>
        <w:lastRenderedPageBreak/>
        <w:t>will serve as important contribution to academic and policy-making in the fields of financial inclusion and investor education.</w:t>
      </w:r>
    </w:p>
    <w:p w14:paraId="016506A3" w14:textId="77777777" w:rsidR="005B71B4" w:rsidRPr="006A3E0D" w:rsidRDefault="00007268" w:rsidP="006A3E0D">
      <w:pPr>
        <w:pStyle w:val="Heading1"/>
        <w:shd w:val="clear" w:color="auto" w:fill="FFFFFF"/>
        <w:spacing w:after="230" w:line="276" w:lineRule="auto"/>
        <w:jc w:val="both"/>
        <w:rPr>
          <w:rFonts w:ascii="Times New Roman" w:hAnsi="Times New Roman" w:cs="Times New Roman"/>
          <w:b w:val="0"/>
          <w:bCs w:val="0"/>
          <w:color w:val="404040"/>
          <w:sz w:val="24"/>
          <w:szCs w:val="24"/>
        </w:rPr>
      </w:pPr>
      <w:r w:rsidRPr="006A3E0D">
        <w:rPr>
          <w:rStyle w:val="Strong"/>
          <w:rFonts w:ascii="Times New Roman" w:hAnsi="Times New Roman" w:cs="Times New Roman"/>
          <w:b/>
          <w:bCs/>
          <w:color w:val="404040"/>
          <w:sz w:val="24"/>
          <w:szCs w:val="24"/>
        </w:rPr>
        <w:t>RESEARCH METHODOLOGY</w:t>
      </w:r>
    </w:p>
    <w:p w14:paraId="1BBC5E6E" w14:textId="77777777" w:rsidR="005B71B4" w:rsidRPr="007046AD" w:rsidRDefault="005B71B4" w:rsidP="006A3E0D">
      <w:pPr>
        <w:pStyle w:val="Heading2"/>
        <w:shd w:val="clear" w:color="auto" w:fill="FFFFFF"/>
        <w:spacing w:before="306" w:beforeAutospacing="0" w:after="230" w:afterAutospacing="0" w:line="276" w:lineRule="auto"/>
        <w:jc w:val="both"/>
        <w:rPr>
          <w:rFonts w:ascii="Times New Roman" w:hAnsi="Times New Roman" w:hint="default"/>
          <w:b w:val="0"/>
          <w:bCs w:val="0"/>
          <w:sz w:val="24"/>
          <w:szCs w:val="24"/>
        </w:rPr>
      </w:pPr>
      <w:r w:rsidRPr="007046AD">
        <w:rPr>
          <w:rStyle w:val="Strong"/>
          <w:rFonts w:ascii="Times New Roman" w:hAnsi="Times New Roman" w:hint="default"/>
          <w:b/>
          <w:bCs/>
          <w:sz w:val="24"/>
          <w:szCs w:val="24"/>
        </w:rPr>
        <w:t>Research Design</w:t>
      </w:r>
    </w:p>
    <w:p w14:paraId="247F52D1" w14:textId="77777777" w:rsidR="009777C6" w:rsidRPr="007046AD" w:rsidRDefault="009777C6" w:rsidP="00B94270">
      <w:pPr>
        <w:pStyle w:val="ds-markdown-paragraph"/>
        <w:shd w:val="clear" w:color="auto" w:fill="FFFFFF"/>
        <w:spacing w:before="230" w:beforeAutospacing="0" w:line="276" w:lineRule="auto"/>
        <w:jc w:val="both"/>
        <w:rPr>
          <w:rFonts w:eastAsia="SimSun"/>
          <w:lang w:eastAsia="zh-CN"/>
        </w:rPr>
      </w:pPr>
      <w:r w:rsidRPr="007046AD">
        <w:rPr>
          <w:rFonts w:eastAsia="SimSun"/>
          <w:lang w:eastAsia="zh-CN"/>
        </w:rPr>
        <w:t>The current paper uses the descriptive research design to show the changes in the household financial asset allocation in India between 2019 and 2024. The strategy helps to conduct a systematic analysis of changing investment patterns and preferences of Indian households and enables a systematic comparison of financial resource allocation across asset classes.</w:t>
      </w:r>
    </w:p>
    <w:p w14:paraId="4398EB63" w14:textId="77777777" w:rsidR="005B71B4" w:rsidRPr="007046AD" w:rsidRDefault="005B71B4" w:rsidP="006A3E0D">
      <w:pPr>
        <w:pStyle w:val="Heading2"/>
        <w:shd w:val="clear" w:color="auto" w:fill="FFFFFF"/>
        <w:spacing w:before="306" w:beforeAutospacing="0" w:after="230" w:afterAutospacing="0" w:line="276" w:lineRule="auto"/>
        <w:jc w:val="both"/>
        <w:rPr>
          <w:rFonts w:ascii="Times New Roman" w:hAnsi="Times New Roman" w:hint="default"/>
          <w:b w:val="0"/>
          <w:bCs w:val="0"/>
          <w:sz w:val="24"/>
          <w:szCs w:val="24"/>
        </w:rPr>
      </w:pPr>
      <w:r w:rsidRPr="007046AD">
        <w:rPr>
          <w:rStyle w:val="Strong"/>
          <w:rFonts w:ascii="Times New Roman" w:hAnsi="Times New Roman" w:hint="default"/>
          <w:b/>
          <w:bCs/>
          <w:sz w:val="24"/>
          <w:szCs w:val="24"/>
        </w:rPr>
        <w:t>Nature of the Study</w:t>
      </w:r>
    </w:p>
    <w:p w14:paraId="5C8B13C9" w14:textId="77777777" w:rsidR="009777C6" w:rsidRPr="00C0698F" w:rsidRDefault="009777C6" w:rsidP="00C0698F">
      <w:pPr>
        <w:pStyle w:val="ds-markdown-paragraph"/>
        <w:shd w:val="clear" w:color="auto" w:fill="FFFFFF"/>
        <w:spacing w:before="230" w:beforeAutospacing="0" w:line="276" w:lineRule="auto"/>
        <w:jc w:val="both"/>
        <w:rPr>
          <w:rStyle w:val="Strong"/>
          <w:rFonts w:eastAsia="SimSun"/>
          <w:b w:val="0"/>
          <w:bCs w:val="0"/>
          <w:lang w:eastAsia="zh-CN"/>
        </w:rPr>
      </w:pPr>
      <w:r w:rsidRPr="007046AD">
        <w:rPr>
          <w:rFonts w:eastAsia="SimSun"/>
          <w:lang w:eastAsia="zh-CN"/>
        </w:rPr>
        <w:t xml:space="preserve">The study relies solely on secondary sources (such as documents published by the Reserve Bank of India (RBI) like statistical handbooks, reports, and bulletins) and data (collected by the Ministry of Statistics and </w:t>
      </w:r>
      <w:proofErr w:type="spellStart"/>
      <w:r w:rsidRPr="007046AD">
        <w:rPr>
          <w:rFonts w:eastAsia="SimSun"/>
          <w:lang w:eastAsia="zh-CN"/>
        </w:rPr>
        <w:t>Programme</w:t>
      </w:r>
      <w:proofErr w:type="spellEnd"/>
      <w:r w:rsidRPr="007046AD">
        <w:rPr>
          <w:rFonts w:eastAsia="SimSun"/>
          <w:lang w:eastAsia="zh-CN"/>
        </w:rPr>
        <w:t xml:space="preserve"> Implementation (</w:t>
      </w:r>
      <w:proofErr w:type="spellStart"/>
      <w:r w:rsidRPr="007046AD">
        <w:rPr>
          <w:rFonts w:eastAsia="SimSun"/>
          <w:lang w:eastAsia="zh-CN"/>
        </w:rPr>
        <w:t>MoSPI</w:t>
      </w:r>
      <w:proofErr w:type="spellEnd"/>
      <w:r w:rsidRPr="007046AD">
        <w:rPr>
          <w:rFonts w:eastAsia="SimSun"/>
          <w:lang w:eastAsia="zh-CN"/>
        </w:rPr>
        <w:t>)). Other information has been obtained using official government websites and financial regulatory organizations. The analysis is limited to financial instruments only with bank deposits, stocks, mutual funds, insurance products, pension and provident funds, cash holdings and debentures being included but real property and gold are left out.</w:t>
      </w:r>
    </w:p>
    <w:p w14:paraId="5E82EDDE" w14:textId="77777777" w:rsidR="005B71B4" w:rsidRPr="007046AD" w:rsidRDefault="005B71B4" w:rsidP="006A3E0D">
      <w:pPr>
        <w:pStyle w:val="Heading2"/>
        <w:shd w:val="clear" w:color="auto" w:fill="FFFFFF"/>
        <w:spacing w:before="306" w:beforeAutospacing="0" w:after="230" w:afterAutospacing="0" w:line="276" w:lineRule="auto"/>
        <w:jc w:val="both"/>
        <w:rPr>
          <w:rFonts w:ascii="Times New Roman" w:hAnsi="Times New Roman" w:hint="default"/>
          <w:b w:val="0"/>
          <w:bCs w:val="0"/>
          <w:sz w:val="24"/>
          <w:szCs w:val="24"/>
        </w:rPr>
      </w:pPr>
      <w:r w:rsidRPr="007046AD">
        <w:rPr>
          <w:rStyle w:val="Strong"/>
          <w:rFonts w:ascii="Times New Roman" w:hAnsi="Times New Roman" w:hint="default"/>
          <w:b/>
          <w:bCs/>
          <w:sz w:val="24"/>
          <w:szCs w:val="24"/>
        </w:rPr>
        <w:t>Study Period</w:t>
      </w:r>
    </w:p>
    <w:p w14:paraId="5FEC5468" w14:textId="77777777" w:rsidR="009777C6" w:rsidRPr="007046AD" w:rsidRDefault="009777C6" w:rsidP="00B94270">
      <w:pPr>
        <w:pStyle w:val="ds-markdown-paragraph"/>
        <w:shd w:val="clear" w:color="auto" w:fill="FFFFFF"/>
        <w:spacing w:before="230" w:beforeAutospacing="0" w:line="276" w:lineRule="auto"/>
        <w:jc w:val="both"/>
        <w:rPr>
          <w:rFonts w:eastAsia="SimSun"/>
          <w:lang w:eastAsia="zh-CN"/>
        </w:rPr>
      </w:pPr>
      <w:r w:rsidRPr="007046AD">
        <w:rPr>
          <w:rFonts w:eastAsia="SimSun"/>
          <w:lang w:eastAsia="zh-CN"/>
        </w:rPr>
        <w:t>The analysis covers a period of five years (between 2019 and 2024) to give a broad picture of the changing tendencies in household financial asset allocation in India.</w:t>
      </w:r>
    </w:p>
    <w:p w14:paraId="086F162A" w14:textId="77777777" w:rsidR="009777C6" w:rsidRPr="007046AD" w:rsidRDefault="005B71B4" w:rsidP="004A571F">
      <w:pPr>
        <w:pStyle w:val="Heading2"/>
        <w:shd w:val="clear" w:color="auto" w:fill="FFFFFF"/>
        <w:spacing w:before="306" w:beforeAutospacing="0" w:after="230" w:afterAutospacing="0" w:line="276" w:lineRule="auto"/>
        <w:jc w:val="both"/>
        <w:rPr>
          <w:rFonts w:ascii="Times New Roman" w:hAnsi="Times New Roman" w:hint="default"/>
          <w:b w:val="0"/>
          <w:bCs w:val="0"/>
          <w:sz w:val="24"/>
          <w:szCs w:val="24"/>
        </w:rPr>
      </w:pPr>
      <w:r w:rsidRPr="007046AD">
        <w:rPr>
          <w:rStyle w:val="Strong"/>
          <w:rFonts w:ascii="Times New Roman" w:hAnsi="Times New Roman" w:hint="default"/>
          <w:b/>
          <w:bCs/>
          <w:sz w:val="24"/>
          <w:szCs w:val="24"/>
        </w:rPr>
        <w:t>Data Collection Method</w:t>
      </w:r>
    </w:p>
    <w:p w14:paraId="28B210D1" w14:textId="77777777" w:rsidR="009777C6" w:rsidRPr="007046AD" w:rsidRDefault="009777C6" w:rsidP="00B94270">
      <w:pPr>
        <w:pStyle w:val="ds-markdown-paragraph"/>
        <w:shd w:val="clear" w:color="auto" w:fill="FFFFFF"/>
        <w:spacing w:before="230" w:beforeAutospacing="0" w:line="276" w:lineRule="auto"/>
        <w:jc w:val="both"/>
        <w:rPr>
          <w:rFonts w:eastAsia="SimSun"/>
          <w:lang w:eastAsia="zh-CN"/>
        </w:rPr>
      </w:pPr>
      <w:r w:rsidRPr="007046AD">
        <w:rPr>
          <w:rFonts w:eastAsia="SimSun"/>
          <w:lang w:eastAsia="zh-CN"/>
        </w:rPr>
        <w:t xml:space="preserve">The data used in this research has been collected in a systematic manner using RBI publications, annual reports of </w:t>
      </w:r>
      <w:proofErr w:type="spellStart"/>
      <w:r w:rsidRPr="007046AD">
        <w:rPr>
          <w:rFonts w:eastAsia="SimSun"/>
          <w:lang w:eastAsia="zh-CN"/>
        </w:rPr>
        <w:t>MoSPI</w:t>
      </w:r>
      <w:proofErr w:type="spellEnd"/>
      <w:r w:rsidRPr="007046AD">
        <w:rPr>
          <w:rFonts w:eastAsia="SimSun"/>
          <w:lang w:eastAsia="zh-CN"/>
        </w:rPr>
        <w:t>, and validated online databases. Appropriate statistical tables, graphs, and figures have been put together to aid comparative evaluation and analysis of the investment trends during the study period.</w:t>
      </w:r>
    </w:p>
    <w:p w14:paraId="523BE74F" w14:textId="77777777" w:rsidR="005B71B4" w:rsidRPr="007046AD" w:rsidRDefault="005B71B4" w:rsidP="006A3E0D">
      <w:pPr>
        <w:pStyle w:val="Heading2"/>
        <w:shd w:val="clear" w:color="auto" w:fill="FFFFFF"/>
        <w:spacing w:before="306" w:beforeAutospacing="0" w:after="230" w:afterAutospacing="0" w:line="276" w:lineRule="auto"/>
        <w:jc w:val="both"/>
        <w:rPr>
          <w:rFonts w:ascii="Times New Roman" w:hAnsi="Times New Roman" w:hint="default"/>
          <w:b w:val="0"/>
          <w:bCs w:val="0"/>
          <w:sz w:val="24"/>
          <w:szCs w:val="24"/>
        </w:rPr>
      </w:pPr>
      <w:r w:rsidRPr="007046AD">
        <w:rPr>
          <w:rStyle w:val="Strong"/>
          <w:rFonts w:ascii="Times New Roman" w:hAnsi="Times New Roman" w:hint="default"/>
          <w:b/>
          <w:bCs/>
          <w:sz w:val="24"/>
          <w:szCs w:val="24"/>
        </w:rPr>
        <w:t>Data Analysis Techniques</w:t>
      </w:r>
    </w:p>
    <w:p w14:paraId="5F25A32E" w14:textId="77777777" w:rsidR="009777C6" w:rsidRPr="007046AD" w:rsidRDefault="009777C6" w:rsidP="00B94270">
      <w:pPr>
        <w:pStyle w:val="ds-markdown-paragraph"/>
        <w:shd w:val="clear" w:color="auto" w:fill="FFFFFF"/>
        <w:spacing w:before="230" w:beforeAutospacing="0" w:line="276" w:lineRule="auto"/>
        <w:jc w:val="both"/>
        <w:rPr>
          <w:rFonts w:eastAsia="SimSun"/>
          <w:lang w:eastAsia="zh-CN"/>
        </w:rPr>
      </w:pPr>
      <w:r w:rsidRPr="007046AD">
        <w:rPr>
          <w:rFonts w:eastAsia="SimSun"/>
          <w:lang w:eastAsia="zh-CN"/>
        </w:rPr>
        <w:t>The study uses various analytical methods in order to explain the data obtained. The comparative analysis helps to evaluate changes in the asset allocation on a year-by-year basis, whereas trend analysis assists in determining the long-term behavioral tendencies in household investments. Proportional changes in the allocation of the financial assets are measured by the percentage method. To increase the clarity and visual understanding of the findings, they are described in a well-organized table and graphical form (bar charts and line graphs).</w:t>
      </w:r>
    </w:p>
    <w:p w14:paraId="41F2019D" w14:textId="77777777" w:rsidR="005B71B4" w:rsidRPr="007046AD" w:rsidRDefault="005B71B4" w:rsidP="006A3E0D">
      <w:pPr>
        <w:pStyle w:val="Heading2"/>
        <w:shd w:val="clear" w:color="auto" w:fill="FFFFFF"/>
        <w:spacing w:before="306" w:beforeAutospacing="0" w:after="230" w:afterAutospacing="0" w:line="276" w:lineRule="auto"/>
        <w:jc w:val="both"/>
        <w:rPr>
          <w:rFonts w:ascii="Times New Roman" w:hAnsi="Times New Roman" w:hint="default"/>
          <w:b w:val="0"/>
          <w:bCs w:val="0"/>
          <w:sz w:val="24"/>
          <w:szCs w:val="24"/>
        </w:rPr>
      </w:pPr>
      <w:r w:rsidRPr="007046AD">
        <w:rPr>
          <w:rStyle w:val="Strong"/>
          <w:rFonts w:ascii="Times New Roman" w:hAnsi="Times New Roman" w:hint="default"/>
          <w:b/>
          <w:bCs/>
          <w:sz w:val="24"/>
          <w:szCs w:val="24"/>
        </w:rPr>
        <w:lastRenderedPageBreak/>
        <w:t>Scope of the Study</w:t>
      </w:r>
    </w:p>
    <w:p w14:paraId="7C34BF12" w14:textId="77777777" w:rsidR="009777C6" w:rsidRPr="007046AD" w:rsidRDefault="009777C6" w:rsidP="00B94270">
      <w:pPr>
        <w:pStyle w:val="ds-markdown-paragraph"/>
        <w:shd w:val="clear" w:color="auto" w:fill="FFFFFF"/>
        <w:spacing w:before="230" w:beforeAutospacing="0" w:line="276" w:lineRule="auto"/>
        <w:jc w:val="both"/>
        <w:rPr>
          <w:rFonts w:eastAsia="SimSun"/>
          <w:lang w:eastAsia="zh-CN"/>
        </w:rPr>
      </w:pPr>
      <w:r w:rsidRPr="007046AD">
        <w:rPr>
          <w:rFonts w:eastAsia="SimSun"/>
          <w:lang w:eastAsia="zh-CN"/>
        </w:rPr>
        <w:t>The scope of the study is limited to the discussion of financial asset allocation by the Indian households, focusing specifically on the impact of financial literacy and online investment tools on decision-making. The scope is very clear that it does not cover real assets like real estate and gold, and more macroeconomic variables like inflation, interest rate changes, and monetary policy changes.</w:t>
      </w:r>
    </w:p>
    <w:p w14:paraId="0E9309FB" w14:textId="77777777" w:rsidR="009777C6" w:rsidRPr="004A571F" w:rsidRDefault="005B71B4" w:rsidP="004A571F">
      <w:pPr>
        <w:pStyle w:val="Heading2"/>
        <w:shd w:val="clear" w:color="auto" w:fill="FFFFFF"/>
        <w:spacing w:before="306" w:beforeAutospacing="0" w:after="230" w:afterAutospacing="0" w:line="276" w:lineRule="auto"/>
        <w:jc w:val="both"/>
        <w:rPr>
          <w:rFonts w:ascii="Times New Roman" w:hAnsi="Times New Roman" w:hint="default"/>
          <w:b w:val="0"/>
          <w:bCs w:val="0"/>
          <w:color w:val="404040"/>
          <w:sz w:val="24"/>
          <w:szCs w:val="24"/>
        </w:rPr>
      </w:pPr>
      <w:r w:rsidRPr="006A3E0D">
        <w:rPr>
          <w:rStyle w:val="Strong"/>
          <w:rFonts w:ascii="Times New Roman" w:hAnsi="Times New Roman" w:hint="default"/>
          <w:b/>
          <w:bCs/>
          <w:color w:val="404040"/>
          <w:sz w:val="24"/>
          <w:szCs w:val="24"/>
        </w:rPr>
        <w:t>Limitations of the Study</w:t>
      </w:r>
    </w:p>
    <w:p w14:paraId="39F2A026" w14:textId="77777777" w:rsidR="009777C6" w:rsidRPr="007046AD" w:rsidRDefault="009777C6" w:rsidP="006A3E0D">
      <w:pPr>
        <w:pStyle w:val="ds-markdown-paragraph"/>
        <w:shd w:val="clear" w:color="auto" w:fill="FFFFFF"/>
        <w:spacing w:before="230" w:beforeAutospacing="0" w:line="276" w:lineRule="auto"/>
        <w:jc w:val="both"/>
        <w:rPr>
          <w:rFonts w:eastAsia="SimSun"/>
          <w:lang w:eastAsia="zh-CN"/>
        </w:rPr>
      </w:pPr>
      <w:r w:rsidRPr="007046AD">
        <w:rPr>
          <w:rFonts w:eastAsia="SimSun"/>
          <w:lang w:eastAsia="zh-CN"/>
        </w:rPr>
        <w:t>The research is limited to some extent, as it utilizes secondary data, and thus, it cannot incorporate the first-hand survey-based information. Also, the scope of the analysis is limited by the omission of real assets and macroeconomic variables. These restrictions are recognized, but the study can also inform about the changing trends of household financial investments in India during the identified period. The methodology framework provides a rigorous and systematic study of the trends in household financial asset allocation to help understand investment behavior in the Indian market better.</w:t>
      </w:r>
    </w:p>
    <w:p w14:paraId="2BF6B3F6" w14:textId="77777777" w:rsidR="00815217" w:rsidRPr="006A3E0D" w:rsidRDefault="00D06276" w:rsidP="006A3E0D">
      <w:pPr>
        <w:pStyle w:val="NormalWeb"/>
        <w:spacing w:line="276" w:lineRule="auto"/>
        <w:jc w:val="both"/>
        <w:rPr>
          <w:b/>
          <w:bCs/>
        </w:rPr>
      </w:pPr>
      <w:r w:rsidRPr="006A3E0D">
        <w:rPr>
          <w:b/>
          <w:bCs/>
        </w:rPr>
        <w:t>Data Analysis and Discussion:</w:t>
      </w:r>
    </w:p>
    <w:p w14:paraId="3262BC42" w14:textId="77777777" w:rsidR="00187A89" w:rsidRPr="006A3E0D" w:rsidRDefault="00187A89" w:rsidP="006A3E0D">
      <w:pPr>
        <w:pStyle w:val="Caption"/>
        <w:keepNext/>
        <w:spacing w:line="276" w:lineRule="auto"/>
        <w:jc w:val="both"/>
        <w:rPr>
          <w:rFonts w:ascii="Times New Roman" w:hAnsi="Times New Roman" w:cs="Times New Roman"/>
          <w:i/>
          <w:color w:val="auto"/>
          <w:sz w:val="24"/>
          <w:szCs w:val="24"/>
        </w:rPr>
      </w:pPr>
      <w:r w:rsidRPr="006A3E0D">
        <w:rPr>
          <w:rFonts w:ascii="Times New Roman" w:hAnsi="Times New Roman" w:cs="Times New Roman"/>
          <w:i/>
          <w:color w:val="auto"/>
          <w:sz w:val="24"/>
          <w:szCs w:val="24"/>
        </w:rPr>
        <w:t xml:space="preserve">Table </w:t>
      </w:r>
      <w:r w:rsidR="006F16ED" w:rsidRPr="006A3E0D">
        <w:rPr>
          <w:rFonts w:ascii="Times New Roman" w:hAnsi="Times New Roman" w:cs="Times New Roman"/>
          <w:i/>
          <w:color w:val="auto"/>
          <w:sz w:val="24"/>
          <w:szCs w:val="24"/>
        </w:rPr>
        <w:fldChar w:fldCharType="begin"/>
      </w:r>
      <w:r w:rsidRPr="006A3E0D">
        <w:rPr>
          <w:rFonts w:ascii="Times New Roman" w:hAnsi="Times New Roman" w:cs="Times New Roman"/>
          <w:i/>
          <w:color w:val="auto"/>
          <w:sz w:val="24"/>
          <w:szCs w:val="24"/>
        </w:rPr>
        <w:instrText xml:space="preserve"> SEQ Table \* ARABIC </w:instrText>
      </w:r>
      <w:r w:rsidR="006F16ED" w:rsidRPr="006A3E0D">
        <w:rPr>
          <w:rFonts w:ascii="Times New Roman" w:hAnsi="Times New Roman" w:cs="Times New Roman"/>
          <w:i/>
          <w:color w:val="auto"/>
          <w:sz w:val="24"/>
          <w:szCs w:val="24"/>
        </w:rPr>
        <w:fldChar w:fldCharType="separate"/>
      </w:r>
      <w:r w:rsidR="00ED46B9" w:rsidRPr="006A3E0D">
        <w:rPr>
          <w:rFonts w:ascii="Times New Roman" w:hAnsi="Times New Roman" w:cs="Times New Roman"/>
          <w:i/>
          <w:noProof/>
          <w:color w:val="auto"/>
          <w:sz w:val="24"/>
          <w:szCs w:val="24"/>
        </w:rPr>
        <w:t>1</w:t>
      </w:r>
      <w:r w:rsidR="006F16ED" w:rsidRPr="006A3E0D">
        <w:rPr>
          <w:rFonts w:ascii="Times New Roman" w:hAnsi="Times New Roman" w:cs="Times New Roman"/>
          <w:i/>
          <w:color w:val="auto"/>
          <w:sz w:val="24"/>
          <w:szCs w:val="24"/>
        </w:rPr>
        <w:fldChar w:fldCharType="end"/>
      </w:r>
      <w:r w:rsidRPr="006A3E0D">
        <w:rPr>
          <w:rFonts w:ascii="Times New Roman" w:hAnsi="Times New Roman" w:cs="Times New Roman"/>
          <w:i/>
          <w:color w:val="auto"/>
          <w:sz w:val="24"/>
          <w:szCs w:val="24"/>
        </w:rPr>
        <w:t xml:space="preserve"> </w:t>
      </w:r>
      <w:r w:rsidR="00AD261A" w:rsidRPr="006A3E0D">
        <w:rPr>
          <w:rFonts w:ascii="Times New Roman" w:hAnsi="Times New Roman" w:cs="Times New Roman"/>
          <w:i/>
          <w:color w:val="auto"/>
          <w:sz w:val="24"/>
          <w:szCs w:val="24"/>
        </w:rPr>
        <w:t>Household Financial Asset Allocation – 2019</w:t>
      </w:r>
    </w:p>
    <w:tbl>
      <w:tblPr>
        <w:tblStyle w:val="TableClassic3"/>
        <w:tblW w:w="5000" w:type="pct"/>
        <w:tblLook w:val="04A0" w:firstRow="1" w:lastRow="0" w:firstColumn="1" w:lastColumn="0" w:noHBand="0" w:noVBand="1"/>
      </w:tblPr>
      <w:tblGrid>
        <w:gridCol w:w="5071"/>
        <w:gridCol w:w="3451"/>
      </w:tblGrid>
      <w:tr w:rsidR="00590599" w:rsidRPr="006A3E0D" w14:paraId="62A3355D" w14:textId="77777777" w:rsidTr="005905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5" w:type="pct"/>
            <w:vAlign w:val="center"/>
          </w:tcPr>
          <w:p w14:paraId="10DD0C4B" w14:textId="77777777" w:rsidR="00590599" w:rsidRPr="006A3E0D" w:rsidRDefault="00590599" w:rsidP="006A3E0D">
            <w:pPr>
              <w:spacing w:line="276" w:lineRule="auto"/>
              <w:jc w:val="both"/>
              <w:rPr>
                <w:rFonts w:ascii="Times New Roman" w:hAnsi="Times New Roman" w:cs="Times New Roman"/>
                <w:sz w:val="24"/>
                <w:szCs w:val="24"/>
              </w:rPr>
            </w:pPr>
            <w:r w:rsidRPr="006A3E0D">
              <w:rPr>
                <w:rStyle w:val="Strong"/>
                <w:rFonts w:ascii="Times New Roman" w:hAnsi="Times New Roman" w:cs="Times New Roman"/>
                <w:sz w:val="24"/>
                <w:szCs w:val="24"/>
              </w:rPr>
              <w:t>Asset Type</w:t>
            </w:r>
          </w:p>
        </w:tc>
        <w:tc>
          <w:tcPr>
            <w:tcW w:w="2025" w:type="pct"/>
            <w:vAlign w:val="center"/>
          </w:tcPr>
          <w:p w14:paraId="0B2D4455" w14:textId="77777777" w:rsidR="00590599" w:rsidRPr="006A3E0D" w:rsidRDefault="00590599" w:rsidP="006A3E0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E0D">
              <w:rPr>
                <w:rStyle w:val="Strong"/>
                <w:rFonts w:ascii="Times New Roman" w:hAnsi="Times New Roman" w:cs="Times New Roman"/>
                <w:sz w:val="24"/>
                <w:szCs w:val="24"/>
              </w:rPr>
              <w:t>Percentage (%)</w:t>
            </w:r>
          </w:p>
        </w:tc>
      </w:tr>
      <w:tr w:rsidR="00590599" w:rsidRPr="006A3E0D" w14:paraId="5F702767" w14:textId="77777777" w:rsidTr="00590599">
        <w:tc>
          <w:tcPr>
            <w:cnfStyle w:val="001000000000" w:firstRow="0" w:lastRow="0" w:firstColumn="1" w:lastColumn="0" w:oddVBand="0" w:evenVBand="0" w:oddHBand="0" w:evenHBand="0" w:firstRowFirstColumn="0" w:firstRowLastColumn="0" w:lastRowFirstColumn="0" w:lastRowLastColumn="0"/>
            <w:tcW w:w="2975" w:type="pct"/>
            <w:vAlign w:val="center"/>
          </w:tcPr>
          <w:p w14:paraId="2A430B60" w14:textId="77777777" w:rsidR="00590599" w:rsidRPr="006A3E0D" w:rsidRDefault="00590599" w:rsidP="006A3E0D">
            <w:pPr>
              <w:spacing w:line="276" w:lineRule="auto"/>
              <w:jc w:val="both"/>
              <w:rPr>
                <w:rFonts w:ascii="Times New Roman" w:hAnsi="Times New Roman" w:cs="Times New Roman"/>
                <w:sz w:val="24"/>
                <w:szCs w:val="24"/>
              </w:rPr>
            </w:pPr>
            <w:r w:rsidRPr="006A3E0D">
              <w:rPr>
                <w:rFonts w:ascii="Times New Roman" w:hAnsi="Times New Roman" w:cs="Times New Roman"/>
                <w:sz w:val="24"/>
                <w:szCs w:val="24"/>
              </w:rPr>
              <w:t>Bank Deposits</w:t>
            </w:r>
          </w:p>
        </w:tc>
        <w:tc>
          <w:tcPr>
            <w:tcW w:w="2025" w:type="pct"/>
            <w:vAlign w:val="center"/>
          </w:tcPr>
          <w:p w14:paraId="69182C80" w14:textId="77777777" w:rsidR="00590599" w:rsidRPr="006A3E0D" w:rsidRDefault="00590599" w:rsidP="006A3E0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E0D">
              <w:rPr>
                <w:rFonts w:ascii="Times New Roman" w:hAnsi="Times New Roman" w:cs="Times New Roman"/>
                <w:sz w:val="24"/>
                <w:szCs w:val="24"/>
              </w:rPr>
              <w:t>46.3%</w:t>
            </w:r>
          </w:p>
        </w:tc>
      </w:tr>
      <w:tr w:rsidR="00590599" w:rsidRPr="006A3E0D" w14:paraId="65F8E844" w14:textId="77777777" w:rsidTr="00590599">
        <w:tc>
          <w:tcPr>
            <w:cnfStyle w:val="001000000000" w:firstRow="0" w:lastRow="0" w:firstColumn="1" w:lastColumn="0" w:oddVBand="0" w:evenVBand="0" w:oddHBand="0" w:evenHBand="0" w:firstRowFirstColumn="0" w:firstRowLastColumn="0" w:lastRowFirstColumn="0" w:lastRowLastColumn="0"/>
            <w:tcW w:w="2975" w:type="pct"/>
            <w:vAlign w:val="center"/>
          </w:tcPr>
          <w:p w14:paraId="6CA492C0" w14:textId="77777777" w:rsidR="00590599" w:rsidRPr="006A3E0D" w:rsidRDefault="00C96D0A" w:rsidP="006A3E0D">
            <w:pPr>
              <w:spacing w:line="276" w:lineRule="auto"/>
              <w:jc w:val="both"/>
              <w:rPr>
                <w:rFonts w:ascii="Times New Roman" w:hAnsi="Times New Roman" w:cs="Times New Roman"/>
                <w:sz w:val="24"/>
                <w:szCs w:val="24"/>
              </w:rPr>
            </w:pPr>
            <w:r w:rsidRPr="006A3E0D">
              <w:rPr>
                <w:rFonts w:ascii="Times New Roman" w:hAnsi="Times New Roman" w:cs="Times New Roman"/>
                <w:sz w:val="24"/>
                <w:szCs w:val="24"/>
              </w:rPr>
              <w:t xml:space="preserve">Stocks </w:t>
            </w:r>
            <w:r w:rsidR="00326578" w:rsidRPr="006A3E0D">
              <w:rPr>
                <w:rFonts w:ascii="Times New Roman" w:hAnsi="Times New Roman" w:cs="Times New Roman"/>
                <w:sz w:val="24"/>
                <w:szCs w:val="24"/>
              </w:rPr>
              <w:t xml:space="preserve">and investment </w:t>
            </w:r>
            <w:r w:rsidRPr="006A3E0D">
              <w:rPr>
                <w:rFonts w:ascii="Times New Roman" w:hAnsi="Times New Roman" w:cs="Times New Roman"/>
                <w:sz w:val="24"/>
                <w:szCs w:val="24"/>
              </w:rPr>
              <w:t xml:space="preserve">funds </w:t>
            </w:r>
          </w:p>
        </w:tc>
        <w:tc>
          <w:tcPr>
            <w:tcW w:w="2025" w:type="pct"/>
            <w:vAlign w:val="center"/>
          </w:tcPr>
          <w:p w14:paraId="009EC504" w14:textId="77777777" w:rsidR="00590599" w:rsidRPr="006A3E0D" w:rsidRDefault="00590599" w:rsidP="006A3E0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E0D">
              <w:rPr>
                <w:rFonts w:ascii="Times New Roman" w:hAnsi="Times New Roman" w:cs="Times New Roman"/>
                <w:sz w:val="24"/>
                <w:szCs w:val="24"/>
              </w:rPr>
              <w:t>15.7%</w:t>
            </w:r>
          </w:p>
        </w:tc>
      </w:tr>
      <w:tr w:rsidR="00590599" w:rsidRPr="006A3E0D" w14:paraId="1D708972" w14:textId="77777777" w:rsidTr="00590599">
        <w:tc>
          <w:tcPr>
            <w:cnfStyle w:val="001000000000" w:firstRow="0" w:lastRow="0" w:firstColumn="1" w:lastColumn="0" w:oddVBand="0" w:evenVBand="0" w:oddHBand="0" w:evenHBand="0" w:firstRowFirstColumn="0" w:firstRowLastColumn="0" w:lastRowFirstColumn="0" w:lastRowLastColumn="0"/>
            <w:tcW w:w="2975" w:type="pct"/>
            <w:vAlign w:val="center"/>
          </w:tcPr>
          <w:p w14:paraId="18F3734A" w14:textId="77777777" w:rsidR="00590599" w:rsidRPr="006A3E0D" w:rsidRDefault="006D095E" w:rsidP="006A3E0D">
            <w:pPr>
              <w:spacing w:line="276" w:lineRule="auto"/>
              <w:jc w:val="both"/>
              <w:rPr>
                <w:rFonts w:ascii="Times New Roman" w:hAnsi="Times New Roman" w:cs="Times New Roman"/>
                <w:sz w:val="24"/>
                <w:szCs w:val="24"/>
              </w:rPr>
            </w:pPr>
            <w:r w:rsidRPr="006A3E0D">
              <w:rPr>
                <w:rFonts w:ascii="Times New Roman" w:hAnsi="Times New Roman" w:cs="Times New Roman"/>
                <w:sz w:val="24"/>
                <w:szCs w:val="24"/>
              </w:rPr>
              <w:t xml:space="preserve">Insurance and </w:t>
            </w:r>
            <w:r w:rsidR="00590599" w:rsidRPr="006A3E0D">
              <w:rPr>
                <w:rFonts w:ascii="Times New Roman" w:hAnsi="Times New Roman" w:cs="Times New Roman"/>
                <w:sz w:val="24"/>
                <w:szCs w:val="24"/>
              </w:rPr>
              <w:t>Provident Fund/Pension</w:t>
            </w:r>
          </w:p>
        </w:tc>
        <w:tc>
          <w:tcPr>
            <w:tcW w:w="2025" w:type="pct"/>
            <w:vAlign w:val="center"/>
          </w:tcPr>
          <w:p w14:paraId="4E9AA31E" w14:textId="77777777" w:rsidR="00590599" w:rsidRPr="006A3E0D" w:rsidRDefault="006D095E" w:rsidP="006A3E0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E0D">
              <w:rPr>
                <w:rFonts w:ascii="Times New Roman" w:hAnsi="Times New Roman" w:cs="Times New Roman"/>
                <w:sz w:val="24"/>
                <w:szCs w:val="24"/>
              </w:rPr>
              <w:t>28.6</w:t>
            </w:r>
            <w:r w:rsidR="00590599" w:rsidRPr="006A3E0D">
              <w:rPr>
                <w:rFonts w:ascii="Times New Roman" w:hAnsi="Times New Roman" w:cs="Times New Roman"/>
                <w:sz w:val="24"/>
                <w:szCs w:val="24"/>
              </w:rPr>
              <w:t>%</w:t>
            </w:r>
          </w:p>
        </w:tc>
      </w:tr>
      <w:tr w:rsidR="00590599" w:rsidRPr="006A3E0D" w14:paraId="19686143" w14:textId="77777777" w:rsidTr="00590599">
        <w:tc>
          <w:tcPr>
            <w:cnfStyle w:val="001000000000" w:firstRow="0" w:lastRow="0" w:firstColumn="1" w:lastColumn="0" w:oddVBand="0" w:evenVBand="0" w:oddHBand="0" w:evenHBand="0" w:firstRowFirstColumn="0" w:firstRowLastColumn="0" w:lastRowFirstColumn="0" w:lastRowLastColumn="0"/>
            <w:tcW w:w="2975" w:type="pct"/>
            <w:vAlign w:val="center"/>
          </w:tcPr>
          <w:p w14:paraId="0155A233" w14:textId="77777777" w:rsidR="00590599" w:rsidRPr="006A3E0D" w:rsidRDefault="00590599" w:rsidP="006A3E0D">
            <w:pPr>
              <w:spacing w:line="276" w:lineRule="auto"/>
              <w:jc w:val="both"/>
              <w:rPr>
                <w:rFonts w:ascii="Times New Roman" w:hAnsi="Times New Roman" w:cs="Times New Roman"/>
                <w:sz w:val="24"/>
                <w:szCs w:val="24"/>
              </w:rPr>
            </w:pPr>
            <w:r w:rsidRPr="006A3E0D">
              <w:rPr>
                <w:rFonts w:ascii="Times New Roman" w:hAnsi="Times New Roman" w:cs="Times New Roman"/>
                <w:sz w:val="24"/>
                <w:szCs w:val="24"/>
              </w:rPr>
              <w:t>Cash Holdings</w:t>
            </w:r>
          </w:p>
        </w:tc>
        <w:tc>
          <w:tcPr>
            <w:tcW w:w="2025" w:type="pct"/>
            <w:vAlign w:val="center"/>
          </w:tcPr>
          <w:p w14:paraId="4D3C3274" w14:textId="77777777" w:rsidR="00590599" w:rsidRPr="006A3E0D" w:rsidRDefault="00590599" w:rsidP="006A3E0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E0D">
              <w:rPr>
                <w:rFonts w:ascii="Times New Roman" w:hAnsi="Times New Roman" w:cs="Times New Roman"/>
                <w:sz w:val="24"/>
                <w:szCs w:val="24"/>
              </w:rPr>
              <w:t>8.6%</w:t>
            </w:r>
          </w:p>
        </w:tc>
      </w:tr>
      <w:tr w:rsidR="00590599" w:rsidRPr="006A3E0D" w14:paraId="4F11DE00" w14:textId="77777777" w:rsidTr="00590599">
        <w:tc>
          <w:tcPr>
            <w:cnfStyle w:val="001000000000" w:firstRow="0" w:lastRow="0" w:firstColumn="1" w:lastColumn="0" w:oddVBand="0" w:evenVBand="0" w:oddHBand="0" w:evenHBand="0" w:firstRowFirstColumn="0" w:firstRowLastColumn="0" w:lastRowFirstColumn="0" w:lastRowLastColumn="0"/>
            <w:tcW w:w="2975" w:type="pct"/>
            <w:vAlign w:val="center"/>
          </w:tcPr>
          <w:p w14:paraId="54681377" w14:textId="77777777" w:rsidR="00590599" w:rsidRPr="006A3E0D" w:rsidRDefault="00C96D0A" w:rsidP="006A3E0D">
            <w:pPr>
              <w:spacing w:line="276" w:lineRule="auto"/>
              <w:jc w:val="both"/>
              <w:rPr>
                <w:rFonts w:ascii="Times New Roman" w:hAnsi="Times New Roman" w:cs="Times New Roman"/>
                <w:sz w:val="24"/>
                <w:szCs w:val="24"/>
              </w:rPr>
            </w:pPr>
            <w:r w:rsidRPr="006A3E0D">
              <w:rPr>
                <w:rFonts w:ascii="Times New Roman" w:hAnsi="Times New Roman" w:cs="Times New Roman"/>
                <w:sz w:val="24"/>
                <w:szCs w:val="24"/>
              </w:rPr>
              <w:t>Debentures</w:t>
            </w:r>
          </w:p>
        </w:tc>
        <w:tc>
          <w:tcPr>
            <w:tcW w:w="2025" w:type="pct"/>
            <w:vAlign w:val="center"/>
          </w:tcPr>
          <w:p w14:paraId="37BFAB0D" w14:textId="77777777" w:rsidR="00590599" w:rsidRPr="006A3E0D" w:rsidRDefault="00C96D0A" w:rsidP="009F4651">
            <w:pPr>
              <w:keepNext/>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E0D">
              <w:rPr>
                <w:rFonts w:ascii="Times New Roman" w:hAnsi="Times New Roman" w:cs="Times New Roman"/>
                <w:sz w:val="24"/>
                <w:szCs w:val="24"/>
              </w:rPr>
              <w:t>0.8</w:t>
            </w:r>
            <w:r w:rsidR="00590599" w:rsidRPr="006A3E0D">
              <w:rPr>
                <w:rFonts w:ascii="Times New Roman" w:hAnsi="Times New Roman" w:cs="Times New Roman"/>
                <w:sz w:val="24"/>
                <w:szCs w:val="24"/>
              </w:rPr>
              <w:t>%</w:t>
            </w:r>
          </w:p>
        </w:tc>
      </w:tr>
    </w:tbl>
    <w:p w14:paraId="7B7E7C64" w14:textId="77777777" w:rsidR="009640DC" w:rsidRPr="009F4651" w:rsidRDefault="009F4651" w:rsidP="009F4651">
      <w:pPr>
        <w:pStyle w:val="Caption"/>
        <w:rPr>
          <w:rFonts w:ascii="Times New Roman" w:hAnsi="Times New Roman" w:cs="Times New Roman"/>
          <w:b w:val="0"/>
          <w:bCs w:val="0"/>
          <w:i/>
          <w:sz w:val="24"/>
          <w:szCs w:val="24"/>
        </w:rPr>
      </w:pPr>
      <w:r w:rsidRPr="009F4651">
        <w:rPr>
          <w:i/>
        </w:rPr>
        <w:t>Source: Reserve Bank of India. (2019). Handbook of Statistics on the Indian Economy</w:t>
      </w:r>
    </w:p>
    <w:p w14:paraId="3E76F2BA" w14:textId="77777777" w:rsidR="00393D70" w:rsidRPr="007046AD" w:rsidRDefault="00393D70" w:rsidP="00B94270">
      <w:pPr>
        <w:pStyle w:val="ds-markdown-paragraph"/>
        <w:shd w:val="clear" w:color="auto" w:fill="FFFFFF"/>
        <w:spacing w:before="230" w:beforeAutospacing="0" w:line="276" w:lineRule="auto"/>
        <w:jc w:val="both"/>
        <w:rPr>
          <w:rFonts w:eastAsia="SimSun"/>
          <w:lang w:eastAsia="zh-CN"/>
        </w:rPr>
      </w:pPr>
      <w:r w:rsidRPr="007046AD">
        <w:rPr>
          <w:rFonts w:eastAsia="SimSun"/>
          <w:lang w:eastAsia="zh-CN"/>
        </w:rPr>
        <w:t xml:space="preserve">Recent household financial asset allocation data published in 2019 show that a large part of savings went to bank deposits, with 46.3% of total savings deposited. This shows that Indian households are inclined to safe and liquid investments. The next in line was insurance and provident/pension funds with 28.6 of the allocation, showing a moderate emphasis on financial long-term planning and risk insurance. Investment in stocks and mutual funds represented 15.7, which indicates a relatively conservative attitude towards market-based instruments because of the risks involved. A minimal but necessary liquidity preference of daily needs or emergencies was reflected in the cash holdings of 8.6% of the financial assets. Debentures occupied the lowest position at only 0.8, which reflects a low tendency toward non-bank financing instruments. In general, the financial </w:t>
      </w:r>
      <w:proofErr w:type="spellStart"/>
      <w:r w:rsidRPr="007046AD">
        <w:rPr>
          <w:rFonts w:eastAsia="SimSun"/>
          <w:lang w:eastAsia="zh-CN"/>
        </w:rPr>
        <w:t>behaviour</w:t>
      </w:r>
      <w:proofErr w:type="spellEnd"/>
      <w:r w:rsidRPr="007046AD">
        <w:rPr>
          <w:rFonts w:eastAsia="SimSun"/>
          <w:lang w:eastAsia="zh-CN"/>
        </w:rPr>
        <w:t xml:space="preserve"> of households in 2019 is characterized by a conservative tendency as high-risk high-reward investments are replaced by safety and stability.</w:t>
      </w:r>
    </w:p>
    <w:p w14:paraId="744AA0B6" w14:textId="77777777" w:rsidR="00392CC3" w:rsidRPr="006A3E0D" w:rsidRDefault="00392CC3" w:rsidP="006A3E0D">
      <w:pPr>
        <w:pStyle w:val="NormalWeb"/>
        <w:spacing w:beforeAutospacing="0" w:afterAutospacing="0" w:line="276" w:lineRule="auto"/>
        <w:jc w:val="both"/>
        <w:rPr>
          <w:b/>
          <w:bCs/>
        </w:rPr>
      </w:pPr>
    </w:p>
    <w:p w14:paraId="6E044978" w14:textId="77777777" w:rsidR="00187A89" w:rsidRPr="006A3E0D" w:rsidRDefault="00187A89" w:rsidP="006A3E0D">
      <w:pPr>
        <w:pStyle w:val="Caption"/>
        <w:keepNext/>
        <w:spacing w:line="276" w:lineRule="auto"/>
        <w:jc w:val="both"/>
        <w:rPr>
          <w:rFonts w:ascii="Times New Roman" w:hAnsi="Times New Roman" w:cs="Times New Roman"/>
          <w:i/>
          <w:color w:val="auto"/>
          <w:sz w:val="24"/>
          <w:szCs w:val="24"/>
        </w:rPr>
      </w:pPr>
      <w:r w:rsidRPr="006A3E0D">
        <w:rPr>
          <w:rFonts w:ascii="Times New Roman" w:hAnsi="Times New Roman" w:cs="Times New Roman"/>
          <w:i/>
          <w:color w:val="auto"/>
          <w:sz w:val="24"/>
          <w:szCs w:val="24"/>
        </w:rPr>
        <w:t xml:space="preserve">Table 2 </w:t>
      </w:r>
      <w:r w:rsidR="00560AAC" w:rsidRPr="006A3E0D">
        <w:rPr>
          <w:rFonts w:ascii="Times New Roman" w:hAnsi="Times New Roman" w:cs="Times New Roman"/>
          <w:i/>
          <w:color w:val="auto"/>
          <w:sz w:val="24"/>
          <w:szCs w:val="24"/>
        </w:rPr>
        <w:t>Household Financial Asset Allocation – 2024</w:t>
      </w:r>
    </w:p>
    <w:tbl>
      <w:tblPr>
        <w:tblStyle w:val="TableClassic3"/>
        <w:tblW w:w="5000" w:type="pct"/>
        <w:tblLook w:val="04A0" w:firstRow="1" w:lastRow="0" w:firstColumn="1" w:lastColumn="0" w:noHBand="0" w:noVBand="1"/>
      </w:tblPr>
      <w:tblGrid>
        <w:gridCol w:w="5071"/>
        <w:gridCol w:w="3451"/>
      </w:tblGrid>
      <w:tr w:rsidR="00590599" w:rsidRPr="006A3E0D" w14:paraId="009460CB" w14:textId="77777777" w:rsidTr="000D4B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5" w:type="pct"/>
            <w:vAlign w:val="center"/>
          </w:tcPr>
          <w:p w14:paraId="35837B67" w14:textId="77777777" w:rsidR="00590599" w:rsidRPr="006A3E0D" w:rsidRDefault="00590599" w:rsidP="006A3E0D">
            <w:pPr>
              <w:spacing w:line="276" w:lineRule="auto"/>
              <w:jc w:val="both"/>
              <w:rPr>
                <w:rFonts w:ascii="Times New Roman" w:hAnsi="Times New Roman" w:cs="Times New Roman"/>
                <w:sz w:val="24"/>
                <w:szCs w:val="24"/>
              </w:rPr>
            </w:pPr>
            <w:r w:rsidRPr="006A3E0D">
              <w:rPr>
                <w:rStyle w:val="Strong"/>
                <w:rFonts w:ascii="Times New Roman" w:hAnsi="Times New Roman" w:cs="Times New Roman"/>
                <w:sz w:val="24"/>
                <w:szCs w:val="24"/>
              </w:rPr>
              <w:t>Asset Type</w:t>
            </w:r>
          </w:p>
        </w:tc>
        <w:tc>
          <w:tcPr>
            <w:tcW w:w="2025" w:type="pct"/>
            <w:vAlign w:val="center"/>
          </w:tcPr>
          <w:p w14:paraId="1021ED2C" w14:textId="77777777" w:rsidR="00590599" w:rsidRPr="006A3E0D" w:rsidRDefault="00590599" w:rsidP="006A3E0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E0D">
              <w:rPr>
                <w:rStyle w:val="Strong"/>
                <w:rFonts w:ascii="Times New Roman" w:hAnsi="Times New Roman" w:cs="Times New Roman"/>
                <w:sz w:val="24"/>
                <w:szCs w:val="24"/>
              </w:rPr>
              <w:t>Percentage (%)</w:t>
            </w:r>
          </w:p>
        </w:tc>
      </w:tr>
      <w:tr w:rsidR="00876A73" w:rsidRPr="006A3E0D" w14:paraId="7B36136E" w14:textId="77777777" w:rsidTr="000D4BF8">
        <w:tc>
          <w:tcPr>
            <w:cnfStyle w:val="001000000000" w:firstRow="0" w:lastRow="0" w:firstColumn="1" w:lastColumn="0" w:oddVBand="0" w:evenVBand="0" w:oddHBand="0" w:evenHBand="0" w:firstRowFirstColumn="0" w:firstRowLastColumn="0" w:lastRowFirstColumn="0" w:lastRowLastColumn="0"/>
            <w:tcW w:w="2975" w:type="pct"/>
            <w:vAlign w:val="center"/>
          </w:tcPr>
          <w:p w14:paraId="5751FAE0" w14:textId="77777777" w:rsidR="00876A73" w:rsidRPr="006A3E0D" w:rsidRDefault="00876A73" w:rsidP="006A3E0D">
            <w:pPr>
              <w:spacing w:line="276" w:lineRule="auto"/>
              <w:jc w:val="both"/>
              <w:rPr>
                <w:rFonts w:ascii="Times New Roman" w:hAnsi="Times New Roman" w:cs="Times New Roman"/>
                <w:sz w:val="24"/>
                <w:szCs w:val="24"/>
              </w:rPr>
            </w:pPr>
            <w:r w:rsidRPr="006A3E0D">
              <w:rPr>
                <w:rFonts w:ascii="Times New Roman" w:hAnsi="Times New Roman" w:cs="Times New Roman"/>
                <w:sz w:val="24"/>
                <w:szCs w:val="24"/>
              </w:rPr>
              <w:t>Bank Deposits</w:t>
            </w:r>
          </w:p>
        </w:tc>
        <w:tc>
          <w:tcPr>
            <w:tcW w:w="2025" w:type="pct"/>
            <w:vAlign w:val="center"/>
          </w:tcPr>
          <w:p w14:paraId="7F1246E1" w14:textId="77777777" w:rsidR="00876A73" w:rsidRPr="006A3E0D" w:rsidRDefault="00876A73" w:rsidP="006A3E0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E0D">
              <w:rPr>
                <w:rFonts w:ascii="Times New Roman" w:hAnsi="Times New Roman" w:cs="Times New Roman"/>
                <w:sz w:val="24"/>
                <w:szCs w:val="24"/>
              </w:rPr>
              <w:t>40.6%</w:t>
            </w:r>
          </w:p>
        </w:tc>
      </w:tr>
      <w:tr w:rsidR="00876A73" w:rsidRPr="006A3E0D" w14:paraId="6EE4BF18" w14:textId="77777777" w:rsidTr="000D4BF8">
        <w:tc>
          <w:tcPr>
            <w:cnfStyle w:val="001000000000" w:firstRow="0" w:lastRow="0" w:firstColumn="1" w:lastColumn="0" w:oddVBand="0" w:evenVBand="0" w:oddHBand="0" w:evenHBand="0" w:firstRowFirstColumn="0" w:firstRowLastColumn="0" w:lastRowFirstColumn="0" w:lastRowLastColumn="0"/>
            <w:tcW w:w="2975" w:type="pct"/>
            <w:vAlign w:val="center"/>
          </w:tcPr>
          <w:p w14:paraId="6494602A" w14:textId="77777777" w:rsidR="00876A73" w:rsidRPr="006A3E0D" w:rsidRDefault="00876A73" w:rsidP="006A3E0D">
            <w:pPr>
              <w:spacing w:line="276" w:lineRule="auto"/>
              <w:jc w:val="both"/>
              <w:rPr>
                <w:rFonts w:ascii="Times New Roman" w:hAnsi="Times New Roman" w:cs="Times New Roman"/>
                <w:sz w:val="24"/>
                <w:szCs w:val="24"/>
              </w:rPr>
            </w:pPr>
            <w:r w:rsidRPr="006A3E0D">
              <w:rPr>
                <w:rFonts w:ascii="Times New Roman" w:hAnsi="Times New Roman" w:cs="Times New Roman"/>
                <w:sz w:val="24"/>
                <w:szCs w:val="24"/>
              </w:rPr>
              <w:t xml:space="preserve">Stocks and investment funds </w:t>
            </w:r>
          </w:p>
        </w:tc>
        <w:tc>
          <w:tcPr>
            <w:tcW w:w="2025" w:type="pct"/>
            <w:vAlign w:val="center"/>
          </w:tcPr>
          <w:p w14:paraId="2B3A192E" w14:textId="77777777" w:rsidR="00876A73" w:rsidRPr="006A3E0D" w:rsidRDefault="00876A73" w:rsidP="006A3E0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E0D">
              <w:rPr>
                <w:rFonts w:ascii="Times New Roman" w:hAnsi="Times New Roman" w:cs="Times New Roman"/>
                <w:sz w:val="24"/>
                <w:szCs w:val="24"/>
              </w:rPr>
              <w:t>22.4%</w:t>
            </w:r>
          </w:p>
        </w:tc>
      </w:tr>
      <w:tr w:rsidR="00876A73" w:rsidRPr="006A3E0D" w14:paraId="3AC3DDDF" w14:textId="77777777" w:rsidTr="000D4BF8">
        <w:tc>
          <w:tcPr>
            <w:cnfStyle w:val="001000000000" w:firstRow="0" w:lastRow="0" w:firstColumn="1" w:lastColumn="0" w:oddVBand="0" w:evenVBand="0" w:oddHBand="0" w:evenHBand="0" w:firstRowFirstColumn="0" w:firstRowLastColumn="0" w:lastRowFirstColumn="0" w:lastRowLastColumn="0"/>
            <w:tcW w:w="2975" w:type="pct"/>
            <w:vAlign w:val="center"/>
          </w:tcPr>
          <w:p w14:paraId="5883DD33" w14:textId="77777777" w:rsidR="00876A73" w:rsidRPr="006A3E0D" w:rsidRDefault="00876A73" w:rsidP="006A3E0D">
            <w:pPr>
              <w:spacing w:line="276" w:lineRule="auto"/>
              <w:jc w:val="both"/>
              <w:rPr>
                <w:rFonts w:ascii="Times New Roman" w:hAnsi="Times New Roman" w:cs="Times New Roman"/>
                <w:sz w:val="24"/>
                <w:szCs w:val="24"/>
              </w:rPr>
            </w:pPr>
            <w:r w:rsidRPr="006A3E0D">
              <w:rPr>
                <w:rFonts w:ascii="Times New Roman" w:hAnsi="Times New Roman" w:cs="Times New Roman"/>
                <w:sz w:val="24"/>
                <w:szCs w:val="24"/>
              </w:rPr>
              <w:t>Insurance and Provident Fund/Pension</w:t>
            </w:r>
          </w:p>
        </w:tc>
        <w:tc>
          <w:tcPr>
            <w:tcW w:w="2025" w:type="pct"/>
            <w:vAlign w:val="center"/>
          </w:tcPr>
          <w:p w14:paraId="55C9D381" w14:textId="77777777" w:rsidR="00876A73" w:rsidRPr="006A3E0D" w:rsidRDefault="00876A73" w:rsidP="006A3E0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E0D">
              <w:rPr>
                <w:rFonts w:ascii="Times New Roman" w:hAnsi="Times New Roman" w:cs="Times New Roman"/>
                <w:sz w:val="24"/>
                <w:szCs w:val="24"/>
              </w:rPr>
              <w:t>28.8%</w:t>
            </w:r>
          </w:p>
        </w:tc>
      </w:tr>
      <w:tr w:rsidR="00876A73" w:rsidRPr="006A3E0D" w14:paraId="75CF2E37" w14:textId="77777777" w:rsidTr="000D4BF8">
        <w:tc>
          <w:tcPr>
            <w:cnfStyle w:val="001000000000" w:firstRow="0" w:lastRow="0" w:firstColumn="1" w:lastColumn="0" w:oddVBand="0" w:evenVBand="0" w:oddHBand="0" w:evenHBand="0" w:firstRowFirstColumn="0" w:firstRowLastColumn="0" w:lastRowFirstColumn="0" w:lastRowLastColumn="0"/>
            <w:tcW w:w="2975" w:type="pct"/>
            <w:vAlign w:val="center"/>
          </w:tcPr>
          <w:p w14:paraId="07237DF8" w14:textId="77777777" w:rsidR="00876A73" w:rsidRPr="006A3E0D" w:rsidRDefault="00876A73" w:rsidP="006A3E0D">
            <w:pPr>
              <w:spacing w:line="276" w:lineRule="auto"/>
              <w:jc w:val="both"/>
              <w:rPr>
                <w:rFonts w:ascii="Times New Roman" w:hAnsi="Times New Roman" w:cs="Times New Roman"/>
                <w:sz w:val="24"/>
                <w:szCs w:val="24"/>
              </w:rPr>
            </w:pPr>
            <w:r w:rsidRPr="006A3E0D">
              <w:rPr>
                <w:rFonts w:ascii="Times New Roman" w:hAnsi="Times New Roman" w:cs="Times New Roman"/>
                <w:sz w:val="24"/>
                <w:szCs w:val="24"/>
              </w:rPr>
              <w:t>Cash Holdings</w:t>
            </w:r>
          </w:p>
        </w:tc>
        <w:tc>
          <w:tcPr>
            <w:tcW w:w="2025" w:type="pct"/>
            <w:vAlign w:val="center"/>
          </w:tcPr>
          <w:p w14:paraId="77A45148" w14:textId="77777777" w:rsidR="00876A73" w:rsidRPr="006A3E0D" w:rsidRDefault="00876A73" w:rsidP="006A3E0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E0D">
              <w:rPr>
                <w:rFonts w:ascii="Times New Roman" w:hAnsi="Times New Roman" w:cs="Times New Roman"/>
                <w:sz w:val="24"/>
                <w:szCs w:val="24"/>
              </w:rPr>
              <w:t>7.6%</w:t>
            </w:r>
          </w:p>
        </w:tc>
      </w:tr>
      <w:tr w:rsidR="00876A73" w:rsidRPr="006A3E0D" w14:paraId="5338416C" w14:textId="77777777" w:rsidTr="000D4BF8">
        <w:tc>
          <w:tcPr>
            <w:cnfStyle w:val="001000000000" w:firstRow="0" w:lastRow="0" w:firstColumn="1" w:lastColumn="0" w:oddVBand="0" w:evenVBand="0" w:oddHBand="0" w:evenHBand="0" w:firstRowFirstColumn="0" w:firstRowLastColumn="0" w:lastRowFirstColumn="0" w:lastRowLastColumn="0"/>
            <w:tcW w:w="2975" w:type="pct"/>
            <w:vAlign w:val="center"/>
          </w:tcPr>
          <w:p w14:paraId="282CE5F3" w14:textId="77777777" w:rsidR="00876A73" w:rsidRPr="006A3E0D" w:rsidRDefault="00876A73" w:rsidP="006A3E0D">
            <w:pPr>
              <w:spacing w:line="276" w:lineRule="auto"/>
              <w:jc w:val="both"/>
              <w:rPr>
                <w:rFonts w:ascii="Times New Roman" w:hAnsi="Times New Roman" w:cs="Times New Roman"/>
                <w:sz w:val="24"/>
                <w:szCs w:val="24"/>
              </w:rPr>
            </w:pPr>
            <w:r w:rsidRPr="006A3E0D">
              <w:rPr>
                <w:rFonts w:ascii="Times New Roman" w:hAnsi="Times New Roman" w:cs="Times New Roman"/>
                <w:sz w:val="24"/>
                <w:szCs w:val="24"/>
              </w:rPr>
              <w:t>Debentures</w:t>
            </w:r>
          </w:p>
        </w:tc>
        <w:tc>
          <w:tcPr>
            <w:tcW w:w="2025" w:type="pct"/>
            <w:vAlign w:val="center"/>
          </w:tcPr>
          <w:p w14:paraId="5D7E5964" w14:textId="77777777" w:rsidR="00876A73" w:rsidRPr="006A3E0D" w:rsidRDefault="00876A73" w:rsidP="003D3E8D">
            <w:pPr>
              <w:keepNext/>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E0D">
              <w:rPr>
                <w:rFonts w:ascii="Times New Roman" w:hAnsi="Times New Roman" w:cs="Times New Roman"/>
                <w:sz w:val="24"/>
                <w:szCs w:val="24"/>
              </w:rPr>
              <w:t>0.6%</w:t>
            </w:r>
          </w:p>
        </w:tc>
      </w:tr>
    </w:tbl>
    <w:p w14:paraId="30329BE2" w14:textId="77777777" w:rsidR="00393D70" w:rsidRPr="004A571F" w:rsidRDefault="003D3E8D" w:rsidP="004A571F">
      <w:pPr>
        <w:pStyle w:val="Caption"/>
        <w:rPr>
          <w:rFonts w:ascii="Times New Roman" w:hAnsi="Times New Roman" w:cs="Times New Roman"/>
          <w:i/>
          <w:sz w:val="24"/>
          <w:szCs w:val="24"/>
        </w:rPr>
      </w:pPr>
      <w:r w:rsidRPr="003D3E8D">
        <w:rPr>
          <w:i/>
        </w:rPr>
        <w:t>Source: Reserve Bank of India. (2024). Handbook of Statistics on the Indian Economy</w:t>
      </w:r>
    </w:p>
    <w:p w14:paraId="20930A2A" w14:textId="77777777" w:rsidR="00392CC3" w:rsidRPr="007046AD" w:rsidRDefault="00393D70" w:rsidP="007046AD">
      <w:pPr>
        <w:pStyle w:val="ds-markdown-paragraph"/>
        <w:shd w:val="clear" w:color="auto" w:fill="FFFFFF"/>
        <w:spacing w:before="230" w:beforeAutospacing="0" w:line="276" w:lineRule="auto"/>
        <w:jc w:val="both"/>
        <w:rPr>
          <w:rFonts w:eastAsia="SimSun"/>
          <w:lang w:eastAsia="zh-CN"/>
        </w:rPr>
      </w:pPr>
      <w:r w:rsidRPr="007046AD">
        <w:rPr>
          <w:rFonts w:eastAsia="SimSun"/>
          <w:lang w:eastAsia="zh-CN"/>
        </w:rPr>
        <w:t xml:space="preserve">The household financial asset allocation trend in 2024 shows a minor change to diversified and </w:t>
      </w:r>
      <w:proofErr w:type="gramStart"/>
      <w:r w:rsidRPr="007046AD">
        <w:rPr>
          <w:rFonts w:eastAsia="SimSun"/>
          <w:lang w:eastAsia="zh-CN"/>
        </w:rPr>
        <w:t>growth oriented</w:t>
      </w:r>
      <w:proofErr w:type="gramEnd"/>
      <w:r w:rsidRPr="007046AD">
        <w:rPr>
          <w:rFonts w:eastAsia="SimSun"/>
          <w:lang w:eastAsia="zh-CN"/>
        </w:rPr>
        <w:t xml:space="preserve"> investment channels. Bank deposits remain important at 40.6, but it declined over 2019, which means that the company will be less dependent on conventional savings tools. The proportion of stocks and investment funds has been growing significantly, and now occupies 22.4 percent of total financial assets, indicating the growing household focus on capital markets, and their readiness to risk more in search of potentially greater returns. Provident/pension funds and insurance are also stable at 28.8, as they have confidence in financial protection in the long term. The cash holdings are slightly lower at 7.6 percent and may reflect better financial planning and reduced reliance on idle liquid assets. Their presence as a less preferred investment tool has been slightly decreasing to 0.6 assigned to debentures. This general pattern indicates that, as households become more financially literate and more actively engaged in the market, they increasingly switch to a less conservative financial mode and more diversified investment strategy in 2024.</w:t>
      </w:r>
    </w:p>
    <w:p w14:paraId="43F9B7A9" w14:textId="77777777" w:rsidR="00ED46B9" w:rsidRPr="006A3E0D" w:rsidRDefault="00ED46B9" w:rsidP="006A3E0D">
      <w:pPr>
        <w:pStyle w:val="Caption"/>
        <w:keepNext/>
        <w:spacing w:line="276" w:lineRule="auto"/>
        <w:jc w:val="both"/>
        <w:rPr>
          <w:rFonts w:ascii="Times New Roman" w:hAnsi="Times New Roman" w:cs="Times New Roman"/>
          <w:i/>
          <w:color w:val="auto"/>
          <w:sz w:val="24"/>
          <w:szCs w:val="24"/>
        </w:rPr>
      </w:pPr>
      <w:r w:rsidRPr="006A3E0D">
        <w:rPr>
          <w:rFonts w:ascii="Times New Roman" w:hAnsi="Times New Roman" w:cs="Times New Roman"/>
          <w:i/>
          <w:color w:val="auto"/>
          <w:sz w:val="24"/>
          <w:szCs w:val="24"/>
        </w:rPr>
        <w:t>Table 3 Comparative analysis in Family Expenditure Pattern in 2019 &amp; 2024</w:t>
      </w:r>
    </w:p>
    <w:tbl>
      <w:tblPr>
        <w:tblStyle w:val="TableClassic3"/>
        <w:tblW w:w="5000" w:type="pct"/>
        <w:tblLook w:val="04A0" w:firstRow="1" w:lastRow="0" w:firstColumn="1" w:lastColumn="0" w:noHBand="0" w:noVBand="1"/>
      </w:tblPr>
      <w:tblGrid>
        <w:gridCol w:w="4675"/>
        <w:gridCol w:w="1924"/>
        <w:gridCol w:w="1923"/>
      </w:tblGrid>
      <w:tr w:rsidR="00815217" w:rsidRPr="006A3E0D" w14:paraId="108D9B19" w14:textId="77777777" w:rsidTr="00ED46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3" w:type="pct"/>
          </w:tcPr>
          <w:p w14:paraId="5E07B665" w14:textId="77777777" w:rsidR="00815217" w:rsidRPr="006A3E0D" w:rsidRDefault="00D06276" w:rsidP="006A3E0D">
            <w:pPr>
              <w:spacing w:line="276" w:lineRule="auto"/>
              <w:jc w:val="both"/>
              <w:rPr>
                <w:rFonts w:ascii="Times New Roman" w:hAnsi="Times New Roman" w:cs="Times New Roman"/>
                <w:bCs w:val="0"/>
                <w:sz w:val="24"/>
                <w:szCs w:val="24"/>
              </w:rPr>
            </w:pPr>
            <w:r w:rsidRPr="006A3E0D">
              <w:rPr>
                <w:rFonts w:ascii="Times New Roman" w:eastAsia="SimSun" w:hAnsi="Times New Roman" w:cs="Times New Roman"/>
                <w:sz w:val="24"/>
                <w:szCs w:val="24"/>
              </w:rPr>
              <w:t>Category</w:t>
            </w:r>
          </w:p>
        </w:tc>
        <w:tc>
          <w:tcPr>
            <w:tcW w:w="1129" w:type="pct"/>
          </w:tcPr>
          <w:p w14:paraId="68ED1F06" w14:textId="77777777" w:rsidR="00815217" w:rsidRPr="006A3E0D" w:rsidRDefault="00D06276" w:rsidP="006A3E0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6A3E0D">
              <w:rPr>
                <w:rFonts w:ascii="Times New Roman" w:eastAsia="SimSun" w:hAnsi="Times New Roman" w:cs="Times New Roman"/>
                <w:sz w:val="24"/>
                <w:szCs w:val="24"/>
              </w:rPr>
              <w:t>2019 (%)</w:t>
            </w:r>
          </w:p>
        </w:tc>
        <w:tc>
          <w:tcPr>
            <w:tcW w:w="1128" w:type="pct"/>
          </w:tcPr>
          <w:p w14:paraId="6BCC1D51" w14:textId="77777777" w:rsidR="00815217" w:rsidRPr="006A3E0D" w:rsidRDefault="00D06276" w:rsidP="006A3E0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6A3E0D">
              <w:rPr>
                <w:rFonts w:ascii="Times New Roman" w:eastAsia="SimSun" w:hAnsi="Times New Roman" w:cs="Times New Roman"/>
                <w:sz w:val="24"/>
                <w:szCs w:val="24"/>
              </w:rPr>
              <w:t>2024 (%)</w:t>
            </w:r>
          </w:p>
        </w:tc>
      </w:tr>
      <w:tr w:rsidR="00DA54D9" w:rsidRPr="006A3E0D" w14:paraId="155A7900" w14:textId="77777777" w:rsidTr="00FA4B21">
        <w:tc>
          <w:tcPr>
            <w:cnfStyle w:val="001000000000" w:firstRow="0" w:lastRow="0" w:firstColumn="1" w:lastColumn="0" w:oddVBand="0" w:evenVBand="0" w:oddHBand="0" w:evenHBand="0" w:firstRowFirstColumn="0" w:firstRowLastColumn="0" w:lastRowFirstColumn="0" w:lastRowLastColumn="0"/>
            <w:tcW w:w="2743" w:type="pct"/>
            <w:vAlign w:val="center"/>
          </w:tcPr>
          <w:p w14:paraId="2383CC80" w14:textId="77777777" w:rsidR="00DA54D9" w:rsidRPr="006A3E0D" w:rsidRDefault="00DA54D9" w:rsidP="006A3E0D">
            <w:pPr>
              <w:spacing w:line="276" w:lineRule="auto"/>
              <w:jc w:val="both"/>
              <w:rPr>
                <w:rFonts w:ascii="Times New Roman" w:hAnsi="Times New Roman" w:cs="Times New Roman"/>
                <w:sz w:val="24"/>
                <w:szCs w:val="24"/>
              </w:rPr>
            </w:pPr>
            <w:r w:rsidRPr="006A3E0D">
              <w:rPr>
                <w:rFonts w:ascii="Times New Roman" w:hAnsi="Times New Roman" w:cs="Times New Roman"/>
                <w:sz w:val="24"/>
                <w:szCs w:val="24"/>
              </w:rPr>
              <w:t>Bank Deposits</w:t>
            </w:r>
          </w:p>
        </w:tc>
        <w:tc>
          <w:tcPr>
            <w:tcW w:w="1129" w:type="pct"/>
            <w:vAlign w:val="center"/>
          </w:tcPr>
          <w:p w14:paraId="124909BE" w14:textId="77777777" w:rsidR="00DA54D9" w:rsidRPr="006A3E0D" w:rsidRDefault="00DA54D9" w:rsidP="006A3E0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E0D">
              <w:rPr>
                <w:rFonts w:ascii="Times New Roman" w:hAnsi="Times New Roman" w:cs="Times New Roman"/>
                <w:sz w:val="24"/>
                <w:szCs w:val="24"/>
              </w:rPr>
              <w:t>46.3%</w:t>
            </w:r>
          </w:p>
        </w:tc>
        <w:tc>
          <w:tcPr>
            <w:tcW w:w="1128" w:type="pct"/>
            <w:vAlign w:val="center"/>
          </w:tcPr>
          <w:p w14:paraId="17077D31" w14:textId="77777777" w:rsidR="00DA54D9" w:rsidRPr="006A3E0D" w:rsidRDefault="00DA54D9" w:rsidP="006A3E0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E0D">
              <w:rPr>
                <w:rFonts w:ascii="Times New Roman" w:hAnsi="Times New Roman" w:cs="Times New Roman"/>
                <w:sz w:val="24"/>
                <w:szCs w:val="24"/>
              </w:rPr>
              <w:t>40.6%</w:t>
            </w:r>
          </w:p>
        </w:tc>
      </w:tr>
      <w:tr w:rsidR="00DA54D9" w:rsidRPr="006A3E0D" w14:paraId="69EACDE8" w14:textId="77777777" w:rsidTr="00FA4B21">
        <w:tc>
          <w:tcPr>
            <w:cnfStyle w:val="001000000000" w:firstRow="0" w:lastRow="0" w:firstColumn="1" w:lastColumn="0" w:oddVBand="0" w:evenVBand="0" w:oddHBand="0" w:evenHBand="0" w:firstRowFirstColumn="0" w:firstRowLastColumn="0" w:lastRowFirstColumn="0" w:lastRowLastColumn="0"/>
            <w:tcW w:w="2743" w:type="pct"/>
            <w:vAlign w:val="center"/>
          </w:tcPr>
          <w:p w14:paraId="4AE0B151" w14:textId="77777777" w:rsidR="00DA54D9" w:rsidRPr="006A3E0D" w:rsidRDefault="00DA54D9" w:rsidP="006A3E0D">
            <w:pPr>
              <w:spacing w:line="276" w:lineRule="auto"/>
              <w:jc w:val="both"/>
              <w:rPr>
                <w:rFonts w:ascii="Times New Roman" w:hAnsi="Times New Roman" w:cs="Times New Roman"/>
                <w:sz w:val="24"/>
                <w:szCs w:val="24"/>
              </w:rPr>
            </w:pPr>
            <w:r w:rsidRPr="006A3E0D">
              <w:rPr>
                <w:rFonts w:ascii="Times New Roman" w:hAnsi="Times New Roman" w:cs="Times New Roman"/>
                <w:sz w:val="24"/>
                <w:szCs w:val="24"/>
              </w:rPr>
              <w:t xml:space="preserve">Stocks and investment funds </w:t>
            </w:r>
          </w:p>
        </w:tc>
        <w:tc>
          <w:tcPr>
            <w:tcW w:w="1129" w:type="pct"/>
            <w:vAlign w:val="center"/>
          </w:tcPr>
          <w:p w14:paraId="28FF52BC" w14:textId="77777777" w:rsidR="00DA54D9" w:rsidRPr="006A3E0D" w:rsidRDefault="00DA54D9" w:rsidP="006A3E0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E0D">
              <w:rPr>
                <w:rFonts w:ascii="Times New Roman" w:hAnsi="Times New Roman" w:cs="Times New Roman"/>
                <w:sz w:val="24"/>
                <w:szCs w:val="24"/>
              </w:rPr>
              <w:t>15.7%</w:t>
            </w:r>
          </w:p>
        </w:tc>
        <w:tc>
          <w:tcPr>
            <w:tcW w:w="1128" w:type="pct"/>
            <w:vAlign w:val="center"/>
          </w:tcPr>
          <w:p w14:paraId="6615B5C2" w14:textId="77777777" w:rsidR="00DA54D9" w:rsidRPr="006A3E0D" w:rsidRDefault="00DA54D9" w:rsidP="006A3E0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E0D">
              <w:rPr>
                <w:rFonts w:ascii="Times New Roman" w:hAnsi="Times New Roman" w:cs="Times New Roman"/>
                <w:sz w:val="24"/>
                <w:szCs w:val="24"/>
              </w:rPr>
              <w:t>22.4%</w:t>
            </w:r>
          </w:p>
        </w:tc>
      </w:tr>
      <w:tr w:rsidR="00DA54D9" w:rsidRPr="006A3E0D" w14:paraId="32955A57" w14:textId="77777777" w:rsidTr="00FA4B21">
        <w:tc>
          <w:tcPr>
            <w:cnfStyle w:val="001000000000" w:firstRow="0" w:lastRow="0" w:firstColumn="1" w:lastColumn="0" w:oddVBand="0" w:evenVBand="0" w:oddHBand="0" w:evenHBand="0" w:firstRowFirstColumn="0" w:firstRowLastColumn="0" w:lastRowFirstColumn="0" w:lastRowLastColumn="0"/>
            <w:tcW w:w="2743" w:type="pct"/>
            <w:vAlign w:val="center"/>
          </w:tcPr>
          <w:p w14:paraId="6FEA35D7" w14:textId="77777777" w:rsidR="00DA54D9" w:rsidRPr="006A3E0D" w:rsidRDefault="00DA54D9" w:rsidP="006A3E0D">
            <w:pPr>
              <w:spacing w:line="276" w:lineRule="auto"/>
              <w:jc w:val="both"/>
              <w:rPr>
                <w:rFonts w:ascii="Times New Roman" w:hAnsi="Times New Roman" w:cs="Times New Roman"/>
                <w:sz w:val="24"/>
                <w:szCs w:val="24"/>
              </w:rPr>
            </w:pPr>
            <w:r w:rsidRPr="006A3E0D">
              <w:rPr>
                <w:rFonts w:ascii="Times New Roman" w:hAnsi="Times New Roman" w:cs="Times New Roman"/>
                <w:sz w:val="24"/>
                <w:szCs w:val="24"/>
              </w:rPr>
              <w:t>Insurance and Provident Fund/Pension</w:t>
            </w:r>
          </w:p>
        </w:tc>
        <w:tc>
          <w:tcPr>
            <w:tcW w:w="1129" w:type="pct"/>
            <w:vAlign w:val="center"/>
          </w:tcPr>
          <w:p w14:paraId="07205CEA" w14:textId="77777777" w:rsidR="00DA54D9" w:rsidRPr="006A3E0D" w:rsidRDefault="00DA54D9" w:rsidP="006A3E0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E0D">
              <w:rPr>
                <w:rFonts w:ascii="Times New Roman" w:hAnsi="Times New Roman" w:cs="Times New Roman"/>
                <w:sz w:val="24"/>
                <w:szCs w:val="24"/>
              </w:rPr>
              <w:t>28.6%</w:t>
            </w:r>
          </w:p>
        </w:tc>
        <w:tc>
          <w:tcPr>
            <w:tcW w:w="1128" w:type="pct"/>
            <w:vAlign w:val="center"/>
          </w:tcPr>
          <w:p w14:paraId="7F992E62" w14:textId="77777777" w:rsidR="00DA54D9" w:rsidRPr="006A3E0D" w:rsidRDefault="00DA54D9" w:rsidP="006A3E0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E0D">
              <w:rPr>
                <w:rFonts w:ascii="Times New Roman" w:hAnsi="Times New Roman" w:cs="Times New Roman"/>
                <w:sz w:val="24"/>
                <w:szCs w:val="24"/>
              </w:rPr>
              <w:t>28.8%</w:t>
            </w:r>
          </w:p>
        </w:tc>
      </w:tr>
      <w:tr w:rsidR="00DA54D9" w:rsidRPr="006A3E0D" w14:paraId="097A36E8" w14:textId="77777777" w:rsidTr="00FA4B21">
        <w:tc>
          <w:tcPr>
            <w:cnfStyle w:val="001000000000" w:firstRow="0" w:lastRow="0" w:firstColumn="1" w:lastColumn="0" w:oddVBand="0" w:evenVBand="0" w:oddHBand="0" w:evenHBand="0" w:firstRowFirstColumn="0" w:firstRowLastColumn="0" w:lastRowFirstColumn="0" w:lastRowLastColumn="0"/>
            <w:tcW w:w="2743" w:type="pct"/>
            <w:vAlign w:val="center"/>
          </w:tcPr>
          <w:p w14:paraId="26B79572" w14:textId="77777777" w:rsidR="00DA54D9" w:rsidRPr="006A3E0D" w:rsidRDefault="00DA54D9" w:rsidP="006A3E0D">
            <w:pPr>
              <w:spacing w:line="276" w:lineRule="auto"/>
              <w:jc w:val="both"/>
              <w:rPr>
                <w:rFonts w:ascii="Times New Roman" w:hAnsi="Times New Roman" w:cs="Times New Roman"/>
                <w:sz w:val="24"/>
                <w:szCs w:val="24"/>
              </w:rPr>
            </w:pPr>
            <w:r w:rsidRPr="006A3E0D">
              <w:rPr>
                <w:rFonts w:ascii="Times New Roman" w:hAnsi="Times New Roman" w:cs="Times New Roman"/>
                <w:sz w:val="24"/>
                <w:szCs w:val="24"/>
              </w:rPr>
              <w:t>Cash Holdings</w:t>
            </w:r>
          </w:p>
        </w:tc>
        <w:tc>
          <w:tcPr>
            <w:tcW w:w="1129" w:type="pct"/>
            <w:vAlign w:val="center"/>
          </w:tcPr>
          <w:p w14:paraId="6BED0815" w14:textId="77777777" w:rsidR="00DA54D9" w:rsidRPr="006A3E0D" w:rsidRDefault="00DA54D9" w:rsidP="006A3E0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E0D">
              <w:rPr>
                <w:rFonts w:ascii="Times New Roman" w:hAnsi="Times New Roman" w:cs="Times New Roman"/>
                <w:sz w:val="24"/>
                <w:szCs w:val="24"/>
              </w:rPr>
              <w:t>8.6%</w:t>
            </w:r>
          </w:p>
        </w:tc>
        <w:tc>
          <w:tcPr>
            <w:tcW w:w="1128" w:type="pct"/>
            <w:vAlign w:val="center"/>
          </w:tcPr>
          <w:p w14:paraId="7F5C0D61" w14:textId="77777777" w:rsidR="00DA54D9" w:rsidRPr="006A3E0D" w:rsidRDefault="00DA54D9" w:rsidP="006A3E0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E0D">
              <w:rPr>
                <w:rFonts w:ascii="Times New Roman" w:hAnsi="Times New Roman" w:cs="Times New Roman"/>
                <w:sz w:val="24"/>
                <w:szCs w:val="24"/>
              </w:rPr>
              <w:t>7.6%</w:t>
            </w:r>
          </w:p>
        </w:tc>
      </w:tr>
      <w:tr w:rsidR="00DA54D9" w:rsidRPr="006A3E0D" w14:paraId="330AC568" w14:textId="77777777" w:rsidTr="00FA4B21">
        <w:tc>
          <w:tcPr>
            <w:cnfStyle w:val="001000000000" w:firstRow="0" w:lastRow="0" w:firstColumn="1" w:lastColumn="0" w:oddVBand="0" w:evenVBand="0" w:oddHBand="0" w:evenHBand="0" w:firstRowFirstColumn="0" w:firstRowLastColumn="0" w:lastRowFirstColumn="0" w:lastRowLastColumn="0"/>
            <w:tcW w:w="2743" w:type="pct"/>
            <w:vAlign w:val="center"/>
          </w:tcPr>
          <w:p w14:paraId="30990EB7" w14:textId="77777777" w:rsidR="00DA54D9" w:rsidRPr="006A3E0D" w:rsidRDefault="00DA54D9" w:rsidP="006A3E0D">
            <w:pPr>
              <w:spacing w:line="276" w:lineRule="auto"/>
              <w:jc w:val="both"/>
              <w:rPr>
                <w:rFonts w:ascii="Times New Roman" w:hAnsi="Times New Roman" w:cs="Times New Roman"/>
                <w:sz w:val="24"/>
                <w:szCs w:val="24"/>
              </w:rPr>
            </w:pPr>
            <w:r w:rsidRPr="006A3E0D">
              <w:rPr>
                <w:rFonts w:ascii="Times New Roman" w:hAnsi="Times New Roman" w:cs="Times New Roman"/>
                <w:sz w:val="24"/>
                <w:szCs w:val="24"/>
              </w:rPr>
              <w:t>Debentures</w:t>
            </w:r>
          </w:p>
        </w:tc>
        <w:tc>
          <w:tcPr>
            <w:tcW w:w="1129" w:type="pct"/>
            <w:vAlign w:val="center"/>
          </w:tcPr>
          <w:p w14:paraId="7AD6514D" w14:textId="77777777" w:rsidR="00DA54D9" w:rsidRPr="006A3E0D" w:rsidRDefault="00DA54D9" w:rsidP="006A3E0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E0D">
              <w:rPr>
                <w:rFonts w:ascii="Times New Roman" w:hAnsi="Times New Roman" w:cs="Times New Roman"/>
                <w:sz w:val="24"/>
                <w:szCs w:val="24"/>
              </w:rPr>
              <w:t>0.8%</w:t>
            </w:r>
          </w:p>
        </w:tc>
        <w:tc>
          <w:tcPr>
            <w:tcW w:w="1128" w:type="pct"/>
            <w:vAlign w:val="center"/>
          </w:tcPr>
          <w:p w14:paraId="0AF9FA7A" w14:textId="77777777" w:rsidR="00DA54D9" w:rsidRPr="006A3E0D" w:rsidRDefault="00DA54D9" w:rsidP="003221ED">
            <w:pPr>
              <w:keepNext/>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E0D">
              <w:rPr>
                <w:rFonts w:ascii="Times New Roman" w:hAnsi="Times New Roman" w:cs="Times New Roman"/>
                <w:sz w:val="24"/>
                <w:szCs w:val="24"/>
              </w:rPr>
              <w:t>0.6%</w:t>
            </w:r>
          </w:p>
        </w:tc>
      </w:tr>
    </w:tbl>
    <w:p w14:paraId="3F43EB44" w14:textId="77777777" w:rsidR="003221ED" w:rsidRPr="003D3E8D" w:rsidRDefault="003221ED" w:rsidP="003221ED">
      <w:pPr>
        <w:pStyle w:val="Caption"/>
        <w:rPr>
          <w:rFonts w:ascii="Times New Roman" w:hAnsi="Times New Roman" w:cs="Times New Roman"/>
          <w:i/>
          <w:sz w:val="24"/>
          <w:szCs w:val="24"/>
        </w:rPr>
      </w:pPr>
      <w:r w:rsidRPr="003D3E8D">
        <w:rPr>
          <w:i/>
        </w:rPr>
        <w:t>Source: Reserve Bank of India. (</w:t>
      </w:r>
      <w:r>
        <w:rPr>
          <w:i/>
        </w:rPr>
        <w:t xml:space="preserve">2019 &amp; </w:t>
      </w:r>
      <w:r w:rsidRPr="003D3E8D">
        <w:rPr>
          <w:i/>
        </w:rPr>
        <w:t>2024). Handbook of Statistics on the Indian Economy</w:t>
      </w:r>
    </w:p>
    <w:p w14:paraId="2BA56A4B" w14:textId="77777777" w:rsidR="003221ED" w:rsidRDefault="003221ED">
      <w:pPr>
        <w:pStyle w:val="Caption"/>
      </w:pPr>
    </w:p>
    <w:p w14:paraId="03EB89E1" w14:textId="77777777" w:rsidR="00CF6FE1" w:rsidRPr="006A3E0D" w:rsidRDefault="00600CE2" w:rsidP="006A3E0D">
      <w:pPr>
        <w:pStyle w:val="Caption"/>
        <w:spacing w:line="276" w:lineRule="auto"/>
        <w:jc w:val="both"/>
        <w:rPr>
          <w:rFonts w:ascii="Times New Roman" w:hAnsi="Times New Roman" w:cs="Times New Roman"/>
          <w:b w:val="0"/>
          <w:bCs w:val="0"/>
          <w:i/>
          <w:sz w:val="24"/>
          <w:szCs w:val="24"/>
        </w:rPr>
      </w:pPr>
      <w:r w:rsidRPr="006A3E0D">
        <w:rPr>
          <w:rFonts w:ascii="Times New Roman" w:hAnsi="Times New Roman" w:cs="Times New Roman"/>
          <w:i/>
          <w:noProof/>
          <w:sz w:val="24"/>
          <w:szCs w:val="24"/>
          <w:lang w:eastAsia="en-US"/>
        </w:rPr>
        <w:drawing>
          <wp:anchor distT="0" distB="0" distL="114300" distR="114300" simplePos="0" relativeHeight="251658240" behindDoc="0" locked="0" layoutInCell="1" allowOverlap="1" wp14:anchorId="01F2F4FA" wp14:editId="60ACDC02">
            <wp:simplePos x="0" y="0"/>
            <wp:positionH relativeFrom="column">
              <wp:posOffset>100965</wp:posOffset>
            </wp:positionH>
            <wp:positionV relativeFrom="paragraph">
              <wp:posOffset>436880</wp:posOffset>
            </wp:positionV>
            <wp:extent cx="5186045" cy="2099945"/>
            <wp:effectExtent l="114300" t="76200" r="90805" b="71755"/>
            <wp:wrapSquare wrapText="bothSides"/>
            <wp:docPr id="5" name="Picture 1" descr="C:\Users\Staff\Downloads\45316783-c1ba-47cf-ba71-595bbecd07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Downloads\45316783-c1ba-47cf-ba71-595bbecd070e"/>
                    <pic:cNvPicPr>
                      <a:picLocks noChangeAspect="1" noChangeArrowheads="1"/>
                    </pic:cNvPicPr>
                  </pic:nvPicPr>
                  <pic:blipFill>
                    <a:blip r:embed="rId8" cstate="print"/>
                    <a:srcRect/>
                    <a:stretch>
                      <a:fillRect/>
                    </a:stretch>
                  </pic:blipFill>
                  <pic:spPr bwMode="auto">
                    <a:xfrm>
                      <a:off x="0" y="0"/>
                      <a:ext cx="5186045" cy="20999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AD7B69" w:rsidRPr="006A3E0D">
        <w:rPr>
          <w:rFonts w:ascii="Times New Roman" w:hAnsi="Times New Roman" w:cs="Times New Roman"/>
          <w:i/>
          <w:sz w:val="24"/>
          <w:szCs w:val="24"/>
        </w:rPr>
        <w:t xml:space="preserve">Source: Reserve Bank of India (RBI) &amp; Ministry of Statistics and </w:t>
      </w:r>
      <w:proofErr w:type="spellStart"/>
      <w:r w:rsidR="00AD7B69" w:rsidRPr="006A3E0D">
        <w:rPr>
          <w:rFonts w:ascii="Times New Roman" w:hAnsi="Times New Roman" w:cs="Times New Roman"/>
          <w:i/>
          <w:sz w:val="24"/>
          <w:szCs w:val="24"/>
        </w:rPr>
        <w:t>Programme</w:t>
      </w:r>
      <w:proofErr w:type="spellEnd"/>
      <w:r w:rsidR="00AD7B69" w:rsidRPr="006A3E0D">
        <w:rPr>
          <w:rFonts w:ascii="Times New Roman" w:hAnsi="Times New Roman" w:cs="Times New Roman"/>
          <w:i/>
          <w:sz w:val="24"/>
          <w:szCs w:val="24"/>
        </w:rPr>
        <w:t xml:space="preserve"> </w:t>
      </w:r>
      <w:r w:rsidR="00AD7B69" w:rsidRPr="006A3E0D">
        <w:rPr>
          <w:rFonts w:ascii="Times New Roman" w:hAnsi="Times New Roman" w:cs="Times New Roman"/>
          <w:i/>
          <w:sz w:val="24"/>
          <w:szCs w:val="24"/>
        </w:rPr>
        <w:lastRenderedPageBreak/>
        <w:t>Implementation (</w:t>
      </w:r>
      <w:proofErr w:type="spellStart"/>
      <w:r w:rsidR="00AD7B69" w:rsidRPr="006A3E0D">
        <w:rPr>
          <w:rFonts w:ascii="Times New Roman" w:hAnsi="Times New Roman" w:cs="Times New Roman"/>
          <w:i/>
          <w:sz w:val="24"/>
          <w:szCs w:val="24"/>
        </w:rPr>
        <w:t>MoSPI</w:t>
      </w:r>
      <w:proofErr w:type="spellEnd"/>
      <w:r w:rsidR="00AD7B69" w:rsidRPr="006A3E0D">
        <w:rPr>
          <w:rFonts w:ascii="Times New Roman" w:hAnsi="Times New Roman" w:cs="Times New Roman"/>
          <w:i/>
          <w:sz w:val="24"/>
          <w:szCs w:val="24"/>
        </w:rPr>
        <w:t>)</w:t>
      </w:r>
    </w:p>
    <w:p w14:paraId="7E152CEA" w14:textId="77777777" w:rsidR="00CF6FE1" w:rsidRPr="006A3E0D" w:rsidRDefault="00CF6FE1" w:rsidP="006A3E0D">
      <w:pPr>
        <w:pStyle w:val="NormalWeb"/>
        <w:spacing w:line="276" w:lineRule="auto"/>
        <w:jc w:val="both"/>
        <w:rPr>
          <w:b/>
        </w:rPr>
      </w:pPr>
    </w:p>
    <w:p w14:paraId="0D690559" w14:textId="77777777" w:rsidR="00815217" w:rsidRPr="006A3E0D" w:rsidRDefault="00273D60" w:rsidP="006A3E0D">
      <w:pPr>
        <w:pStyle w:val="NormalWeb"/>
        <w:spacing w:line="276" w:lineRule="auto"/>
        <w:jc w:val="both"/>
        <w:rPr>
          <w:b/>
          <w:bCs/>
        </w:rPr>
      </w:pPr>
      <w:r w:rsidRPr="006A3E0D">
        <w:rPr>
          <w:b/>
        </w:rPr>
        <w:t>Key insights from Table 3:</w:t>
      </w:r>
    </w:p>
    <w:p w14:paraId="10FED005" w14:textId="77777777" w:rsidR="004A571F" w:rsidRPr="00031BFA" w:rsidRDefault="001878B7" w:rsidP="004A571F">
      <w:pPr>
        <w:pStyle w:val="ListParagraph"/>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US"/>
        </w:rPr>
      </w:pPr>
      <w:r w:rsidRPr="00031BFA">
        <w:rPr>
          <w:rFonts w:ascii="Times New Roman" w:eastAsia="SimSun" w:hAnsi="Times New Roman"/>
          <w:b/>
          <w:sz w:val="24"/>
          <w:szCs w:val="24"/>
        </w:rPr>
        <w:t>Reduction in Bank Deposits:</w:t>
      </w:r>
      <w:r w:rsidRPr="00031BFA">
        <w:rPr>
          <w:rFonts w:ascii="Times New Roman" w:eastAsia="SimSun" w:hAnsi="Times New Roman"/>
          <w:sz w:val="24"/>
          <w:szCs w:val="24"/>
        </w:rPr>
        <w:t xml:space="preserve"> Household investment in bank deposits decreased as a percentage of total investment in 2024 (40.6) compared to 2019 (46.3), and represents less dependence on classic savings vehicles.</w:t>
      </w:r>
    </w:p>
    <w:p w14:paraId="1A7F1B7F" w14:textId="77777777" w:rsidR="001878B7" w:rsidRPr="00031BFA" w:rsidRDefault="001878B7" w:rsidP="004A571F">
      <w:pPr>
        <w:pStyle w:val="ListParagraph"/>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US"/>
        </w:rPr>
      </w:pPr>
      <w:r w:rsidRPr="00031BFA">
        <w:rPr>
          <w:rFonts w:ascii="Times New Roman" w:eastAsia="SimSun" w:hAnsi="Times New Roman"/>
          <w:b/>
          <w:sz w:val="24"/>
          <w:szCs w:val="24"/>
        </w:rPr>
        <w:t>Increase in Stock Market Investment:</w:t>
      </w:r>
      <w:r w:rsidRPr="00031BFA">
        <w:rPr>
          <w:rFonts w:ascii="Times New Roman" w:eastAsia="SimSun" w:hAnsi="Times New Roman"/>
          <w:sz w:val="24"/>
          <w:szCs w:val="24"/>
        </w:rPr>
        <w:t xml:space="preserve"> The investment in stocks and mutual funds rose to 22.4 percent and the interest in assets that can be found in the market and have higher returns also increased to 22.4 percent.</w:t>
      </w:r>
    </w:p>
    <w:p w14:paraId="194E9C26" w14:textId="77777777" w:rsidR="004A571F" w:rsidRPr="00031BFA" w:rsidRDefault="001878B7" w:rsidP="004A571F">
      <w:pPr>
        <w:pStyle w:val="ListParagraph"/>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US"/>
        </w:rPr>
      </w:pPr>
      <w:r w:rsidRPr="00031BFA">
        <w:rPr>
          <w:rFonts w:ascii="Times New Roman" w:eastAsia="SimSun" w:hAnsi="Times New Roman"/>
          <w:b/>
          <w:sz w:val="24"/>
          <w:szCs w:val="24"/>
        </w:rPr>
        <w:t>Stability in insurance and pension funds:</w:t>
      </w:r>
      <w:r w:rsidRPr="00031BFA">
        <w:rPr>
          <w:rFonts w:ascii="Times New Roman" w:eastAsia="SimSun" w:hAnsi="Times New Roman"/>
          <w:sz w:val="24"/>
          <w:szCs w:val="24"/>
        </w:rPr>
        <w:t xml:space="preserve"> The share in insurance and provident/pension funds did not change significantly (28.6 in 2019-28.8 in 2024), as confidence in long-term security schemes still persisted.</w:t>
      </w:r>
      <w:r w:rsidR="004A571F" w:rsidRPr="00031BFA">
        <w:rPr>
          <w:rFonts w:ascii="Times New Roman" w:eastAsia="SimSun" w:hAnsi="Times New Roman"/>
          <w:sz w:val="24"/>
          <w:szCs w:val="24"/>
        </w:rPr>
        <w:t xml:space="preserve"> </w:t>
      </w:r>
      <w:r w:rsidRPr="00031BFA">
        <w:rPr>
          <w:rFonts w:ascii="Times New Roman" w:eastAsia="SimSun" w:hAnsi="Times New Roman"/>
          <w:sz w:val="24"/>
          <w:szCs w:val="24"/>
        </w:rPr>
        <w:t xml:space="preserve"> </w:t>
      </w:r>
    </w:p>
    <w:p w14:paraId="77C91C71" w14:textId="77777777" w:rsidR="001878B7" w:rsidRPr="00031BFA" w:rsidRDefault="001878B7" w:rsidP="004A571F">
      <w:pPr>
        <w:pStyle w:val="ListParagraph"/>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US"/>
        </w:rPr>
      </w:pPr>
      <w:r w:rsidRPr="00031BFA">
        <w:rPr>
          <w:rFonts w:ascii="Times New Roman" w:eastAsia="SimSun" w:hAnsi="Times New Roman"/>
          <w:b/>
          <w:sz w:val="24"/>
          <w:szCs w:val="24"/>
        </w:rPr>
        <w:t>Minor Dilution of Cash Holdings:</w:t>
      </w:r>
      <w:r w:rsidRPr="00031BFA">
        <w:rPr>
          <w:rFonts w:ascii="Times New Roman" w:eastAsia="SimSun" w:hAnsi="Times New Roman"/>
          <w:sz w:val="24"/>
          <w:szCs w:val="24"/>
        </w:rPr>
        <w:t xml:space="preserve"> Cash holdings reduced by 8.6 to 7.6 which is an indication that the liquidity is improved.</w:t>
      </w:r>
    </w:p>
    <w:p w14:paraId="7955158E" w14:textId="77777777" w:rsidR="00914D45" w:rsidRPr="00031BFA" w:rsidRDefault="001878B7" w:rsidP="00914D45">
      <w:pPr>
        <w:pStyle w:val="ListParagraph"/>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US"/>
        </w:rPr>
      </w:pPr>
      <w:r w:rsidRPr="00031BFA">
        <w:rPr>
          <w:rFonts w:ascii="Times New Roman" w:eastAsia="SimSun" w:hAnsi="Times New Roman"/>
          <w:b/>
          <w:sz w:val="24"/>
          <w:szCs w:val="24"/>
        </w:rPr>
        <w:t>Minor Decrease in Debenture Investment</w:t>
      </w:r>
      <w:r w:rsidRPr="00031BFA">
        <w:rPr>
          <w:rFonts w:ascii="Times New Roman" w:eastAsia="SimSun" w:hAnsi="Times New Roman"/>
          <w:sz w:val="24"/>
          <w:szCs w:val="24"/>
        </w:rPr>
        <w:t>: The investment in debentures decreased marginally by 0.8 to 0.6 again confirming their poor choices amongst the households.</w:t>
      </w:r>
    </w:p>
    <w:p w14:paraId="5028E830" w14:textId="77777777" w:rsidR="00914D45" w:rsidRPr="00031BFA" w:rsidRDefault="00914D45" w:rsidP="00914D45">
      <w:pPr>
        <w:pStyle w:val="ListParagraph"/>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US"/>
        </w:rPr>
      </w:pPr>
      <w:r w:rsidRPr="00031BFA">
        <w:rPr>
          <w:rFonts w:ascii="Times New Roman" w:eastAsia="SimSun" w:hAnsi="Times New Roman"/>
          <w:b/>
          <w:sz w:val="24"/>
          <w:szCs w:val="24"/>
        </w:rPr>
        <w:t>Shift</w:t>
      </w:r>
      <w:r w:rsidR="001878B7" w:rsidRPr="00031BFA">
        <w:rPr>
          <w:rFonts w:ascii="Times New Roman" w:eastAsia="SimSun" w:hAnsi="Times New Roman"/>
          <w:b/>
          <w:sz w:val="24"/>
          <w:szCs w:val="24"/>
        </w:rPr>
        <w:t xml:space="preserve"> to Diversification:</w:t>
      </w:r>
      <w:r w:rsidR="001878B7" w:rsidRPr="00031BFA">
        <w:rPr>
          <w:rFonts w:ascii="Times New Roman" w:eastAsia="SimSun" w:hAnsi="Times New Roman"/>
          <w:sz w:val="24"/>
          <w:szCs w:val="24"/>
        </w:rPr>
        <w:t xml:space="preserve"> the general trend is transitioning toward a more diversified and return-seeking investment pattern.</w:t>
      </w:r>
    </w:p>
    <w:p w14:paraId="4C60602A" w14:textId="77777777" w:rsidR="00914D45" w:rsidRPr="00031BFA" w:rsidRDefault="001878B7" w:rsidP="00914D45">
      <w:pPr>
        <w:pStyle w:val="ListParagraph"/>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US"/>
        </w:rPr>
      </w:pPr>
      <w:r w:rsidRPr="00031BFA">
        <w:rPr>
          <w:rFonts w:ascii="Times New Roman" w:eastAsia="SimSun" w:hAnsi="Times New Roman"/>
          <w:b/>
          <w:sz w:val="24"/>
          <w:szCs w:val="24"/>
        </w:rPr>
        <w:t>Financial Literacy Effect:</w:t>
      </w:r>
      <w:r w:rsidRPr="00031BFA">
        <w:rPr>
          <w:rFonts w:ascii="Times New Roman" w:eastAsia="SimSun" w:hAnsi="Times New Roman"/>
          <w:sz w:val="24"/>
          <w:szCs w:val="24"/>
        </w:rPr>
        <w:t xml:space="preserve"> The shift can be explained by the rise in the level of financial literacy, digital investment sources, and better understanding of market instruments. </w:t>
      </w:r>
    </w:p>
    <w:p w14:paraId="28560639" w14:textId="77777777" w:rsidR="00815217" w:rsidRPr="00031BFA" w:rsidRDefault="001878B7" w:rsidP="00914D45">
      <w:pPr>
        <w:pStyle w:val="ListParagraph"/>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US"/>
        </w:rPr>
      </w:pPr>
      <w:r w:rsidRPr="00031BFA">
        <w:rPr>
          <w:rFonts w:ascii="Times New Roman" w:eastAsia="SimSun" w:hAnsi="Times New Roman"/>
          <w:b/>
          <w:sz w:val="24"/>
          <w:szCs w:val="24"/>
        </w:rPr>
        <w:t>Altering Economic Mood:</w:t>
      </w:r>
      <w:r w:rsidRPr="00031BFA">
        <w:rPr>
          <w:rFonts w:ascii="Times New Roman" w:eastAsia="SimSun" w:hAnsi="Times New Roman"/>
          <w:sz w:val="24"/>
          <w:szCs w:val="24"/>
        </w:rPr>
        <w:t xml:space="preserve"> It seems that households are becoming bolder and more willing to pursue riskier yet potentially profitable items, perhaps due to the changing levels of income and economic </w:t>
      </w:r>
      <w:proofErr w:type="gramStart"/>
      <w:r w:rsidRPr="00031BFA">
        <w:rPr>
          <w:rFonts w:ascii="Times New Roman" w:eastAsia="SimSun" w:hAnsi="Times New Roman"/>
          <w:sz w:val="24"/>
          <w:szCs w:val="24"/>
        </w:rPr>
        <w:t>expectations.</w:t>
      </w:r>
      <w:r w:rsidR="00273D60" w:rsidRPr="00031BFA">
        <w:rPr>
          <w:rFonts w:ascii="Times New Roman" w:eastAsia="SimSun" w:hAnsi="Times New Roman" w:cs="Times New Roman"/>
          <w:sz w:val="24"/>
          <w:szCs w:val="24"/>
        </w:rPr>
        <w:t>.</w:t>
      </w:r>
      <w:proofErr w:type="gramEnd"/>
    </w:p>
    <w:p w14:paraId="07397FD1" w14:textId="77777777" w:rsidR="00BC6515" w:rsidRPr="00031BFA" w:rsidRDefault="00BC6515" w:rsidP="006A3E0D">
      <w:pPr>
        <w:pStyle w:val="Heading3"/>
        <w:spacing w:line="276" w:lineRule="auto"/>
        <w:jc w:val="both"/>
        <w:rPr>
          <w:rStyle w:val="Strong"/>
          <w:rFonts w:ascii="Times New Roman" w:hAnsi="Times New Roman" w:hint="default"/>
          <w:b/>
          <w:bCs/>
          <w:sz w:val="24"/>
          <w:szCs w:val="24"/>
        </w:rPr>
      </w:pPr>
    </w:p>
    <w:p w14:paraId="43E936DD" w14:textId="77777777" w:rsidR="008E2D7A" w:rsidRPr="00031BFA" w:rsidRDefault="008E2D7A" w:rsidP="006A3E0D">
      <w:pPr>
        <w:pStyle w:val="Heading3"/>
        <w:spacing w:line="276" w:lineRule="auto"/>
        <w:jc w:val="both"/>
        <w:rPr>
          <w:rFonts w:ascii="Times New Roman" w:hAnsi="Times New Roman" w:hint="default"/>
          <w:sz w:val="24"/>
          <w:szCs w:val="24"/>
        </w:rPr>
      </w:pPr>
      <w:r w:rsidRPr="00031BFA">
        <w:rPr>
          <w:rStyle w:val="Strong"/>
          <w:rFonts w:ascii="Times New Roman" w:hAnsi="Times New Roman" w:hint="default"/>
          <w:b/>
          <w:bCs/>
          <w:sz w:val="24"/>
          <w:szCs w:val="24"/>
        </w:rPr>
        <w:t>Suggestions and Recommendations:</w:t>
      </w:r>
    </w:p>
    <w:p w14:paraId="64EA9021" w14:textId="77777777" w:rsidR="00914D45" w:rsidRPr="00031BFA" w:rsidRDefault="00D97280" w:rsidP="00914D45">
      <w:pPr>
        <w:pStyle w:val="NormalWeb"/>
        <w:numPr>
          <w:ilvl w:val="0"/>
          <w:numId w:val="6"/>
        </w:numPr>
        <w:spacing w:before="100" w:after="100" w:line="276" w:lineRule="auto"/>
        <w:jc w:val="both"/>
      </w:pPr>
      <w:r w:rsidRPr="00031BFA">
        <w:rPr>
          <w:b/>
        </w:rPr>
        <w:t>Make the money literate</w:t>
      </w:r>
      <w:r w:rsidRPr="00031BFA">
        <w:t>: The increase in stock and mutual funds investments indicates increased interest in capital markets. Financial literacy should be promoted by the government and financial institutions to inform households on the risks and returns to different instruments.</w:t>
      </w:r>
      <w:r w:rsidR="00914D45" w:rsidRPr="00031BFA">
        <w:t xml:space="preserve"> </w:t>
      </w:r>
    </w:p>
    <w:p w14:paraId="15A825A5" w14:textId="77777777" w:rsidR="00D97280" w:rsidRPr="00031BFA" w:rsidRDefault="00D97280" w:rsidP="00914D45">
      <w:pPr>
        <w:pStyle w:val="NormalWeb"/>
        <w:numPr>
          <w:ilvl w:val="0"/>
          <w:numId w:val="6"/>
        </w:numPr>
        <w:spacing w:before="100" w:after="100" w:line="276" w:lineRule="auto"/>
        <w:jc w:val="both"/>
      </w:pPr>
      <w:r w:rsidRPr="00031BFA">
        <w:rPr>
          <w:b/>
        </w:rPr>
        <w:t>Promote Balanced Portfolios:</w:t>
      </w:r>
      <w:r w:rsidRPr="00031BFA">
        <w:t xml:space="preserve"> Guidance continues to be required to ensure that the household better balances risk (stocks) and safety (deposits/insurance). The financial advisors are supposed to promote risk-based or life-oriented investment strategies.</w:t>
      </w:r>
    </w:p>
    <w:p w14:paraId="6EB8F4BE" w14:textId="77777777" w:rsidR="00914D45" w:rsidRPr="00031BFA" w:rsidRDefault="00D97280" w:rsidP="00914D45">
      <w:pPr>
        <w:pStyle w:val="NormalWeb"/>
        <w:numPr>
          <w:ilvl w:val="0"/>
          <w:numId w:val="6"/>
        </w:numPr>
        <w:spacing w:before="100" w:after="100" w:line="276" w:lineRule="auto"/>
        <w:jc w:val="both"/>
      </w:pPr>
      <w:r w:rsidRPr="00031BFA">
        <w:rPr>
          <w:b/>
        </w:rPr>
        <w:t>Enhance</w:t>
      </w:r>
      <w:r w:rsidR="00A50EBA" w:rsidRPr="00031BFA">
        <w:rPr>
          <w:b/>
        </w:rPr>
        <w:t xml:space="preserve"> Digital Investment Platforms:</w:t>
      </w:r>
      <w:r w:rsidR="00A50EBA" w:rsidRPr="00031BFA">
        <w:t xml:space="preserve"> </w:t>
      </w:r>
      <w:r w:rsidRPr="00031BFA">
        <w:t xml:space="preserve">The convenience of accessing online trading and investment vehicles has perhaps been one of the drivers of </w:t>
      </w:r>
      <w:r w:rsidRPr="00031BFA">
        <w:lastRenderedPageBreak/>
        <w:t>the shift in preferences. Home participation can also be promoted by improving the safety and usability of such platforms.</w:t>
      </w:r>
    </w:p>
    <w:p w14:paraId="48921A01" w14:textId="77777777" w:rsidR="00D97280" w:rsidRPr="00031BFA" w:rsidRDefault="00D97280" w:rsidP="00914D45">
      <w:pPr>
        <w:pStyle w:val="NormalWeb"/>
        <w:numPr>
          <w:ilvl w:val="0"/>
          <w:numId w:val="6"/>
        </w:numPr>
        <w:spacing w:before="100" w:after="100" w:line="276" w:lineRule="auto"/>
        <w:jc w:val="both"/>
      </w:pPr>
      <w:r w:rsidRPr="00031BFA">
        <w:rPr>
          <w:b/>
        </w:rPr>
        <w:t>Increase the awareness on long term instruments:</w:t>
      </w:r>
      <w:r w:rsidRPr="00031BFA">
        <w:t xml:space="preserve"> Investments made on insurance and provident funds were steady which is good. But there is significant need to create awareness about retirement planning, annuities, and pension-linked savings schemes particularly in rural regions.</w:t>
      </w:r>
    </w:p>
    <w:p w14:paraId="27FC714E" w14:textId="77777777" w:rsidR="00E577B4" w:rsidRPr="00031BFA" w:rsidRDefault="00D97280" w:rsidP="00D97280">
      <w:pPr>
        <w:pStyle w:val="NormalWeb"/>
        <w:numPr>
          <w:ilvl w:val="0"/>
          <w:numId w:val="6"/>
        </w:numPr>
        <w:spacing w:before="100" w:after="100" w:line="276" w:lineRule="auto"/>
        <w:jc w:val="both"/>
      </w:pPr>
      <w:r w:rsidRPr="00031BFA">
        <w:rPr>
          <w:b/>
        </w:rPr>
        <w:t>Rebuild Fixed Income Securities Interest:</w:t>
      </w:r>
      <w:r w:rsidRPr="00031BFA">
        <w:t xml:space="preserve"> There is still no interest in debt securities. Market regulators and issuers have the opportunity to offer more appealing returns and safety nets on bonds and debentures to attract conservative investors. </w:t>
      </w:r>
    </w:p>
    <w:p w14:paraId="1A93881E" w14:textId="77777777" w:rsidR="00293599" w:rsidRPr="00031BFA" w:rsidRDefault="00D97280" w:rsidP="00D97280">
      <w:pPr>
        <w:pStyle w:val="NormalWeb"/>
        <w:numPr>
          <w:ilvl w:val="0"/>
          <w:numId w:val="6"/>
        </w:numPr>
        <w:spacing w:before="100" w:after="100" w:line="276" w:lineRule="auto"/>
        <w:jc w:val="both"/>
      </w:pPr>
      <w:r w:rsidRPr="00031BFA">
        <w:rPr>
          <w:b/>
        </w:rPr>
        <w:t>Encourage Savings with Tax Benefits:</w:t>
      </w:r>
      <w:r w:rsidRPr="00031BFA">
        <w:t xml:space="preserve"> Tax benefits or tax incentives on diversified investments can be used to encourage households to consider the wide range of financial products other than fixed deposits.</w:t>
      </w:r>
      <w:r w:rsidR="00293599" w:rsidRPr="00031BFA">
        <w:t xml:space="preserve"> </w:t>
      </w:r>
      <w:r w:rsidRPr="00031BFA">
        <w:t xml:space="preserve"> </w:t>
      </w:r>
    </w:p>
    <w:p w14:paraId="28D9A504" w14:textId="77777777" w:rsidR="00B23241" w:rsidRPr="00031BFA" w:rsidRDefault="00D97280" w:rsidP="00D97280">
      <w:pPr>
        <w:pStyle w:val="NormalWeb"/>
        <w:numPr>
          <w:ilvl w:val="0"/>
          <w:numId w:val="6"/>
        </w:numPr>
        <w:spacing w:before="100" w:after="100" w:line="276" w:lineRule="auto"/>
        <w:jc w:val="both"/>
      </w:pPr>
      <w:r w:rsidRPr="00031BFA">
        <w:rPr>
          <w:b/>
        </w:rPr>
        <w:t>Target Inflation-Protected Products:</w:t>
      </w:r>
      <w:r w:rsidRPr="00031BFA">
        <w:t xml:space="preserve"> To protect household savings against the loss of their purchasing power due to inflation, it can be a good idea to promote inflation-linked bonds and other real-return instruments. </w:t>
      </w:r>
    </w:p>
    <w:p w14:paraId="409C542F" w14:textId="77777777" w:rsidR="00B90530" w:rsidRPr="00B90530" w:rsidRDefault="00D97280" w:rsidP="00B90530">
      <w:pPr>
        <w:pStyle w:val="NormalWeb"/>
        <w:numPr>
          <w:ilvl w:val="0"/>
          <w:numId w:val="6"/>
        </w:numPr>
        <w:spacing w:before="100" w:after="100" w:line="276" w:lineRule="auto"/>
        <w:jc w:val="both"/>
      </w:pPr>
      <w:r w:rsidRPr="00031BFA">
        <w:rPr>
          <w:b/>
        </w:rPr>
        <w:t>The solution to this is Financial Planning Integration in Education:</w:t>
      </w:r>
      <w:r w:rsidRPr="00031BFA">
        <w:t xml:space="preserve"> The smart way to instill smart habits in the youth is to make personal finance and investment management a part of the school and college curriculum.</w:t>
      </w:r>
      <w:r w:rsidR="00B90530">
        <w:t xml:space="preserve"> </w:t>
      </w:r>
    </w:p>
    <w:p w14:paraId="48565EB9" w14:textId="77777777" w:rsidR="00B90530" w:rsidRPr="00B90530" w:rsidRDefault="00B90530" w:rsidP="00B90530">
      <w:pPr>
        <w:pStyle w:val="NormalWeb"/>
        <w:spacing w:before="100" w:after="100" w:line="276" w:lineRule="auto"/>
        <w:ind w:left="720"/>
        <w:jc w:val="both"/>
        <w:rPr>
          <w:b/>
        </w:rPr>
      </w:pPr>
      <w:r w:rsidRPr="00B90530">
        <w:rPr>
          <w:b/>
        </w:rPr>
        <w:t xml:space="preserve">CONCLUSION </w:t>
      </w:r>
    </w:p>
    <w:p w14:paraId="347CBC45" w14:textId="77777777" w:rsidR="00B90530" w:rsidRDefault="0071042C" w:rsidP="00B90530">
      <w:pPr>
        <w:pStyle w:val="NormalWeb"/>
        <w:spacing w:before="100" w:after="100" w:line="276" w:lineRule="auto"/>
        <w:ind w:left="720"/>
        <w:jc w:val="both"/>
      </w:pPr>
      <w:r w:rsidRPr="0071042C">
        <w:t xml:space="preserve"> As the current research indicates, there is a discernible change in the household financial asset allocation in India in the period between 2019 and 2024. Although bank deposits and insurance schemes still remain important, there is a clear movement towards market-related investments including stocks and mutual funds. This diversification is more than a response to the evolving economic environment, but rather a slow but steady rise in household risk appetite. One major study finding is the central role that financial literacy plays in the process of making household investment choices. The more the households are informed and the more the knowledge they have about the financial products, then the greater the chances of having diversified and </w:t>
      </w:r>
      <w:proofErr w:type="gramStart"/>
      <w:r w:rsidRPr="0071042C">
        <w:t>growth oriented</w:t>
      </w:r>
      <w:proofErr w:type="gramEnd"/>
      <w:r w:rsidRPr="0071042C">
        <w:t xml:space="preserve"> investments; those who do not have this knowledge continue to be reliant on traditional savings instruments. Moreover, this trend has been augmented by the growth of online investment platforms, which have lowered the barriers to entry, opened the door to a broader audience, and made financial products more affordable to everyday families. The findings clearly show that financial literacy and digital awareness are the key factors that help households make informed decisions and build balanced portfolios. Yet, there still exist systemic gaps especially in rural locations where exposure is limited and formal financial education is absent to promote further financial inclusion. Consequently, authorities, banks, and regulators should cooperate to promote financial literacy education, enhance investor education and increase the level of trust in digital platforms.</w:t>
      </w:r>
    </w:p>
    <w:p w14:paraId="3E2F291B" w14:textId="77777777" w:rsidR="002648F6" w:rsidRPr="002648F6" w:rsidRDefault="002648F6" w:rsidP="002648F6">
      <w:pPr>
        <w:spacing w:after="200" w:line="276" w:lineRule="auto"/>
        <w:rPr>
          <w:rFonts w:ascii="Calibri" w:eastAsia="Times New Roman" w:hAnsi="Calibri" w:cs="Times New Roman"/>
          <w:sz w:val="22"/>
          <w:szCs w:val="22"/>
          <w:lang w:val="en-GB" w:eastAsia="en-GB"/>
        </w:rPr>
      </w:pPr>
    </w:p>
    <w:p w14:paraId="2D02BD85" w14:textId="77777777" w:rsidR="002648F6" w:rsidRPr="0071042C" w:rsidRDefault="002648F6" w:rsidP="00B90530">
      <w:pPr>
        <w:pStyle w:val="NormalWeb"/>
        <w:spacing w:before="100" w:after="100" w:line="276" w:lineRule="auto"/>
        <w:ind w:left="720"/>
        <w:jc w:val="both"/>
      </w:pPr>
    </w:p>
    <w:p w14:paraId="304F6D79" w14:textId="77777777" w:rsidR="00261242" w:rsidRPr="006A3E0D" w:rsidRDefault="00261242" w:rsidP="006A3E0D">
      <w:pPr>
        <w:pStyle w:val="Heading3"/>
        <w:spacing w:line="276" w:lineRule="auto"/>
        <w:jc w:val="both"/>
        <w:rPr>
          <w:rFonts w:ascii="Times New Roman" w:hAnsi="Times New Roman" w:hint="default"/>
          <w:sz w:val="24"/>
          <w:szCs w:val="24"/>
        </w:rPr>
      </w:pPr>
      <w:r w:rsidRPr="006A3E0D">
        <w:rPr>
          <w:rStyle w:val="Strong"/>
          <w:rFonts w:ascii="Times New Roman" w:hAnsi="Times New Roman" w:hint="default"/>
          <w:b/>
          <w:bCs/>
          <w:sz w:val="24"/>
          <w:szCs w:val="24"/>
        </w:rPr>
        <w:t>References</w:t>
      </w:r>
    </w:p>
    <w:p w14:paraId="72277C97" w14:textId="77777777" w:rsidR="00261242" w:rsidRPr="006A3E0D" w:rsidRDefault="00261242" w:rsidP="006A3E0D">
      <w:pPr>
        <w:pStyle w:val="NormalWeb"/>
        <w:numPr>
          <w:ilvl w:val="0"/>
          <w:numId w:val="8"/>
        </w:numPr>
        <w:spacing w:before="100" w:after="100" w:line="276" w:lineRule="auto"/>
        <w:jc w:val="both"/>
      </w:pPr>
      <w:r w:rsidRPr="006A3E0D">
        <w:t xml:space="preserve">Reserve Bank of India. (2019). </w:t>
      </w:r>
      <w:r w:rsidRPr="006A3E0D">
        <w:rPr>
          <w:rStyle w:val="Emphasis"/>
        </w:rPr>
        <w:t>Handbook of Statistics on the Indian Economy 2018-19</w:t>
      </w:r>
      <w:r w:rsidRPr="006A3E0D">
        <w:t xml:space="preserve">. Retrieved from </w:t>
      </w:r>
      <w:hyperlink r:id="rId9" w:tgtFrame="_new" w:history="1">
        <w:r w:rsidRPr="006A3E0D">
          <w:rPr>
            <w:rStyle w:val="Hyperlink"/>
          </w:rPr>
          <w:t>https://www.rbi.org.in</w:t>
        </w:r>
      </w:hyperlink>
    </w:p>
    <w:p w14:paraId="6FE3B18D" w14:textId="77777777" w:rsidR="00261242" w:rsidRPr="006A3E0D" w:rsidRDefault="00261242" w:rsidP="006A3E0D">
      <w:pPr>
        <w:pStyle w:val="NormalWeb"/>
        <w:numPr>
          <w:ilvl w:val="0"/>
          <w:numId w:val="8"/>
        </w:numPr>
        <w:spacing w:before="100" w:after="100" w:line="276" w:lineRule="auto"/>
        <w:jc w:val="both"/>
      </w:pPr>
      <w:r w:rsidRPr="006A3E0D">
        <w:t xml:space="preserve">Reserve Bank of India. (2024). </w:t>
      </w:r>
      <w:r w:rsidRPr="006A3E0D">
        <w:rPr>
          <w:rStyle w:val="Emphasis"/>
        </w:rPr>
        <w:t>Handbook of Statistics on the Indian Economy 2023-24</w:t>
      </w:r>
      <w:r w:rsidRPr="006A3E0D">
        <w:t xml:space="preserve">. Retrieved from </w:t>
      </w:r>
      <w:hyperlink r:id="rId10" w:tgtFrame="_new" w:history="1">
        <w:r w:rsidRPr="006A3E0D">
          <w:rPr>
            <w:rStyle w:val="Hyperlink"/>
          </w:rPr>
          <w:t>https://www.rbi.org.in</w:t>
        </w:r>
      </w:hyperlink>
    </w:p>
    <w:p w14:paraId="0D1F6271" w14:textId="77777777" w:rsidR="00261242" w:rsidRPr="006A3E0D" w:rsidRDefault="00261242" w:rsidP="006A3E0D">
      <w:pPr>
        <w:pStyle w:val="NormalWeb"/>
        <w:numPr>
          <w:ilvl w:val="0"/>
          <w:numId w:val="8"/>
        </w:numPr>
        <w:spacing w:before="100" w:after="100" w:line="276" w:lineRule="auto"/>
        <w:jc w:val="both"/>
      </w:pPr>
      <w:r w:rsidRPr="006A3E0D">
        <w:t xml:space="preserve">Ministry of Statistics and </w:t>
      </w:r>
      <w:proofErr w:type="spellStart"/>
      <w:r w:rsidRPr="006A3E0D">
        <w:t>Programme</w:t>
      </w:r>
      <w:proofErr w:type="spellEnd"/>
      <w:r w:rsidRPr="006A3E0D">
        <w:t xml:space="preserve"> Implementation (</w:t>
      </w:r>
      <w:proofErr w:type="spellStart"/>
      <w:r w:rsidRPr="006A3E0D">
        <w:t>MoSPI</w:t>
      </w:r>
      <w:proofErr w:type="spellEnd"/>
      <w:r w:rsidRPr="006A3E0D">
        <w:t xml:space="preserve">). (2019). </w:t>
      </w:r>
      <w:r w:rsidRPr="006A3E0D">
        <w:rPr>
          <w:rStyle w:val="Emphasis"/>
        </w:rPr>
        <w:t>Annual Report 2018-19</w:t>
      </w:r>
      <w:r w:rsidRPr="006A3E0D">
        <w:t xml:space="preserve">. Government of India. Retrieved from </w:t>
      </w:r>
      <w:hyperlink r:id="rId11" w:tgtFrame="_new" w:history="1">
        <w:r w:rsidRPr="006A3E0D">
          <w:rPr>
            <w:rStyle w:val="Hyperlink"/>
          </w:rPr>
          <w:t>https://mospi.gov.in</w:t>
        </w:r>
      </w:hyperlink>
    </w:p>
    <w:p w14:paraId="0810320A" w14:textId="77777777" w:rsidR="00261242" w:rsidRPr="006A3E0D" w:rsidRDefault="00261242" w:rsidP="006A3E0D">
      <w:pPr>
        <w:pStyle w:val="NormalWeb"/>
        <w:numPr>
          <w:ilvl w:val="0"/>
          <w:numId w:val="8"/>
        </w:numPr>
        <w:spacing w:before="100" w:after="100" w:line="276" w:lineRule="auto"/>
        <w:jc w:val="both"/>
      </w:pPr>
      <w:r w:rsidRPr="006A3E0D">
        <w:t xml:space="preserve">Ministry of Statistics and </w:t>
      </w:r>
      <w:proofErr w:type="spellStart"/>
      <w:r w:rsidRPr="006A3E0D">
        <w:t>Programme</w:t>
      </w:r>
      <w:proofErr w:type="spellEnd"/>
      <w:r w:rsidRPr="006A3E0D">
        <w:t xml:space="preserve"> Implementation (</w:t>
      </w:r>
      <w:proofErr w:type="spellStart"/>
      <w:r w:rsidRPr="006A3E0D">
        <w:t>MoSPI</w:t>
      </w:r>
      <w:proofErr w:type="spellEnd"/>
      <w:r w:rsidRPr="006A3E0D">
        <w:t xml:space="preserve">). (2024). </w:t>
      </w:r>
      <w:r w:rsidRPr="006A3E0D">
        <w:rPr>
          <w:rStyle w:val="Emphasis"/>
        </w:rPr>
        <w:t>Annual Report 2023-24</w:t>
      </w:r>
      <w:r w:rsidRPr="006A3E0D">
        <w:t xml:space="preserve">. Government of India. Retrieved from </w:t>
      </w:r>
      <w:hyperlink r:id="rId12" w:tgtFrame="_new" w:history="1">
        <w:r w:rsidRPr="006A3E0D">
          <w:rPr>
            <w:rStyle w:val="Hyperlink"/>
          </w:rPr>
          <w:t>https://mospi.gov.in</w:t>
        </w:r>
      </w:hyperlink>
    </w:p>
    <w:p w14:paraId="705C6AD1" w14:textId="77777777" w:rsidR="00261242" w:rsidRPr="006A3E0D" w:rsidRDefault="00261242" w:rsidP="006A3E0D">
      <w:pPr>
        <w:pStyle w:val="NormalWeb"/>
        <w:numPr>
          <w:ilvl w:val="0"/>
          <w:numId w:val="8"/>
        </w:numPr>
        <w:spacing w:before="100" w:after="100" w:line="276" w:lineRule="auto"/>
        <w:jc w:val="both"/>
      </w:pPr>
      <w:r w:rsidRPr="006A3E0D">
        <w:t xml:space="preserve">Securities and Exchange Board of India (SEBI). (2023). </w:t>
      </w:r>
      <w:r w:rsidRPr="006A3E0D">
        <w:rPr>
          <w:rStyle w:val="Emphasis"/>
        </w:rPr>
        <w:t>Investor Education and Financial Literacy Report</w:t>
      </w:r>
      <w:r w:rsidRPr="006A3E0D">
        <w:t xml:space="preserve">. Retrieved from </w:t>
      </w:r>
      <w:hyperlink r:id="rId13" w:tgtFrame="_new" w:history="1">
        <w:r w:rsidRPr="006A3E0D">
          <w:rPr>
            <w:rStyle w:val="Hyperlink"/>
          </w:rPr>
          <w:t>https://www.sebi.gov.in</w:t>
        </w:r>
      </w:hyperlink>
    </w:p>
    <w:p w14:paraId="247AD52E" w14:textId="77777777" w:rsidR="00261242" w:rsidRPr="006A3E0D" w:rsidRDefault="00261242" w:rsidP="006A3E0D">
      <w:pPr>
        <w:pStyle w:val="NormalWeb"/>
        <w:numPr>
          <w:ilvl w:val="0"/>
          <w:numId w:val="8"/>
        </w:numPr>
        <w:spacing w:before="100" w:after="100" w:line="276" w:lineRule="auto"/>
        <w:jc w:val="both"/>
      </w:pPr>
      <w:r w:rsidRPr="006A3E0D">
        <w:t xml:space="preserve">National Council of Applied Economic Research (NCAER). (2022). </w:t>
      </w:r>
      <w:r w:rsidRPr="006A3E0D">
        <w:rPr>
          <w:rStyle w:val="Emphasis"/>
        </w:rPr>
        <w:t xml:space="preserve">How India Saves: Financial </w:t>
      </w:r>
      <w:proofErr w:type="spellStart"/>
      <w:r w:rsidRPr="006A3E0D">
        <w:rPr>
          <w:rStyle w:val="Emphasis"/>
        </w:rPr>
        <w:t>Behaviour</w:t>
      </w:r>
      <w:proofErr w:type="spellEnd"/>
      <w:r w:rsidRPr="006A3E0D">
        <w:rPr>
          <w:rStyle w:val="Emphasis"/>
        </w:rPr>
        <w:t xml:space="preserve"> of Indian Households</w:t>
      </w:r>
      <w:r w:rsidRPr="006A3E0D">
        <w:t xml:space="preserve">. Retrieved from </w:t>
      </w:r>
      <w:hyperlink r:id="rId14" w:tgtFrame="_new" w:history="1">
        <w:r w:rsidRPr="006A3E0D">
          <w:rPr>
            <w:rStyle w:val="Hyperlink"/>
          </w:rPr>
          <w:t>https://www.ncaer.org</w:t>
        </w:r>
      </w:hyperlink>
    </w:p>
    <w:p w14:paraId="175105ED" w14:textId="77777777" w:rsidR="00815217" w:rsidRPr="006A3E0D" w:rsidRDefault="00815217" w:rsidP="006A3E0D">
      <w:pPr>
        <w:spacing w:line="276" w:lineRule="auto"/>
        <w:jc w:val="both"/>
        <w:rPr>
          <w:rFonts w:ascii="Times New Roman" w:eastAsia="SimSun" w:hAnsi="Times New Roman" w:cs="Times New Roman"/>
          <w:sz w:val="24"/>
          <w:szCs w:val="24"/>
        </w:rPr>
      </w:pPr>
    </w:p>
    <w:p w14:paraId="1A5D2220" w14:textId="77777777" w:rsidR="00285543" w:rsidRPr="006A3E0D" w:rsidRDefault="009C29A5" w:rsidP="009C29A5">
      <w:pPr>
        <w:spacing w:line="276"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w:t>
      </w:r>
    </w:p>
    <w:sectPr w:rsidR="00285543" w:rsidRPr="006A3E0D" w:rsidSect="00815217">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3F3AF" w14:textId="77777777" w:rsidR="00373038" w:rsidRDefault="00373038" w:rsidP="00DE3278">
      <w:r>
        <w:separator/>
      </w:r>
    </w:p>
  </w:endnote>
  <w:endnote w:type="continuationSeparator" w:id="0">
    <w:p w14:paraId="05E63DB9" w14:textId="77777777" w:rsidR="00373038" w:rsidRDefault="00373038" w:rsidP="00DE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9539F" w14:textId="77777777" w:rsidR="00DE3278" w:rsidRDefault="00DE3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F037B" w14:textId="77777777" w:rsidR="00DE3278" w:rsidRDefault="00DE32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E9A49" w14:textId="77777777" w:rsidR="00DE3278" w:rsidRDefault="00DE3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447C0" w14:textId="77777777" w:rsidR="00373038" w:rsidRDefault="00373038" w:rsidP="00DE3278">
      <w:r>
        <w:separator/>
      </w:r>
    </w:p>
  </w:footnote>
  <w:footnote w:type="continuationSeparator" w:id="0">
    <w:p w14:paraId="5204805E" w14:textId="77777777" w:rsidR="00373038" w:rsidRDefault="00373038" w:rsidP="00DE3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1044A" w14:textId="30D83460" w:rsidR="00DE3278" w:rsidRDefault="00DE3278">
    <w:pPr>
      <w:pStyle w:val="Header"/>
    </w:pPr>
    <w:r>
      <w:rPr>
        <w:noProof/>
      </w:rPr>
      <w:pict w14:anchorId="79CC6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974001"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0267E" w14:textId="0C183DB2" w:rsidR="00DE3278" w:rsidRDefault="00DE3278">
    <w:pPr>
      <w:pStyle w:val="Header"/>
    </w:pPr>
    <w:r>
      <w:rPr>
        <w:noProof/>
      </w:rPr>
      <w:pict w14:anchorId="36559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974002"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60A0E" w14:textId="2063AC80" w:rsidR="00DE3278" w:rsidRDefault="00DE3278">
    <w:pPr>
      <w:pStyle w:val="Header"/>
    </w:pPr>
    <w:r>
      <w:rPr>
        <w:noProof/>
      </w:rPr>
      <w:pict w14:anchorId="031D9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974000"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15pt;height:11.15pt" o:bullet="t">
        <v:imagedata r:id="rId1" o:title="msoBD36"/>
      </v:shape>
    </w:pict>
  </w:numPicBullet>
  <w:abstractNum w:abstractNumId="0" w15:restartNumberingAfterBreak="0">
    <w:nsid w:val="076D060F"/>
    <w:multiLevelType w:val="multilevel"/>
    <w:tmpl w:val="49C2153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6522E"/>
    <w:multiLevelType w:val="multilevel"/>
    <w:tmpl w:val="CC2A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4D7768"/>
    <w:multiLevelType w:val="multilevel"/>
    <w:tmpl w:val="23EE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C4398"/>
    <w:multiLevelType w:val="multilevel"/>
    <w:tmpl w:val="D9CC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92CEF"/>
    <w:multiLevelType w:val="multilevel"/>
    <w:tmpl w:val="07186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3409CA"/>
    <w:multiLevelType w:val="multilevel"/>
    <w:tmpl w:val="75829D2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CC31CD"/>
    <w:multiLevelType w:val="hybridMultilevel"/>
    <w:tmpl w:val="CD1662DC"/>
    <w:lvl w:ilvl="0" w:tplc="94BA26CC">
      <w:numFmt w:val="bullet"/>
      <w:lvlText w:val=""/>
      <w:lvlJc w:val="left"/>
      <w:pPr>
        <w:ind w:left="405" w:hanging="360"/>
      </w:pPr>
      <w:rPr>
        <w:rFonts w:ascii="Symbol" w:eastAsia="Times New Roman"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15:restartNumberingAfterBreak="0">
    <w:nsid w:val="33184BC2"/>
    <w:multiLevelType w:val="multilevel"/>
    <w:tmpl w:val="1A7C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563861"/>
    <w:multiLevelType w:val="multilevel"/>
    <w:tmpl w:val="256C1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376A87"/>
    <w:multiLevelType w:val="hybridMultilevel"/>
    <w:tmpl w:val="F9061E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8A662F"/>
    <w:multiLevelType w:val="multilevel"/>
    <w:tmpl w:val="CB08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B85892"/>
    <w:multiLevelType w:val="multilevel"/>
    <w:tmpl w:val="2564F0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760CF"/>
    <w:multiLevelType w:val="multilevel"/>
    <w:tmpl w:val="4758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B46B4F"/>
    <w:multiLevelType w:val="multilevel"/>
    <w:tmpl w:val="2DDE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F503BE"/>
    <w:multiLevelType w:val="multilevel"/>
    <w:tmpl w:val="792AC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317E4E"/>
    <w:multiLevelType w:val="multilevel"/>
    <w:tmpl w:val="A530B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596163"/>
    <w:multiLevelType w:val="multilevel"/>
    <w:tmpl w:val="CB5A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6ABFDC"/>
    <w:multiLevelType w:val="singleLevel"/>
    <w:tmpl w:val="796ABFDC"/>
    <w:lvl w:ilvl="0">
      <w:start w:val="1"/>
      <w:numFmt w:val="decimal"/>
      <w:lvlText w:val="%1."/>
      <w:lvlJc w:val="left"/>
      <w:pPr>
        <w:tabs>
          <w:tab w:val="left" w:pos="425"/>
        </w:tabs>
        <w:ind w:left="425" w:hanging="425"/>
      </w:pPr>
      <w:rPr>
        <w:rFonts w:hint="default"/>
      </w:rPr>
    </w:lvl>
  </w:abstractNum>
  <w:num w:numId="1">
    <w:abstractNumId w:val="17"/>
  </w:num>
  <w:num w:numId="2">
    <w:abstractNumId w:val="12"/>
  </w:num>
  <w:num w:numId="3">
    <w:abstractNumId w:val="14"/>
  </w:num>
  <w:num w:numId="4">
    <w:abstractNumId w:val="9"/>
  </w:num>
  <w:num w:numId="5">
    <w:abstractNumId w:val="6"/>
  </w:num>
  <w:num w:numId="6">
    <w:abstractNumId w:val="8"/>
  </w:num>
  <w:num w:numId="7">
    <w:abstractNumId w:val="1"/>
  </w:num>
  <w:num w:numId="8">
    <w:abstractNumId w:val="15"/>
  </w:num>
  <w:num w:numId="9">
    <w:abstractNumId w:val="10"/>
  </w:num>
  <w:num w:numId="10">
    <w:abstractNumId w:val="4"/>
  </w:num>
  <w:num w:numId="11">
    <w:abstractNumId w:val="7"/>
  </w:num>
  <w:num w:numId="12">
    <w:abstractNumId w:val="11"/>
  </w:num>
  <w:num w:numId="13">
    <w:abstractNumId w:val="2"/>
  </w:num>
  <w:num w:numId="14">
    <w:abstractNumId w:val="16"/>
  </w:num>
  <w:num w:numId="15">
    <w:abstractNumId w:val="13"/>
  </w:num>
  <w:num w:numId="16">
    <w:abstractNumId w:val="3"/>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rsids>
    <w:rsidRoot w:val="00815217"/>
    <w:rsid w:val="00007268"/>
    <w:rsid w:val="00030B85"/>
    <w:rsid w:val="00031BFA"/>
    <w:rsid w:val="00037C85"/>
    <w:rsid w:val="00093D40"/>
    <w:rsid w:val="000C1662"/>
    <w:rsid w:val="000D004D"/>
    <w:rsid w:val="000D7DA6"/>
    <w:rsid w:val="00122BEB"/>
    <w:rsid w:val="00133457"/>
    <w:rsid w:val="001641AA"/>
    <w:rsid w:val="00166CD6"/>
    <w:rsid w:val="001878B7"/>
    <w:rsid w:val="00187A89"/>
    <w:rsid w:val="001924E1"/>
    <w:rsid w:val="001C43ED"/>
    <w:rsid w:val="001C754B"/>
    <w:rsid w:val="00216EAF"/>
    <w:rsid w:val="00261242"/>
    <w:rsid w:val="002648F6"/>
    <w:rsid w:val="00265253"/>
    <w:rsid w:val="00273D60"/>
    <w:rsid w:val="00285543"/>
    <w:rsid w:val="00293599"/>
    <w:rsid w:val="002A5DBA"/>
    <w:rsid w:val="003221ED"/>
    <w:rsid w:val="00326578"/>
    <w:rsid w:val="00373038"/>
    <w:rsid w:val="00392CC3"/>
    <w:rsid w:val="00393D70"/>
    <w:rsid w:val="00394722"/>
    <w:rsid w:val="003D3E8D"/>
    <w:rsid w:val="003F3FF5"/>
    <w:rsid w:val="004360A5"/>
    <w:rsid w:val="00443C9C"/>
    <w:rsid w:val="004454F7"/>
    <w:rsid w:val="004949A4"/>
    <w:rsid w:val="00497058"/>
    <w:rsid w:val="004A571F"/>
    <w:rsid w:val="004B634F"/>
    <w:rsid w:val="004F43F0"/>
    <w:rsid w:val="00560AAC"/>
    <w:rsid w:val="00590599"/>
    <w:rsid w:val="005B71B4"/>
    <w:rsid w:val="00600CE2"/>
    <w:rsid w:val="00610B45"/>
    <w:rsid w:val="00616559"/>
    <w:rsid w:val="006261C6"/>
    <w:rsid w:val="00637E60"/>
    <w:rsid w:val="006A3012"/>
    <w:rsid w:val="006A3E0D"/>
    <w:rsid w:val="006D095E"/>
    <w:rsid w:val="006E7B42"/>
    <w:rsid w:val="006F16ED"/>
    <w:rsid w:val="007046AD"/>
    <w:rsid w:val="0071042C"/>
    <w:rsid w:val="00716688"/>
    <w:rsid w:val="00716978"/>
    <w:rsid w:val="00743988"/>
    <w:rsid w:val="00760ADB"/>
    <w:rsid w:val="00776A9D"/>
    <w:rsid w:val="0077740E"/>
    <w:rsid w:val="00785673"/>
    <w:rsid w:val="00791991"/>
    <w:rsid w:val="00797859"/>
    <w:rsid w:val="007B1EBA"/>
    <w:rsid w:val="00815217"/>
    <w:rsid w:val="00830972"/>
    <w:rsid w:val="00876A73"/>
    <w:rsid w:val="008A6470"/>
    <w:rsid w:val="008D0E0C"/>
    <w:rsid w:val="008D5401"/>
    <w:rsid w:val="008D7D47"/>
    <w:rsid w:val="008E2D7A"/>
    <w:rsid w:val="008E49C9"/>
    <w:rsid w:val="008E7FF1"/>
    <w:rsid w:val="00914D45"/>
    <w:rsid w:val="00957BB7"/>
    <w:rsid w:val="009640DC"/>
    <w:rsid w:val="009777C6"/>
    <w:rsid w:val="00994492"/>
    <w:rsid w:val="009B7E98"/>
    <w:rsid w:val="009C29A5"/>
    <w:rsid w:val="009E3A92"/>
    <w:rsid w:val="009F4651"/>
    <w:rsid w:val="00A0072A"/>
    <w:rsid w:val="00A45976"/>
    <w:rsid w:val="00A50DE4"/>
    <w:rsid w:val="00A50EBA"/>
    <w:rsid w:val="00A61019"/>
    <w:rsid w:val="00AB09BB"/>
    <w:rsid w:val="00AC24CD"/>
    <w:rsid w:val="00AD261A"/>
    <w:rsid w:val="00AD7B69"/>
    <w:rsid w:val="00B15C12"/>
    <w:rsid w:val="00B23241"/>
    <w:rsid w:val="00B305C2"/>
    <w:rsid w:val="00B52439"/>
    <w:rsid w:val="00B90530"/>
    <w:rsid w:val="00B94270"/>
    <w:rsid w:val="00BC6515"/>
    <w:rsid w:val="00BF1CC5"/>
    <w:rsid w:val="00BF5E03"/>
    <w:rsid w:val="00C00152"/>
    <w:rsid w:val="00C0698F"/>
    <w:rsid w:val="00C46EDE"/>
    <w:rsid w:val="00C7461A"/>
    <w:rsid w:val="00C96D0A"/>
    <w:rsid w:val="00CF6FE1"/>
    <w:rsid w:val="00D06276"/>
    <w:rsid w:val="00D10322"/>
    <w:rsid w:val="00D23999"/>
    <w:rsid w:val="00D57DBF"/>
    <w:rsid w:val="00D97280"/>
    <w:rsid w:val="00D97FEB"/>
    <w:rsid w:val="00DA4E65"/>
    <w:rsid w:val="00DA54D9"/>
    <w:rsid w:val="00DE3278"/>
    <w:rsid w:val="00DE69B9"/>
    <w:rsid w:val="00DE6A64"/>
    <w:rsid w:val="00E577B4"/>
    <w:rsid w:val="00E813D4"/>
    <w:rsid w:val="00E91AE0"/>
    <w:rsid w:val="00EA6CF9"/>
    <w:rsid w:val="00ED46B9"/>
    <w:rsid w:val="00F040AE"/>
    <w:rsid w:val="00F77365"/>
    <w:rsid w:val="00F84DE0"/>
    <w:rsid w:val="00F93862"/>
    <w:rsid w:val="00FA0579"/>
    <w:rsid w:val="00FC6C4C"/>
    <w:rsid w:val="00FD7195"/>
    <w:rsid w:val="0B5218A1"/>
    <w:rsid w:val="12444F04"/>
    <w:rsid w:val="13F84960"/>
    <w:rsid w:val="14C434A2"/>
    <w:rsid w:val="17087C1C"/>
    <w:rsid w:val="18137550"/>
    <w:rsid w:val="1C67332C"/>
    <w:rsid w:val="21613D71"/>
    <w:rsid w:val="276A4438"/>
    <w:rsid w:val="28962E9F"/>
    <w:rsid w:val="2F995FA2"/>
    <w:rsid w:val="3113039F"/>
    <w:rsid w:val="36BC2EBB"/>
    <w:rsid w:val="3A717D6E"/>
    <w:rsid w:val="3B8443B3"/>
    <w:rsid w:val="3FDA2975"/>
    <w:rsid w:val="4118435F"/>
    <w:rsid w:val="4A9B3DB7"/>
    <w:rsid w:val="4AAD3591"/>
    <w:rsid w:val="51D3136C"/>
    <w:rsid w:val="56FE536D"/>
    <w:rsid w:val="58A03414"/>
    <w:rsid w:val="59522196"/>
    <w:rsid w:val="6138200C"/>
    <w:rsid w:val="699B2AD1"/>
    <w:rsid w:val="6C34681D"/>
    <w:rsid w:val="736446F8"/>
    <w:rsid w:val="75F033C4"/>
    <w:rsid w:val="78387B4C"/>
    <w:rsid w:val="79B4417F"/>
    <w:rsid w:val="7C6F7CDD"/>
    <w:rsid w:val="7F0A69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F543FB5"/>
  <w15:docId w15:val="{6E0FF0DC-08BC-473A-9F7D-CC294B20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5217"/>
    <w:rPr>
      <w:rFonts w:asciiTheme="minorHAnsi" w:eastAsiaTheme="minorEastAsia" w:hAnsiTheme="minorHAnsi" w:cstheme="minorBidi"/>
      <w:lang w:eastAsia="zh-CN"/>
    </w:rPr>
  </w:style>
  <w:style w:type="paragraph" w:styleId="Heading1">
    <w:name w:val="heading 1"/>
    <w:basedOn w:val="Normal"/>
    <w:next w:val="Normal"/>
    <w:link w:val="Heading1Char"/>
    <w:qFormat/>
    <w:rsid w:val="005B71B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next w:val="Normal"/>
    <w:unhideWhenUsed/>
    <w:qFormat/>
    <w:rsid w:val="00815217"/>
    <w:pPr>
      <w:spacing w:beforeAutospacing="1" w:afterAutospacing="1"/>
      <w:outlineLvl w:val="1"/>
    </w:pPr>
    <w:rPr>
      <w:rFonts w:ascii="SimSun" w:hAnsi="SimSun" w:hint="eastAsia"/>
      <w:b/>
      <w:bCs/>
      <w:sz w:val="36"/>
      <w:szCs w:val="36"/>
      <w:lang w:eastAsia="zh-CN"/>
    </w:rPr>
  </w:style>
  <w:style w:type="paragraph" w:styleId="Heading3">
    <w:name w:val="heading 3"/>
    <w:next w:val="Normal"/>
    <w:unhideWhenUsed/>
    <w:qFormat/>
    <w:rsid w:val="00815217"/>
    <w:pPr>
      <w:spacing w:beforeAutospacing="1" w:afterAutospacing="1"/>
      <w:outlineLvl w:val="2"/>
    </w:pPr>
    <w:rPr>
      <w:rFonts w:ascii="SimSun" w:hAnsi="SimSun" w:hint="eastAsia"/>
      <w:b/>
      <w:bCs/>
      <w:sz w:val="27"/>
      <w:szCs w:val="27"/>
      <w:lang w:eastAsia="zh-CN"/>
    </w:rPr>
  </w:style>
  <w:style w:type="paragraph" w:styleId="Heading4">
    <w:name w:val="heading 4"/>
    <w:basedOn w:val="Normal"/>
    <w:next w:val="Normal"/>
    <w:link w:val="Heading4Char"/>
    <w:semiHidden/>
    <w:unhideWhenUsed/>
    <w:qFormat/>
    <w:rsid w:val="00285543"/>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qFormat/>
    <w:rsid w:val="00815217"/>
    <w:pPr>
      <w:spacing w:beforeAutospacing="1" w:afterAutospacing="1"/>
    </w:pPr>
    <w:rPr>
      <w:sz w:val="24"/>
      <w:szCs w:val="24"/>
      <w:lang w:eastAsia="zh-CN"/>
    </w:rPr>
  </w:style>
  <w:style w:type="character" w:styleId="Strong">
    <w:name w:val="Strong"/>
    <w:basedOn w:val="DefaultParagraphFont"/>
    <w:uiPriority w:val="22"/>
    <w:qFormat/>
    <w:rsid w:val="00815217"/>
    <w:rPr>
      <w:b/>
      <w:bCs/>
    </w:rPr>
  </w:style>
  <w:style w:type="paragraph" w:styleId="BalloonText">
    <w:name w:val="Balloon Text"/>
    <w:basedOn w:val="Normal"/>
    <w:link w:val="BalloonTextChar"/>
    <w:rsid w:val="00187A89"/>
    <w:rPr>
      <w:rFonts w:ascii="Tahoma" w:hAnsi="Tahoma" w:cs="Tahoma"/>
      <w:sz w:val="16"/>
      <w:szCs w:val="16"/>
    </w:rPr>
  </w:style>
  <w:style w:type="character" w:customStyle="1" w:styleId="BalloonTextChar">
    <w:name w:val="Balloon Text Char"/>
    <w:basedOn w:val="DefaultParagraphFont"/>
    <w:link w:val="BalloonText"/>
    <w:rsid w:val="00187A89"/>
    <w:rPr>
      <w:rFonts w:ascii="Tahoma" w:eastAsiaTheme="minorEastAsia" w:hAnsi="Tahoma" w:cs="Tahoma"/>
      <w:sz w:val="16"/>
      <w:szCs w:val="16"/>
      <w:lang w:eastAsia="zh-CN"/>
    </w:rPr>
  </w:style>
  <w:style w:type="table" w:styleId="Table3Deffects3">
    <w:name w:val="Table 3D effects 3"/>
    <w:basedOn w:val="TableNormal"/>
    <w:rsid w:val="00187A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187A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olorfulGrid-Accent6">
    <w:name w:val="Colorful Grid Accent 6"/>
    <w:basedOn w:val="TableNormal"/>
    <w:uiPriority w:val="73"/>
    <w:rsid w:val="00187A8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TableClassic2">
    <w:name w:val="Table Classic 2"/>
    <w:basedOn w:val="TableNormal"/>
    <w:rsid w:val="00187A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Simple3">
    <w:name w:val="Table Simple 3"/>
    <w:basedOn w:val="TableNormal"/>
    <w:rsid w:val="00187A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3">
    <w:name w:val="Table Classic 3"/>
    <w:basedOn w:val="TableNormal"/>
    <w:rsid w:val="00187A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Caption">
    <w:name w:val="caption"/>
    <w:basedOn w:val="Normal"/>
    <w:next w:val="Normal"/>
    <w:unhideWhenUsed/>
    <w:qFormat/>
    <w:rsid w:val="00187A89"/>
    <w:pPr>
      <w:spacing w:after="200"/>
    </w:pPr>
    <w:rPr>
      <w:b/>
      <w:bCs/>
      <w:color w:val="5B9BD5" w:themeColor="accent1"/>
      <w:sz w:val="18"/>
      <w:szCs w:val="18"/>
    </w:rPr>
  </w:style>
  <w:style w:type="paragraph" w:styleId="ListParagraph">
    <w:name w:val="List Paragraph"/>
    <w:basedOn w:val="Normal"/>
    <w:uiPriority w:val="99"/>
    <w:unhideWhenUsed/>
    <w:rsid w:val="00273D60"/>
    <w:pPr>
      <w:ind w:left="720"/>
      <w:contextualSpacing/>
    </w:pPr>
  </w:style>
  <w:style w:type="character" w:styleId="Emphasis">
    <w:name w:val="Emphasis"/>
    <w:basedOn w:val="DefaultParagraphFont"/>
    <w:uiPriority w:val="20"/>
    <w:qFormat/>
    <w:rsid w:val="00261242"/>
    <w:rPr>
      <w:i/>
      <w:iCs/>
    </w:rPr>
  </w:style>
  <w:style w:type="character" w:styleId="Hyperlink">
    <w:name w:val="Hyperlink"/>
    <w:basedOn w:val="DefaultParagraphFont"/>
    <w:uiPriority w:val="99"/>
    <w:unhideWhenUsed/>
    <w:rsid w:val="00261242"/>
    <w:rPr>
      <w:color w:val="0000FF"/>
      <w:u w:val="single"/>
    </w:rPr>
  </w:style>
  <w:style w:type="character" w:customStyle="1" w:styleId="Heading4Char">
    <w:name w:val="Heading 4 Char"/>
    <w:basedOn w:val="DefaultParagraphFont"/>
    <w:link w:val="Heading4"/>
    <w:semiHidden/>
    <w:rsid w:val="00285543"/>
    <w:rPr>
      <w:rFonts w:asciiTheme="majorHAnsi" w:eastAsiaTheme="majorEastAsia" w:hAnsiTheme="majorHAnsi" w:cstheme="majorBidi"/>
      <w:b/>
      <w:bCs/>
      <w:i/>
      <w:iCs/>
      <w:color w:val="5B9BD5" w:themeColor="accent1"/>
      <w:lang w:eastAsia="zh-CN"/>
    </w:rPr>
  </w:style>
  <w:style w:type="paragraph" w:customStyle="1" w:styleId="ds-markdown-paragraph">
    <w:name w:val="ds-markdown-paragraph"/>
    <w:basedOn w:val="Normal"/>
    <w:rsid w:val="00497058"/>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Heading1Char">
    <w:name w:val="Heading 1 Char"/>
    <w:basedOn w:val="DefaultParagraphFont"/>
    <w:link w:val="Heading1"/>
    <w:rsid w:val="005B71B4"/>
    <w:rPr>
      <w:rFonts w:asciiTheme="majorHAnsi" w:eastAsiaTheme="majorEastAsia" w:hAnsiTheme="majorHAnsi" w:cstheme="majorBidi"/>
      <w:b/>
      <w:bCs/>
      <w:color w:val="2E74B5" w:themeColor="accent1" w:themeShade="BF"/>
      <w:sz w:val="28"/>
      <w:szCs w:val="28"/>
      <w:lang w:eastAsia="zh-CN"/>
    </w:rPr>
  </w:style>
  <w:style w:type="character" w:styleId="UnresolvedMention">
    <w:name w:val="Unresolved Mention"/>
    <w:basedOn w:val="DefaultParagraphFont"/>
    <w:uiPriority w:val="99"/>
    <w:semiHidden/>
    <w:unhideWhenUsed/>
    <w:rsid w:val="00776A9D"/>
    <w:rPr>
      <w:color w:val="605E5C"/>
      <w:shd w:val="clear" w:color="auto" w:fill="E1DFDD"/>
    </w:rPr>
  </w:style>
  <w:style w:type="paragraph" w:styleId="Header">
    <w:name w:val="header"/>
    <w:basedOn w:val="Normal"/>
    <w:link w:val="HeaderChar"/>
    <w:rsid w:val="00DE3278"/>
    <w:pPr>
      <w:tabs>
        <w:tab w:val="center" w:pos="4680"/>
        <w:tab w:val="right" w:pos="9360"/>
      </w:tabs>
    </w:pPr>
  </w:style>
  <w:style w:type="character" w:customStyle="1" w:styleId="HeaderChar">
    <w:name w:val="Header Char"/>
    <w:basedOn w:val="DefaultParagraphFont"/>
    <w:link w:val="Header"/>
    <w:rsid w:val="00DE3278"/>
    <w:rPr>
      <w:rFonts w:asciiTheme="minorHAnsi" w:eastAsiaTheme="minorEastAsia" w:hAnsiTheme="minorHAnsi" w:cstheme="minorBidi"/>
      <w:lang w:eastAsia="zh-CN"/>
    </w:rPr>
  </w:style>
  <w:style w:type="paragraph" w:styleId="Footer">
    <w:name w:val="footer"/>
    <w:basedOn w:val="Normal"/>
    <w:link w:val="FooterChar"/>
    <w:rsid w:val="00DE3278"/>
    <w:pPr>
      <w:tabs>
        <w:tab w:val="center" w:pos="4680"/>
        <w:tab w:val="right" w:pos="9360"/>
      </w:tabs>
    </w:pPr>
  </w:style>
  <w:style w:type="character" w:customStyle="1" w:styleId="FooterChar">
    <w:name w:val="Footer Char"/>
    <w:basedOn w:val="DefaultParagraphFont"/>
    <w:link w:val="Footer"/>
    <w:rsid w:val="00DE3278"/>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27060">
      <w:bodyDiv w:val="1"/>
      <w:marLeft w:val="0"/>
      <w:marRight w:val="0"/>
      <w:marTop w:val="0"/>
      <w:marBottom w:val="0"/>
      <w:divBdr>
        <w:top w:val="none" w:sz="0" w:space="0" w:color="auto"/>
        <w:left w:val="none" w:sz="0" w:space="0" w:color="auto"/>
        <w:bottom w:val="none" w:sz="0" w:space="0" w:color="auto"/>
        <w:right w:val="none" w:sz="0" w:space="0" w:color="auto"/>
      </w:divBdr>
    </w:div>
    <w:div w:id="162669065">
      <w:bodyDiv w:val="1"/>
      <w:marLeft w:val="0"/>
      <w:marRight w:val="0"/>
      <w:marTop w:val="0"/>
      <w:marBottom w:val="0"/>
      <w:divBdr>
        <w:top w:val="none" w:sz="0" w:space="0" w:color="auto"/>
        <w:left w:val="none" w:sz="0" w:space="0" w:color="auto"/>
        <w:bottom w:val="none" w:sz="0" w:space="0" w:color="auto"/>
        <w:right w:val="none" w:sz="0" w:space="0" w:color="auto"/>
      </w:divBdr>
    </w:div>
    <w:div w:id="192501616">
      <w:bodyDiv w:val="1"/>
      <w:marLeft w:val="0"/>
      <w:marRight w:val="0"/>
      <w:marTop w:val="0"/>
      <w:marBottom w:val="0"/>
      <w:divBdr>
        <w:top w:val="none" w:sz="0" w:space="0" w:color="auto"/>
        <w:left w:val="none" w:sz="0" w:space="0" w:color="auto"/>
        <w:bottom w:val="none" w:sz="0" w:space="0" w:color="auto"/>
        <w:right w:val="none" w:sz="0" w:space="0" w:color="auto"/>
      </w:divBdr>
    </w:div>
    <w:div w:id="200630915">
      <w:bodyDiv w:val="1"/>
      <w:marLeft w:val="0"/>
      <w:marRight w:val="0"/>
      <w:marTop w:val="0"/>
      <w:marBottom w:val="0"/>
      <w:divBdr>
        <w:top w:val="none" w:sz="0" w:space="0" w:color="auto"/>
        <w:left w:val="none" w:sz="0" w:space="0" w:color="auto"/>
        <w:bottom w:val="none" w:sz="0" w:space="0" w:color="auto"/>
        <w:right w:val="none" w:sz="0" w:space="0" w:color="auto"/>
      </w:divBdr>
    </w:div>
    <w:div w:id="220750774">
      <w:bodyDiv w:val="1"/>
      <w:marLeft w:val="0"/>
      <w:marRight w:val="0"/>
      <w:marTop w:val="0"/>
      <w:marBottom w:val="0"/>
      <w:divBdr>
        <w:top w:val="none" w:sz="0" w:space="0" w:color="auto"/>
        <w:left w:val="none" w:sz="0" w:space="0" w:color="auto"/>
        <w:bottom w:val="none" w:sz="0" w:space="0" w:color="auto"/>
        <w:right w:val="none" w:sz="0" w:space="0" w:color="auto"/>
      </w:divBdr>
      <w:divsChild>
        <w:div w:id="1975332952">
          <w:marLeft w:val="0"/>
          <w:marRight w:val="0"/>
          <w:marTop w:val="100"/>
          <w:marBottom w:val="100"/>
          <w:divBdr>
            <w:top w:val="none" w:sz="0" w:space="0" w:color="auto"/>
            <w:left w:val="none" w:sz="0" w:space="0" w:color="auto"/>
            <w:bottom w:val="none" w:sz="0" w:space="0" w:color="auto"/>
            <w:right w:val="none" w:sz="0" w:space="0" w:color="auto"/>
          </w:divBdr>
          <w:divsChild>
            <w:div w:id="1739279992">
              <w:marLeft w:val="0"/>
              <w:marRight w:val="0"/>
              <w:marTop w:val="0"/>
              <w:marBottom w:val="0"/>
              <w:divBdr>
                <w:top w:val="none" w:sz="0" w:space="0" w:color="auto"/>
                <w:left w:val="none" w:sz="0" w:space="0" w:color="auto"/>
                <w:bottom w:val="none" w:sz="0" w:space="0" w:color="auto"/>
                <w:right w:val="none" w:sz="0" w:space="0" w:color="auto"/>
              </w:divBdr>
              <w:divsChild>
                <w:div w:id="120266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52135">
      <w:bodyDiv w:val="1"/>
      <w:marLeft w:val="0"/>
      <w:marRight w:val="0"/>
      <w:marTop w:val="0"/>
      <w:marBottom w:val="0"/>
      <w:divBdr>
        <w:top w:val="none" w:sz="0" w:space="0" w:color="auto"/>
        <w:left w:val="none" w:sz="0" w:space="0" w:color="auto"/>
        <w:bottom w:val="none" w:sz="0" w:space="0" w:color="auto"/>
        <w:right w:val="none" w:sz="0" w:space="0" w:color="auto"/>
      </w:divBdr>
    </w:div>
    <w:div w:id="293099719">
      <w:bodyDiv w:val="1"/>
      <w:marLeft w:val="0"/>
      <w:marRight w:val="0"/>
      <w:marTop w:val="0"/>
      <w:marBottom w:val="0"/>
      <w:divBdr>
        <w:top w:val="none" w:sz="0" w:space="0" w:color="auto"/>
        <w:left w:val="none" w:sz="0" w:space="0" w:color="auto"/>
        <w:bottom w:val="none" w:sz="0" w:space="0" w:color="auto"/>
        <w:right w:val="none" w:sz="0" w:space="0" w:color="auto"/>
      </w:divBdr>
    </w:div>
    <w:div w:id="297611295">
      <w:bodyDiv w:val="1"/>
      <w:marLeft w:val="0"/>
      <w:marRight w:val="0"/>
      <w:marTop w:val="0"/>
      <w:marBottom w:val="0"/>
      <w:divBdr>
        <w:top w:val="none" w:sz="0" w:space="0" w:color="auto"/>
        <w:left w:val="none" w:sz="0" w:space="0" w:color="auto"/>
        <w:bottom w:val="none" w:sz="0" w:space="0" w:color="auto"/>
        <w:right w:val="none" w:sz="0" w:space="0" w:color="auto"/>
      </w:divBdr>
    </w:div>
    <w:div w:id="349112701">
      <w:bodyDiv w:val="1"/>
      <w:marLeft w:val="0"/>
      <w:marRight w:val="0"/>
      <w:marTop w:val="0"/>
      <w:marBottom w:val="0"/>
      <w:divBdr>
        <w:top w:val="none" w:sz="0" w:space="0" w:color="auto"/>
        <w:left w:val="none" w:sz="0" w:space="0" w:color="auto"/>
        <w:bottom w:val="none" w:sz="0" w:space="0" w:color="auto"/>
        <w:right w:val="none" w:sz="0" w:space="0" w:color="auto"/>
      </w:divBdr>
    </w:div>
    <w:div w:id="408771008">
      <w:bodyDiv w:val="1"/>
      <w:marLeft w:val="0"/>
      <w:marRight w:val="0"/>
      <w:marTop w:val="0"/>
      <w:marBottom w:val="0"/>
      <w:divBdr>
        <w:top w:val="none" w:sz="0" w:space="0" w:color="auto"/>
        <w:left w:val="none" w:sz="0" w:space="0" w:color="auto"/>
        <w:bottom w:val="none" w:sz="0" w:space="0" w:color="auto"/>
        <w:right w:val="none" w:sz="0" w:space="0" w:color="auto"/>
      </w:divBdr>
      <w:divsChild>
        <w:div w:id="1965455436">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518933716">
      <w:bodyDiv w:val="1"/>
      <w:marLeft w:val="0"/>
      <w:marRight w:val="0"/>
      <w:marTop w:val="0"/>
      <w:marBottom w:val="0"/>
      <w:divBdr>
        <w:top w:val="none" w:sz="0" w:space="0" w:color="auto"/>
        <w:left w:val="none" w:sz="0" w:space="0" w:color="auto"/>
        <w:bottom w:val="none" w:sz="0" w:space="0" w:color="auto"/>
        <w:right w:val="none" w:sz="0" w:space="0" w:color="auto"/>
      </w:divBdr>
    </w:div>
    <w:div w:id="602692931">
      <w:bodyDiv w:val="1"/>
      <w:marLeft w:val="0"/>
      <w:marRight w:val="0"/>
      <w:marTop w:val="0"/>
      <w:marBottom w:val="0"/>
      <w:divBdr>
        <w:top w:val="none" w:sz="0" w:space="0" w:color="auto"/>
        <w:left w:val="none" w:sz="0" w:space="0" w:color="auto"/>
        <w:bottom w:val="none" w:sz="0" w:space="0" w:color="auto"/>
        <w:right w:val="none" w:sz="0" w:space="0" w:color="auto"/>
      </w:divBdr>
    </w:div>
    <w:div w:id="621116554">
      <w:bodyDiv w:val="1"/>
      <w:marLeft w:val="0"/>
      <w:marRight w:val="0"/>
      <w:marTop w:val="0"/>
      <w:marBottom w:val="0"/>
      <w:divBdr>
        <w:top w:val="none" w:sz="0" w:space="0" w:color="auto"/>
        <w:left w:val="none" w:sz="0" w:space="0" w:color="auto"/>
        <w:bottom w:val="none" w:sz="0" w:space="0" w:color="auto"/>
        <w:right w:val="none" w:sz="0" w:space="0" w:color="auto"/>
      </w:divBdr>
    </w:div>
    <w:div w:id="628126327">
      <w:bodyDiv w:val="1"/>
      <w:marLeft w:val="0"/>
      <w:marRight w:val="0"/>
      <w:marTop w:val="0"/>
      <w:marBottom w:val="0"/>
      <w:divBdr>
        <w:top w:val="none" w:sz="0" w:space="0" w:color="auto"/>
        <w:left w:val="none" w:sz="0" w:space="0" w:color="auto"/>
        <w:bottom w:val="none" w:sz="0" w:space="0" w:color="auto"/>
        <w:right w:val="none" w:sz="0" w:space="0" w:color="auto"/>
      </w:divBdr>
    </w:div>
    <w:div w:id="738164477">
      <w:bodyDiv w:val="1"/>
      <w:marLeft w:val="0"/>
      <w:marRight w:val="0"/>
      <w:marTop w:val="0"/>
      <w:marBottom w:val="0"/>
      <w:divBdr>
        <w:top w:val="none" w:sz="0" w:space="0" w:color="auto"/>
        <w:left w:val="none" w:sz="0" w:space="0" w:color="auto"/>
        <w:bottom w:val="none" w:sz="0" w:space="0" w:color="auto"/>
        <w:right w:val="none" w:sz="0" w:space="0" w:color="auto"/>
      </w:divBdr>
    </w:div>
    <w:div w:id="764612905">
      <w:bodyDiv w:val="1"/>
      <w:marLeft w:val="0"/>
      <w:marRight w:val="0"/>
      <w:marTop w:val="0"/>
      <w:marBottom w:val="0"/>
      <w:divBdr>
        <w:top w:val="none" w:sz="0" w:space="0" w:color="auto"/>
        <w:left w:val="none" w:sz="0" w:space="0" w:color="auto"/>
        <w:bottom w:val="none" w:sz="0" w:space="0" w:color="auto"/>
        <w:right w:val="none" w:sz="0" w:space="0" w:color="auto"/>
      </w:divBdr>
      <w:divsChild>
        <w:div w:id="278924057">
          <w:marLeft w:val="0"/>
          <w:marRight w:val="0"/>
          <w:marTop w:val="100"/>
          <w:marBottom w:val="100"/>
          <w:divBdr>
            <w:top w:val="none" w:sz="0" w:space="0" w:color="auto"/>
            <w:left w:val="none" w:sz="0" w:space="0" w:color="auto"/>
            <w:bottom w:val="none" w:sz="0" w:space="0" w:color="auto"/>
            <w:right w:val="none" w:sz="0" w:space="0" w:color="auto"/>
          </w:divBdr>
          <w:divsChild>
            <w:div w:id="1226916372">
              <w:marLeft w:val="0"/>
              <w:marRight w:val="0"/>
              <w:marTop w:val="0"/>
              <w:marBottom w:val="0"/>
              <w:divBdr>
                <w:top w:val="none" w:sz="0" w:space="0" w:color="auto"/>
                <w:left w:val="none" w:sz="0" w:space="0" w:color="auto"/>
                <w:bottom w:val="none" w:sz="0" w:space="0" w:color="auto"/>
                <w:right w:val="none" w:sz="0" w:space="0" w:color="auto"/>
              </w:divBdr>
              <w:divsChild>
                <w:div w:id="10506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709222">
      <w:bodyDiv w:val="1"/>
      <w:marLeft w:val="0"/>
      <w:marRight w:val="0"/>
      <w:marTop w:val="0"/>
      <w:marBottom w:val="0"/>
      <w:divBdr>
        <w:top w:val="none" w:sz="0" w:space="0" w:color="auto"/>
        <w:left w:val="none" w:sz="0" w:space="0" w:color="auto"/>
        <w:bottom w:val="none" w:sz="0" w:space="0" w:color="auto"/>
        <w:right w:val="none" w:sz="0" w:space="0" w:color="auto"/>
      </w:divBdr>
    </w:div>
    <w:div w:id="869418902">
      <w:bodyDiv w:val="1"/>
      <w:marLeft w:val="0"/>
      <w:marRight w:val="0"/>
      <w:marTop w:val="0"/>
      <w:marBottom w:val="0"/>
      <w:divBdr>
        <w:top w:val="none" w:sz="0" w:space="0" w:color="auto"/>
        <w:left w:val="none" w:sz="0" w:space="0" w:color="auto"/>
        <w:bottom w:val="none" w:sz="0" w:space="0" w:color="auto"/>
        <w:right w:val="none" w:sz="0" w:space="0" w:color="auto"/>
      </w:divBdr>
    </w:div>
    <w:div w:id="989094841">
      <w:bodyDiv w:val="1"/>
      <w:marLeft w:val="0"/>
      <w:marRight w:val="0"/>
      <w:marTop w:val="0"/>
      <w:marBottom w:val="0"/>
      <w:divBdr>
        <w:top w:val="none" w:sz="0" w:space="0" w:color="auto"/>
        <w:left w:val="none" w:sz="0" w:space="0" w:color="auto"/>
        <w:bottom w:val="none" w:sz="0" w:space="0" w:color="auto"/>
        <w:right w:val="none" w:sz="0" w:space="0" w:color="auto"/>
      </w:divBdr>
    </w:div>
    <w:div w:id="1088230821">
      <w:bodyDiv w:val="1"/>
      <w:marLeft w:val="0"/>
      <w:marRight w:val="0"/>
      <w:marTop w:val="0"/>
      <w:marBottom w:val="0"/>
      <w:divBdr>
        <w:top w:val="none" w:sz="0" w:space="0" w:color="auto"/>
        <w:left w:val="none" w:sz="0" w:space="0" w:color="auto"/>
        <w:bottom w:val="none" w:sz="0" w:space="0" w:color="auto"/>
        <w:right w:val="none" w:sz="0" w:space="0" w:color="auto"/>
      </w:divBdr>
    </w:div>
    <w:div w:id="1115641548">
      <w:bodyDiv w:val="1"/>
      <w:marLeft w:val="0"/>
      <w:marRight w:val="0"/>
      <w:marTop w:val="0"/>
      <w:marBottom w:val="0"/>
      <w:divBdr>
        <w:top w:val="none" w:sz="0" w:space="0" w:color="auto"/>
        <w:left w:val="none" w:sz="0" w:space="0" w:color="auto"/>
        <w:bottom w:val="none" w:sz="0" w:space="0" w:color="auto"/>
        <w:right w:val="none" w:sz="0" w:space="0" w:color="auto"/>
      </w:divBdr>
    </w:div>
    <w:div w:id="1434739669">
      <w:bodyDiv w:val="1"/>
      <w:marLeft w:val="0"/>
      <w:marRight w:val="0"/>
      <w:marTop w:val="0"/>
      <w:marBottom w:val="0"/>
      <w:divBdr>
        <w:top w:val="none" w:sz="0" w:space="0" w:color="auto"/>
        <w:left w:val="none" w:sz="0" w:space="0" w:color="auto"/>
        <w:bottom w:val="none" w:sz="0" w:space="0" w:color="auto"/>
        <w:right w:val="none" w:sz="0" w:space="0" w:color="auto"/>
      </w:divBdr>
    </w:div>
    <w:div w:id="1450322726">
      <w:bodyDiv w:val="1"/>
      <w:marLeft w:val="0"/>
      <w:marRight w:val="0"/>
      <w:marTop w:val="0"/>
      <w:marBottom w:val="0"/>
      <w:divBdr>
        <w:top w:val="none" w:sz="0" w:space="0" w:color="auto"/>
        <w:left w:val="none" w:sz="0" w:space="0" w:color="auto"/>
        <w:bottom w:val="none" w:sz="0" w:space="0" w:color="auto"/>
        <w:right w:val="none" w:sz="0" w:space="0" w:color="auto"/>
      </w:divBdr>
    </w:div>
    <w:div w:id="1614705123">
      <w:bodyDiv w:val="1"/>
      <w:marLeft w:val="0"/>
      <w:marRight w:val="0"/>
      <w:marTop w:val="0"/>
      <w:marBottom w:val="0"/>
      <w:divBdr>
        <w:top w:val="none" w:sz="0" w:space="0" w:color="auto"/>
        <w:left w:val="none" w:sz="0" w:space="0" w:color="auto"/>
        <w:bottom w:val="none" w:sz="0" w:space="0" w:color="auto"/>
        <w:right w:val="none" w:sz="0" w:space="0" w:color="auto"/>
      </w:divBdr>
    </w:div>
    <w:div w:id="1795172273">
      <w:bodyDiv w:val="1"/>
      <w:marLeft w:val="0"/>
      <w:marRight w:val="0"/>
      <w:marTop w:val="0"/>
      <w:marBottom w:val="0"/>
      <w:divBdr>
        <w:top w:val="none" w:sz="0" w:space="0" w:color="auto"/>
        <w:left w:val="none" w:sz="0" w:space="0" w:color="auto"/>
        <w:bottom w:val="none" w:sz="0" w:space="0" w:color="auto"/>
        <w:right w:val="none" w:sz="0" w:space="0" w:color="auto"/>
      </w:divBdr>
    </w:div>
    <w:div w:id="1829243399">
      <w:bodyDiv w:val="1"/>
      <w:marLeft w:val="0"/>
      <w:marRight w:val="0"/>
      <w:marTop w:val="0"/>
      <w:marBottom w:val="0"/>
      <w:divBdr>
        <w:top w:val="none" w:sz="0" w:space="0" w:color="auto"/>
        <w:left w:val="none" w:sz="0" w:space="0" w:color="auto"/>
        <w:bottom w:val="none" w:sz="0" w:space="0" w:color="auto"/>
        <w:right w:val="none" w:sz="0" w:space="0" w:color="auto"/>
      </w:divBdr>
    </w:div>
    <w:div w:id="2089225461">
      <w:bodyDiv w:val="1"/>
      <w:marLeft w:val="0"/>
      <w:marRight w:val="0"/>
      <w:marTop w:val="0"/>
      <w:marBottom w:val="0"/>
      <w:divBdr>
        <w:top w:val="none" w:sz="0" w:space="0" w:color="auto"/>
        <w:left w:val="none" w:sz="0" w:space="0" w:color="auto"/>
        <w:bottom w:val="none" w:sz="0" w:space="0" w:color="auto"/>
        <w:right w:val="none" w:sz="0" w:space="0" w:color="auto"/>
      </w:divBdr>
    </w:div>
    <w:div w:id="2114933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ebi.gov.i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ospi.gov.i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spi.gov.i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bi.org.i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rbi.org.in" TargetMode="External"/><Relationship Id="rId14" Type="http://schemas.openxmlformats.org/officeDocument/2006/relationships/hyperlink" Target="https://www.ncaer.org"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4C5F667-1878-41F7-8E70-7316E2F26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9</Pages>
  <Words>3179</Words>
  <Characters>18122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SDI 1084</cp:lastModifiedBy>
  <cp:revision>252</cp:revision>
  <dcterms:created xsi:type="dcterms:W3CDTF">2025-07-08T11:12:00Z</dcterms:created>
  <dcterms:modified xsi:type="dcterms:W3CDTF">2025-09-11T10:45:00Z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BC45D38805D54501A2AA17814E438763_12</vt:lpwstr>
  </property>
</Properties>
</file>