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7BAED" w14:textId="05DADDF5" w:rsidR="006932E2" w:rsidRDefault="006932E2" w:rsidP="001E2E69">
      <w:pPr>
        <w:spacing w:line="360" w:lineRule="auto"/>
        <w:rPr>
          <w:b/>
          <w:bCs/>
        </w:rPr>
      </w:pPr>
    </w:p>
    <w:p w14:paraId="3881C666" w14:textId="77777777" w:rsidR="006932E2" w:rsidRPr="00B55B9F" w:rsidRDefault="006932E2" w:rsidP="001E2E69">
      <w:pPr>
        <w:spacing w:line="360" w:lineRule="auto"/>
        <w:rPr>
          <w:b/>
          <w:bCs/>
        </w:rPr>
      </w:pPr>
    </w:p>
    <w:p w14:paraId="736E98DD" w14:textId="418CCF41" w:rsidR="00B04AE3" w:rsidRPr="00B55B9F" w:rsidRDefault="00D30CC9" w:rsidP="00F21C52">
      <w:pPr>
        <w:spacing w:line="360" w:lineRule="auto"/>
        <w:jc w:val="center"/>
        <w:rPr>
          <w:b/>
          <w:bCs/>
        </w:rPr>
      </w:pPr>
      <w:r w:rsidRPr="00D30CC9">
        <w:rPr>
          <w:b/>
          <w:bCs/>
        </w:rPr>
        <w:t xml:space="preserve">Dyslipidemia as </w:t>
      </w:r>
      <w:r w:rsidR="0069201E">
        <w:rPr>
          <w:b/>
          <w:bCs/>
        </w:rPr>
        <w:t xml:space="preserve">the </w:t>
      </w:r>
      <w:r w:rsidRPr="00D30CC9">
        <w:rPr>
          <w:b/>
          <w:bCs/>
        </w:rPr>
        <w:t xml:space="preserve">Predictive Factor for the Severity of Diabetic Retinopathy Among Type 2 Diabetic Patients at KCMC </w:t>
      </w:r>
      <w:r w:rsidR="002F596D">
        <w:rPr>
          <w:b/>
          <w:bCs/>
        </w:rPr>
        <w:t>H</w:t>
      </w:r>
      <w:r w:rsidR="00BA4CB3">
        <w:rPr>
          <w:b/>
          <w:bCs/>
        </w:rPr>
        <w:t xml:space="preserve">ospital </w:t>
      </w:r>
      <w:r w:rsidRPr="00D30CC9">
        <w:rPr>
          <w:b/>
          <w:bCs/>
        </w:rPr>
        <w:t>from 2023 to 2024</w:t>
      </w:r>
    </w:p>
    <w:p w14:paraId="73C867F8" w14:textId="77777777" w:rsidR="00DC50E8" w:rsidRPr="00B55B9F" w:rsidRDefault="00DC50E8" w:rsidP="001E2E69">
      <w:pPr>
        <w:spacing w:line="360" w:lineRule="auto"/>
        <w:jc w:val="center"/>
        <w:rPr>
          <w:b/>
          <w:bCs/>
        </w:rPr>
      </w:pPr>
    </w:p>
    <w:p w14:paraId="24C975B0" w14:textId="56D984A9" w:rsidR="00B04AE3" w:rsidRPr="00B55B9F" w:rsidRDefault="00B04AE3" w:rsidP="00F21C52">
      <w:pPr>
        <w:spacing w:line="360" w:lineRule="auto"/>
        <w:jc w:val="both"/>
        <w:rPr>
          <w:b/>
          <w:bCs/>
        </w:rPr>
      </w:pPr>
    </w:p>
    <w:p w14:paraId="0BE05041" w14:textId="20B6541D" w:rsidR="00CC5ACC" w:rsidRDefault="00CC5ACC" w:rsidP="00AB7E87">
      <w:pPr>
        <w:pStyle w:val="Heading1"/>
        <w:jc w:val="left"/>
        <w:rPr>
          <w:rFonts w:eastAsiaTheme="minorHAnsi"/>
        </w:rPr>
      </w:pPr>
      <w:bookmarkStart w:id="0" w:name="_Toc171341351"/>
      <w:r w:rsidRPr="00B55B9F">
        <w:rPr>
          <w:rFonts w:eastAsiaTheme="minorHAnsi"/>
        </w:rPr>
        <w:t>A</w:t>
      </w:r>
      <w:bookmarkEnd w:id="0"/>
      <w:r w:rsidR="00295613">
        <w:rPr>
          <w:rFonts w:eastAsiaTheme="minorHAnsi"/>
        </w:rPr>
        <w:t>bstract</w:t>
      </w:r>
    </w:p>
    <w:p w14:paraId="52A6DBB7" w14:textId="77777777" w:rsidR="00AB7E87" w:rsidRPr="00AB7E87" w:rsidRDefault="00AB7E87" w:rsidP="00AB7E87">
      <w:pPr>
        <w:rPr>
          <w:rFonts w:eastAsiaTheme="minorHAnsi"/>
        </w:rPr>
      </w:pPr>
    </w:p>
    <w:p w14:paraId="419740DD" w14:textId="78D5FC54" w:rsidR="00AE08FE" w:rsidRPr="00B55B9F" w:rsidRDefault="00AE08FE" w:rsidP="00AE08FE">
      <w:pPr>
        <w:spacing w:line="360" w:lineRule="auto"/>
        <w:jc w:val="both"/>
      </w:pPr>
      <w:r w:rsidRPr="00B55B9F">
        <w:rPr>
          <w:b/>
          <w:bCs/>
        </w:rPr>
        <w:t>Background:</w:t>
      </w:r>
      <w:r w:rsidRPr="00B55B9F">
        <w:t xml:space="preserve"> Diabetes mellitus (DM) is a global health concern, leading to complications like diabetic retinopathy (DR), a leading cause of blindn</w:t>
      </w:r>
      <w:bookmarkStart w:id="1" w:name="_GoBack"/>
      <w:bookmarkEnd w:id="1"/>
      <w:r w:rsidRPr="00B55B9F">
        <w:t>ess. Dyslipidemia, marked by abnormal lipid levels, is considered a risk factor for DR due to its role in endothelial dysfunction and inflammation. However, studies on the relationship between lipid levels and DR severity have yielded conflicting results, making this a debated topic.</w:t>
      </w:r>
    </w:p>
    <w:p w14:paraId="3476D940" w14:textId="73149CF3" w:rsidR="00AE08FE" w:rsidRPr="00B55B9F" w:rsidRDefault="00AE08FE" w:rsidP="00AE08FE">
      <w:pPr>
        <w:spacing w:line="360" w:lineRule="auto"/>
        <w:jc w:val="both"/>
      </w:pPr>
      <w:r w:rsidRPr="00B55B9F">
        <w:rPr>
          <w:b/>
          <w:bCs/>
        </w:rPr>
        <w:t>Study Aim</w:t>
      </w:r>
      <w:r w:rsidRPr="00B55B9F">
        <w:t>: This study aimed to assess dyslipidemia as a predictor for DR severity in type 2 diabetic patients attending Kilimanjaro Christian Medical Centre (KCMC) from 2023 to 2024.</w:t>
      </w:r>
    </w:p>
    <w:p w14:paraId="1CA83BDC" w14:textId="5332975B" w:rsidR="00AE08FE" w:rsidRPr="00B55B9F" w:rsidRDefault="00AE08FE" w:rsidP="00AE08FE">
      <w:pPr>
        <w:spacing w:line="360" w:lineRule="auto"/>
        <w:jc w:val="both"/>
      </w:pPr>
      <w:r w:rsidRPr="00B55B9F">
        <w:rPr>
          <w:b/>
          <w:bCs/>
        </w:rPr>
        <w:t>Methodology:</w:t>
      </w:r>
      <w:r w:rsidRPr="00B55B9F">
        <w:t xml:space="preserve"> A hospital-based analytical cross-sectional study was conducted with 296 diabetic outpatients at KCMC. Participants underwent fundoscopy and were evaluated for DR severity</w:t>
      </w:r>
      <w:r w:rsidR="00C004D8">
        <w:t xml:space="preserve">, then </w:t>
      </w:r>
      <w:r w:rsidRPr="00B55B9F">
        <w:t>blood samples were collected for biochemical analysis. Data were cleaned and analyzed using STATA version 17.</w:t>
      </w:r>
    </w:p>
    <w:p w14:paraId="7B9AC2A3" w14:textId="77ACDB56" w:rsidR="00AE08FE" w:rsidRPr="00B55B9F" w:rsidRDefault="00AE08FE" w:rsidP="00AE08FE">
      <w:pPr>
        <w:spacing w:line="360" w:lineRule="auto"/>
        <w:jc w:val="both"/>
      </w:pPr>
      <w:r w:rsidRPr="00B55B9F">
        <w:rPr>
          <w:b/>
          <w:bCs/>
        </w:rPr>
        <w:t>Results:</w:t>
      </w:r>
      <w:r w:rsidRPr="00B55B9F">
        <w:t xml:space="preserve"> Among the patients, 31.4% (93/296) had no DR, while 68.6% (203/296) had DR. Abnormally high levels of serum cholesterol (48.6%), triglycerides (43.6%), LDL (36.1%), and low HDL (38.9%) were identified among study participants.  Elevated serum triglycerides and LDL were significantly associated with DR severity (p &lt; 0.05), while serum cholesterol was not significant after adjustment (p = 0.068). Progression from NPDR to PDR was linked to diabetes duration over 5 years and high serum triglycerides (p ≤ 0.001), but HDL levels were not significantly associated with DR</w:t>
      </w:r>
      <w:r w:rsidR="00320112">
        <w:t>.</w:t>
      </w:r>
      <w:r w:rsidRPr="00B55B9F">
        <w:t xml:space="preserve"> Abnormal BMI was a significant predictor of </w:t>
      </w:r>
      <w:r w:rsidR="00964A1A">
        <w:t>diabetic retinopathy</w:t>
      </w:r>
      <w:r w:rsidRPr="00B55B9F">
        <w:t xml:space="preserve"> (p = 0.002), while urine protein and HbA1c levels were not significant after adjustment. </w:t>
      </w:r>
    </w:p>
    <w:p w14:paraId="7B29D86E" w14:textId="2EDD10EC" w:rsidR="00AE08FE" w:rsidRDefault="00AE08FE" w:rsidP="00AE08FE">
      <w:pPr>
        <w:spacing w:line="360" w:lineRule="auto"/>
        <w:jc w:val="both"/>
      </w:pPr>
      <w:r w:rsidRPr="00B55B9F">
        <w:rPr>
          <w:b/>
          <w:bCs/>
        </w:rPr>
        <w:t>Conclusion:</w:t>
      </w:r>
      <w:r w:rsidRPr="00B55B9F">
        <w:t xml:space="preserve"> The study found a strong link between dyslipidemia and the severity of DR. Even after adjustments LDL, and triglycerides were significantly associated with DR severity. Diabetes duration and </w:t>
      </w:r>
      <w:r w:rsidR="003A60FF">
        <w:t xml:space="preserve">Body mass </w:t>
      </w:r>
      <w:r w:rsidR="006947AF">
        <w:t>index</w:t>
      </w:r>
      <w:r w:rsidRPr="00B55B9F">
        <w:t xml:space="preserve"> were also significant factors. The study </w:t>
      </w:r>
      <w:r w:rsidR="00B05927" w:rsidRPr="00B55B9F">
        <w:t xml:space="preserve">emphasizes </w:t>
      </w:r>
      <w:r w:rsidRPr="00B55B9F">
        <w:t xml:space="preserve">the importance of early intervention, lifestyle changes, enhanced screening </w:t>
      </w:r>
      <w:r w:rsidRPr="00B55B9F">
        <w:lastRenderedPageBreak/>
        <w:t>programs, and patient education to manage diabetes and its complications and reduce DR incidence and progression.</w:t>
      </w:r>
    </w:p>
    <w:p w14:paraId="2E8DA4DC" w14:textId="77777777" w:rsidR="001905D7" w:rsidRDefault="001905D7" w:rsidP="00B718E9">
      <w:pPr>
        <w:spacing w:line="360" w:lineRule="auto"/>
        <w:jc w:val="both"/>
      </w:pPr>
      <w:r w:rsidRPr="001905D7">
        <w:rPr>
          <w:b/>
          <w:bCs/>
        </w:rPr>
        <w:t>Keywords:</w:t>
      </w:r>
      <w:r>
        <w:rPr>
          <w:b/>
          <w:bCs/>
        </w:rPr>
        <w:t xml:space="preserve"> </w:t>
      </w:r>
      <w:r>
        <w:t>Dyslipidemia, Diabetic retinopathy, Diabetic retinopathy severity, Serum cholesterol, Triglyceride, High density lipoprotein, Low density lipoprotein.</w:t>
      </w:r>
    </w:p>
    <w:p w14:paraId="3182AEE1" w14:textId="255CB641" w:rsidR="003E0BCF" w:rsidRPr="00B55B9F" w:rsidRDefault="00035DBF" w:rsidP="00D92CD9">
      <w:pPr>
        <w:pStyle w:val="Heading2"/>
        <w:rPr>
          <w:color w:val="auto"/>
        </w:rPr>
      </w:pPr>
      <w:bookmarkStart w:id="2" w:name="_Toc171341353"/>
      <w:r w:rsidRPr="00B55B9F">
        <w:rPr>
          <w:color w:val="auto"/>
        </w:rPr>
        <w:t>Introduction</w:t>
      </w:r>
      <w:bookmarkEnd w:id="2"/>
    </w:p>
    <w:p w14:paraId="76175F13" w14:textId="1003AC67" w:rsidR="004D2307" w:rsidRPr="00B55B9F" w:rsidRDefault="00613FE3" w:rsidP="00B718E9">
      <w:pPr>
        <w:spacing w:line="360" w:lineRule="auto"/>
        <w:jc w:val="both"/>
      </w:pPr>
      <w:r w:rsidRPr="00B55B9F">
        <w:t>Diabetes is a persistent, metabolic disorder defined by high levels of blood sugar which leads to long-term severe harm to the heart, blood vessels, eyes, kidneys and nerves. There are two primary forms of D</w:t>
      </w:r>
      <w:r w:rsidR="00EA5C75">
        <w:t>iabetic mellitus</w:t>
      </w:r>
      <w:r w:rsidRPr="00B55B9F">
        <w:t xml:space="preserve">, specifically type 1 and type 2. When the body ceases to produce adequate insulin or develops insulin insensitivity, type 2 diabetes occurs and when the pancreas produces insufficient or no insulin naturally, Type 1 diabetes occurs </w:t>
      </w:r>
      <w:r w:rsidR="006012CC" w:rsidRPr="00B55B9F">
        <w:t>(WHO)</w:t>
      </w:r>
      <w:r w:rsidR="009B0681" w:rsidRPr="00B55B9F">
        <w:t>. The prevalence of type 2 diabetes is increasing gradually due to factors such as increased obesity, reduced physical activity, and sedentary lifestyles</w:t>
      </w:r>
      <w:r w:rsidR="00B606B3" w:rsidRPr="00B55B9F">
        <w:t xml:space="preserve"> </w:t>
      </w:r>
      <w:r w:rsidR="00B606B3" w:rsidRPr="00B55B9F">
        <w:fldChar w:fldCharType="begin" w:fldLock="1"/>
      </w:r>
      <w:r w:rsidR="00053B5E">
        <w:instrText>ADDIN CSL_CITATION {"citationItems":[{"id":"ITEM-1","itemData":{"DOI":"10.5958/2394-6377.2016.00007.1","ISSN":"2394-6369","abstract":"Background: Type 2 diabetes is a heterogeneous metabolic disease characterised by insulin resistance in peripheral tissue together with impaired insulin secretion. It affects more than 285 million peoples worldwide and estimated that it will affect more than 438 million by the year 2030. It is the leading cause of morbidity and mortality. Magnesium is an important intracellular cation. Hypomagnesaemia is associated with diabetes. Dyslipidemia is seen in Diabetes mellitus. Objectives: To estimate serum magnesium and lipid profile in type 2 diabetes mellitus patients and controls. To correlate serum Magnesium level with lipid profile in type 2 diabetes mellitus patients. Materials &amp; methods: A total of 100 subjects were included, out of which 50 were cases and 50 were controls. Fasting blood sugar (FBS), serum magnesium and lipid profile were measured. Data was statistically analyzed using SPSS 17 th version. Results: There was statistical significant difference of serum Magnesium levels 1.56mg/dI due to hyperglycemia induced osmotic diuresis , Total cholesterol (TC), Triglycerides, Low density lipoprotein(LDL) and High density lipoprotein(HDL) due to increased flux of free fatty acids to liver secondary to insulin resistance was observed in Type 2 diabetes when compared with healthy controls. Significant negative correlation was observed between serum magnesium with Fasting blood glucose, TC, Triglycerides and LDL. Significant positive correlation was observed between serum magnesium and HDL levels. Conclusion: Hypomagnesaemia has role in perturbation of lipid metabolism in diabetics.","author":[{"dropping-particle":"","family":"Sajjan","given":"Netravathi","non-dropping-particle":"","parse-names":false,"suffix":""},{"dropping-particle":"","family":"Shamsuddin","given":"Mohammed","non-dropping-particle":"","parse-names":false,"suffix":""}],"container-title":"International Journal of Clinical Biochemistry and Research","id":"ITEM-1","issue":"1","issued":{"date-parts":[["2016"]]},"page":"36","title":"A study of serum magnesium and dyslipidemia in type 2 diabetes mellitus patients","type":"article-journal","volume":"3"},"uris":["http://www.mendeley.com/documents/?uuid=503a7b82-91b1-4c6b-b85c-2123b6158a66"]}],"mendeley":{"formattedCitation":"(1)","plainTextFormattedCitation":"(1)","previouslyFormattedCitation":"(1)"},"properties":{"noteIndex":0},"schema":"https://github.com/citation-style-language/schema/raw/master/csl-citation.json"}</w:instrText>
      </w:r>
      <w:r w:rsidR="00B606B3" w:rsidRPr="00B55B9F">
        <w:fldChar w:fldCharType="separate"/>
      </w:r>
      <w:r w:rsidR="001D17CD" w:rsidRPr="001D17CD">
        <w:rPr>
          <w:noProof/>
        </w:rPr>
        <w:t>(1)</w:t>
      </w:r>
      <w:r w:rsidR="00B606B3" w:rsidRPr="00B55B9F">
        <w:fldChar w:fldCharType="end"/>
      </w:r>
      <w:r w:rsidR="009B0681" w:rsidRPr="00B55B9F">
        <w:t>.</w:t>
      </w:r>
    </w:p>
    <w:p w14:paraId="07E07F28" w14:textId="77777777" w:rsidR="00043965" w:rsidRPr="00B55B9F" w:rsidRDefault="00043965" w:rsidP="00B718E9">
      <w:pPr>
        <w:spacing w:line="360" w:lineRule="auto"/>
        <w:jc w:val="both"/>
      </w:pPr>
    </w:p>
    <w:p w14:paraId="5CC2185A" w14:textId="3C3C6FF7" w:rsidR="00DB2E09" w:rsidRPr="00B55B9F" w:rsidRDefault="00DB2E09" w:rsidP="00B718E9">
      <w:pPr>
        <w:spacing w:line="360" w:lineRule="auto"/>
        <w:jc w:val="both"/>
      </w:pPr>
      <w:r w:rsidRPr="00B55B9F">
        <w:t>Globally, diabetes mellitus is a significant healthcare issue, with over 360 million individuals estimated to be impacted by the condition by 2030</w:t>
      </w:r>
      <w:r w:rsidR="00B91B84" w:rsidRPr="00B55B9F">
        <w:t xml:space="preserve"> </w:t>
      </w:r>
      <w:r w:rsidR="00B91B84" w:rsidRPr="00B55B9F">
        <w:fldChar w:fldCharType="begin" w:fldLock="1"/>
      </w:r>
      <w:r w:rsidR="00053B5E">
        <w:instrText>ADDIN CSL_CITATION {"citationItems":[{"id":"ITEM-1","itemData":{"DOI":"10.18410/jebmh/2021/25","ISSN":"23492562","abstract":"BACKGROUND Dyslipidaemia has been proposed as a possible risk factor for diabetic retinopathy (DR) but results from previous studies are inconsistent. We designed this study to find the association of abnormal serum lipid levels with diabetic retinopathy and diabetic macular oedema (DME). METHODS This was a single centre observational study conducted at a tertiary care hospital, where patients with type 2 diabetes of more than five years duration were enrolled. A comprehensive ophthalmic evaluation was performed on all study subjects. Detailed fundoscopy was done after obtaining the best possible mydriasis with 1 % tropicamide and 5 % phenylephrine eye drops using direct ophthalmoscopy, indirect ophthalmoscopy with + 20 D lens and stereoscopic slit lamp biomicroscopy of the disc and macula using + 78 D Volk lens. Fundus photographs were taken in patients with any grade of diabetic retinopathy by Topcon fundus camera. DR and DME were diagnosed and classified according to the Early Treatment Diabetic Retinopathy Study (ETDRS) grading system. Fasting blood sugar (FBS), fasting lipid profile and glycated haemoglobin (HbA1c) was assessed for each patient. RESULTS A total of two hundred and twelve participants was enrolled. Mean age of the study group was 63.93 ± 9.52 and the mean duration of diabetes was 13.54 ± 6.07. DR was present in 164 (78.1 %) of whom 71 (43.3 %) had mild non proliferative diabetic retinopathy (NPDR), 42 (25.6 %) had moderate NPDR, 31 (18.9 %) had severe NPDR, and 20 (12.2 %) had proliferative diabetic retinopathy (PDR). Of those with DR, 59 (36 %) had DME. Duration of diabetes (14.62 ± 6.18 vs 9.72 ± 3.68 years, P &lt; 0.001), higher fasting blood glucose (176.79 ± 59.13 vs 138.46 ± 49.44 mg / dL, P &lt; 0.001), higher HbA1c (8.21 ± 1.38 vs. 7.48 ± 1.25 %, P = 0.002), higher total cholesterol (215.04 ± 49.78 vs 184.37 ± 30.84 mg / dL, P &lt; 0.001), higher triglyceride levels (155.23 ± 59.06 vs 125.13 ± 37.3 mg / dL, P = 0.001) and higher low density lipoprotein (LDL) cholesterol levels (139.28 ± 37.38 vs 120.85 ± 22.75 mg / dL, P = 0.002) were significantly associated with the severity of DR. Higher total cholesterol, higher triglyceride levels and higher LDL cholesterol levels were also associated with DME. CONCLUSIONS There is a significant association of abnormal serum lipid levels and hyperglycaemia with the presence and severity of DR and presence of DME. Early identification and intervention to control these modifiable risk factors, hype…","author":[{"dropping-particle":"","family":"S","given":"Kajal Seema","non-dropping-particle":"","parse-names":false,"suffix":""},{"dropping-particle":"","family":"S.S","given":"Binu","non-dropping-particle":"","parse-names":false,"suffix":""},{"dropping-particle":"","family":"M.K.","given":"Bhaskar","non-dropping-particle":"","parse-names":false,"suffix":""}],"container-title":"Journal of Evidence Based Medicine and Healthcare","id":"ITEM-1","issue":"03","issued":{"date-parts":[["2021"]]},"page":"131-135","title":"An Observational Study on the Association between Diabetic Retinopathy and Serum Lipid Levels in a Tertiary Centre in Thiruvananthapuram","type":"article-journal","volume":"8"},"uris":["http://www.mendeley.com/documents/?uuid=b35f87a0-7add-4f75-8bd7-5729aceb4bbe"]}],"mendeley":{"formattedCitation":"(2)","plainTextFormattedCitation":"(2)","previouslyFormattedCitation":"(2)"},"properties":{"noteIndex":0},"schema":"https://github.com/citation-style-language/schema/raw/master/csl-citation.json"}</w:instrText>
      </w:r>
      <w:r w:rsidR="00B91B84" w:rsidRPr="00B55B9F">
        <w:fldChar w:fldCharType="separate"/>
      </w:r>
      <w:r w:rsidR="001D17CD" w:rsidRPr="001D17CD">
        <w:rPr>
          <w:noProof/>
        </w:rPr>
        <w:t>(2)</w:t>
      </w:r>
      <w:r w:rsidR="00B91B84" w:rsidRPr="00B55B9F">
        <w:fldChar w:fldCharType="end"/>
      </w:r>
      <w:r w:rsidRPr="00B55B9F">
        <w:t>.</w:t>
      </w:r>
      <w:r w:rsidR="00207FAD">
        <w:t xml:space="preserve"> </w:t>
      </w:r>
      <w:r w:rsidRPr="00B55B9F">
        <w:t>According to the International Diabetes Federation, the number of diagnosed adults with DM in Africa will rise from 12.1 million in 2010 to 23.9 million in 2030</w:t>
      </w:r>
      <w:r w:rsidR="008C1E6C" w:rsidRPr="00B55B9F">
        <w:t xml:space="preserve"> </w:t>
      </w:r>
      <w:r w:rsidR="008C1E6C" w:rsidRPr="00B55B9F">
        <w:fldChar w:fldCharType="begin" w:fldLock="1"/>
      </w:r>
      <w:r w:rsidR="00053B5E">
        <w:instrText>ADDIN CSL_CITATION {"citationItems":[{"id":"ITEM-1","itemData":{"DOI":"10.1016/j.ophtha.2016.05.042","ISSN":"15494713","PMID":"27406115","abstract":"Purpose To describe the prevalence, incidence, and progression of retinopathy and to report associations with demographic, clinical, and biochemical variables in people with diabetes in Southern Malawi. Design Prospective cohort study. Participants Subjects were systematically sampled from 2 primary care diabetes clinics. Methods We performed the first prospective cohort study of diabetic retinopathy from Sub-Saharan Africa over 24 months. Visual acuity, glycemic control, blood pressure, human immunodeficiency virus (HIV) status, urine albumin-to-creatinine ratio, hemoglobin, and lipids were assessed. Retinopathy was graded at an accredited reading center using modified Wisconsin grading of 4-field mydriatic photographs. Main Outcome Measures Incidence of sight-threatening retinopathy and progression of retinopathy by 2 steps on the Liverpool Diabetic Eye Study Scale. Results A total of 357 subjects were recruited to the 24-month cohort study. At baseline, 13.4% of subjects were HIV positive and 15.1% were anemic. The 2-year incidence of sight-threatening diabetic retinopathy (STDR) for subjects with level 10 (no retinopathy), level 20 (background), and level 30 (preproliferative) retinopathy at baseline was 2.7% (95% confidence interval [CI], 0.1–5.3), 27.3% (95% CI, 16.4–38.2), and 25.0% (95% CI, 0–67.4), respectively. In a multivariate logistic analysis, 2-step progression of diabetic retinopathy was associated with glycosylated hemoglobin (odds ratio [OR], 1.27; 95% CI, 1.12–1.45), baseline grade of retinopathy (OR, 1.39; 95% CI, 1.02–1.91), and HIV infection (OR, 0.16; 95% CI, 0.03–0.78). At 2 years, 17 subjects (5.8%) lost ≥15 letters. Conclusions Incidence of STDR was approximately 3 times that reported in recent European studies. The negative association of HIV infection with retinopathy progression is a new finding.","author":[{"dropping-particle":"","family":"Burgess","given":"Philip I.","non-dropping-particle":"","parse-names":false,"suffix":""},{"dropping-particle":"","family":"Harding","given":"Simon P.","non-dropping-particle":"","parse-names":false,"suffix":""},{"dropping-particle":"","family":"García-Fiñana","given":"Marta","non-dropping-particle":"","parse-names":false,"suffix":""},{"dropping-particle":"","family":"Beare","given":"Nicholas A.V.","non-dropping-particle":"","parse-names":false,"suffix":""},{"dropping-particle":"","family":"Msukwa","given":"Gerald","non-dropping-particle":"","parse-names":false,"suffix":""},{"dropping-particle":"","family":"Allain","given":"Theresa J.","non-dropping-particle":"","parse-names":false,"suffix":""}],"container-title":"Ophthalmology","id":"ITEM-1","issue":"9","issued":{"date-parts":[["2016"]]},"page":"1919-1925","publisher":"American Academy of Ophthalmology","title":"First Prospective Cohort Study of Diabetic Retinopathy from Sub-Saharan Africa: High Incidence and Progression of Retinopathy and Relationship to Human Immunodeficiency Virus Infection","type":"article-journal","volume":"123"},"uris":["http://www.mendeley.com/documents/?uuid=5d0e69c8-ec65-4dbe-8f1d-46a6fa4b9c31"]}],"mendeley":{"formattedCitation":"(3)","plainTextFormattedCitation":"(3)","previouslyFormattedCitation":"(3)"},"properties":{"noteIndex":0},"schema":"https://github.com/citation-style-language/schema/raw/master/csl-citation.json"}</w:instrText>
      </w:r>
      <w:r w:rsidR="008C1E6C" w:rsidRPr="00B55B9F">
        <w:fldChar w:fldCharType="separate"/>
      </w:r>
      <w:r w:rsidR="001D17CD" w:rsidRPr="001D17CD">
        <w:rPr>
          <w:noProof/>
        </w:rPr>
        <w:t>(3)</w:t>
      </w:r>
      <w:r w:rsidR="008C1E6C" w:rsidRPr="00B55B9F">
        <w:fldChar w:fldCharType="end"/>
      </w:r>
      <w:r w:rsidRPr="00B55B9F">
        <w:t xml:space="preserve">. </w:t>
      </w:r>
    </w:p>
    <w:p w14:paraId="7E91800B" w14:textId="77777777" w:rsidR="001109DE" w:rsidRPr="00B55B9F" w:rsidRDefault="001109DE" w:rsidP="00B718E9">
      <w:pPr>
        <w:spacing w:line="360" w:lineRule="auto"/>
        <w:jc w:val="both"/>
      </w:pPr>
    </w:p>
    <w:p w14:paraId="22AF76D3" w14:textId="2CF6A7C5" w:rsidR="00966E9D" w:rsidRPr="00743382" w:rsidRDefault="001109DE" w:rsidP="00B718E9">
      <w:pPr>
        <w:spacing w:line="360" w:lineRule="auto"/>
        <w:jc w:val="both"/>
        <w:rPr>
          <w:lang w:val="en-GB"/>
        </w:rPr>
      </w:pPr>
      <w:r w:rsidRPr="00B55B9F">
        <w:t>D</w:t>
      </w:r>
      <w:r w:rsidR="00EC5544">
        <w:t>iabetic retinopathy</w:t>
      </w:r>
      <w:r w:rsidRPr="00B55B9F">
        <w:t xml:space="preserve"> is one of the primary microvascular complications of diabetes and is considered a significant cause of permanent blindness worldwide</w:t>
      </w:r>
      <w:r w:rsidR="005B1ACE" w:rsidRPr="00B55B9F">
        <w:t xml:space="preserve"> </w:t>
      </w:r>
      <w:r w:rsidR="005B1ACE" w:rsidRPr="00B55B9F">
        <w:fldChar w:fldCharType="begin" w:fldLock="1"/>
      </w:r>
      <w:r w:rsidR="00053B5E">
        <w:instrText>ADDIN CSL_CITATION {"citationItems":[{"id":"ITEM-1","itemData":{"DOI":"10.4103/2230-8210.119637","ISSN":"2230-8210","abstract":"A total number of 140 type 2 diabetic patients with diabetic retinopathy (DR) were enrolled in the study from diabetic clinic during May 2011 till June 2012 to determine correlation between severity of DR with serum lipid and other modifiable risk factors in type 2 diabetic patients. Information including age, sex, height, body weight, body mass index (BMI), waist-hip ratio (WHR), and systolic and diastolic blood pressure was collected from each patient. Fasting plasma sugar, low density lipoprotein (LDL), triglyceride level (TG), high density lipoprotein (HDL), glycated hemoglobin (HbA1C), creatinine, and 24 h urinary albumin excretion was done for each patient. Estimated glomerular filtration rate (eGFR) was measured by modification of diet in renal disease (MDRD) equation. Patients were divided in five groups according to retinopathy status based on early treatment DR study (ETDRS) disease severity level. Statistical analysis was performed with Statistical Packages for Social Sciences (SPSS) statistical software (version 17.0 for Windows). The alpha level was set at P = 0.05 for all tests. Statistically significant positive correlation between severity of DR with systolic blood pressure P = 0.005 (r = 0.974), diastolic blood pressure P = 0.001(r = 0.994), LDL P = 0.005 (r = 0.976), TG P = 0.001 (r = 0.990), and 24 h urinary albumin P = 0.004 (r = 0.977) was documented. DR was also strongly positively correlated with smoking P = 0.017 (r = 0.941) and duration of diabetes P = 0.003 (r = 0.981). There was strong inverse correlation of DR with HDL P = 0.001 (r = -0.994) and eGFR P = 0.002 (r = -0.987). Serum lipids were significantly correlated with severity of DR.","author":[{"dropping-particle":"","family":"Agroiya","given":"Puspalata","non-dropping-particle":"","parse-names":false,"suffix":""},{"dropping-particle":"","family":"Philip","given":"Rajeev","non-dropping-particle":"","parse-names":false,"suffix":""},{"dropping-particle":"","family":"Saran","given":"Sanjay","non-dropping-particle":"","parse-names":false,"suffix":""},{"dropping-particle":"","family":"Gutch","given":"Manish","non-dropping-particle":"","parse-names":false,"suffix":""},{"dropping-particle":"","family":"Tyagi","given":"Rajeev","non-dropping-particle":"","parse-names":false,"suffix":""},{"dropping-particle":"","family":"Gupta","given":"KeshavKumar","non-dropping-particle":"","parse-names":false,"suffix":""}],"container-title":"Indian Journal of Endocrinology and Metabolism","id":"ITEM-1","issue":"7","issued":{"date-parts":[["2013"]]},"page":"335","title":"Association of serum lipids with diabetic retinopathy in type 2 diabetes","type":"article-journal","volume":"17"},"uris":["http://www.mendeley.com/documents/?uuid=e728b9de-08a5-4f8b-8f7c-7fb467193116"]}],"mendeley":{"formattedCitation":"(4)","plainTextFormattedCitation":"(4)","previouslyFormattedCitation":"(4)"},"properties":{"noteIndex":0},"schema":"https://github.com/citation-style-language/schema/raw/master/csl-citation.json"}</w:instrText>
      </w:r>
      <w:r w:rsidR="005B1ACE" w:rsidRPr="00B55B9F">
        <w:fldChar w:fldCharType="separate"/>
      </w:r>
      <w:r w:rsidR="001D17CD" w:rsidRPr="001D17CD">
        <w:rPr>
          <w:noProof/>
        </w:rPr>
        <w:t>(4)</w:t>
      </w:r>
      <w:r w:rsidR="005B1ACE" w:rsidRPr="00B55B9F">
        <w:fldChar w:fldCharType="end"/>
      </w:r>
      <w:r w:rsidR="001522A0">
        <w:t xml:space="preserve"> </w:t>
      </w:r>
      <w:r w:rsidRPr="00B55B9F">
        <w:t>and among individuals globally with Diabetes Mellitus, 34.6% will develop DR, and 10.2% will progress to vision-threatening DR by 2030</w:t>
      </w:r>
      <w:r w:rsidR="00053B5E">
        <w:t xml:space="preserve"> </w:t>
      </w:r>
      <w:r w:rsidR="00053B5E">
        <w:fldChar w:fldCharType="begin" w:fldLock="1"/>
      </w:r>
      <w:r w:rsidR="00D37F15">
        <w:instrText>ADDIN CSL_CITATION {"citationItems":[{"id":"ITEM-1","itemData":{"DOI":"10.18410/jebmh/2021/25","ISSN":"23492562","abstract":"BACKGROUND Dyslipidaemia has been proposed as a possible risk factor for diabetic retinopathy (DR) but results from previous studies are inconsistent. We designed this study to find the association of abnormal serum lipid levels with diabetic retinopathy and diabetic macular oedema (DME). METHODS This was a single centre observational study conducted at a tertiary care hospital, where patients with type 2 diabetes of more than five years duration were enrolled. A comprehensive ophthalmic evaluation was performed on all study subjects. Detailed fundoscopy was done after obtaining the best possible mydriasis with 1 % tropicamide and 5 % phenylephrine eye drops using direct ophthalmoscopy, indirect ophthalmoscopy with + 20 D lens and stereoscopic slit lamp biomicroscopy of the disc and macula using + 78 D Volk lens. Fundus photographs were taken in patients with any grade of diabetic retinopathy by Topcon fundus camera. DR and DME were diagnosed and classified according to the Early Treatment Diabetic Retinopathy Study (ETDRS) grading system. Fasting blood sugar (FBS), fasting lipid profile and glycated haemoglobin (HbA1c) was assessed for each patient. RESULTS A total of two hundred and twelve participants was enrolled. Mean age of the study group was 63.93 ± 9.52 and the mean duration of diabetes was 13.54 ± 6.07. DR was present in 164 (78.1 %) of whom 71 (43.3 %) had mild non proliferative diabetic retinopathy (NPDR), 42 (25.6 %) had moderate NPDR, 31 (18.9 %) had severe NPDR, and 20 (12.2 %) had proliferative diabetic retinopathy (PDR). Of those with DR, 59 (36 %) had DME. Duration of diabetes (14.62 ± 6.18 vs 9.72 ± 3.68 years, P &lt; 0.001), higher fasting blood glucose (176.79 ± 59.13 vs 138.46 ± 49.44 mg / dL, P &lt; 0.001), higher HbA1c (8.21 ± 1.38 vs. 7.48 ± 1.25 %, P = 0.002), higher total cholesterol (215.04 ± 49.78 vs 184.37 ± 30.84 mg / dL, P &lt; 0.001), higher triglyceride levels (155.23 ± 59.06 vs 125.13 ± 37.3 mg / dL, P = 0.001) and higher low density lipoprotein (LDL) cholesterol levels (139.28 ± 37.38 vs 120.85 ± 22.75 mg / dL, P = 0.002) were significantly associated with the severity of DR. Higher total cholesterol, higher triglyceride levels and higher LDL cholesterol levels were also associated with DME. CONCLUSIONS There is a significant association of abnormal serum lipid levels and hyperglycaemia with the presence and severity of DR and presence of DME. Early identification and intervention to control these modifiable risk factors, hype…","author":[{"dropping-particle":"","family":"S","given":"Kajal Seema","non-dropping-particle":"","parse-names":false,"suffix":""},{"dropping-particle":"","family":"S.S","given":"Binu","non-dropping-particle":"","parse-names":false,"suffix":""},{"dropping-particle":"","family":"M.K.","given":"Bhaskar","non-dropping-particle":"","parse-names":false,"suffix":""}],"container-title":"Journal of Evidence Based Medicine and Healthcare","id":"ITEM-1","issue":"03","issued":{"date-parts":[["2021"]]},"page":"131-135","title":"An Observational Study on the Association between Diabetic Retinopathy and Serum Lipid Levels in a Tertiary Centre in Thiruvananthapuram","type":"article-journal","volume":"8"},"uris":["http://www.mendeley.com/documents/?uuid=b35f87a0-7add-4f75-8bd7-5729aceb4bbe"]}],"mendeley":{"formattedCitation":"(2)","plainTextFormattedCitation":"(2)","previouslyFormattedCitation":"(2)"},"properties":{"noteIndex":0},"schema":"https://github.com/citation-style-language/schema/raw/master/csl-citation.json"}</w:instrText>
      </w:r>
      <w:r w:rsidR="00053B5E">
        <w:fldChar w:fldCharType="separate"/>
      </w:r>
      <w:r w:rsidR="00053B5E" w:rsidRPr="00053B5E">
        <w:rPr>
          <w:noProof/>
        </w:rPr>
        <w:t>(2)</w:t>
      </w:r>
      <w:r w:rsidR="00053B5E">
        <w:fldChar w:fldCharType="end"/>
      </w:r>
      <w:r w:rsidRPr="00B55B9F">
        <w:t>.</w:t>
      </w:r>
      <w:r w:rsidR="00743382">
        <w:t xml:space="preserve"> </w:t>
      </w:r>
      <w:r w:rsidR="00743382">
        <w:rPr>
          <w:lang w:val="en-GB"/>
        </w:rPr>
        <w:t xml:space="preserve">It </w:t>
      </w:r>
      <w:r w:rsidR="00966E9D" w:rsidRPr="00B55B9F">
        <w:t>has been divided into two groups, namely NPDR</w:t>
      </w:r>
      <w:r w:rsidR="00AF40F2">
        <w:t xml:space="preserve"> (</w:t>
      </w:r>
      <w:proofErr w:type="gramStart"/>
      <w:r w:rsidR="00AF40F2">
        <w:t>Non proliferative</w:t>
      </w:r>
      <w:proofErr w:type="gramEnd"/>
      <w:r w:rsidR="00AF40F2">
        <w:t xml:space="preserve"> diabetic retinopathy)</w:t>
      </w:r>
      <w:r w:rsidR="00966E9D" w:rsidRPr="00B55B9F">
        <w:t xml:space="preserve"> and PDR</w:t>
      </w:r>
      <w:r w:rsidR="00AF40F2">
        <w:t xml:space="preserve"> (proliferative diabetic retinopathy)</w:t>
      </w:r>
      <w:r w:rsidR="00966E9D" w:rsidRPr="00B55B9F">
        <w:t xml:space="preserve">. NPDR is identified by the presence of microaneurysms, cotton-wool spots, venous beading, intraretinal microvascular abnormalities, retinal </w:t>
      </w:r>
      <w:r w:rsidR="00684D4C" w:rsidRPr="00B55B9F">
        <w:t>hemorrhage</w:t>
      </w:r>
      <w:r w:rsidR="00966E9D" w:rsidRPr="00B55B9F">
        <w:t xml:space="preserve">, and hard exudates in the fundus view. On the other hand, PDR is characterized by the development of neovascularization on the retina surface, which leads to complications such as retinal and vitreous </w:t>
      </w:r>
      <w:r w:rsidR="00684D4C" w:rsidRPr="00B55B9F">
        <w:t>hemorrhages</w:t>
      </w:r>
      <w:r w:rsidR="00966E9D" w:rsidRPr="00B55B9F">
        <w:t>, fibrosis, and tractional retinal detachment</w:t>
      </w:r>
      <w:r w:rsidR="00091514" w:rsidRPr="00B55B9F">
        <w:t xml:space="preserve"> </w:t>
      </w:r>
      <w:r w:rsidR="00091514" w:rsidRPr="00B55B9F">
        <w:fldChar w:fldCharType="begin" w:fldLock="1"/>
      </w:r>
      <w:r w:rsidR="00053B5E">
        <w:instrText>ADDIN CSL_CITATION {"citationItems":[{"id":"ITEM-1","itemData":{"DOI":"10.1900/RDS.2013.10.121","ISSN":"16140575","PMID":"24380088","abstract":"Diabetic retinopathy (DR) is one of the major microvascular complications of diabetes. In developed countries, it is the most common cause of preventable blindness in diabetic adults. Dyslipidemia, a major systemic disorder, is one of the most important risk factors for cardiovascular disease. Patients with diabetes have an increased risk of suffering from dyslipidemia concurrently. The aim of this article is to review the association between diabetic retinopathy (DR) and traditional/nontraditional lipid markers, possible mechanisms involving lipid metabolism and diabetic retinopathy, and the effect of lipid-lowering therapies on diabetic retinopathy. For traditional lipid markers, evidence is available that total cholesterol and low-density lipoprotein cholesterol are associated with the presence of hard exudates in patients with DR. The study of nontraditional lipid markers is advancing only in recently years. The severity of DR is inversely associated with apolipoprotein A1 (ApoA1), whereas ApoB and the ApoB-to-ApoA1 ratio are positively associated with DR. The role of lipid-lowering medication is to work as adjunctive therapy for better control of diabetes-related complications including DR. © by Lab &amp; Life Press/SBDR.","author":[{"dropping-particle":"","family":"Chang","given":"Yo Chen","non-dropping-particle":"","parse-names":false,"suffix":""},{"dropping-particle":"","family":"Wu","given":"Wen Chuan","non-dropping-particle":"","parse-names":false,"suffix":""}],"container-title":"Review of Diabetic Studies","id":"ITEM-1","issue":"2-3","issued":{"date-parts":[["2013"]]},"page":"121-132","title":"Dyslipidemia and diabetic retinopathy","type":"article-journal","volume":"10"},"uris":["http://www.mendeley.com/documents/?uuid=9a2bdbb5-6507-411e-b050-21e8de126b14"]}],"mendeley":{"formattedCitation":"(5)","plainTextFormattedCitation":"(5)","previouslyFormattedCitation":"(5)"},"properties":{"noteIndex":0},"schema":"https://github.com/citation-style-language/schema/raw/master/csl-citation.json"}</w:instrText>
      </w:r>
      <w:r w:rsidR="00091514" w:rsidRPr="00B55B9F">
        <w:fldChar w:fldCharType="separate"/>
      </w:r>
      <w:r w:rsidR="001D17CD" w:rsidRPr="001D17CD">
        <w:rPr>
          <w:noProof/>
        </w:rPr>
        <w:t>(5)</w:t>
      </w:r>
      <w:r w:rsidR="00091514" w:rsidRPr="00B55B9F">
        <w:fldChar w:fldCharType="end"/>
      </w:r>
      <w:r w:rsidR="00966E9D" w:rsidRPr="00B55B9F">
        <w:t xml:space="preserve">. </w:t>
      </w:r>
    </w:p>
    <w:p w14:paraId="360C67EC" w14:textId="77777777" w:rsidR="00EC5544" w:rsidRPr="00B55B9F" w:rsidRDefault="00EC5544" w:rsidP="00B718E9">
      <w:pPr>
        <w:spacing w:line="360" w:lineRule="auto"/>
        <w:jc w:val="both"/>
      </w:pPr>
    </w:p>
    <w:p w14:paraId="7BCDF61B" w14:textId="6F740C97" w:rsidR="008748B6" w:rsidRDefault="007A2AC2" w:rsidP="00606CB8">
      <w:pPr>
        <w:spacing w:line="360" w:lineRule="auto"/>
        <w:jc w:val="both"/>
        <w:rPr>
          <w:lang w:val="en-GB"/>
        </w:rPr>
      </w:pPr>
      <w:r w:rsidRPr="00B55B9F">
        <w:t xml:space="preserve">Various factors that increase the risk of its advancement have been identified. </w:t>
      </w:r>
      <w:r w:rsidR="00743382">
        <w:t>T</w:t>
      </w:r>
      <w:r w:rsidRPr="00B55B9F">
        <w:t xml:space="preserve">he Diabetes Control and Complications Trial revealed that while 11% of DR risks can be attributed to </w:t>
      </w:r>
      <w:proofErr w:type="spellStart"/>
      <w:r w:rsidRPr="00B55B9F">
        <w:t>glycaemic</w:t>
      </w:r>
      <w:proofErr w:type="spellEnd"/>
      <w:r w:rsidRPr="00B55B9F">
        <w:t xml:space="preserve"> exposure, the remaining 89% may be linked to other potential </w:t>
      </w:r>
      <w:r w:rsidR="008A01B7" w:rsidRPr="00B55B9F">
        <w:t>factors</w:t>
      </w:r>
      <w:r w:rsidR="00687F55" w:rsidRPr="00B55B9F">
        <w:t xml:space="preserve"> </w:t>
      </w:r>
      <w:r w:rsidR="00DB1C29" w:rsidRPr="00B55B9F">
        <w:fldChar w:fldCharType="begin" w:fldLock="1"/>
      </w:r>
      <w:r w:rsidR="00053B5E">
        <w:instrText>ADDIN CSL_CITATION {"citationItems":[{"id":"ITEM-1","itemData":{"DOI":"10.1016/j.endinu.2018.06.003","ISSN":"25300172","PMID":"30077632","abstract":"There are substantial differences in the onset and severity of diabetes complications that are not fully explained by HbA1c levels and other risk factors. HbA1c is the gold standard for assessing metabolic control, but has limited value to identify patients at risk of developing diabetic complications. The main disadvantage of HbA1c is that it does not provide information about glycemic variability and does not reflect long-term exposure to hyperglycemia. One of the main pathogenetic mechanisms of diabetic complications is the generation and accumulation of advanced glycation end-products (AGEs). Based on its fluorescence properties, AGEs may be measured in tissues such as the skin or lens. These non-invasive measurements of AGE accumulation may be considered as promising biomarkers of late diabetic complications, and our objective is to summarize the available evidence supporting this statement. However, further translational research and prospective clinical trials are needed before these new biomarkers may be incorporated into clinical practice.","author":[{"dropping-particle":"","family":"Simó-Servat","given":"Olga","non-dropping-particle":"","parse-names":false,"suffix":""},{"dropping-particle":"","family":"Planas","given":"Alejandra","non-dropping-particle":"","parse-names":false,"suffix":""},{"dropping-particle":"","family":"Ciudin","given":"Andreea","non-dropping-particle":"","parse-names":false,"suffix":""},{"dropping-particle":"","family":"Simó","given":"Rafael","non-dropping-particle":"","parse-names":false,"suffix":""},{"dropping-particle":"","family":"Hernández","given":"Cristina","non-dropping-particle":"","parse-names":false,"suffix":""}],"container-title":"Endocrinologia, Diabetes y Nutricion","id":"ITEM-1","issue":"9","issued":{"date-parts":[["2018"]]},"page":"540-545","title":"Assessment of advanced glycation end-products as a biomarker of diabetic outcomes","type":"article-journal","volume":"65"},"uris":["http://www.mendeley.com/documents/?uuid=ce83649c-b244-4a95-8959-e4c1f8d6beb0"]}],"mendeley":{"formattedCitation":"(6)","plainTextFormattedCitation":"(6)","previouslyFormattedCitation":"(6)"},"properties":{"noteIndex":0},"schema":"https://github.com/citation-style-language/schema/raw/master/csl-citation.json"}</w:instrText>
      </w:r>
      <w:r w:rsidR="00DB1C29" w:rsidRPr="00B55B9F">
        <w:fldChar w:fldCharType="separate"/>
      </w:r>
      <w:r w:rsidR="001D17CD" w:rsidRPr="001D17CD">
        <w:rPr>
          <w:noProof/>
        </w:rPr>
        <w:t>(6)</w:t>
      </w:r>
      <w:r w:rsidR="00DB1C29" w:rsidRPr="00B55B9F">
        <w:fldChar w:fldCharType="end"/>
      </w:r>
      <w:r w:rsidR="008A01B7" w:rsidRPr="00B55B9F">
        <w:t>.</w:t>
      </w:r>
      <w:r w:rsidR="000A4046">
        <w:t xml:space="preserve"> </w:t>
      </w:r>
      <w:r w:rsidR="007D58CF" w:rsidRPr="00B55B9F">
        <w:t xml:space="preserve">The primary risk factors identified were prolonged diabetic duration, hyperglycemia, and </w:t>
      </w:r>
      <w:r w:rsidR="007D58CF" w:rsidRPr="00B55B9F">
        <w:lastRenderedPageBreak/>
        <w:t xml:space="preserve">hypertension. Additionally, dyslipidemia has also been suggested as a contributing risk factor for </w:t>
      </w:r>
      <w:r w:rsidR="00530B82">
        <w:t>diabetic retinopathy</w:t>
      </w:r>
      <w:r w:rsidR="00784658" w:rsidRPr="00B55B9F">
        <w:t xml:space="preserve"> </w:t>
      </w:r>
      <w:r w:rsidR="00784658" w:rsidRPr="00B55B9F">
        <w:fldChar w:fldCharType="begin" w:fldLock="1"/>
      </w:r>
      <w:r w:rsidR="00053B5E">
        <w:instrText>ADDIN CSL_CITATION {"citationItems":[{"id":"ITEM-1","itemData":{"DOI":"10.4103/2230-8210.119637","ISSN":"2230-8210","abstract":"A total number of 140 type 2 diabetic patients with diabetic retinopathy (DR) were enrolled in the study from diabetic clinic during May 2011 till June 2012 to determine correlation between severity of DR with serum lipid and other modifiable risk factors in type 2 diabetic patients. Information including age, sex, height, body weight, body mass index (BMI), waist-hip ratio (WHR), and systolic and diastolic blood pressure was collected from each patient. Fasting plasma sugar, low density lipoprotein (LDL), triglyceride level (TG), high density lipoprotein (HDL), glycated hemoglobin (HbA1C), creatinine, and 24 h urinary albumin excretion was done for each patient. Estimated glomerular filtration rate (eGFR) was measured by modification of diet in renal disease (MDRD) equation. Patients were divided in five groups according to retinopathy status based on early treatment DR study (ETDRS) disease severity level. Statistical analysis was performed with Statistical Packages for Social Sciences (SPSS) statistical software (version 17.0 for Windows). The alpha level was set at P = 0.05 for all tests. Statistically significant positive correlation between severity of DR with systolic blood pressure P = 0.005 (r = 0.974), diastolic blood pressure P = 0.001(r = 0.994), LDL P = 0.005 (r = 0.976), TG P = 0.001 (r = 0.990), and 24 h urinary albumin P = 0.004 (r = 0.977) was documented. DR was also strongly positively correlated with smoking P = 0.017 (r = 0.941) and duration of diabetes P = 0.003 (r = 0.981). There was strong inverse correlation of DR with HDL P = 0.001 (r = -0.994) and eGFR P = 0.002 (r = -0.987). Serum lipids were significantly correlated with severity of DR.","author":[{"dropping-particle":"","family":"Agroiya","given":"Puspalata","non-dropping-particle":"","parse-names":false,"suffix":""},{"dropping-particle":"","family":"Philip","given":"Rajeev","non-dropping-particle":"","parse-names":false,"suffix":""},{"dropping-particle":"","family":"Saran","given":"Sanjay","non-dropping-particle":"","parse-names":false,"suffix":""},{"dropping-particle":"","family":"Gutch","given":"Manish","non-dropping-particle":"","parse-names":false,"suffix":""},{"dropping-particle":"","family":"Tyagi","given":"Rajeev","non-dropping-particle":"","parse-names":false,"suffix":""},{"dropping-particle":"","family":"Gupta","given":"KeshavKumar","non-dropping-particle":"","parse-names":false,"suffix":""}],"container-title":"Indian Journal of Endocrinology and Metabolism","id":"ITEM-1","issue":"7","issued":{"date-parts":[["2013"]]},"page":"335","title":"Association of serum lipids with diabetic retinopathy in type 2 diabetes","type":"article-journal","volume":"17"},"uris":["http://www.mendeley.com/documents/?uuid=e728b9de-08a5-4f8b-8f7c-7fb467193116"]}],"mendeley":{"formattedCitation":"(4)","plainTextFormattedCitation":"(4)","previouslyFormattedCitation":"(4)"},"properties":{"noteIndex":0},"schema":"https://github.com/citation-style-language/schema/raw/master/csl-citation.json"}</w:instrText>
      </w:r>
      <w:r w:rsidR="00784658" w:rsidRPr="00B55B9F">
        <w:fldChar w:fldCharType="separate"/>
      </w:r>
      <w:r w:rsidR="001D17CD" w:rsidRPr="001D17CD">
        <w:rPr>
          <w:noProof/>
        </w:rPr>
        <w:t>(4)</w:t>
      </w:r>
      <w:r w:rsidR="00784658" w:rsidRPr="00B55B9F">
        <w:fldChar w:fldCharType="end"/>
      </w:r>
      <w:r w:rsidR="008C0F72" w:rsidRPr="00B55B9F">
        <w:t xml:space="preserve"> </w:t>
      </w:r>
      <w:r w:rsidR="005C736A" w:rsidRPr="00B55B9F">
        <w:rPr>
          <w:lang w:val="en-GB"/>
        </w:rPr>
        <w:t>.</w:t>
      </w:r>
    </w:p>
    <w:p w14:paraId="6817A86D" w14:textId="77777777" w:rsidR="00B619E0" w:rsidRPr="00606CB8" w:rsidRDefault="00B619E0" w:rsidP="00606CB8">
      <w:pPr>
        <w:spacing w:line="360" w:lineRule="auto"/>
        <w:jc w:val="both"/>
      </w:pPr>
    </w:p>
    <w:p w14:paraId="7CBCBE81" w14:textId="25963989" w:rsidR="0066031A" w:rsidRDefault="004432EF" w:rsidP="00B718E9">
      <w:pPr>
        <w:spacing w:line="360" w:lineRule="auto"/>
        <w:jc w:val="both"/>
        <w:rPr>
          <w:lang w:val="en-GB"/>
        </w:rPr>
      </w:pPr>
      <w:r w:rsidRPr="00B55B9F">
        <w:t>Dyslipidemia refers to an atypical lipid profile marked by elevated levels of serum total cholesterol (TC), triglycerides (TG), low-density lipoprotein cholesterol (LDL-C), and decreased levels of high-density lipoprotein cholesterol (HDL-C)</w:t>
      </w:r>
      <w:r w:rsidR="008C0F72" w:rsidRPr="00B55B9F">
        <w:t xml:space="preserve"> </w:t>
      </w:r>
      <w:r w:rsidR="008C0F72" w:rsidRPr="00B55B9F">
        <w:fldChar w:fldCharType="begin" w:fldLock="1"/>
      </w:r>
      <w:r w:rsidR="00053B5E">
        <w:instrText>ADDIN CSL_CITATION {"citationItems":[{"id":"ITEM-1","itemData":{"DOI":"10.18231/j.ijceo.2021.045","ISSN":"2395-1443","abstract":"To study the prevalence of dyslipidemia and to find out the correlation between serum lipid levels and social factors like occupation, locality(urban/rural) and education status with diabetic retinopathy in patients with type 2 diabetes mellitus.200 patients with type 2 diabetes mellitus were segregated into 2 categories:- First category of patients with diabetic retinopathy and second category of patients without diabetic retinopathy. Serum lipid levels of subjects were measured and social history like occupation, locality (urban/rural) and education status was taken. Observations were compared to check association between above factors and diabetic retinopathy.The prevalence of dyslipidemia was found to be 75.50%. Mean ± SD of LDL(mg/dL) in patients with diabetic retinopathy was 118.86 ± 40.58 which was significantly higher as compared to patients without diabetic retinopathy (p value=0.006). No significant association was seen in the distribution of total cholesterol(mg/dL), HDL(mg/dL), Triglyceride(mg/dL) with diabetic retinopathy (p value&amp;#62;.05). 10% of patients with DR worked as clerks while 52% were homemakers, thus, significant association was seen in the relationship of occupation with the presence of diabetic retinopathy (p value&amp;#60;.05). Diabetic retinopathy was more prevalent among type 2 diabetics living in urban areas (p&amp;#60;0.0001). 16% of patients with DR had studied up to primary school while 28% of patients with DR had studied up to high school, thus significant association was seen between the education status of the patients and the occurrence of diabetic retinopathy (p value&amp;#60;.05).Elevated serum LDL levels were found to be a significant risk factor for diabetic retinopathy. Clerks and homemakers were more predisposed to diabetic retinopathy. Subjects who received education up to primary school and high school and subjects living in urban areas had significantly increased rates of diabetic retinopathy.","author":[{"dropping-particle":"","family":"Cardoza","given":"Namratha Judith","non-dropping-particle":"","parse-names":false,"suffix":""},{"dropping-particle":"","family":"O K Radhakrishnan","given":"","non-dropping-particle":"","parse-names":false,"suffix":""},{"dropping-particle":"","family":"Desai","given":"Chaitali","non-dropping-particle":"","parse-names":false,"suffix":""},{"dropping-particle":"","family":"Mohankumar","given":"Kavitha","non-dropping-particle":"","parse-names":false,"suffix":""},{"dropping-particle":"","family":"Mohan","given":"Madhuvanthi","non-dropping-particle":"","parse-names":false,"suffix":""}],"container-title":"Indian Journal of Clinical and Experimental Ophthalmology","id":"ITEM-1","issue":"1","issued":{"date-parts":[["2021"]]},"page":"218-223","title":"Association of serum lipid levels and social factors with diabetic retinopathy in patients with type 2 diabetes mellitus: Study from tertiary care center of Western Maharashtra","type":"article-journal","volume":"7"},"uris":["http://www.mendeley.com/documents/?uuid=2e95e375-3ebd-4dc3-aecb-b566b2754608"]}],"mendeley":{"formattedCitation":"(7)","plainTextFormattedCitation":"(7)","previouslyFormattedCitation":"(7)"},"properties":{"noteIndex":0},"schema":"https://github.com/citation-style-language/schema/raw/master/csl-citation.json"}</w:instrText>
      </w:r>
      <w:r w:rsidR="008C0F72" w:rsidRPr="00B55B9F">
        <w:fldChar w:fldCharType="separate"/>
      </w:r>
      <w:r w:rsidR="001D17CD" w:rsidRPr="001D17CD">
        <w:rPr>
          <w:noProof/>
        </w:rPr>
        <w:t>(7)</w:t>
      </w:r>
      <w:r w:rsidR="008C0F72" w:rsidRPr="00B55B9F">
        <w:fldChar w:fldCharType="end"/>
      </w:r>
      <w:r w:rsidR="008C0F72" w:rsidRPr="00B55B9F">
        <w:t xml:space="preserve">, </w:t>
      </w:r>
      <w:r w:rsidR="008C0F72" w:rsidRPr="00B55B9F">
        <w:fldChar w:fldCharType="begin" w:fldLock="1"/>
      </w:r>
      <w:r w:rsidR="00053B5E">
        <w:instrText>ADDIN CSL_CITATION {"citationItems":[{"id":"ITEM-1","itemData":{"ISSN":"e-ISSN: 2784-9724","abstract":"Abstract\nBackground: Patients with diabetes mellitus are at high risk of cardiovascular events because of abnormal lipid status. Dyslipidemia is common in diabetes mellitus and is associated with cardiovascular complications. Early diagnosis and treatment is the main cornerstone in the prevention of its multiple complications. There is scarcity of data on the magnitude and risk factors associated with dyslipidemia among diabetic patients in Somalia. The aim of the study was to determine the prevalence of abnormal lipid profile levels among T2DM patients attending Aden Abdulle Hospital in Mogadishu Somalia. A cross-sectional study was conducted from July 2018 to December 2019 involving 120 diabetic patients, who were at age 35 years and above from Aden Abdulle Hospital, Mogadishu Somalia. A structured questionnaire was administrated to evaluate the socio-demographic and clinical characteristics. Standard procedures were followed for measuring blood pressure and body mass index. Fasting blood samples were taken to measure lipid profiles. Data analysis was done by statistical package for social science version 20 statistical software and chi square test were used for data analysis and p-value of &lt; 0.05 was considered to be statistically significant. Results: This study found out 22.5% of the T2DM patients had dyslipidemia. This was slightly similar to findings in Tanzania 30% (Chattanda SP, 2015),  but lower  compared to those done in Nigeria 74%  (Isezuo SA, Ezunu E., 2005), Kenya 86% (Sang Kipligat, 2017) where 86% and 89% dyslipidemia prevalence were reported (bathma, 2016). This difference may be due to the variation in cut-offs for dyslipidemia in these different studies. And difference in stage of urbanization in the various settings. (Amine E, Baba N, Belhadj M, et al., 2002). A third of participants had insufficient amount of physical activity which is similar to previous findings (Nelson KM, Reiber G, &amp; Boyko EJ, 2012). Dyslipidemia was more prevalent in females than in males which are consistent with a study in the Middle East that found females to be more dyslipidemic (Siddiqui SA, Khatoon AB et al., 2011). Despite short period since diagnosis of diabetes, majority had dyslipidemia and multiple CVD risk. This finding was similar to previous study that found that T2DM patients compared with non-diabetic people have increased cardiovascular risk  (Harris MI, 2005). Part of this is associated with a higher prevalence of other cardiovascular risk fa…","author":[{"dropping-particle":"","family":"Ahmed","given":"Abdulrazak Mohamed","non-dropping-particle":"","parse-names":false,"suffix":""},{"dropping-particle":"","family":"Md hafez","given":"","non-dropping-particle":"","parse-names":false,"suffix":""},{"dropping-particle":"","family":"Md Manir Hossain Mollah","given":"","non-dropping-particle":"","parse-names":false,"suffix":""},{"dropping-particle":"","family":"Md. Mojibur Rahman","given":"","non-dropping-particle":"","parse-names":false,"suffix":""}],"container-title":"European Journal of Medicine and Veterinary Sciences-Novus  ","id":"ITEM-1","issue":"01(01)","issued":{"date-parts":[["2021"]]},"title":"Dyslipidemia Among Type 2 Diabetes Mellitus Patients Attending Aden\nAbdulle Hospital in Mogadishu Somalia","type":"article-journal","volume":"e-ISSN: 27"},"uris":["http://www.mendeley.com/documents/?uuid=3aa8d8c7-f684-4758-a5b4-977da2c94d94"]}],"mendeley":{"formattedCitation":"(8)","plainTextFormattedCitation":"(8)","previouslyFormattedCitation":"(8)"},"properties":{"noteIndex":0},"schema":"https://github.com/citation-style-language/schema/raw/master/csl-citation.json"}</w:instrText>
      </w:r>
      <w:r w:rsidR="008C0F72" w:rsidRPr="00B55B9F">
        <w:fldChar w:fldCharType="separate"/>
      </w:r>
      <w:r w:rsidR="001D17CD" w:rsidRPr="001D17CD">
        <w:rPr>
          <w:noProof/>
        </w:rPr>
        <w:t>(8)</w:t>
      </w:r>
      <w:r w:rsidR="008C0F72" w:rsidRPr="00B55B9F">
        <w:fldChar w:fldCharType="end"/>
      </w:r>
      <w:r w:rsidR="007356F7">
        <w:rPr>
          <w:lang w:val="en-GB"/>
        </w:rPr>
        <w:t xml:space="preserve"> or </w:t>
      </w:r>
      <w:r w:rsidR="00DB088B" w:rsidRPr="00B55B9F">
        <w:t>the presence of one or multiple abnormal levels of lipids in the bloodstream</w:t>
      </w:r>
      <w:r w:rsidR="00D37F15">
        <w:t xml:space="preserve"> </w:t>
      </w:r>
      <w:r w:rsidR="00D37F15">
        <w:fldChar w:fldCharType="begin" w:fldLock="1"/>
      </w:r>
      <w:r w:rsidR="00D37F15">
        <w:instrText>ADDIN CSL_CITATION {"citationItems":[{"id":"ITEM-1","itemData":{"DOI":"10.16966/2639-152x.111","author":[{"dropping-particle":"","family":"A","given":"Elagamy","non-dropping-particle":"","parse-names":false,"suffix":""},{"dropping-particle":"","family":"BR","given":"Al Enazy","non-dropping-particle":"","parse-names":false,"suffix":""},{"dropping-particle":"","family":"SE","given":"AL Zaaidi","non-dropping-particle":"","parse-names":false,"suffix":""}],"container-title":"Journal of Ophthalmic Studies","id":"ITEM-1","issue":"1","issued":{"date-parts":[["2019"]]},"page":"1-6","title":"Association between Dyslipidemia and Diabetic Retinopathy in Type 2 Diabetic Patients","type":"article-journal","volume":"2"},"uris":["http://www.mendeley.com/documents/?uuid=6474550e-80c8-4ab9-88cf-b551622189f5"]}],"mendeley":{"formattedCitation":"(9)","plainTextFormattedCitation":"(9)"},"properties":{"noteIndex":0},"schema":"https://github.com/citation-style-language/schema/raw/master/csl-citation.json"}</w:instrText>
      </w:r>
      <w:r w:rsidR="00D37F15">
        <w:fldChar w:fldCharType="separate"/>
      </w:r>
      <w:r w:rsidR="00D37F15" w:rsidRPr="00D37F15">
        <w:rPr>
          <w:noProof/>
        </w:rPr>
        <w:t>(9)</w:t>
      </w:r>
      <w:r w:rsidR="00D37F15">
        <w:fldChar w:fldCharType="end"/>
      </w:r>
      <w:r w:rsidR="00DB088B" w:rsidRPr="00B55B9F">
        <w:t>.</w:t>
      </w:r>
    </w:p>
    <w:p w14:paraId="6F93611F" w14:textId="77777777" w:rsidR="00B670F0" w:rsidRDefault="00B670F0" w:rsidP="00B670F0">
      <w:pPr>
        <w:spacing w:line="360" w:lineRule="auto"/>
        <w:jc w:val="both"/>
      </w:pPr>
    </w:p>
    <w:p w14:paraId="1CDB9160" w14:textId="27E7034C" w:rsidR="008D4979" w:rsidRDefault="00B670F0" w:rsidP="003A1240">
      <w:pPr>
        <w:spacing w:line="360" w:lineRule="auto"/>
        <w:jc w:val="both"/>
      </w:pPr>
      <w:r>
        <w:t>Globally, dyslipidemia affects approximately 70% to 97% of individuals with diabetes, largely driven by unhealthy diets, obesity, and sedentary lifestyles. Reported prevalence rates are notably high</w:t>
      </w:r>
      <w:r w:rsidR="003A1240">
        <w:t xml:space="preserve"> </w:t>
      </w:r>
      <w:r>
        <w:t>88.9% in Thailand, 90% in Jordan, 86.1% in Kenya</w:t>
      </w:r>
      <w:r w:rsidR="003A1240">
        <w:t xml:space="preserve"> </w:t>
      </w:r>
      <w:r w:rsidR="003A1240">
        <w:fldChar w:fldCharType="begin" w:fldLock="1"/>
      </w:r>
      <w:r w:rsidR="00053B5E">
        <w:instrText>ADDIN CSL_CITATION {"citationItems":[{"id":"ITEM-1","itemData":{"DOI":"10.2147/DMSO.S283171","ISSN":"11787007","abstract":"Background: Dyslipidemia is one of the major modifiable risk factors for cardiovascular diseases (CVD) in a type-2 diabetic (T2DM) patient. Dyslipidemia in T2DM patients is attributed due to increased free fatty acid flux secondary to insulin resistance. Despite its high prevalence and related complication of dyslipidemia in T2DM patients, there is a paucity of data on the prevalence of dyslipidemia in T2DM patients in Ethiopia. Objective: To determine the prevalence of dyslipidemia and its associated risk factors among T2DM patients at Jimma medical center (JUMC) Jimma, Ethiopia. Methods and Materials: An institution-based-cross-sectional study was conducted from June 1 to August 4, 2019. A convenience sampling technique was used to recruit 248 T2DM patients in the study. Data on socio-demographic characteristics, behavioral, and clinical factors were collected using a structured questionnaire through face to face interviews. Five milliliters of the fasting venous blood sample was collected for serum glucose and lipid profile analysis. Blood pressure, weight, and height were measured. Data were analyzed by SPSS version 21. Bivariate and multivariate logistic regression analyses were performed and p-value &lt;0.05 was considered as statistically significant. Results: The overall prevalence of dyslipidemia among study participants was 68.1%. Isolated lipid profile abnormality of hypertriglyceridemia was found in 48%, hypercholesterolemia in 13.7%, high level of low-density lipoprotein (LDL-C) in 28.6%, and low level of high-density lipoprotein (HDL-C) in 50.8% study participants. Being in an age group ≥30 years, physical inactivity, being obese, hypertension, and high blood glucose value were significantly associated factors with dyslipidemia. Conclusion: High prevalence of dyslipidemia was found among T2DM in the study area. The findings of this study should be taken into account to conduct appropriate intervention measures on the identified risk factor, and implement routine screening, treatments, and prevention of dyslipidemia.","author":[{"dropping-particle":"","family":"Haile","given":"Kassahun","non-dropping-particle":"","parse-names":false,"suffix":""},{"dropping-particle":"","family":"Timerga","given":"Abebe","non-dropping-particle":"","parse-names":false,"suffix":""}],"container-title":"Diabetes, Metabolic Syndrome and Obesity","id":"ITEM-1","issued":{"date-parts":[["2020"]]},"page":"4589-4597","title":"Dyslipidemia and its associated risk factors among adult type-2 diabetic patients at jimma university medical center, Jimma, Southwest Ethiopia","type":"article-journal","volume":"13"},"uris":["http://www.mendeley.com/documents/?uuid=fbe74160-7dcf-43b2-b3fd-5fd57ff1b086"]}],"mendeley":{"formattedCitation":"(10)","plainTextFormattedCitation":"(10)","previouslyFormattedCitation":"(10)"},"properties":{"noteIndex":0},"schema":"https://github.com/citation-style-language/schema/raw/master/csl-citation.json"}</w:instrText>
      </w:r>
      <w:r w:rsidR="003A1240">
        <w:fldChar w:fldCharType="separate"/>
      </w:r>
      <w:r w:rsidR="001D17CD" w:rsidRPr="001D17CD">
        <w:rPr>
          <w:noProof/>
        </w:rPr>
        <w:t>(10)</w:t>
      </w:r>
      <w:r w:rsidR="003A1240">
        <w:fldChar w:fldCharType="end"/>
      </w:r>
      <w:r>
        <w:t xml:space="preserve"> and around 83% in Tanzania</w:t>
      </w:r>
      <w:r w:rsidR="003A1240">
        <w:t xml:space="preserve"> </w:t>
      </w:r>
      <w:r w:rsidR="003A1240">
        <w:fldChar w:fldCharType="begin" w:fldLock="1"/>
      </w:r>
      <w:r w:rsidR="00053B5E">
        <w:instrText>ADDIN CSL_CITATION {"citationItems":[{"id":"ITEM-1","itemData":{"DOI":"10.15226/2374-6890/4/1/00170","abstract":"Diabetic dyslipidaemia is characterized by raised triglycerides, low high-density lipoprotein, raised apo- B, and small dense low density lipoprotein particles. Because detection and treatment of dyslipidemia is one means of reducing cardiovascular disease (CVD) risk, determination of serum lipid levels in people with diabetes is now considered a standard of care. Lipid profile and fasting blood sugar (FBS) of 113 diabetic subjects were assessed. Dyslipidaemia was defined using the national cholesterol education programme – adult treatment panel III (NCEP-ATP III) criteria. BMI and waist and hip circumferences were measured. The mean total cholesterol (4.07 ± 1.3 vs 4.8 ± 0.8, p = 0.001), high density lipoprotein C (HDL-C) (1.26 ± 0.4 vs 1.45 ± 0.35, p = 0.047), low density lipoprotein C (LDL-C) (2.38 ± 1.1vs 2.93 ± 0.71, p = 0.005) were higher among the female subjects, while triglyceride was higher among the male subjects (1.23 ± 1.1 vs 0.82 ± 0.6, p = 0.068). Fifty-seven diabetic patients had at- least one lipid value or the other outside of the clinical target giving it a prevalence of 50.4%. The most frequent lipid combination was total cholesterol (TC) +HDLC. Among the male subjects, there was significant correlation between the Waist Circumference (WC) and TC (r = 0.560); WC and LDL-C (r = 0.612); WC and triglyceride (TG) (r = -0.386); Hip Circumferenc (HC) and TC (r = 0.595); HC and LDL-C (r = 0.606); BMI and TC (r = 0.641); BMI and LDL-C (r = 0.653) and BMI and TG (r = -0.393). It is important to realise that hyperlipidaemia and the resultant macro vascular disease can develop even in the 'prediabetic phase' of type 2 DM. Hence, early detection and correction of dyslipidaemic state is essential in the management of diabetic patients","author":[{"dropping-particle":"","family":"Shao","given":"Elichilia R","non-dropping-particle":"","parse-names":false,"suffix":""}],"container-title":"Journal of Endocrinology and Diabetes","id":"ITEM-1","issue":"1","issued":{"date-parts":[["2017"]]},"page":"1-6","title":"Lipid Profile of Type 2 Diabetic Patients at a Tertiary Hospital in Tanzania: Cross Sectional Study","type":"article-journal","volume":"4"},"uris":["http://www.mendeley.com/documents/?uuid=2541afd9-abbb-4c64-82e4-f775cdb92754"]}],"mendeley":{"formattedCitation":"(11)","plainTextFormattedCitation":"(11)","previouslyFormattedCitation":"(11)"},"properties":{"noteIndex":0},"schema":"https://github.com/citation-style-language/schema/raw/master/csl-citation.json"}</w:instrText>
      </w:r>
      <w:r w:rsidR="003A1240">
        <w:fldChar w:fldCharType="separate"/>
      </w:r>
      <w:r w:rsidR="001D17CD" w:rsidRPr="001D17CD">
        <w:rPr>
          <w:noProof/>
        </w:rPr>
        <w:t>(11)</w:t>
      </w:r>
      <w:r w:rsidR="003A1240">
        <w:fldChar w:fldCharType="end"/>
      </w:r>
      <w:r w:rsidR="003A1240">
        <w:t xml:space="preserve">. </w:t>
      </w:r>
      <w:r>
        <w:t>Abnormal lipid levels significantly elevate the risk of vascular complications, including diabetic retinopathy, by triggering endothelial dysfunction, oxidative stress through lipid peroxidation, and chronic inflammation</w:t>
      </w:r>
      <w:r w:rsidR="00CB31FB">
        <w:t xml:space="preserve"> </w:t>
      </w:r>
      <w:r>
        <w:t xml:space="preserve">mechanisms that collectively accelerate retinal damage </w:t>
      </w:r>
      <w:r w:rsidR="003A1240">
        <w:fldChar w:fldCharType="begin" w:fldLock="1"/>
      </w:r>
      <w:r w:rsidR="00053B5E">
        <w:instrText>ADDIN CSL_CITATION {"citationItems":[{"id":"ITEM-1","itemData":{"DOI":"10.4103/2230-8210.119637","ISSN":"2230-8210","abstract":"A total number of 140 type 2 diabetic patients with diabetic retinopathy (DR) were enrolled in the study from diabetic clinic during May 2011 till June 2012 to determine correlation between severity of DR with serum lipid and other modifiable risk factors in type 2 diabetic patients. Information including age, sex, height, body weight, body mass index (BMI), waist-hip ratio (WHR), and systolic and diastolic blood pressure was collected from each patient. Fasting plasma sugar, low density lipoprotein (LDL), triglyceride level (TG), high density lipoprotein (HDL), glycated hemoglobin (HbA1C), creatinine, and 24 h urinary albumin excretion was done for each patient. Estimated glomerular filtration rate (eGFR) was measured by modification of diet in renal disease (MDRD) equation. Patients were divided in five groups according to retinopathy status based on early treatment DR study (ETDRS) disease severity level. Statistical analysis was performed with Statistical Packages for Social Sciences (SPSS) statistical software (version 17.0 for Windows). The alpha level was set at P = 0.05 for all tests. Statistically significant positive correlation between severity of DR with systolic blood pressure P = 0.005 (r = 0.974), diastolic blood pressure P = 0.001(r = 0.994), LDL P = 0.005 (r = 0.976), TG P = 0.001 (r = 0.990), and 24 h urinary albumin P = 0.004 (r = 0.977) was documented. DR was also strongly positively correlated with smoking P = 0.017 (r = 0.941) and duration of diabetes P = 0.003 (r = 0.981). There was strong inverse correlation of DR with HDL P = 0.001 (r = -0.994) and eGFR P = 0.002 (r = -0.987). Serum lipids were significantly correlated with severity of DR.","author":[{"dropping-particle":"","family":"Agroiya","given":"Puspalata","non-dropping-particle":"","parse-names":false,"suffix":""},{"dropping-particle":"","family":"Philip","given":"Rajeev","non-dropping-particle":"","parse-names":false,"suffix":""},{"dropping-particle":"","family":"Saran","given":"Sanjay","non-dropping-particle":"","parse-names":false,"suffix":""},{"dropping-particle":"","family":"Gutch","given":"Manish","non-dropping-particle":"","parse-names":false,"suffix":""},{"dropping-particle":"","family":"Tyagi","given":"Rajeev","non-dropping-particle":"","parse-names":false,"suffix":""},{"dropping-particle":"","family":"Gupta","given":"KeshavKumar","non-dropping-particle":"","parse-names":false,"suffix":""}],"container-title":"Indian Journal of Endocrinology and Metabolism","id":"ITEM-1","issue":"7","issued":{"date-parts":[["2013"]]},"page":"335","title":"Association of serum lipids with diabetic retinopathy in type 2 diabetes","type":"article-journal","volume":"17"},"uris":["http://www.mendeley.com/documents/?uuid=e728b9de-08a5-4f8b-8f7c-7fb467193116"]},{"id":"ITEM-2","itemData":{"DOI":"10.18231/j.ijceo.2021.045","ISSN":"2395-1443","abstract":"To study the prevalence of dyslipidemia and to find out the correlation between serum lipid levels and social factors like occupation, locality(urban/rural) and education status with diabetic retinopathy in patients with type 2 diabetes mellitus.200 patients with type 2 diabetes mellitus were segregated into 2 categories:- First category of patients with diabetic retinopathy and second category of patients without diabetic retinopathy. Serum lipid levels of subjects were measured and social history like occupation, locality (urban/rural) and education status was taken. Observations were compared to check association between above factors and diabetic retinopathy.The prevalence of dyslipidemia was found to be 75.50%. Mean ± SD of LDL(mg/dL) in patients with diabetic retinopathy was 118.86 ± 40.58 which was significantly higher as compared to patients without diabetic retinopathy (p value=0.006). No significant association was seen in the distribution of total cholesterol(mg/dL), HDL(mg/dL), Triglyceride(mg/dL) with diabetic retinopathy (p value&amp;#62;.05). 10% of patients with DR worked as clerks while 52% were homemakers, thus, significant association was seen in the relationship of occupation with the presence of diabetic retinopathy (p value&amp;#60;.05). Diabetic retinopathy was more prevalent among type 2 diabetics living in urban areas (p&amp;#60;0.0001). 16% of patients with DR had studied up to primary school while 28% of patients with DR had studied up to high school, thus significant association was seen between the education status of the patients and the occurrence of diabetic retinopathy (p value&amp;#60;.05).Elevated serum LDL levels were found to be a significant risk factor for diabetic retinopathy. Clerks and homemakers were more predisposed to diabetic retinopathy. Subjects who received education up to primary school and high school and subjects living in urban areas had significantly increased rates of diabetic retinopathy.","author":[{"dropping-particle":"","family":"Cardoza","given":"Namratha Judith","non-dropping-particle":"","parse-names":false,"suffix":""},{"dropping-particle":"","family":"O K Radhakrishnan","given":"","non-dropping-particle":"","parse-names":false,"suffix":""},{"dropping-particle":"","family":"Desai","given":"Chaitali","non-dropping-particle":"","parse-names":false,"suffix":""},{"dropping-particle":"","family":"Mohankumar","given":"Kavitha","non-dropping-particle":"","parse-names":false,"suffix":""},{"dropping-particle":"","family":"Mohan","given":"Madhuvanthi","non-dropping-particle":"","parse-names":false,"suffix":""}],"container-title":"Indian Journal of Clinical and Experimental Ophthalmology","id":"ITEM-2","issue":"1","issued":{"date-parts":[["2021"]]},"page":"218-223","title":"Association of serum lipid levels and social factors with diabetic retinopathy in patients with type 2 diabetes mellitus: Study from tertiary care center of Western Maharashtra","type":"article-journal","volume":"7"},"uris":["http://www.mendeley.com/documents/?uuid=31c5d446-9d08-45b2-aec9-0037a8103c61"]}],"mendeley":{"formattedCitation":"(4,7)","plainTextFormattedCitation":"(4,7)","previouslyFormattedCitation":"(4,7)"},"properties":{"noteIndex":0},"schema":"https://github.com/citation-style-language/schema/raw/master/csl-citation.json"}</w:instrText>
      </w:r>
      <w:r w:rsidR="003A1240">
        <w:fldChar w:fldCharType="separate"/>
      </w:r>
      <w:r w:rsidR="001D17CD" w:rsidRPr="001D17CD">
        <w:rPr>
          <w:noProof/>
        </w:rPr>
        <w:t>(4,7)</w:t>
      </w:r>
      <w:r w:rsidR="003A1240">
        <w:fldChar w:fldCharType="end"/>
      </w:r>
    </w:p>
    <w:p w14:paraId="29105AB2" w14:textId="77777777" w:rsidR="00075B38" w:rsidRPr="00B55B9F" w:rsidRDefault="00075B38" w:rsidP="003A1240">
      <w:pPr>
        <w:spacing w:line="360" w:lineRule="auto"/>
        <w:jc w:val="both"/>
        <w:rPr>
          <w:lang w:val="en-GB"/>
        </w:rPr>
      </w:pPr>
    </w:p>
    <w:p w14:paraId="6CBDCD4F" w14:textId="566DFC42" w:rsidR="008D4979" w:rsidRPr="00B55B9F" w:rsidRDefault="008D4979" w:rsidP="00B718E9">
      <w:pPr>
        <w:autoSpaceDE w:val="0"/>
        <w:autoSpaceDN w:val="0"/>
        <w:adjustRightInd w:val="0"/>
        <w:spacing w:line="360" w:lineRule="auto"/>
        <w:jc w:val="both"/>
        <w:rPr>
          <w:lang w:val="en-GB"/>
        </w:rPr>
      </w:pPr>
      <w:r w:rsidRPr="00B55B9F">
        <w:rPr>
          <w:lang w:val="en-GB"/>
        </w:rPr>
        <w:t xml:space="preserve">Nevertheless, the significance of </w:t>
      </w:r>
      <w:r w:rsidR="00742333" w:rsidRPr="00B55B9F">
        <w:rPr>
          <w:lang w:val="en-GB"/>
        </w:rPr>
        <w:t>dyslipidaemia</w:t>
      </w:r>
      <w:r w:rsidRPr="00B55B9F">
        <w:rPr>
          <w:lang w:val="en-GB"/>
        </w:rPr>
        <w:t xml:space="preserve"> as a self-reliant risk element in the development of DR is </w:t>
      </w:r>
      <w:r w:rsidR="00742333" w:rsidRPr="00B55B9F">
        <w:rPr>
          <w:lang w:val="en-GB"/>
        </w:rPr>
        <w:t>debatable</w:t>
      </w:r>
      <w:r w:rsidRPr="00B55B9F">
        <w:rPr>
          <w:lang w:val="en-GB"/>
        </w:rPr>
        <w:t xml:space="preserve">. Several investigations have demonstrated a substantial correlation between serum lipids and DR, whereas others have not discovered any notable association. Consequently, the accounts concerning the link between serum </w:t>
      </w:r>
      <w:r w:rsidR="00742333" w:rsidRPr="00B55B9F">
        <w:rPr>
          <w:lang w:val="en-GB"/>
        </w:rPr>
        <w:t>dyslipidaemia</w:t>
      </w:r>
      <w:r w:rsidRPr="00B55B9F">
        <w:rPr>
          <w:lang w:val="en-GB"/>
        </w:rPr>
        <w:t xml:space="preserve"> and DR remain </w:t>
      </w:r>
      <w:r w:rsidR="005D0980" w:rsidRPr="00B55B9F">
        <w:rPr>
          <w:lang w:val="en-GB"/>
        </w:rPr>
        <w:t>unclear</w:t>
      </w:r>
      <w:r w:rsidRPr="00B55B9F">
        <w:rPr>
          <w:lang w:val="en-GB"/>
        </w:rPr>
        <w:t>.</w:t>
      </w:r>
    </w:p>
    <w:p w14:paraId="5DBD8897" w14:textId="4B2DF919" w:rsidR="00587423" w:rsidRPr="00B55B9F" w:rsidRDefault="00587423" w:rsidP="00B718E9">
      <w:pPr>
        <w:autoSpaceDE w:val="0"/>
        <w:autoSpaceDN w:val="0"/>
        <w:adjustRightInd w:val="0"/>
        <w:spacing w:line="360" w:lineRule="auto"/>
        <w:jc w:val="both"/>
        <w:rPr>
          <w:lang w:val="en-GB"/>
        </w:rPr>
      </w:pPr>
    </w:p>
    <w:p w14:paraId="7730DB0C" w14:textId="702F89FD" w:rsidR="004847C3" w:rsidRPr="00B55B9F" w:rsidRDefault="004847C3" w:rsidP="00B718E9">
      <w:pPr>
        <w:spacing w:line="360" w:lineRule="auto"/>
        <w:jc w:val="both"/>
      </w:pPr>
      <w:r w:rsidRPr="00B55B9F">
        <w:t xml:space="preserve">Considering the discrepancies in findings across global research and the limited information available in domestic literature, the objective of this </w:t>
      </w:r>
      <w:r w:rsidR="00C52DE7" w:rsidRPr="00B55B9F">
        <w:t>study</w:t>
      </w:r>
      <w:r w:rsidRPr="00B55B9F">
        <w:t xml:space="preserve"> </w:t>
      </w:r>
      <w:r w:rsidR="008839D9" w:rsidRPr="00B55B9F">
        <w:t>is</w:t>
      </w:r>
      <w:r w:rsidRPr="00B55B9F">
        <w:t xml:space="preserve"> to investigate the association between serum lipids</w:t>
      </w:r>
      <w:r w:rsidR="00DD31D6" w:rsidRPr="00B55B9F">
        <w:t xml:space="preserve"> </w:t>
      </w:r>
      <w:r w:rsidRPr="00B55B9F">
        <w:t xml:space="preserve">and </w:t>
      </w:r>
      <w:r w:rsidR="009E49E9">
        <w:t xml:space="preserve">diabetic </w:t>
      </w:r>
      <w:r w:rsidR="00894017">
        <w:t xml:space="preserve">retinopathy </w:t>
      </w:r>
      <w:r w:rsidR="00894017" w:rsidRPr="00B55B9F">
        <w:t>in</w:t>
      </w:r>
      <w:r w:rsidR="0019119E">
        <w:t xml:space="preserve"> East Africa, and Africa as whole.</w:t>
      </w:r>
    </w:p>
    <w:p w14:paraId="40B8B961" w14:textId="69686EE1" w:rsidR="002E714F" w:rsidRPr="00B55B9F" w:rsidRDefault="002E714F" w:rsidP="00B718E9">
      <w:pPr>
        <w:autoSpaceDE w:val="0"/>
        <w:autoSpaceDN w:val="0"/>
        <w:adjustRightInd w:val="0"/>
        <w:spacing w:line="360" w:lineRule="auto"/>
        <w:jc w:val="both"/>
        <w:rPr>
          <w:lang w:val="en-GB"/>
        </w:rPr>
      </w:pPr>
    </w:p>
    <w:p w14:paraId="6B8ECEAD" w14:textId="609BBC61" w:rsidR="00A815E4" w:rsidRDefault="00A815E4" w:rsidP="00AB1976">
      <w:bookmarkStart w:id="3" w:name="_Toc171341368"/>
    </w:p>
    <w:p w14:paraId="5196C70E" w14:textId="205F3A8E" w:rsidR="00A815E4" w:rsidRDefault="00A815E4" w:rsidP="00AB1976"/>
    <w:p w14:paraId="47DE7A4F" w14:textId="77777777" w:rsidR="004F7B6D" w:rsidRPr="00AB1976" w:rsidRDefault="004F7B6D" w:rsidP="00AB1976"/>
    <w:p w14:paraId="2C24889C" w14:textId="1EA1ED03" w:rsidR="002664AC" w:rsidRDefault="00D60A2E" w:rsidP="00B718E9">
      <w:pPr>
        <w:pStyle w:val="Heading2"/>
        <w:rPr>
          <w:color w:val="auto"/>
        </w:rPr>
      </w:pPr>
      <w:r w:rsidRPr="00B55B9F">
        <w:rPr>
          <w:color w:val="auto"/>
        </w:rPr>
        <w:t>M</w:t>
      </w:r>
      <w:bookmarkEnd w:id="3"/>
      <w:r w:rsidR="00FF6F60">
        <w:rPr>
          <w:color w:val="auto"/>
        </w:rPr>
        <w:t>ethodology</w:t>
      </w:r>
    </w:p>
    <w:p w14:paraId="450E4110" w14:textId="77777777" w:rsidR="004F7B6D" w:rsidRPr="004F7B6D" w:rsidRDefault="004F7B6D" w:rsidP="004F7B6D"/>
    <w:p w14:paraId="7781533C" w14:textId="0555AEC3" w:rsidR="004F7B6D" w:rsidRPr="00D771BC" w:rsidRDefault="006771F4" w:rsidP="004F7B6D">
      <w:pPr>
        <w:spacing w:line="360" w:lineRule="auto"/>
        <w:jc w:val="both"/>
      </w:pPr>
      <w:r w:rsidRPr="00B55B9F">
        <w:t xml:space="preserve">A </w:t>
      </w:r>
      <w:r w:rsidR="00145EE2">
        <w:t>h</w:t>
      </w:r>
      <w:r w:rsidR="00FE26B1" w:rsidRPr="00B55B9F">
        <w:t xml:space="preserve">ospital </w:t>
      </w:r>
      <w:r w:rsidR="008C0EFF" w:rsidRPr="00B55B9F">
        <w:t xml:space="preserve">based </w:t>
      </w:r>
      <w:r w:rsidR="009F3C49">
        <w:t>c</w:t>
      </w:r>
      <w:r w:rsidR="008C0EFF" w:rsidRPr="00B55B9F">
        <w:t>ross</w:t>
      </w:r>
      <w:r w:rsidR="00FE26B1" w:rsidRPr="00B55B9F">
        <w:t>-</w:t>
      </w:r>
      <w:r w:rsidR="009140F2" w:rsidRPr="00B55B9F">
        <w:t>s</w:t>
      </w:r>
      <w:r w:rsidR="00FE26B1" w:rsidRPr="00B55B9F">
        <w:t xml:space="preserve">ectional </w:t>
      </w:r>
      <w:r w:rsidR="009140F2" w:rsidRPr="00B55B9F">
        <w:t>s</w:t>
      </w:r>
      <w:r w:rsidR="00FE26B1" w:rsidRPr="00B55B9F">
        <w:t xml:space="preserve">tudy </w:t>
      </w:r>
      <w:bookmarkStart w:id="4" w:name="_Toc103910614"/>
      <w:r w:rsidR="00DC1CD7">
        <w:t xml:space="preserve">aimed </w:t>
      </w:r>
      <w:r w:rsidR="00DC1CD7" w:rsidRPr="00B55B9F">
        <w:t xml:space="preserve">to </w:t>
      </w:r>
      <w:r w:rsidR="00DC1CD7">
        <w:t>evaluate</w:t>
      </w:r>
      <w:r w:rsidR="00DC1CD7" w:rsidRPr="00B55B9F">
        <w:t xml:space="preserve"> dyslipidemia as a predictor for DR severity in type 2 diabetic patients attending Kilimanjaro Christian Medical Centre (KCMC) from </w:t>
      </w:r>
      <w:r w:rsidR="004416D1">
        <w:t>1</w:t>
      </w:r>
      <w:r w:rsidR="003D02F9">
        <w:t>5/08/</w:t>
      </w:r>
      <w:r w:rsidR="00DC1CD7" w:rsidRPr="00B55B9F">
        <w:t xml:space="preserve">2023 to </w:t>
      </w:r>
      <w:r w:rsidR="004416D1">
        <w:t>1</w:t>
      </w:r>
      <w:r w:rsidR="003D02F9">
        <w:t>4/08/</w:t>
      </w:r>
      <w:r w:rsidR="00DC1CD7" w:rsidRPr="00B55B9F">
        <w:t>2024.</w:t>
      </w:r>
      <w:bookmarkEnd w:id="4"/>
    </w:p>
    <w:p w14:paraId="6EC9429D" w14:textId="7ADAA5F7" w:rsidR="004F7B6D" w:rsidRDefault="004F7B6D" w:rsidP="004F7B6D">
      <w:pPr>
        <w:spacing w:line="360" w:lineRule="auto"/>
        <w:jc w:val="both"/>
      </w:pPr>
      <w:r w:rsidRPr="00D771BC">
        <w:lastRenderedPageBreak/>
        <w:t xml:space="preserve">The study enrolled a total of 296 patients with Type 2 diabetes mellitus who were attending the </w:t>
      </w:r>
      <w:r w:rsidR="00C24372">
        <w:t>O</w:t>
      </w:r>
      <w:r w:rsidRPr="00D771BC">
        <w:t>utpatient clinic at Kilimanjaro Christian Medical Centre (KCMC), using a consecutive non-probability sampling method. Patients were excluded if they had retinal vascular conditions such as retinal vein occlusion, were on lipid-lowering medications, were pregnant, had chronic kidney disease, hemolytic disorders, a history of vitreoretinal surgery, media opacities obstructing fundus visualization, or a prior diagnosis of glaucoma.</w:t>
      </w:r>
    </w:p>
    <w:p w14:paraId="051E0AFE" w14:textId="77777777" w:rsidR="00F27D7F" w:rsidRPr="00D771BC" w:rsidRDefault="00F27D7F" w:rsidP="004F7B6D">
      <w:pPr>
        <w:spacing w:line="360" w:lineRule="auto"/>
        <w:jc w:val="both"/>
      </w:pPr>
    </w:p>
    <w:p w14:paraId="3A0D6EE1" w14:textId="77777777" w:rsidR="004F7B6D" w:rsidRPr="00D771BC" w:rsidRDefault="004F7B6D" w:rsidP="004F7B6D">
      <w:pPr>
        <w:spacing w:line="360" w:lineRule="auto"/>
        <w:jc w:val="both"/>
      </w:pPr>
      <w:r w:rsidRPr="00D771BC">
        <w:t>Diabetic retinopathy was assessed as the dependent variable, while the independent variables included triglyceride levels, total serum cholesterol, high-density lipoprotein (HDL), low-density lipoprotein (LDL), duration of diabetes, sociodemographic characteristics, blood pressure, HbA1c, presence of proteinuria, serum creatinine, and body mass index (BMI).</w:t>
      </w:r>
    </w:p>
    <w:p w14:paraId="0BC51B7C" w14:textId="77777777" w:rsidR="00C562BB" w:rsidRDefault="00C562BB" w:rsidP="00B718E9">
      <w:pPr>
        <w:spacing w:line="360" w:lineRule="auto"/>
        <w:jc w:val="both"/>
      </w:pPr>
    </w:p>
    <w:p w14:paraId="18F89B77" w14:textId="31320340" w:rsidR="00642549" w:rsidRDefault="00642549" w:rsidP="00642549">
      <w:pPr>
        <w:spacing w:line="360" w:lineRule="auto"/>
        <w:jc w:val="both"/>
      </w:pPr>
      <w:r>
        <w:t xml:space="preserve">Data were collected using a structured form divided into five sections: informed consent, demographic details, physical examination, diabetic retinopathy grading, macular edema assessment, and laboratory investigations. Demographic data included patient </w:t>
      </w:r>
      <w:r w:rsidR="00DF4499">
        <w:t>identification number</w:t>
      </w:r>
      <w:r>
        <w:t>, age, gender, residence, diabetes duration, treatment type, visual acuity, and intraocular pressure. Laboratory evaluations covered serum cholesterol, triglycerides, HDL, LDL, HbA1c, serum creatinine, and urinalysis.</w:t>
      </w:r>
    </w:p>
    <w:p w14:paraId="1470D756" w14:textId="77777777" w:rsidR="00642549" w:rsidRDefault="00642549" w:rsidP="00642549">
      <w:pPr>
        <w:spacing w:line="360" w:lineRule="auto"/>
        <w:jc w:val="both"/>
      </w:pPr>
    </w:p>
    <w:p w14:paraId="4801AD12" w14:textId="1D6D2FD7" w:rsidR="00642549" w:rsidRDefault="00642549" w:rsidP="00642549">
      <w:pPr>
        <w:spacing w:line="360" w:lineRule="auto"/>
        <w:jc w:val="both"/>
      </w:pPr>
      <w:r>
        <w:t>Ethical approval was obtained from the Kilimanjaro Christian Medical University College Research and Ethics Review Committee (Ref: PG 89/2023), with institutional clearance granted via the Ophthalmology Department at KCMC. All participants were informed about the study’s purpose, and written consent was obtained. Participant confidentiality and data protection were maintained throughout.</w:t>
      </w:r>
    </w:p>
    <w:p w14:paraId="0C60D42D" w14:textId="77777777" w:rsidR="006B2F7C" w:rsidRDefault="006B2F7C" w:rsidP="006B2F7C">
      <w:pPr>
        <w:spacing w:line="360" w:lineRule="auto"/>
        <w:jc w:val="both"/>
      </w:pPr>
    </w:p>
    <w:p w14:paraId="7762B73A" w14:textId="08759B9C" w:rsidR="006B2F7C" w:rsidRDefault="006B2F7C" w:rsidP="006B2F7C">
      <w:pPr>
        <w:spacing w:line="360" w:lineRule="auto"/>
        <w:jc w:val="both"/>
      </w:pPr>
      <w:r>
        <w:t xml:space="preserve">After obtaining informed consent, visual acuity (VA) and intraocular pressure (IOP) were measured using a Snellen chart and </w:t>
      </w:r>
      <w:proofErr w:type="spellStart"/>
      <w:r>
        <w:t>Goldmann</w:t>
      </w:r>
      <w:proofErr w:type="spellEnd"/>
      <w:r>
        <w:t xml:space="preserve"> applanation tonometer, respectively. Blood pressure was assessed using a digital sphygmomanometer. Comprehensive fundus examination was performed using indirect ophthalmoscopy with a 90D Volk lens on a Haag-</w:t>
      </w:r>
      <w:proofErr w:type="spellStart"/>
      <w:r>
        <w:t>Streit</w:t>
      </w:r>
      <w:proofErr w:type="spellEnd"/>
      <w:r>
        <w:t xml:space="preserve"> slit lamp, following pupillary dilation with 0.5% tropicamide and 5% phenylephrine. Based on retinal findings and the Diabetic Retinopathy Disease Severity Scale, patients were categorized into: no diabetic retinopathy (NDR), non-proliferative diabetic retinopathy (NPDR), and proliferative diabetic retinopathy (PDR). NDR included eyes without visible fundus abnormalities. NPDR was defined by features such as microaneurysms, dot and blot </w:t>
      </w:r>
      <w:r>
        <w:lastRenderedPageBreak/>
        <w:t>hemorrhages, IRMA, cotton wool spots, hard exudates, and venous beading. PDR was characterized by neovascularization, vitreous hemorrhage, or proliferative membranes. There after laboratory investigations were conducted, including serum lipid profiling (total cholesterol, triglycerides, HDL, and LDL) using the COBAS INTEGRA 400 PLUS analyzer. A lipid profile was considered abnormal if HDL was &lt;1.15 mmol/L, LDL &gt;3.37 mmol/L, triglycerides &gt;2.26 mmol/L, or total cholesterol &gt;5.2 mmol/L.</w:t>
      </w:r>
      <w:r w:rsidR="00E65696">
        <w:t xml:space="preserve"> Additional tests included serum creatinine, glycated hemoglobin (HbA1c), and urinalysis.</w:t>
      </w:r>
    </w:p>
    <w:p w14:paraId="68C767EE" w14:textId="77777777" w:rsidR="004C3315" w:rsidRDefault="004C3315" w:rsidP="004C3315">
      <w:pPr>
        <w:spacing w:line="360" w:lineRule="auto"/>
        <w:jc w:val="both"/>
      </w:pPr>
    </w:p>
    <w:p w14:paraId="4FF6F816" w14:textId="677AB6D2" w:rsidR="004C3315" w:rsidRDefault="004C3315" w:rsidP="004C3315">
      <w:pPr>
        <w:spacing w:line="360" w:lineRule="auto"/>
        <w:jc w:val="both"/>
      </w:pPr>
      <w:r>
        <w:t>Data were analyzed using STATA version 17 (Stata</w:t>
      </w:r>
      <w:r w:rsidR="00BC0D77">
        <w:t xml:space="preserve"> </w:t>
      </w:r>
      <w:r>
        <w:t>Corp LLC, College Station, TX, USA). Prior to analysis, data cleaning procedures</w:t>
      </w:r>
      <w:r w:rsidR="00272417">
        <w:t xml:space="preserve"> </w:t>
      </w:r>
      <w:r>
        <w:t>including encoding, labeling, recoding, and variable definition</w:t>
      </w:r>
      <w:r w:rsidR="00272417">
        <w:t xml:space="preserve"> </w:t>
      </w:r>
      <w:r>
        <w:t>were performed to ensure consistency.</w:t>
      </w:r>
      <w:r w:rsidR="006A4776">
        <w:t xml:space="preserve"> C</w:t>
      </w:r>
      <w:r>
        <w:t>ategorical variables were presented as frequencies and percentages, while numerical data were summarized using means with standard deviations or medians with interquartile ranges. The Chi-square (χ²) test was applied to assess differences in DR severity, with a p-value &lt;0.05 considered statistically significant.</w:t>
      </w:r>
      <w:r w:rsidR="00B41A39">
        <w:t xml:space="preserve"> </w:t>
      </w:r>
      <w:r>
        <w:t>Ordinal logistic regression was employed to identify factors associated with DR severity. Univariate models were first used to obtain crude odds ratios. Variables with p-values &lt;0.05 and those of clinical relevance were included in multivariable models to compute adjusted odds ratios. Associations with p-values &lt;0.05 in the multivariable analysis were considered statistically significant.</w:t>
      </w:r>
    </w:p>
    <w:p w14:paraId="09B0AC2D" w14:textId="59C9E521" w:rsidR="004C3315" w:rsidRDefault="004C3315" w:rsidP="004C3315">
      <w:pPr>
        <w:spacing w:line="360" w:lineRule="auto"/>
        <w:jc w:val="both"/>
      </w:pPr>
    </w:p>
    <w:p w14:paraId="785C6E8B" w14:textId="77777777" w:rsidR="00D525BB" w:rsidRPr="00B55B9F" w:rsidRDefault="00D525BB" w:rsidP="00B718E9">
      <w:pPr>
        <w:spacing w:line="360" w:lineRule="auto"/>
        <w:jc w:val="both"/>
      </w:pPr>
    </w:p>
    <w:p w14:paraId="74E76919" w14:textId="77777777" w:rsidR="00A36D72" w:rsidRPr="00B55B9F" w:rsidRDefault="00A36D72" w:rsidP="00B718E9">
      <w:pPr>
        <w:jc w:val="both"/>
      </w:pPr>
    </w:p>
    <w:p w14:paraId="64CC2121" w14:textId="77777777" w:rsidR="00A36D72" w:rsidRPr="00B55B9F" w:rsidRDefault="00A36D72" w:rsidP="00B718E9">
      <w:pPr>
        <w:jc w:val="both"/>
      </w:pPr>
    </w:p>
    <w:p w14:paraId="6C28AFAD" w14:textId="4B562974" w:rsidR="00A36D72" w:rsidRPr="00B55B9F" w:rsidRDefault="00A36D72" w:rsidP="00D525BB">
      <w:pPr>
        <w:pStyle w:val="Heading1"/>
        <w:jc w:val="left"/>
      </w:pPr>
      <w:bookmarkStart w:id="5" w:name="_Toc171341391"/>
      <w:r w:rsidRPr="00B55B9F">
        <w:t>R</w:t>
      </w:r>
      <w:bookmarkEnd w:id="5"/>
      <w:r w:rsidR="00071D7B">
        <w:t>esults</w:t>
      </w:r>
    </w:p>
    <w:p w14:paraId="758A2C6D" w14:textId="66459726" w:rsidR="003B3FA6" w:rsidRDefault="003B3FA6" w:rsidP="00192960">
      <w:pPr>
        <w:spacing w:line="360" w:lineRule="auto"/>
        <w:jc w:val="both"/>
      </w:pPr>
      <w:r>
        <w:t>A total of 296 participants were enrolled, with a mean age of 62 years; 44.6% were male and 55.4% female. The majority (97.3%) had been living with diabetes for more than five years. Severe visual impairment was observed in 34.8% of right eyes and 33.6% of left eyes. Elevated systolic blood pressure (≥140 mmHg) was noted in 61.1% of participants, and 35.1% had diastolic pressure ≥90 mmHg. Additionally, 37.8% were overweight and 12.8% as obese</w:t>
      </w:r>
      <w:r w:rsidR="001E18CF">
        <w:t xml:space="preserve"> (</w:t>
      </w:r>
      <w:r w:rsidR="001E18CF" w:rsidRPr="001E18CF">
        <w:rPr>
          <w:b/>
          <w:bCs/>
        </w:rPr>
        <w:t>Table 1</w:t>
      </w:r>
      <w:r w:rsidR="001E18CF">
        <w:t>).</w:t>
      </w:r>
    </w:p>
    <w:p w14:paraId="16C484D8" w14:textId="77777777" w:rsidR="00192960" w:rsidRDefault="00192960" w:rsidP="00192960">
      <w:pPr>
        <w:spacing w:line="360" w:lineRule="auto"/>
        <w:jc w:val="both"/>
      </w:pPr>
    </w:p>
    <w:p w14:paraId="3496F262" w14:textId="6C594B47" w:rsidR="00D92CD9" w:rsidRPr="00B55B9F" w:rsidRDefault="00192960" w:rsidP="00192960">
      <w:pPr>
        <w:spacing w:line="360" w:lineRule="auto"/>
        <w:jc w:val="both"/>
        <w:rPr>
          <w:b/>
          <w:bCs/>
          <w:szCs w:val="18"/>
        </w:rPr>
      </w:pPr>
      <w:r w:rsidRPr="00192960">
        <w:t>In terms of laboratory results, abnormal lipid profiles were prevalent</w:t>
      </w:r>
      <w:r>
        <w:t xml:space="preserve"> with </w:t>
      </w:r>
      <w:r w:rsidRPr="00192960">
        <w:t xml:space="preserve">48.6% of participants had elevated total cholesterol, 43.6% had high triglycerides, and 36.1% exhibited </w:t>
      </w:r>
      <w:r w:rsidRPr="00192960">
        <w:lastRenderedPageBreak/>
        <w:t>increased LDL levels, while 38.9% had low HDL levels. Furthermore, glycemic control was poor, with 99% of participants showing HbA1c levels exceeding 5.81%</w:t>
      </w:r>
      <w:r>
        <w:t xml:space="preserve"> (</w:t>
      </w:r>
      <w:r w:rsidRPr="005D1EE5">
        <w:rPr>
          <w:b/>
          <w:bCs/>
        </w:rPr>
        <w:t>Table 2</w:t>
      </w:r>
      <w:r>
        <w:t>).</w:t>
      </w:r>
      <w:r w:rsidR="00D92CD9" w:rsidRPr="00B55B9F">
        <w:br w:type="page"/>
      </w:r>
    </w:p>
    <w:p w14:paraId="629EA364" w14:textId="79CC7AFB" w:rsidR="00A36D72" w:rsidRPr="00B55B9F" w:rsidRDefault="00D92CD9" w:rsidP="00D92CD9">
      <w:pPr>
        <w:pStyle w:val="Caption"/>
        <w:rPr>
          <w:sz w:val="22"/>
        </w:rPr>
      </w:pPr>
      <w:bookmarkStart w:id="6" w:name="_Toc171341412"/>
      <w:r w:rsidRPr="00B55B9F">
        <w:rPr>
          <w:sz w:val="22"/>
        </w:rPr>
        <w:lastRenderedPageBreak/>
        <w:t xml:space="preserve">Table </w:t>
      </w:r>
      <w:r w:rsidRPr="00B55B9F">
        <w:rPr>
          <w:sz w:val="22"/>
        </w:rPr>
        <w:fldChar w:fldCharType="begin"/>
      </w:r>
      <w:r w:rsidRPr="00B55B9F">
        <w:rPr>
          <w:sz w:val="22"/>
        </w:rPr>
        <w:instrText xml:space="preserve"> SEQ Table \* ARABIC </w:instrText>
      </w:r>
      <w:r w:rsidRPr="00B55B9F">
        <w:rPr>
          <w:sz w:val="22"/>
        </w:rPr>
        <w:fldChar w:fldCharType="separate"/>
      </w:r>
      <w:r w:rsidR="00F20662">
        <w:rPr>
          <w:noProof/>
          <w:sz w:val="22"/>
        </w:rPr>
        <w:t>1</w:t>
      </w:r>
      <w:r w:rsidRPr="00B55B9F">
        <w:rPr>
          <w:sz w:val="22"/>
        </w:rPr>
        <w:fldChar w:fldCharType="end"/>
      </w:r>
      <w:r w:rsidRPr="00B55B9F">
        <w:rPr>
          <w:sz w:val="22"/>
        </w:rPr>
        <w:t xml:space="preserve"> : Social demographic and clinical characteristics of the study participants (N=296)</w:t>
      </w:r>
      <w:bookmarkEnd w:id="6"/>
    </w:p>
    <w:tbl>
      <w:tblPr>
        <w:tblW w:w="9083" w:type="dxa"/>
        <w:jc w:val="center"/>
        <w:tblLook w:val="04A0" w:firstRow="1" w:lastRow="0" w:firstColumn="1" w:lastColumn="0" w:noHBand="0" w:noVBand="1"/>
      </w:tblPr>
      <w:tblGrid>
        <w:gridCol w:w="5049"/>
        <w:gridCol w:w="1951"/>
        <w:gridCol w:w="2083"/>
      </w:tblGrid>
      <w:tr w:rsidR="00D92CD9" w:rsidRPr="00B55B9F" w14:paraId="7BE7DEE9" w14:textId="77777777" w:rsidTr="00D92CD9">
        <w:trPr>
          <w:trHeight w:val="265"/>
          <w:jc w:val="center"/>
        </w:trPr>
        <w:tc>
          <w:tcPr>
            <w:tcW w:w="5049" w:type="dxa"/>
            <w:tcBorders>
              <w:top w:val="single" w:sz="12" w:space="0" w:color="auto"/>
              <w:bottom w:val="single" w:sz="12" w:space="0" w:color="auto"/>
            </w:tcBorders>
            <w:noWrap/>
            <w:vAlign w:val="bottom"/>
            <w:hideMark/>
          </w:tcPr>
          <w:p w14:paraId="7AEF10C3" w14:textId="77777777" w:rsidR="00A36D72" w:rsidRPr="00B55B9F" w:rsidRDefault="00A36D72" w:rsidP="00D92CD9">
            <w:pPr>
              <w:jc w:val="both"/>
              <w:rPr>
                <w:b/>
                <w:bCs/>
                <w:sz w:val="22"/>
              </w:rPr>
            </w:pPr>
            <w:r w:rsidRPr="00B55B9F">
              <w:rPr>
                <w:b/>
                <w:bCs/>
                <w:sz w:val="22"/>
              </w:rPr>
              <w:t>Variable</w:t>
            </w:r>
          </w:p>
        </w:tc>
        <w:tc>
          <w:tcPr>
            <w:tcW w:w="1951" w:type="dxa"/>
            <w:tcBorders>
              <w:top w:val="single" w:sz="12" w:space="0" w:color="auto"/>
              <w:bottom w:val="single" w:sz="12" w:space="0" w:color="auto"/>
            </w:tcBorders>
            <w:noWrap/>
            <w:vAlign w:val="bottom"/>
            <w:hideMark/>
          </w:tcPr>
          <w:p w14:paraId="4062F616" w14:textId="77777777" w:rsidR="00A36D72" w:rsidRPr="00B55B9F" w:rsidRDefault="00A36D72" w:rsidP="00D92CD9">
            <w:pPr>
              <w:jc w:val="center"/>
              <w:rPr>
                <w:b/>
                <w:bCs/>
                <w:sz w:val="22"/>
              </w:rPr>
            </w:pPr>
            <w:r w:rsidRPr="00B55B9F">
              <w:rPr>
                <w:b/>
                <w:bCs/>
                <w:sz w:val="22"/>
              </w:rPr>
              <w:t>Frequency</w:t>
            </w:r>
          </w:p>
        </w:tc>
        <w:tc>
          <w:tcPr>
            <w:tcW w:w="2083" w:type="dxa"/>
            <w:tcBorders>
              <w:top w:val="single" w:sz="12" w:space="0" w:color="auto"/>
              <w:bottom w:val="single" w:sz="12" w:space="0" w:color="auto"/>
            </w:tcBorders>
            <w:noWrap/>
            <w:vAlign w:val="bottom"/>
            <w:hideMark/>
          </w:tcPr>
          <w:p w14:paraId="2F877D8A" w14:textId="77777777" w:rsidR="00A36D72" w:rsidRPr="00B55B9F" w:rsidRDefault="00A36D72" w:rsidP="00D92CD9">
            <w:pPr>
              <w:jc w:val="center"/>
              <w:rPr>
                <w:b/>
                <w:bCs/>
                <w:sz w:val="22"/>
              </w:rPr>
            </w:pPr>
            <w:r w:rsidRPr="00B55B9F">
              <w:rPr>
                <w:b/>
                <w:bCs/>
                <w:sz w:val="22"/>
              </w:rPr>
              <w:t>Percentage</w:t>
            </w:r>
          </w:p>
        </w:tc>
      </w:tr>
      <w:tr w:rsidR="00D92CD9" w:rsidRPr="00B55B9F" w14:paraId="3F1FE2F2" w14:textId="77777777" w:rsidTr="00D92CD9">
        <w:trPr>
          <w:trHeight w:val="265"/>
          <w:jc w:val="center"/>
        </w:trPr>
        <w:tc>
          <w:tcPr>
            <w:tcW w:w="5049" w:type="dxa"/>
            <w:tcBorders>
              <w:top w:val="single" w:sz="12" w:space="0" w:color="auto"/>
            </w:tcBorders>
            <w:noWrap/>
            <w:vAlign w:val="bottom"/>
          </w:tcPr>
          <w:p w14:paraId="095F914D" w14:textId="77777777" w:rsidR="00A36D72" w:rsidRPr="00B55B9F" w:rsidRDefault="00A36D72" w:rsidP="00D92CD9">
            <w:pPr>
              <w:jc w:val="both"/>
              <w:rPr>
                <w:b/>
                <w:bCs/>
                <w:sz w:val="22"/>
              </w:rPr>
            </w:pPr>
            <w:r w:rsidRPr="00B55B9F">
              <w:rPr>
                <w:b/>
                <w:bCs/>
                <w:sz w:val="22"/>
              </w:rPr>
              <w:t>Age</w:t>
            </w:r>
          </w:p>
        </w:tc>
        <w:tc>
          <w:tcPr>
            <w:tcW w:w="1951" w:type="dxa"/>
            <w:tcBorders>
              <w:top w:val="single" w:sz="12" w:space="0" w:color="auto"/>
            </w:tcBorders>
            <w:noWrap/>
            <w:vAlign w:val="bottom"/>
          </w:tcPr>
          <w:p w14:paraId="3255E5CE" w14:textId="77777777" w:rsidR="00A36D72" w:rsidRPr="00B55B9F" w:rsidRDefault="00A36D72" w:rsidP="00D92CD9">
            <w:pPr>
              <w:jc w:val="center"/>
              <w:rPr>
                <w:sz w:val="22"/>
              </w:rPr>
            </w:pPr>
          </w:p>
        </w:tc>
        <w:tc>
          <w:tcPr>
            <w:tcW w:w="2083" w:type="dxa"/>
            <w:tcBorders>
              <w:top w:val="single" w:sz="12" w:space="0" w:color="auto"/>
            </w:tcBorders>
            <w:noWrap/>
            <w:vAlign w:val="bottom"/>
          </w:tcPr>
          <w:p w14:paraId="245DD778" w14:textId="77777777" w:rsidR="00A36D72" w:rsidRPr="00B55B9F" w:rsidRDefault="00A36D72" w:rsidP="00D92CD9">
            <w:pPr>
              <w:jc w:val="center"/>
              <w:rPr>
                <w:sz w:val="22"/>
              </w:rPr>
            </w:pPr>
          </w:p>
        </w:tc>
      </w:tr>
      <w:tr w:rsidR="00D92CD9" w:rsidRPr="00B55B9F" w14:paraId="076CD3E7" w14:textId="77777777" w:rsidTr="00D92CD9">
        <w:trPr>
          <w:trHeight w:val="265"/>
          <w:jc w:val="center"/>
        </w:trPr>
        <w:tc>
          <w:tcPr>
            <w:tcW w:w="5049" w:type="dxa"/>
            <w:noWrap/>
            <w:vAlign w:val="bottom"/>
          </w:tcPr>
          <w:p w14:paraId="45523B46" w14:textId="77777777" w:rsidR="00A36D72" w:rsidRPr="00B55B9F" w:rsidRDefault="00A36D72" w:rsidP="00D92CD9">
            <w:pPr>
              <w:jc w:val="both"/>
              <w:rPr>
                <w:i/>
                <w:iCs/>
                <w:sz w:val="22"/>
              </w:rPr>
            </w:pPr>
            <w:r w:rsidRPr="00B55B9F">
              <w:rPr>
                <w:i/>
                <w:iCs/>
                <w:sz w:val="22"/>
              </w:rPr>
              <w:t>Mean (SD)</w:t>
            </w:r>
          </w:p>
        </w:tc>
        <w:tc>
          <w:tcPr>
            <w:tcW w:w="1951" w:type="dxa"/>
            <w:noWrap/>
            <w:vAlign w:val="bottom"/>
          </w:tcPr>
          <w:p w14:paraId="7EB8D2B4" w14:textId="77777777" w:rsidR="00A36D72" w:rsidRPr="00B55B9F" w:rsidRDefault="00A36D72" w:rsidP="00D92CD9">
            <w:pPr>
              <w:jc w:val="center"/>
              <w:rPr>
                <w:i/>
                <w:iCs/>
                <w:sz w:val="22"/>
              </w:rPr>
            </w:pPr>
            <w:r w:rsidRPr="00B55B9F">
              <w:rPr>
                <w:i/>
                <w:iCs/>
                <w:sz w:val="22"/>
              </w:rPr>
              <w:t>62.4 (±8.77)</w:t>
            </w:r>
          </w:p>
        </w:tc>
        <w:tc>
          <w:tcPr>
            <w:tcW w:w="2083" w:type="dxa"/>
            <w:noWrap/>
            <w:vAlign w:val="bottom"/>
          </w:tcPr>
          <w:p w14:paraId="13784146" w14:textId="77777777" w:rsidR="00A36D72" w:rsidRPr="00B55B9F" w:rsidRDefault="00A36D72" w:rsidP="00D92CD9">
            <w:pPr>
              <w:jc w:val="center"/>
              <w:rPr>
                <w:sz w:val="22"/>
              </w:rPr>
            </w:pPr>
          </w:p>
        </w:tc>
      </w:tr>
      <w:tr w:rsidR="00D92CD9" w:rsidRPr="00B55B9F" w14:paraId="7A46EE7E" w14:textId="77777777" w:rsidTr="00D92CD9">
        <w:trPr>
          <w:trHeight w:val="265"/>
          <w:jc w:val="center"/>
        </w:trPr>
        <w:tc>
          <w:tcPr>
            <w:tcW w:w="5049" w:type="dxa"/>
            <w:noWrap/>
            <w:vAlign w:val="bottom"/>
            <w:hideMark/>
          </w:tcPr>
          <w:p w14:paraId="750A049B" w14:textId="77777777" w:rsidR="00A36D72" w:rsidRPr="00B55B9F" w:rsidRDefault="00A36D72" w:rsidP="00D92CD9">
            <w:pPr>
              <w:jc w:val="both"/>
              <w:rPr>
                <w:b/>
                <w:bCs/>
                <w:sz w:val="22"/>
              </w:rPr>
            </w:pPr>
            <w:r w:rsidRPr="00B55B9F">
              <w:rPr>
                <w:b/>
                <w:bCs/>
                <w:sz w:val="22"/>
              </w:rPr>
              <w:t>Sex</w:t>
            </w:r>
          </w:p>
        </w:tc>
        <w:tc>
          <w:tcPr>
            <w:tcW w:w="1951" w:type="dxa"/>
            <w:noWrap/>
            <w:vAlign w:val="bottom"/>
            <w:hideMark/>
          </w:tcPr>
          <w:p w14:paraId="1C5F9749" w14:textId="1DDD758A" w:rsidR="00A36D72" w:rsidRPr="00B55B9F" w:rsidRDefault="00A36D72" w:rsidP="00D92CD9">
            <w:pPr>
              <w:jc w:val="center"/>
              <w:rPr>
                <w:sz w:val="22"/>
              </w:rPr>
            </w:pPr>
          </w:p>
        </w:tc>
        <w:tc>
          <w:tcPr>
            <w:tcW w:w="2083" w:type="dxa"/>
            <w:noWrap/>
            <w:vAlign w:val="bottom"/>
            <w:hideMark/>
          </w:tcPr>
          <w:p w14:paraId="1A3B916E" w14:textId="53F3041A" w:rsidR="00A36D72" w:rsidRPr="00B55B9F" w:rsidRDefault="00A36D72" w:rsidP="00D92CD9">
            <w:pPr>
              <w:jc w:val="center"/>
              <w:rPr>
                <w:sz w:val="22"/>
              </w:rPr>
            </w:pPr>
          </w:p>
        </w:tc>
      </w:tr>
      <w:tr w:rsidR="00D92CD9" w:rsidRPr="00B55B9F" w14:paraId="68907FF4" w14:textId="77777777" w:rsidTr="00D92CD9">
        <w:trPr>
          <w:trHeight w:val="265"/>
          <w:jc w:val="center"/>
        </w:trPr>
        <w:tc>
          <w:tcPr>
            <w:tcW w:w="5049" w:type="dxa"/>
            <w:noWrap/>
            <w:vAlign w:val="bottom"/>
            <w:hideMark/>
          </w:tcPr>
          <w:p w14:paraId="0E384732" w14:textId="77777777" w:rsidR="00A36D72" w:rsidRPr="00B55B9F" w:rsidRDefault="00A36D72" w:rsidP="00D92CD9">
            <w:pPr>
              <w:ind w:left="330"/>
              <w:jc w:val="both"/>
              <w:rPr>
                <w:sz w:val="22"/>
              </w:rPr>
            </w:pPr>
            <w:r w:rsidRPr="00B55B9F">
              <w:rPr>
                <w:sz w:val="22"/>
              </w:rPr>
              <w:t>Male</w:t>
            </w:r>
          </w:p>
        </w:tc>
        <w:tc>
          <w:tcPr>
            <w:tcW w:w="1951" w:type="dxa"/>
            <w:noWrap/>
            <w:vAlign w:val="bottom"/>
            <w:hideMark/>
          </w:tcPr>
          <w:p w14:paraId="2010008A" w14:textId="77777777" w:rsidR="00A36D72" w:rsidRPr="00B55B9F" w:rsidRDefault="00A36D72" w:rsidP="00D92CD9">
            <w:pPr>
              <w:jc w:val="center"/>
              <w:rPr>
                <w:sz w:val="22"/>
              </w:rPr>
            </w:pPr>
            <w:r w:rsidRPr="00B55B9F">
              <w:rPr>
                <w:sz w:val="22"/>
              </w:rPr>
              <w:t>132</w:t>
            </w:r>
          </w:p>
        </w:tc>
        <w:tc>
          <w:tcPr>
            <w:tcW w:w="2083" w:type="dxa"/>
            <w:noWrap/>
            <w:vAlign w:val="bottom"/>
            <w:hideMark/>
          </w:tcPr>
          <w:p w14:paraId="20F16A87" w14:textId="77777777" w:rsidR="00A36D72" w:rsidRPr="00B55B9F" w:rsidRDefault="00A36D72" w:rsidP="00D92CD9">
            <w:pPr>
              <w:jc w:val="center"/>
              <w:rPr>
                <w:sz w:val="22"/>
              </w:rPr>
            </w:pPr>
            <w:r w:rsidRPr="00B55B9F">
              <w:rPr>
                <w:sz w:val="22"/>
              </w:rPr>
              <w:t>44.6</w:t>
            </w:r>
          </w:p>
        </w:tc>
      </w:tr>
      <w:tr w:rsidR="00D92CD9" w:rsidRPr="00B55B9F" w14:paraId="3C12FC4B" w14:textId="77777777" w:rsidTr="00D92CD9">
        <w:trPr>
          <w:trHeight w:val="265"/>
          <w:jc w:val="center"/>
        </w:trPr>
        <w:tc>
          <w:tcPr>
            <w:tcW w:w="5049" w:type="dxa"/>
            <w:noWrap/>
            <w:vAlign w:val="bottom"/>
            <w:hideMark/>
          </w:tcPr>
          <w:p w14:paraId="0A89955A" w14:textId="77777777" w:rsidR="00A36D72" w:rsidRPr="00B55B9F" w:rsidRDefault="00A36D72" w:rsidP="00D92CD9">
            <w:pPr>
              <w:ind w:left="330"/>
              <w:jc w:val="both"/>
              <w:rPr>
                <w:sz w:val="22"/>
              </w:rPr>
            </w:pPr>
            <w:r w:rsidRPr="00B55B9F">
              <w:rPr>
                <w:sz w:val="22"/>
              </w:rPr>
              <w:t>Female</w:t>
            </w:r>
          </w:p>
        </w:tc>
        <w:tc>
          <w:tcPr>
            <w:tcW w:w="1951" w:type="dxa"/>
            <w:noWrap/>
            <w:vAlign w:val="bottom"/>
            <w:hideMark/>
          </w:tcPr>
          <w:p w14:paraId="5B334BC6" w14:textId="77777777" w:rsidR="00A36D72" w:rsidRPr="00B55B9F" w:rsidRDefault="00A36D72" w:rsidP="00D92CD9">
            <w:pPr>
              <w:jc w:val="center"/>
              <w:rPr>
                <w:sz w:val="22"/>
              </w:rPr>
            </w:pPr>
            <w:r w:rsidRPr="00B55B9F">
              <w:rPr>
                <w:sz w:val="22"/>
              </w:rPr>
              <w:t>164</w:t>
            </w:r>
          </w:p>
        </w:tc>
        <w:tc>
          <w:tcPr>
            <w:tcW w:w="2083" w:type="dxa"/>
            <w:noWrap/>
            <w:vAlign w:val="bottom"/>
            <w:hideMark/>
          </w:tcPr>
          <w:p w14:paraId="59EEDFF7" w14:textId="77777777" w:rsidR="00A36D72" w:rsidRPr="00B55B9F" w:rsidRDefault="00A36D72" w:rsidP="00D92CD9">
            <w:pPr>
              <w:jc w:val="center"/>
              <w:rPr>
                <w:b/>
                <w:bCs/>
                <w:sz w:val="22"/>
              </w:rPr>
            </w:pPr>
            <w:r w:rsidRPr="00B55B9F">
              <w:rPr>
                <w:b/>
                <w:bCs/>
                <w:sz w:val="22"/>
              </w:rPr>
              <w:t>55.4</w:t>
            </w:r>
          </w:p>
        </w:tc>
      </w:tr>
      <w:tr w:rsidR="00D92CD9" w:rsidRPr="00B55B9F" w14:paraId="63CFAA6B" w14:textId="77777777" w:rsidTr="00D92CD9">
        <w:trPr>
          <w:trHeight w:val="265"/>
          <w:jc w:val="center"/>
        </w:trPr>
        <w:tc>
          <w:tcPr>
            <w:tcW w:w="5049" w:type="dxa"/>
            <w:noWrap/>
            <w:vAlign w:val="bottom"/>
            <w:hideMark/>
          </w:tcPr>
          <w:p w14:paraId="3F65A2DC" w14:textId="77777777" w:rsidR="00A36D72" w:rsidRPr="00B55B9F" w:rsidRDefault="00A36D72" w:rsidP="00D92CD9">
            <w:pPr>
              <w:jc w:val="both"/>
              <w:rPr>
                <w:b/>
                <w:bCs/>
                <w:sz w:val="22"/>
              </w:rPr>
            </w:pPr>
            <w:r w:rsidRPr="00B55B9F">
              <w:rPr>
                <w:b/>
                <w:bCs/>
                <w:sz w:val="22"/>
              </w:rPr>
              <w:t>Residence</w:t>
            </w:r>
          </w:p>
        </w:tc>
        <w:tc>
          <w:tcPr>
            <w:tcW w:w="1951" w:type="dxa"/>
            <w:noWrap/>
            <w:vAlign w:val="bottom"/>
            <w:hideMark/>
          </w:tcPr>
          <w:p w14:paraId="3925B50E" w14:textId="2CF13289" w:rsidR="00A36D72" w:rsidRPr="00B55B9F" w:rsidRDefault="00A36D72" w:rsidP="00D92CD9">
            <w:pPr>
              <w:jc w:val="center"/>
              <w:rPr>
                <w:sz w:val="22"/>
              </w:rPr>
            </w:pPr>
          </w:p>
        </w:tc>
        <w:tc>
          <w:tcPr>
            <w:tcW w:w="2083" w:type="dxa"/>
            <w:noWrap/>
            <w:vAlign w:val="bottom"/>
            <w:hideMark/>
          </w:tcPr>
          <w:p w14:paraId="769F9979" w14:textId="3C2C8A7C" w:rsidR="00A36D72" w:rsidRPr="00B55B9F" w:rsidRDefault="00A36D72" w:rsidP="00D92CD9">
            <w:pPr>
              <w:jc w:val="center"/>
              <w:rPr>
                <w:sz w:val="22"/>
              </w:rPr>
            </w:pPr>
          </w:p>
        </w:tc>
      </w:tr>
      <w:tr w:rsidR="00D92CD9" w:rsidRPr="00B55B9F" w14:paraId="1DB7A1A5" w14:textId="77777777" w:rsidTr="00D92CD9">
        <w:trPr>
          <w:trHeight w:val="265"/>
          <w:jc w:val="center"/>
        </w:trPr>
        <w:tc>
          <w:tcPr>
            <w:tcW w:w="5049" w:type="dxa"/>
            <w:noWrap/>
            <w:vAlign w:val="bottom"/>
            <w:hideMark/>
          </w:tcPr>
          <w:p w14:paraId="30C9C7A1" w14:textId="77777777" w:rsidR="00A36D72" w:rsidRPr="00B55B9F" w:rsidRDefault="00A36D72" w:rsidP="00D92CD9">
            <w:pPr>
              <w:ind w:left="330"/>
              <w:jc w:val="both"/>
              <w:rPr>
                <w:sz w:val="22"/>
              </w:rPr>
            </w:pPr>
            <w:r w:rsidRPr="00B55B9F">
              <w:rPr>
                <w:sz w:val="22"/>
              </w:rPr>
              <w:t>Urban</w:t>
            </w:r>
          </w:p>
        </w:tc>
        <w:tc>
          <w:tcPr>
            <w:tcW w:w="1951" w:type="dxa"/>
            <w:noWrap/>
            <w:vAlign w:val="bottom"/>
            <w:hideMark/>
          </w:tcPr>
          <w:p w14:paraId="47FC2F86" w14:textId="77777777" w:rsidR="00A36D72" w:rsidRPr="00B55B9F" w:rsidRDefault="00A36D72" w:rsidP="00D92CD9">
            <w:pPr>
              <w:jc w:val="center"/>
              <w:rPr>
                <w:sz w:val="22"/>
              </w:rPr>
            </w:pPr>
            <w:r w:rsidRPr="00B55B9F">
              <w:rPr>
                <w:sz w:val="22"/>
              </w:rPr>
              <w:t>258</w:t>
            </w:r>
          </w:p>
        </w:tc>
        <w:tc>
          <w:tcPr>
            <w:tcW w:w="2083" w:type="dxa"/>
            <w:noWrap/>
            <w:vAlign w:val="bottom"/>
            <w:hideMark/>
          </w:tcPr>
          <w:p w14:paraId="30B7FED3" w14:textId="77777777" w:rsidR="00A36D72" w:rsidRPr="00B55B9F" w:rsidRDefault="00A36D72" w:rsidP="00D92CD9">
            <w:pPr>
              <w:jc w:val="center"/>
              <w:rPr>
                <w:b/>
                <w:bCs/>
                <w:sz w:val="22"/>
              </w:rPr>
            </w:pPr>
            <w:r w:rsidRPr="00B55B9F">
              <w:rPr>
                <w:b/>
                <w:bCs/>
                <w:sz w:val="22"/>
              </w:rPr>
              <w:t>87.2</w:t>
            </w:r>
          </w:p>
        </w:tc>
      </w:tr>
      <w:tr w:rsidR="00D92CD9" w:rsidRPr="00B55B9F" w14:paraId="37D7A081" w14:textId="77777777" w:rsidTr="00D92CD9">
        <w:trPr>
          <w:trHeight w:val="265"/>
          <w:jc w:val="center"/>
        </w:trPr>
        <w:tc>
          <w:tcPr>
            <w:tcW w:w="5049" w:type="dxa"/>
            <w:noWrap/>
            <w:vAlign w:val="bottom"/>
            <w:hideMark/>
          </w:tcPr>
          <w:p w14:paraId="28C10B3D" w14:textId="77777777" w:rsidR="00A36D72" w:rsidRPr="00B55B9F" w:rsidRDefault="00A36D72" w:rsidP="00D92CD9">
            <w:pPr>
              <w:ind w:left="330"/>
              <w:jc w:val="both"/>
              <w:rPr>
                <w:sz w:val="22"/>
              </w:rPr>
            </w:pPr>
            <w:r w:rsidRPr="00B55B9F">
              <w:rPr>
                <w:sz w:val="22"/>
              </w:rPr>
              <w:t>Rural</w:t>
            </w:r>
          </w:p>
        </w:tc>
        <w:tc>
          <w:tcPr>
            <w:tcW w:w="1951" w:type="dxa"/>
            <w:noWrap/>
            <w:vAlign w:val="bottom"/>
            <w:hideMark/>
          </w:tcPr>
          <w:p w14:paraId="10D8E3E7" w14:textId="77777777" w:rsidR="00A36D72" w:rsidRPr="00B55B9F" w:rsidRDefault="00A36D72" w:rsidP="00D92CD9">
            <w:pPr>
              <w:jc w:val="center"/>
              <w:rPr>
                <w:sz w:val="22"/>
              </w:rPr>
            </w:pPr>
            <w:r w:rsidRPr="00B55B9F">
              <w:rPr>
                <w:sz w:val="22"/>
              </w:rPr>
              <w:t>38</w:t>
            </w:r>
          </w:p>
        </w:tc>
        <w:tc>
          <w:tcPr>
            <w:tcW w:w="2083" w:type="dxa"/>
            <w:noWrap/>
            <w:vAlign w:val="bottom"/>
            <w:hideMark/>
          </w:tcPr>
          <w:p w14:paraId="6BABC5FE" w14:textId="77777777" w:rsidR="00A36D72" w:rsidRPr="00B55B9F" w:rsidRDefault="00A36D72" w:rsidP="00D92CD9">
            <w:pPr>
              <w:jc w:val="center"/>
              <w:rPr>
                <w:sz w:val="22"/>
              </w:rPr>
            </w:pPr>
            <w:r w:rsidRPr="00B55B9F">
              <w:rPr>
                <w:sz w:val="22"/>
              </w:rPr>
              <w:t>12.8</w:t>
            </w:r>
          </w:p>
        </w:tc>
      </w:tr>
      <w:tr w:rsidR="00D92CD9" w:rsidRPr="00B55B9F" w14:paraId="0604E9E9" w14:textId="77777777" w:rsidTr="00D92CD9">
        <w:trPr>
          <w:trHeight w:val="265"/>
          <w:jc w:val="center"/>
        </w:trPr>
        <w:tc>
          <w:tcPr>
            <w:tcW w:w="5049" w:type="dxa"/>
            <w:noWrap/>
            <w:vAlign w:val="bottom"/>
          </w:tcPr>
          <w:p w14:paraId="663538D2" w14:textId="77777777" w:rsidR="00A36D72" w:rsidRPr="00B55B9F" w:rsidRDefault="00A36D72" w:rsidP="00D92CD9">
            <w:pPr>
              <w:jc w:val="both"/>
              <w:rPr>
                <w:sz w:val="22"/>
              </w:rPr>
            </w:pPr>
            <w:r w:rsidRPr="00B55B9F">
              <w:rPr>
                <w:b/>
                <w:bCs/>
                <w:sz w:val="22"/>
              </w:rPr>
              <w:t>Duration of DM</w:t>
            </w:r>
          </w:p>
        </w:tc>
        <w:tc>
          <w:tcPr>
            <w:tcW w:w="1951" w:type="dxa"/>
            <w:noWrap/>
            <w:vAlign w:val="bottom"/>
          </w:tcPr>
          <w:p w14:paraId="22D1C6D4" w14:textId="77777777" w:rsidR="00A36D72" w:rsidRPr="00B55B9F" w:rsidRDefault="00A36D72" w:rsidP="00D92CD9">
            <w:pPr>
              <w:jc w:val="center"/>
              <w:rPr>
                <w:sz w:val="22"/>
              </w:rPr>
            </w:pPr>
          </w:p>
        </w:tc>
        <w:tc>
          <w:tcPr>
            <w:tcW w:w="2083" w:type="dxa"/>
            <w:noWrap/>
            <w:vAlign w:val="bottom"/>
          </w:tcPr>
          <w:p w14:paraId="64C57420" w14:textId="77777777" w:rsidR="00A36D72" w:rsidRPr="00B55B9F" w:rsidRDefault="00A36D72" w:rsidP="00D92CD9">
            <w:pPr>
              <w:jc w:val="center"/>
              <w:rPr>
                <w:sz w:val="22"/>
              </w:rPr>
            </w:pPr>
          </w:p>
        </w:tc>
      </w:tr>
      <w:tr w:rsidR="00D92CD9" w:rsidRPr="00B55B9F" w14:paraId="3FB7F0A0" w14:textId="77777777" w:rsidTr="00D92CD9">
        <w:trPr>
          <w:trHeight w:val="265"/>
          <w:jc w:val="center"/>
        </w:trPr>
        <w:tc>
          <w:tcPr>
            <w:tcW w:w="5049" w:type="dxa"/>
            <w:noWrap/>
            <w:vAlign w:val="bottom"/>
          </w:tcPr>
          <w:p w14:paraId="058E53E8" w14:textId="77777777" w:rsidR="00A36D72" w:rsidRPr="00B55B9F" w:rsidRDefault="00A36D72" w:rsidP="00D92CD9">
            <w:pPr>
              <w:ind w:left="330"/>
              <w:jc w:val="both"/>
              <w:rPr>
                <w:sz w:val="22"/>
              </w:rPr>
            </w:pPr>
            <w:r w:rsidRPr="00B55B9F">
              <w:rPr>
                <w:sz w:val="22"/>
              </w:rPr>
              <w:t>≤ 5 Years</w:t>
            </w:r>
          </w:p>
        </w:tc>
        <w:tc>
          <w:tcPr>
            <w:tcW w:w="1951" w:type="dxa"/>
            <w:noWrap/>
            <w:vAlign w:val="bottom"/>
          </w:tcPr>
          <w:p w14:paraId="4035B0F7" w14:textId="74BE4B74" w:rsidR="00A36D72" w:rsidRPr="00B55B9F" w:rsidRDefault="00A75CC3" w:rsidP="00D92CD9">
            <w:pPr>
              <w:jc w:val="center"/>
              <w:rPr>
                <w:sz w:val="22"/>
              </w:rPr>
            </w:pPr>
            <w:r w:rsidRPr="00B55B9F">
              <w:rPr>
                <w:sz w:val="22"/>
              </w:rPr>
              <w:t>8</w:t>
            </w:r>
          </w:p>
        </w:tc>
        <w:tc>
          <w:tcPr>
            <w:tcW w:w="2083" w:type="dxa"/>
            <w:noWrap/>
            <w:vAlign w:val="bottom"/>
          </w:tcPr>
          <w:p w14:paraId="66D2CAB8" w14:textId="6942A7E9" w:rsidR="00A36D72" w:rsidRPr="00B55B9F" w:rsidRDefault="00465479" w:rsidP="00D92CD9">
            <w:pPr>
              <w:jc w:val="center"/>
              <w:rPr>
                <w:sz w:val="22"/>
              </w:rPr>
            </w:pPr>
            <w:r w:rsidRPr="00B55B9F">
              <w:rPr>
                <w:sz w:val="22"/>
              </w:rPr>
              <w:t>2.7</w:t>
            </w:r>
          </w:p>
        </w:tc>
      </w:tr>
      <w:tr w:rsidR="00D92CD9" w:rsidRPr="00B55B9F" w14:paraId="69898EB9" w14:textId="77777777" w:rsidTr="00D92CD9">
        <w:trPr>
          <w:trHeight w:val="265"/>
          <w:jc w:val="center"/>
        </w:trPr>
        <w:tc>
          <w:tcPr>
            <w:tcW w:w="5049" w:type="dxa"/>
            <w:noWrap/>
            <w:vAlign w:val="bottom"/>
          </w:tcPr>
          <w:p w14:paraId="0E9706AA" w14:textId="77777777" w:rsidR="00A36D72" w:rsidRPr="00B55B9F" w:rsidRDefault="00A36D72" w:rsidP="00D92CD9">
            <w:pPr>
              <w:ind w:left="330"/>
              <w:jc w:val="both"/>
              <w:rPr>
                <w:sz w:val="22"/>
              </w:rPr>
            </w:pPr>
            <w:r w:rsidRPr="00B55B9F">
              <w:rPr>
                <w:sz w:val="22"/>
              </w:rPr>
              <w:t>&gt; 5 Years</w:t>
            </w:r>
          </w:p>
        </w:tc>
        <w:tc>
          <w:tcPr>
            <w:tcW w:w="1951" w:type="dxa"/>
            <w:noWrap/>
            <w:vAlign w:val="bottom"/>
          </w:tcPr>
          <w:p w14:paraId="52E767BF" w14:textId="58B20219" w:rsidR="00A36D72" w:rsidRPr="00B55B9F" w:rsidRDefault="00A75CC3" w:rsidP="00D92CD9">
            <w:pPr>
              <w:jc w:val="center"/>
              <w:rPr>
                <w:sz w:val="22"/>
              </w:rPr>
            </w:pPr>
            <w:r w:rsidRPr="00B55B9F">
              <w:rPr>
                <w:sz w:val="22"/>
              </w:rPr>
              <w:t>288</w:t>
            </w:r>
          </w:p>
        </w:tc>
        <w:tc>
          <w:tcPr>
            <w:tcW w:w="2083" w:type="dxa"/>
            <w:noWrap/>
            <w:vAlign w:val="bottom"/>
          </w:tcPr>
          <w:p w14:paraId="1283E8E0" w14:textId="73E88386" w:rsidR="00A36D72" w:rsidRPr="00B55B9F" w:rsidRDefault="00465479" w:rsidP="00D92CD9">
            <w:pPr>
              <w:jc w:val="center"/>
              <w:rPr>
                <w:b/>
                <w:bCs/>
                <w:sz w:val="22"/>
              </w:rPr>
            </w:pPr>
            <w:r w:rsidRPr="00B55B9F">
              <w:rPr>
                <w:b/>
                <w:bCs/>
                <w:sz w:val="22"/>
              </w:rPr>
              <w:t>97.3</w:t>
            </w:r>
          </w:p>
        </w:tc>
      </w:tr>
      <w:tr w:rsidR="00D92CD9" w:rsidRPr="00B55B9F" w14:paraId="3F410AE6" w14:textId="77777777" w:rsidTr="00D92CD9">
        <w:trPr>
          <w:trHeight w:val="265"/>
          <w:jc w:val="center"/>
        </w:trPr>
        <w:tc>
          <w:tcPr>
            <w:tcW w:w="5049" w:type="dxa"/>
            <w:noWrap/>
            <w:vAlign w:val="bottom"/>
          </w:tcPr>
          <w:p w14:paraId="5D3535A2" w14:textId="77777777" w:rsidR="00A36D72" w:rsidRPr="00B55B9F" w:rsidRDefault="00A36D72" w:rsidP="00D92CD9">
            <w:pPr>
              <w:ind w:left="330"/>
              <w:jc w:val="both"/>
              <w:rPr>
                <w:i/>
                <w:iCs/>
                <w:sz w:val="22"/>
              </w:rPr>
            </w:pPr>
            <w:r w:rsidRPr="00B55B9F">
              <w:rPr>
                <w:i/>
                <w:iCs/>
                <w:sz w:val="22"/>
              </w:rPr>
              <w:t>Mean (SD)</w:t>
            </w:r>
          </w:p>
        </w:tc>
        <w:tc>
          <w:tcPr>
            <w:tcW w:w="1951" w:type="dxa"/>
            <w:noWrap/>
            <w:vAlign w:val="bottom"/>
          </w:tcPr>
          <w:p w14:paraId="5D576D4E" w14:textId="77777777" w:rsidR="00A36D72" w:rsidRPr="00B55B9F" w:rsidRDefault="00A36D72" w:rsidP="00D92CD9">
            <w:pPr>
              <w:jc w:val="center"/>
              <w:rPr>
                <w:sz w:val="22"/>
              </w:rPr>
            </w:pPr>
            <w:r w:rsidRPr="00B55B9F">
              <w:rPr>
                <w:i/>
                <w:iCs/>
                <w:sz w:val="22"/>
              </w:rPr>
              <w:t>11 (±3.53)</w:t>
            </w:r>
          </w:p>
        </w:tc>
        <w:tc>
          <w:tcPr>
            <w:tcW w:w="2083" w:type="dxa"/>
            <w:noWrap/>
            <w:vAlign w:val="bottom"/>
          </w:tcPr>
          <w:p w14:paraId="7E0920EC" w14:textId="77777777" w:rsidR="00A36D72" w:rsidRPr="00B55B9F" w:rsidRDefault="00A36D72" w:rsidP="00D92CD9">
            <w:pPr>
              <w:jc w:val="center"/>
              <w:rPr>
                <w:sz w:val="22"/>
              </w:rPr>
            </w:pPr>
          </w:p>
        </w:tc>
      </w:tr>
      <w:tr w:rsidR="00D92CD9" w:rsidRPr="00B55B9F" w14:paraId="1B40BA79" w14:textId="77777777" w:rsidTr="00D92CD9">
        <w:trPr>
          <w:trHeight w:val="265"/>
          <w:jc w:val="center"/>
        </w:trPr>
        <w:tc>
          <w:tcPr>
            <w:tcW w:w="5049" w:type="dxa"/>
            <w:noWrap/>
            <w:vAlign w:val="bottom"/>
            <w:hideMark/>
          </w:tcPr>
          <w:p w14:paraId="3D4BFB7D" w14:textId="77777777" w:rsidR="00A36D72" w:rsidRPr="00B55B9F" w:rsidRDefault="00A36D72" w:rsidP="00D92CD9">
            <w:pPr>
              <w:jc w:val="both"/>
              <w:rPr>
                <w:b/>
                <w:bCs/>
                <w:sz w:val="22"/>
              </w:rPr>
            </w:pPr>
            <w:r w:rsidRPr="00B55B9F">
              <w:rPr>
                <w:b/>
                <w:bCs/>
                <w:sz w:val="22"/>
              </w:rPr>
              <w:t>Type of medicine use</w:t>
            </w:r>
          </w:p>
        </w:tc>
        <w:tc>
          <w:tcPr>
            <w:tcW w:w="1951" w:type="dxa"/>
            <w:noWrap/>
            <w:vAlign w:val="bottom"/>
            <w:hideMark/>
          </w:tcPr>
          <w:p w14:paraId="26FBAD66" w14:textId="13C99349" w:rsidR="00A36D72" w:rsidRPr="00B55B9F" w:rsidRDefault="00A36D72" w:rsidP="00D92CD9">
            <w:pPr>
              <w:jc w:val="center"/>
              <w:rPr>
                <w:sz w:val="22"/>
              </w:rPr>
            </w:pPr>
          </w:p>
        </w:tc>
        <w:tc>
          <w:tcPr>
            <w:tcW w:w="2083" w:type="dxa"/>
            <w:noWrap/>
            <w:vAlign w:val="bottom"/>
            <w:hideMark/>
          </w:tcPr>
          <w:p w14:paraId="2037E45E" w14:textId="37242200" w:rsidR="00A36D72" w:rsidRPr="00B55B9F" w:rsidRDefault="00A36D72" w:rsidP="00D92CD9">
            <w:pPr>
              <w:jc w:val="center"/>
              <w:rPr>
                <w:sz w:val="22"/>
              </w:rPr>
            </w:pPr>
          </w:p>
        </w:tc>
      </w:tr>
      <w:tr w:rsidR="00D92CD9" w:rsidRPr="00B55B9F" w14:paraId="5B644363" w14:textId="77777777" w:rsidTr="00D92CD9">
        <w:trPr>
          <w:trHeight w:val="265"/>
          <w:jc w:val="center"/>
        </w:trPr>
        <w:tc>
          <w:tcPr>
            <w:tcW w:w="5049" w:type="dxa"/>
            <w:noWrap/>
            <w:vAlign w:val="bottom"/>
            <w:hideMark/>
          </w:tcPr>
          <w:p w14:paraId="1D3E8302" w14:textId="77777777" w:rsidR="00A36D72" w:rsidRPr="00B55B9F" w:rsidRDefault="00A36D72" w:rsidP="00D92CD9">
            <w:pPr>
              <w:ind w:left="330"/>
              <w:jc w:val="both"/>
              <w:rPr>
                <w:sz w:val="22"/>
              </w:rPr>
            </w:pPr>
            <w:r w:rsidRPr="00B55B9F">
              <w:rPr>
                <w:sz w:val="22"/>
              </w:rPr>
              <w:t>Oral</w:t>
            </w:r>
          </w:p>
        </w:tc>
        <w:tc>
          <w:tcPr>
            <w:tcW w:w="1951" w:type="dxa"/>
            <w:noWrap/>
            <w:vAlign w:val="bottom"/>
            <w:hideMark/>
          </w:tcPr>
          <w:p w14:paraId="0234AF69" w14:textId="77777777" w:rsidR="00A36D72" w:rsidRPr="00B55B9F" w:rsidRDefault="00A36D72" w:rsidP="00D92CD9">
            <w:pPr>
              <w:jc w:val="center"/>
              <w:rPr>
                <w:sz w:val="22"/>
              </w:rPr>
            </w:pPr>
            <w:r w:rsidRPr="00B55B9F">
              <w:rPr>
                <w:sz w:val="22"/>
              </w:rPr>
              <w:t>293</w:t>
            </w:r>
          </w:p>
        </w:tc>
        <w:tc>
          <w:tcPr>
            <w:tcW w:w="2083" w:type="dxa"/>
            <w:noWrap/>
            <w:vAlign w:val="bottom"/>
            <w:hideMark/>
          </w:tcPr>
          <w:p w14:paraId="3A39EDCA" w14:textId="77777777" w:rsidR="00A36D72" w:rsidRPr="00B55B9F" w:rsidRDefault="00A36D72" w:rsidP="00D92CD9">
            <w:pPr>
              <w:jc w:val="center"/>
              <w:rPr>
                <w:b/>
                <w:bCs/>
                <w:sz w:val="22"/>
              </w:rPr>
            </w:pPr>
            <w:r w:rsidRPr="00B55B9F">
              <w:rPr>
                <w:b/>
                <w:bCs/>
                <w:sz w:val="22"/>
              </w:rPr>
              <w:t>99</w:t>
            </w:r>
          </w:p>
        </w:tc>
      </w:tr>
      <w:tr w:rsidR="00D92CD9" w:rsidRPr="00B55B9F" w14:paraId="5B86AC76" w14:textId="77777777" w:rsidTr="00D92CD9">
        <w:trPr>
          <w:trHeight w:val="265"/>
          <w:jc w:val="center"/>
        </w:trPr>
        <w:tc>
          <w:tcPr>
            <w:tcW w:w="5049" w:type="dxa"/>
            <w:noWrap/>
            <w:vAlign w:val="bottom"/>
            <w:hideMark/>
          </w:tcPr>
          <w:p w14:paraId="307A181D" w14:textId="77777777" w:rsidR="00A36D72" w:rsidRPr="00B55B9F" w:rsidRDefault="00A36D72" w:rsidP="00D92CD9">
            <w:pPr>
              <w:ind w:left="330"/>
              <w:jc w:val="both"/>
              <w:rPr>
                <w:sz w:val="22"/>
              </w:rPr>
            </w:pPr>
            <w:r w:rsidRPr="00B55B9F">
              <w:rPr>
                <w:sz w:val="22"/>
              </w:rPr>
              <w:t>Injectable</w:t>
            </w:r>
          </w:p>
        </w:tc>
        <w:tc>
          <w:tcPr>
            <w:tcW w:w="1951" w:type="dxa"/>
            <w:noWrap/>
            <w:vAlign w:val="bottom"/>
            <w:hideMark/>
          </w:tcPr>
          <w:p w14:paraId="56FBE0A2" w14:textId="77777777" w:rsidR="00A36D72" w:rsidRPr="00B55B9F" w:rsidRDefault="00A36D72" w:rsidP="00D92CD9">
            <w:pPr>
              <w:jc w:val="center"/>
              <w:rPr>
                <w:sz w:val="22"/>
              </w:rPr>
            </w:pPr>
            <w:r w:rsidRPr="00B55B9F">
              <w:rPr>
                <w:sz w:val="22"/>
              </w:rPr>
              <w:t>3</w:t>
            </w:r>
          </w:p>
        </w:tc>
        <w:tc>
          <w:tcPr>
            <w:tcW w:w="2083" w:type="dxa"/>
            <w:noWrap/>
            <w:vAlign w:val="bottom"/>
            <w:hideMark/>
          </w:tcPr>
          <w:p w14:paraId="17E5875D" w14:textId="77777777" w:rsidR="00A36D72" w:rsidRPr="00B55B9F" w:rsidRDefault="00A36D72" w:rsidP="00D92CD9">
            <w:pPr>
              <w:jc w:val="center"/>
              <w:rPr>
                <w:sz w:val="22"/>
              </w:rPr>
            </w:pPr>
            <w:r w:rsidRPr="00B55B9F">
              <w:rPr>
                <w:sz w:val="22"/>
              </w:rPr>
              <w:t>1</w:t>
            </w:r>
          </w:p>
        </w:tc>
      </w:tr>
      <w:tr w:rsidR="00D92CD9" w:rsidRPr="00B55B9F" w14:paraId="1C31578B" w14:textId="77777777" w:rsidTr="00D92CD9">
        <w:trPr>
          <w:trHeight w:val="265"/>
          <w:jc w:val="center"/>
        </w:trPr>
        <w:tc>
          <w:tcPr>
            <w:tcW w:w="5049" w:type="dxa"/>
            <w:noWrap/>
            <w:vAlign w:val="bottom"/>
            <w:hideMark/>
          </w:tcPr>
          <w:p w14:paraId="5893151D" w14:textId="77777777" w:rsidR="00A36D72" w:rsidRPr="00B55B9F" w:rsidRDefault="00A36D72" w:rsidP="00D92CD9">
            <w:pPr>
              <w:jc w:val="both"/>
              <w:rPr>
                <w:b/>
                <w:bCs/>
                <w:sz w:val="22"/>
              </w:rPr>
            </w:pPr>
            <w:r w:rsidRPr="00B55B9F">
              <w:rPr>
                <w:b/>
                <w:bCs/>
                <w:sz w:val="22"/>
              </w:rPr>
              <w:t>Visual acuity of Right Eye</w:t>
            </w:r>
          </w:p>
        </w:tc>
        <w:tc>
          <w:tcPr>
            <w:tcW w:w="1951" w:type="dxa"/>
            <w:noWrap/>
            <w:vAlign w:val="bottom"/>
            <w:hideMark/>
          </w:tcPr>
          <w:p w14:paraId="1D9DE91B" w14:textId="0039229C" w:rsidR="00A36D72" w:rsidRPr="00B55B9F" w:rsidRDefault="00A36D72" w:rsidP="00D92CD9">
            <w:pPr>
              <w:jc w:val="center"/>
              <w:rPr>
                <w:sz w:val="22"/>
              </w:rPr>
            </w:pPr>
          </w:p>
        </w:tc>
        <w:tc>
          <w:tcPr>
            <w:tcW w:w="2083" w:type="dxa"/>
            <w:noWrap/>
            <w:vAlign w:val="bottom"/>
            <w:hideMark/>
          </w:tcPr>
          <w:p w14:paraId="4E04760B" w14:textId="2AF16E86" w:rsidR="00A36D72" w:rsidRPr="00B55B9F" w:rsidRDefault="00A36D72" w:rsidP="00D92CD9">
            <w:pPr>
              <w:jc w:val="center"/>
              <w:rPr>
                <w:sz w:val="22"/>
              </w:rPr>
            </w:pPr>
          </w:p>
        </w:tc>
      </w:tr>
      <w:tr w:rsidR="00D92CD9" w:rsidRPr="00B55B9F" w14:paraId="0A5C596B" w14:textId="77777777" w:rsidTr="00D92CD9">
        <w:trPr>
          <w:trHeight w:val="265"/>
          <w:jc w:val="center"/>
        </w:trPr>
        <w:tc>
          <w:tcPr>
            <w:tcW w:w="5049" w:type="dxa"/>
            <w:noWrap/>
            <w:vAlign w:val="bottom"/>
            <w:hideMark/>
          </w:tcPr>
          <w:p w14:paraId="2BF83747" w14:textId="77777777" w:rsidR="00A36D72" w:rsidRPr="00B55B9F" w:rsidRDefault="00A36D72" w:rsidP="00D92CD9">
            <w:pPr>
              <w:ind w:left="330"/>
              <w:jc w:val="both"/>
              <w:rPr>
                <w:sz w:val="22"/>
              </w:rPr>
            </w:pPr>
            <w:r w:rsidRPr="00B55B9F">
              <w:rPr>
                <w:sz w:val="22"/>
              </w:rPr>
              <w:t>Mild visual impairment</w:t>
            </w:r>
          </w:p>
        </w:tc>
        <w:tc>
          <w:tcPr>
            <w:tcW w:w="1951" w:type="dxa"/>
            <w:noWrap/>
            <w:vAlign w:val="bottom"/>
            <w:hideMark/>
          </w:tcPr>
          <w:p w14:paraId="6C6D7914" w14:textId="77777777" w:rsidR="00A36D72" w:rsidRPr="00B55B9F" w:rsidRDefault="00A36D72" w:rsidP="00D92CD9">
            <w:pPr>
              <w:jc w:val="center"/>
              <w:rPr>
                <w:sz w:val="22"/>
              </w:rPr>
            </w:pPr>
            <w:r w:rsidRPr="00B55B9F">
              <w:rPr>
                <w:sz w:val="22"/>
              </w:rPr>
              <w:t>145</w:t>
            </w:r>
          </w:p>
        </w:tc>
        <w:tc>
          <w:tcPr>
            <w:tcW w:w="2083" w:type="dxa"/>
            <w:noWrap/>
            <w:vAlign w:val="bottom"/>
            <w:hideMark/>
          </w:tcPr>
          <w:p w14:paraId="3ECAEFBF" w14:textId="77777777" w:rsidR="00A36D72" w:rsidRPr="00B55B9F" w:rsidRDefault="00A36D72" w:rsidP="00D92CD9">
            <w:pPr>
              <w:jc w:val="center"/>
              <w:rPr>
                <w:b/>
                <w:bCs/>
                <w:sz w:val="22"/>
              </w:rPr>
            </w:pPr>
            <w:r w:rsidRPr="00B55B9F">
              <w:rPr>
                <w:b/>
                <w:bCs/>
                <w:sz w:val="22"/>
              </w:rPr>
              <w:t>49</w:t>
            </w:r>
          </w:p>
        </w:tc>
      </w:tr>
      <w:tr w:rsidR="00D92CD9" w:rsidRPr="00B55B9F" w14:paraId="5B2DF0FE" w14:textId="77777777" w:rsidTr="00D92CD9">
        <w:trPr>
          <w:trHeight w:val="265"/>
          <w:jc w:val="center"/>
        </w:trPr>
        <w:tc>
          <w:tcPr>
            <w:tcW w:w="5049" w:type="dxa"/>
            <w:noWrap/>
            <w:vAlign w:val="bottom"/>
            <w:hideMark/>
          </w:tcPr>
          <w:p w14:paraId="13DF07FC" w14:textId="77777777" w:rsidR="00A36D72" w:rsidRPr="00B55B9F" w:rsidRDefault="00A36D72" w:rsidP="00D92CD9">
            <w:pPr>
              <w:ind w:left="330"/>
              <w:jc w:val="both"/>
              <w:rPr>
                <w:sz w:val="22"/>
              </w:rPr>
            </w:pPr>
            <w:r w:rsidRPr="00B55B9F">
              <w:rPr>
                <w:sz w:val="22"/>
              </w:rPr>
              <w:t>Moderate visual impairment</w:t>
            </w:r>
          </w:p>
        </w:tc>
        <w:tc>
          <w:tcPr>
            <w:tcW w:w="1951" w:type="dxa"/>
            <w:noWrap/>
            <w:vAlign w:val="bottom"/>
            <w:hideMark/>
          </w:tcPr>
          <w:p w14:paraId="6E42052B" w14:textId="77777777" w:rsidR="00A36D72" w:rsidRPr="00B55B9F" w:rsidRDefault="00A36D72" w:rsidP="00D92CD9">
            <w:pPr>
              <w:jc w:val="center"/>
              <w:rPr>
                <w:sz w:val="22"/>
              </w:rPr>
            </w:pPr>
            <w:r w:rsidRPr="00B55B9F">
              <w:rPr>
                <w:sz w:val="22"/>
              </w:rPr>
              <w:t>48</w:t>
            </w:r>
          </w:p>
        </w:tc>
        <w:tc>
          <w:tcPr>
            <w:tcW w:w="2083" w:type="dxa"/>
            <w:noWrap/>
            <w:vAlign w:val="bottom"/>
            <w:hideMark/>
          </w:tcPr>
          <w:p w14:paraId="75CD2C6B" w14:textId="77777777" w:rsidR="00A36D72" w:rsidRPr="00B55B9F" w:rsidRDefault="00A36D72" w:rsidP="00D92CD9">
            <w:pPr>
              <w:jc w:val="center"/>
              <w:rPr>
                <w:sz w:val="22"/>
              </w:rPr>
            </w:pPr>
            <w:r w:rsidRPr="00B55B9F">
              <w:rPr>
                <w:sz w:val="22"/>
              </w:rPr>
              <w:t>16.2</w:t>
            </w:r>
          </w:p>
        </w:tc>
      </w:tr>
      <w:tr w:rsidR="00D92CD9" w:rsidRPr="00B55B9F" w14:paraId="1BBBF186" w14:textId="77777777" w:rsidTr="00D92CD9">
        <w:trPr>
          <w:trHeight w:val="265"/>
          <w:jc w:val="center"/>
        </w:trPr>
        <w:tc>
          <w:tcPr>
            <w:tcW w:w="5049" w:type="dxa"/>
            <w:noWrap/>
            <w:vAlign w:val="bottom"/>
            <w:hideMark/>
          </w:tcPr>
          <w:p w14:paraId="0C831E50" w14:textId="77777777" w:rsidR="00A36D72" w:rsidRPr="00B55B9F" w:rsidRDefault="00A36D72" w:rsidP="00D92CD9">
            <w:pPr>
              <w:ind w:left="330"/>
              <w:jc w:val="both"/>
              <w:rPr>
                <w:sz w:val="22"/>
              </w:rPr>
            </w:pPr>
            <w:r w:rsidRPr="00B55B9F">
              <w:rPr>
                <w:sz w:val="22"/>
              </w:rPr>
              <w:t>Severe visual impairment</w:t>
            </w:r>
          </w:p>
        </w:tc>
        <w:tc>
          <w:tcPr>
            <w:tcW w:w="1951" w:type="dxa"/>
            <w:noWrap/>
            <w:vAlign w:val="bottom"/>
            <w:hideMark/>
          </w:tcPr>
          <w:p w14:paraId="1D2E94F8" w14:textId="77777777" w:rsidR="00A36D72" w:rsidRPr="00B55B9F" w:rsidRDefault="00A36D72" w:rsidP="00D92CD9">
            <w:pPr>
              <w:jc w:val="center"/>
              <w:rPr>
                <w:sz w:val="22"/>
              </w:rPr>
            </w:pPr>
            <w:r w:rsidRPr="00B55B9F">
              <w:rPr>
                <w:sz w:val="22"/>
              </w:rPr>
              <w:t>103</w:t>
            </w:r>
          </w:p>
        </w:tc>
        <w:tc>
          <w:tcPr>
            <w:tcW w:w="2083" w:type="dxa"/>
            <w:noWrap/>
            <w:vAlign w:val="bottom"/>
            <w:hideMark/>
          </w:tcPr>
          <w:p w14:paraId="1F15A086" w14:textId="77777777" w:rsidR="00A36D72" w:rsidRPr="00B55B9F" w:rsidRDefault="00A36D72" w:rsidP="00D92CD9">
            <w:pPr>
              <w:jc w:val="center"/>
              <w:rPr>
                <w:sz w:val="22"/>
              </w:rPr>
            </w:pPr>
            <w:r w:rsidRPr="00B55B9F">
              <w:rPr>
                <w:sz w:val="22"/>
              </w:rPr>
              <w:t>34.8</w:t>
            </w:r>
          </w:p>
        </w:tc>
      </w:tr>
      <w:tr w:rsidR="00D92CD9" w:rsidRPr="00B55B9F" w14:paraId="74AE187A" w14:textId="77777777" w:rsidTr="00D92CD9">
        <w:trPr>
          <w:trHeight w:val="265"/>
          <w:jc w:val="center"/>
        </w:trPr>
        <w:tc>
          <w:tcPr>
            <w:tcW w:w="5049" w:type="dxa"/>
            <w:noWrap/>
            <w:vAlign w:val="bottom"/>
            <w:hideMark/>
          </w:tcPr>
          <w:p w14:paraId="142D680A" w14:textId="77777777" w:rsidR="00A36D72" w:rsidRPr="00B55B9F" w:rsidRDefault="00A36D72" w:rsidP="00D92CD9">
            <w:pPr>
              <w:jc w:val="both"/>
              <w:rPr>
                <w:b/>
                <w:bCs/>
                <w:sz w:val="22"/>
              </w:rPr>
            </w:pPr>
            <w:r w:rsidRPr="00B55B9F">
              <w:rPr>
                <w:b/>
                <w:bCs/>
                <w:sz w:val="22"/>
              </w:rPr>
              <w:t>Visual acuity of Left eye</w:t>
            </w:r>
          </w:p>
        </w:tc>
        <w:tc>
          <w:tcPr>
            <w:tcW w:w="1951" w:type="dxa"/>
            <w:noWrap/>
            <w:vAlign w:val="bottom"/>
            <w:hideMark/>
          </w:tcPr>
          <w:p w14:paraId="2CFD109D" w14:textId="0B29D8D6" w:rsidR="00A36D72" w:rsidRPr="00B55B9F" w:rsidRDefault="00A36D72" w:rsidP="00D92CD9">
            <w:pPr>
              <w:jc w:val="center"/>
              <w:rPr>
                <w:sz w:val="22"/>
              </w:rPr>
            </w:pPr>
          </w:p>
        </w:tc>
        <w:tc>
          <w:tcPr>
            <w:tcW w:w="2083" w:type="dxa"/>
            <w:noWrap/>
            <w:vAlign w:val="bottom"/>
            <w:hideMark/>
          </w:tcPr>
          <w:p w14:paraId="03732DBB" w14:textId="5F70368C" w:rsidR="00A36D72" w:rsidRPr="00B55B9F" w:rsidRDefault="00A36D72" w:rsidP="00D92CD9">
            <w:pPr>
              <w:jc w:val="center"/>
              <w:rPr>
                <w:sz w:val="22"/>
              </w:rPr>
            </w:pPr>
          </w:p>
        </w:tc>
      </w:tr>
      <w:tr w:rsidR="00D92CD9" w:rsidRPr="00B55B9F" w14:paraId="4CA42433" w14:textId="77777777" w:rsidTr="00D92CD9">
        <w:trPr>
          <w:trHeight w:val="265"/>
          <w:jc w:val="center"/>
        </w:trPr>
        <w:tc>
          <w:tcPr>
            <w:tcW w:w="5049" w:type="dxa"/>
            <w:noWrap/>
            <w:vAlign w:val="bottom"/>
            <w:hideMark/>
          </w:tcPr>
          <w:p w14:paraId="55EDED57" w14:textId="77777777" w:rsidR="00A36D72" w:rsidRPr="00B55B9F" w:rsidRDefault="00A36D72" w:rsidP="00D92CD9">
            <w:pPr>
              <w:ind w:left="330"/>
              <w:jc w:val="both"/>
              <w:rPr>
                <w:sz w:val="22"/>
              </w:rPr>
            </w:pPr>
            <w:r w:rsidRPr="00B55B9F">
              <w:rPr>
                <w:sz w:val="22"/>
              </w:rPr>
              <w:t>Mild visual impairment</w:t>
            </w:r>
          </w:p>
        </w:tc>
        <w:tc>
          <w:tcPr>
            <w:tcW w:w="1951" w:type="dxa"/>
            <w:noWrap/>
            <w:vAlign w:val="bottom"/>
            <w:hideMark/>
          </w:tcPr>
          <w:p w14:paraId="23B70789" w14:textId="77777777" w:rsidR="00A36D72" w:rsidRPr="00B55B9F" w:rsidRDefault="00A36D72" w:rsidP="00D92CD9">
            <w:pPr>
              <w:jc w:val="center"/>
              <w:rPr>
                <w:sz w:val="22"/>
              </w:rPr>
            </w:pPr>
            <w:r w:rsidRPr="00B55B9F">
              <w:rPr>
                <w:sz w:val="22"/>
              </w:rPr>
              <w:t>148</w:t>
            </w:r>
          </w:p>
        </w:tc>
        <w:tc>
          <w:tcPr>
            <w:tcW w:w="2083" w:type="dxa"/>
            <w:noWrap/>
            <w:vAlign w:val="bottom"/>
            <w:hideMark/>
          </w:tcPr>
          <w:p w14:paraId="3FA8DFF2" w14:textId="77777777" w:rsidR="00A36D72" w:rsidRPr="00B55B9F" w:rsidRDefault="00A36D72" w:rsidP="00D92CD9">
            <w:pPr>
              <w:jc w:val="center"/>
              <w:rPr>
                <w:b/>
                <w:bCs/>
                <w:sz w:val="22"/>
              </w:rPr>
            </w:pPr>
            <w:r w:rsidRPr="00B55B9F">
              <w:rPr>
                <w:b/>
                <w:bCs/>
                <w:sz w:val="22"/>
              </w:rPr>
              <w:t>50.2</w:t>
            </w:r>
          </w:p>
        </w:tc>
      </w:tr>
      <w:tr w:rsidR="00D92CD9" w:rsidRPr="00B55B9F" w14:paraId="7D07663C" w14:textId="77777777" w:rsidTr="00D92CD9">
        <w:trPr>
          <w:trHeight w:val="265"/>
          <w:jc w:val="center"/>
        </w:trPr>
        <w:tc>
          <w:tcPr>
            <w:tcW w:w="5049" w:type="dxa"/>
            <w:noWrap/>
            <w:vAlign w:val="bottom"/>
            <w:hideMark/>
          </w:tcPr>
          <w:p w14:paraId="500D97D6" w14:textId="77777777" w:rsidR="00A36D72" w:rsidRPr="00B55B9F" w:rsidRDefault="00A36D72" w:rsidP="00D92CD9">
            <w:pPr>
              <w:ind w:left="330"/>
              <w:jc w:val="both"/>
              <w:rPr>
                <w:sz w:val="22"/>
              </w:rPr>
            </w:pPr>
            <w:r w:rsidRPr="00B55B9F">
              <w:rPr>
                <w:sz w:val="22"/>
              </w:rPr>
              <w:t>Moderate visual impairment</w:t>
            </w:r>
          </w:p>
        </w:tc>
        <w:tc>
          <w:tcPr>
            <w:tcW w:w="1951" w:type="dxa"/>
            <w:noWrap/>
            <w:vAlign w:val="bottom"/>
            <w:hideMark/>
          </w:tcPr>
          <w:p w14:paraId="3486C861" w14:textId="77777777" w:rsidR="00A36D72" w:rsidRPr="00B55B9F" w:rsidRDefault="00A36D72" w:rsidP="00D92CD9">
            <w:pPr>
              <w:jc w:val="center"/>
              <w:rPr>
                <w:sz w:val="22"/>
              </w:rPr>
            </w:pPr>
            <w:r w:rsidRPr="00B55B9F">
              <w:rPr>
                <w:sz w:val="22"/>
              </w:rPr>
              <w:t>48</w:t>
            </w:r>
          </w:p>
        </w:tc>
        <w:tc>
          <w:tcPr>
            <w:tcW w:w="2083" w:type="dxa"/>
            <w:noWrap/>
            <w:vAlign w:val="bottom"/>
            <w:hideMark/>
          </w:tcPr>
          <w:p w14:paraId="31C210B3" w14:textId="77777777" w:rsidR="00A36D72" w:rsidRPr="00B55B9F" w:rsidRDefault="00A36D72" w:rsidP="00D92CD9">
            <w:pPr>
              <w:jc w:val="center"/>
              <w:rPr>
                <w:sz w:val="22"/>
              </w:rPr>
            </w:pPr>
            <w:r w:rsidRPr="00B55B9F">
              <w:rPr>
                <w:sz w:val="22"/>
              </w:rPr>
              <w:t>16.3</w:t>
            </w:r>
          </w:p>
        </w:tc>
      </w:tr>
      <w:tr w:rsidR="00D92CD9" w:rsidRPr="00B55B9F" w14:paraId="3FB080A7" w14:textId="77777777" w:rsidTr="00D92CD9">
        <w:trPr>
          <w:trHeight w:val="265"/>
          <w:jc w:val="center"/>
        </w:trPr>
        <w:tc>
          <w:tcPr>
            <w:tcW w:w="5049" w:type="dxa"/>
            <w:noWrap/>
            <w:vAlign w:val="bottom"/>
            <w:hideMark/>
          </w:tcPr>
          <w:p w14:paraId="1FEA0961" w14:textId="77777777" w:rsidR="00A36D72" w:rsidRPr="00B55B9F" w:rsidRDefault="00A36D72" w:rsidP="00D92CD9">
            <w:pPr>
              <w:ind w:left="330"/>
              <w:jc w:val="both"/>
              <w:rPr>
                <w:sz w:val="22"/>
              </w:rPr>
            </w:pPr>
            <w:r w:rsidRPr="00B55B9F">
              <w:rPr>
                <w:sz w:val="22"/>
              </w:rPr>
              <w:t>Severe visual impairment</w:t>
            </w:r>
          </w:p>
        </w:tc>
        <w:tc>
          <w:tcPr>
            <w:tcW w:w="1951" w:type="dxa"/>
            <w:noWrap/>
            <w:vAlign w:val="bottom"/>
            <w:hideMark/>
          </w:tcPr>
          <w:p w14:paraId="70769232" w14:textId="77777777" w:rsidR="00A36D72" w:rsidRPr="00B55B9F" w:rsidRDefault="00A36D72" w:rsidP="00D92CD9">
            <w:pPr>
              <w:jc w:val="center"/>
              <w:rPr>
                <w:sz w:val="22"/>
              </w:rPr>
            </w:pPr>
            <w:r w:rsidRPr="00B55B9F">
              <w:rPr>
                <w:sz w:val="22"/>
              </w:rPr>
              <w:t>99</w:t>
            </w:r>
          </w:p>
        </w:tc>
        <w:tc>
          <w:tcPr>
            <w:tcW w:w="2083" w:type="dxa"/>
            <w:noWrap/>
            <w:vAlign w:val="bottom"/>
            <w:hideMark/>
          </w:tcPr>
          <w:p w14:paraId="0FD37EB4" w14:textId="77777777" w:rsidR="00A36D72" w:rsidRPr="00B55B9F" w:rsidRDefault="00A36D72" w:rsidP="00D92CD9">
            <w:pPr>
              <w:jc w:val="center"/>
              <w:rPr>
                <w:sz w:val="22"/>
              </w:rPr>
            </w:pPr>
            <w:r w:rsidRPr="00B55B9F">
              <w:rPr>
                <w:sz w:val="22"/>
              </w:rPr>
              <w:t>33.6</w:t>
            </w:r>
          </w:p>
        </w:tc>
      </w:tr>
      <w:tr w:rsidR="00D92CD9" w:rsidRPr="00B55B9F" w14:paraId="7BF713B4" w14:textId="77777777" w:rsidTr="00D92CD9">
        <w:trPr>
          <w:trHeight w:val="265"/>
          <w:jc w:val="center"/>
        </w:trPr>
        <w:tc>
          <w:tcPr>
            <w:tcW w:w="5049" w:type="dxa"/>
            <w:noWrap/>
            <w:vAlign w:val="bottom"/>
            <w:hideMark/>
          </w:tcPr>
          <w:p w14:paraId="71446886" w14:textId="77777777" w:rsidR="00A36D72" w:rsidRPr="00B55B9F" w:rsidRDefault="00A36D72" w:rsidP="00D92CD9">
            <w:pPr>
              <w:jc w:val="both"/>
              <w:rPr>
                <w:b/>
                <w:bCs/>
                <w:sz w:val="22"/>
              </w:rPr>
            </w:pPr>
            <w:r w:rsidRPr="00B55B9F">
              <w:rPr>
                <w:b/>
                <w:bCs/>
                <w:sz w:val="22"/>
              </w:rPr>
              <w:t>Intraocular pressure of Right eye</w:t>
            </w:r>
          </w:p>
        </w:tc>
        <w:tc>
          <w:tcPr>
            <w:tcW w:w="1951" w:type="dxa"/>
            <w:noWrap/>
            <w:vAlign w:val="bottom"/>
            <w:hideMark/>
          </w:tcPr>
          <w:p w14:paraId="686ABF0F" w14:textId="6EE98A86" w:rsidR="00A36D72" w:rsidRPr="00B55B9F" w:rsidRDefault="00A36D72" w:rsidP="00D92CD9">
            <w:pPr>
              <w:jc w:val="center"/>
              <w:rPr>
                <w:sz w:val="22"/>
              </w:rPr>
            </w:pPr>
          </w:p>
        </w:tc>
        <w:tc>
          <w:tcPr>
            <w:tcW w:w="2083" w:type="dxa"/>
            <w:noWrap/>
            <w:vAlign w:val="bottom"/>
            <w:hideMark/>
          </w:tcPr>
          <w:p w14:paraId="62308F51" w14:textId="10742594" w:rsidR="00A36D72" w:rsidRPr="00B55B9F" w:rsidRDefault="00A36D72" w:rsidP="00D92CD9">
            <w:pPr>
              <w:jc w:val="center"/>
              <w:rPr>
                <w:sz w:val="22"/>
              </w:rPr>
            </w:pPr>
          </w:p>
        </w:tc>
      </w:tr>
      <w:tr w:rsidR="00D92CD9" w:rsidRPr="00B55B9F" w14:paraId="678E29A3" w14:textId="77777777" w:rsidTr="00D92CD9">
        <w:trPr>
          <w:trHeight w:val="265"/>
          <w:jc w:val="center"/>
        </w:trPr>
        <w:tc>
          <w:tcPr>
            <w:tcW w:w="5049" w:type="dxa"/>
            <w:noWrap/>
            <w:vAlign w:val="bottom"/>
            <w:hideMark/>
          </w:tcPr>
          <w:p w14:paraId="50BBD534"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50EF0C9F" w14:textId="77777777" w:rsidR="00A36D72" w:rsidRPr="00B55B9F" w:rsidRDefault="00A36D72" w:rsidP="00D92CD9">
            <w:pPr>
              <w:jc w:val="center"/>
              <w:rPr>
                <w:sz w:val="22"/>
              </w:rPr>
            </w:pPr>
            <w:r w:rsidRPr="00B55B9F">
              <w:rPr>
                <w:sz w:val="22"/>
              </w:rPr>
              <w:t>288</w:t>
            </w:r>
          </w:p>
        </w:tc>
        <w:tc>
          <w:tcPr>
            <w:tcW w:w="2083" w:type="dxa"/>
            <w:noWrap/>
            <w:vAlign w:val="bottom"/>
            <w:hideMark/>
          </w:tcPr>
          <w:p w14:paraId="7DC41CB4" w14:textId="77777777" w:rsidR="00A36D72" w:rsidRPr="00B55B9F" w:rsidRDefault="00A36D72" w:rsidP="00D92CD9">
            <w:pPr>
              <w:jc w:val="center"/>
              <w:rPr>
                <w:b/>
                <w:bCs/>
                <w:sz w:val="22"/>
              </w:rPr>
            </w:pPr>
            <w:r w:rsidRPr="00B55B9F">
              <w:rPr>
                <w:b/>
                <w:bCs/>
                <w:sz w:val="22"/>
              </w:rPr>
              <w:t>97.3</w:t>
            </w:r>
          </w:p>
        </w:tc>
      </w:tr>
      <w:tr w:rsidR="00D92CD9" w:rsidRPr="00B55B9F" w14:paraId="04BAE5ED" w14:textId="77777777" w:rsidTr="00D92CD9">
        <w:trPr>
          <w:trHeight w:val="265"/>
          <w:jc w:val="center"/>
        </w:trPr>
        <w:tc>
          <w:tcPr>
            <w:tcW w:w="5049" w:type="dxa"/>
            <w:noWrap/>
            <w:vAlign w:val="bottom"/>
            <w:hideMark/>
          </w:tcPr>
          <w:p w14:paraId="53E042FB" w14:textId="77777777" w:rsidR="00A36D72" w:rsidRPr="00B55B9F" w:rsidRDefault="00A36D72" w:rsidP="00D92CD9">
            <w:pPr>
              <w:ind w:left="330"/>
              <w:jc w:val="both"/>
              <w:rPr>
                <w:sz w:val="22"/>
              </w:rPr>
            </w:pPr>
            <w:r w:rsidRPr="00B55B9F">
              <w:rPr>
                <w:sz w:val="22"/>
              </w:rPr>
              <w:t>High</w:t>
            </w:r>
          </w:p>
        </w:tc>
        <w:tc>
          <w:tcPr>
            <w:tcW w:w="1951" w:type="dxa"/>
            <w:noWrap/>
            <w:vAlign w:val="bottom"/>
            <w:hideMark/>
          </w:tcPr>
          <w:p w14:paraId="5D767F2F" w14:textId="77777777" w:rsidR="00A36D72" w:rsidRPr="00B55B9F" w:rsidRDefault="00A36D72" w:rsidP="00D92CD9">
            <w:pPr>
              <w:jc w:val="center"/>
              <w:rPr>
                <w:sz w:val="22"/>
              </w:rPr>
            </w:pPr>
            <w:r w:rsidRPr="00B55B9F">
              <w:rPr>
                <w:sz w:val="22"/>
              </w:rPr>
              <w:t>8</w:t>
            </w:r>
          </w:p>
        </w:tc>
        <w:tc>
          <w:tcPr>
            <w:tcW w:w="2083" w:type="dxa"/>
            <w:noWrap/>
            <w:vAlign w:val="bottom"/>
            <w:hideMark/>
          </w:tcPr>
          <w:p w14:paraId="25FA0C69" w14:textId="77777777" w:rsidR="00A36D72" w:rsidRPr="00B55B9F" w:rsidRDefault="00A36D72" w:rsidP="00D92CD9">
            <w:pPr>
              <w:jc w:val="center"/>
              <w:rPr>
                <w:sz w:val="22"/>
              </w:rPr>
            </w:pPr>
            <w:r w:rsidRPr="00B55B9F">
              <w:rPr>
                <w:sz w:val="22"/>
              </w:rPr>
              <w:t>2.7</w:t>
            </w:r>
          </w:p>
        </w:tc>
      </w:tr>
      <w:tr w:rsidR="00D92CD9" w:rsidRPr="00B55B9F" w14:paraId="66A8CF06" w14:textId="77777777" w:rsidTr="00D92CD9">
        <w:trPr>
          <w:trHeight w:val="265"/>
          <w:jc w:val="center"/>
        </w:trPr>
        <w:tc>
          <w:tcPr>
            <w:tcW w:w="5049" w:type="dxa"/>
            <w:noWrap/>
            <w:vAlign w:val="bottom"/>
            <w:hideMark/>
          </w:tcPr>
          <w:p w14:paraId="1113570B" w14:textId="77777777" w:rsidR="00A36D72" w:rsidRPr="00B55B9F" w:rsidRDefault="00A36D72" w:rsidP="00D92CD9">
            <w:pPr>
              <w:jc w:val="both"/>
              <w:rPr>
                <w:b/>
                <w:bCs/>
                <w:sz w:val="22"/>
              </w:rPr>
            </w:pPr>
            <w:r w:rsidRPr="00B55B9F">
              <w:rPr>
                <w:b/>
                <w:bCs/>
                <w:sz w:val="22"/>
              </w:rPr>
              <w:t>Intraocular pressure of Left eye</w:t>
            </w:r>
          </w:p>
        </w:tc>
        <w:tc>
          <w:tcPr>
            <w:tcW w:w="1951" w:type="dxa"/>
            <w:noWrap/>
            <w:vAlign w:val="bottom"/>
            <w:hideMark/>
          </w:tcPr>
          <w:p w14:paraId="2DFEFF56" w14:textId="52D24BA6" w:rsidR="00A36D72" w:rsidRPr="00B55B9F" w:rsidRDefault="00A36D72" w:rsidP="00D92CD9">
            <w:pPr>
              <w:jc w:val="center"/>
              <w:rPr>
                <w:sz w:val="22"/>
              </w:rPr>
            </w:pPr>
          </w:p>
        </w:tc>
        <w:tc>
          <w:tcPr>
            <w:tcW w:w="2083" w:type="dxa"/>
            <w:noWrap/>
            <w:vAlign w:val="bottom"/>
            <w:hideMark/>
          </w:tcPr>
          <w:p w14:paraId="2A9664E1" w14:textId="68ACF193" w:rsidR="00A36D72" w:rsidRPr="00B55B9F" w:rsidRDefault="00A36D72" w:rsidP="00D92CD9">
            <w:pPr>
              <w:jc w:val="center"/>
              <w:rPr>
                <w:sz w:val="22"/>
              </w:rPr>
            </w:pPr>
          </w:p>
        </w:tc>
      </w:tr>
      <w:tr w:rsidR="00D92CD9" w:rsidRPr="00B55B9F" w14:paraId="75F90E75" w14:textId="77777777" w:rsidTr="00D92CD9">
        <w:trPr>
          <w:trHeight w:val="265"/>
          <w:jc w:val="center"/>
        </w:trPr>
        <w:tc>
          <w:tcPr>
            <w:tcW w:w="5049" w:type="dxa"/>
            <w:noWrap/>
            <w:vAlign w:val="bottom"/>
            <w:hideMark/>
          </w:tcPr>
          <w:p w14:paraId="751AF75D"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269090FD" w14:textId="77777777" w:rsidR="00A36D72" w:rsidRPr="00B55B9F" w:rsidRDefault="00A36D72" w:rsidP="00D92CD9">
            <w:pPr>
              <w:jc w:val="center"/>
              <w:rPr>
                <w:sz w:val="22"/>
                <w:vertAlign w:val="subscript"/>
              </w:rPr>
            </w:pPr>
            <w:r w:rsidRPr="00B55B9F">
              <w:rPr>
                <w:sz w:val="22"/>
              </w:rPr>
              <w:t>284</w:t>
            </w:r>
          </w:p>
        </w:tc>
        <w:tc>
          <w:tcPr>
            <w:tcW w:w="2083" w:type="dxa"/>
            <w:noWrap/>
            <w:vAlign w:val="bottom"/>
            <w:hideMark/>
          </w:tcPr>
          <w:p w14:paraId="13170A76" w14:textId="77777777" w:rsidR="00A36D72" w:rsidRPr="00B55B9F" w:rsidRDefault="00A36D72" w:rsidP="00D92CD9">
            <w:pPr>
              <w:jc w:val="center"/>
              <w:rPr>
                <w:b/>
                <w:bCs/>
                <w:sz w:val="22"/>
              </w:rPr>
            </w:pPr>
            <w:r w:rsidRPr="00B55B9F">
              <w:rPr>
                <w:b/>
                <w:bCs/>
                <w:sz w:val="22"/>
              </w:rPr>
              <w:t>95.9</w:t>
            </w:r>
          </w:p>
        </w:tc>
      </w:tr>
      <w:tr w:rsidR="00D92CD9" w:rsidRPr="00B55B9F" w14:paraId="057B1F32" w14:textId="77777777" w:rsidTr="00D92CD9">
        <w:trPr>
          <w:trHeight w:val="265"/>
          <w:jc w:val="center"/>
        </w:trPr>
        <w:tc>
          <w:tcPr>
            <w:tcW w:w="5049" w:type="dxa"/>
            <w:noWrap/>
            <w:vAlign w:val="bottom"/>
            <w:hideMark/>
          </w:tcPr>
          <w:p w14:paraId="6EAC842E" w14:textId="77777777" w:rsidR="00A36D72" w:rsidRPr="00B55B9F" w:rsidRDefault="00A36D72" w:rsidP="00D92CD9">
            <w:pPr>
              <w:ind w:left="330"/>
              <w:jc w:val="both"/>
              <w:rPr>
                <w:sz w:val="22"/>
              </w:rPr>
            </w:pPr>
            <w:r w:rsidRPr="00B55B9F">
              <w:rPr>
                <w:sz w:val="22"/>
              </w:rPr>
              <w:t>High</w:t>
            </w:r>
          </w:p>
        </w:tc>
        <w:tc>
          <w:tcPr>
            <w:tcW w:w="1951" w:type="dxa"/>
            <w:noWrap/>
            <w:vAlign w:val="bottom"/>
            <w:hideMark/>
          </w:tcPr>
          <w:p w14:paraId="6B57C548" w14:textId="77777777" w:rsidR="00A36D72" w:rsidRPr="00B55B9F" w:rsidRDefault="00A36D72" w:rsidP="00D92CD9">
            <w:pPr>
              <w:jc w:val="center"/>
              <w:rPr>
                <w:sz w:val="22"/>
              </w:rPr>
            </w:pPr>
            <w:r w:rsidRPr="00B55B9F">
              <w:rPr>
                <w:sz w:val="22"/>
              </w:rPr>
              <w:t>1</w:t>
            </w:r>
            <w:r w:rsidRPr="00B55B9F">
              <w:rPr>
                <w:sz w:val="22"/>
              </w:rPr>
              <w:softHyphen/>
              <w:t>2</w:t>
            </w:r>
          </w:p>
        </w:tc>
        <w:tc>
          <w:tcPr>
            <w:tcW w:w="2083" w:type="dxa"/>
            <w:noWrap/>
            <w:vAlign w:val="bottom"/>
            <w:hideMark/>
          </w:tcPr>
          <w:p w14:paraId="21383CA4" w14:textId="77777777" w:rsidR="00A36D72" w:rsidRPr="00B55B9F" w:rsidRDefault="00A36D72" w:rsidP="00D92CD9">
            <w:pPr>
              <w:jc w:val="center"/>
              <w:rPr>
                <w:sz w:val="22"/>
              </w:rPr>
            </w:pPr>
            <w:r w:rsidRPr="00B55B9F">
              <w:rPr>
                <w:sz w:val="22"/>
              </w:rPr>
              <w:t>4.1</w:t>
            </w:r>
          </w:p>
        </w:tc>
      </w:tr>
      <w:tr w:rsidR="00D92CD9" w:rsidRPr="00B55B9F" w14:paraId="0901C8E9" w14:textId="77777777" w:rsidTr="00D92CD9">
        <w:trPr>
          <w:trHeight w:val="265"/>
          <w:jc w:val="center"/>
        </w:trPr>
        <w:tc>
          <w:tcPr>
            <w:tcW w:w="5049" w:type="dxa"/>
            <w:noWrap/>
            <w:vAlign w:val="bottom"/>
            <w:hideMark/>
          </w:tcPr>
          <w:p w14:paraId="5F687CCE" w14:textId="77777777" w:rsidR="00A36D72" w:rsidRPr="00B55B9F" w:rsidRDefault="00A36D72" w:rsidP="00D92CD9">
            <w:pPr>
              <w:jc w:val="both"/>
              <w:rPr>
                <w:b/>
                <w:bCs/>
                <w:sz w:val="22"/>
              </w:rPr>
            </w:pPr>
            <w:r w:rsidRPr="00B55B9F">
              <w:rPr>
                <w:b/>
                <w:bCs/>
                <w:sz w:val="22"/>
              </w:rPr>
              <w:t>Systolic blood pressure</w:t>
            </w:r>
          </w:p>
        </w:tc>
        <w:tc>
          <w:tcPr>
            <w:tcW w:w="1951" w:type="dxa"/>
            <w:noWrap/>
            <w:vAlign w:val="bottom"/>
            <w:hideMark/>
          </w:tcPr>
          <w:p w14:paraId="4688DB27" w14:textId="4DBC7F2D" w:rsidR="00A36D72" w:rsidRPr="00B55B9F" w:rsidRDefault="00A36D72" w:rsidP="00D92CD9">
            <w:pPr>
              <w:jc w:val="center"/>
              <w:rPr>
                <w:sz w:val="22"/>
              </w:rPr>
            </w:pPr>
          </w:p>
        </w:tc>
        <w:tc>
          <w:tcPr>
            <w:tcW w:w="2083" w:type="dxa"/>
            <w:noWrap/>
            <w:vAlign w:val="bottom"/>
            <w:hideMark/>
          </w:tcPr>
          <w:p w14:paraId="0B4C4BBA" w14:textId="5367B4F7" w:rsidR="00A36D72" w:rsidRPr="00B55B9F" w:rsidRDefault="00A36D72" w:rsidP="00D92CD9">
            <w:pPr>
              <w:jc w:val="center"/>
              <w:rPr>
                <w:sz w:val="22"/>
              </w:rPr>
            </w:pPr>
          </w:p>
        </w:tc>
      </w:tr>
      <w:tr w:rsidR="00D92CD9" w:rsidRPr="00B55B9F" w14:paraId="752CFB79" w14:textId="77777777" w:rsidTr="00D92CD9">
        <w:trPr>
          <w:trHeight w:val="265"/>
          <w:jc w:val="center"/>
        </w:trPr>
        <w:tc>
          <w:tcPr>
            <w:tcW w:w="5049" w:type="dxa"/>
            <w:noWrap/>
            <w:vAlign w:val="bottom"/>
            <w:hideMark/>
          </w:tcPr>
          <w:p w14:paraId="248537D0" w14:textId="77777777" w:rsidR="00A36D72" w:rsidRPr="00B55B9F" w:rsidRDefault="00A36D72" w:rsidP="00D92CD9">
            <w:pPr>
              <w:ind w:left="330"/>
              <w:jc w:val="both"/>
              <w:rPr>
                <w:sz w:val="22"/>
              </w:rPr>
            </w:pPr>
            <w:r w:rsidRPr="00B55B9F">
              <w:rPr>
                <w:sz w:val="22"/>
              </w:rPr>
              <w:t>&lt; 140</w:t>
            </w:r>
          </w:p>
        </w:tc>
        <w:tc>
          <w:tcPr>
            <w:tcW w:w="1951" w:type="dxa"/>
            <w:noWrap/>
            <w:vAlign w:val="bottom"/>
            <w:hideMark/>
          </w:tcPr>
          <w:p w14:paraId="25BADDA3" w14:textId="77777777" w:rsidR="00A36D72" w:rsidRPr="00B55B9F" w:rsidRDefault="00A36D72" w:rsidP="00D92CD9">
            <w:pPr>
              <w:jc w:val="center"/>
              <w:rPr>
                <w:sz w:val="22"/>
              </w:rPr>
            </w:pPr>
            <w:r w:rsidRPr="00B55B9F">
              <w:rPr>
                <w:sz w:val="22"/>
              </w:rPr>
              <w:t>115</w:t>
            </w:r>
          </w:p>
        </w:tc>
        <w:tc>
          <w:tcPr>
            <w:tcW w:w="2083" w:type="dxa"/>
            <w:noWrap/>
            <w:vAlign w:val="bottom"/>
            <w:hideMark/>
          </w:tcPr>
          <w:p w14:paraId="0CD57D1A" w14:textId="77777777" w:rsidR="00A36D72" w:rsidRPr="00B55B9F" w:rsidRDefault="00A36D72" w:rsidP="00D92CD9">
            <w:pPr>
              <w:jc w:val="center"/>
              <w:rPr>
                <w:sz w:val="22"/>
              </w:rPr>
            </w:pPr>
            <w:r w:rsidRPr="00B55B9F">
              <w:rPr>
                <w:sz w:val="22"/>
              </w:rPr>
              <w:t>38.9</w:t>
            </w:r>
          </w:p>
        </w:tc>
      </w:tr>
      <w:tr w:rsidR="00D92CD9" w:rsidRPr="00B55B9F" w14:paraId="7F507AA2" w14:textId="77777777" w:rsidTr="00D92CD9">
        <w:trPr>
          <w:trHeight w:val="265"/>
          <w:jc w:val="center"/>
        </w:trPr>
        <w:tc>
          <w:tcPr>
            <w:tcW w:w="5049" w:type="dxa"/>
            <w:noWrap/>
            <w:vAlign w:val="bottom"/>
            <w:hideMark/>
          </w:tcPr>
          <w:p w14:paraId="59B85787" w14:textId="77777777" w:rsidR="00A36D72" w:rsidRPr="00B55B9F" w:rsidRDefault="00A36D72" w:rsidP="00D92CD9">
            <w:pPr>
              <w:ind w:left="330"/>
              <w:jc w:val="both"/>
              <w:rPr>
                <w:sz w:val="22"/>
              </w:rPr>
            </w:pPr>
            <w:r w:rsidRPr="00B55B9F">
              <w:rPr>
                <w:sz w:val="22"/>
              </w:rPr>
              <w:t>≥ 140</w:t>
            </w:r>
          </w:p>
        </w:tc>
        <w:tc>
          <w:tcPr>
            <w:tcW w:w="1951" w:type="dxa"/>
            <w:noWrap/>
            <w:vAlign w:val="bottom"/>
            <w:hideMark/>
          </w:tcPr>
          <w:p w14:paraId="1002B894" w14:textId="77777777" w:rsidR="00A36D72" w:rsidRPr="00B55B9F" w:rsidRDefault="00A36D72" w:rsidP="00D92CD9">
            <w:pPr>
              <w:jc w:val="center"/>
              <w:rPr>
                <w:sz w:val="22"/>
              </w:rPr>
            </w:pPr>
            <w:r w:rsidRPr="00B55B9F">
              <w:rPr>
                <w:sz w:val="22"/>
              </w:rPr>
              <w:t>181</w:t>
            </w:r>
          </w:p>
        </w:tc>
        <w:tc>
          <w:tcPr>
            <w:tcW w:w="2083" w:type="dxa"/>
            <w:noWrap/>
            <w:vAlign w:val="bottom"/>
            <w:hideMark/>
          </w:tcPr>
          <w:p w14:paraId="536FB3C5" w14:textId="77777777" w:rsidR="00A36D72" w:rsidRPr="00B55B9F" w:rsidRDefault="00A36D72" w:rsidP="00D92CD9">
            <w:pPr>
              <w:jc w:val="center"/>
              <w:rPr>
                <w:b/>
                <w:bCs/>
                <w:sz w:val="22"/>
              </w:rPr>
            </w:pPr>
            <w:r w:rsidRPr="00B55B9F">
              <w:rPr>
                <w:b/>
                <w:bCs/>
                <w:sz w:val="22"/>
              </w:rPr>
              <w:t>61.1</w:t>
            </w:r>
          </w:p>
        </w:tc>
      </w:tr>
      <w:tr w:rsidR="00D92CD9" w:rsidRPr="00B55B9F" w14:paraId="28CEE73C" w14:textId="77777777" w:rsidTr="00D92CD9">
        <w:trPr>
          <w:trHeight w:val="265"/>
          <w:jc w:val="center"/>
        </w:trPr>
        <w:tc>
          <w:tcPr>
            <w:tcW w:w="5049" w:type="dxa"/>
            <w:noWrap/>
            <w:vAlign w:val="bottom"/>
            <w:hideMark/>
          </w:tcPr>
          <w:p w14:paraId="4D7D9289" w14:textId="77777777" w:rsidR="00A36D72" w:rsidRPr="00B55B9F" w:rsidRDefault="00A36D72" w:rsidP="00D92CD9">
            <w:pPr>
              <w:jc w:val="both"/>
              <w:rPr>
                <w:b/>
                <w:bCs/>
                <w:sz w:val="22"/>
              </w:rPr>
            </w:pPr>
            <w:r w:rsidRPr="00B55B9F">
              <w:rPr>
                <w:b/>
                <w:bCs/>
                <w:sz w:val="22"/>
              </w:rPr>
              <w:t>Diastolic blood pressure</w:t>
            </w:r>
          </w:p>
        </w:tc>
        <w:tc>
          <w:tcPr>
            <w:tcW w:w="1951" w:type="dxa"/>
            <w:noWrap/>
            <w:vAlign w:val="bottom"/>
            <w:hideMark/>
          </w:tcPr>
          <w:p w14:paraId="656B6B02" w14:textId="4C965CD8" w:rsidR="00A36D72" w:rsidRPr="00B55B9F" w:rsidRDefault="00A36D72" w:rsidP="00D92CD9">
            <w:pPr>
              <w:jc w:val="center"/>
              <w:rPr>
                <w:sz w:val="22"/>
              </w:rPr>
            </w:pPr>
          </w:p>
        </w:tc>
        <w:tc>
          <w:tcPr>
            <w:tcW w:w="2083" w:type="dxa"/>
            <w:noWrap/>
            <w:vAlign w:val="bottom"/>
            <w:hideMark/>
          </w:tcPr>
          <w:p w14:paraId="64F51260" w14:textId="3F74A0A3" w:rsidR="00A36D72" w:rsidRPr="00B55B9F" w:rsidRDefault="00A36D72" w:rsidP="00D92CD9">
            <w:pPr>
              <w:jc w:val="center"/>
              <w:rPr>
                <w:sz w:val="22"/>
              </w:rPr>
            </w:pPr>
          </w:p>
        </w:tc>
      </w:tr>
      <w:tr w:rsidR="00D92CD9" w:rsidRPr="00B55B9F" w14:paraId="3A25493F" w14:textId="77777777" w:rsidTr="00D92CD9">
        <w:trPr>
          <w:trHeight w:val="265"/>
          <w:jc w:val="center"/>
        </w:trPr>
        <w:tc>
          <w:tcPr>
            <w:tcW w:w="5049" w:type="dxa"/>
            <w:noWrap/>
            <w:vAlign w:val="bottom"/>
            <w:hideMark/>
          </w:tcPr>
          <w:p w14:paraId="2489B407" w14:textId="77777777" w:rsidR="00A36D72" w:rsidRPr="00B55B9F" w:rsidRDefault="00A36D72" w:rsidP="00D92CD9">
            <w:pPr>
              <w:ind w:left="330"/>
              <w:jc w:val="both"/>
              <w:rPr>
                <w:sz w:val="22"/>
              </w:rPr>
            </w:pPr>
            <w:r w:rsidRPr="00B55B9F">
              <w:rPr>
                <w:sz w:val="22"/>
              </w:rPr>
              <w:t>&lt; 90</w:t>
            </w:r>
          </w:p>
        </w:tc>
        <w:tc>
          <w:tcPr>
            <w:tcW w:w="1951" w:type="dxa"/>
            <w:noWrap/>
            <w:vAlign w:val="bottom"/>
            <w:hideMark/>
          </w:tcPr>
          <w:p w14:paraId="51CC321B" w14:textId="77777777" w:rsidR="00A36D72" w:rsidRPr="00B55B9F" w:rsidRDefault="00A36D72" w:rsidP="00D92CD9">
            <w:pPr>
              <w:jc w:val="center"/>
              <w:rPr>
                <w:sz w:val="22"/>
              </w:rPr>
            </w:pPr>
            <w:r w:rsidRPr="00B55B9F">
              <w:rPr>
                <w:sz w:val="22"/>
              </w:rPr>
              <w:t>192</w:t>
            </w:r>
          </w:p>
        </w:tc>
        <w:tc>
          <w:tcPr>
            <w:tcW w:w="2083" w:type="dxa"/>
            <w:noWrap/>
            <w:vAlign w:val="bottom"/>
            <w:hideMark/>
          </w:tcPr>
          <w:p w14:paraId="21AB0D2D" w14:textId="77777777" w:rsidR="00A36D72" w:rsidRPr="00B55B9F" w:rsidRDefault="00A36D72" w:rsidP="00D92CD9">
            <w:pPr>
              <w:jc w:val="center"/>
              <w:rPr>
                <w:sz w:val="22"/>
              </w:rPr>
            </w:pPr>
            <w:r w:rsidRPr="00B55B9F">
              <w:rPr>
                <w:sz w:val="22"/>
              </w:rPr>
              <w:t>64.9</w:t>
            </w:r>
          </w:p>
        </w:tc>
      </w:tr>
      <w:tr w:rsidR="00D92CD9" w:rsidRPr="00B55B9F" w14:paraId="1BDCB9C6" w14:textId="77777777" w:rsidTr="00D92CD9">
        <w:trPr>
          <w:trHeight w:val="265"/>
          <w:jc w:val="center"/>
        </w:trPr>
        <w:tc>
          <w:tcPr>
            <w:tcW w:w="5049" w:type="dxa"/>
            <w:noWrap/>
            <w:vAlign w:val="bottom"/>
            <w:hideMark/>
          </w:tcPr>
          <w:p w14:paraId="4377BDD1" w14:textId="77777777" w:rsidR="00A36D72" w:rsidRPr="00B55B9F" w:rsidRDefault="00A36D72" w:rsidP="00D92CD9">
            <w:pPr>
              <w:ind w:left="330"/>
              <w:jc w:val="both"/>
              <w:rPr>
                <w:sz w:val="22"/>
              </w:rPr>
            </w:pPr>
            <w:r w:rsidRPr="00B55B9F">
              <w:rPr>
                <w:sz w:val="22"/>
              </w:rPr>
              <w:t>≥ 90</w:t>
            </w:r>
          </w:p>
        </w:tc>
        <w:tc>
          <w:tcPr>
            <w:tcW w:w="1951" w:type="dxa"/>
            <w:noWrap/>
            <w:vAlign w:val="bottom"/>
            <w:hideMark/>
          </w:tcPr>
          <w:p w14:paraId="63B9E326" w14:textId="77777777" w:rsidR="00A36D72" w:rsidRPr="00B55B9F" w:rsidRDefault="00A36D72" w:rsidP="00D92CD9">
            <w:pPr>
              <w:jc w:val="center"/>
              <w:rPr>
                <w:sz w:val="22"/>
              </w:rPr>
            </w:pPr>
            <w:r w:rsidRPr="00B55B9F">
              <w:rPr>
                <w:sz w:val="22"/>
              </w:rPr>
              <w:t>104</w:t>
            </w:r>
          </w:p>
        </w:tc>
        <w:tc>
          <w:tcPr>
            <w:tcW w:w="2083" w:type="dxa"/>
            <w:noWrap/>
            <w:vAlign w:val="bottom"/>
            <w:hideMark/>
          </w:tcPr>
          <w:p w14:paraId="6D4C1C0B" w14:textId="77777777" w:rsidR="00A36D72" w:rsidRPr="00B55B9F" w:rsidRDefault="00A36D72" w:rsidP="00D92CD9">
            <w:pPr>
              <w:jc w:val="center"/>
              <w:rPr>
                <w:b/>
                <w:bCs/>
                <w:sz w:val="22"/>
              </w:rPr>
            </w:pPr>
            <w:r w:rsidRPr="00B55B9F">
              <w:rPr>
                <w:b/>
                <w:bCs/>
                <w:sz w:val="22"/>
              </w:rPr>
              <w:t>35.1</w:t>
            </w:r>
          </w:p>
        </w:tc>
      </w:tr>
      <w:tr w:rsidR="00D92CD9" w:rsidRPr="00B55B9F" w14:paraId="72887D3E" w14:textId="77777777" w:rsidTr="00D92CD9">
        <w:trPr>
          <w:trHeight w:val="265"/>
          <w:jc w:val="center"/>
        </w:trPr>
        <w:tc>
          <w:tcPr>
            <w:tcW w:w="5049" w:type="dxa"/>
            <w:noWrap/>
            <w:vAlign w:val="bottom"/>
            <w:hideMark/>
          </w:tcPr>
          <w:p w14:paraId="7DCFAA6E" w14:textId="77777777" w:rsidR="00A36D72" w:rsidRPr="00B55B9F" w:rsidRDefault="00A36D72" w:rsidP="00D92CD9">
            <w:pPr>
              <w:jc w:val="both"/>
              <w:rPr>
                <w:b/>
                <w:bCs/>
                <w:sz w:val="22"/>
              </w:rPr>
            </w:pPr>
            <w:r w:rsidRPr="00B55B9F">
              <w:rPr>
                <w:b/>
                <w:bCs/>
                <w:sz w:val="22"/>
              </w:rPr>
              <w:t>BMI</w:t>
            </w:r>
          </w:p>
        </w:tc>
        <w:tc>
          <w:tcPr>
            <w:tcW w:w="1951" w:type="dxa"/>
            <w:noWrap/>
            <w:vAlign w:val="bottom"/>
            <w:hideMark/>
          </w:tcPr>
          <w:p w14:paraId="22CA456F" w14:textId="784362B4" w:rsidR="00A36D72" w:rsidRPr="00B55B9F" w:rsidRDefault="00A36D72" w:rsidP="00D92CD9">
            <w:pPr>
              <w:jc w:val="center"/>
              <w:rPr>
                <w:sz w:val="22"/>
              </w:rPr>
            </w:pPr>
          </w:p>
        </w:tc>
        <w:tc>
          <w:tcPr>
            <w:tcW w:w="2083" w:type="dxa"/>
            <w:noWrap/>
            <w:vAlign w:val="bottom"/>
            <w:hideMark/>
          </w:tcPr>
          <w:p w14:paraId="44D67663" w14:textId="4C2E9D42" w:rsidR="00A36D72" w:rsidRPr="00B55B9F" w:rsidRDefault="00A36D72" w:rsidP="00D92CD9">
            <w:pPr>
              <w:jc w:val="center"/>
              <w:rPr>
                <w:sz w:val="22"/>
              </w:rPr>
            </w:pPr>
          </w:p>
        </w:tc>
      </w:tr>
      <w:tr w:rsidR="00D92CD9" w:rsidRPr="00B55B9F" w14:paraId="390D5317" w14:textId="77777777" w:rsidTr="00D92CD9">
        <w:trPr>
          <w:trHeight w:val="265"/>
          <w:jc w:val="center"/>
        </w:trPr>
        <w:tc>
          <w:tcPr>
            <w:tcW w:w="5049" w:type="dxa"/>
            <w:noWrap/>
            <w:vAlign w:val="bottom"/>
            <w:hideMark/>
          </w:tcPr>
          <w:p w14:paraId="7939A616" w14:textId="77777777" w:rsidR="00A36D72" w:rsidRPr="00B55B9F" w:rsidRDefault="00A36D72" w:rsidP="00D92CD9">
            <w:pPr>
              <w:ind w:left="330"/>
              <w:jc w:val="both"/>
              <w:rPr>
                <w:sz w:val="22"/>
              </w:rPr>
            </w:pPr>
            <w:r w:rsidRPr="00B55B9F">
              <w:rPr>
                <w:sz w:val="22"/>
              </w:rPr>
              <w:t>Underweight</w:t>
            </w:r>
          </w:p>
        </w:tc>
        <w:tc>
          <w:tcPr>
            <w:tcW w:w="1951" w:type="dxa"/>
            <w:noWrap/>
            <w:vAlign w:val="bottom"/>
            <w:hideMark/>
          </w:tcPr>
          <w:p w14:paraId="33A58FDB" w14:textId="77777777" w:rsidR="00A36D72" w:rsidRPr="00B55B9F" w:rsidRDefault="00A36D72" w:rsidP="00D92CD9">
            <w:pPr>
              <w:jc w:val="center"/>
              <w:rPr>
                <w:sz w:val="22"/>
              </w:rPr>
            </w:pPr>
            <w:r w:rsidRPr="00B55B9F">
              <w:rPr>
                <w:sz w:val="22"/>
              </w:rPr>
              <w:t>4</w:t>
            </w:r>
          </w:p>
        </w:tc>
        <w:tc>
          <w:tcPr>
            <w:tcW w:w="2083" w:type="dxa"/>
            <w:noWrap/>
            <w:vAlign w:val="bottom"/>
            <w:hideMark/>
          </w:tcPr>
          <w:p w14:paraId="718C93C1" w14:textId="77777777" w:rsidR="00A36D72" w:rsidRPr="00B55B9F" w:rsidRDefault="00A36D72" w:rsidP="00D92CD9">
            <w:pPr>
              <w:jc w:val="center"/>
              <w:rPr>
                <w:sz w:val="22"/>
              </w:rPr>
            </w:pPr>
            <w:r w:rsidRPr="00B55B9F">
              <w:rPr>
                <w:sz w:val="22"/>
              </w:rPr>
              <w:t>1.4</w:t>
            </w:r>
          </w:p>
        </w:tc>
      </w:tr>
      <w:tr w:rsidR="00D92CD9" w:rsidRPr="00B55B9F" w14:paraId="277864CC" w14:textId="77777777" w:rsidTr="00D92CD9">
        <w:trPr>
          <w:trHeight w:val="265"/>
          <w:jc w:val="center"/>
        </w:trPr>
        <w:tc>
          <w:tcPr>
            <w:tcW w:w="5049" w:type="dxa"/>
            <w:noWrap/>
            <w:vAlign w:val="bottom"/>
            <w:hideMark/>
          </w:tcPr>
          <w:p w14:paraId="4F397C7C" w14:textId="77777777" w:rsidR="00A36D72" w:rsidRPr="00B55B9F" w:rsidRDefault="00A36D72" w:rsidP="00D92CD9">
            <w:pPr>
              <w:ind w:left="330"/>
              <w:jc w:val="both"/>
              <w:rPr>
                <w:sz w:val="22"/>
              </w:rPr>
            </w:pPr>
            <w:r w:rsidRPr="00B55B9F">
              <w:rPr>
                <w:sz w:val="22"/>
              </w:rPr>
              <w:t>Normal</w:t>
            </w:r>
          </w:p>
        </w:tc>
        <w:tc>
          <w:tcPr>
            <w:tcW w:w="1951" w:type="dxa"/>
            <w:noWrap/>
            <w:vAlign w:val="bottom"/>
            <w:hideMark/>
          </w:tcPr>
          <w:p w14:paraId="6B6986CC" w14:textId="77777777" w:rsidR="00A36D72" w:rsidRPr="00B55B9F" w:rsidRDefault="00A36D72" w:rsidP="00D92CD9">
            <w:pPr>
              <w:jc w:val="center"/>
              <w:rPr>
                <w:sz w:val="22"/>
              </w:rPr>
            </w:pPr>
            <w:r w:rsidRPr="00B55B9F">
              <w:rPr>
                <w:sz w:val="22"/>
              </w:rPr>
              <w:t>142</w:t>
            </w:r>
          </w:p>
        </w:tc>
        <w:tc>
          <w:tcPr>
            <w:tcW w:w="2083" w:type="dxa"/>
            <w:noWrap/>
            <w:vAlign w:val="bottom"/>
            <w:hideMark/>
          </w:tcPr>
          <w:p w14:paraId="4A653393" w14:textId="77777777" w:rsidR="00A36D72" w:rsidRPr="00B55B9F" w:rsidRDefault="00A36D72" w:rsidP="00D92CD9">
            <w:pPr>
              <w:jc w:val="center"/>
              <w:rPr>
                <w:sz w:val="22"/>
              </w:rPr>
            </w:pPr>
            <w:r w:rsidRPr="00B55B9F">
              <w:rPr>
                <w:sz w:val="22"/>
              </w:rPr>
              <w:t>48</w:t>
            </w:r>
          </w:p>
        </w:tc>
      </w:tr>
      <w:tr w:rsidR="00D92CD9" w:rsidRPr="00B55B9F" w14:paraId="116BA858" w14:textId="77777777" w:rsidTr="00D92CD9">
        <w:trPr>
          <w:trHeight w:val="265"/>
          <w:jc w:val="center"/>
        </w:trPr>
        <w:tc>
          <w:tcPr>
            <w:tcW w:w="5049" w:type="dxa"/>
            <w:noWrap/>
            <w:vAlign w:val="bottom"/>
            <w:hideMark/>
          </w:tcPr>
          <w:p w14:paraId="50BFAA25" w14:textId="77777777" w:rsidR="00A36D72" w:rsidRPr="00B55B9F" w:rsidRDefault="00A36D72" w:rsidP="00D92CD9">
            <w:pPr>
              <w:ind w:left="330"/>
              <w:jc w:val="both"/>
              <w:rPr>
                <w:sz w:val="22"/>
              </w:rPr>
            </w:pPr>
            <w:r w:rsidRPr="00B55B9F">
              <w:rPr>
                <w:sz w:val="22"/>
              </w:rPr>
              <w:t>Overweight</w:t>
            </w:r>
          </w:p>
        </w:tc>
        <w:tc>
          <w:tcPr>
            <w:tcW w:w="1951" w:type="dxa"/>
            <w:noWrap/>
            <w:vAlign w:val="bottom"/>
            <w:hideMark/>
          </w:tcPr>
          <w:p w14:paraId="63EF2495" w14:textId="77777777" w:rsidR="00A36D72" w:rsidRPr="00B55B9F" w:rsidRDefault="00A36D72" w:rsidP="00D92CD9">
            <w:pPr>
              <w:jc w:val="center"/>
              <w:rPr>
                <w:sz w:val="22"/>
              </w:rPr>
            </w:pPr>
            <w:r w:rsidRPr="00B55B9F">
              <w:rPr>
                <w:sz w:val="22"/>
              </w:rPr>
              <w:t>112</w:t>
            </w:r>
          </w:p>
        </w:tc>
        <w:tc>
          <w:tcPr>
            <w:tcW w:w="2083" w:type="dxa"/>
            <w:noWrap/>
            <w:vAlign w:val="bottom"/>
            <w:hideMark/>
          </w:tcPr>
          <w:p w14:paraId="685B4B7B" w14:textId="77777777" w:rsidR="00A36D72" w:rsidRPr="00B55B9F" w:rsidRDefault="00A36D72" w:rsidP="00D92CD9">
            <w:pPr>
              <w:jc w:val="center"/>
              <w:rPr>
                <w:b/>
                <w:bCs/>
                <w:sz w:val="22"/>
              </w:rPr>
            </w:pPr>
            <w:r w:rsidRPr="00B55B9F">
              <w:rPr>
                <w:b/>
                <w:bCs/>
                <w:sz w:val="22"/>
              </w:rPr>
              <w:t>37.8</w:t>
            </w:r>
          </w:p>
        </w:tc>
      </w:tr>
      <w:tr w:rsidR="00D92CD9" w:rsidRPr="00B55B9F" w14:paraId="379558B8" w14:textId="77777777" w:rsidTr="00D92CD9">
        <w:trPr>
          <w:trHeight w:val="265"/>
          <w:jc w:val="center"/>
        </w:trPr>
        <w:tc>
          <w:tcPr>
            <w:tcW w:w="5049" w:type="dxa"/>
            <w:tcBorders>
              <w:bottom w:val="single" w:sz="12" w:space="0" w:color="auto"/>
            </w:tcBorders>
            <w:noWrap/>
            <w:vAlign w:val="bottom"/>
            <w:hideMark/>
          </w:tcPr>
          <w:p w14:paraId="6A25F8B4" w14:textId="77777777" w:rsidR="00A36D72" w:rsidRPr="00B55B9F" w:rsidRDefault="00A36D72" w:rsidP="00D92CD9">
            <w:pPr>
              <w:ind w:left="330"/>
              <w:jc w:val="both"/>
              <w:rPr>
                <w:sz w:val="22"/>
              </w:rPr>
            </w:pPr>
            <w:r w:rsidRPr="00B55B9F">
              <w:rPr>
                <w:sz w:val="22"/>
              </w:rPr>
              <w:t>Obese</w:t>
            </w:r>
          </w:p>
        </w:tc>
        <w:tc>
          <w:tcPr>
            <w:tcW w:w="1951" w:type="dxa"/>
            <w:tcBorders>
              <w:bottom w:val="single" w:sz="12" w:space="0" w:color="auto"/>
            </w:tcBorders>
            <w:noWrap/>
            <w:vAlign w:val="bottom"/>
            <w:hideMark/>
          </w:tcPr>
          <w:p w14:paraId="4DC30F32" w14:textId="77777777" w:rsidR="00A36D72" w:rsidRPr="00B55B9F" w:rsidRDefault="00A36D72" w:rsidP="00D92CD9">
            <w:pPr>
              <w:jc w:val="center"/>
              <w:rPr>
                <w:sz w:val="22"/>
              </w:rPr>
            </w:pPr>
            <w:r w:rsidRPr="00B55B9F">
              <w:rPr>
                <w:sz w:val="22"/>
              </w:rPr>
              <w:t>38</w:t>
            </w:r>
          </w:p>
        </w:tc>
        <w:tc>
          <w:tcPr>
            <w:tcW w:w="2083" w:type="dxa"/>
            <w:tcBorders>
              <w:bottom w:val="single" w:sz="12" w:space="0" w:color="auto"/>
            </w:tcBorders>
            <w:noWrap/>
            <w:vAlign w:val="bottom"/>
            <w:hideMark/>
          </w:tcPr>
          <w:p w14:paraId="4F2ACA07" w14:textId="77777777" w:rsidR="00A36D72" w:rsidRPr="00B55B9F" w:rsidRDefault="00A36D72" w:rsidP="00D92CD9">
            <w:pPr>
              <w:jc w:val="center"/>
              <w:rPr>
                <w:sz w:val="22"/>
              </w:rPr>
            </w:pPr>
            <w:r w:rsidRPr="00B55B9F">
              <w:rPr>
                <w:sz w:val="22"/>
              </w:rPr>
              <w:t>12.8</w:t>
            </w:r>
          </w:p>
        </w:tc>
      </w:tr>
    </w:tbl>
    <w:p w14:paraId="77794D14" w14:textId="77777777" w:rsidR="00A36D72" w:rsidRPr="00B55B9F" w:rsidRDefault="00A36D72" w:rsidP="00B718E9">
      <w:pPr>
        <w:jc w:val="both"/>
      </w:pPr>
    </w:p>
    <w:p w14:paraId="1C489BE7" w14:textId="77777777" w:rsidR="00A36D72" w:rsidRPr="00B55B9F" w:rsidRDefault="00A36D72" w:rsidP="00B718E9">
      <w:pPr>
        <w:jc w:val="both"/>
      </w:pPr>
    </w:p>
    <w:p w14:paraId="2891BEBE" w14:textId="77777777" w:rsidR="00A36D72" w:rsidRPr="00B55B9F" w:rsidRDefault="00A36D72" w:rsidP="00B718E9">
      <w:pPr>
        <w:jc w:val="both"/>
      </w:pPr>
    </w:p>
    <w:p w14:paraId="7A4F3FFC" w14:textId="77777777" w:rsidR="00A36D72" w:rsidRPr="00B55B9F" w:rsidRDefault="00A36D72" w:rsidP="00B718E9">
      <w:pPr>
        <w:jc w:val="both"/>
      </w:pPr>
    </w:p>
    <w:p w14:paraId="4D5692E5" w14:textId="77777777" w:rsidR="00A36D72" w:rsidRPr="00B55B9F" w:rsidRDefault="00A36D72" w:rsidP="00B718E9">
      <w:pPr>
        <w:jc w:val="both"/>
      </w:pPr>
    </w:p>
    <w:p w14:paraId="0D4E27D9" w14:textId="77777777" w:rsidR="00A36D72" w:rsidRPr="00B55B9F" w:rsidRDefault="00A36D72" w:rsidP="00B718E9">
      <w:pPr>
        <w:jc w:val="both"/>
      </w:pPr>
    </w:p>
    <w:p w14:paraId="0A5B5C58" w14:textId="77777777" w:rsidR="00A36D72" w:rsidRPr="00B55B9F" w:rsidRDefault="00A36D72" w:rsidP="00B718E9">
      <w:pPr>
        <w:jc w:val="both"/>
      </w:pPr>
    </w:p>
    <w:p w14:paraId="6DF24B65" w14:textId="5E21E9AB" w:rsidR="00A36D72" w:rsidRPr="00B55B9F" w:rsidRDefault="00A36D72" w:rsidP="00B718E9">
      <w:pPr>
        <w:jc w:val="both"/>
      </w:pPr>
    </w:p>
    <w:p w14:paraId="560E39EF" w14:textId="77777777" w:rsidR="001807FF" w:rsidRPr="00B55B9F" w:rsidRDefault="001807FF" w:rsidP="00B718E9">
      <w:pPr>
        <w:jc w:val="both"/>
      </w:pPr>
    </w:p>
    <w:p w14:paraId="50C25D16" w14:textId="3118D405" w:rsidR="00A36D72" w:rsidRPr="00B55B9F" w:rsidRDefault="00D92CD9" w:rsidP="00D92CD9">
      <w:pPr>
        <w:pStyle w:val="Caption"/>
      </w:pPr>
      <w:bookmarkStart w:id="7" w:name="_Toc171341413"/>
      <w:r w:rsidRPr="00B55B9F">
        <w:lastRenderedPageBreak/>
        <w:t xml:space="preserve">Table </w:t>
      </w:r>
      <w:r w:rsidR="00710C56">
        <w:fldChar w:fldCharType="begin"/>
      </w:r>
      <w:r w:rsidR="00710C56">
        <w:instrText xml:space="preserve"> SEQ Table \* ARABIC </w:instrText>
      </w:r>
      <w:r w:rsidR="00710C56">
        <w:fldChar w:fldCharType="separate"/>
      </w:r>
      <w:r w:rsidR="00F20662">
        <w:rPr>
          <w:noProof/>
        </w:rPr>
        <w:t>2</w:t>
      </w:r>
      <w:r w:rsidR="00710C56">
        <w:rPr>
          <w:noProof/>
        </w:rPr>
        <w:fldChar w:fldCharType="end"/>
      </w:r>
      <w:r w:rsidRPr="00B55B9F">
        <w:t xml:space="preserve"> : Participants laboratory findings (N=296)</w:t>
      </w:r>
      <w:bookmarkEnd w:id="7"/>
    </w:p>
    <w:tbl>
      <w:tblPr>
        <w:tblW w:w="8891" w:type="dxa"/>
        <w:jc w:val="center"/>
        <w:tblLook w:val="04A0" w:firstRow="1" w:lastRow="0" w:firstColumn="1" w:lastColumn="0" w:noHBand="0" w:noVBand="1"/>
      </w:tblPr>
      <w:tblGrid>
        <w:gridCol w:w="3788"/>
        <w:gridCol w:w="2847"/>
        <w:gridCol w:w="2256"/>
      </w:tblGrid>
      <w:tr w:rsidR="00D92CD9" w:rsidRPr="00B55B9F" w14:paraId="01EB96B9" w14:textId="21A56C6A" w:rsidTr="00D92CD9">
        <w:trPr>
          <w:trHeight w:val="240"/>
          <w:jc w:val="center"/>
        </w:trPr>
        <w:tc>
          <w:tcPr>
            <w:tcW w:w="3788" w:type="dxa"/>
            <w:tcBorders>
              <w:top w:val="single" w:sz="12" w:space="0" w:color="auto"/>
              <w:bottom w:val="single" w:sz="12" w:space="0" w:color="auto"/>
            </w:tcBorders>
            <w:noWrap/>
            <w:vAlign w:val="bottom"/>
            <w:hideMark/>
          </w:tcPr>
          <w:p w14:paraId="4B79FDF7" w14:textId="77777777" w:rsidR="00CF6ECF" w:rsidRPr="00B55B9F" w:rsidRDefault="00CF6ECF" w:rsidP="00B718E9">
            <w:pPr>
              <w:jc w:val="both"/>
              <w:rPr>
                <w:b/>
                <w:bCs/>
              </w:rPr>
            </w:pPr>
            <w:r w:rsidRPr="00B55B9F">
              <w:rPr>
                <w:b/>
                <w:bCs/>
              </w:rPr>
              <w:t>Variable</w:t>
            </w:r>
          </w:p>
        </w:tc>
        <w:tc>
          <w:tcPr>
            <w:tcW w:w="2847" w:type="dxa"/>
            <w:tcBorders>
              <w:top w:val="single" w:sz="12" w:space="0" w:color="auto"/>
              <w:bottom w:val="single" w:sz="12" w:space="0" w:color="auto"/>
            </w:tcBorders>
            <w:noWrap/>
            <w:vAlign w:val="bottom"/>
            <w:hideMark/>
          </w:tcPr>
          <w:p w14:paraId="2210D8EE" w14:textId="77777777" w:rsidR="00CF6ECF" w:rsidRPr="00B55B9F" w:rsidRDefault="00CF6ECF" w:rsidP="00D92CD9">
            <w:pPr>
              <w:jc w:val="center"/>
              <w:rPr>
                <w:b/>
                <w:bCs/>
              </w:rPr>
            </w:pPr>
            <w:r w:rsidRPr="00B55B9F">
              <w:rPr>
                <w:b/>
                <w:bCs/>
              </w:rPr>
              <w:t>Frequency</w:t>
            </w:r>
          </w:p>
        </w:tc>
        <w:tc>
          <w:tcPr>
            <w:tcW w:w="2256" w:type="dxa"/>
            <w:tcBorders>
              <w:top w:val="single" w:sz="12" w:space="0" w:color="auto"/>
              <w:bottom w:val="single" w:sz="12" w:space="0" w:color="auto"/>
            </w:tcBorders>
            <w:noWrap/>
            <w:vAlign w:val="bottom"/>
            <w:hideMark/>
          </w:tcPr>
          <w:p w14:paraId="7B5EE106" w14:textId="77777777" w:rsidR="00CF6ECF" w:rsidRPr="00B55B9F" w:rsidRDefault="00CF6ECF" w:rsidP="00D92CD9">
            <w:pPr>
              <w:jc w:val="center"/>
              <w:rPr>
                <w:b/>
                <w:bCs/>
              </w:rPr>
            </w:pPr>
            <w:r w:rsidRPr="00B55B9F">
              <w:rPr>
                <w:b/>
                <w:bCs/>
              </w:rPr>
              <w:t>Percentage</w:t>
            </w:r>
          </w:p>
        </w:tc>
      </w:tr>
      <w:tr w:rsidR="00D92CD9" w:rsidRPr="00B55B9F" w14:paraId="778E0B0B" w14:textId="563BB515" w:rsidTr="00D92CD9">
        <w:trPr>
          <w:trHeight w:val="240"/>
          <w:jc w:val="center"/>
        </w:trPr>
        <w:tc>
          <w:tcPr>
            <w:tcW w:w="3788" w:type="dxa"/>
            <w:tcBorders>
              <w:top w:val="single" w:sz="12" w:space="0" w:color="auto"/>
            </w:tcBorders>
            <w:noWrap/>
            <w:vAlign w:val="bottom"/>
          </w:tcPr>
          <w:p w14:paraId="4601EE47" w14:textId="77777777" w:rsidR="00CF6ECF" w:rsidRPr="00B55B9F" w:rsidRDefault="00CF6ECF" w:rsidP="00B718E9">
            <w:pPr>
              <w:jc w:val="both"/>
              <w:rPr>
                <w:b/>
                <w:bCs/>
              </w:rPr>
            </w:pPr>
            <w:r w:rsidRPr="00B55B9F">
              <w:rPr>
                <w:b/>
                <w:bCs/>
              </w:rPr>
              <w:t>Serum creatinine</w:t>
            </w:r>
          </w:p>
        </w:tc>
        <w:tc>
          <w:tcPr>
            <w:tcW w:w="2847" w:type="dxa"/>
            <w:tcBorders>
              <w:top w:val="single" w:sz="12" w:space="0" w:color="auto"/>
            </w:tcBorders>
            <w:noWrap/>
            <w:vAlign w:val="bottom"/>
          </w:tcPr>
          <w:p w14:paraId="531F070A" w14:textId="77777777" w:rsidR="00CF6ECF" w:rsidRPr="00B55B9F" w:rsidRDefault="00CF6ECF" w:rsidP="00D92CD9">
            <w:pPr>
              <w:jc w:val="center"/>
              <w:rPr>
                <w:b/>
                <w:bCs/>
              </w:rPr>
            </w:pPr>
          </w:p>
        </w:tc>
        <w:tc>
          <w:tcPr>
            <w:tcW w:w="2256" w:type="dxa"/>
            <w:tcBorders>
              <w:top w:val="single" w:sz="12" w:space="0" w:color="auto"/>
            </w:tcBorders>
            <w:noWrap/>
            <w:vAlign w:val="bottom"/>
          </w:tcPr>
          <w:p w14:paraId="685DF507" w14:textId="77777777" w:rsidR="00CF6ECF" w:rsidRPr="00B55B9F" w:rsidRDefault="00CF6ECF" w:rsidP="00D92CD9">
            <w:pPr>
              <w:jc w:val="center"/>
              <w:rPr>
                <w:b/>
                <w:bCs/>
              </w:rPr>
            </w:pPr>
          </w:p>
        </w:tc>
      </w:tr>
      <w:tr w:rsidR="00D92CD9" w:rsidRPr="00B55B9F" w14:paraId="5023EB21" w14:textId="27278C4A" w:rsidTr="00D92CD9">
        <w:trPr>
          <w:trHeight w:val="240"/>
          <w:jc w:val="center"/>
        </w:trPr>
        <w:tc>
          <w:tcPr>
            <w:tcW w:w="3788" w:type="dxa"/>
            <w:noWrap/>
            <w:vAlign w:val="bottom"/>
          </w:tcPr>
          <w:p w14:paraId="1F4AAEB7" w14:textId="77777777" w:rsidR="00CF6ECF" w:rsidRPr="00B55B9F" w:rsidRDefault="00CF6ECF" w:rsidP="00B718E9">
            <w:pPr>
              <w:jc w:val="both"/>
              <w:rPr>
                <w:i/>
                <w:iCs/>
              </w:rPr>
            </w:pPr>
            <w:r w:rsidRPr="00B55B9F">
              <w:rPr>
                <w:i/>
                <w:iCs/>
              </w:rPr>
              <w:t>Median (IQR)</w:t>
            </w:r>
          </w:p>
        </w:tc>
        <w:tc>
          <w:tcPr>
            <w:tcW w:w="2847" w:type="dxa"/>
            <w:noWrap/>
            <w:vAlign w:val="bottom"/>
          </w:tcPr>
          <w:p w14:paraId="0F1D76EE" w14:textId="77777777" w:rsidR="00CF6ECF" w:rsidRPr="00B55B9F" w:rsidRDefault="00CF6ECF" w:rsidP="00D92CD9">
            <w:pPr>
              <w:jc w:val="center"/>
              <w:rPr>
                <w:i/>
                <w:iCs/>
              </w:rPr>
            </w:pPr>
            <w:r w:rsidRPr="00B55B9F">
              <w:rPr>
                <w:i/>
                <w:iCs/>
              </w:rPr>
              <w:t>96.5 (73-140)</w:t>
            </w:r>
          </w:p>
        </w:tc>
        <w:tc>
          <w:tcPr>
            <w:tcW w:w="2256" w:type="dxa"/>
            <w:noWrap/>
            <w:vAlign w:val="bottom"/>
          </w:tcPr>
          <w:p w14:paraId="786830C5" w14:textId="77777777" w:rsidR="00CF6ECF" w:rsidRPr="00B55B9F" w:rsidRDefault="00CF6ECF" w:rsidP="00D92CD9">
            <w:pPr>
              <w:jc w:val="center"/>
              <w:rPr>
                <w:b/>
                <w:bCs/>
              </w:rPr>
            </w:pPr>
          </w:p>
        </w:tc>
      </w:tr>
      <w:tr w:rsidR="00D92CD9" w:rsidRPr="00B55B9F" w14:paraId="6EC71155" w14:textId="6290A1A6" w:rsidTr="00D92CD9">
        <w:trPr>
          <w:trHeight w:val="240"/>
          <w:jc w:val="center"/>
        </w:trPr>
        <w:tc>
          <w:tcPr>
            <w:tcW w:w="3788" w:type="dxa"/>
            <w:noWrap/>
            <w:vAlign w:val="bottom"/>
            <w:hideMark/>
          </w:tcPr>
          <w:p w14:paraId="0D002AAE" w14:textId="77777777" w:rsidR="00CF6ECF" w:rsidRPr="00B55B9F" w:rsidRDefault="00CF6ECF" w:rsidP="00B718E9">
            <w:pPr>
              <w:jc w:val="both"/>
              <w:rPr>
                <w:b/>
                <w:bCs/>
              </w:rPr>
            </w:pPr>
            <w:r w:rsidRPr="00B55B9F">
              <w:rPr>
                <w:b/>
                <w:bCs/>
              </w:rPr>
              <w:t xml:space="preserve">Serum cholesterol </w:t>
            </w:r>
          </w:p>
        </w:tc>
        <w:tc>
          <w:tcPr>
            <w:tcW w:w="2847" w:type="dxa"/>
            <w:noWrap/>
            <w:vAlign w:val="bottom"/>
            <w:hideMark/>
          </w:tcPr>
          <w:p w14:paraId="5A7218F2" w14:textId="208AA321" w:rsidR="00CF6ECF" w:rsidRPr="00B55B9F" w:rsidRDefault="00CF6ECF" w:rsidP="00D92CD9">
            <w:pPr>
              <w:jc w:val="center"/>
              <w:rPr>
                <w:b/>
                <w:bCs/>
              </w:rPr>
            </w:pPr>
          </w:p>
        </w:tc>
        <w:tc>
          <w:tcPr>
            <w:tcW w:w="2256" w:type="dxa"/>
            <w:noWrap/>
            <w:vAlign w:val="bottom"/>
            <w:hideMark/>
          </w:tcPr>
          <w:p w14:paraId="6633DD8B" w14:textId="01A0DE44" w:rsidR="00CF6ECF" w:rsidRPr="00B55B9F" w:rsidRDefault="00CF6ECF" w:rsidP="00D92CD9">
            <w:pPr>
              <w:jc w:val="center"/>
              <w:rPr>
                <w:b/>
                <w:bCs/>
              </w:rPr>
            </w:pPr>
          </w:p>
        </w:tc>
      </w:tr>
      <w:tr w:rsidR="00D92CD9" w:rsidRPr="00B55B9F" w14:paraId="2E522CD8" w14:textId="5C18E93D" w:rsidTr="00D92CD9">
        <w:trPr>
          <w:trHeight w:val="240"/>
          <w:jc w:val="center"/>
        </w:trPr>
        <w:tc>
          <w:tcPr>
            <w:tcW w:w="3788" w:type="dxa"/>
            <w:noWrap/>
            <w:vAlign w:val="bottom"/>
            <w:hideMark/>
          </w:tcPr>
          <w:p w14:paraId="65F0E309" w14:textId="77777777" w:rsidR="00CF6ECF" w:rsidRPr="00B55B9F" w:rsidRDefault="00CF6ECF" w:rsidP="00B718E9">
            <w:pPr>
              <w:ind w:left="330"/>
              <w:jc w:val="both"/>
            </w:pPr>
            <w:r w:rsidRPr="00B55B9F">
              <w:t>Normal</w:t>
            </w:r>
          </w:p>
        </w:tc>
        <w:tc>
          <w:tcPr>
            <w:tcW w:w="2847" w:type="dxa"/>
            <w:noWrap/>
            <w:vAlign w:val="bottom"/>
            <w:hideMark/>
          </w:tcPr>
          <w:p w14:paraId="6542C588" w14:textId="77777777" w:rsidR="00CF6ECF" w:rsidRPr="00B55B9F" w:rsidRDefault="00CF6ECF" w:rsidP="00D92CD9">
            <w:pPr>
              <w:jc w:val="center"/>
            </w:pPr>
            <w:r w:rsidRPr="00B55B9F">
              <w:t>152</w:t>
            </w:r>
          </w:p>
        </w:tc>
        <w:tc>
          <w:tcPr>
            <w:tcW w:w="2256" w:type="dxa"/>
            <w:noWrap/>
            <w:vAlign w:val="bottom"/>
            <w:hideMark/>
          </w:tcPr>
          <w:p w14:paraId="4DA0D683" w14:textId="77777777" w:rsidR="00CF6ECF" w:rsidRPr="00B55B9F" w:rsidRDefault="00CF6ECF" w:rsidP="00D92CD9">
            <w:pPr>
              <w:jc w:val="center"/>
            </w:pPr>
            <w:r w:rsidRPr="00B55B9F">
              <w:t>51.4</w:t>
            </w:r>
          </w:p>
        </w:tc>
      </w:tr>
      <w:tr w:rsidR="00D92CD9" w:rsidRPr="00B55B9F" w14:paraId="61C31D82" w14:textId="43F83EA4" w:rsidTr="00D92CD9">
        <w:trPr>
          <w:trHeight w:val="240"/>
          <w:jc w:val="center"/>
        </w:trPr>
        <w:tc>
          <w:tcPr>
            <w:tcW w:w="3788" w:type="dxa"/>
            <w:noWrap/>
            <w:vAlign w:val="bottom"/>
            <w:hideMark/>
          </w:tcPr>
          <w:p w14:paraId="218F185D" w14:textId="77777777" w:rsidR="00CF6ECF" w:rsidRPr="00B55B9F" w:rsidRDefault="00CF6ECF" w:rsidP="00B718E9">
            <w:pPr>
              <w:ind w:left="330"/>
              <w:jc w:val="both"/>
            </w:pPr>
            <w:r w:rsidRPr="00B55B9F">
              <w:t>High cholesterol</w:t>
            </w:r>
          </w:p>
        </w:tc>
        <w:tc>
          <w:tcPr>
            <w:tcW w:w="2847" w:type="dxa"/>
            <w:noWrap/>
            <w:vAlign w:val="bottom"/>
            <w:hideMark/>
          </w:tcPr>
          <w:p w14:paraId="09A65C9D" w14:textId="77777777" w:rsidR="00CF6ECF" w:rsidRPr="00B55B9F" w:rsidRDefault="00CF6ECF" w:rsidP="00D92CD9">
            <w:pPr>
              <w:jc w:val="center"/>
            </w:pPr>
            <w:r w:rsidRPr="00B55B9F">
              <w:t>144</w:t>
            </w:r>
          </w:p>
        </w:tc>
        <w:tc>
          <w:tcPr>
            <w:tcW w:w="2256" w:type="dxa"/>
            <w:noWrap/>
            <w:vAlign w:val="bottom"/>
            <w:hideMark/>
          </w:tcPr>
          <w:p w14:paraId="4E3BA8AF" w14:textId="77777777" w:rsidR="00CF6ECF" w:rsidRPr="00B55B9F" w:rsidRDefault="00CF6ECF" w:rsidP="00D92CD9">
            <w:pPr>
              <w:jc w:val="center"/>
              <w:rPr>
                <w:b/>
                <w:bCs/>
              </w:rPr>
            </w:pPr>
            <w:r w:rsidRPr="00B55B9F">
              <w:rPr>
                <w:b/>
                <w:bCs/>
              </w:rPr>
              <w:t>48.6</w:t>
            </w:r>
          </w:p>
        </w:tc>
      </w:tr>
      <w:tr w:rsidR="00D92CD9" w:rsidRPr="00B55B9F" w14:paraId="1166612B" w14:textId="77777777" w:rsidTr="00D92CD9">
        <w:trPr>
          <w:trHeight w:val="240"/>
          <w:jc w:val="center"/>
        </w:trPr>
        <w:tc>
          <w:tcPr>
            <w:tcW w:w="3788" w:type="dxa"/>
            <w:noWrap/>
            <w:vAlign w:val="bottom"/>
          </w:tcPr>
          <w:p w14:paraId="53917A2D" w14:textId="20859FEF" w:rsidR="00CF6ECF" w:rsidRPr="00B55B9F" w:rsidRDefault="00065A1D" w:rsidP="00B718E9">
            <w:pPr>
              <w:ind w:left="330"/>
              <w:jc w:val="both"/>
              <w:rPr>
                <w:i/>
                <w:iCs/>
              </w:rPr>
            </w:pPr>
            <w:r w:rsidRPr="00B55B9F">
              <w:rPr>
                <w:i/>
                <w:iCs/>
              </w:rPr>
              <w:t>Mean, SD</w:t>
            </w:r>
          </w:p>
        </w:tc>
        <w:tc>
          <w:tcPr>
            <w:tcW w:w="2847" w:type="dxa"/>
            <w:noWrap/>
            <w:vAlign w:val="bottom"/>
          </w:tcPr>
          <w:p w14:paraId="0F08FA3A" w14:textId="76590428" w:rsidR="00CF6ECF" w:rsidRPr="00B55B9F" w:rsidRDefault="00065A1D" w:rsidP="00D92CD9">
            <w:pPr>
              <w:jc w:val="center"/>
              <w:rPr>
                <w:i/>
                <w:iCs/>
              </w:rPr>
            </w:pPr>
            <w:r w:rsidRPr="00B55B9F">
              <w:rPr>
                <w:i/>
                <w:iCs/>
              </w:rPr>
              <w:t>5.4 (±1.47)</w:t>
            </w:r>
          </w:p>
        </w:tc>
        <w:tc>
          <w:tcPr>
            <w:tcW w:w="2256" w:type="dxa"/>
            <w:noWrap/>
            <w:vAlign w:val="bottom"/>
          </w:tcPr>
          <w:p w14:paraId="6674296E" w14:textId="77777777" w:rsidR="00CF6ECF" w:rsidRPr="00B55B9F" w:rsidRDefault="00CF6ECF" w:rsidP="00D92CD9">
            <w:pPr>
              <w:jc w:val="center"/>
              <w:rPr>
                <w:b/>
                <w:bCs/>
              </w:rPr>
            </w:pPr>
          </w:p>
        </w:tc>
      </w:tr>
      <w:tr w:rsidR="00D92CD9" w:rsidRPr="00B55B9F" w14:paraId="3C7CE492" w14:textId="6C023C7F" w:rsidTr="00D92CD9">
        <w:trPr>
          <w:trHeight w:val="240"/>
          <w:jc w:val="center"/>
        </w:trPr>
        <w:tc>
          <w:tcPr>
            <w:tcW w:w="3788" w:type="dxa"/>
            <w:noWrap/>
            <w:vAlign w:val="bottom"/>
            <w:hideMark/>
          </w:tcPr>
          <w:p w14:paraId="154FFF90" w14:textId="77777777" w:rsidR="00CF6ECF" w:rsidRPr="00B55B9F" w:rsidRDefault="00CF6ECF" w:rsidP="00B718E9">
            <w:pPr>
              <w:jc w:val="both"/>
              <w:rPr>
                <w:b/>
                <w:bCs/>
              </w:rPr>
            </w:pPr>
            <w:r w:rsidRPr="00B55B9F">
              <w:rPr>
                <w:b/>
                <w:bCs/>
              </w:rPr>
              <w:t xml:space="preserve">Serum triglyceride </w:t>
            </w:r>
          </w:p>
        </w:tc>
        <w:tc>
          <w:tcPr>
            <w:tcW w:w="2847" w:type="dxa"/>
            <w:noWrap/>
            <w:vAlign w:val="bottom"/>
            <w:hideMark/>
          </w:tcPr>
          <w:p w14:paraId="390BEA0A" w14:textId="137B8FCD" w:rsidR="00CF6ECF" w:rsidRPr="00B55B9F" w:rsidRDefault="00CF6ECF" w:rsidP="00D92CD9">
            <w:pPr>
              <w:jc w:val="center"/>
              <w:rPr>
                <w:b/>
                <w:bCs/>
              </w:rPr>
            </w:pPr>
          </w:p>
        </w:tc>
        <w:tc>
          <w:tcPr>
            <w:tcW w:w="2256" w:type="dxa"/>
            <w:noWrap/>
            <w:vAlign w:val="bottom"/>
            <w:hideMark/>
          </w:tcPr>
          <w:p w14:paraId="191E5A5A" w14:textId="06486EB0" w:rsidR="00CF6ECF" w:rsidRPr="00B55B9F" w:rsidRDefault="00CF6ECF" w:rsidP="00D92CD9">
            <w:pPr>
              <w:jc w:val="center"/>
              <w:rPr>
                <w:b/>
                <w:bCs/>
              </w:rPr>
            </w:pPr>
          </w:p>
        </w:tc>
      </w:tr>
      <w:tr w:rsidR="00D92CD9" w:rsidRPr="00B55B9F" w14:paraId="10E3946E" w14:textId="6DD1CC98" w:rsidTr="00D92CD9">
        <w:trPr>
          <w:trHeight w:val="240"/>
          <w:jc w:val="center"/>
        </w:trPr>
        <w:tc>
          <w:tcPr>
            <w:tcW w:w="3788" w:type="dxa"/>
            <w:noWrap/>
            <w:vAlign w:val="bottom"/>
            <w:hideMark/>
          </w:tcPr>
          <w:p w14:paraId="1E597F85" w14:textId="77777777" w:rsidR="00CF6ECF" w:rsidRPr="00B55B9F" w:rsidRDefault="00CF6ECF" w:rsidP="00B718E9">
            <w:pPr>
              <w:ind w:left="330"/>
              <w:jc w:val="both"/>
            </w:pPr>
            <w:r w:rsidRPr="00B55B9F">
              <w:t>Normal</w:t>
            </w:r>
          </w:p>
        </w:tc>
        <w:tc>
          <w:tcPr>
            <w:tcW w:w="2847" w:type="dxa"/>
            <w:noWrap/>
            <w:vAlign w:val="bottom"/>
            <w:hideMark/>
          </w:tcPr>
          <w:p w14:paraId="6A7DD9EB" w14:textId="77777777" w:rsidR="00CF6ECF" w:rsidRPr="00B55B9F" w:rsidRDefault="00CF6ECF" w:rsidP="00D92CD9">
            <w:pPr>
              <w:jc w:val="center"/>
            </w:pPr>
            <w:r w:rsidRPr="00B55B9F">
              <w:t>167</w:t>
            </w:r>
          </w:p>
        </w:tc>
        <w:tc>
          <w:tcPr>
            <w:tcW w:w="2256" w:type="dxa"/>
            <w:noWrap/>
            <w:vAlign w:val="bottom"/>
            <w:hideMark/>
          </w:tcPr>
          <w:p w14:paraId="791E0CF2" w14:textId="77777777" w:rsidR="00CF6ECF" w:rsidRPr="00B55B9F" w:rsidRDefault="00CF6ECF" w:rsidP="00D92CD9">
            <w:pPr>
              <w:jc w:val="center"/>
            </w:pPr>
            <w:r w:rsidRPr="00B55B9F">
              <w:t>56.4</w:t>
            </w:r>
          </w:p>
        </w:tc>
      </w:tr>
      <w:tr w:rsidR="00D92CD9" w:rsidRPr="00B55B9F" w14:paraId="5B9F2BE7" w14:textId="18491491" w:rsidTr="00D92CD9">
        <w:trPr>
          <w:trHeight w:val="240"/>
          <w:jc w:val="center"/>
        </w:trPr>
        <w:tc>
          <w:tcPr>
            <w:tcW w:w="3788" w:type="dxa"/>
            <w:noWrap/>
            <w:vAlign w:val="bottom"/>
            <w:hideMark/>
          </w:tcPr>
          <w:p w14:paraId="05C204D3" w14:textId="77777777" w:rsidR="00CF6ECF" w:rsidRPr="00B55B9F" w:rsidRDefault="00CF6ECF" w:rsidP="00B718E9">
            <w:pPr>
              <w:ind w:left="330"/>
              <w:jc w:val="both"/>
            </w:pPr>
            <w:r w:rsidRPr="00B55B9F">
              <w:t>High triglyceride</w:t>
            </w:r>
          </w:p>
        </w:tc>
        <w:tc>
          <w:tcPr>
            <w:tcW w:w="2847" w:type="dxa"/>
            <w:noWrap/>
            <w:vAlign w:val="bottom"/>
            <w:hideMark/>
          </w:tcPr>
          <w:p w14:paraId="7F3FC35A" w14:textId="77777777" w:rsidR="00CF6ECF" w:rsidRPr="00B55B9F" w:rsidRDefault="00CF6ECF" w:rsidP="00D92CD9">
            <w:pPr>
              <w:jc w:val="center"/>
            </w:pPr>
            <w:r w:rsidRPr="00B55B9F">
              <w:t>129</w:t>
            </w:r>
          </w:p>
        </w:tc>
        <w:tc>
          <w:tcPr>
            <w:tcW w:w="2256" w:type="dxa"/>
            <w:noWrap/>
            <w:vAlign w:val="bottom"/>
            <w:hideMark/>
          </w:tcPr>
          <w:p w14:paraId="4C365672" w14:textId="77777777" w:rsidR="00CF6ECF" w:rsidRPr="00B55B9F" w:rsidRDefault="00CF6ECF" w:rsidP="00D92CD9">
            <w:pPr>
              <w:jc w:val="center"/>
              <w:rPr>
                <w:b/>
                <w:bCs/>
              </w:rPr>
            </w:pPr>
            <w:r w:rsidRPr="00B55B9F">
              <w:rPr>
                <w:b/>
                <w:bCs/>
              </w:rPr>
              <w:t>43.6</w:t>
            </w:r>
          </w:p>
        </w:tc>
      </w:tr>
      <w:tr w:rsidR="00D92CD9" w:rsidRPr="00B55B9F" w14:paraId="2E521BDA" w14:textId="77777777" w:rsidTr="00D92CD9">
        <w:trPr>
          <w:trHeight w:val="240"/>
          <w:jc w:val="center"/>
        </w:trPr>
        <w:tc>
          <w:tcPr>
            <w:tcW w:w="3788" w:type="dxa"/>
            <w:noWrap/>
            <w:vAlign w:val="bottom"/>
          </w:tcPr>
          <w:p w14:paraId="304187FD" w14:textId="1AB80FD6" w:rsidR="00CF6ECF" w:rsidRPr="00B55B9F" w:rsidRDefault="00065A1D" w:rsidP="00B718E9">
            <w:pPr>
              <w:ind w:left="330"/>
              <w:jc w:val="both"/>
              <w:rPr>
                <w:i/>
                <w:iCs/>
              </w:rPr>
            </w:pPr>
            <w:r w:rsidRPr="00B55B9F">
              <w:rPr>
                <w:i/>
                <w:iCs/>
              </w:rPr>
              <w:t>Mean, SD</w:t>
            </w:r>
          </w:p>
        </w:tc>
        <w:tc>
          <w:tcPr>
            <w:tcW w:w="2847" w:type="dxa"/>
            <w:noWrap/>
            <w:vAlign w:val="bottom"/>
          </w:tcPr>
          <w:p w14:paraId="5D0AC0E3" w14:textId="51C8CC79" w:rsidR="00CF6ECF" w:rsidRPr="00B55B9F" w:rsidRDefault="00065A1D" w:rsidP="00D92CD9">
            <w:pPr>
              <w:jc w:val="center"/>
              <w:rPr>
                <w:i/>
                <w:iCs/>
              </w:rPr>
            </w:pPr>
            <w:r w:rsidRPr="00B55B9F">
              <w:rPr>
                <w:i/>
                <w:iCs/>
              </w:rPr>
              <w:t>2.1 (±1.35)</w:t>
            </w:r>
          </w:p>
        </w:tc>
        <w:tc>
          <w:tcPr>
            <w:tcW w:w="2256" w:type="dxa"/>
            <w:noWrap/>
            <w:vAlign w:val="bottom"/>
          </w:tcPr>
          <w:p w14:paraId="0096A55A" w14:textId="77777777" w:rsidR="00CF6ECF" w:rsidRPr="00B55B9F" w:rsidRDefault="00CF6ECF" w:rsidP="00D92CD9">
            <w:pPr>
              <w:jc w:val="center"/>
              <w:rPr>
                <w:b/>
                <w:bCs/>
                <w:i/>
                <w:iCs/>
              </w:rPr>
            </w:pPr>
          </w:p>
        </w:tc>
      </w:tr>
      <w:tr w:rsidR="00D92CD9" w:rsidRPr="00B55B9F" w14:paraId="61CE431F" w14:textId="06A555F8" w:rsidTr="00D92CD9">
        <w:trPr>
          <w:trHeight w:val="240"/>
          <w:jc w:val="center"/>
        </w:trPr>
        <w:tc>
          <w:tcPr>
            <w:tcW w:w="3788" w:type="dxa"/>
            <w:noWrap/>
            <w:vAlign w:val="bottom"/>
            <w:hideMark/>
          </w:tcPr>
          <w:p w14:paraId="04642A9E" w14:textId="77777777" w:rsidR="00CF6ECF" w:rsidRPr="00B55B9F" w:rsidRDefault="00CF6ECF" w:rsidP="00B718E9">
            <w:pPr>
              <w:jc w:val="both"/>
              <w:rPr>
                <w:b/>
                <w:bCs/>
              </w:rPr>
            </w:pPr>
            <w:r w:rsidRPr="00B55B9F">
              <w:rPr>
                <w:b/>
                <w:bCs/>
              </w:rPr>
              <w:t xml:space="preserve">Serum LDL </w:t>
            </w:r>
          </w:p>
        </w:tc>
        <w:tc>
          <w:tcPr>
            <w:tcW w:w="2847" w:type="dxa"/>
            <w:noWrap/>
            <w:vAlign w:val="bottom"/>
            <w:hideMark/>
          </w:tcPr>
          <w:p w14:paraId="11C39FE1" w14:textId="23CB124B" w:rsidR="00CF6ECF" w:rsidRPr="00B55B9F" w:rsidRDefault="00CF6ECF" w:rsidP="00D92CD9">
            <w:pPr>
              <w:jc w:val="center"/>
              <w:rPr>
                <w:b/>
                <w:bCs/>
              </w:rPr>
            </w:pPr>
          </w:p>
        </w:tc>
        <w:tc>
          <w:tcPr>
            <w:tcW w:w="2256" w:type="dxa"/>
            <w:noWrap/>
            <w:vAlign w:val="bottom"/>
            <w:hideMark/>
          </w:tcPr>
          <w:p w14:paraId="18D94239" w14:textId="408999DB" w:rsidR="00CF6ECF" w:rsidRPr="00B55B9F" w:rsidRDefault="00CF6ECF" w:rsidP="00D92CD9">
            <w:pPr>
              <w:jc w:val="center"/>
              <w:rPr>
                <w:b/>
                <w:bCs/>
              </w:rPr>
            </w:pPr>
          </w:p>
        </w:tc>
      </w:tr>
      <w:tr w:rsidR="00D92CD9" w:rsidRPr="00B55B9F" w14:paraId="3F65E9F1" w14:textId="169E8D34" w:rsidTr="00D92CD9">
        <w:trPr>
          <w:trHeight w:val="240"/>
          <w:jc w:val="center"/>
        </w:trPr>
        <w:tc>
          <w:tcPr>
            <w:tcW w:w="3788" w:type="dxa"/>
            <w:noWrap/>
            <w:vAlign w:val="bottom"/>
            <w:hideMark/>
          </w:tcPr>
          <w:p w14:paraId="40F1E1DD" w14:textId="77777777" w:rsidR="00CF6ECF" w:rsidRPr="00B55B9F" w:rsidRDefault="00CF6ECF" w:rsidP="00B718E9">
            <w:pPr>
              <w:ind w:left="330"/>
              <w:jc w:val="both"/>
            </w:pPr>
            <w:r w:rsidRPr="00B55B9F">
              <w:t>Normal</w:t>
            </w:r>
          </w:p>
        </w:tc>
        <w:tc>
          <w:tcPr>
            <w:tcW w:w="2847" w:type="dxa"/>
            <w:noWrap/>
            <w:vAlign w:val="bottom"/>
            <w:hideMark/>
          </w:tcPr>
          <w:p w14:paraId="1A72C0D1" w14:textId="77777777" w:rsidR="00CF6ECF" w:rsidRPr="00B55B9F" w:rsidRDefault="00CF6ECF" w:rsidP="00D92CD9">
            <w:pPr>
              <w:jc w:val="center"/>
            </w:pPr>
            <w:r w:rsidRPr="00B55B9F">
              <w:t>189</w:t>
            </w:r>
          </w:p>
        </w:tc>
        <w:tc>
          <w:tcPr>
            <w:tcW w:w="2256" w:type="dxa"/>
            <w:noWrap/>
            <w:vAlign w:val="bottom"/>
            <w:hideMark/>
          </w:tcPr>
          <w:p w14:paraId="3F5BCA1F" w14:textId="77777777" w:rsidR="00CF6ECF" w:rsidRPr="00B55B9F" w:rsidRDefault="00CF6ECF" w:rsidP="00D92CD9">
            <w:pPr>
              <w:jc w:val="center"/>
            </w:pPr>
            <w:r w:rsidRPr="00B55B9F">
              <w:t>63.9</w:t>
            </w:r>
          </w:p>
        </w:tc>
      </w:tr>
      <w:tr w:rsidR="00D92CD9" w:rsidRPr="00B55B9F" w14:paraId="0E75D078" w14:textId="024BE681" w:rsidTr="00D92CD9">
        <w:trPr>
          <w:trHeight w:val="240"/>
          <w:jc w:val="center"/>
        </w:trPr>
        <w:tc>
          <w:tcPr>
            <w:tcW w:w="3788" w:type="dxa"/>
            <w:noWrap/>
            <w:vAlign w:val="bottom"/>
            <w:hideMark/>
          </w:tcPr>
          <w:p w14:paraId="43CCA4DB" w14:textId="77777777" w:rsidR="00CF6ECF" w:rsidRPr="00B55B9F" w:rsidRDefault="00CF6ECF" w:rsidP="00B718E9">
            <w:pPr>
              <w:ind w:left="330"/>
              <w:jc w:val="both"/>
            </w:pPr>
            <w:r w:rsidRPr="00B55B9F">
              <w:t>High LDL</w:t>
            </w:r>
          </w:p>
        </w:tc>
        <w:tc>
          <w:tcPr>
            <w:tcW w:w="2847" w:type="dxa"/>
            <w:noWrap/>
            <w:vAlign w:val="bottom"/>
            <w:hideMark/>
          </w:tcPr>
          <w:p w14:paraId="1CDD4B63" w14:textId="77777777" w:rsidR="00CF6ECF" w:rsidRPr="00B55B9F" w:rsidRDefault="00CF6ECF" w:rsidP="00D92CD9">
            <w:pPr>
              <w:jc w:val="center"/>
            </w:pPr>
            <w:r w:rsidRPr="00B55B9F">
              <w:t>107</w:t>
            </w:r>
          </w:p>
        </w:tc>
        <w:tc>
          <w:tcPr>
            <w:tcW w:w="2256" w:type="dxa"/>
            <w:noWrap/>
            <w:vAlign w:val="bottom"/>
            <w:hideMark/>
          </w:tcPr>
          <w:p w14:paraId="70A1E908" w14:textId="77777777" w:rsidR="00CF6ECF" w:rsidRPr="00B55B9F" w:rsidRDefault="00CF6ECF" w:rsidP="00D92CD9">
            <w:pPr>
              <w:jc w:val="center"/>
              <w:rPr>
                <w:b/>
                <w:bCs/>
              </w:rPr>
            </w:pPr>
            <w:r w:rsidRPr="00B55B9F">
              <w:rPr>
                <w:b/>
                <w:bCs/>
              </w:rPr>
              <w:t>36.1</w:t>
            </w:r>
          </w:p>
        </w:tc>
      </w:tr>
      <w:tr w:rsidR="00D92CD9" w:rsidRPr="00B55B9F" w14:paraId="7A87CAB6" w14:textId="77777777" w:rsidTr="00D92CD9">
        <w:trPr>
          <w:trHeight w:val="240"/>
          <w:jc w:val="center"/>
        </w:trPr>
        <w:tc>
          <w:tcPr>
            <w:tcW w:w="3788" w:type="dxa"/>
            <w:noWrap/>
            <w:vAlign w:val="bottom"/>
          </w:tcPr>
          <w:p w14:paraId="20D6DAAD" w14:textId="4B5A972A" w:rsidR="00CF6ECF" w:rsidRPr="00B55B9F" w:rsidRDefault="00065A1D" w:rsidP="00B718E9">
            <w:pPr>
              <w:ind w:left="330"/>
              <w:jc w:val="both"/>
            </w:pPr>
            <w:r w:rsidRPr="00B55B9F">
              <w:t>Mean, SD</w:t>
            </w:r>
          </w:p>
        </w:tc>
        <w:tc>
          <w:tcPr>
            <w:tcW w:w="2847" w:type="dxa"/>
            <w:noWrap/>
            <w:vAlign w:val="bottom"/>
          </w:tcPr>
          <w:p w14:paraId="6D8FF370" w14:textId="2C57121A" w:rsidR="00CF6ECF" w:rsidRPr="00B55B9F" w:rsidRDefault="00065A1D" w:rsidP="00D92CD9">
            <w:pPr>
              <w:jc w:val="center"/>
            </w:pPr>
            <w:r w:rsidRPr="00B55B9F">
              <w:t>2.8 (±1.15)</w:t>
            </w:r>
          </w:p>
        </w:tc>
        <w:tc>
          <w:tcPr>
            <w:tcW w:w="2256" w:type="dxa"/>
            <w:noWrap/>
            <w:vAlign w:val="bottom"/>
          </w:tcPr>
          <w:p w14:paraId="467B12A9" w14:textId="77777777" w:rsidR="00CF6ECF" w:rsidRPr="00B55B9F" w:rsidRDefault="00CF6ECF" w:rsidP="00D92CD9">
            <w:pPr>
              <w:jc w:val="center"/>
              <w:rPr>
                <w:b/>
                <w:bCs/>
              </w:rPr>
            </w:pPr>
          </w:p>
        </w:tc>
      </w:tr>
      <w:tr w:rsidR="00D92CD9" w:rsidRPr="00B55B9F" w14:paraId="6933821F" w14:textId="243BDCD9" w:rsidTr="00D92CD9">
        <w:trPr>
          <w:trHeight w:val="240"/>
          <w:jc w:val="center"/>
        </w:trPr>
        <w:tc>
          <w:tcPr>
            <w:tcW w:w="3788" w:type="dxa"/>
            <w:noWrap/>
            <w:vAlign w:val="bottom"/>
            <w:hideMark/>
          </w:tcPr>
          <w:p w14:paraId="58CB491C" w14:textId="77777777" w:rsidR="00CF6ECF" w:rsidRPr="00B55B9F" w:rsidRDefault="00CF6ECF" w:rsidP="00B718E9">
            <w:pPr>
              <w:jc w:val="both"/>
              <w:rPr>
                <w:b/>
                <w:bCs/>
              </w:rPr>
            </w:pPr>
            <w:r w:rsidRPr="00B55B9F">
              <w:rPr>
                <w:b/>
                <w:bCs/>
              </w:rPr>
              <w:t xml:space="preserve">Serum HDL </w:t>
            </w:r>
          </w:p>
        </w:tc>
        <w:tc>
          <w:tcPr>
            <w:tcW w:w="2847" w:type="dxa"/>
            <w:noWrap/>
            <w:vAlign w:val="bottom"/>
            <w:hideMark/>
          </w:tcPr>
          <w:p w14:paraId="09C095E3" w14:textId="79E03724" w:rsidR="00CF6ECF" w:rsidRPr="00B55B9F" w:rsidRDefault="00CF6ECF" w:rsidP="00D92CD9">
            <w:pPr>
              <w:jc w:val="center"/>
              <w:rPr>
                <w:b/>
                <w:bCs/>
              </w:rPr>
            </w:pPr>
          </w:p>
        </w:tc>
        <w:tc>
          <w:tcPr>
            <w:tcW w:w="2256" w:type="dxa"/>
            <w:noWrap/>
            <w:vAlign w:val="bottom"/>
            <w:hideMark/>
          </w:tcPr>
          <w:p w14:paraId="3C42C95B" w14:textId="29B05ABD" w:rsidR="00CF6ECF" w:rsidRPr="00B55B9F" w:rsidRDefault="00CF6ECF" w:rsidP="00D92CD9">
            <w:pPr>
              <w:jc w:val="center"/>
              <w:rPr>
                <w:b/>
                <w:bCs/>
              </w:rPr>
            </w:pPr>
          </w:p>
        </w:tc>
      </w:tr>
      <w:tr w:rsidR="00D92CD9" w:rsidRPr="00B55B9F" w14:paraId="10476B95" w14:textId="79FF73D5" w:rsidTr="00D92CD9">
        <w:trPr>
          <w:trHeight w:val="240"/>
          <w:jc w:val="center"/>
        </w:trPr>
        <w:tc>
          <w:tcPr>
            <w:tcW w:w="3788" w:type="dxa"/>
            <w:noWrap/>
            <w:vAlign w:val="bottom"/>
            <w:hideMark/>
          </w:tcPr>
          <w:p w14:paraId="7813C5D6" w14:textId="77777777" w:rsidR="00CF6ECF" w:rsidRPr="00B55B9F" w:rsidRDefault="00CF6ECF" w:rsidP="00B718E9">
            <w:pPr>
              <w:ind w:left="330"/>
              <w:jc w:val="both"/>
            </w:pPr>
            <w:r w:rsidRPr="00B55B9F">
              <w:t>Normal</w:t>
            </w:r>
          </w:p>
        </w:tc>
        <w:tc>
          <w:tcPr>
            <w:tcW w:w="2847" w:type="dxa"/>
            <w:noWrap/>
            <w:vAlign w:val="bottom"/>
            <w:hideMark/>
          </w:tcPr>
          <w:p w14:paraId="29999622" w14:textId="77777777" w:rsidR="00CF6ECF" w:rsidRPr="00B55B9F" w:rsidRDefault="00CF6ECF" w:rsidP="00D92CD9">
            <w:pPr>
              <w:jc w:val="center"/>
            </w:pPr>
            <w:r w:rsidRPr="00B55B9F">
              <w:t>181</w:t>
            </w:r>
          </w:p>
        </w:tc>
        <w:tc>
          <w:tcPr>
            <w:tcW w:w="2256" w:type="dxa"/>
            <w:noWrap/>
            <w:vAlign w:val="bottom"/>
            <w:hideMark/>
          </w:tcPr>
          <w:p w14:paraId="042165B4" w14:textId="77777777" w:rsidR="00CF6ECF" w:rsidRPr="00B55B9F" w:rsidRDefault="00CF6ECF" w:rsidP="00D92CD9">
            <w:pPr>
              <w:jc w:val="center"/>
            </w:pPr>
            <w:r w:rsidRPr="00B55B9F">
              <w:t>61.1</w:t>
            </w:r>
          </w:p>
        </w:tc>
      </w:tr>
      <w:tr w:rsidR="00D92CD9" w:rsidRPr="00B55B9F" w14:paraId="59163777" w14:textId="5339569A" w:rsidTr="00D92CD9">
        <w:trPr>
          <w:trHeight w:val="240"/>
          <w:jc w:val="center"/>
        </w:trPr>
        <w:tc>
          <w:tcPr>
            <w:tcW w:w="3788" w:type="dxa"/>
            <w:noWrap/>
            <w:vAlign w:val="bottom"/>
            <w:hideMark/>
          </w:tcPr>
          <w:p w14:paraId="1EF6E7A8" w14:textId="77777777" w:rsidR="00CF6ECF" w:rsidRPr="00B55B9F" w:rsidRDefault="00CF6ECF" w:rsidP="00B718E9">
            <w:pPr>
              <w:ind w:left="330"/>
              <w:jc w:val="both"/>
            </w:pPr>
            <w:r w:rsidRPr="00B55B9F">
              <w:t>Low HDL</w:t>
            </w:r>
          </w:p>
        </w:tc>
        <w:tc>
          <w:tcPr>
            <w:tcW w:w="2847" w:type="dxa"/>
            <w:noWrap/>
            <w:vAlign w:val="bottom"/>
            <w:hideMark/>
          </w:tcPr>
          <w:p w14:paraId="0121D82D" w14:textId="77777777" w:rsidR="00CF6ECF" w:rsidRPr="00B55B9F" w:rsidRDefault="00CF6ECF" w:rsidP="00D92CD9">
            <w:pPr>
              <w:jc w:val="center"/>
            </w:pPr>
            <w:r w:rsidRPr="00B55B9F">
              <w:t>115</w:t>
            </w:r>
          </w:p>
        </w:tc>
        <w:tc>
          <w:tcPr>
            <w:tcW w:w="2256" w:type="dxa"/>
            <w:noWrap/>
            <w:vAlign w:val="bottom"/>
            <w:hideMark/>
          </w:tcPr>
          <w:p w14:paraId="0A6ED60C" w14:textId="77777777" w:rsidR="00CF6ECF" w:rsidRPr="00B55B9F" w:rsidRDefault="00CF6ECF" w:rsidP="00D92CD9">
            <w:pPr>
              <w:jc w:val="center"/>
              <w:rPr>
                <w:b/>
                <w:bCs/>
              </w:rPr>
            </w:pPr>
            <w:r w:rsidRPr="00B55B9F">
              <w:rPr>
                <w:b/>
                <w:bCs/>
              </w:rPr>
              <w:t>38.9</w:t>
            </w:r>
          </w:p>
        </w:tc>
      </w:tr>
      <w:tr w:rsidR="00D92CD9" w:rsidRPr="00B55B9F" w14:paraId="015F27FC" w14:textId="77777777" w:rsidTr="00D92CD9">
        <w:trPr>
          <w:trHeight w:val="240"/>
          <w:jc w:val="center"/>
        </w:trPr>
        <w:tc>
          <w:tcPr>
            <w:tcW w:w="3788" w:type="dxa"/>
            <w:noWrap/>
            <w:vAlign w:val="bottom"/>
          </w:tcPr>
          <w:p w14:paraId="7A7C9B90" w14:textId="3AE6A78D" w:rsidR="00CF6ECF" w:rsidRPr="00B55B9F" w:rsidRDefault="00065A1D" w:rsidP="00B718E9">
            <w:pPr>
              <w:ind w:left="330"/>
              <w:jc w:val="both"/>
              <w:rPr>
                <w:i/>
                <w:iCs/>
              </w:rPr>
            </w:pPr>
            <w:r w:rsidRPr="00B55B9F">
              <w:rPr>
                <w:i/>
                <w:iCs/>
              </w:rPr>
              <w:t>Mean, SD</w:t>
            </w:r>
          </w:p>
        </w:tc>
        <w:tc>
          <w:tcPr>
            <w:tcW w:w="2847" w:type="dxa"/>
            <w:noWrap/>
            <w:vAlign w:val="bottom"/>
          </w:tcPr>
          <w:p w14:paraId="1968CE76" w14:textId="5B61AA42" w:rsidR="00CF6ECF" w:rsidRPr="00B55B9F" w:rsidRDefault="00065A1D" w:rsidP="00D92CD9">
            <w:pPr>
              <w:jc w:val="center"/>
              <w:rPr>
                <w:i/>
                <w:iCs/>
              </w:rPr>
            </w:pPr>
            <w:r w:rsidRPr="00B55B9F">
              <w:rPr>
                <w:i/>
                <w:iCs/>
              </w:rPr>
              <w:t>1.4 (±0.75)</w:t>
            </w:r>
          </w:p>
        </w:tc>
        <w:tc>
          <w:tcPr>
            <w:tcW w:w="2256" w:type="dxa"/>
            <w:noWrap/>
            <w:vAlign w:val="bottom"/>
          </w:tcPr>
          <w:p w14:paraId="64C5551D" w14:textId="77777777" w:rsidR="00CF6ECF" w:rsidRPr="00B55B9F" w:rsidRDefault="00CF6ECF" w:rsidP="00D92CD9">
            <w:pPr>
              <w:jc w:val="center"/>
              <w:rPr>
                <w:b/>
                <w:bCs/>
              </w:rPr>
            </w:pPr>
          </w:p>
        </w:tc>
      </w:tr>
      <w:tr w:rsidR="00D92CD9" w:rsidRPr="00B55B9F" w14:paraId="421BAE1D" w14:textId="21813FDC" w:rsidTr="00D92CD9">
        <w:trPr>
          <w:trHeight w:val="240"/>
          <w:jc w:val="center"/>
        </w:trPr>
        <w:tc>
          <w:tcPr>
            <w:tcW w:w="3788" w:type="dxa"/>
            <w:noWrap/>
            <w:vAlign w:val="bottom"/>
            <w:hideMark/>
          </w:tcPr>
          <w:p w14:paraId="445AC2E9" w14:textId="1EAF48FF" w:rsidR="00CF6ECF" w:rsidRPr="00B55B9F" w:rsidRDefault="00CF6ECF" w:rsidP="00B718E9">
            <w:pPr>
              <w:jc w:val="both"/>
              <w:rPr>
                <w:b/>
                <w:bCs/>
              </w:rPr>
            </w:pPr>
            <w:r w:rsidRPr="00B55B9F">
              <w:rPr>
                <w:b/>
                <w:bCs/>
              </w:rPr>
              <w:t>Urine protein</w:t>
            </w:r>
          </w:p>
        </w:tc>
        <w:tc>
          <w:tcPr>
            <w:tcW w:w="2847" w:type="dxa"/>
            <w:noWrap/>
            <w:vAlign w:val="bottom"/>
            <w:hideMark/>
          </w:tcPr>
          <w:p w14:paraId="68F42B60" w14:textId="6D95C578" w:rsidR="00CF6ECF" w:rsidRPr="00B55B9F" w:rsidRDefault="00CF6ECF" w:rsidP="00D92CD9">
            <w:pPr>
              <w:jc w:val="center"/>
              <w:rPr>
                <w:b/>
                <w:bCs/>
              </w:rPr>
            </w:pPr>
          </w:p>
        </w:tc>
        <w:tc>
          <w:tcPr>
            <w:tcW w:w="2256" w:type="dxa"/>
            <w:noWrap/>
            <w:vAlign w:val="bottom"/>
            <w:hideMark/>
          </w:tcPr>
          <w:p w14:paraId="7A30EDB2" w14:textId="25C5915E" w:rsidR="00CF6ECF" w:rsidRPr="00B55B9F" w:rsidRDefault="00CF6ECF" w:rsidP="00D92CD9">
            <w:pPr>
              <w:jc w:val="center"/>
              <w:rPr>
                <w:b/>
                <w:bCs/>
              </w:rPr>
            </w:pPr>
          </w:p>
        </w:tc>
      </w:tr>
      <w:tr w:rsidR="00D92CD9" w:rsidRPr="00B55B9F" w14:paraId="11CB1B61" w14:textId="7F76F52D" w:rsidTr="00D92CD9">
        <w:trPr>
          <w:trHeight w:val="240"/>
          <w:jc w:val="center"/>
        </w:trPr>
        <w:tc>
          <w:tcPr>
            <w:tcW w:w="3788" w:type="dxa"/>
            <w:noWrap/>
            <w:vAlign w:val="bottom"/>
            <w:hideMark/>
          </w:tcPr>
          <w:p w14:paraId="3AF37078" w14:textId="77777777" w:rsidR="00CF6ECF" w:rsidRPr="00B55B9F" w:rsidRDefault="00CF6ECF" w:rsidP="00B718E9">
            <w:pPr>
              <w:ind w:left="330"/>
              <w:jc w:val="both"/>
            </w:pPr>
            <w:r w:rsidRPr="00B55B9F">
              <w:t>Negative</w:t>
            </w:r>
          </w:p>
        </w:tc>
        <w:tc>
          <w:tcPr>
            <w:tcW w:w="2847" w:type="dxa"/>
            <w:noWrap/>
            <w:vAlign w:val="bottom"/>
            <w:hideMark/>
          </w:tcPr>
          <w:p w14:paraId="282E6E95" w14:textId="77777777" w:rsidR="00CF6ECF" w:rsidRPr="00B55B9F" w:rsidRDefault="00CF6ECF" w:rsidP="00D92CD9">
            <w:pPr>
              <w:jc w:val="center"/>
            </w:pPr>
            <w:r w:rsidRPr="00B55B9F">
              <w:t>166</w:t>
            </w:r>
          </w:p>
        </w:tc>
        <w:tc>
          <w:tcPr>
            <w:tcW w:w="2256" w:type="dxa"/>
            <w:noWrap/>
            <w:vAlign w:val="bottom"/>
            <w:hideMark/>
          </w:tcPr>
          <w:p w14:paraId="18550C71" w14:textId="77777777" w:rsidR="00CF6ECF" w:rsidRPr="00B55B9F" w:rsidRDefault="00CF6ECF" w:rsidP="00D92CD9">
            <w:pPr>
              <w:jc w:val="center"/>
            </w:pPr>
            <w:r w:rsidRPr="00B55B9F">
              <w:t>56.1</w:t>
            </w:r>
          </w:p>
        </w:tc>
      </w:tr>
      <w:tr w:rsidR="00D92CD9" w:rsidRPr="00B55B9F" w14:paraId="07BA50FB" w14:textId="126A4EBB" w:rsidTr="00D92CD9">
        <w:trPr>
          <w:trHeight w:val="240"/>
          <w:jc w:val="center"/>
        </w:trPr>
        <w:tc>
          <w:tcPr>
            <w:tcW w:w="3788" w:type="dxa"/>
            <w:noWrap/>
            <w:vAlign w:val="bottom"/>
            <w:hideMark/>
          </w:tcPr>
          <w:p w14:paraId="37E600ED" w14:textId="77777777" w:rsidR="00CF6ECF" w:rsidRPr="00B55B9F" w:rsidRDefault="00CF6ECF" w:rsidP="00B718E9">
            <w:pPr>
              <w:ind w:left="330"/>
              <w:jc w:val="both"/>
            </w:pPr>
            <w:r w:rsidRPr="00B55B9F">
              <w:t>Mild</w:t>
            </w:r>
          </w:p>
        </w:tc>
        <w:tc>
          <w:tcPr>
            <w:tcW w:w="2847" w:type="dxa"/>
            <w:noWrap/>
            <w:vAlign w:val="bottom"/>
            <w:hideMark/>
          </w:tcPr>
          <w:p w14:paraId="0DBE4FC7" w14:textId="77777777" w:rsidR="00CF6ECF" w:rsidRPr="00B55B9F" w:rsidRDefault="00CF6ECF" w:rsidP="00D92CD9">
            <w:pPr>
              <w:jc w:val="center"/>
            </w:pPr>
            <w:r w:rsidRPr="00B55B9F">
              <w:t>31</w:t>
            </w:r>
          </w:p>
        </w:tc>
        <w:tc>
          <w:tcPr>
            <w:tcW w:w="2256" w:type="dxa"/>
            <w:noWrap/>
            <w:vAlign w:val="bottom"/>
            <w:hideMark/>
          </w:tcPr>
          <w:p w14:paraId="59074A4D" w14:textId="77777777" w:rsidR="00CF6ECF" w:rsidRPr="00B55B9F" w:rsidRDefault="00CF6ECF" w:rsidP="00D92CD9">
            <w:pPr>
              <w:jc w:val="center"/>
            </w:pPr>
            <w:r w:rsidRPr="00B55B9F">
              <w:t>10.5</w:t>
            </w:r>
          </w:p>
        </w:tc>
      </w:tr>
      <w:tr w:rsidR="00D92CD9" w:rsidRPr="00B55B9F" w14:paraId="5F1B577D" w14:textId="284E169A" w:rsidTr="00D92CD9">
        <w:trPr>
          <w:trHeight w:val="240"/>
          <w:jc w:val="center"/>
        </w:trPr>
        <w:tc>
          <w:tcPr>
            <w:tcW w:w="3788" w:type="dxa"/>
            <w:noWrap/>
            <w:vAlign w:val="bottom"/>
            <w:hideMark/>
          </w:tcPr>
          <w:p w14:paraId="11C15AF8" w14:textId="77777777" w:rsidR="00CF6ECF" w:rsidRPr="00B55B9F" w:rsidRDefault="00CF6ECF" w:rsidP="00B718E9">
            <w:pPr>
              <w:ind w:left="330"/>
              <w:jc w:val="both"/>
            </w:pPr>
            <w:r w:rsidRPr="00B55B9F">
              <w:t>Moderate</w:t>
            </w:r>
          </w:p>
        </w:tc>
        <w:tc>
          <w:tcPr>
            <w:tcW w:w="2847" w:type="dxa"/>
            <w:noWrap/>
            <w:vAlign w:val="bottom"/>
            <w:hideMark/>
          </w:tcPr>
          <w:p w14:paraId="41CB8EE5" w14:textId="77777777" w:rsidR="00CF6ECF" w:rsidRPr="00B55B9F" w:rsidRDefault="00CF6ECF" w:rsidP="00D92CD9">
            <w:pPr>
              <w:jc w:val="center"/>
            </w:pPr>
            <w:r w:rsidRPr="00B55B9F">
              <w:t>45</w:t>
            </w:r>
          </w:p>
        </w:tc>
        <w:tc>
          <w:tcPr>
            <w:tcW w:w="2256" w:type="dxa"/>
            <w:noWrap/>
            <w:vAlign w:val="bottom"/>
            <w:hideMark/>
          </w:tcPr>
          <w:p w14:paraId="3935C6E0" w14:textId="77777777" w:rsidR="00CF6ECF" w:rsidRPr="00B55B9F" w:rsidRDefault="00CF6ECF" w:rsidP="00D92CD9">
            <w:pPr>
              <w:jc w:val="center"/>
              <w:rPr>
                <w:b/>
                <w:bCs/>
              </w:rPr>
            </w:pPr>
            <w:r w:rsidRPr="00B55B9F">
              <w:rPr>
                <w:b/>
                <w:bCs/>
              </w:rPr>
              <w:t>15.2</w:t>
            </w:r>
          </w:p>
        </w:tc>
      </w:tr>
      <w:tr w:rsidR="00D92CD9" w:rsidRPr="00B55B9F" w14:paraId="1879EC31" w14:textId="7F1650AA" w:rsidTr="00D92CD9">
        <w:trPr>
          <w:trHeight w:val="240"/>
          <w:jc w:val="center"/>
        </w:trPr>
        <w:tc>
          <w:tcPr>
            <w:tcW w:w="3788" w:type="dxa"/>
            <w:noWrap/>
            <w:vAlign w:val="bottom"/>
            <w:hideMark/>
          </w:tcPr>
          <w:p w14:paraId="36F847A1" w14:textId="77777777" w:rsidR="00CF6ECF" w:rsidRPr="00B55B9F" w:rsidRDefault="00CF6ECF" w:rsidP="00B718E9">
            <w:pPr>
              <w:jc w:val="both"/>
            </w:pPr>
            <w:r w:rsidRPr="00B55B9F">
              <w:t xml:space="preserve">      Severe</w:t>
            </w:r>
          </w:p>
        </w:tc>
        <w:tc>
          <w:tcPr>
            <w:tcW w:w="2847" w:type="dxa"/>
            <w:noWrap/>
            <w:vAlign w:val="bottom"/>
            <w:hideMark/>
          </w:tcPr>
          <w:p w14:paraId="6DE0B092" w14:textId="77777777" w:rsidR="00CF6ECF" w:rsidRPr="00B55B9F" w:rsidRDefault="00CF6ECF" w:rsidP="00D92CD9">
            <w:pPr>
              <w:jc w:val="center"/>
            </w:pPr>
            <w:r w:rsidRPr="00B55B9F">
              <w:t>30</w:t>
            </w:r>
          </w:p>
        </w:tc>
        <w:tc>
          <w:tcPr>
            <w:tcW w:w="2256" w:type="dxa"/>
            <w:noWrap/>
            <w:vAlign w:val="bottom"/>
            <w:hideMark/>
          </w:tcPr>
          <w:p w14:paraId="5FE2BD02" w14:textId="77777777" w:rsidR="00CF6ECF" w:rsidRPr="00B55B9F" w:rsidRDefault="00CF6ECF" w:rsidP="00D92CD9">
            <w:pPr>
              <w:jc w:val="center"/>
            </w:pPr>
            <w:r w:rsidRPr="00B55B9F">
              <w:t>10.1</w:t>
            </w:r>
          </w:p>
        </w:tc>
      </w:tr>
      <w:tr w:rsidR="00D92CD9" w:rsidRPr="00B55B9F" w14:paraId="54EB7A08" w14:textId="21E6FAF9" w:rsidTr="00D92CD9">
        <w:trPr>
          <w:trHeight w:val="240"/>
          <w:jc w:val="center"/>
        </w:trPr>
        <w:tc>
          <w:tcPr>
            <w:tcW w:w="3788" w:type="dxa"/>
            <w:noWrap/>
            <w:vAlign w:val="bottom"/>
            <w:hideMark/>
          </w:tcPr>
          <w:p w14:paraId="1866CDF3" w14:textId="77777777" w:rsidR="00CF6ECF" w:rsidRPr="00B55B9F" w:rsidRDefault="00CF6ECF" w:rsidP="00B718E9">
            <w:pPr>
              <w:ind w:left="330"/>
              <w:jc w:val="both"/>
            </w:pPr>
            <w:r w:rsidRPr="00B55B9F">
              <w:t>Trace</w:t>
            </w:r>
          </w:p>
        </w:tc>
        <w:tc>
          <w:tcPr>
            <w:tcW w:w="2847" w:type="dxa"/>
            <w:noWrap/>
            <w:vAlign w:val="bottom"/>
            <w:hideMark/>
          </w:tcPr>
          <w:p w14:paraId="3AF794F5" w14:textId="77777777" w:rsidR="00CF6ECF" w:rsidRPr="00B55B9F" w:rsidRDefault="00CF6ECF" w:rsidP="00D92CD9">
            <w:pPr>
              <w:jc w:val="center"/>
            </w:pPr>
            <w:r w:rsidRPr="00B55B9F">
              <w:t>24</w:t>
            </w:r>
          </w:p>
        </w:tc>
        <w:tc>
          <w:tcPr>
            <w:tcW w:w="2256" w:type="dxa"/>
            <w:noWrap/>
            <w:vAlign w:val="bottom"/>
            <w:hideMark/>
          </w:tcPr>
          <w:p w14:paraId="471A3EE4" w14:textId="77777777" w:rsidR="00CF6ECF" w:rsidRPr="00B55B9F" w:rsidRDefault="00CF6ECF" w:rsidP="00D92CD9">
            <w:pPr>
              <w:jc w:val="center"/>
            </w:pPr>
            <w:r w:rsidRPr="00B55B9F">
              <w:t>8.1</w:t>
            </w:r>
          </w:p>
        </w:tc>
      </w:tr>
      <w:tr w:rsidR="00D92CD9" w:rsidRPr="00B55B9F" w14:paraId="2CD08D63" w14:textId="160D08BA" w:rsidTr="00D92CD9">
        <w:trPr>
          <w:trHeight w:val="240"/>
          <w:jc w:val="center"/>
        </w:trPr>
        <w:tc>
          <w:tcPr>
            <w:tcW w:w="3788" w:type="dxa"/>
            <w:noWrap/>
            <w:vAlign w:val="bottom"/>
          </w:tcPr>
          <w:p w14:paraId="68B57080" w14:textId="77777777" w:rsidR="00CF6ECF" w:rsidRPr="00B55B9F" w:rsidRDefault="00CF6ECF" w:rsidP="00B718E9">
            <w:pPr>
              <w:jc w:val="both"/>
            </w:pPr>
            <w:r w:rsidRPr="00B55B9F">
              <w:rPr>
                <w:b/>
                <w:bCs/>
              </w:rPr>
              <w:t>HBA1C</w:t>
            </w:r>
            <w:r w:rsidRPr="00B55B9F">
              <w:t xml:space="preserve"> (%)</w:t>
            </w:r>
          </w:p>
        </w:tc>
        <w:tc>
          <w:tcPr>
            <w:tcW w:w="2847" w:type="dxa"/>
            <w:noWrap/>
            <w:vAlign w:val="bottom"/>
          </w:tcPr>
          <w:p w14:paraId="13A9D869" w14:textId="77777777" w:rsidR="00CF6ECF" w:rsidRPr="00B55B9F" w:rsidRDefault="00CF6ECF" w:rsidP="00D92CD9">
            <w:pPr>
              <w:jc w:val="center"/>
            </w:pPr>
          </w:p>
        </w:tc>
        <w:tc>
          <w:tcPr>
            <w:tcW w:w="2256" w:type="dxa"/>
            <w:noWrap/>
            <w:vAlign w:val="bottom"/>
          </w:tcPr>
          <w:p w14:paraId="75DFFBEC" w14:textId="77777777" w:rsidR="00CF6ECF" w:rsidRPr="00B55B9F" w:rsidRDefault="00CF6ECF" w:rsidP="00D92CD9">
            <w:pPr>
              <w:jc w:val="center"/>
            </w:pPr>
          </w:p>
        </w:tc>
      </w:tr>
      <w:tr w:rsidR="00D92CD9" w:rsidRPr="00B55B9F" w14:paraId="605D4B0D" w14:textId="6A13FB3D" w:rsidTr="00D92CD9">
        <w:trPr>
          <w:trHeight w:val="240"/>
          <w:jc w:val="center"/>
        </w:trPr>
        <w:tc>
          <w:tcPr>
            <w:tcW w:w="3788" w:type="dxa"/>
            <w:noWrap/>
            <w:vAlign w:val="bottom"/>
          </w:tcPr>
          <w:p w14:paraId="57CCE428" w14:textId="77777777" w:rsidR="00CF6ECF" w:rsidRPr="00B55B9F" w:rsidRDefault="00CF6ECF" w:rsidP="00B718E9">
            <w:pPr>
              <w:ind w:left="330"/>
              <w:jc w:val="both"/>
            </w:pPr>
            <w:r w:rsidRPr="00B55B9F">
              <w:t>≤ 5.81</w:t>
            </w:r>
          </w:p>
        </w:tc>
        <w:tc>
          <w:tcPr>
            <w:tcW w:w="2847" w:type="dxa"/>
            <w:noWrap/>
            <w:vAlign w:val="bottom"/>
          </w:tcPr>
          <w:p w14:paraId="6A59C086" w14:textId="77777777" w:rsidR="00CF6ECF" w:rsidRPr="00B55B9F" w:rsidRDefault="00CF6ECF" w:rsidP="00D92CD9">
            <w:pPr>
              <w:jc w:val="center"/>
            </w:pPr>
            <w:r w:rsidRPr="00B55B9F">
              <w:t>3</w:t>
            </w:r>
          </w:p>
        </w:tc>
        <w:tc>
          <w:tcPr>
            <w:tcW w:w="2256" w:type="dxa"/>
            <w:noWrap/>
            <w:vAlign w:val="bottom"/>
          </w:tcPr>
          <w:p w14:paraId="103BC766" w14:textId="77777777" w:rsidR="00CF6ECF" w:rsidRPr="00B55B9F" w:rsidRDefault="00CF6ECF" w:rsidP="00D92CD9">
            <w:pPr>
              <w:jc w:val="center"/>
            </w:pPr>
            <w:r w:rsidRPr="00B55B9F">
              <w:t>1</w:t>
            </w:r>
          </w:p>
        </w:tc>
      </w:tr>
      <w:tr w:rsidR="00D92CD9" w:rsidRPr="00B55B9F" w14:paraId="00CAF713" w14:textId="085DA0E7" w:rsidTr="00D92CD9">
        <w:trPr>
          <w:trHeight w:val="240"/>
          <w:jc w:val="center"/>
        </w:trPr>
        <w:tc>
          <w:tcPr>
            <w:tcW w:w="3788" w:type="dxa"/>
            <w:noWrap/>
            <w:vAlign w:val="bottom"/>
          </w:tcPr>
          <w:p w14:paraId="761517FF" w14:textId="77777777" w:rsidR="00CF6ECF" w:rsidRPr="00B55B9F" w:rsidRDefault="00CF6ECF" w:rsidP="00B718E9">
            <w:pPr>
              <w:ind w:left="330"/>
              <w:jc w:val="both"/>
            </w:pPr>
            <w:r w:rsidRPr="00B55B9F">
              <w:t>&gt; 5.81</w:t>
            </w:r>
          </w:p>
        </w:tc>
        <w:tc>
          <w:tcPr>
            <w:tcW w:w="2847" w:type="dxa"/>
            <w:noWrap/>
            <w:vAlign w:val="bottom"/>
          </w:tcPr>
          <w:p w14:paraId="22468F85" w14:textId="77777777" w:rsidR="00CF6ECF" w:rsidRPr="00B55B9F" w:rsidRDefault="00CF6ECF" w:rsidP="00D92CD9">
            <w:pPr>
              <w:jc w:val="center"/>
            </w:pPr>
            <w:r w:rsidRPr="00B55B9F">
              <w:t>293</w:t>
            </w:r>
          </w:p>
        </w:tc>
        <w:tc>
          <w:tcPr>
            <w:tcW w:w="2256" w:type="dxa"/>
            <w:noWrap/>
            <w:vAlign w:val="bottom"/>
          </w:tcPr>
          <w:p w14:paraId="07FC9ACA" w14:textId="77777777" w:rsidR="00CF6ECF" w:rsidRPr="00B55B9F" w:rsidRDefault="00CF6ECF" w:rsidP="00D92CD9">
            <w:pPr>
              <w:jc w:val="center"/>
              <w:rPr>
                <w:b/>
                <w:bCs/>
              </w:rPr>
            </w:pPr>
            <w:r w:rsidRPr="00B55B9F">
              <w:rPr>
                <w:b/>
                <w:bCs/>
              </w:rPr>
              <w:t>99</w:t>
            </w:r>
          </w:p>
        </w:tc>
      </w:tr>
      <w:tr w:rsidR="00D92CD9" w:rsidRPr="00B55B9F" w14:paraId="1CFC1D13" w14:textId="77777777" w:rsidTr="00D92CD9">
        <w:trPr>
          <w:trHeight w:val="240"/>
          <w:jc w:val="center"/>
        </w:trPr>
        <w:tc>
          <w:tcPr>
            <w:tcW w:w="3788" w:type="dxa"/>
            <w:tcBorders>
              <w:bottom w:val="single" w:sz="12" w:space="0" w:color="auto"/>
            </w:tcBorders>
            <w:noWrap/>
            <w:vAlign w:val="bottom"/>
          </w:tcPr>
          <w:p w14:paraId="31E8C72F" w14:textId="3FFB38B6" w:rsidR="00CF6ECF" w:rsidRPr="00B55B9F" w:rsidRDefault="00065A1D" w:rsidP="00B718E9">
            <w:pPr>
              <w:ind w:left="330"/>
              <w:jc w:val="both"/>
              <w:rPr>
                <w:i/>
                <w:iCs/>
              </w:rPr>
            </w:pPr>
            <w:r w:rsidRPr="00B55B9F">
              <w:rPr>
                <w:i/>
                <w:iCs/>
              </w:rPr>
              <w:t>Mean, SD</w:t>
            </w:r>
          </w:p>
        </w:tc>
        <w:tc>
          <w:tcPr>
            <w:tcW w:w="2847" w:type="dxa"/>
            <w:tcBorders>
              <w:bottom w:val="single" w:sz="12" w:space="0" w:color="auto"/>
            </w:tcBorders>
            <w:noWrap/>
            <w:vAlign w:val="bottom"/>
          </w:tcPr>
          <w:p w14:paraId="4A2E165D" w14:textId="61E89803" w:rsidR="00CF6ECF" w:rsidRPr="00B55B9F" w:rsidRDefault="00065A1D" w:rsidP="00D92CD9">
            <w:pPr>
              <w:jc w:val="center"/>
              <w:rPr>
                <w:i/>
                <w:iCs/>
              </w:rPr>
            </w:pPr>
            <w:r w:rsidRPr="00B55B9F">
              <w:rPr>
                <w:i/>
                <w:iCs/>
              </w:rPr>
              <w:t>10.3</w:t>
            </w:r>
            <w:r w:rsidR="00751A55" w:rsidRPr="00B55B9F">
              <w:rPr>
                <w:i/>
                <w:iCs/>
              </w:rPr>
              <w:t xml:space="preserve"> </w:t>
            </w:r>
            <w:r w:rsidRPr="00B55B9F">
              <w:rPr>
                <w:i/>
                <w:iCs/>
              </w:rPr>
              <w:t>(±4.7)</w:t>
            </w:r>
          </w:p>
        </w:tc>
        <w:tc>
          <w:tcPr>
            <w:tcW w:w="2256" w:type="dxa"/>
            <w:tcBorders>
              <w:bottom w:val="single" w:sz="12" w:space="0" w:color="auto"/>
            </w:tcBorders>
            <w:noWrap/>
            <w:vAlign w:val="bottom"/>
          </w:tcPr>
          <w:p w14:paraId="651CCD48" w14:textId="77777777" w:rsidR="00CF6ECF" w:rsidRPr="00B55B9F" w:rsidRDefault="00CF6ECF" w:rsidP="00D92CD9">
            <w:pPr>
              <w:jc w:val="center"/>
              <w:rPr>
                <w:b/>
                <w:bCs/>
              </w:rPr>
            </w:pPr>
          </w:p>
        </w:tc>
      </w:tr>
    </w:tbl>
    <w:p w14:paraId="1246FE16" w14:textId="77777777" w:rsidR="00CB5817" w:rsidRDefault="00CB5817" w:rsidP="00CB5817">
      <w:pPr>
        <w:tabs>
          <w:tab w:val="center" w:pos="4680"/>
        </w:tabs>
        <w:spacing w:before="240" w:line="360" w:lineRule="auto"/>
        <w:jc w:val="both"/>
      </w:pPr>
    </w:p>
    <w:p w14:paraId="115EAB9C" w14:textId="620C708F" w:rsidR="00462B77" w:rsidRPr="00CB5817" w:rsidRDefault="00CB5817" w:rsidP="00CB5817">
      <w:pPr>
        <w:tabs>
          <w:tab w:val="center" w:pos="4680"/>
        </w:tabs>
        <w:spacing w:before="240" w:line="360" w:lineRule="auto"/>
        <w:jc w:val="both"/>
      </w:pPr>
      <w:r w:rsidRPr="00CB5817">
        <w:t xml:space="preserve">The prevalence of diabetic retinopathy was observed to be 68.6%, with non-proliferative diabetic retinopathy (NPDR) and proliferative diabetic retinopathy (PDR) accounting for 34.5% (102/296) and 34.1% (101/296), respectively. In comparison, 31.4% (93/296) of individuals had no diabetic retinopathy (NDR) </w:t>
      </w:r>
      <w:r w:rsidRPr="00946150">
        <w:rPr>
          <w:b/>
          <w:bCs/>
        </w:rPr>
        <w:t>(Figure 1</w:t>
      </w:r>
      <w:r w:rsidRPr="00CB5817">
        <w:t>).</w:t>
      </w:r>
    </w:p>
    <w:p w14:paraId="1E6A10EA" w14:textId="14523131" w:rsidR="004A7F71" w:rsidRPr="00B55B9F" w:rsidRDefault="00182EF3" w:rsidP="00D30DE8">
      <w:pPr>
        <w:pBdr>
          <w:top w:val="single" w:sz="2" w:space="1" w:color="auto"/>
          <w:left w:val="single" w:sz="2" w:space="0" w:color="auto"/>
          <w:bottom w:val="single" w:sz="2" w:space="1" w:color="auto"/>
          <w:right w:val="single" w:sz="2" w:space="4" w:color="auto"/>
        </w:pBdr>
        <w:spacing w:before="240"/>
        <w:jc w:val="center"/>
      </w:pPr>
      <w:r w:rsidRPr="00B55B9F">
        <w:rPr>
          <w:noProof/>
        </w:rPr>
        <w:object w:dxaOrig="7879" w:dyaOrig="3927" w14:anchorId="0CD21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pt;height:293.25pt;mso-width-percent:0;mso-height-percent:0;mso-width-percent:0;mso-height-percent:0" o:ole="">
            <v:imagedata r:id="rId8" o:title=""/>
          </v:shape>
          <o:OLEObject Type="Embed" ProgID="Prism9.Document" ShapeID="_x0000_i1025" DrawAspect="Content" ObjectID="_1822316186" r:id="rId9"/>
        </w:object>
      </w:r>
    </w:p>
    <w:p w14:paraId="65D78434" w14:textId="3185863F" w:rsidR="00A36D72" w:rsidRPr="00B55B9F" w:rsidRDefault="00D92CD9" w:rsidP="00D92CD9">
      <w:pPr>
        <w:pStyle w:val="Caption"/>
        <w:rPr>
          <w:b w:val="0"/>
          <w:bCs w:val="0"/>
        </w:rPr>
      </w:pPr>
      <w:bookmarkStart w:id="8" w:name="_Toc171341419"/>
      <w:r w:rsidRPr="00B55B9F">
        <w:t xml:space="preserve">Figure </w:t>
      </w:r>
      <w:r w:rsidR="00710C56">
        <w:fldChar w:fldCharType="begin"/>
      </w:r>
      <w:r w:rsidR="00710C56">
        <w:instrText xml:space="preserve"> SEQ Figure \* ARABIC </w:instrText>
      </w:r>
      <w:r w:rsidR="00710C56">
        <w:fldChar w:fldCharType="separate"/>
      </w:r>
      <w:r w:rsidR="00F20662">
        <w:rPr>
          <w:noProof/>
        </w:rPr>
        <w:t>1</w:t>
      </w:r>
      <w:r w:rsidR="00710C56">
        <w:rPr>
          <w:noProof/>
        </w:rPr>
        <w:fldChar w:fldCharType="end"/>
      </w:r>
      <w:r w:rsidRPr="00B55B9F">
        <w:t xml:space="preserve"> : Proportion of D</w:t>
      </w:r>
      <w:r w:rsidR="00370B3C">
        <w:t>iabetic retinopathy</w:t>
      </w:r>
      <w:r w:rsidRPr="00B55B9F">
        <w:t xml:space="preserve"> among </w:t>
      </w:r>
      <w:r w:rsidR="00370B3C">
        <w:t>Diabetes</w:t>
      </w:r>
      <w:r w:rsidRPr="00B55B9F">
        <w:t xml:space="preserve"> patients (N=296)</w:t>
      </w:r>
      <w:bookmarkEnd w:id="8"/>
    </w:p>
    <w:p w14:paraId="606CBAF5" w14:textId="77777777" w:rsidR="00B56469" w:rsidRDefault="00B56469" w:rsidP="00B718E9">
      <w:pPr>
        <w:spacing w:line="360" w:lineRule="auto"/>
        <w:jc w:val="both"/>
      </w:pPr>
    </w:p>
    <w:p w14:paraId="6576E161" w14:textId="05B2696C" w:rsidR="00A36D72" w:rsidRPr="00B55B9F" w:rsidRDefault="00A36D72" w:rsidP="001E6D55">
      <w:pPr>
        <w:spacing w:line="360" w:lineRule="auto"/>
        <w:jc w:val="both"/>
      </w:pPr>
    </w:p>
    <w:p w14:paraId="2882FC79" w14:textId="441C7630" w:rsidR="008B47E3" w:rsidRPr="00B55B9F" w:rsidRDefault="008B47E3" w:rsidP="001E6D55">
      <w:pPr>
        <w:spacing w:line="360" w:lineRule="auto"/>
        <w:jc w:val="both"/>
      </w:pPr>
    </w:p>
    <w:p w14:paraId="12EEED2D" w14:textId="730D93BD" w:rsidR="008B47E3" w:rsidRPr="00B55B9F" w:rsidRDefault="008B47E3" w:rsidP="001E6D55">
      <w:pPr>
        <w:spacing w:line="360" w:lineRule="auto"/>
        <w:jc w:val="both"/>
      </w:pPr>
    </w:p>
    <w:p w14:paraId="5A367C7B" w14:textId="77777777" w:rsidR="00D92CD9" w:rsidRPr="00B55B9F" w:rsidRDefault="00D92CD9">
      <w:pPr>
        <w:rPr>
          <w:b/>
          <w:bCs/>
          <w:szCs w:val="18"/>
        </w:rPr>
      </w:pPr>
      <w:r w:rsidRPr="00B55B9F">
        <w:br w:type="page"/>
      </w:r>
    </w:p>
    <w:p w14:paraId="1CB12733" w14:textId="17248B7A" w:rsidR="00A36D72" w:rsidRPr="00B55B9F" w:rsidRDefault="00D92CD9" w:rsidP="00D92CD9">
      <w:pPr>
        <w:pStyle w:val="Caption"/>
      </w:pPr>
      <w:bookmarkStart w:id="9" w:name="_Toc171341415"/>
      <w:r w:rsidRPr="00B55B9F">
        <w:lastRenderedPageBreak/>
        <w:t xml:space="preserve">Table </w:t>
      </w:r>
      <w:r w:rsidR="00FF5023">
        <w:t>3</w:t>
      </w:r>
      <w:r w:rsidR="00FF5023" w:rsidRPr="00B55B9F">
        <w:t>:</w:t>
      </w:r>
      <w:r w:rsidRPr="00B55B9F">
        <w:t xml:space="preserve"> Factors associated with severity of diabetic retinopathy among type 2 </w:t>
      </w:r>
      <w:r w:rsidR="000E71D1" w:rsidRPr="00B55B9F">
        <w:t>diabetic patients</w:t>
      </w:r>
      <w:r w:rsidRPr="00B55B9F">
        <w:t xml:space="preserve"> (N-296).</w:t>
      </w:r>
      <w:bookmarkEnd w:id="9"/>
    </w:p>
    <w:tbl>
      <w:tblPr>
        <w:tblW w:w="9350" w:type="dxa"/>
        <w:tblLook w:val="04A0" w:firstRow="1" w:lastRow="0" w:firstColumn="1" w:lastColumn="0" w:noHBand="0" w:noVBand="1"/>
      </w:tblPr>
      <w:tblGrid>
        <w:gridCol w:w="2792"/>
        <w:gridCol w:w="1925"/>
        <w:gridCol w:w="1604"/>
        <w:gridCol w:w="1782"/>
        <w:gridCol w:w="1247"/>
      </w:tblGrid>
      <w:tr w:rsidR="00634A4C" w:rsidRPr="00B55B9F" w14:paraId="74095250" w14:textId="77777777" w:rsidTr="00D92CD9">
        <w:trPr>
          <w:trHeight w:val="264"/>
        </w:trPr>
        <w:tc>
          <w:tcPr>
            <w:tcW w:w="2792" w:type="dxa"/>
            <w:tcBorders>
              <w:top w:val="single" w:sz="12" w:space="0" w:color="auto"/>
              <w:bottom w:val="single" w:sz="12" w:space="0" w:color="auto"/>
            </w:tcBorders>
            <w:noWrap/>
            <w:vAlign w:val="bottom"/>
            <w:hideMark/>
          </w:tcPr>
          <w:p w14:paraId="149DB0B2" w14:textId="77777777" w:rsidR="00634A4C" w:rsidRPr="00B55B9F" w:rsidRDefault="00634A4C" w:rsidP="00D92CD9">
            <w:pPr>
              <w:jc w:val="both"/>
              <w:rPr>
                <w:b/>
                <w:bCs/>
                <w:sz w:val="22"/>
              </w:rPr>
            </w:pPr>
            <w:r w:rsidRPr="00B55B9F">
              <w:rPr>
                <w:b/>
                <w:bCs/>
                <w:sz w:val="22"/>
              </w:rPr>
              <w:t> Variable</w:t>
            </w:r>
          </w:p>
        </w:tc>
        <w:tc>
          <w:tcPr>
            <w:tcW w:w="1925" w:type="dxa"/>
            <w:tcBorders>
              <w:top w:val="single" w:sz="12" w:space="0" w:color="auto"/>
              <w:bottom w:val="single" w:sz="12" w:space="0" w:color="auto"/>
            </w:tcBorders>
          </w:tcPr>
          <w:p w14:paraId="00905F94" w14:textId="77777777" w:rsidR="00634A4C" w:rsidRPr="00B55B9F" w:rsidRDefault="00634A4C" w:rsidP="00D92CD9">
            <w:pPr>
              <w:jc w:val="center"/>
              <w:rPr>
                <w:b/>
                <w:bCs/>
                <w:sz w:val="22"/>
              </w:rPr>
            </w:pPr>
            <w:r w:rsidRPr="00B55B9F">
              <w:rPr>
                <w:b/>
                <w:bCs/>
                <w:sz w:val="22"/>
              </w:rPr>
              <w:t>COR (95%CI)</w:t>
            </w:r>
          </w:p>
        </w:tc>
        <w:tc>
          <w:tcPr>
            <w:tcW w:w="1604" w:type="dxa"/>
            <w:tcBorders>
              <w:top w:val="single" w:sz="12" w:space="0" w:color="auto"/>
              <w:bottom w:val="single" w:sz="12" w:space="0" w:color="auto"/>
            </w:tcBorders>
          </w:tcPr>
          <w:p w14:paraId="3DAF6C1C" w14:textId="77777777" w:rsidR="00634A4C" w:rsidRPr="00B55B9F" w:rsidRDefault="00634A4C" w:rsidP="00D92CD9">
            <w:pPr>
              <w:jc w:val="center"/>
              <w:rPr>
                <w:b/>
                <w:bCs/>
                <w:sz w:val="22"/>
              </w:rPr>
            </w:pPr>
            <w:r w:rsidRPr="00B55B9F">
              <w:rPr>
                <w:b/>
                <w:bCs/>
                <w:sz w:val="22"/>
              </w:rPr>
              <w:t>P-value</w:t>
            </w:r>
          </w:p>
        </w:tc>
        <w:tc>
          <w:tcPr>
            <w:tcW w:w="1782" w:type="dxa"/>
            <w:tcBorders>
              <w:top w:val="single" w:sz="12" w:space="0" w:color="auto"/>
              <w:bottom w:val="single" w:sz="12" w:space="0" w:color="auto"/>
            </w:tcBorders>
          </w:tcPr>
          <w:p w14:paraId="0DD3429F" w14:textId="77777777" w:rsidR="00634A4C" w:rsidRPr="00B55B9F" w:rsidRDefault="00634A4C" w:rsidP="00D92CD9">
            <w:pPr>
              <w:jc w:val="center"/>
              <w:rPr>
                <w:b/>
                <w:bCs/>
                <w:sz w:val="22"/>
              </w:rPr>
            </w:pPr>
            <w:r w:rsidRPr="00B55B9F">
              <w:rPr>
                <w:b/>
                <w:bCs/>
                <w:sz w:val="22"/>
              </w:rPr>
              <w:t>AOR (95%CI)</w:t>
            </w:r>
          </w:p>
        </w:tc>
        <w:tc>
          <w:tcPr>
            <w:tcW w:w="1247" w:type="dxa"/>
            <w:tcBorders>
              <w:top w:val="single" w:sz="12" w:space="0" w:color="auto"/>
              <w:bottom w:val="single" w:sz="12" w:space="0" w:color="auto"/>
            </w:tcBorders>
          </w:tcPr>
          <w:p w14:paraId="7CAF8189" w14:textId="77777777" w:rsidR="00634A4C" w:rsidRPr="00B55B9F" w:rsidRDefault="00634A4C" w:rsidP="00D92CD9">
            <w:pPr>
              <w:jc w:val="center"/>
              <w:rPr>
                <w:b/>
                <w:bCs/>
                <w:sz w:val="22"/>
              </w:rPr>
            </w:pPr>
            <w:r w:rsidRPr="00B55B9F">
              <w:rPr>
                <w:b/>
                <w:bCs/>
                <w:sz w:val="22"/>
              </w:rPr>
              <w:t>P-value</w:t>
            </w:r>
          </w:p>
        </w:tc>
      </w:tr>
      <w:tr w:rsidR="00634A4C" w:rsidRPr="00B55B9F" w14:paraId="64668B27" w14:textId="77777777" w:rsidTr="00D92CD9">
        <w:trPr>
          <w:trHeight w:val="264"/>
        </w:trPr>
        <w:tc>
          <w:tcPr>
            <w:tcW w:w="2792" w:type="dxa"/>
            <w:tcBorders>
              <w:top w:val="single" w:sz="12" w:space="0" w:color="auto"/>
            </w:tcBorders>
            <w:noWrap/>
            <w:vAlign w:val="bottom"/>
            <w:hideMark/>
          </w:tcPr>
          <w:p w14:paraId="24A7B67C" w14:textId="77777777" w:rsidR="00634A4C" w:rsidRPr="00B55B9F" w:rsidRDefault="00634A4C" w:rsidP="00D92CD9">
            <w:pPr>
              <w:jc w:val="both"/>
              <w:rPr>
                <w:b/>
                <w:bCs/>
                <w:sz w:val="22"/>
              </w:rPr>
            </w:pPr>
            <w:r w:rsidRPr="00B55B9F">
              <w:rPr>
                <w:b/>
                <w:bCs/>
                <w:sz w:val="22"/>
              </w:rPr>
              <w:t>Sex</w:t>
            </w:r>
          </w:p>
        </w:tc>
        <w:tc>
          <w:tcPr>
            <w:tcW w:w="1925" w:type="dxa"/>
            <w:tcBorders>
              <w:top w:val="single" w:sz="12" w:space="0" w:color="auto"/>
            </w:tcBorders>
          </w:tcPr>
          <w:p w14:paraId="51106A6B" w14:textId="77777777" w:rsidR="00634A4C" w:rsidRPr="00B55B9F" w:rsidRDefault="00634A4C" w:rsidP="00D92CD9">
            <w:pPr>
              <w:jc w:val="center"/>
              <w:rPr>
                <w:sz w:val="22"/>
              </w:rPr>
            </w:pPr>
          </w:p>
        </w:tc>
        <w:tc>
          <w:tcPr>
            <w:tcW w:w="1604" w:type="dxa"/>
            <w:tcBorders>
              <w:top w:val="single" w:sz="12" w:space="0" w:color="auto"/>
            </w:tcBorders>
          </w:tcPr>
          <w:p w14:paraId="7DCF6DA0" w14:textId="77777777" w:rsidR="00634A4C" w:rsidRPr="00B55B9F" w:rsidRDefault="00634A4C" w:rsidP="00D92CD9">
            <w:pPr>
              <w:jc w:val="center"/>
              <w:rPr>
                <w:sz w:val="22"/>
              </w:rPr>
            </w:pPr>
          </w:p>
        </w:tc>
        <w:tc>
          <w:tcPr>
            <w:tcW w:w="1782" w:type="dxa"/>
            <w:tcBorders>
              <w:top w:val="single" w:sz="12" w:space="0" w:color="auto"/>
            </w:tcBorders>
          </w:tcPr>
          <w:p w14:paraId="19AD7C67" w14:textId="77777777" w:rsidR="00634A4C" w:rsidRPr="00B55B9F" w:rsidRDefault="00634A4C" w:rsidP="00D92CD9">
            <w:pPr>
              <w:jc w:val="center"/>
              <w:rPr>
                <w:sz w:val="22"/>
              </w:rPr>
            </w:pPr>
          </w:p>
        </w:tc>
        <w:tc>
          <w:tcPr>
            <w:tcW w:w="1247" w:type="dxa"/>
            <w:tcBorders>
              <w:top w:val="single" w:sz="12" w:space="0" w:color="auto"/>
            </w:tcBorders>
          </w:tcPr>
          <w:p w14:paraId="2F8A36D6" w14:textId="77777777" w:rsidR="00634A4C" w:rsidRPr="00B55B9F" w:rsidRDefault="00634A4C" w:rsidP="00D92CD9">
            <w:pPr>
              <w:jc w:val="center"/>
              <w:rPr>
                <w:sz w:val="22"/>
              </w:rPr>
            </w:pPr>
          </w:p>
        </w:tc>
      </w:tr>
      <w:tr w:rsidR="00634A4C" w:rsidRPr="00B55B9F" w14:paraId="0702B4EF" w14:textId="77777777" w:rsidTr="00D92CD9">
        <w:trPr>
          <w:trHeight w:val="264"/>
        </w:trPr>
        <w:tc>
          <w:tcPr>
            <w:tcW w:w="2792" w:type="dxa"/>
            <w:noWrap/>
            <w:vAlign w:val="bottom"/>
            <w:hideMark/>
          </w:tcPr>
          <w:p w14:paraId="4CF54816" w14:textId="77777777" w:rsidR="00634A4C" w:rsidRPr="00B55B9F" w:rsidRDefault="00634A4C" w:rsidP="00D92CD9">
            <w:pPr>
              <w:ind w:left="330"/>
              <w:jc w:val="both"/>
              <w:rPr>
                <w:sz w:val="22"/>
              </w:rPr>
            </w:pPr>
            <w:r w:rsidRPr="00B55B9F">
              <w:rPr>
                <w:sz w:val="22"/>
              </w:rPr>
              <w:t>Male</w:t>
            </w:r>
          </w:p>
        </w:tc>
        <w:tc>
          <w:tcPr>
            <w:tcW w:w="1925" w:type="dxa"/>
          </w:tcPr>
          <w:p w14:paraId="78DB4390" w14:textId="77777777" w:rsidR="00634A4C" w:rsidRPr="00B55B9F" w:rsidRDefault="00634A4C" w:rsidP="00D92CD9">
            <w:pPr>
              <w:jc w:val="center"/>
              <w:rPr>
                <w:sz w:val="22"/>
              </w:rPr>
            </w:pPr>
            <w:r w:rsidRPr="00B55B9F">
              <w:rPr>
                <w:sz w:val="22"/>
              </w:rPr>
              <w:t>Ref</w:t>
            </w:r>
          </w:p>
        </w:tc>
        <w:tc>
          <w:tcPr>
            <w:tcW w:w="1604" w:type="dxa"/>
          </w:tcPr>
          <w:p w14:paraId="0EBBE7C6" w14:textId="77777777" w:rsidR="00634A4C" w:rsidRPr="00B55B9F" w:rsidRDefault="00634A4C" w:rsidP="00D92CD9">
            <w:pPr>
              <w:ind w:left="330"/>
              <w:jc w:val="center"/>
              <w:rPr>
                <w:sz w:val="22"/>
              </w:rPr>
            </w:pPr>
          </w:p>
        </w:tc>
        <w:tc>
          <w:tcPr>
            <w:tcW w:w="1782" w:type="dxa"/>
          </w:tcPr>
          <w:p w14:paraId="59B73F2A" w14:textId="77777777" w:rsidR="00634A4C" w:rsidRPr="00B55B9F" w:rsidRDefault="00634A4C" w:rsidP="00D92CD9">
            <w:pPr>
              <w:ind w:left="330"/>
              <w:jc w:val="center"/>
              <w:rPr>
                <w:sz w:val="22"/>
              </w:rPr>
            </w:pPr>
          </w:p>
        </w:tc>
        <w:tc>
          <w:tcPr>
            <w:tcW w:w="1247" w:type="dxa"/>
          </w:tcPr>
          <w:p w14:paraId="65FF1CDA" w14:textId="77777777" w:rsidR="00634A4C" w:rsidRPr="00B55B9F" w:rsidRDefault="00634A4C" w:rsidP="00D92CD9">
            <w:pPr>
              <w:ind w:left="330"/>
              <w:jc w:val="center"/>
              <w:rPr>
                <w:sz w:val="22"/>
              </w:rPr>
            </w:pPr>
          </w:p>
        </w:tc>
      </w:tr>
      <w:tr w:rsidR="00634A4C" w:rsidRPr="00B55B9F" w14:paraId="30D1AA28" w14:textId="77777777" w:rsidTr="00D92CD9">
        <w:trPr>
          <w:trHeight w:val="264"/>
        </w:trPr>
        <w:tc>
          <w:tcPr>
            <w:tcW w:w="2792" w:type="dxa"/>
            <w:noWrap/>
            <w:vAlign w:val="bottom"/>
            <w:hideMark/>
          </w:tcPr>
          <w:p w14:paraId="0DE3F138" w14:textId="77777777" w:rsidR="00634A4C" w:rsidRPr="00B55B9F" w:rsidRDefault="00634A4C" w:rsidP="00D92CD9">
            <w:pPr>
              <w:ind w:left="330"/>
              <w:jc w:val="both"/>
              <w:rPr>
                <w:sz w:val="22"/>
              </w:rPr>
            </w:pPr>
            <w:r w:rsidRPr="00B55B9F">
              <w:rPr>
                <w:sz w:val="22"/>
              </w:rPr>
              <w:t>Female</w:t>
            </w:r>
          </w:p>
        </w:tc>
        <w:tc>
          <w:tcPr>
            <w:tcW w:w="1925" w:type="dxa"/>
          </w:tcPr>
          <w:p w14:paraId="7CA9B440" w14:textId="77777777" w:rsidR="00634A4C" w:rsidRPr="00B55B9F" w:rsidRDefault="00634A4C" w:rsidP="00D92CD9">
            <w:pPr>
              <w:jc w:val="center"/>
              <w:rPr>
                <w:sz w:val="22"/>
              </w:rPr>
            </w:pPr>
            <w:r w:rsidRPr="00B55B9F">
              <w:rPr>
                <w:sz w:val="22"/>
              </w:rPr>
              <w:t>0.99 (0.65-1.51)</w:t>
            </w:r>
          </w:p>
        </w:tc>
        <w:tc>
          <w:tcPr>
            <w:tcW w:w="1604" w:type="dxa"/>
          </w:tcPr>
          <w:p w14:paraId="15750353" w14:textId="77777777" w:rsidR="00634A4C" w:rsidRPr="00B55B9F" w:rsidRDefault="00634A4C" w:rsidP="00D92CD9">
            <w:pPr>
              <w:jc w:val="center"/>
              <w:rPr>
                <w:sz w:val="22"/>
              </w:rPr>
            </w:pPr>
            <w:r w:rsidRPr="00B55B9F">
              <w:rPr>
                <w:sz w:val="22"/>
              </w:rPr>
              <w:t>0.988</w:t>
            </w:r>
          </w:p>
        </w:tc>
        <w:tc>
          <w:tcPr>
            <w:tcW w:w="1782" w:type="dxa"/>
          </w:tcPr>
          <w:p w14:paraId="450D353C" w14:textId="77777777" w:rsidR="00634A4C" w:rsidRPr="00B55B9F" w:rsidRDefault="00634A4C" w:rsidP="00D92CD9">
            <w:pPr>
              <w:ind w:left="330"/>
              <w:jc w:val="center"/>
              <w:rPr>
                <w:sz w:val="22"/>
              </w:rPr>
            </w:pPr>
          </w:p>
        </w:tc>
        <w:tc>
          <w:tcPr>
            <w:tcW w:w="1247" w:type="dxa"/>
          </w:tcPr>
          <w:p w14:paraId="26C00D79" w14:textId="77777777" w:rsidR="00634A4C" w:rsidRPr="00B55B9F" w:rsidRDefault="00634A4C" w:rsidP="00D92CD9">
            <w:pPr>
              <w:ind w:left="330"/>
              <w:jc w:val="center"/>
              <w:rPr>
                <w:sz w:val="22"/>
              </w:rPr>
            </w:pPr>
          </w:p>
        </w:tc>
      </w:tr>
      <w:tr w:rsidR="00634A4C" w:rsidRPr="00B55B9F" w14:paraId="0EF92A71" w14:textId="77777777" w:rsidTr="00D92CD9">
        <w:trPr>
          <w:trHeight w:val="264"/>
        </w:trPr>
        <w:tc>
          <w:tcPr>
            <w:tcW w:w="2792" w:type="dxa"/>
            <w:noWrap/>
            <w:vAlign w:val="bottom"/>
          </w:tcPr>
          <w:p w14:paraId="76799A24" w14:textId="77777777" w:rsidR="00634A4C" w:rsidRPr="00B55B9F" w:rsidRDefault="00634A4C" w:rsidP="00D92CD9">
            <w:pPr>
              <w:ind w:left="330"/>
              <w:jc w:val="both"/>
              <w:rPr>
                <w:sz w:val="22"/>
              </w:rPr>
            </w:pPr>
            <w:r w:rsidRPr="00B55B9F">
              <w:rPr>
                <w:sz w:val="22"/>
              </w:rPr>
              <w:t>Age</w:t>
            </w:r>
          </w:p>
        </w:tc>
        <w:tc>
          <w:tcPr>
            <w:tcW w:w="1925" w:type="dxa"/>
          </w:tcPr>
          <w:p w14:paraId="321B6093" w14:textId="77777777" w:rsidR="00634A4C" w:rsidRPr="00B55B9F" w:rsidRDefault="00634A4C" w:rsidP="00D92CD9">
            <w:pPr>
              <w:jc w:val="center"/>
              <w:rPr>
                <w:sz w:val="22"/>
              </w:rPr>
            </w:pPr>
            <w:r w:rsidRPr="00B55B9F">
              <w:rPr>
                <w:sz w:val="22"/>
              </w:rPr>
              <w:t>0.98 (0.97-1.01)</w:t>
            </w:r>
          </w:p>
        </w:tc>
        <w:tc>
          <w:tcPr>
            <w:tcW w:w="1604" w:type="dxa"/>
          </w:tcPr>
          <w:p w14:paraId="5F54A6DD" w14:textId="77777777" w:rsidR="00634A4C" w:rsidRPr="00B55B9F" w:rsidRDefault="00634A4C" w:rsidP="00D92CD9">
            <w:pPr>
              <w:jc w:val="center"/>
              <w:rPr>
                <w:sz w:val="22"/>
              </w:rPr>
            </w:pPr>
            <w:r w:rsidRPr="00B55B9F">
              <w:rPr>
                <w:sz w:val="22"/>
              </w:rPr>
              <w:t>0.398</w:t>
            </w:r>
          </w:p>
        </w:tc>
        <w:tc>
          <w:tcPr>
            <w:tcW w:w="1782" w:type="dxa"/>
          </w:tcPr>
          <w:p w14:paraId="4D9266B8" w14:textId="77777777" w:rsidR="00634A4C" w:rsidRPr="00B55B9F" w:rsidRDefault="00634A4C" w:rsidP="00D92CD9">
            <w:pPr>
              <w:ind w:left="330"/>
              <w:jc w:val="center"/>
              <w:rPr>
                <w:sz w:val="22"/>
              </w:rPr>
            </w:pPr>
          </w:p>
        </w:tc>
        <w:tc>
          <w:tcPr>
            <w:tcW w:w="1247" w:type="dxa"/>
          </w:tcPr>
          <w:p w14:paraId="047B730B" w14:textId="77777777" w:rsidR="00634A4C" w:rsidRPr="00B55B9F" w:rsidRDefault="00634A4C" w:rsidP="00D92CD9">
            <w:pPr>
              <w:ind w:left="330"/>
              <w:jc w:val="center"/>
              <w:rPr>
                <w:sz w:val="22"/>
              </w:rPr>
            </w:pPr>
          </w:p>
        </w:tc>
      </w:tr>
      <w:tr w:rsidR="00634A4C" w:rsidRPr="00B55B9F" w14:paraId="492E589B" w14:textId="77777777" w:rsidTr="00D92CD9">
        <w:trPr>
          <w:trHeight w:val="264"/>
        </w:trPr>
        <w:tc>
          <w:tcPr>
            <w:tcW w:w="2792" w:type="dxa"/>
            <w:noWrap/>
            <w:vAlign w:val="bottom"/>
            <w:hideMark/>
          </w:tcPr>
          <w:p w14:paraId="07DDE26F" w14:textId="77777777" w:rsidR="00634A4C" w:rsidRPr="00B55B9F" w:rsidRDefault="00634A4C" w:rsidP="00D92CD9">
            <w:pPr>
              <w:jc w:val="both"/>
              <w:rPr>
                <w:b/>
                <w:bCs/>
                <w:sz w:val="22"/>
              </w:rPr>
            </w:pPr>
            <w:r w:rsidRPr="00B55B9F">
              <w:rPr>
                <w:b/>
                <w:bCs/>
                <w:sz w:val="22"/>
              </w:rPr>
              <w:t>Duration of DM</w:t>
            </w:r>
          </w:p>
        </w:tc>
        <w:tc>
          <w:tcPr>
            <w:tcW w:w="1925" w:type="dxa"/>
          </w:tcPr>
          <w:p w14:paraId="66446455" w14:textId="77777777" w:rsidR="00634A4C" w:rsidRPr="00B55B9F" w:rsidRDefault="00634A4C" w:rsidP="00D92CD9">
            <w:pPr>
              <w:jc w:val="center"/>
              <w:rPr>
                <w:sz w:val="22"/>
              </w:rPr>
            </w:pPr>
            <w:r w:rsidRPr="00B55B9F">
              <w:rPr>
                <w:sz w:val="22"/>
              </w:rPr>
              <w:t>1.20 (1.12-1.29)</w:t>
            </w:r>
          </w:p>
        </w:tc>
        <w:tc>
          <w:tcPr>
            <w:tcW w:w="1604" w:type="dxa"/>
          </w:tcPr>
          <w:p w14:paraId="68CA10EE" w14:textId="77777777" w:rsidR="00634A4C" w:rsidRPr="00B55B9F" w:rsidRDefault="00634A4C" w:rsidP="00D92CD9">
            <w:pPr>
              <w:jc w:val="center"/>
              <w:rPr>
                <w:b/>
                <w:bCs/>
                <w:sz w:val="22"/>
              </w:rPr>
            </w:pPr>
            <w:r w:rsidRPr="00B55B9F">
              <w:rPr>
                <w:b/>
                <w:bCs/>
                <w:sz w:val="22"/>
              </w:rPr>
              <w:t>&lt; 0.001</w:t>
            </w:r>
          </w:p>
        </w:tc>
        <w:tc>
          <w:tcPr>
            <w:tcW w:w="1782" w:type="dxa"/>
          </w:tcPr>
          <w:p w14:paraId="2AF86490" w14:textId="77777777" w:rsidR="00634A4C" w:rsidRPr="00B55B9F" w:rsidRDefault="00634A4C" w:rsidP="00D92CD9">
            <w:pPr>
              <w:jc w:val="center"/>
              <w:rPr>
                <w:sz w:val="22"/>
              </w:rPr>
            </w:pPr>
            <w:r w:rsidRPr="00B55B9F">
              <w:rPr>
                <w:sz w:val="22"/>
              </w:rPr>
              <w:t>1.23 (1.13-1.33)</w:t>
            </w:r>
          </w:p>
        </w:tc>
        <w:tc>
          <w:tcPr>
            <w:tcW w:w="1247" w:type="dxa"/>
          </w:tcPr>
          <w:p w14:paraId="1636A395" w14:textId="77777777" w:rsidR="00634A4C" w:rsidRPr="00B55B9F" w:rsidRDefault="00634A4C" w:rsidP="00D92CD9">
            <w:pPr>
              <w:jc w:val="center"/>
              <w:rPr>
                <w:b/>
                <w:bCs/>
                <w:sz w:val="22"/>
              </w:rPr>
            </w:pPr>
            <w:r w:rsidRPr="00B55B9F">
              <w:rPr>
                <w:b/>
                <w:bCs/>
                <w:sz w:val="22"/>
              </w:rPr>
              <w:t>&lt; 0.001</w:t>
            </w:r>
          </w:p>
        </w:tc>
      </w:tr>
      <w:tr w:rsidR="00634A4C" w:rsidRPr="00B55B9F" w14:paraId="43DC8AFB" w14:textId="77777777" w:rsidTr="00D92CD9">
        <w:trPr>
          <w:trHeight w:val="264"/>
        </w:trPr>
        <w:tc>
          <w:tcPr>
            <w:tcW w:w="2792" w:type="dxa"/>
            <w:noWrap/>
            <w:vAlign w:val="bottom"/>
            <w:hideMark/>
          </w:tcPr>
          <w:p w14:paraId="120A051C" w14:textId="77777777" w:rsidR="00634A4C" w:rsidRPr="00B55B9F" w:rsidRDefault="00634A4C" w:rsidP="00D92CD9">
            <w:pPr>
              <w:jc w:val="both"/>
              <w:rPr>
                <w:b/>
                <w:bCs/>
                <w:sz w:val="22"/>
              </w:rPr>
            </w:pPr>
            <w:r w:rsidRPr="00B55B9F">
              <w:rPr>
                <w:b/>
                <w:bCs/>
                <w:sz w:val="22"/>
              </w:rPr>
              <w:t>BMI</w:t>
            </w:r>
          </w:p>
        </w:tc>
        <w:tc>
          <w:tcPr>
            <w:tcW w:w="1925" w:type="dxa"/>
          </w:tcPr>
          <w:p w14:paraId="2572ABA3" w14:textId="77777777" w:rsidR="00634A4C" w:rsidRPr="00B55B9F" w:rsidRDefault="00634A4C" w:rsidP="00D92CD9">
            <w:pPr>
              <w:jc w:val="center"/>
              <w:rPr>
                <w:sz w:val="22"/>
              </w:rPr>
            </w:pPr>
            <w:r w:rsidRPr="00B55B9F">
              <w:rPr>
                <w:sz w:val="22"/>
              </w:rPr>
              <w:t>1.5 (1.13-2.04)</w:t>
            </w:r>
          </w:p>
        </w:tc>
        <w:tc>
          <w:tcPr>
            <w:tcW w:w="1604" w:type="dxa"/>
          </w:tcPr>
          <w:p w14:paraId="3B2F42FD" w14:textId="77777777" w:rsidR="00634A4C" w:rsidRPr="00B55B9F" w:rsidRDefault="00634A4C" w:rsidP="00D92CD9">
            <w:pPr>
              <w:jc w:val="center"/>
              <w:rPr>
                <w:b/>
                <w:sz w:val="22"/>
              </w:rPr>
            </w:pPr>
            <w:r w:rsidRPr="00B55B9F">
              <w:rPr>
                <w:b/>
                <w:sz w:val="22"/>
              </w:rPr>
              <w:t>0.005</w:t>
            </w:r>
          </w:p>
        </w:tc>
        <w:tc>
          <w:tcPr>
            <w:tcW w:w="1782" w:type="dxa"/>
          </w:tcPr>
          <w:p w14:paraId="1F29B549" w14:textId="77777777" w:rsidR="00634A4C" w:rsidRPr="00B55B9F" w:rsidRDefault="00634A4C" w:rsidP="00D92CD9">
            <w:pPr>
              <w:jc w:val="center"/>
              <w:rPr>
                <w:sz w:val="22"/>
              </w:rPr>
            </w:pPr>
            <w:r w:rsidRPr="00B55B9F">
              <w:rPr>
                <w:sz w:val="22"/>
              </w:rPr>
              <w:t>1.47 (1.06-2.03)</w:t>
            </w:r>
          </w:p>
        </w:tc>
        <w:tc>
          <w:tcPr>
            <w:tcW w:w="1247" w:type="dxa"/>
          </w:tcPr>
          <w:p w14:paraId="1E1C6F0A" w14:textId="5E3C92D7" w:rsidR="00634A4C" w:rsidRPr="00B55B9F" w:rsidRDefault="00634A4C" w:rsidP="00D92CD9">
            <w:pPr>
              <w:jc w:val="center"/>
              <w:rPr>
                <w:b/>
                <w:bCs/>
                <w:sz w:val="22"/>
              </w:rPr>
            </w:pPr>
            <w:r w:rsidRPr="00B55B9F">
              <w:rPr>
                <w:b/>
                <w:bCs/>
                <w:sz w:val="22"/>
              </w:rPr>
              <w:t>0.0</w:t>
            </w:r>
            <w:r w:rsidR="00837A74" w:rsidRPr="00B55B9F">
              <w:rPr>
                <w:b/>
                <w:bCs/>
                <w:sz w:val="22"/>
              </w:rPr>
              <w:t>02</w:t>
            </w:r>
          </w:p>
        </w:tc>
      </w:tr>
      <w:tr w:rsidR="00634A4C" w:rsidRPr="00B55B9F" w14:paraId="3CBC4B6D" w14:textId="77777777" w:rsidTr="00D92CD9">
        <w:trPr>
          <w:trHeight w:val="264"/>
        </w:trPr>
        <w:tc>
          <w:tcPr>
            <w:tcW w:w="2792" w:type="dxa"/>
            <w:noWrap/>
            <w:vAlign w:val="bottom"/>
          </w:tcPr>
          <w:p w14:paraId="7ECC896F" w14:textId="77777777" w:rsidR="00634A4C" w:rsidRPr="00B55B9F" w:rsidRDefault="00634A4C" w:rsidP="00D92CD9">
            <w:pPr>
              <w:jc w:val="both"/>
              <w:rPr>
                <w:b/>
                <w:bCs/>
                <w:sz w:val="22"/>
              </w:rPr>
            </w:pPr>
            <w:r w:rsidRPr="00B55B9F">
              <w:rPr>
                <w:b/>
                <w:bCs/>
                <w:sz w:val="22"/>
              </w:rPr>
              <w:t>Serum creatinine</w:t>
            </w:r>
          </w:p>
        </w:tc>
        <w:tc>
          <w:tcPr>
            <w:tcW w:w="1925" w:type="dxa"/>
          </w:tcPr>
          <w:p w14:paraId="07C167C1" w14:textId="77777777" w:rsidR="00634A4C" w:rsidRPr="00B55B9F" w:rsidRDefault="00634A4C" w:rsidP="00D92CD9">
            <w:pPr>
              <w:jc w:val="center"/>
              <w:rPr>
                <w:sz w:val="22"/>
              </w:rPr>
            </w:pPr>
            <w:r w:rsidRPr="00B55B9F">
              <w:rPr>
                <w:sz w:val="22"/>
              </w:rPr>
              <w:t>0.99 (0.997-1.00)</w:t>
            </w:r>
          </w:p>
        </w:tc>
        <w:tc>
          <w:tcPr>
            <w:tcW w:w="1604" w:type="dxa"/>
          </w:tcPr>
          <w:p w14:paraId="21B6177B" w14:textId="77777777" w:rsidR="00634A4C" w:rsidRPr="00B55B9F" w:rsidRDefault="00634A4C" w:rsidP="00D92CD9">
            <w:pPr>
              <w:jc w:val="center"/>
              <w:rPr>
                <w:sz w:val="22"/>
              </w:rPr>
            </w:pPr>
            <w:r w:rsidRPr="00B55B9F">
              <w:rPr>
                <w:sz w:val="22"/>
              </w:rPr>
              <w:t>0.215</w:t>
            </w:r>
          </w:p>
        </w:tc>
        <w:tc>
          <w:tcPr>
            <w:tcW w:w="1782" w:type="dxa"/>
          </w:tcPr>
          <w:p w14:paraId="61AF7E48" w14:textId="77777777" w:rsidR="00634A4C" w:rsidRPr="00B55B9F" w:rsidRDefault="00634A4C" w:rsidP="00D92CD9">
            <w:pPr>
              <w:jc w:val="center"/>
              <w:rPr>
                <w:sz w:val="22"/>
              </w:rPr>
            </w:pPr>
          </w:p>
        </w:tc>
        <w:tc>
          <w:tcPr>
            <w:tcW w:w="1247" w:type="dxa"/>
          </w:tcPr>
          <w:p w14:paraId="248C7DA1" w14:textId="77777777" w:rsidR="00634A4C" w:rsidRPr="00B55B9F" w:rsidRDefault="00634A4C" w:rsidP="00D92CD9">
            <w:pPr>
              <w:jc w:val="center"/>
              <w:rPr>
                <w:sz w:val="22"/>
              </w:rPr>
            </w:pPr>
          </w:p>
        </w:tc>
      </w:tr>
      <w:tr w:rsidR="00634A4C" w:rsidRPr="00B55B9F" w14:paraId="44FBF411" w14:textId="77777777" w:rsidTr="00D92CD9">
        <w:trPr>
          <w:trHeight w:val="264"/>
        </w:trPr>
        <w:tc>
          <w:tcPr>
            <w:tcW w:w="2792" w:type="dxa"/>
            <w:noWrap/>
            <w:vAlign w:val="bottom"/>
            <w:hideMark/>
          </w:tcPr>
          <w:p w14:paraId="1EA66872" w14:textId="77777777" w:rsidR="00634A4C" w:rsidRPr="00B55B9F" w:rsidRDefault="00634A4C" w:rsidP="00D92CD9">
            <w:pPr>
              <w:jc w:val="both"/>
              <w:rPr>
                <w:b/>
                <w:bCs/>
                <w:sz w:val="22"/>
              </w:rPr>
            </w:pPr>
            <w:r w:rsidRPr="00B55B9F">
              <w:rPr>
                <w:b/>
                <w:bCs/>
                <w:sz w:val="22"/>
              </w:rPr>
              <w:t xml:space="preserve">Serum cholesterol </w:t>
            </w:r>
          </w:p>
        </w:tc>
        <w:tc>
          <w:tcPr>
            <w:tcW w:w="1925" w:type="dxa"/>
          </w:tcPr>
          <w:p w14:paraId="71019AB4" w14:textId="77777777" w:rsidR="00634A4C" w:rsidRPr="00B55B9F" w:rsidRDefault="00634A4C" w:rsidP="00D92CD9">
            <w:pPr>
              <w:jc w:val="center"/>
              <w:rPr>
                <w:sz w:val="22"/>
              </w:rPr>
            </w:pPr>
          </w:p>
        </w:tc>
        <w:tc>
          <w:tcPr>
            <w:tcW w:w="1604" w:type="dxa"/>
          </w:tcPr>
          <w:p w14:paraId="6598DB8E" w14:textId="77777777" w:rsidR="00634A4C" w:rsidRPr="00B55B9F" w:rsidRDefault="00634A4C" w:rsidP="00D92CD9">
            <w:pPr>
              <w:jc w:val="center"/>
              <w:rPr>
                <w:sz w:val="22"/>
              </w:rPr>
            </w:pPr>
          </w:p>
        </w:tc>
        <w:tc>
          <w:tcPr>
            <w:tcW w:w="1782" w:type="dxa"/>
          </w:tcPr>
          <w:p w14:paraId="342BD3A4" w14:textId="77777777" w:rsidR="00634A4C" w:rsidRPr="00B55B9F" w:rsidRDefault="00634A4C" w:rsidP="00D92CD9">
            <w:pPr>
              <w:jc w:val="center"/>
              <w:rPr>
                <w:sz w:val="22"/>
              </w:rPr>
            </w:pPr>
          </w:p>
        </w:tc>
        <w:tc>
          <w:tcPr>
            <w:tcW w:w="1247" w:type="dxa"/>
          </w:tcPr>
          <w:p w14:paraId="10631A7D" w14:textId="77777777" w:rsidR="00634A4C" w:rsidRPr="00B55B9F" w:rsidRDefault="00634A4C" w:rsidP="00D92CD9">
            <w:pPr>
              <w:jc w:val="center"/>
              <w:rPr>
                <w:sz w:val="22"/>
              </w:rPr>
            </w:pPr>
          </w:p>
        </w:tc>
      </w:tr>
      <w:tr w:rsidR="00634A4C" w:rsidRPr="00B55B9F" w14:paraId="5DD395F4" w14:textId="77777777" w:rsidTr="00D92CD9">
        <w:trPr>
          <w:trHeight w:val="264"/>
        </w:trPr>
        <w:tc>
          <w:tcPr>
            <w:tcW w:w="2792" w:type="dxa"/>
            <w:noWrap/>
            <w:vAlign w:val="bottom"/>
            <w:hideMark/>
          </w:tcPr>
          <w:p w14:paraId="10CF1508" w14:textId="77777777" w:rsidR="00634A4C" w:rsidRPr="00B55B9F" w:rsidRDefault="00634A4C" w:rsidP="00D92CD9">
            <w:pPr>
              <w:ind w:left="330"/>
              <w:jc w:val="both"/>
              <w:rPr>
                <w:sz w:val="22"/>
              </w:rPr>
            </w:pPr>
            <w:r w:rsidRPr="00B55B9F">
              <w:rPr>
                <w:sz w:val="22"/>
              </w:rPr>
              <w:t>Normal</w:t>
            </w:r>
          </w:p>
        </w:tc>
        <w:tc>
          <w:tcPr>
            <w:tcW w:w="1925" w:type="dxa"/>
          </w:tcPr>
          <w:p w14:paraId="73669A1C" w14:textId="77777777" w:rsidR="00634A4C" w:rsidRPr="00B55B9F" w:rsidRDefault="00634A4C" w:rsidP="00D92CD9">
            <w:pPr>
              <w:ind w:left="330"/>
              <w:jc w:val="center"/>
              <w:rPr>
                <w:sz w:val="22"/>
              </w:rPr>
            </w:pPr>
            <w:r w:rsidRPr="00B55B9F">
              <w:rPr>
                <w:sz w:val="22"/>
              </w:rPr>
              <w:t>Ref</w:t>
            </w:r>
          </w:p>
        </w:tc>
        <w:tc>
          <w:tcPr>
            <w:tcW w:w="1604" w:type="dxa"/>
          </w:tcPr>
          <w:p w14:paraId="42332BF1" w14:textId="77777777" w:rsidR="00634A4C" w:rsidRPr="00B55B9F" w:rsidRDefault="00634A4C" w:rsidP="00D92CD9">
            <w:pPr>
              <w:ind w:left="330"/>
              <w:jc w:val="center"/>
              <w:rPr>
                <w:sz w:val="22"/>
              </w:rPr>
            </w:pPr>
          </w:p>
        </w:tc>
        <w:tc>
          <w:tcPr>
            <w:tcW w:w="1782" w:type="dxa"/>
          </w:tcPr>
          <w:p w14:paraId="40299B7C" w14:textId="77777777" w:rsidR="00634A4C" w:rsidRPr="00B55B9F" w:rsidRDefault="00634A4C" w:rsidP="00D92CD9">
            <w:pPr>
              <w:ind w:left="330"/>
              <w:jc w:val="center"/>
              <w:rPr>
                <w:sz w:val="22"/>
              </w:rPr>
            </w:pPr>
            <w:r w:rsidRPr="00B55B9F">
              <w:rPr>
                <w:sz w:val="22"/>
              </w:rPr>
              <w:t>Ref</w:t>
            </w:r>
          </w:p>
        </w:tc>
        <w:tc>
          <w:tcPr>
            <w:tcW w:w="1247" w:type="dxa"/>
          </w:tcPr>
          <w:p w14:paraId="173EC335" w14:textId="77777777" w:rsidR="00634A4C" w:rsidRPr="00B55B9F" w:rsidRDefault="00634A4C" w:rsidP="00D92CD9">
            <w:pPr>
              <w:ind w:left="330"/>
              <w:jc w:val="center"/>
              <w:rPr>
                <w:sz w:val="22"/>
              </w:rPr>
            </w:pPr>
          </w:p>
        </w:tc>
      </w:tr>
      <w:tr w:rsidR="00634A4C" w:rsidRPr="00B55B9F" w14:paraId="3C87C391" w14:textId="77777777" w:rsidTr="00D92CD9">
        <w:trPr>
          <w:trHeight w:val="264"/>
        </w:trPr>
        <w:tc>
          <w:tcPr>
            <w:tcW w:w="2792" w:type="dxa"/>
            <w:noWrap/>
            <w:vAlign w:val="bottom"/>
            <w:hideMark/>
          </w:tcPr>
          <w:p w14:paraId="192C9958" w14:textId="77777777" w:rsidR="00634A4C" w:rsidRPr="00B55B9F" w:rsidRDefault="00634A4C" w:rsidP="00D92CD9">
            <w:pPr>
              <w:ind w:left="330"/>
              <w:jc w:val="both"/>
              <w:rPr>
                <w:sz w:val="22"/>
              </w:rPr>
            </w:pPr>
            <w:r w:rsidRPr="00B55B9F">
              <w:rPr>
                <w:sz w:val="22"/>
              </w:rPr>
              <w:t>High cholesterol</w:t>
            </w:r>
          </w:p>
        </w:tc>
        <w:tc>
          <w:tcPr>
            <w:tcW w:w="1925" w:type="dxa"/>
          </w:tcPr>
          <w:p w14:paraId="5F03876E" w14:textId="77777777" w:rsidR="00634A4C" w:rsidRPr="00B55B9F" w:rsidRDefault="00634A4C" w:rsidP="00D92CD9">
            <w:pPr>
              <w:jc w:val="center"/>
              <w:rPr>
                <w:sz w:val="22"/>
              </w:rPr>
            </w:pPr>
            <w:r w:rsidRPr="00B55B9F">
              <w:rPr>
                <w:sz w:val="22"/>
              </w:rPr>
              <w:t>2.55 (1.65-3.99)</w:t>
            </w:r>
          </w:p>
        </w:tc>
        <w:tc>
          <w:tcPr>
            <w:tcW w:w="1604" w:type="dxa"/>
          </w:tcPr>
          <w:p w14:paraId="256F6539" w14:textId="77777777" w:rsidR="00634A4C" w:rsidRPr="00B55B9F" w:rsidRDefault="00634A4C" w:rsidP="00D92CD9">
            <w:pPr>
              <w:jc w:val="center"/>
              <w:rPr>
                <w:b/>
                <w:bCs/>
                <w:sz w:val="22"/>
              </w:rPr>
            </w:pPr>
            <w:r w:rsidRPr="00B55B9F">
              <w:rPr>
                <w:b/>
                <w:bCs/>
                <w:sz w:val="22"/>
              </w:rPr>
              <w:t>&lt; 0.001</w:t>
            </w:r>
          </w:p>
        </w:tc>
        <w:tc>
          <w:tcPr>
            <w:tcW w:w="1782" w:type="dxa"/>
          </w:tcPr>
          <w:p w14:paraId="3D8B0284" w14:textId="77777777" w:rsidR="00634A4C" w:rsidRPr="00B55B9F" w:rsidRDefault="00634A4C" w:rsidP="00D92CD9">
            <w:pPr>
              <w:jc w:val="center"/>
              <w:rPr>
                <w:sz w:val="22"/>
              </w:rPr>
            </w:pPr>
            <w:r w:rsidRPr="00B55B9F">
              <w:rPr>
                <w:sz w:val="22"/>
              </w:rPr>
              <w:t>1.60 (0.97-2.62)</w:t>
            </w:r>
          </w:p>
        </w:tc>
        <w:tc>
          <w:tcPr>
            <w:tcW w:w="1247" w:type="dxa"/>
          </w:tcPr>
          <w:p w14:paraId="18EC4E62" w14:textId="77777777" w:rsidR="00634A4C" w:rsidRPr="00B55B9F" w:rsidRDefault="00634A4C" w:rsidP="00D92CD9">
            <w:pPr>
              <w:ind w:left="330"/>
              <w:jc w:val="center"/>
              <w:rPr>
                <w:sz w:val="22"/>
              </w:rPr>
            </w:pPr>
            <w:r w:rsidRPr="00B55B9F">
              <w:rPr>
                <w:sz w:val="22"/>
              </w:rPr>
              <w:t>0.068</w:t>
            </w:r>
          </w:p>
        </w:tc>
      </w:tr>
      <w:tr w:rsidR="00634A4C" w:rsidRPr="00B55B9F" w14:paraId="423170D3" w14:textId="77777777" w:rsidTr="00D92CD9">
        <w:trPr>
          <w:trHeight w:val="264"/>
        </w:trPr>
        <w:tc>
          <w:tcPr>
            <w:tcW w:w="2792" w:type="dxa"/>
            <w:noWrap/>
            <w:vAlign w:val="bottom"/>
            <w:hideMark/>
          </w:tcPr>
          <w:p w14:paraId="3F6673D5" w14:textId="77777777" w:rsidR="00634A4C" w:rsidRPr="00B55B9F" w:rsidRDefault="00634A4C" w:rsidP="00D92CD9">
            <w:pPr>
              <w:jc w:val="both"/>
              <w:rPr>
                <w:b/>
                <w:bCs/>
                <w:sz w:val="22"/>
              </w:rPr>
            </w:pPr>
            <w:r w:rsidRPr="00B55B9F">
              <w:rPr>
                <w:b/>
                <w:bCs/>
                <w:sz w:val="22"/>
              </w:rPr>
              <w:t xml:space="preserve">Serum triglycerides </w:t>
            </w:r>
          </w:p>
        </w:tc>
        <w:tc>
          <w:tcPr>
            <w:tcW w:w="1925" w:type="dxa"/>
          </w:tcPr>
          <w:p w14:paraId="58768A45" w14:textId="77777777" w:rsidR="00634A4C" w:rsidRPr="00B55B9F" w:rsidRDefault="00634A4C" w:rsidP="00D92CD9">
            <w:pPr>
              <w:jc w:val="center"/>
              <w:rPr>
                <w:sz w:val="22"/>
              </w:rPr>
            </w:pPr>
          </w:p>
        </w:tc>
        <w:tc>
          <w:tcPr>
            <w:tcW w:w="1604" w:type="dxa"/>
          </w:tcPr>
          <w:p w14:paraId="56A35561" w14:textId="77777777" w:rsidR="00634A4C" w:rsidRPr="00B55B9F" w:rsidRDefault="00634A4C" w:rsidP="00D92CD9">
            <w:pPr>
              <w:jc w:val="center"/>
              <w:rPr>
                <w:sz w:val="22"/>
              </w:rPr>
            </w:pPr>
          </w:p>
        </w:tc>
        <w:tc>
          <w:tcPr>
            <w:tcW w:w="1782" w:type="dxa"/>
          </w:tcPr>
          <w:p w14:paraId="530F3BAF" w14:textId="77777777" w:rsidR="00634A4C" w:rsidRPr="00B55B9F" w:rsidRDefault="00634A4C" w:rsidP="00D92CD9">
            <w:pPr>
              <w:jc w:val="center"/>
              <w:rPr>
                <w:sz w:val="22"/>
              </w:rPr>
            </w:pPr>
          </w:p>
        </w:tc>
        <w:tc>
          <w:tcPr>
            <w:tcW w:w="1247" w:type="dxa"/>
          </w:tcPr>
          <w:p w14:paraId="0A71936D" w14:textId="77777777" w:rsidR="00634A4C" w:rsidRPr="00B55B9F" w:rsidRDefault="00634A4C" w:rsidP="00D92CD9">
            <w:pPr>
              <w:jc w:val="center"/>
              <w:rPr>
                <w:sz w:val="22"/>
              </w:rPr>
            </w:pPr>
          </w:p>
        </w:tc>
      </w:tr>
      <w:tr w:rsidR="00634A4C" w:rsidRPr="00B55B9F" w14:paraId="7DB13BD8" w14:textId="77777777" w:rsidTr="00D92CD9">
        <w:trPr>
          <w:trHeight w:val="264"/>
        </w:trPr>
        <w:tc>
          <w:tcPr>
            <w:tcW w:w="2792" w:type="dxa"/>
            <w:noWrap/>
            <w:vAlign w:val="bottom"/>
            <w:hideMark/>
          </w:tcPr>
          <w:p w14:paraId="7DC21947" w14:textId="77777777" w:rsidR="00634A4C" w:rsidRPr="00B55B9F" w:rsidRDefault="00634A4C" w:rsidP="00D92CD9">
            <w:pPr>
              <w:ind w:left="330"/>
              <w:jc w:val="both"/>
              <w:rPr>
                <w:sz w:val="22"/>
              </w:rPr>
            </w:pPr>
            <w:r w:rsidRPr="00B55B9F">
              <w:rPr>
                <w:sz w:val="22"/>
              </w:rPr>
              <w:t>Normal</w:t>
            </w:r>
          </w:p>
        </w:tc>
        <w:tc>
          <w:tcPr>
            <w:tcW w:w="1925" w:type="dxa"/>
          </w:tcPr>
          <w:p w14:paraId="1A50B5B3" w14:textId="77777777" w:rsidR="00634A4C" w:rsidRPr="00B55B9F" w:rsidRDefault="00634A4C" w:rsidP="00D92CD9">
            <w:pPr>
              <w:ind w:left="330"/>
              <w:jc w:val="center"/>
              <w:rPr>
                <w:sz w:val="22"/>
              </w:rPr>
            </w:pPr>
            <w:r w:rsidRPr="00B55B9F">
              <w:rPr>
                <w:sz w:val="22"/>
              </w:rPr>
              <w:t>Ref</w:t>
            </w:r>
          </w:p>
        </w:tc>
        <w:tc>
          <w:tcPr>
            <w:tcW w:w="1604" w:type="dxa"/>
          </w:tcPr>
          <w:p w14:paraId="25576613" w14:textId="77777777" w:rsidR="00634A4C" w:rsidRPr="00B55B9F" w:rsidRDefault="00634A4C" w:rsidP="00D92CD9">
            <w:pPr>
              <w:ind w:left="330"/>
              <w:jc w:val="center"/>
              <w:rPr>
                <w:sz w:val="22"/>
              </w:rPr>
            </w:pPr>
          </w:p>
        </w:tc>
        <w:tc>
          <w:tcPr>
            <w:tcW w:w="1782" w:type="dxa"/>
          </w:tcPr>
          <w:p w14:paraId="24F3BCC6" w14:textId="77777777" w:rsidR="00634A4C" w:rsidRPr="00B55B9F" w:rsidRDefault="00634A4C" w:rsidP="00D92CD9">
            <w:pPr>
              <w:ind w:left="330"/>
              <w:jc w:val="center"/>
              <w:rPr>
                <w:sz w:val="22"/>
              </w:rPr>
            </w:pPr>
            <w:r w:rsidRPr="00B55B9F">
              <w:rPr>
                <w:sz w:val="22"/>
              </w:rPr>
              <w:t>Ref</w:t>
            </w:r>
          </w:p>
        </w:tc>
        <w:tc>
          <w:tcPr>
            <w:tcW w:w="1247" w:type="dxa"/>
          </w:tcPr>
          <w:p w14:paraId="359DB18D" w14:textId="77777777" w:rsidR="00634A4C" w:rsidRPr="00B55B9F" w:rsidRDefault="00634A4C" w:rsidP="00D92CD9">
            <w:pPr>
              <w:ind w:left="330"/>
              <w:jc w:val="center"/>
              <w:rPr>
                <w:sz w:val="22"/>
              </w:rPr>
            </w:pPr>
          </w:p>
        </w:tc>
      </w:tr>
      <w:tr w:rsidR="00634A4C" w:rsidRPr="00B55B9F" w14:paraId="556A9000" w14:textId="77777777" w:rsidTr="00D92CD9">
        <w:trPr>
          <w:trHeight w:val="264"/>
        </w:trPr>
        <w:tc>
          <w:tcPr>
            <w:tcW w:w="2792" w:type="dxa"/>
            <w:noWrap/>
            <w:vAlign w:val="bottom"/>
            <w:hideMark/>
          </w:tcPr>
          <w:p w14:paraId="1351D491" w14:textId="77777777" w:rsidR="00634A4C" w:rsidRPr="00B55B9F" w:rsidRDefault="00634A4C" w:rsidP="00D92CD9">
            <w:pPr>
              <w:ind w:left="330"/>
              <w:jc w:val="both"/>
              <w:rPr>
                <w:sz w:val="22"/>
              </w:rPr>
            </w:pPr>
            <w:r w:rsidRPr="00B55B9F">
              <w:rPr>
                <w:sz w:val="22"/>
              </w:rPr>
              <w:t>High triglyceride</w:t>
            </w:r>
          </w:p>
        </w:tc>
        <w:tc>
          <w:tcPr>
            <w:tcW w:w="1925" w:type="dxa"/>
          </w:tcPr>
          <w:p w14:paraId="45548555" w14:textId="77777777" w:rsidR="00634A4C" w:rsidRPr="00B55B9F" w:rsidRDefault="00634A4C" w:rsidP="00D92CD9">
            <w:pPr>
              <w:jc w:val="center"/>
              <w:rPr>
                <w:sz w:val="22"/>
              </w:rPr>
            </w:pPr>
            <w:r w:rsidRPr="00B55B9F">
              <w:rPr>
                <w:sz w:val="22"/>
              </w:rPr>
              <w:t>5.12 (3.23-8.12)</w:t>
            </w:r>
          </w:p>
        </w:tc>
        <w:tc>
          <w:tcPr>
            <w:tcW w:w="1604" w:type="dxa"/>
          </w:tcPr>
          <w:p w14:paraId="568BF2BB" w14:textId="77777777" w:rsidR="00634A4C" w:rsidRPr="00B55B9F" w:rsidRDefault="00634A4C" w:rsidP="00D92CD9">
            <w:pPr>
              <w:jc w:val="center"/>
              <w:rPr>
                <w:b/>
                <w:bCs/>
                <w:sz w:val="22"/>
              </w:rPr>
            </w:pPr>
            <w:r w:rsidRPr="00B55B9F">
              <w:rPr>
                <w:b/>
                <w:bCs/>
                <w:sz w:val="22"/>
              </w:rPr>
              <w:t>&lt; 0.001</w:t>
            </w:r>
          </w:p>
        </w:tc>
        <w:tc>
          <w:tcPr>
            <w:tcW w:w="1782" w:type="dxa"/>
          </w:tcPr>
          <w:p w14:paraId="51EBDC81" w14:textId="77777777" w:rsidR="00634A4C" w:rsidRPr="00B55B9F" w:rsidRDefault="00634A4C" w:rsidP="00D92CD9">
            <w:pPr>
              <w:jc w:val="center"/>
              <w:rPr>
                <w:sz w:val="22"/>
              </w:rPr>
            </w:pPr>
            <w:r w:rsidRPr="00B55B9F">
              <w:rPr>
                <w:sz w:val="22"/>
              </w:rPr>
              <w:t>3.49 (2.12-5.75)</w:t>
            </w:r>
          </w:p>
        </w:tc>
        <w:tc>
          <w:tcPr>
            <w:tcW w:w="1247" w:type="dxa"/>
          </w:tcPr>
          <w:p w14:paraId="60772245" w14:textId="77777777" w:rsidR="00634A4C" w:rsidRPr="00B55B9F" w:rsidRDefault="00634A4C" w:rsidP="00D92CD9">
            <w:pPr>
              <w:jc w:val="center"/>
              <w:rPr>
                <w:b/>
                <w:bCs/>
                <w:sz w:val="22"/>
              </w:rPr>
            </w:pPr>
            <w:r w:rsidRPr="00B55B9F">
              <w:rPr>
                <w:b/>
                <w:bCs/>
                <w:sz w:val="22"/>
              </w:rPr>
              <w:t>&lt; 0.001</w:t>
            </w:r>
          </w:p>
        </w:tc>
      </w:tr>
      <w:tr w:rsidR="00634A4C" w:rsidRPr="00B55B9F" w14:paraId="536E739B" w14:textId="77777777" w:rsidTr="00D92CD9">
        <w:trPr>
          <w:trHeight w:val="264"/>
        </w:trPr>
        <w:tc>
          <w:tcPr>
            <w:tcW w:w="2792" w:type="dxa"/>
            <w:noWrap/>
            <w:vAlign w:val="bottom"/>
            <w:hideMark/>
          </w:tcPr>
          <w:p w14:paraId="74232F28" w14:textId="77777777" w:rsidR="00634A4C" w:rsidRPr="00B55B9F" w:rsidRDefault="00634A4C" w:rsidP="00D92CD9">
            <w:pPr>
              <w:jc w:val="both"/>
              <w:rPr>
                <w:b/>
                <w:bCs/>
                <w:sz w:val="22"/>
              </w:rPr>
            </w:pPr>
            <w:r w:rsidRPr="00B55B9F">
              <w:rPr>
                <w:b/>
                <w:bCs/>
                <w:sz w:val="22"/>
              </w:rPr>
              <w:t xml:space="preserve">Serum HDL </w:t>
            </w:r>
          </w:p>
        </w:tc>
        <w:tc>
          <w:tcPr>
            <w:tcW w:w="1925" w:type="dxa"/>
          </w:tcPr>
          <w:p w14:paraId="04D50599" w14:textId="77777777" w:rsidR="00634A4C" w:rsidRPr="00B55B9F" w:rsidRDefault="00634A4C" w:rsidP="00D92CD9">
            <w:pPr>
              <w:jc w:val="center"/>
              <w:rPr>
                <w:sz w:val="22"/>
              </w:rPr>
            </w:pPr>
          </w:p>
        </w:tc>
        <w:tc>
          <w:tcPr>
            <w:tcW w:w="1604" w:type="dxa"/>
          </w:tcPr>
          <w:p w14:paraId="7B447FFE" w14:textId="77777777" w:rsidR="00634A4C" w:rsidRPr="00B55B9F" w:rsidRDefault="00634A4C" w:rsidP="00D92CD9">
            <w:pPr>
              <w:jc w:val="center"/>
              <w:rPr>
                <w:sz w:val="22"/>
              </w:rPr>
            </w:pPr>
          </w:p>
        </w:tc>
        <w:tc>
          <w:tcPr>
            <w:tcW w:w="1782" w:type="dxa"/>
          </w:tcPr>
          <w:p w14:paraId="0DEF2312" w14:textId="77777777" w:rsidR="00634A4C" w:rsidRPr="00B55B9F" w:rsidRDefault="00634A4C" w:rsidP="00D92CD9">
            <w:pPr>
              <w:jc w:val="center"/>
              <w:rPr>
                <w:sz w:val="22"/>
              </w:rPr>
            </w:pPr>
          </w:p>
        </w:tc>
        <w:tc>
          <w:tcPr>
            <w:tcW w:w="1247" w:type="dxa"/>
          </w:tcPr>
          <w:p w14:paraId="2A211D51" w14:textId="77777777" w:rsidR="00634A4C" w:rsidRPr="00B55B9F" w:rsidRDefault="00634A4C" w:rsidP="00D92CD9">
            <w:pPr>
              <w:jc w:val="center"/>
              <w:rPr>
                <w:sz w:val="22"/>
              </w:rPr>
            </w:pPr>
          </w:p>
        </w:tc>
      </w:tr>
      <w:tr w:rsidR="00634A4C" w:rsidRPr="00B55B9F" w14:paraId="58E03E2B" w14:textId="77777777" w:rsidTr="00D92CD9">
        <w:trPr>
          <w:trHeight w:val="264"/>
        </w:trPr>
        <w:tc>
          <w:tcPr>
            <w:tcW w:w="2792" w:type="dxa"/>
            <w:noWrap/>
            <w:vAlign w:val="bottom"/>
            <w:hideMark/>
          </w:tcPr>
          <w:p w14:paraId="4F55F094" w14:textId="77777777" w:rsidR="00634A4C" w:rsidRPr="00B55B9F" w:rsidRDefault="00634A4C" w:rsidP="00D92CD9">
            <w:pPr>
              <w:ind w:left="330"/>
              <w:jc w:val="both"/>
              <w:rPr>
                <w:sz w:val="22"/>
              </w:rPr>
            </w:pPr>
            <w:r w:rsidRPr="00B55B9F">
              <w:rPr>
                <w:sz w:val="22"/>
              </w:rPr>
              <w:t>Low HDL</w:t>
            </w:r>
          </w:p>
        </w:tc>
        <w:tc>
          <w:tcPr>
            <w:tcW w:w="1925" w:type="dxa"/>
          </w:tcPr>
          <w:p w14:paraId="2EFB2D7E" w14:textId="77777777" w:rsidR="00634A4C" w:rsidRPr="00B55B9F" w:rsidRDefault="00634A4C" w:rsidP="00D92CD9">
            <w:pPr>
              <w:jc w:val="center"/>
              <w:rPr>
                <w:sz w:val="22"/>
              </w:rPr>
            </w:pPr>
            <w:r w:rsidRPr="00B55B9F">
              <w:rPr>
                <w:sz w:val="22"/>
              </w:rPr>
              <w:t>1.07 (0.70-1.64)</w:t>
            </w:r>
          </w:p>
        </w:tc>
        <w:tc>
          <w:tcPr>
            <w:tcW w:w="1604" w:type="dxa"/>
          </w:tcPr>
          <w:p w14:paraId="750CF870" w14:textId="77777777" w:rsidR="00634A4C" w:rsidRPr="00B55B9F" w:rsidRDefault="00634A4C" w:rsidP="00D92CD9">
            <w:pPr>
              <w:jc w:val="center"/>
              <w:rPr>
                <w:sz w:val="22"/>
              </w:rPr>
            </w:pPr>
            <w:r w:rsidRPr="00B55B9F">
              <w:rPr>
                <w:sz w:val="22"/>
              </w:rPr>
              <w:t>0.747</w:t>
            </w:r>
          </w:p>
        </w:tc>
        <w:tc>
          <w:tcPr>
            <w:tcW w:w="1782" w:type="dxa"/>
          </w:tcPr>
          <w:p w14:paraId="0DA3CD56" w14:textId="77777777" w:rsidR="00634A4C" w:rsidRPr="00B55B9F" w:rsidRDefault="00634A4C" w:rsidP="00D92CD9">
            <w:pPr>
              <w:jc w:val="center"/>
              <w:rPr>
                <w:sz w:val="22"/>
              </w:rPr>
            </w:pPr>
            <w:r w:rsidRPr="00B55B9F">
              <w:rPr>
                <w:sz w:val="22"/>
              </w:rPr>
              <w:t>0.99 (0.62-1.59)</w:t>
            </w:r>
          </w:p>
        </w:tc>
        <w:tc>
          <w:tcPr>
            <w:tcW w:w="1247" w:type="dxa"/>
          </w:tcPr>
          <w:p w14:paraId="60091E67" w14:textId="77777777" w:rsidR="00634A4C" w:rsidRPr="00B55B9F" w:rsidRDefault="00634A4C" w:rsidP="00D92CD9">
            <w:pPr>
              <w:jc w:val="center"/>
              <w:rPr>
                <w:sz w:val="22"/>
              </w:rPr>
            </w:pPr>
            <w:r w:rsidRPr="00B55B9F">
              <w:rPr>
                <w:sz w:val="22"/>
              </w:rPr>
              <w:t>0.975</w:t>
            </w:r>
          </w:p>
        </w:tc>
      </w:tr>
      <w:tr w:rsidR="00634A4C" w:rsidRPr="00B55B9F" w14:paraId="5288A46D" w14:textId="77777777" w:rsidTr="00D92CD9">
        <w:trPr>
          <w:trHeight w:val="264"/>
        </w:trPr>
        <w:tc>
          <w:tcPr>
            <w:tcW w:w="2792" w:type="dxa"/>
            <w:noWrap/>
            <w:vAlign w:val="bottom"/>
            <w:hideMark/>
          </w:tcPr>
          <w:p w14:paraId="2DBDCEEA" w14:textId="77777777" w:rsidR="00634A4C" w:rsidRPr="00B55B9F" w:rsidRDefault="00634A4C" w:rsidP="00D92CD9">
            <w:pPr>
              <w:ind w:left="330"/>
              <w:jc w:val="both"/>
              <w:rPr>
                <w:sz w:val="22"/>
              </w:rPr>
            </w:pPr>
            <w:r w:rsidRPr="00B55B9F">
              <w:rPr>
                <w:sz w:val="22"/>
              </w:rPr>
              <w:t>Normal</w:t>
            </w:r>
          </w:p>
        </w:tc>
        <w:tc>
          <w:tcPr>
            <w:tcW w:w="1925" w:type="dxa"/>
          </w:tcPr>
          <w:p w14:paraId="65B7B1EF" w14:textId="77777777" w:rsidR="00634A4C" w:rsidRPr="00B55B9F" w:rsidRDefault="00634A4C" w:rsidP="00D92CD9">
            <w:pPr>
              <w:ind w:left="330"/>
              <w:jc w:val="center"/>
              <w:rPr>
                <w:sz w:val="22"/>
              </w:rPr>
            </w:pPr>
            <w:r w:rsidRPr="00B55B9F">
              <w:rPr>
                <w:sz w:val="22"/>
              </w:rPr>
              <w:t>Ref</w:t>
            </w:r>
          </w:p>
        </w:tc>
        <w:tc>
          <w:tcPr>
            <w:tcW w:w="1604" w:type="dxa"/>
          </w:tcPr>
          <w:p w14:paraId="5332103D" w14:textId="77777777" w:rsidR="00634A4C" w:rsidRPr="00B55B9F" w:rsidRDefault="00634A4C" w:rsidP="00D92CD9">
            <w:pPr>
              <w:ind w:left="330"/>
              <w:jc w:val="center"/>
              <w:rPr>
                <w:sz w:val="22"/>
              </w:rPr>
            </w:pPr>
          </w:p>
        </w:tc>
        <w:tc>
          <w:tcPr>
            <w:tcW w:w="1782" w:type="dxa"/>
          </w:tcPr>
          <w:p w14:paraId="42A5DC03" w14:textId="77777777" w:rsidR="00634A4C" w:rsidRPr="00B55B9F" w:rsidRDefault="00634A4C" w:rsidP="00D92CD9">
            <w:pPr>
              <w:ind w:left="330"/>
              <w:jc w:val="center"/>
              <w:rPr>
                <w:sz w:val="22"/>
              </w:rPr>
            </w:pPr>
            <w:r w:rsidRPr="00B55B9F">
              <w:rPr>
                <w:sz w:val="22"/>
              </w:rPr>
              <w:t>Ref</w:t>
            </w:r>
          </w:p>
        </w:tc>
        <w:tc>
          <w:tcPr>
            <w:tcW w:w="1247" w:type="dxa"/>
          </w:tcPr>
          <w:p w14:paraId="6FF62F7C" w14:textId="77777777" w:rsidR="00634A4C" w:rsidRPr="00B55B9F" w:rsidRDefault="00634A4C" w:rsidP="00D92CD9">
            <w:pPr>
              <w:ind w:left="330"/>
              <w:jc w:val="center"/>
              <w:rPr>
                <w:sz w:val="22"/>
              </w:rPr>
            </w:pPr>
          </w:p>
        </w:tc>
      </w:tr>
      <w:tr w:rsidR="00634A4C" w:rsidRPr="00B55B9F" w14:paraId="27FD2E9F" w14:textId="77777777" w:rsidTr="00D92CD9">
        <w:trPr>
          <w:trHeight w:val="264"/>
        </w:trPr>
        <w:tc>
          <w:tcPr>
            <w:tcW w:w="2792" w:type="dxa"/>
            <w:noWrap/>
            <w:vAlign w:val="bottom"/>
            <w:hideMark/>
          </w:tcPr>
          <w:p w14:paraId="5F18D784" w14:textId="77777777" w:rsidR="00634A4C" w:rsidRPr="00B55B9F" w:rsidRDefault="00634A4C" w:rsidP="00D92CD9">
            <w:pPr>
              <w:jc w:val="both"/>
              <w:rPr>
                <w:b/>
                <w:bCs/>
                <w:sz w:val="22"/>
              </w:rPr>
            </w:pPr>
            <w:r w:rsidRPr="00B55B9F">
              <w:rPr>
                <w:b/>
                <w:bCs/>
                <w:sz w:val="22"/>
              </w:rPr>
              <w:t xml:space="preserve">Serum LDL </w:t>
            </w:r>
          </w:p>
        </w:tc>
        <w:tc>
          <w:tcPr>
            <w:tcW w:w="1925" w:type="dxa"/>
          </w:tcPr>
          <w:p w14:paraId="5710CEB3" w14:textId="77777777" w:rsidR="00634A4C" w:rsidRPr="00B55B9F" w:rsidRDefault="00634A4C" w:rsidP="00D92CD9">
            <w:pPr>
              <w:jc w:val="center"/>
              <w:rPr>
                <w:sz w:val="22"/>
              </w:rPr>
            </w:pPr>
          </w:p>
        </w:tc>
        <w:tc>
          <w:tcPr>
            <w:tcW w:w="1604" w:type="dxa"/>
          </w:tcPr>
          <w:p w14:paraId="3AD68A82" w14:textId="77777777" w:rsidR="00634A4C" w:rsidRPr="00B55B9F" w:rsidRDefault="00634A4C" w:rsidP="00D92CD9">
            <w:pPr>
              <w:jc w:val="center"/>
              <w:rPr>
                <w:sz w:val="22"/>
              </w:rPr>
            </w:pPr>
          </w:p>
        </w:tc>
        <w:tc>
          <w:tcPr>
            <w:tcW w:w="1782" w:type="dxa"/>
          </w:tcPr>
          <w:p w14:paraId="538C8321" w14:textId="77777777" w:rsidR="00634A4C" w:rsidRPr="00B55B9F" w:rsidRDefault="00634A4C" w:rsidP="00D92CD9">
            <w:pPr>
              <w:jc w:val="center"/>
              <w:rPr>
                <w:sz w:val="22"/>
              </w:rPr>
            </w:pPr>
          </w:p>
        </w:tc>
        <w:tc>
          <w:tcPr>
            <w:tcW w:w="1247" w:type="dxa"/>
          </w:tcPr>
          <w:p w14:paraId="508F6407" w14:textId="77777777" w:rsidR="00634A4C" w:rsidRPr="00B55B9F" w:rsidRDefault="00634A4C" w:rsidP="00D92CD9">
            <w:pPr>
              <w:jc w:val="center"/>
              <w:rPr>
                <w:sz w:val="22"/>
              </w:rPr>
            </w:pPr>
          </w:p>
        </w:tc>
      </w:tr>
      <w:tr w:rsidR="00634A4C" w:rsidRPr="00B55B9F" w14:paraId="442D8391" w14:textId="77777777" w:rsidTr="00D92CD9">
        <w:trPr>
          <w:trHeight w:val="264"/>
        </w:trPr>
        <w:tc>
          <w:tcPr>
            <w:tcW w:w="2792" w:type="dxa"/>
            <w:noWrap/>
            <w:vAlign w:val="bottom"/>
            <w:hideMark/>
          </w:tcPr>
          <w:p w14:paraId="36F24794" w14:textId="77777777" w:rsidR="00634A4C" w:rsidRPr="00B55B9F" w:rsidRDefault="00634A4C" w:rsidP="00D92CD9">
            <w:pPr>
              <w:ind w:left="330"/>
              <w:jc w:val="both"/>
              <w:rPr>
                <w:sz w:val="22"/>
              </w:rPr>
            </w:pPr>
            <w:r w:rsidRPr="00B55B9F">
              <w:rPr>
                <w:sz w:val="22"/>
              </w:rPr>
              <w:t>Normal</w:t>
            </w:r>
          </w:p>
        </w:tc>
        <w:tc>
          <w:tcPr>
            <w:tcW w:w="1925" w:type="dxa"/>
          </w:tcPr>
          <w:p w14:paraId="07B0CCFD" w14:textId="77777777" w:rsidR="00634A4C" w:rsidRPr="00B55B9F" w:rsidRDefault="00634A4C" w:rsidP="00D92CD9">
            <w:pPr>
              <w:ind w:left="330"/>
              <w:jc w:val="center"/>
              <w:rPr>
                <w:sz w:val="22"/>
              </w:rPr>
            </w:pPr>
            <w:r w:rsidRPr="00B55B9F">
              <w:rPr>
                <w:sz w:val="22"/>
              </w:rPr>
              <w:t>Ref</w:t>
            </w:r>
          </w:p>
        </w:tc>
        <w:tc>
          <w:tcPr>
            <w:tcW w:w="1604" w:type="dxa"/>
          </w:tcPr>
          <w:p w14:paraId="24B4BFAF" w14:textId="77777777" w:rsidR="00634A4C" w:rsidRPr="00B55B9F" w:rsidRDefault="00634A4C" w:rsidP="00D92CD9">
            <w:pPr>
              <w:ind w:left="330"/>
              <w:jc w:val="center"/>
              <w:rPr>
                <w:sz w:val="22"/>
              </w:rPr>
            </w:pPr>
          </w:p>
        </w:tc>
        <w:tc>
          <w:tcPr>
            <w:tcW w:w="1782" w:type="dxa"/>
          </w:tcPr>
          <w:p w14:paraId="452A51C6" w14:textId="77777777" w:rsidR="00634A4C" w:rsidRPr="00B55B9F" w:rsidRDefault="00634A4C" w:rsidP="00D92CD9">
            <w:pPr>
              <w:ind w:left="330"/>
              <w:jc w:val="center"/>
              <w:rPr>
                <w:sz w:val="22"/>
              </w:rPr>
            </w:pPr>
            <w:r w:rsidRPr="00B55B9F">
              <w:rPr>
                <w:sz w:val="22"/>
              </w:rPr>
              <w:t>Ref</w:t>
            </w:r>
          </w:p>
        </w:tc>
        <w:tc>
          <w:tcPr>
            <w:tcW w:w="1247" w:type="dxa"/>
          </w:tcPr>
          <w:p w14:paraId="038FF16D" w14:textId="77777777" w:rsidR="00634A4C" w:rsidRPr="00B55B9F" w:rsidRDefault="00634A4C" w:rsidP="00D92CD9">
            <w:pPr>
              <w:ind w:left="330"/>
              <w:jc w:val="center"/>
              <w:rPr>
                <w:sz w:val="22"/>
              </w:rPr>
            </w:pPr>
          </w:p>
        </w:tc>
      </w:tr>
      <w:tr w:rsidR="00634A4C" w:rsidRPr="00B55B9F" w14:paraId="275623D8" w14:textId="77777777" w:rsidTr="00D92CD9">
        <w:trPr>
          <w:trHeight w:val="264"/>
        </w:trPr>
        <w:tc>
          <w:tcPr>
            <w:tcW w:w="2792" w:type="dxa"/>
            <w:noWrap/>
            <w:vAlign w:val="bottom"/>
            <w:hideMark/>
          </w:tcPr>
          <w:p w14:paraId="211D2885" w14:textId="77777777" w:rsidR="00634A4C" w:rsidRPr="00B55B9F" w:rsidRDefault="00634A4C" w:rsidP="00D92CD9">
            <w:pPr>
              <w:ind w:left="330"/>
              <w:jc w:val="both"/>
              <w:rPr>
                <w:sz w:val="22"/>
              </w:rPr>
            </w:pPr>
            <w:r w:rsidRPr="00B55B9F">
              <w:rPr>
                <w:sz w:val="22"/>
              </w:rPr>
              <w:t>High LDL</w:t>
            </w:r>
          </w:p>
        </w:tc>
        <w:tc>
          <w:tcPr>
            <w:tcW w:w="1925" w:type="dxa"/>
          </w:tcPr>
          <w:p w14:paraId="76A83DCC" w14:textId="77777777" w:rsidR="00634A4C" w:rsidRPr="00B55B9F" w:rsidRDefault="00634A4C" w:rsidP="00D92CD9">
            <w:pPr>
              <w:jc w:val="center"/>
              <w:rPr>
                <w:sz w:val="22"/>
              </w:rPr>
            </w:pPr>
            <w:r w:rsidRPr="00B55B9F">
              <w:rPr>
                <w:sz w:val="22"/>
              </w:rPr>
              <w:t>3.66 (2.32-5.77)</w:t>
            </w:r>
          </w:p>
        </w:tc>
        <w:tc>
          <w:tcPr>
            <w:tcW w:w="1604" w:type="dxa"/>
          </w:tcPr>
          <w:p w14:paraId="2F579FE4" w14:textId="77777777" w:rsidR="00634A4C" w:rsidRPr="00B55B9F" w:rsidRDefault="00634A4C" w:rsidP="00D92CD9">
            <w:pPr>
              <w:jc w:val="center"/>
              <w:rPr>
                <w:b/>
                <w:bCs/>
                <w:sz w:val="22"/>
              </w:rPr>
            </w:pPr>
            <w:r w:rsidRPr="00B55B9F">
              <w:rPr>
                <w:b/>
                <w:bCs/>
                <w:sz w:val="22"/>
              </w:rPr>
              <w:t>&lt; 0.001</w:t>
            </w:r>
          </w:p>
        </w:tc>
        <w:tc>
          <w:tcPr>
            <w:tcW w:w="1782" w:type="dxa"/>
          </w:tcPr>
          <w:p w14:paraId="4F9DAD24" w14:textId="77777777" w:rsidR="00634A4C" w:rsidRPr="00B55B9F" w:rsidRDefault="00634A4C" w:rsidP="00D92CD9">
            <w:pPr>
              <w:jc w:val="center"/>
              <w:rPr>
                <w:sz w:val="22"/>
              </w:rPr>
            </w:pPr>
            <w:r w:rsidRPr="00B55B9F">
              <w:rPr>
                <w:sz w:val="22"/>
              </w:rPr>
              <w:t>2.30 (1.36-3.88)</w:t>
            </w:r>
          </w:p>
        </w:tc>
        <w:tc>
          <w:tcPr>
            <w:tcW w:w="1247" w:type="dxa"/>
          </w:tcPr>
          <w:p w14:paraId="6F082A92" w14:textId="77777777" w:rsidR="00634A4C" w:rsidRPr="00B55B9F" w:rsidRDefault="00634A4C" w:rsidP="00D92CD9">
            <w:pPr>
              <w:jc w:val="center"/>
              <w:rPr>
                <w:b/>
                <w:bCs/>
                <w:sz w:val="22"/>
              </w:rPr>
            </w:pPr>
            <w:r w:rsidRPr="00B55B9F">
              <w:rPr>
                <w:b/>
                <w:bCs/>
                <w:sz w:val="22"/>
              </w:rPr>
              <w:t>0.021</w:t>
            </w:r>
          </w:p>
        </w:tc>
      </w:tr>
      <w:tr w:rsidR="00634A4C" w:rsidRPr="00B55B9F" w14:paraId="58211D84" w14:textId="77777777" w:rsidTr="00D92CD9">
        <w:trPr>
          <w:trHeight w:val="264"/>
        </w:trPr>
        <w:tc>
          <w:tcPr>
            <w:tcW w:w="2792" w:type="dxa"/>
            <w:noWrap/>
            <w:vAlign w:val="bottom"/>
            <w:hideMark/>
          </w:tcPr>
          <w:p w14:paraId="2EA9D23D" w14:textId="77777777" w:rsidR="00634A4C" w:rsidRPr="00B55B9F" w:rsidRDefault="00634A4C" w:rsidP="00D92CD9">
            <w:pPr>
              <w:jc w:val="both"/>
              <w:rPr>
                <w:b/>
                <w:bCs/>
                <w:sz w:val="22"/>
              </w:rPr>
            </w:pPr>
            <w:r w:rsidRPr="00B55B9F">
              <w:rPr>
                <w:b/>
                <w:bCs/>
                <w:sz w:val="22"/>
              </w:rPr>
              <w:t>Urinalysis protein</w:t>
            </w:r>
          </w:p>
        </w:tc>
        <w:tc>
          <w:tcPr>
            <w:tcW w:w="1925" w:type="dxa"/>
          </w:tcPr>
          <w:p w14:paraId="43F32D8D" w14:textId="77777777" w:rsidR="00634A4C" w:rsidRPr="00B55B9F" w:rsidRDefault="00634A4C" w:rsidP="00D92CD9">
            <w:pPr>
              <w:jc w:val="center"/>
              <w:rPr>
                <w:sz w:val="22"/>
              </w:rPr>
            </w:pPr>
          </w:p>
        </w:tc>
        <w:tc>
          <w:tcPr>
            <w:tcW w:w="1604" w:type="dxa"/>
          </w:tcPr>
          <w:p w14:paraId="63274752" w14:textId="77777777" w:rsidR="00634A4C" w:rsidRPr="00B55B9F" w:rsidRDefault="00634A4C" w:rsidP="00D92CD9">
            <w:pPr>
              <w:jc w:val="center"/>
              <w:rPr>
                <w:sz w:val="22"/>
              </w:rPr>
            </w:pPr>
          </w:p>
        </w:tc>
        <w:tc>
          <w:tcPr>
            <w:tcW w:w="1782" w:type="dxa"/>
          </w:tcPr>
          <w:p w14:paraId="74E81178" w14:textId="77777777" w:rsidR="00634A4C" w:rsidRPr="00B55B9F" w:rsidRDefault="00634A4C" w:rsidP="00D92CD9">
            <w:pPr>
              <w:jc w:val="center"/>
              <w:rPr>
                <w:sz w:val="22"/>
              </w:rPr>
            </w:pPr>
          </w:p>
        </w:tc>
        <w:tc>
          <w:tcPr>
            <w:tcW w:w="1247" w:type="dxa"/>
          </w:tcPr>
          <w:p w14:paraId="05F30C07" w14:textId="77777777" w:rsidR="00634A4C" w:rsidRPr="00B55B9F" w:rsidRDefault="00634A4C" w:rsidP="00D92CD9">
            <w:pPr>
              <w:jc w:val="center"/>
              <w:rPr>
                <w:sz w:val="22"/>
              </w:rPr>
            </w:pPr>
          </w:p>
        </w:tc>
      </w:tr>
      <w:tr w:rsidR="00634A4C" w:rsidRPr="00B55B9F" w14:paraId="560AEED3" w14:textId="77777777" w:rsidTr="00D92CD9">
        <w:trPr>
          <w:trHeight w:val="264"/>
        </w:trPr>
        <w:tc>
          <w:tcPr>
            <w:tcW w:w="2792" w:type="dxa"/>
            <w:noWrap/>
            <w:vAlign w:val="bottom"/>
            <w:hideMark/>
          </w:tcPr>
          <w:p w14:paraId="09763AE8" w14:textId="4B5B5157" w:rsidR="00634A4C" w:rsidRPr="00B55B9F" w:rsidRDefault="00EC389F" w:rsidP="00D92CD9">
            <w:pPr>
              <w:ind w:left="330"/>
              <w:jc w:val="both"/>
              <w:rPr>
                <w:sz w:val="22"/>
              </w:rPr>
            </w:pPr>
            <w:r w:rsidRPr="00B55B9F">
              <w:rPr>
                <w:sz w:val="22"/>
              </w:rPr>
              <w:t>Normal</w:t>
            </w:r>
          </w:p>
        </w:tc>
        <w:tc>
          <w:tcPr>
            <w:tcW w:w="1925" w:type="dxa"/>
          </w:tcPr>
          <w:p w14:paraId="17BE839E" w14:textId="77777777" w:rsidR="00634A4C" w:rsidRPr="00B55B9F" w:rsidRDefault="00634A4C" w:rsidP="00D92CD9">
            <w:pPr>
              <w:ind w:left="330"/>
              <w:jc w:val="center"/>
              <w:rPr>
                <w:sz w:val="22"/>
              </w:rPr>
            </w:pPr>
            <w:r w:rsidRPr="00B55B9F">
              <w:rPr>
                <w:sz w:val="22"/>
              </w:rPr>
              <w:t>Ref</w:t>
            </w:r>
          </w:p>
        </w:tc>
        <w:tc>
          <w:tcPr>
            <w:tcW w:w="1604" w:type="dxa"/>
          </w:tcPr>
          <w:p w14:paraId="02CBF3C2" w14:textId="77777777" w:rsidR="00634A4C" w:rsidRPr="00B55B9F" w:rsidRDefault="00634A4C" w:rsidP="00D92CD9">
            <w:pPr>
              <w:ind w:left="330"/>
              <w:jc w:val="center"/>
              <w:rPr>
                <w:sz w:val="22"/>
              </w:rPr>
            </w:pPr>
          </w:p>
        </w:tc>
        <w:tc>
          <w:tcPr>
            <w:tcW w:w="1782" w:type="dxa"/>
          </w:tcPr>
          <w:p w14:paraId="65530528" w14:textId="77777777" w:rsidR="00634A4C" w:rsidRPr="00B55B9F" w:rsidRDefault="00634A4C" w:rsidP="00D92CD9">
            <w:pPr>
              <w:ind w:left="330"/>
              <w:jc w:val="center"/>
              <w:rPr>
                <w:sz w:val="22"/>
              </w:rPr>
            </w:pPr>
          </w:p>
        </w:tc>
        <w:tc>
          <w:tcPr>
            <w:tcW w:w="1247" w:type="dxa"/>
          </w:tcPr>
          <w:p w14:paraId="3CF9CBC4" w14:textId="77777777" w:rsidR="00634A4C" w:rsidRPr="00B55B9F" w:rsidRDefault="00634A4C" w:rsidP="00D92CD9">
            <w:pPr>
              <w:ind w:left="330"/>
              <w:jc w:val="center"/>
              <w:rPr>
                <w:sz w:val="22"/>
              </w:rPr>
            </w:pPr>
          </w:p>
        </w:tc>
      </w:tr>
      <w:tr w:rsidR="00634A4C" w:rsidRPr="00B55B9F" w14:paraId="01CB3E79" w14:textId="77777777" w:rsidTr="00D92CD9">
        <w:trPr>
          <w:trHeight w:val="264"/>
        </w:trPr>
        <w:tc>
          <w:tcPr>
            <w:tcW w:w="2792" w:type="dxa"/>
            <w:noWrap/>
            <w:vAlign w:val="bottom"/>
            <w:hideMark/>
          </w:tcPr>
          <w:p w14:paraId="7C78FF92" w14:textId="77777777" w:rsidR="00634A4C" w:rsidRPr="00B55B9F" w:rsidRDefault="00634A4C" w:rsidP="00D92CD9">
            <w:pPr>
              <w:ind w:left="330"/>
              <w:jc w:val="both"/>
              <w:rPr>
                <w:sz w:val="22"/>
              </w:rPr>
            </w:pPr>
            <w:r w:rsidRPr="00B55B9F">
              <w:rPr>
                <w:sz w:val="22"/>
              </w:rPr>
              <w:t>Abnormal</w:t>
            </w:r>
          </w:p>
        </w:tc>
        <w:tc>
          <w:tcPr>
            <w:tcW w:w="1925" w:type="dxa"/>
          </w:tcPr>
          <w:p w14:paraId="48F18BF5" w14:textId="77777777" w:rsidR="00634A4C" w:rsidRPr="00B55B9F" w:rsidRDefault="00634A4C" w:rsidP="00D92CD9">
            <w:pPr>
              <w:jc w:val="center"/>
              <w:rPr>
                <w:sz w:val="22"/>
              </w:rPr>
            </w:pPr>
            <w:r w:rsidRPr="00B55B9F">
              <w:rPr>
                <w:sz w:val="22"/>
              </w:rPr>
              <w:t>1.48 (0.96 - 2.31)</w:t>
            </w:r>
          </w:p>
        </w:tc>
        <w:tc>
          <w:tcPr>
            <w:tcW w:w="1604" w:type="dxa"/>
          </w:tcPr>
          <w:p w14:paraId="75932306" w14:textId="77777777" w:rsidR="00634A4C" w:rsidRPr="00B55B9F" w:rsidRDefault="00634A4C" w:rsidP="00D92CD9">
            <w:pPr>
              <w:jc w:val="center"/>
              <w:rPr>
                <w:sz w:val="22"/>
              </w:rPr>
            </w:pPr>
            <w:r w:rsidRPr="00B55B9F">
              <w:rPr>
                <w:sz w:val="22"/>
              </w:rPr>
              <w:t>0.149</w:t>
            </w:r>
          </w:p>
        </w:tc>
        <w:tc>
          <w:tcPr>
            <w:tcW w:w="1782" w:type="dxa"/>
          </w:tcPr>
          <w:p w14:paraId="28B38209" w14:textId="77777777" w:rsidR="00634A4C" w:rsidRPr="00B55B9F" w:rsidRDefault="00634A4C" w:rsidP="00D92CD9">
            <w:pPr>
              <w:ind w:left="330"/>
              <w:jc w:val="center"/>
              <w:rPr>
                <w:sz w:val="22"/>
              </w:rPr>
            </w:pPr>
          </w:p>
        </w:tc>
        <w:tc>
          <w:tcPr>
            <w:tcW w:w="1247" w:type="dxa"/>
          </w:tcPr>
          <w:p w14:paraId="099059A1" w14:textId="77777777" w:rsidR="00634A4C" w:rsidRPr="00B55B9F" w:rsidRDefault="00634A4C" w:rsidP="00D92CD9">
            <w:pPr>
              <w:ind w:left="330"/>
              <w:jc w:val="center"/>
              <w:rPr>
                <w:sz w:val="22"/>
              </w:rPr>
            </w:pPr>
          </w:p>
        </w:tc>
      </w:tr>
      <w:tr w:rsidR="00634A4C" w:rsidRPr="00B55B9F" w14:paraId="7A59A325" w14:textId="77777777" w:rsidTr="00D92CD9">
        <w:trPr>
          <w:trHeight w:val="264"/>
        </w:trPr>
        <w:tc>
          <w:tcPr>
            <w:tcW w:w="2792" w:type="dxa"/>
            <w:tcBorders>
              <w:bottom w:val="single" w:sz="12" w:space="0" w:color="auto"/>
            </w:tcBorders>
            <w:noWrap/>
            <w:vAlign w:val="bottom"/>
          </w:tcPr>
          <w:p w14:paraId="6D285849" w14:textId="77777777" w:rsidR="00634A4C" w:rsidRPr="00B55B9F" w:rsidRDefault="00634A4C" w:rsidP="00D92CD9">
            <w:pPr>
              <w:jc w:val="both"/>
              <w:rPr>
                <w:b/>
                <w:bCs/>
                <w:sz w:val="22"/>
              </w:rPr>
            </w:pPr>
            <w:r w:rsidRPr="00B55B9F">
              <w:rPr>
                <w:b/>
                <w:bCs/>
                <w:sz w:val="22"/>
              </w:rPr>
              <w:t>HBA1C</w:t>
            </w:r>
          </w:p>
        </w:tc>
        <w:tc>
          <w:tcPr>
            <w:tcW w:w="1925" w:type="dxa"/>
            <w:tcBorders>
              <w:bottom w:val="single" w:sz="12" w:space="0" w:color="auto"/>
            </w:tcBorders>
          </w:tcPr>
          <w:p w14:paraId="3FCFC86E" w14:textId="77777777" w:rsidR="00634A4C" w:rsidRPr="00B55B9F" w:rsidRDefault="00634A4C" w:rsidP="00D92CD9">
            <w:pPr>
              <w:jc w:val="center"/>
              <w:rPr>
                <w:sz w:val="22"/>
              </w:rPr>
            </w:pPr>
            <w:r w:rsidRPr="00B55B9F">
              <w:rPr>
                <w:sz w:val="22"/>
              </w:rPr>
              <w:t>1.14 (1.04-1.24)</w:t>
            </w:r>
          </w:p>
        </w:tc>
        <w:tc>
          <w:tcPr>
            <w:tcW w:w="1604" w:type="dxa"/>
            <w:tcBorders>
              <w:bottom w:val="single" w:sz="12" w:space="0" w:color="auto"/>
            </w:tcBorders>
          </w:tcPr>
          <w:p w14:paraId="214901B3" w14:textId="77777777" w:rsidR="00634A4C" w:rsidRPr="00B55B9F" w:rsidRDefault="00634A4C" w:rsidP="00D92CD9">
            <w:pPr>
              <w:jc w:val="center"/>
              <w:rPr>
                <w:b/>
                <w:bCs/>
                <w:sz w:val="22"/>
              </w:rPr>
            </w:pPr>
            <w:r w:rsidRPr="00B55B9F">
              <w:rPr>
                <w:b/>
                <w:bCs/>
                <w:sz w:val="22"/>
              </w:rPr>
              <w:t>0.004</w:t>
            </w:r>
          </w:p>
        </w:tc>
        <w:tc>
          <w:tcPr>
            <w:tcW w:w="1782" w:type="dxa"/>
            <w:tcBorders>
              <w:bottom w:val="single" w:sz="12" w:space="0" w:color="auto"/>
            </w:tcBorders>
          </w:tcPr>
          <w:p w14:paraId="08D2EC6C" w14:textId="42A1137E" w:rsidR="00634A4C" w:rsidRPr="00B55B9F" w:rsidRDefault="00634A4C" w:rsidP="00D92CD9">
            <w:pPr>
              <w:jc w:val="center"/>
              <w:rPr>
                <w:sz w:val="22"/>
              </w:rPr>
            </w:pPr>
            <w:r w:rsidRPr="00B55B9F">
              <w:rPr>
                <w:sz w:val="22"/>
              </w:rPr>
              <w:t>1.06 (0.97-1.16)</w:t>
            </w:r>
          </w:p>
        </w:tc>
        <w:tc>
          <w:tcPr>
            <w:tcW w:w="1247" w:type="dxa"/>
            <w:tcBorders>
              <w:bottom w:val="single" w:sz="12" w:space="0" w:color="auto"/>
            </w:tcBorders>
          </w:tcPr>
          <w:p w14:paraId="1EC4AE26" w14:textId="77777777" w:rsidR="00634A4C" w:rsidRPr="00B55B9F" w:rsidRDefault="00634A4C" w:rsidP="00D92CD9">
            <w:pPr>
              <w:ind w:left="330"/>
              <w:jc w:val="center"/>
              <w:rPr>
                <w:sz w:val="22"/>
              </w:rPr>
            </w:pPr>
            <w:r w:rsidRPr="00B55B9F">
              <w:rPr>
                <w:sz w:val="22"/>
              </w:rPr>
              <w:t>0.202</w:t>
            </w:r>
          </w:p>
        </w:tc>
      </w:tr>
    </w:tbl>
    <w:p w14:paraId="19C3AE7B" w14:textId="77777777" w:rsidR="003D34EE" w:rsidRDefault="003D34EE" w:rsidP="003D34EE">
      <w:pPr>
        <w:spacing w:line="360" w:lineRule="auto"/>
        <w:jc w:val="both"/>
      </w:pPr>
    </w:p>
    <w:p w14:paraId="424009F1" w14:textId="77777777" w:rsidR="00FF567D" w:rsidRDefault="00FF567D" w:rsidP="00FF567D">
      <w:pPr>
        <w:spacing w:line="360" w:lineRule="auto"/>
        <w:jc w:val="both"/>
      </w:pPr>
    </w:p>
    <w:p w14:paraId="2DCA48D4" w14:textId="41BFE347" w:rsidR="00FF567D" w:rsidRDefault="00FF567D" w:rsidP="00FF567D">
      <w:pPr>
        <w:spacing w:line="360" w:lineRule="auto"/>
        <w:jc w:val="both"/>
      </w:pPr>
      <w:r>
        <w:t>In assessing factors associated with the onset of diabetic retinopathy, elevated serum triglyceride levels remained a significant predictor even after adjustment, with a 3.5-fold increased risk of developing NPDR and PDR (AOR = 3.49; 95% CI: 2.12–5.75; p &lt; 0.001). Similarly, elevated LDL levels were linked to a 2.3-fold higher risk (AOR = 2.30; 95% CI: 1.36–3.88; p = 0.021). Total cholesterol and HDL levels were not significantly associated after adjustment. However, both BMI and duration of diabetes remained strong independent predictors (</w:t>
      </w:r>
      <w:r w:rsidRPr="00D51689">
        <w:rPr>
          <w:b/>
          <w:bCs/>
        </w:rPr>
        <w:t xml:space="preserve">Table </w:t>
      </w:r>
      <w:r w:rsidR="008929A0">
        <w:rPr>
          <w:b/>
          <w:bCs/>
        </w:rPr>
        <w:t>3</w:t>
      </w:r>
      <w:r>
        <w:t xml:space="preserve">).  </w:t>
      </w:r>
    </w:p>
    <w:p w14:paraId="4061A0CE" w14:textId="143FB643" w:rsidR="009D696E" w:rsidRDefault="00FF567D" w:rsidP="009D696E">
      <w:pPr>
        <w:spacing w:line="360" w:lineRule="auto"/>
        <w:jc w:val="both"/>
      </w:pPr>
      <w:r>
        <w:t>Among patients already diagnosed with diabetic retinopathy, elevated serum triglycerides were significantly associated with progression from NPDR to PDR, increasing the risk by 65% (APR = 1.65; 95% CI: 1.24–2.21; p = 0.001)</w:t>
      </w:r>
      <w:r w:rsidR="00D51689">
        <w:t xml:space="preserve"> while the</w:t>
      </w:r>
      <w:r w:rsidR="009D696E" w:rsidRPr="009D696E">
        <w:t xml:space="preserve"> </w:t>
      </w:r>
      <w:r w:rsidR="00D51689">
        <w:t>d</w:t>
      </w:r>
      <w:r w:rsidR="009D696E">
        <w:t xml:space="preserve">uration of diabetes also remained </w:t>
      </w:r>
      <w:r w:rsidR="00017AF0">
        <w:t>as a</w:t>
      </w:r>
      <w:r w:rsidR="009D696E">
        <w:t xml:space="preserve"> significant factor in disease progression (</w:t>
      </w:r>
      <w:r w:rsidR="009D696E" w:rsidRPr="00D51689">
        <w:rPr>
          <w:b/>
          <w:bCs/>
        </w:rPr>
        <w:t xml:space="preserve">Table </w:t>
      </w:r>
      <w:r w:rsidR="008929A0">
        <w:rPr>
          <w:b/>
          <w:bCs/>
        </w:rPr>
        <w:t>4</w:t>
      </w:r>
      <w:r w:rsidR="009D696E">
        <w:t>).</w:t>
      </w:r>
    </w:p>
    <w:p w14:paraId="1C78753E" w14:textId="7C62CA6F" w:rsidR="00FF567D" w:rsidRDefault="00FF567D" w:rsidP="00FF567D">
      <w:pPr>
        <w:spacing w:line="360" w:lineRule="auto"/>
        <w:jc w:val="both"/>
      </w:pPr>
    </w:p>
    <w:p w14:paraId="54368B36" w14:textId="6A5DC9A1" w:rsidR="00FF567D" w:rsidRDefault="00FF567D" w:rsidP="00FF567D">
      <w:pPr>
        <w:spacing w:line="360" w:lineRule="auto"/>
        <w:jc w:val="both"/>
      </w:pPr>
    </w:p>
    <w:p w14:paraId="2B0D17D5" w14:textId="77777777" w:rsidR="009D696E" w:rsidRDefault="009D696E" w:rsidP="00FF567D">
      <w:pPr>
        <w:spacing w:line="360" w:lineRule="auto"/>
        <w:jc w:val="both"/>
      </w:pPr>
    </w:p>
    <w:p w14:paraId="319680F4" w14:textId="18D9F75B" w:rsidR="00A36D72" w:rsidRPr="00B55B9F" w:rsidRDefault="00D92CD9" w:rsidP="00D92CD9">
      <w:pPr>
        <w:pStyle w:val="Caption"/>
      </w:pPr>
      <w:bookmarkStart w:id="10" w:name="_Toc171341416"/>
      <w:r w:rsidRPr="00B55B9F">
        <w:lastRenderedPageBreak/>
        <w:t>Table</w:t>
      </w:r>
      <w:r w:rsidR="005F3904">
        <w:t xml:space="preserve"> </w:t>
      </w:r>
      <w:r w:rsidR="00DF2165">
        <w:t>4</w:t>
      </w:r>
      <w:r w:rsidR="00DF2165" w:rsidRPr="00B55B9F">
        <w:t>:</w:t>
      </w:r>
      <w:r w:rsidRPr="00B55B9F">
        <w:t xml:space="preserve"> Predictive factors for the progression from non-proliferative (NPDR) to proliferative diabetic retinopathy (PDR), (N-203).</w:t>
      </w:r>
      <w:bookmarkEnd w:id="10"/>
    </w:p>
    <w:tbl>
      <w:tblPr>
        <w:tblW w:w="9091" w:type="dxa"/>
        <w:tblLook w:val="04A0" w:firstRow="1" w:lastRow="0" w:firstColumn="1" w:lastColumn="0" w:noHBand="0" w:noVBand="1"/>
      </w:tblPr>
      <w:tblGrid>
        <w:gridCol w:w="2714"/>
        <w:gridCol w:w="2132"/>
        <w:gridCol w:w="1299"/>
        <w:gridCol w:w="1733"/>
        <w:gridCol w:w="1213"/>
      </w:tblGrid>
      <w:tr w:rsidR="00D92CD9" w:rsidRPr="00B55B9F" w14:paraId="593C0D03" w14:textId="77777777" w:rsidTr="00D92CD9">
        <w:trPr>
          <w:trHeight w:val="257"/>
        </w:trPr>
        <w:tc>
          <w:tcPr>
            <w:tcW w:w="2714" w:type="dxa"/>
            <w:tcBorders>
              <w:top w:val="single" w:sz="12" w:space="0" w:color="auto"/>
              <w:bottom w:val="single" w:sz="12" w:space="0" w:color="auto"/>
            </w:tcBorders>
            <w:noWrap/>
            <w:vAlign w:val="bottom"/>
            <w:hideMark/>
          </w:tcPr>
          <w:p w14:paraId="58C91208" w14:textId="77777777" w:rsidR="00B50E2E" w:rsidRPr="00B55B9F" w:rsidRDefault="00B50E2E" w:rsidP="00D92CD9">
            <w:pPr>
              <w:rPr>
                <w:b/>
                <w:bCs/>
                <w:sz w:val="22"/>
              </w:rPr>
            </w:pPr>
            <w:r w:rsidRPr="00B55B9F">
              <w:rPr>
                <w:b/>
                <w:bCs/>
                <w:sz w:val="22"/>
              </w:rPr>
              <w:t> Variable</w:t>
            </w:r>
          </w:p>
        </w:tc>
        <w:tc>
          <w:tcPr>
            <w:tcW w:w="2132" w:type="dxa"/>
            <w:tcBorders>
              <w:top w:val="single" w:sz="12" w:space="0" w:color="auto"/>
              <w:bottom w:val="single" w:sz="12" w:space="0" w:color="auto"/>
            </w:tcBorders>
          </w:tcPr>
          <w:p w14:paraId="34C5983F" w14:textId="77777777" w:rsidR="00B50E2E" w:rsidRPr="00B55B9F" w:rsidRDefault="00B50E2E" w:rsidP="00D92CD9">
            <w:pPr>
              <w:jc w:val="center"/>
              <w:rPr>
                <w:b/>
                <w:bCs/>
                <w:sz w:val="22"/>
              </w:rPr>
            </w:pPr>
            <w:r w:rsidRPr="00B55B9F">
              <w:rPr>
                <w:b/>
                <w:bCs/>
                <w:sz w:val="22"/>
              </w:rPr>
              <w:t>CPR (95%CI)</w:t>
            </w:r>
          </w:p>
        </w:tc>
        <w:tc>
          <w:tcPr>
            <w:tcW w:w="1299" w:type="dxa"/>
            <w:tcBorders>
              <w:top w:val="single" w:sz="12" w:space="0" w:color="auto"/>
              <w:bottom w:val="single" w:sz="12" w:space="0" w:color="auto"/>
            </w:tcBorders>
          </w:tcPr>
          <w:p w14:paraId="1B6E6C79" w14:textId="77777777" w:rsidR="00B50E2E" w:rsidRPr="00B55B9F" w:rsidRDefault="00B50E2E" w:rsidP="00D92CD9">
            <w:pPr>
              <w:jc w:val="center"/>
              <w:rPr>
                <w:b/>
                <w:bCs/>
                <w:sz w:val="22"/>
              </w:rPr>
            </w:pPr>
            <w:r w:rsidRPr="00B55B9F">
              <w:rPr>
                <w:b/>
                <w:bCs/>
                <w:sz w:val="22"/>
              </w:rPr>
              <w:t>P-value</w:t>
            </w:r>
          </w:p>
        </w:tc>
        <w:tc>
          <w:tcPr>
            <w:tcW w:w="1733" w:type="dxa"/>
            <w:tcBorders>
              <w:top w:val="single" w:sz="12" w:space="0" w:color="auto"/>
              <w:bottom w:val="single" w:sz="12" w:space="0" w:color="auto"/>
            </w:tcBorders>
          </w:tcPr>
          <w:p w14:paraId="764431A6" w14:textId="77777777" w:rsidR="00B50E2E" w:rsidRPr="00B55B9F" w:rsidRDefault="00B50E2E" w:rsidP="00D92CD9">
            <w:pPr>
              <w:jc w:val="center"/>
              <w:rPr>
                <w:b/>
                <w:bCs/>
                <w:sz w:val="22"/>
              </w:rPr>
            </w:pPr>
            <w:r w:rsidRPr="00B55B9F">
              <w:rPr>
                <w:b/>
                <w:bCs/>
                <w:sz w:val="22"/>
              </w:rPr>
              <w:t>APR (95%CI)</w:t>
            </w:r>
          </w:p>
        </w:tc>
        <w:tc>
          <w:tcPr>
            <w:tcW w:w="1213" w:type="dxa"/>
            <w:tcBorders>
              <w:top w:val="single" w:sz="12" w:space="0" w:color="auto"/>
              <w:bottom w:val="single" w:sz="12" w:space="0" w:color="auto"/>
            </w:tcBorders>
          </w:tcPr>
          <w:p w14:paraId="3131A963" w14:textId="77777777" w:rsidR="00B50E2E" w:rsidRPr="00B55B9F" w:rsidRDefault="00B50E2E" w:rsidP="00D92CD9">
            <w:pPr>
              <w:jc w:val="center"/>
              <w:rPr>
                <w:b/>
                <w:bCs/>
                <w:sz w:val="22"/>
              </w:rPr>
            </w:pPr>
            <w:r w:rsidRPr="00B55B9F">
              <w:rPr>
                <w:b/>
                <w:bCs/>
                <w:sz w:val="22"/>
              </w:rPr>
              <w:t>P-value</w:t>
            </w:r>
          </w:p>
        </w:tc>
      </w:tr>
      <w:tr w:rsidR="00D92CD9" w:rsidRPr="00B55B9F" w14:paraId="2F375C96" w14:textId="77777777" w:rsidTr="00D92CD9">
        <w:trPr>
          <w:trHeight w:val="257"/>
        </w:trPr>
        <w:tc>
          <w:tcPr>
            <w:tcW w:w="2714" w:type="dxa"/>
            <w:tcBorders>
              <w:top w:val="single" w:sz="12" w:space="0" w:color="auto"/>
            </w:tcBorders>
            <w:noWrap/>
            <w:vAlign w:val="bottom"/>
            <w:hideMark/>
          </w:tcPr>
          <w:p w14:paraId="6FCC01F4" w14:textId="77777777" w:rsidR="00B50E2E" w:rsidRPr="00B55B9F" w:rsidRDefault="00B50E2E" w:rsidP="00D92CD9">
            <w:pPr>
              <w:rPr>
                <w:b/>
                <w:bCs/>
                <w:sz w:val="22"/>
              </w:rPr>
            </w:pPr>
            <w:r w:rsidRPr="00B55B9F">
              <w:rPr>
                <w:b/>
                <w:bCs/>
                <w:sz w:val="22"/>
              </w:rPr>
              <w:t>Sex</w:t>
            </w:r>
          </w:p>
        </w:tc>
        <w:tc>
          <w:tcPr>
            <w:tcW w:w="2132" w:type="dxa"/>
            <w:tcBorders>
              <w:top w:val="single" w:sz="12" w:space="0" w:color="auto"/>
            </w:tcBorders>
          </w:tcPr>
          <w:p w14:paraId="0073F3FE" w14:textId="77777777" w:rsidR="00B50E2E" w:rsidRPr="00B55B9F" w:rsidRDefault="00B50E2E" w:rsidP="00D92CD9">
            <w:pPr>
              <w:jc w:val="center"/>
              <w:rPr>
                <w:sz w:val="22"/>
              </w:rPr>
            </w:pPr>
          </w:p>
        </w:tc>
        <w:tc>
          <w:tcPr>
            <w:tcW w:w="1299" w:type="dxa"/>
            <w:tcBorders>
              <w:top w:val="single" w:sz="12" w:space="0" w:color="auto"/>
            </w:tcBorders>
          </w:tcPr>
          <w:p w14:paraId="7B63FE9C" w14:textId="77777777" w:rsidR="00B50E2E" w:rsidRPr="00B55B9F" w:rsidRDefault="00B50E2E" w:rsidP="00D92CD9">
            <w:pPr>
              <w:jc w:val="center"/>
              <w:rPr>
                <w:sz w:val="22"/>
              </w:rPr>
            </w:pPr>
          </w:p>
        </w:tc>
        <w:tc>
          <w:tcPr>
            <w:tcW w:w="1733" w:type="dxa"/>
            <w:tcBorders>
              <w:top w:val="single" w:sz="12" w:space="0" w:color="auto"/>
            </w:tcBorders>
          </w:tcPr>
          <w:p w14:paraId="462B8E60" w14:textId="77777777" w:rsidR="00B50E2E" w:rsidRPr="00B55B9F" w:rsidRDefault="00B50E2E" w:rsidP="00D92CD9">
            <w:pPr>
              <w:jc w:val="center"/>
              <w:rPr>
                <w:sz w:val="22"/>
              </w:rPr>
            </w:pPr>
          </w:p>
        </w:tc>
        <w:tc>
          <w:tcPr>
            <w:tcW w:w="1213" w:type="dxa"/>
            <w:tcBorders>
              <w:top w:val="single" w:sz="12" w:space="0" w:color="auto"/>
            </w:tcBorders>
          </w:tcPr>
          <w:p w14:paraId="1001C6E1" w14:textId="77777777" w:rsidR="00B50E2E" w:rsidRPr="00B55B9F" w:rsidRDefault="00B50E2E" w:rsidP="00D92CD9">
            <w:pPr>
              <w:jc w:val="center"/>
              <w:rPr>
                <w:sz w:val="22"/>
              </w:rPr>
            </w:pPr>
          </w:p>
        </w:tc>
      </w:tr>
      <w:tr w:rsidR="00D92CD9" w:rsidRPr="00B55B9F" w14:paraId="1788D5FA" w14:textId="77777777" w:rsidTr="00D92CD9">
        <w:trPr>
          <w:trHeight w:val="257"/>
        </w:trPr>
        <w:tc>
          <w:tcPr>
            <w:tcW w:w="2714" w:type="dxa"/>
            <w:noWrap/>
            <w:vAlign w:val="bottom"/>
            <w:hideMark/>
          </w:tcPr>
          <w:p w14:paraId="79E7BED4" w14:textId="77777777" w:rsidR="00B50E2E" w:rsidRPr="00B55B9F" w:rsidRDefault="00B50E2E" w:rsidP="00D92CD9">
            <w:pPr>
              <w:ind w:left="330"/>
              <w:rPr>
                <w:sz w:val="22"/>
              </w:rPr>
            </w:pPr>
            <w:r w:rsidRPr="00B55B9F">
              <w:rPr>
                <w:sz w:val="22"/>
              </w:rPr>
              <w:t>Male</w:t>
            </w:r>
          </w:p>
        </w:tc>
        <w:tc>
          <w:tcPr>
            <w:tcW w:w="2132" w:type="dxa"/>
          </w:tcPr>
          <w:p w14:paraId="4A90D123" w14:textId="77777777" w:rsidR="00B50E2E" w:rsidRPr="00B55B9F" w:rsidRDefault="00B50E2E" w:rsidP="00D92CD9">
            <w:pPr>
              <w:jc w:val="center"/>
              <w:rPr>
                <w:sz w:val="22"/>
              </w:rPr>
            </w:pPr>
            <w:r w:rsidRPr="00B55B9F">
              <w:rPr>
                <w:sz w:val="22"/>
              </w:rPr>
              <w:t>Ref</w:t>
            </w:r>
          </w:p>
        </w:tc>
        <w:tc>
          <w:tcPr>
            <w:tcW w:w="1299" w:type="dxa"/>
          </w:tcPr>
          <w:p w14:paraId="30B40AF3" w14:textId="77777777" w:rsidR="00B50E2E" w:rsidRPr="00B55B9F" w:rsidRDefault="00B50E2E" w:rsidP="00D92CD9">
            <w:pPr>
              <w:ind w:left="330"/>
              <w:jc w:val="center"/>
              <w:rPr>
                <w:sz w:val="22"/>
              </w:rPr>
            </w:pPr>
          </w:p>
        </w:tc>
        <w:tc>
          <w:tcPr>
            <w:tcW w:w="1733" w:type="dxa"/>
          </w:tcPr>
          <w:p w14:paraId="0614E0F3" w14:textId="77777777" w:rsidR="00B50E2E" w:rsidRPr="00B55B9F" w:rsidRDefault="00B50E2E" w:rsidP="00D92CD9">
            <w:pPr>
              <w:ind w:left="330"/>
              <w:jc w:val="center"/>
              <w:rPr>
                <w:sz w:val="22"/>
              </w:rPr>
            </w:pPr>
          </w:p>
        </w:tc>
        <w:tc>
          <w:tcPr>
            <w:tcW w:w="1213" w:type="dxa"/>
          </w:tcPr>
          <w:p w14:paraId="6A06877E" w14:textId="77777777" w:rsidR="00B50E2E" w:rsidRPr="00B55B9F" w:rsidRDefault="00B50E2E" w:rsidP="00D92CD9">
            <w:pPr>
              <w:ind w:left="330"/>
              <w:jc w:val="center"/>
              <w:rPr>
                <w:sz w:val="22"/>
              </w:rPr>
            </w:pPr>
          </w:p>
        </w:tc>
      </w:tr>
      <w:tr w:rsidR="00D92CD9" w:rsidRPr="00B55B9F" w14:paraId="7B557DA5" w14:textId="77777777" w:rsidTr="00D92CD9">
        <w:trPr>
          <w:trHeight w:val="257"/>
        </w:trPr>
        <w:tc>
          <w:tcPr>
            <w:tcW w:w="2714" w:type="dxa"/>
            <w:noWrap/>
            <w:vAlign w:val="bottom"/>
            <w:hideMark/>
          </w:tcPr>
          <w:p w14:paraId="77858C31" w14:textId="77777777" w:rsidR="00B50E2E" w:rsidRPr="00B55B9F" w:rsidRDefault="00B50E2E" w:rsidP="00D92CD9">
            <w:pPr>
              <w:ind w:left="330"/>
              <w:rPr>
                <w:sz w:val="22"/>
              </w:rPr>
            </w:pPr>
            <w:r w:rsidRPr="00B55B9F">
              <w:rPr>
                <w:sz w:val="22"/>
              </w:rPr>
              <w:t>Female</w:t>
            </w:r>
          </w:p>
        </w:tc>
        <w:tc>
          <w:tcPr>
            <w:tcW w:w="2132" w:type="dxa"/>
          </w:tcPr>
          <w:p w14:paraId="596032BA" w14:textId="77777777" w:rsidR="00B50E2E" w:rsidRPr="00B55B9F" w:rsidRDefault="00B50E2E" w:rsidP="00D92CD9">
            <w:pPr>
              <w:jc w:val="center"/>
              <w:rPr>
                <w:sz w:val="22"/>
              </w:rPr>
            </w:pPr>
            <w:r w:rsidRPr="00B55B9F">
              <w:rPr>
                <w:sz w:val="22"/>
              </w:rPr>
              <w:t>1.04 (0.79-1.37)</w:t>
            </w:r>
          </w:p>
        </w:tc>
        <w:tc>
          <w:tcPr>
            <w:tcW w:w="1299" w:type="dxa"/>
          </w:tcPr>
          <w:p w14:paraId="5A86FE62" w14:textId="77777777" w:rsidR="00B50E2E" w:rsidRPr="00B55B9F" w:rsidRDefault="00B50E2E" w:rsidP="00D92CD9">
            <w:pPr>
              <w:jc w:val="center"/>
              <w:rPr>
                <w:sz w:val="22"/>
              </w:rPr>
            </w:pPr>
            <w:r w:rsidRPr="00B55B9F">
              <w:rPr>
                <w:sz w:val="22"/>
              </w:rPr>
              <w:t>0.778</w:t>
            </w:r>
          </w:p>
        </w:tc>
        <w:tc>
          <w:tcPr>
            <w:tcW w:w="1733" w:type="dxa"/>
          </w:tcPr>
          <w:p w14:paraId="07D9D643" w14:textId="77777777" w:rsidR="00B50E2E" w:rsidRPr="00B55B9F" w:rsidRDefault="00B50E2E" w:rsidP="00D92CD9">
            <w:pPr>
              <w:ind w:left="330"/>
              <w:jc w:val="center"/>
              <w:rPr>
                <w:sz w:val="22"/>
              </w:rPr>
            </w:pPr>
          </w:p>
        </w:tc>
        <w:tc>
          <w:tcPr>
            <w:tcW w:w="1213" w:type="dxa"/>
          </w:tcPr>
          <w:p w14:paraId="4AFD87F4" w14:textId="77777777" w:rsidR="00B50E2E" w:rsidRPr="00B55B9F" w:rsidRDefault="00B50E2E" w:rsidP="00D92CD9">
            <w:pPr>
              <w:ind w:left="330"/>
              <w:jc w:val="center"/>
              <w:rPr>
                <w:sz w:val="22"/>
              </w:rPr>
            </w:pPr>
          </w:p>
        </w:tc>
      </w:tr>
      <w:tr w:rsidR="00D92CD9" w:rsidRPr="00B55B9F" w14:paraId="21FD3078" w14:textId="77777777" w:rsidTr="00D92CD9">
        <w:trPr>
          <w:trHeight w:val="257"/>
        </w:trPr>
        <w:tc>
          <w:tcPr>
            <w:tcW w:w="2714" w:type="dxa"/>
            <w:noWrap/>
            <w:vAlign w:val="bottom"/>
          </w:tcPr>
          <w:p w14:paraId="19C21343" w14:textId="77777777" w:rsidR="00B50E2E" w:rsidRPr="00B55B9F" w:rsidRDefault="00B50E2E" w:rsidP="00D92CD9">
            <w:pPr>
              <w:ind w:left="330"/>
              <w:rPr>
                <w:sz w:val="22"/>
              </w:rPr>
            </w:pPr>
            <w:r w:rsidRPr="00B55B9F">
              <w:rPr>
                <w:sz w:val="22"/>
              </w:rPr>
              <w:t>Age</w:t>
            </w:r>
          </w:p>
        </w:tc>
        <w:tc>
          <w:tcPr>
            <w:tcW w:w="2132" w:type="dxa"/>
          </w:tcPr>
          <w:p w14:paraId="4569AF9B" w14:textId="77777777" w:rsidR="00B50E2E" w:rsidRPr="00B55B9F" w:rsidRDefault="00B50E2E" w:rsidP="00D92CD9">
            <w:pPr>
              <w:jc w:val="center"/>
              <w:rPr>
                <w:sz w:val="22"/>
              </w:rPr>
            </w:pPr>
            <w:r w:rsidRPr="00B55B9F">
              <w:rPr>
                <w:sz w:val="22"/>
              </w:rPr>
              <w:t>0.99 (0.97-1.01)</w:t>
            </w:r>
          </w:p>
        </w:tc>
        <w:tc>
          <w:tcPr>
            <w:tcW w:w="1299" w:type="dxa"/>
          </w:tcPr>
          <w:p w14:paraId="0282A4FB" w14:textId="77777777" w:rsidR="00B50E2E" w:rsidRPr="00B55B9F" w:rsidRDefault="00B50E2E" w:rsidP="00D92CD9">
            <w:pPr>
              <w:jc w:val="center"/>
              <w:rPr>
                <w:sz w:val="22"/>
              </w:rPr>
            </w:pPr>
            <w:r w:rsidRPr="00B55B9F">
              <w:rPr>
                <w:sz w:val="22"/>
              </w:rPr>
              <w:t>0.260</w:t>
            </w:r>
          </w:p>
        </w:tc>
        <w:tc>
          <w:tcPr>
            <w:tcW w:w="1733" w:type="dxa"/>
          </w:tcPr>
          <w:p w14:paraId="68FFD23A" w14:textId="77777777" w:rsidR="00B50E2E" w:rsidRPr="00B55B9F" w:rsidRDefault="00B50E2E" w:rsidP="00D92CD9">
            <w:pPr>
              <w:ind w:left="330"/>
              <w:jc w:val="center"/>
              <w:rPr>
                <w:sz w:val="22"/>
              </w:rPr>
            </w:pPr>
          </w:p>
        </w:tc>
        <w:tc>
          <w:tcPr>
            <w:tcW w:w="1213" w:type="dxa"/>
          </w:tcPr>
          <w:p w14:paraId="3930D8E2" w14:textId="77777777" w:rsidR="00B50E2E" w:rsidRPr="00B55B9F" w:rsidRDefault="00B50E2E" w:rsidP="00D92CD9">
            <w:pPr>
              <w:ind w:left="330"/>
              <w:jc w:val="center"/>
              <w:rPr>
                <w:sz w:val="22"/>
              </w:rPr>
            </w:pPr>
          </w:p>
        </w:tc>
      </w:tr>
      <w:tr w:rsidR="00D92CD9" w:rsidRPr="00B55B9F" w14:paraId="748D31E6" w14:textId="77777777" w:rsidTr="00D92CD9">
        <w:trPr>
          <w:trHeight w:val="257"/>
        </w:trPr>
        <w:tc>
          <w:tcPr>
            <w:tcW w:w="2714" w:type="dxa"/>
            <w:noWrap/>
            <w:vAlign w:val="bottom"/>
            <w:hideMark/>
          </w:tcPr>
          <w:p w14:paraId="09392152" w14:textId="77777777" w:rsidR="00B50E2E" w:rsidRPr="00B55B9F" w:rsidRDefault="00B50E2E" w:rsidP="00D92CD9">
            <w:pPr>
              <w:rPr>
                <w:b/>
                <w:bCs/>
                <w:sz w:val="22"/>
              </w:rPr>
            </w:pPr>
            <w:r w:rsidRPr="00B55B9F">
              <w:rPr>
                <w:b/>
                <w:bCs/>
                <w:sz w:val="22"/>
              </w:rPr>
              <w:t>Duration of diabetic mellitus</w:t>
            </w:r>
          </w:p>
        </w:tc>
        <w:tc>
          <w:tcPr>
            <w:tcW w:w="2132" w:type="dxa"/>
          </w:tcPr>
          <w:p w14:paraId="6FC00354" w14:textId="77777777" w:rsidR="00B50E2E" w:rsidRPr="00B55B9F" w:rsidRDefault="00B50E2E" w:rsidP="00D92CD9">
            <w:pPr>
              <w:jc w:val="center"/>
              <w:rPr>
                <w:sz w:val="22"/>
              </w:rPr>
            </w:pPr>
            <w:r w:rsidRPr="00B55B9F">
              <w:rPr>
                <w:sz w:val="22"/>
              </w:rPr>
              <w:t>1.11 (1.08-1.16)</w:t>
            </w:r>
          </w:p>
        </w:tc>
        <w:tc>
          <w:tcPr>
            <w:tcW w:w="1299" w:type="dxa"/>
          </w:tcPr>
          <w:p w14:paraId="344CA4BA" w14:textId="77777777" w:rsidR="00B50E2E" w:rsidRPr="00B55B9F" w:rsidRDefault="00B50E2E" w:rsidP="00D92CD9">
            <w:pPr>
              <w:jc w:val="center"/>
              <w:rPr>
                <w:b/>
                <w:bCs/>
                <w:sz w:val="22"/>
              </w:rPr>
            </w:pPr>
            <w:r w:rsidRPr="00B55B9F">
              <w:rPr>
                <w:b/>
                <w:bCs/>
                <w:sz w:val="22"/>
              </w:rPr>
              <w:t>&lt;0.001</w:t>
            </w:r>
          </w:p>
        </w:tc>
        <w:tc>
          <w:tcPr>
            <w:tcW w:w="1733" w:type="dxa"/>
          </w:tcPr>
          <w:p w14:paraId="7B584D1B" w14:textId="77777777" w:rsidR="00B50E2E" w:rsidRPr="00B55B9F" w:rsidRDefault="00B50E2E" w:rsidP="00D92CD9">
            <w:pPr>
              <w:jc w:val="center"/>
              <w:rPr>
                <w:sz w:val="22"/>
              </w:rPr>
            </w:pPr>
            <w:r w:rsidRPr="00B55B9F">
              <w:rPr>
                <w:sz w:val="22"/>
              </w:rPr>
              <w:t>1.12(1.08-1.16)</w:t>
            </w:r>
          </w:p>
        </w:tc>
        <w:tc>
          <w:tcPr>
            <w:tcW w:w="1213" w:type="dxa"/>
          </w:tcPr>
          <w:p w14:paraId="05930756" w14:textId="77777777" w:rsidR="00B50E2E" w:rsidRPr="00B55B9F" w:rsidRDefault="00B50E2E" w:rsidP="00D92CD9">
            <w:pPr>
              <w:jc w:val="center"/>
              <w:rPr>
                <w:b/>
                <w:bCs/>
                <w:sz w:val="22"/>
              </w:rPr>
            </w:pPr>
            <w:r w:rsidRPr="00B55B9F">
              <w:rPr>
                <w:b/>
                <w:bCs/>
                <w:sz w:val="22"/>
              </w:rPr>
              <w:t>&lt;0.001</w:t>
            </w:r>
          </w:p>
        </w:tc>
      </w:tr>
      <w:tr w:rsidR="00D92CD9" w:rsidRPr="00B55B9F" w14:paraId="445CA351" w14:textId="77777777" w:rsidTr="00D92CD9">
        <w:trPr>
          <w:trHeight w:val="257"/>
        </w:trPr>
        <w:tc>
          <w:tcPr>
            <w:tcW w:w="2714" w:type="dxa"/>
            <w:noWrap/>
            <w:vAlign w:val="bottom"/>
            <w:hideMark/>
          </w:tcPr>
          <w:p w14:paraId="67C04594" w14:textId="77777777" w:rsidR="00B50E2E" w:rsidRPr="00B55B9F" w:rsidRDefault="00B50E2E" w:rsidP="00D92CD9">
            <w:pPr>
              <w:rPr>
                <w:b/>
                <w:bCs/>
                <w:sz w:val="22"/>
              </w:rPr>
            </w:pPr>
            <w:r w:rsidRPr="00B55B9F">
              <w:rPr>
                <w:b/>
                <w:bCs/>
                <w:sz w:val="22"/>
              </w:rPr>
              <w:t>BMI</w:t>
            </w:r>
          </w:p>
        </w:tc>
        <w:tc>
          <w:tcPr>
            <w:tcW w:w="2132" w:type="dxa"/>
          </w:tcPr>
          <w:p w14:paraId="563A36E0" w14:textId="77777777" w:rsidR="00B50E2E" w:rsidRPr="00B55B9F" w:rsidRDefault="00B50E2E" w:rsidP="00D92CD9">
            <w:pPr>
              <w:jc w:val="center"/>
              <w:rPr>
                <w:sz w:val="22"/>
              </w:rPr>
            </w:pPr>
            <w:r w:rsidRPr="00B55B9F">
              <w:rPr>
                <w:sz w:val="22"/>
              </w:rPr>
              <w:t>1.02 (0.98-1.05)</w:t>
            </w:r>
          </w:p>
        </w:tc>
        <w:tc>
          <w:tcPr>
            <w:tcW w:w="1299" w:type="dxa"/>
          </w:tcPr>
          <w:p w14:paraId="12580FBC" w14:textId="77777777" w:rsidR="00B50E2E" w:rsidRPr="00B55B9F" w:rsidRDefault="00B50E2E" w:rsidP="00D92CD9">
            <w:pPr>
              <w:jc w:val="center"/>
              <w:rPr>
                <w:sz w:val="22"/>
              </w:rPr>
            </w:pPr>
            <w:r w:rsidRPr="00B55B9F">
              <w:rPr>
                <w:sz w:val="22"/>
              </w:rPr>
              <w:t>0.297</w:t>
            </w:r>
          </w:p>
        </w:tc>
        <w:tc>
          <w:tcPr>
            <w:tcW w:w="1733" w:type="dxa"/>
          </w:tcPr>
          <w:p w14:paraId="57606966" w14:textId="77777777" w:rsidR="00B50E2E" w:rsidRPr="00B55B9F" w:rsidRDefault="00B50E2E" w:rsidP="00D92CD9">
            <w:pPr>
              <w:jc w:val="center"/>
              <w:rPr>
                <w:sz w:val="22"/>
              </w:rPr>
            </w:pPr>
          </w:p>
        </w:tc>
        <w:tc>
          <w:tcPr>
            <w:tcW w:w="1213" w:type="dxa"/>
          </w:tcPr>
          <w:p w14:paraId="28B8608C" w14:textId="77777777" w:rsidR="00B50E2E" w:rsidRPr="00B55B9F" w:rsidRDefault="00B50E2E" w:rsidP="00D92CD9">
            <w:pPr>
              <w:jc w:val="center"/>
              <w:rPr>
                <w:sz w:val="22"/>
              </w:rPr>
            </w:pPr>
          </w:p>
        </w:tc>
      </w:tr>
      <w:tr w:rsidR="00D92CD9" w:rsidRPr="00B55B9F" w14:paraId="25E5D9D7" w14:textId="77777777" w:rsidTr="00D92CD9">
        <w:trPr>
          <w:trHeight w:val="257"/>
        </w:trPr>
        <w:tc>
          <w:tcPr>
            <w:tcW w:w="2714" w:type="dxa"/>
            <w:noWrap/>
            <w:vAlign w:val="bottom"/>
          </w:tcPr>
          <w:p w14:paraId="30F226B4" w14:textId="77777777" w:rsidR="00B50E2E" w:rsidRPr="00B55B9F" w:rsidRDefault="00B50E2E" w:rsidP="00D92CD9">
            <w:pPr>
              <w:rPr>
                <w:b/>
                <w:bCs/>
                <w:sz w:val="22"/>
              </w:rPr>
            </w:pPr>
            <w:r w:rsidRPr="00B55B9F">
              <w:rPr>
                <w:b/>
                <w:bCs/>
                <w:sz w:val="22"/>
              </w:rPr>
              <w:t>Serum creatinine</w:t>
            </w:r>
          </w:p>
        </w:tc>
        <w:tc>
          <w:tcPr>
            <w:tcW w:w="2132" w:type="dxa"/>
          </w:tcPr>
          <w:p w14:paraId="54C39DC8" w14:textId="77777777" w:rsidR="00B50E2E" w:rsidRPr="00B55B9F" w:rsidRDefault="00B50E2E" w:rsidP="00D92CD9">
            <w:pPr>
              <w:jc w:val="center"/>
              <w:rPr>
                <w:sz w:val="22"/>
              </w:rPr>
            </w:pPr>
            <w:r w:rsidRPr="00B55B9F">
              <w:rPr>
                <w:sz w:val="22"/>
              </w:rPr>
              <w:t>1.00 (0.99-1.001)</w:t>
            </w:r>
          </w:p>
        </w:tc>
        <w:tc>
          <w:tcPr>
            <w:tcW w:w="1299" w:type="dxa"/>
          </w:tcPr>
          <w:p w14:paraId="6F88EC0D" w14:textId="77777777" w:rsidR="00B50E2E" w:rsidRPr="00B55B9F" w:rsidRDefault="00B50E2E" w:rsidP="00D92CD9">
            <w:pPr>
              <w:jc w:val="center"/>
              <w:rPr>
                <w:sz w:val="22"/>
              </w:rPr>
            </w:pPr>
            <w:r w:rsidRPr="00B55B9F">
              <w:rPr>
                <w:sz w:val="22"/>
              </w:rPr>
              <w:t>0.246</w:t>
            </w:r>
          </w:p>
        </w:tc>
        <w:tc>
          <w:tcPr>
            <w:tcW w:w="1733" w:type="dxa"/>
          </w:tcPr>
          <w:p w14:paraId="72D4AC3A" w14:textId="77777777" w:rsidR="00B50E2E" w:rsidRPr="00B55B9F" w:rsidRDefault="00B50E2E" w:rsidP="00D92CD9">
            <w:pPr>
              <w:jc w:val="center"/>
              <w:rPr>
                <w:sz w:val="22"/>
              </w:rPr>
            </w:pPr>
          </w:p>
        </w:tc>
        <w:tc>
          <w:tcPr>
            <w:tcW w:w="1213" w:type="dxa"/>
          </w:tcPr>
          <w:p w14:paraId="63E01080" w14:textId="77777777" w:rsidR="00B50E2E" w:rsidRPr="00B55B9F" w:rsidRDefault="00B50E2E" w:rsidP="00D92CD9">
            <w:pPr>
              <w:jc w:val="center"/>
              <w:rPr>
                <w:sz w:val="22"/>
              </w:rPr>
            </w:pPr>
          </w:p>
        </w:tc>
      </w:tr>
      <w:tr w:rsidR="00D92CD9" w:rsidRPr="00B55B9F" w14:paraId="7AE1F83E" w14:textId="77777777" w:rsidTr="00D92CD9">
        <w:trPr>
          <w:trHeight w:val="257"/>
        </w:trPr>
        <w:tc>
          <w:tcPr>
            <w:tcW w:w="2714" w:type="dxa"/>
            <w:noWrap/>
            <w:vAlign w:val="bottom"/>
            <w:hideMark/>
          </w:tcPr>
          <w:p w14:paraId="7DE2D0B0" w14:textId="77777777" w:rsidR="00B50E2E" w:rsidRPr="00B55B9F" w:rsidRDefault="00B50E2E" w:rsidP="00D92CD9">
            <w:pPr>
              <w:rPr>
                <w:b/>
                <w:bCs/>
                <w:sz w:val="22"/>
              </w:rPr>
            </w:pPr>
            <w:r w:rsidRPr="00B55B9F">
              <w:rPr>
                <w:b/>
                <w:bCs/>
                <w:sz w:val="22"/>
              </w:rPr>
              <w:t xml:space="preserve">Serum cholesterol </w:t>
            </w:r>
          </w:p>
        </w:tc>
        <w:tc>
          <w:tcPr>
            <w:tcW w:w="2132" w:type="dxa"/>
          </w:tcPr>
          <w:p w14:paraId="016CEA00" w14:textId="77777777" w:rsidR="00B50E2E" w:rsidRPr="00B55B9F" w:rsidRDefault="00B50E2E" w:rsidP="00D92CD9">
            <w:pPr>
              <w:jc w:val="center"/>
              <w:rPr>
                <w:sz w:val="22"/>
              </w:rPr>
            </w:pPr>
          </w:p>
        </w:tc>
        <w:tc>
          <w:tcPr>
            <w:tcW w:w="1299" w:type="dxa"/>
          </w:tcPr>
          <w:p w14:paraId="4A59B16E" w14:textId="77777777" w:rsidR="00B50E2E" w:rsidRPr="00B55B9F" w:rsidRDefault="00B50E2E" w:rsidP="00D92CD9">
            <w:pPr>
              <w:jc w:val="center"/>
              <w:rPr>
                <w:sz w:val="22"/>
              </w:rPr>
            </w:pPr>
          </w:p>
        </w:tc>
        <w:tc>
          <w:tcPr>
            <w:tcW w:w="1733" w:type="dxa"/>
          </w:tcPr>
          <w:p w14:paraId="6DF8A1F9" w14:textId="77777777" w:rsidR="00B50E2E" w:rsidRPr="00B55B9F" w:rsidRDefault="00B50E2E" w:rsidP="00D92CD9">
            <w:pPr>
              <w:jc w:val="center"/>
              <w:rPr>
                <w:sz w:val="22"/>
              </w:rPr>
            </w:pPr>
          </w:p>
        </w:tc>
        <w:tc>
          <w:tcPr>
            <w:tcW w:w="1213" w:type="dxa"/>
          </w:tcPr>
          <w:p w14:paraId="766AD107" w14:textId="77777777" w:rsidR="00B50E2E" w:rsidRPr="00B55B9F" w:rsidRDefault="00B50E2E" w:rsidP="00D92CD9">
            <w:pPr>
              <w:jc w:val="center"/>
              <w:rPr>
                <w:sz w:val="22"/>
              </w:rPr>
            </w:pPr>
          </w:p>
        </w:tc>
      </w:tr>
      <w:tr w:rsidR="00D92CD9" w:rsidRPr="00B55B9F" w14:paraId="6C72B315" w14:textId="77777777" w:rsidTr="00D92CD9">
        <w:trPr>
          <w:trHeight w:val="257"/>
        </w:trPr>
        <w:tc>
          <w:tcPr>
            <w:tcW w:w="2714" w:type="dxa"/>
            <w:noWrap/>
            <w:vAlign w:val="bottom"/>
            <w:hideMark/>
          </w:tcPr>
          <w:p w14:paraId="49FD68B8" w14:textId="77777777" w:rsidR="00B50E2E" w:rsidRPr="00B55B9F" w:rsidRDefault="00B50E2E" w:rsidP="00D92CD9">
            <w:pPr>
              <w:ind w:left="330"/>
              <w:rPr>
                <w:sz w:val="22"/>
              </w:rPr>
            </w:pPr>
            <w:r w:rsidRPr="00B55B9F">
              <w:rPr>
                <w:sz w:val="22"/>
              </w:rPr>
              <w:t>&lt; 5.2</w:t>
            </w:r>
          </w:p>
        </w:tc>
        <w:tc>
          <w:tcPr>
            <w:tcW w:w="2132" w:type="dxa"/>
          </w:tcPr>
          <w:p w14:paraId="19A740F9" w14:textId="77777777" w:rsidR="00B50E2E" w:rsidRPr="00B55B9F" w:rsidRDefault="00B50E2E" w:rsidP="00D92CD9">
            <w:pPr>
              <w:ind w:left="330"/>
              <w:jc w:val="center"/>
              <w:rPr>
                <w:sz w:val="22"/>
              </w:rPr>
            </w:pPr>
            <w:r w:rsidRPr="00B55B9F">
              <w:rPr>
                <w:sz w:val="22"/>
              </w:rPr>
              <w:t>Ref</w:t>
            </w:r>
          </w:p>
        </w:tc>
        <w:tc>
          <w:tcPr>
            <w:tcW w:w="1299" w:type="dxa"/>
          </w:tcPr>
          <w:p w14:paraId="40745A09" w14:textId="77777777" w:rsidR="00B50E2E" w:rsidRPr="00B55B9F" w:rsidRDefault="00B50E2E" w:rsidP="00D92CD9">
            <w:pPr>
              <w:ind w:left="330"/>
              <w:jc w:val="center"/>
              <w:rPr>
                <w:sz w:val="22"/>
              </w:rPr>
            </w:pPr>
          </w:p>
        </w:tc>
        <w:tc>
          <w:tcPr>
            <w:tcW w:w="1733" w:type="dxa"/>
          </w:tcPr>
          <w:p w14:paraId="4AAEF358" w14:textId="77777777" w:rsidR="00B50E2E" w:rsidRPr="00B55B9F" w:rsidRDefault="00B50E2E" w:rsidP="00D92CD9">
            <w:pPr>
              <w:ind w:left="330"/>
              <w:jc w:val="center"/>
              <w:rPr>
                <w:sz w:val="22"/>
              </w:rPr>
            </w:pPr>
            <w:r w:rsidRPr="00B55B9F">
              <w:rPr>
                <w:sz w:val="22"/>
              </w:rPr>
              <w:t>Ref</w:t>
            </w:r>
          </w:p>
        </w:tc>
        <w:tc>
          <w:tcPr>
            <w:tcW w:w="1213" w:type="dxa"/>
          </w:tcPr>
          <w:p w14:paraId="34BA5C46" w14:textId="77777777" w:rsidR="00B50E2E" w:rsidRPr="00B55B9F" w:rsidRDefault="00B50E2E" w:rsidP="00D92CD9">
            <w:pPr>
              <w:ind w:left="330"/>
              <w:jc w:val="center"/>
              <w:rPr>
                <w:sz w:val="22"/>
              </w:rPr>
            </w:pPr>
          </w:p>
        </w:tc>
      </w:tr>
      <w:tr w:rsidR="00D92CD9" w:rsidRPr="00B55B9F" w14:paraId="2448CE5D" w14:textId="77777777" w:rsidTr="00D92CD9">
        <w:trPr>
          <w:trHeight w:val="257"/>
        </w:trPr>
        <w:tc>
          <w:tcPr>
            <w:tcW w:w="2714" w:type="dxa"/>
            <w:noWrap/>
            <w:vAlign w:val="bottom"/>
            <w:hideMark/>
          </w:tcPr>
          <w:p w14:paraId="074D1BAD" w14:textId="77777777" w:rsidR="00B50E2E" w:rsidRPr="00B55B9F" w:rsidRDefault="00B50E2E" w:rsidP="00D92CD9">
            <w:pPr>
              <w:ind w:left="330"/>
              <w:rPr>
                <w:sz w:val="22"/>
              </w:rPr>
            </w:pPr>
            <w:r w:rsidRPr="00B55B9F">
              <w:rPr>
                <w:sz w:val="22"/>
              </w:rPr>
              <w:t>≥ 5.2</w:t>
            </w:r>
          </w:p>
        </w:tc>
        <w:tc>
          <w:tcPr>
            <w:tcW w:w="2132" w:type="dxa"/>
          </w:tcPr>
          <w:p w14:paraId="342B76D1" w14:textId="77777777" w:rsidR="00B50E2E" w:rsidRPr="00B55B9F" w:rsidRDefault="00B50E2E" w:rsidP="00D92CD9">
            <w:pPr>
              <w:jc w:val="center"/>
              <w:rPr>
                <w:sz w:val="22"/>
              </w:rPr>
            </w:pPr>
            <w:r w:rsidRPr="00B55B9F">
              <w:rPr>
                <w:sz w:val="22"/>
              </w:rPr>
              <w:t>1.02 (0.77-1.35)</w:t>
            </w:r>
          </w:p>
        </w:tc>
        <w:tc>
          <w:tcPr>
            <w:tcW w:w="1299" w:type="dxa"/>
          </w:tcPr>
          <w:p w14:paraId="027A07E5" w14:textId="77777777" w:rsidR="00B50E2E" w:rsidRPr="00B55B9F" w:rsidRDefault="00B50E2E" w:rsidP="00D92CD9">
            <w:pPr>
              <w:jc w:val="center"/>
              <w:rPr>
                <w:sz w:val="22"/>
              </w:rPr>
            </w:pPr>
            <w:r w:rsidRPr="00B55B9F">
              <w:rPr>
                <w:sz w:val="22"/>
              </w:rPr>
              <w:t>0.887</w:t>
            </w:r>
          </w:p>
        </w:tc>
        <w:tc>
          <w:tcPr>
            <w:tcW w:w="1733" w:type="dxa"/>
          </w:tcPr>
          <w:p w14:paraId="1E8D991C" w14:textId="77777777" w:rsidR="00B50E2E" w:rsidRPr="00B55B9F" w:rsidRDefault="00B50E2E" w:rsidP="00D92CD9">
            <w:pPr>
              <w:jc w:val="center"/>
              <w:rPr>
                <w:sz w:val="22"/>
              </w:rPr>
            </w:pPr>
            <w:r w:rsidRPr="00B55B9F">
              <w:rPr>
                <w:sz w:val="22"/>
              </w:rPr>
              <w:t>0.97 (0.74-1.28)</w:t>
            </w:r>
          </w:p>
        </w:tc>
        <w:tc>
          <w:tcPr>
            <w:tcW w:w="1213" w:type="dxa"/>
          </w:tcPr>
          <w:p w14:paraId="39379480" w14:textId="77777777" w:rsidR="00B50E2E" w:rsidRPr="00B55B9F" w:rsidRDefault="00B50E2E" w:rsidP="00D92CD9">
            <w:pPr>
              <w:jc w:val="center"/>
              <w:rPr>
                <w:sz w:val="22"/>
              </w:rPr>
            </w:pPr>
            <w:r w:rsidRPr="00B55B9F">
              <w:rPr>
                <w:sz w:val="22"/>
              </w:rPr>
              <w:t>0.872</w:t>
            </w:r>
          </w:p>
        </w:tc>
      </w:tr>
      <w:tr w:rsidR="00D92CD9" w:rsidRPr="00B55B9F" w14:paraId="5558F0E9" w14:textId="77777777" w:rsidTr="00D92CD9">
        <w:trPr>
          <w:trHeight w:val="257"/>
        </w:trPr>
        <w:tc>
          <w:tcPr>
            <w:tcW w:w="2714" w:type="dxa"/>
            <w:noWrap/>
            <w:vAlign w:val="bottom"/>
            <w:hideMark/>
          </w:tcPr>
          <w:p w14:paraId="182193CA" w14:textId="77777777" w:rsidR="00B50E2E" w:rsidRPr="00B55B9F" w:rsidRDefault="00B50E2E" w:rsidP="00D92CD9">
            <w:pPr>
              <w:rPr>
                <w:b/>
                <w:bCs/>
                <w:sz w:val="22"/>
              </w:rPr>
            </w:pPr>
            <w:r w:rsidRPr="00B55B9F">
              <w:rPr>
                <w:b/>
                <w:bCs/>
                <w:sz w:val="22"/>
              </w:rPr>
              <w:t xml:space="preserve">Serum triglycerides </w:t>
            </w:r>
          </w:p>
        </w:tc>
        <w:tc>
          <w:tcPr>
            <w:tcW w:w="2132" w:type="dxa"/>
          </w:tcPr>
          <w:p w14:paraId="5B2F633B" w14:textId="77777777" w:rsidR="00B50E2E" w:rsidRPr="00B55B9F" w:rsidRDefault="00B50E2E" w:rsidP="00D92CD9">
            <w:pPr>
              <w:jc w:val="center"/>
              <w:rPr>
                <w:sz w:val="22"/>
              </w:rPr>
            </w:pPr>
          </w:p>
        </w:tc>
        <w:tc>
          <w:tcPr>
            <w:tcW w:w="1299" w:type="dxa"/>
          </w:tcPr>
          <w:p w14:paraId="43FEA6C6" w14:textId="77777777" w:rsidR="00B50E2E" w:rsidRPr="00B55B9F" w:rsidRDefault="00B50E2E" w:rsidP="00D92CD9">
            <w:pPr>
              <w:jc w:val="center"/>
              <w:rPr>
                <w:sz w:val="22"/>
              </w:rPr>
            </w:pPr>
          </w:p>
        </w:tc>
        <w:tc>
          <w:tcPr>
            <w:tcW w:w="1733" w:type="dxa"/>
          </w:tcPr>
          <w:p w14:paraId="1B50D9B1" w14:textId="77777777" w:rsidR="00B50E2E" w:rsidRPr="00B55B9F" w:rsidRDefault="00B50E2E" w:rsidP="00D92CD9">
            <w:pPr>
              <w:jc w:val="center"/>
              <w:rPr>
                <w:sz w:val="22"/>
              </w:rPr>
            </w:pPr>
          </w:p>
        </w:tc>
        <w:tc>
          <w:tcPr>
            <w:tcW w:w="1213" w:type="dxa"/>
          </w:tcPr>
          <w:p w14:paraId="07BC1406" w14:textId="77777777" w:rsidR="00B50E2E" w:rsidRPr="00B55B9F" w:rsidRDefault="00B50E2E" w:rsidP="00D92CD9">
            <w:pPr>
              <w:jc w:val="center"/>
              <w:rPr>
                <w:sz w:val="22"/>
              </w:rPr>
            </w:pPr>
          </w:p>
        </w:tc>
      </w:tr>
      <w:tr w:rsidR="00D92CD9" w:rsidRPr="00B55B9F" w14:paraId="4DB6156C" w14:textId="77777777" w:rsidTr="00D92CD9">
        <w:trPr>
          <w:trHeight w:val="257"/>
        </w:trPr>
        <w:tc>
          <w:tcPr>
            <w:tcW w:w="2714" w:type="dxa"/>
            <w:noWrap/>
            <w:vAlign w:val="bottom"/>
            <w:hideMark/>
          </w:tcPr>
          <w:p w14:paraId="501F0677" w14:textId="77777777" w:rsidR="00B50E2E" w:rsidRPr="00B55B9F" w:rsidRDefault="00B50E2E" w:rsidP="00D92CD9">
            <w:pPr>
              <w:ind w:left="330"/>
              <w:rPr>
                <w:sz w:val="22"/>
              </w:rPr>
            </w:pPr>
            <w:r w:rsidRPr="00B55B9F">
              <w:rPr>
                <w:sz w:val="22"/>
              </w:rPr>
              <w:t>&lt; 2.26</w:t>
            </w:r>
          </w:p>
        </w:tc>
        <w:tc>
          <w:tcPr>
            <w:tcW w:w="2132" w:type="dxa"/>
          </w:tcPr>
          <w:p w14:paraId="5147EBAE" w14:textId="77777777" w:rsidR="00B50E2E" w:rsidRPr="00B55B9F" w:rsidRDefault="00B50E2E" w:rsidP="00D92CD9">
            <w:pPr>
              <w:ind w:left="330"/>
              <w:jc w:val="center"/>
              <w:rPr>
                <w:sz w:val="22"/>
              </w:rPr>
            </w:pPr>
            <w:r w:rsidRPr="00B55B9F">
              <w:rPr>
                <w:sz w:val="22"/>
              </w:rPr>
              <w:t>Ref</w:t>
            </w:r>
          </w:p>
        </w:tc>
        <w:tc>
          <w:tcPr>
            <w:tcW w:w="1299" w:type="dxa"/>
          </w:tcPr>
          <w:p w14:paraId="4F2953FE" w14:textId="77777777" w:rsidR="00B50E2E" w:rsidRPr="00B55B9F" w:rsidRDefault="00B50E2E" w:rsidP="00D92CD9">
            <w:pPr>
              <w:ind w:left="330"/>
              <w:jc w:val="center"/>
              <w:rPr>
                <w:sz w:val="22"/>
              </w:rPr>
            </w:pPr>
          </w:p>
        </w:tc>
        <w:tc>
          <w:tcPr>
            <w:tcW w:w="1733" w:type="dxa"/>
          </w:tcPr>
          <w:p w14:paraId="7F8812AF" w14:textId="77777777" w:rsidR="00B50E2E" w:rsidRPr="00B55B9F" w:rsidRDefault="00B50E2E" w:rsidP="00D92CD9">
            <w:pPr>
              <w:ind w:left="330"/>
              <w:jc w:val="center"/>
              <w:rPr>
                <w:sz w:val="22"/>
              </w:rPr>
            </w:pPr>
            <w:r w:rsidRPr="00B55B9F">
              <w:rPr>
                <w:sz w:val="22"/>
              </w:rPr>
              <w:t>Ref</w:t>
            </w:r>
          </w:p>
        </w:tc>
        <w:tc>
          <w:tcPr>
            <w:tcW w:w="1213" w:type="dxa"/>
          </w:tcPr>
          <w:p w14:paraId="2241B47E" w14:textId="77777777" w:rsidR="00B50E2E" w:rsidRPr="00B55B9F" w:rsidRDefault="00B50E2E" w:rsidP="00D92CD9">
            <w:pPr>
              <w:ind w:left="330"/>
              <w:jc w:val="center"/>
              <w:rPr>
                <w:sz w:val="22"/>
              </w:rPr>
            </w:pPr>
          </w:p>
        </w:tc>
      </w:tr>
      <w:tr w:rsidR="00D92CD9" w:rsidRPr="00B55B9F" w14:paraId="61D69992" w14:textId="77777777" w:rsidTr="00D92CD9">
        <w:trPr>
          <w:trHeight w:val="257"/>
        </w:trPr>
        <w:tc>
          <w:tcPr>
            <w:tcW w:w="2714" w:type="dxa"/>
            <w:noWrap/>
            <w:vAlign w:val="bottom"/>
            <w:hideMark/>
          </w:tcPr>
          <w:p w14:paraId="5D60AD4B" w14:textId="77777777" w:rsidR="00B50E2E" w:rsidRPr="00B55B9F" w:rsidRDefault="00B50E2E" w:rsidP="00D92CD9">
            <w:pPr>
              <w:ind w:left="330"/>
              <w:rPr>
                <w:sz w:val="22"/>
              </w:rPr>
            </w:pPr>
            <w:r w:rsidRPr="00B55B9F">
              <w:rPr>
                <w:sz w:val="22"/>
              </w:rPr>
              <w:t>≥ 2.26</w:t>
            </w:r>
          </w:p>
        </w:tc>
        <w:tc>
          <w:tcPr>
            <w:tcW w:w="2132" w:type="dxa"/>
          </w:tcPr>
          <w:p w14:paraId="60E50703" w14:textId="77777777" w:rsidR="00B50E2E" w:rsidRPr="00B55B9F" w:rsidRDefault="00B50E2E" w:rsidP="00D92CD9">
            <w:pPr>
              <w:jc w:val="center"/>
              <w:rPr>
                <w:sz w:val="22"/>
              </w:rPr>
            </w:pPr>
            <w:r w:rsidRPr="00B55B9F">
              <w:rPr>
                <w:sz w:val="22"/>
              </w:rPr>
              <w:t>1.58 (1.16-2.15)</w:t>
            </w:r>
          </w:p>
        </w:tc>
        <w:tc>
          <w:tcPr>
            <w:tcW w:w="1299" w:type="dxa"/>
          </w:tcPr>
          <w:p w14:paraId="4D4AE617" w14:textId="77777777" w:rsidR="00B50E2E" w:rsidRPr="00B55B9F" w:rsidRDefault="00B50E2E" w:rsidP="00D92CD9">
            <w:pPr>
              <w:jc w:val="center"/>
              <w:rPr>
                <w:b/>
                <w:bCs/>
                <w:sz w:val="22"/>
              </w:rPr>
            </w:pPr>
            <w:r w:rsidRPr="00B55B9F">
              <w:rPr>
                <w:b/>
                <w:bCs/>
                <w:sz w:val="22"/>
              </w:rPr>
              <w:t>0.003</w:t>
            </w:r>
          </w:p>
        </w:tc>
        <w:tc>
          <w:tcPr>
            <w:tcW w:w="1733" w:type="dxa"/>
          </w:tcPr>
          <w:p w14:paraId="4D69DEB1" w14:textId="77777777" w:rsidR="00B50E2E" w:rsidRPr="00B55B9F" w:rsidRDefault="00B50E2E" w:rsidP="00D92CD9">
            <w:pPr>
              <w:jc w:val="center"/>
              <w:rPr>
                <w:sz w:val="22"/>
              </w:rPr>
            </w:pPr>
            <w:r w:rsidRPr="00B55B9F">
              <w:rPr>
                <w:sz w:val="22"/>
              </w:rPr>
              <w:t>1.65 (1.24-2.21)</w:t>
            </w:r>
          </w:p>
        </w:tc>
        <w:tc>
          <w:tcPr>
            <w:tcW w:w="1213" w:type="dxa"/>
          </w:tcPr>
          <w:p w14:paraId="7190FA13" w14:textId="77777777" w:rsidR="00B50E2E" w:rsidRPr="00B55B9F" w:rsidRDefault="00B50E2E" w:rsidP="00D92CD9">
            <w:pPr>
              <w:jc w:val="center"/>
              <w:rPr>
                <w:b/>
                <w:bCs/>
                <w:sz w:val="22"/>
              </w:rPr>
            </w:pPr>
            <w:r w:rsidRPr="00B55B9F">
              <w:rPr>
                <w:b/>
                <w:bCs/>
                <w:sz w:val="22"/>
              </w:rPr>
              <w:t>0.001</w:t>
            </w:r>
          </w:p>
        </w:tc>
      </w:tr>
      <w:tr w:rsidR="00D92CD9" w:rsidRPr="00B55B9F" w14:paraId="747DCAE6" w14:textId="77777777" w:rsidTr="00D92CD9">
        <w:trPr>
          <w:trHeight w:val="257"/>
        </w:trPr>
        <w:tc>
          <w:tcPr>
            <w:tcW w:w="2714" w:type="dxa"/>
            <w:noWrap/>
            <w:vAlign w:val="bottom"/>
            <w:hideMark/>
          </w:tcPr>
          <w:p w14:paraId="00CE5AD2" w14:textId="77777777" w:rsidR="00B50E2E" w:rsidRPr="00B55B9F" w:rsidRDefault="00B50E2E" w:rsidP="00D92CD9">
            <w:pPr>
              <w:rPr>
                <w:b/>
                <w:bCs/>
                <w:sz w:val="22"/>
              </w:rPr>
            </w:pPr>
            <w:r w:rsidRPr="00B55B9F">
              <w:rPr>
                <w:b/>
                <w:bCs/>
                <w:sz w:val="22"/>
              </w:rPr>
              <w:t xml:space="preserve">Serum HDL </w:t>
            </w:r>
          </w:p>
        </w:tc>
        <w:tc>
          <w:tcPr>
            <w:tcW w:w="2132" w:type="dxa"/>
          </w:tcPr>
          <w:p w14:paraId="077EE988" w14:textId="77777777" w:rsidR="00B50E2E" w:rsidRPr="00B55B9F" w:rsidRDefault="00B50E2E" w:rsidP="00D92CD9">
            <w:pPr>
              <w:jc w:val="center"/>
              <w:rPr>
                <w:sz w:val="22"/>
              </w:rPr>
            </w:pPr>
          </w:p>
        </w:tc>
        <w:tc>
          <w:tcPr>
            <w:tcW w:w="1299" w:type="dxa"/>
          </w:tcPr>
          <w:p w14:paraId="2AD1C593" w14:textId="77777777" w:rsidR="00B50E2E" w:rsidRPr="00B55B9F" w:rsidRDefault="00B50E2E" w:rsidP="00D92CD9">
            <w:pPr>
              <w:jc w:val="center"/>
              <w:rPr>
                <w:sz w:val="22"/>
              </w:rPr>
            </w:pPr>
          </w:p>
        </w:tc>
        <w:tc>
          <w:tcPr>
            <w:tcW w:w="1733" w:type="dxa"/>
          </w:tcPr>
          <w:p w14:paraId="4C955C1A" w14:textId="77777777" w:rsidR="00B50E2E" w:rsidRPr="00B55B9F" w:rsidRDefault="00B50E2E" w:rsidP="00D92CD9">
            <w:pPr>
              <w:jc w:val="center"/>
              <w:rPr>
                <w:sz w:val="22"/>
              </w:rPr>
            </w:pPr>
          </w:p>
        </w:tc>
        <w:tc>
          <w:tcPr>
            <w:tcW w:w="1213" w:type="dxa"/>
          </w:tcPr>
          <w:p w14:paraId="18FB1C6A" w14:textId="77777777" w:rsidR="00B50E2E" w:rsidRPr="00B55B9F" w:rsidRDefault="00B50E2E" w:rsidP="00D92CD9">
            <w:pPr>
              <w:jc w:val="center"/>
              <w:rPr>
                <w:sz w:val="22"/>
              </w:rPr>
            </w:pPr>
          </w:p>
        </w:tc>
      </w:tr>
      <w:tr w:rsidR="00D92CD9" w:rsidRPr="00B55B9F" w14:paraId="0EE9E39C" w14:textId="77777777" w:rsidTr="00D92CD9">
        <w:trPr>
          <w:trHeight w:val="257"/>
        </w:trPr>
        <w:tc>
          <w:tcPr>
            <w:tcW w:w="2714" w:type="dxa"/>
            <w:noWrap/>
            <w:vAlign w:val="bottom"/>
            <w:hideMark/>
          </w:tcPr>
          <w:p w14:paraId="18DDC2D5" w14:textId="77777777" w:rsidR="00B50E2E" w:rsidRPr="00B55B9F" w:rsidRDefault="00B50E2E" w:rsidP="00D92CD9">
            <w:pPr>
              <w:ind w:left="330"/>
              <w:rPr>
                <w:sz w:val="22"/>
              </w:rPr>
            </w:pPr>
            <w:r w:rsidRPr="00B55B9F">
              <w:rPr>
                <w:sz w:val="22"/>
              </w:rPr>
              <w:t>≤ 1.15</w:t>
            </w:r>
          </w:p>
        </w:tc>
        <w:tc>
          <w:tcPr>
            <w:tcW w:w="2132" w:type="dxa"/>
          </w:tcPr>
          <w:p w14:paraId="0E8820CD" w14:textId="77777777" w:rsidR="00B50E2E" w:rsidRPr="00B55B9F" w:rsidRDefault="00B50E2E" w:rsidP="00D92CD9">
            <w:pPr>
              <w:jc w:val="center"/>
              <w:rPr>
                <w:sz w:val="22"/>
              </w:rPr>
            </w:pPr>
            <w:r w:rsidRPr="00B55B9F">
              <w:rPr>
                <w:sz w:val="22"/>
              </w:rPr>
              <w:t>0.94 (0.70-1.25)</w:t>
            </w:r>
          </w:p>
        </w:tc>
        <w:tc>
          <w:tcPr>
            <w:tcW w:w="1299" w:type="dxa"/>
          </w:tcPr>
          <w:p w14:paraId="175F0D86" w14:textId="77777777" w:rsidR="00B50E2E" w:rsidRPr="00B55B9F" w:rsidRDefault="00B50E2E" w:rsidP="00D92CD9">
            <w:pPr>
              <w:jc w:val="center"/>
              <w:rPr>
                <w:sz w:val="22"/>
              </w:rPr>
            </w:pPr>
            <w:r w:rsidRPr="00B55B9F">
              <w:rPr>
                <w:sz w:val="22"/>
              </w:rPr>
              <w:t>0.668</w:t>
            </w:r>
          </w:p>
        </w:tc>
        <w:tc>
          <w:tcPr>
            <w:tcW w:w="1733" w:type="dxa"/>
          </w:tcPr>
          <w:p w14:paraId="3496983C" w14:textId="77777777" w:rsidR="00B50E2E" w:rsidRPr="00B55B9F" w:rsidRDefault="00B50E2E" w:rsidP="00D92CD9">
            <w:pPr>
              <w:jc w:val="center"/>
              <w:rPr>
                <w:sz w:val="22"/>
              </w:rPr>
            </w:pPr>
            <w:r w:rsidRPr="00B55B9F">
              <w:rPr>
                <w:sz w:val="22"/>
              </w:rPr>
              <w:t>0.96 (0.74-1.25)</w:t>
            </w:r>
          </w:p>
        </w:tc>
        <w:tc>
          <w:tcPr>
            <w:tcW w:w="1213" w:type="dxa"/>
          </w:tcPr>
          <w:p w14:paraId="105B0560" w14:textId="77777777" w:rsidR="00B50E2E" w:rsidRPr="00B55B9F" w:rsidRDefault="00B50E2E" w:rsidP="00D92CD9">
            <w:pPr>
              <w:jc w:val="center"/>
              <w:rPr>
                <w:sz w:val="22"/>
              </w:rPr>
            </w:pPr>
            <w:r w:rsidRPr="00B55B9F">
              <w:rPr>
                <w:sz w:val="22"/>
              </w:rPr>
              <w:t>0.769</w:t>
            </w:r>
          </w:p>
        </w:tc>
      </w:tr>
      <w:tr w:rsidR="00D92CD9" w:rsidRPr="00B55B9F" w14:paraId="0C583851" w14:textId="77777777" w:rsidTr="00D92CD9">
        <w:trPr>
          <w:trHeight w:val="257"/>
        </w:trPr>
        <w:tc>
          <w:tcPr>
            <w:tcW w:w="2714" w:type="dxa"/>
            <w:noWrap/>
            <w:vAlign w:val="bottom"/>
            <w:hideMark/>
          </w:tcPr>
          <w:p w14:paraId="3DCD7FD5" w14:textId="77777777" w:rsidR="00B50E2E" w:rsidRPr="00B55B9F" w:rsidRDefault="00B50E2E" w:rsidP="00D92CD9">
            <w:pPr>
              <w:ind w:left="330"/>
              <w:rPr>
                <w:sz w:val="22"/>
              </w:rPr>
            </w:pPr>
            <w:r w:rsidRPr="00B55B9F">
              <w:rPr>
                <w:sz w:val="22"/>
              </w:rPr>
              <w:t>&gt; 1.15</w:t>
            </w:r>
          </w:p>
        </w:tc>
        <w:tc>
          <w:tcPr>
            <w:tcW w:w="2132" w:type="dxa"/>
          </w:tcPr>
          <w:p w14:paraId="0FADF602" w14:textId="77777777" w:rsidR="00B50E2E" w:rsidRPr="00B55B9F" w:rsidRDefault="00B50E2E" w:rsidP="00D92CD9">
            <w:pPr>
              <w:ind w:left="330"/>
              <w:jc w:val="center"/>
              <w:rPr>
                <w:sz w:val="22"/>
              </w:rPr>
            </w:pPr>
            <w:r w:rsidRPr="00B55B9F">
              <w:rPr>
                <w:sz w:val="22"/>
              </w:rPr>
              <w:t>Ref</w:t>
            </w:r>
          </w:p>
        </w:tc>
        <w:tc>
          <w:tcPr>
            <w:tcW w:w="1299" w:type="dxa"/>
          </w:tcPr>
          <w:p w14:paraId="1FC36639" w14:textId="77777777" w:rsidR="00B50E2E" w:rsidRPr="00B55B9F" w:rsidRDefault="00B50E2E" w:rsidP="00D92CD9">
            <w:pPr>
              <w:ind w:left="330"/>
              <w:jc w:val="center"/>
              <w:rPr>
                <w:sz w:val="22"/>
              </w:rPr>
            </w:pPr>
          </w:p>
        </w:tc>
        <w:tc>
          <w:tcPr>
            <w:tcW w:w="1733" w:type="dxa"/>
          </w:tcPr>
          <w:p w14:paraId="263554BA" w14:textId="77777777" w:rsidR="00B50E2E" w:rsidRPr="00B55B9F" w:rsidRDefault="00B50E2E" w:rsidP="00D92CD9">
            <w:pPr>
              <w:ind w:left="330"/>
              <w:jc w:val="center"/>
              <w:rPr>
                <w:sz w:val="22"/>
              </w:rPr>
            </w:pPr>
            <w:r w:rsidRPr="00B55B9F">
              <w:rPr>
                <w:sz w:val="22"/>
              </w:rPr>
              <w:t>Ref</w:t>
            </w:r>
          </w:p>
        </w:tc>
        <w:tc>
          <w:tcPr>
            <w:tcW w:w="1213" w:type="dxa"/>
          </w:tcPr>
          <w:p w14:paraId="67002A00" w14:textId="77777777" w:rsidR="00B50E2E" w:rsidRPr="00B55B9F" w:rsidRDefault="00B50E2E" w:rsidP="00D92CD9">
            <w:pPr>
              <w:ind w:left="330"/>
              <w:jc w:val="center"/>
              <w:rPr>
                <w:sz w:val="22"/>
              </w:rPr>
            </w:pPr>
          </w:p>
        </w:tc>
      </w:tr>
      <w:tr w:rsidR="00D92CD9" w:rsidRPr="00B55B9F" w14:paraId="748CAAEF" w14:textId="77777777" w:rsidTr="00D92CD9">
        <w:trPr>
          <w:trHeight w:val="257"/>
        </w:trPr>
        <w:tc>
          <w:tcPr>
            <w:tcW w:w="2714" w:type="dxa"/>
            <w:noWrap/>
            <w:vAlign w:val="bottom"/>
            <w:hideMark/>
          </w:tcPr>
          <w:p w14:paraId="2F7527A3" w14:textId="77777777" w:rsidR="00B50E2E" w:rsidRPr="00B55B9F" w:rsidRDefault="00B50E2E" w:rsidP="00D92CD9">
            <w:pPr>
              <w:rPr>
                <w:b/>
                <w:bCs/>
                <w:sz w:val="22"/>
              </w:rPr>
            </w:pPr>
            <w:r w:rsidRPr="00B55B9F">
              <w:rPr>
                <w:b/>
                <w:bCs/>
                <w:sz w:val="22"/>
              </w:rPr>
              <w:t xml:space="preserve">Serum LDL </w:t>
            </w:r>
          </w:p>
        </w:tc>
        <w:tc>
          <w:tcPr>
            <w:tcW w:w="2132" w:type="dxa"/>
          </w:tcPr>
          <w:p w14:paraId="3C7E5223" w14:textId="77777777" w:rsidR="00B50E2E" w:rsidRPr="00B55B9F" w:rsidRDefault="00B50E2E" w:rsidP="00D92CD9">
            <w:pPr>
              <w:jc w:val="center"/>
              <w:rPr>
                <w:sz w:val="22"/>
              </w:rPr>
            </w:pPr>
          </w:p>
        </w:tc>
        <w:tc>
          <w:tcPr>
            <w:tcW w:w="1299" w:type="dxa"/>
          </w:tcPr>
          <w:p w14:paraId="5521CBDA" w14:textId="77777777" w:rsidR="00B50E2E" w:rsidRPr="00B55B9F" w:rsidRDefault="00B50E2E" w:rsidP="00D92CD9">
            <w:pPr>
              <w:jc w:val="center"/>
              <w:rPr>
                <w:sz w:val="22"/>
              </w:rPr>
            </w:pPr>
          </w:p>
        </w:tc>
        <w:tc>
          <w:tcPr>
            <w:tcW w:w="1733" w:type="dxa"/>
          </w:tcPr>
          <w:p w14:paraId="0C963A72" w14:textId="77777777" w:rsidR="00B50E2E" w:rsidRPr="00B55B9F" w:rsidRDefault="00B50E2E" w:rsidP="00D92CD9">
            <w:pPr>
              <w:jc w:val="center"/>
              <w:rPr>
                <w:sz w:val="22"/>
              </w:rPr>
            </w:pPr>
          </w:p>
        </w:tc>
        <w:tc>
          <w:tcPr>
            <w:tcW w:w="1213" w:type="dxa"/>
          </w:tcPr>
          <w:p w14:paraId="7A4CEF7E" w14:textId="77777777" w:rsidR="00B50E2E" w:rsidRPr="00B55B9F" w:rsidRDefault="00B50E2E" w:rsidP="00D92CD9">
            <w:pPr>
              <w:jc w:val="center"/>
              <w:rPr>
                <w:sz w:val="22"/>
              </w:rPr>
            </w:pPr>
          </w:p>
        </w:tc>
      </w:tr>
      <w:tr w:rsidR="00D92CD9" w:rsidRPr="00B55B9F" w14:paraId="00A85A3E" w14:textId="77777777" w:rsidTr="00D92CD9">
        <w:trPr>
          <w:trHeight w:val="257"/>
        </w:trPr>
        <w:tc>
          <w:tcPr>
            <w:tcW w:w="2714" w:type="dxa"/>
            <w:noWrap/>
            <w:vAlign w:val="bottom"/>
            <w:hideMark/>
          </w:tcPr>
          <w:p w14:paraId="53867DE5" w14:textId="77777777" w:rsidR="00B50E2E" w:rsidRPr="00B55B9F" w:rsidRDefault="00B50E2E" w:rsidP="00D92CD9">
            <w:pPr>
              <w:ind w:left="330"/>
              <w:rPr>
                <w:sz w:val="22"/>
              </w:rPr>
            </w:pPr>
            <w:r w:rsidRPr="00B55B9F">
              <w:rPr>
                <w:sz w:val="22"/>
              </w:rPr>
              <w:t>&lt; 3.37</w:t>
            </w:r>
          </w:p>
        </w:tc>
        <w:tc>
          <w:tcPr>
            <w:tcW w:w="2132" w:type="dxa"/>
          </w:tcPr>
          <w:p w14:paraId="6998A9C2" w14:textId="77777777" w:rsidR="00B50E2E" w:rsidRPr="00B55B9F" w:rsidRDefault="00B50E2E" w:rsidP="00D92CD9">
            <w:pPr>
              <w:ind w:left="330"/>
              <w:jc w:val="center"/>
              <w:rPr>
                <w:sz w:val="22"/>
              </w:rPr>
            </w:pPr>
            <w:r w:rsidRPr="00B55B9F">
              <w:rPr>
                <w:sz w:val="22"/>
              </w:rPr>
              <w:t>Ref</w:t>
            </w:r>
          </w:p>
        </w:tc>
        <w:tc>
          <w:tcPr>
            <w:tcW w:w="1299" w:type="dxa"/>
          </w:tcPr>
          <w:p w14:paraId="20B56313" w14:textId="77777777" w:rsidR="00B50E2E" w:rsidRPr="00B55B9F" w:rsidRDefault="00B50E2E" w:rsidP="00D92CD9">
            <w:pPr>
              <w:ind w:left="330"/>
              <w:jc w:val="center"/>
              <w:rPr>
                <w:sz w:val="22"/>
              </w:rPr>
            </w:pPr>
          </w:p>
        </w:tc>
        <w:tc>
          <w:tcPr>
            <w:tcW w:w="1733" w:type="dxa"/>
          </w:tcPr>
          <w:p w14:paraId="69A6A372" w14:textId="77777777" w:rsidR="00B50E2E" w:rsidRPr="00B55B9F" w:rsidRDefault="00B50E2E" w:rsidP="00D92CD9">
            <w:pPr>
              <w:ind w:left="330"/>
              <w:jc w:val="center"/>
              <w:rPr>
                <w:sz w:val="22"/>
              </w:rPr>
            </w:pPr>
            <w:r w:rsidRPr="00B55B9F">
              <w:rPr>
                <w:sz w:val="22"/>
              </w:rPr>
              <w:t>Ref</w:t>
            </w:r>
          </w:p>
        </w:tc>
        <w:tc>
          <w:tcPr>
            <w:tcW w:w="1213" w:type="dxa"/>
          </w:tcPr>
          <w:p w14:paraId="38D93A8F" w14:textId="77777777" w:rsidR="00B50E2E" w:rsidRPr="00B55B9F" w:rsidRDefault="00B50E2E" w:rsidP="00D92CD9">
            <w:pPr>
              <w:ind w:left="330"/>
              <w:jc w:val="center"/>
              <w:rPr>
                <w:sz w:val="22"/>
              </w:rPr>
            </w:pPr>
          </w:p>
        </w:tc>
      </w:tr>
      <w:tr w:rsidR="00D92CD9" w:rsidRPr="00B55B9F" w14:paraId="7E481CA9" w14:textId="77777777" w:rsidTr="00D92CD9">
        <w:trPr>
          <w:trHeight w:val="257"/>
        </w:trPr>
        <w:tc>
          <w:tcPr>
            <w:tcW w:w="2714" w:type="dxa"/>
            <w:noWrap/>
            <w:vAlign w:val="bottom"/>
            <w:hideMark/>
          </w:tcPr>
          <w:p w14:paraId="559AAB47" w14:textId="77777777" w:rsidR="00B50E2E" w:rsidRPr="00B55B9F" w:rsidRDefault="00B50E2E" w:rsidP="00D92CD9">
            <w:pPr>
              <w:ind w:left="330"/>
              <w:rPr>
                <w:sz w:val="22"/>
              </w:rPr>
            </w:pPr>
            <w:r w:rsidRPr="00B55B9F">
              <w:rPr>
                <w:sz w:val="22"/>
              </w:rPr>
              <w:t>≥ 3.37</w:t>
            </w:r>
          </w:p>
        </w:tc>
        <w:tc>
          <w:tcPr>
            <w:tcW w:w="2132" w:type="dxa"/>
          </w:tcPr>
          <w:p w14:paraId="29A9A9D2" w14:textId="77777777" w:rsidR="00B50E2E" w:rsidRPr="00B55B9F" w:rsidRDefault="00B50E2E" w:rsidP="00D92CD9">
            <w:pPr>
              <w:jc w:val="center"/>
              <w:rPr>
                <w:sz w:val="22"/>
              </w:rPr>
            </w:pPr>
            <w:r w:rsidRPr="00B55B9F">
              <w:rPr>
                <w:sz w:val="22"/>
              </w:rPr>
              <w:t>1.10 (0.91-1.58)</w:t>
            </w:r>
          </w:p>
        </w:tc>
        <w:tc>
          <w:tcPr>
            <w:tcW w:w="1299" w:type="dxa"/>
          </w:tcPr>
          <w:p w14:paraId="6CE4B939" w14:textId="77777777" w:rsidR="00B50E2E" w:rsidRPr="00B55B9F" w:rsidRDefault="00B50E2E" w:rsidP="00D92CD9">
            <w:pPr>
              <w:jc w:val="center"/>
              <w:rPr>
                <w:sz w:val="22"/>
              </w:rPr>
            </w:pPr>
            <w:r w:rsidRPr="00B55B9F">
              <w:rPr>
                <w:sz w:val="22"/>
              </w:rPr>
              <w:t>0.206</w:t>
            </w:r>
          </w:p>
        </w:tc>
        <w:tc>
          <w:tcPr>
            <w:tcW w:w="1733" w:type="dxa"/>
          </w:tcPr>
          <w:p w14:paraId="1DA2BB0B" w14:textId="77777777" w:rsidR="00B50E2E" w:rsidRPr="00B55B9F" w:rsidRDefault="00B50E2E" w:rsidP="00D92CD9">
            <w:pPr>
              <w:jc w:val="center"/>
              <w:rPr>
                <w:sz w:val="22"/>
              </w:rPr>
            </w:pPr>
            <w:r w:rsidRPr="00B55B9F">
              <w:rPr>
                <w:sz w:val="22"/>
              </w:rPr>
              <w:t>1.09 (0.83-1.43)</w:t>
            </w:r>
          </w:p>
        </w:tc>
        <w:tc>
          <w:tcPr>
            <w:tcW w:w="1213" w:type="dxa"/>
          </w:tcPr>
          <w:p w14:paraId="06EE47E0" w14:textId="77777777" w:rsidR="00B50E2E" w:rsidRPr="00B55B9F" w:rsidRDefault="00B50E2E" w:rsidP="00D92CD9">
            <w:pPr>
              <w:jc w:val="center"/>
              <w:rPr>
                <w:sz w:val="22"/>
              </w:rPr>
            </w:pPr>
            <w:r w:rsidRPr="00B55B9F">
              <w:rPr>
                <w:sz w:val="22"/>
              </w:rPr>
              <w:t>0.528</w:t>
            </w:r>
          </w:p>
        </w:tc>
      </w:tr>
      <w:tr w:rsidR="00D92CD9" w:rsidRPr="00B55B9F" w14:paraId="3F7CE677" w14:textId="77777777" w:rsidTr="00D92CD9">
        <w:trPr>
          <w:trHeight w:val="257"/>
        </w:trPr>
        <w:tc>
          <w:tcPr>
            <w:tcW w:w="2714" w:type="dxa"/>
            <w:noWrap/>
            <w:vAlign w:val="bottom"/>
            <w:hideMark/>
          </w:tcPr>
          <w:p w14:paraId="2F8079C1" w14:textId="77777777" w:rsidR="00B50E2E" w:rsidRPr="00B55B9F" w:rsidRDefault="00B50E2E" w:rsidP="00D92CD9">
            <w:pPr>
              <w:rPr>
                <w:b/>
                <w:bCs/>
                <w:sz w:val="22"/>
              </w:rPr>
            </w:pPr>
            <w:r w:rsidRPr="00B55B9F">
              <w:rPr>
                <w:b/>
                <w:bCs/>
                <w:sz w:val="22"/>
              </w:rPr>
              <w:t>Urinalysis protein</w:t>
            </w:r>
          </w:p>
        </w:tc>
        <w:tc>
          <w:tcPr>
            <w:tcW w:w="2132" w:type="dxa"/>
          </w:tcPr>
          <w:p w14:paraId="6ECBAC6A" w14:textId="77777777" w:rsidR="00B50E2E" w:rsidRPr="00B55B9F" w:rsidRDefault="00B50E2E" w:rsidP="00D92CD9">
            <w:pPr>
              <w:jc w:val="center"/>
              <w:rPr>
                <w:sz w:val="22"/>
              </w:rPr>
            </w:pPr>
          </w:p>
        </w:tc>
        <w:tc>
          <w:tcPr>
            <w:tcW w:w="1299" w:type="dxa"/>
          </w:tcPr>
          <w:p w14:paraId="16A24D68" w14:textId="77777777" w:rsidR="00B50E2E" w:rsidRPr="00B55B9F" w:rsidRDefault="00B50E2E" w:rsidP="00D92CD9">
            <w:pPr>
              <w:jc w:val="center"/>
              <w:rPr>
                <w:sz w:val="22"/>
              </w:rPr>
            </w:pPr>
          </w:p>
        </w:tc>
        <w:tc>
          <w:tcPr>
            <w:tcW w:w="1733" w:type="dxa"/>
          </w:tcPr>
          <w:p w14:paraId="6B803BA9" w14:textId="77777777" w:rsidR="00B50E2E" w:rsidRPr="00B55B9F" w:rsidRDefault="00B50E2E" w:rsidP="00D92CD9">
            <w:pPr>
              <w:jc w:val="center"/>
              <w:rPr>
                <w:sz w:val="22"/>
              </w:rPr>
            </w:pPr>
          </w:p>
        </w:tc>
        <w:tc>
          <w:tcPr>
            <w:tcW w:w="1213" w:type="dxa"/>
          </w:tcPr>
          <w:p w14:paraId="317DBB08" w14:textId="77777777" w:rsidR="00B50E2E" w:rsidRPr="00B55B9F" w:rsidRDefault="00B50E2E" w:rsidP="00D92CD9">
            <w:pPr>
              <w:jc w:val="center"/>
              <w:rPr>
                <w:sz w:val="22"/>
              </w:rPr>
            </w:pPr>
          </w:p>
        </w:tc>
      </w:tr>
      <w:tr w:rsidR="00D92CD9" w:rsidRPr="00B55B9F" w14:paraId="5EC8B909" w14:textId="77777777" w:rsidTr="00D92CD9">
        <w:trPr>
          <w:trHeight w:val="257"/>
        </w:trPr>
        <w:tc>
          <w:tcPr>
            <w:tcW w:w="2714" w:type="dxa"/>
            <w:noWrap/>
            <w:vAlign w:val="bottom"/>
            <w:hideMark/>
          </w:tcPr>
          <w:p w14:paraId="35A244CA" w14:textId="77777777" w:rsidR="00B50E2E" w:rsidRPr="00B55B9F" w:rsidRDefault="00B50E2E" w:rsidP="00D92CD9">
            <w:pPr>
              <w:ind w:left="330"/>
              <w:rPr>
                <w:sz w:val="22"/>
              </w:rPr>
            </w:pPr>
            <w:r w:rsidRPr="00B55B9F">
              <w:rPr>
                <w:sz w:val="22"/>
              </w:rPr>
              <w:t>Normal</w:t>
            </w:r>
          </w:p>
        </w:tc>
        <w:tc>
          <w:tcPr>
            <w:tcW w:w="2132" w:type="dxa"/>
          </w:tcPr>
          <w:p w14:paraId="2D35BFE4" w14:textId="77777777" w:rsidR="00B50E2E" w:rsidRPr="00B55B9F" w:rsidRDefault="00B50E2E" w:rsidP="00D92CD9">
            <w:pPr>
              <w:ind w:left="330"/>
              <w:jc w:val="center"/>
              <w:rPr>
                <w:sz w:val="22"/>
              </w:rPr>
            </w:pPr>
            <w:r w:rsidRPr="00B55B9F">
              <w:rPr>
                <w:sz w:val="22"/>
              </w:rPr>
              <w:t>Ref</w:t>
            </w:r>
          </w:p>
        </w:tc>
        <w:tc>
          <w:tcPr>
            <w:tcW w:w="1299" w:type="dxa"/>
          </w:tcPr>
          <w:p w14:paraId="020F64C0" w14:textId="77777777" w:rsidR="00B50E2E" w:rsidRPr="00B55B9F" w:rsidRDefault="00B50E2E" w:rsidP="00D92CD9">
            <w:pPr>
              <w:ind w:left="330"/>
              <w:jc w:val="center"/>
              <w:rPr>
                <w:sz w:val="22"/>
              </w:rPr>
            </w:pPr>
          </w:p>
        </w:tc>
        <w:tc>
          <w:tcPr>
            <w:tcW w:w="1733" w:type="dxa"/>
          </w:tcPr>
          <w:p w14:paraId="2398C1D7" w14:textId="77777777" w:rsidR="00B50E2E" w:rsidRPr="00B55B9F" w:rsidRDefault="00B50E2E" w:rsidP="00D92CD9">
            <w:pPr>
              <w:ind w:left="330"/>
              <w:jc w:val="center"/>
              <w:rPr>
                <w:sz w:val="22"/>
              </w:rPr>
            </w:pPr>
          </w:p>
        </w:tc>
        <w:tc>
          <w:tcPr>
            <w:tcW w:w="1213" w:type="dxa"/>
          </w:tcPr>
          <w:p w14:paraId="36510F67" w14:textId="77777777" w:rsidR="00B50E2E" w:rsidRPr="00B55B9F" w:rsidRDefault="00B50E2E" w:rsidP="00D92CD9">
            <w:pPr>
              <w:ind w:left="330"/>
              <w:jc w:val="center"/>
              <w:rPr>
                <w:sz w:val="22"/>
              </w:rPr>
            </w:pPr>
          </w:p>
        </w:tc>
      </w:tr>
      <w:tr w:rsidR="00D92CD9" w:rsidRPr="00B55B9F" w14:paraId="4030C40D" w14:textId="77777777" w:rsidTr="00D92CD9">
        <w:trPr>
          <w:trHeight w:val="257"/>
        </w:trPr>
        <w:tc>
          <w:tcPr>
            <w:tcW w:w="2714" w:type="dxa"/>
            <w:noWrap/>
            <w:vAlign w:val="bottom"/>
            <w:hideMark/>
          </w:tcPr>
          <w:p w14:paraId="556F6735" w14:textId="77777777" w:rsidR="00B50E2E" w:rsidRPr="00B55B9F" w:rsidRDefault="00B50E2E" w:rsidP="00D92CD9">
            <w:pPr>
              <w:ind w:left="330"/>
              <w:rPr>
                <w:sz w:val="22"/>
              </w:rPr>
            </w:pPr>
            <w:r w:rsidRPr="00B55B9F">
              <w:rPr>
                <w:sz w:val="22"/>
              </w:rPr>
              <w:t>Abnormal</w:t>
            </w:r>
          </w:p>
        </w:tc>
        <w:tc>
          <w:tcPr>
            <w:tcW w:w="2132" w:type="dxa"/>
          </w:tcPr>
          <w:p w14:paraId="2DD74D66" w14:textId="77777777" w:rsidR="00B50E2E" w:rsidRPr="00B55B9F" w:rsidRDefault="00B50E2E" w:rsidP="00D92CD9">
            <w:pPr>
              <w:jc w:val="center"/>
              <w:rPr>
                <w:sz w:val="22"/>
              </w:rPr>
            </w:pPr>
            <w:r w:rsidRPr="00B55B9F">
              <w:rPr>
                <w:sz w:val="22"/>
              </w:rPr>
              <w:t>1.20 (0.91-1.58)</w:t>
            </w:r>
          </w:p>
        </w:tc>
        <w:tc>
          <w:tcPr>
            <w:tcW w:w="1299" w:type="dxa"/>
          </w:tcPr>
          <w:p w14:paraId="37C1002C" w14:textId="77777777" w:rsidR="00B50E2E" w:rsidRPr="00B55B9F" w:rsidRDefault="00B50E2E" w:rsidP="00D92CD9">
            <w:pPr>
              <w:jc w:val="center"/>
              <w:rPr>
                <w:sz w:val="22"/>
              </w:rPr>
            </w:pPr>
            <w:r w:rsidRPr="00B55B9F">
              <w:rPr>
                <w:sz w:val="22"/>
              </w:rPr>
              <w:t>0.189</w:t>
            </w:r>
          </w:p>
        </w:tc>
        <w:tc>
          <w:tcPr>
            <w:tcW w:w="1733" w:type="dxa"/>
          </w:tcPr>
          <w:p w14:paraId="023061B8" w14:textId="77777777" w:rsidR="00B50E2E" w:rsidRPr="00B55B9F" w:rsidRDefault="00B50E2E" w:rsidP="00D92CD9">
            <w:pPr>
              <w:jc w:val="center"/>
              <w:rPr>
                <w:sz w:val="22"/>
              </w:rPr>
            </w:pPr>
          </w:p>
        </w:tc>
        <w:tc>
          <w:tcPr>
            <w:tcW w:w="1213" w:type="dxa"/>
          </w:tcPr>
          <w:p w14:paraId="15217922" w14:textId="77777777" w:rsidR="00B50E2E" w:rsidRPr="00B55B9F" w:rsidRDefault="00B50E2E" w:rsidP="00D92CD9">
            <w:pPr>
              <w:jc w:val="center"/>
              <w:rPr>
                <w:sz w:val="22"/>
              </w:rPr>
            </w:pPr>
          </w:p>
        </w:tc>
      </w:tr>
      <w:tr w:rsidR="00D92CD9" w:rsidRPr="00B55B9F" w14:paraId="2A849FDF" w14:textId="77777777" w:rsidTr="00D92CD9">
        <w:trPr>
          <w:trHeight w:val="257"/>
        </w:trPr>
        <w:tc>
          <w:tcPr>
            <w:tcW w:w="2714" w:type="dxa"/>
            <w:tcBorders>
              <w:bottom w:val="single" w:sz="12" w:space="0" w:color="auto"/>
            </w:tcBorders>
            <w:noWrap/>
            <w:vAlign w:val="bottom"/>
          </w:tcPr>
          <w:p w14:paraId="29DE0822" w14:textId="77777777" w:rsidR="00B50E2E" w:rsidRPr="00B55B9F" w:rsidRDefault="00B50E2E" w:rsidP="00D92CD9">
            <w:pPr>
              <w:rPr>
                <w:sz w:val="22"/>
              </w:rPr>
            </w:pPr>
            <w:r w:rsidRPr="00B55B9F">
              <w:rPr>
                <w:b/>
                <w:bCs/>
                <w:sz w:val="22"/>
              </w:rPr>
              <w:t>HBA1C</w:t>
            </w:r>
          </w:p>
        </w:tc>
        <w:tc>
          <w:tcPr>
            <w:tcW w:w="2132" w:type="dxa"/>
            <w:tcBorders>
              <w:bottom w:val="single" w:sz="12" w:space="0" w:color="auto"/>
            </w:tcBorders>
          </w:tcPr>
          <w:p w14:paraId="45EAB8EC" w14:textId="77777777" w:rsidR="00B50E2E" w:rsidRPr="00B55B9F" w:rsidRDefault="00B50E2E" w:rsidP="00D92CD9">
            <w:pPr>
              <w:jc w:val="center"/>
              <w:rPr>
                <w:sz w:val="22"/>
              </w:rPr>
            </w:pPr>
            <w:r w:rsidRPr="00B55B9F">
              <w:rPr>
                <w:sz w:val="22"/>
              </w:rPr>
              <w:t>1.05 (0.99-1.11)</w:t>
            </w:r>
          </w:p>
        </w:tc>
        <w:tc>
          <w:tcPr>
            <w:tcW w:w="1299" w:type="dxa"/>
            <w:tcBorders>
              <w:bottom w:val="single" w:sz="12" w:space="0" w:color="auto"/>
            </w:tcBorders>
          </w:tcPr>
          <w:p w14:paraId="58C514E4" w14:textId="77777777" w:rsidR="00B50E2E" w:rsidRPr="00B55B9F" w:rsidRDefault="00B50E2E" w:rsidP="00D92CD9">
            <w:pPr>
              <w:jc w:val="center"/>
              <w:rPr>
                <w:sz w:val="22"/>
              </w:rPr>
            </w:pPr>
            <w:r w:rsidRPr="00B55B9F">
              <w:rPr>
                <w:sz w:val="22"/>
              </w:rPr>
              <w:t>0.080</w:t>
            </w:r>
          </w:p>
        </w:tc>
        <w:tc>
          <w:tcPr>
            <w:tcW w:w="1733" w:type="dxa"/>
            <w:tcBorders>
              <w:bottom w:val="single" w:sz="12" w:space="0" w:color="auto"/>
            </w:tcBorders>
          </w:tcPr>
          <w:p w14:paraId="1BBF62E5" w14:textId="77777777" w:rsidR="00B50E2E" w:rsidRPr="00B55B9F" w:rsidRDefault="00B50E2E" w:rsidP="00D92CD9">
            <w:pPr>
              <w:jc w:val="center"/>
              <w:rPr>
                <w:sz w:val="22"/>
              </w:rPr>
            </w:pPr>
          </w:p>
        </w:tc>
        <w:tc>
          <w:tcPr>
            <w:tcW w:w="1213" w:type="dxa"/>
            <w:tcBorders>
              <w:bottom w:val="single" w:sz="12" w:space="0" w:color="auto"/>
            </w:tcBorders>
          </w:tcPr>
          <w:p w14:paraId="1841AC88" w14:textId="77777777" w:rsidR="00B50E2E" w:rsidRPr="00B55B9F" w:rsidRDefault="00B50E2E" w:rsidP="00D92CD9">
            <w:pPr>
              <w:ind w:left="330"/>
              <w:jc w:val="center"/>
              <w:rPr>
                <w:sz w:val="22"/>
              </w:rPr>
            </w:pPr>
          </w:p>
        </w:tc>
      </w:tr>
    </w:tbl>
    <w:p w14:paraId="4051892A" w14:textId="77777777" w:rsidR="00D92CD9" w:rsidRPr="00B55B9F" w:rsidRDefault="00D92CD9" w:rsidP="00D92CD9">
      <w:pPr>
        <w:pStyle w:val="Heading2"/>
        <w:rPr>
          <w:color w:val="auto"/>
        </w:rPr>
      </w:pPr>
    </w:p>
    <w:p w14:paraId="2EE6A9B4" w14:textId="77777777" w:rsidR="00D92CD9" w:rsidRPr="00B55B9F" w:rsidRDefault="00D92CD9">
      <w:pPr>
        <w:rPr>
          <w:rFonts w:eastAsia="Calibri"/>
          <w:b/>
          <w:bCs/>
        </w:rPr>
      </w:pPr>
      <w:r w:rsidRPr="00B55B9F">
        <w:br w:type="page"/>
      </w:r>
    </w:p>
    <w:p w14:paraId="6652E81B" w14:textId="4FDCAB03" w:rsidR="005D6184" w:rsidRDefault="00237EE9" w:rsidP="00CC61DB">
      <w:pPr>
        <w:pStyle w:val="Heading1"/>
        <w:jc w:val="left"/>
      </w:pPr>
      <w:bookmarkStart w:id="11" w:name="_Toc171341401"/>
      <w:r>
        <w:lastRenderedPageBreak/>
        <w:t>D</w:t>
      </w:r>
      <w:r w:rsidRPr="00B55B9F">
        <w:t>iscussion</w:t>
      </w:r>
      <w:bookmarkEnd w:id="11"/>
    </w:p>
    <w:p w14:paraId="5F9980C2" w14:textId="77777777" w:rsidR="008E3688" w:rsidRPr="008E3688" w:rsidRDefault="008E3688" w:rsidP="008E3688">
      <w:pPr>
        <w:rPr>
          <w:lang w:eastAsia="en-GB"/>
        </w:rPr>
      </w:pPr>
    </w:p>
    <w:p w14:paraId="59F1EF31" w14:textId="66C49525" w:rsidR="005D6184" w:rsidRDefault="005D6184" w:rsidP="005D6184">
      <w:pPr>
        <w:spacing w:line="360" w:lineRule="auto"/>
        <w:jc w:val="both"/>
      </w:pPr>
      <w:r>
        <w:t>In this study, a considerable number of participants had abnormal lipid profiles: 48.6% had elevated cholesterol, 43.6% had high triglycerides, 36.1% had increased LDL, and 38.9% had reduced HDL levels. These findings may reflect poor dietary practices, physical inactivity, and limited healthcare access. In comparison, a study in Bangladesh reported even higher rates</w:t>
      </w:r>
      <w:r w:rsidR="00FB63E1">
        <w:t xml:space="preserve"> </w:t>
      </w:r>
      <w:r>
        <w:t>52.3% for cholesterol, 57.6% for triglycerides, 50% for LDL, and 74.2% for low HDL)</w:t>
      </w:r>
      <w:r w:rsidR="00EA7B97">
        <w:t xml:space="preserve"> </w:t>
      </w:r>
      <w:r w:rsidR="00FF3474">
        <w:fldChar w:fldCharType="begin" w:fldLock="1"/>
      </w:r>
      <w:r w:rsidR="00053B5E">
        <w:instrText>ADDIN CSL_CITATION {"citationItems":[{"id":"ITEM-1","itemData":{"ISSN":"e-ISSN: 2784-9724","abstract":"Abstract Background: Patients with diabetes mellitus are at high risk of cardiovascular events because of abnormal lipid status. Dyslipidemia is common in diabetes mellitus and is associated with cardiovascular complications. Early diagnosis and treatment is the main cornerstone in the prevention of its multiple complications. There is scarcity of data on the magnitude and risk factors associated with dyslipidemia among diabetic patients in Somalia. The aim of the study was to determine the prevalence of abnormal lipid profile levels among T2DM patients attending Aden Abdulle Hospital in Mogadishu Somalia. A cross-sectional study was conducted from July 2018 to December 2019 involving 120 diabetic patients, who were at age 35 years and above from Aden Abdulle Hospital, Mogadishu Somalia. A structured questionnaire was administrated to evaluate the socio-demographic and clinical characteristics. Standard procedures were followed for measuring blood pressure and body mass index. Fasting blood samples were taken to measure lipid profiles. Data analysis was done by statistical package for social science version 20 statistical software and chi square test were used for data analysis and p-value of &lt; 0.05 was considered to be statistically significant. Results: This study found out 22.5% of the T2DM patients had dyslipidemia. This was slightly similar to findings in Tanzania 30% (Chattanda SP, 2015), but lower compared to those done in Nigeria 74% (Isezuo SA, Ezunu E., 2005), Kenya 86% (Sang Kipligat, 2017) where 86% and 89% dyslipidemia prevalence were reported (bathma, 2016). This difference may be due to the variation in cut-offs for dyslipidemia in these different studies. And difference in stage of urbanization in the various settings. (Amine E, Baba N, Belhadj M, et al., 2002). A third of participants had insufficient amount of physical activity which is similar to previous findings (Nelson KM, Reiber G, &amp; Boyko EJ, 2012). Dyslipidemia was more prevalent in females than in males which are consistent with a study in the Middle East that found females to be more dyslipidemic (Siddiqui SA, Khatoon AB et al., 2011). Despite short period since diagnosis of diabetes, majority had dyslipidemia and multiple CVD risk. This finding was similar to previous study that found that T2DM patients compared with non-diabetic people have increased cardiovascular risk (Harris MI, 2005). Part of this is associated with a higher prevalence of other cardiovascular risk factor…","author":[{"dropping-particle":"","family":"Ahmed","given":"Abdulrazak Mohamed","non-dropping-particle":"","parse-names":false,"suffix":""},{"dropping-particle":"","family":"Md hafez","given":"","non-dropping-particle":"","parse-names":false,"suffix":""},{"dropping-particle":"","family":"Md Manir Hossain Mollah","given":"","non-dropping-particle":"","parse-names":false,"suffix":""},{"dropping-particle":"","family":"Md. Mojibur Rahman","given":"","non-dropping-particle":"","parse-names":false,"suffix":""}],"container-title":"European Journal of Medicine and Veterinary Sciences-Novus","id":"ITEM-1","issue":"01(01)","issued":{"date-parts":[["2021"]]},"page":"45-56","title":"Dyslipidemia Among Type 2 Diabetes Mellitus Patients Attending Aden Abdulle Hospital in Mogadishu Somalia","type":"article-journal","volume":"e-ISSN: 27"},"uris":["http://www.mendeley.com/documents/?uuid=238c5b87-49b2-47ab-bd04-e4144472dcc4"]}],"mendeley":{"formattedCitation":"(12)","plainTextFormattedCitation":"(12)","previouslyFormattedCitation":"(12)"},"properties":{"noteIndex":0},"schema":"https://github.com/citation-style-language/schema/raw/master/csl-citation.json"}</w:instrText>
      </w:r>
      <w:r w:rsidR="00FF3474">
        <w:fldChar w:fldCharType="separate"/>
      </w:r>
      <w:r w:rsidR="001D17CD" w:rsidRPr="001D17CD">
        <w:rPr>
          <w:noProof/>
        </w:rPr>
        <w:t>(12)</w:t>
      </w:r>
      <w:r w:rsidR="00FF3474">
        <w:fldChar w:fldCharType="end"/>
      </w:r>
      <w:r w:rsidR="00F26D3F">
        <w:t>.</w:t>
      </w:r>
      <w:r>
        <w:t xml:space="preserve"> Conversely, Rwanda recorded a much lower dyslipidemia prevalence of 19.2%</w:t>
      </w:r>
      <w:r w:rsidR="006F09D0">
        <w:t xml:space="preserve"> </w:t>
      </w:r>
      <w:r w:rsidR="006F09D0">
        <w:fldChar w:fldCharType="begin" w:fldLock="1"/>
      </w:r>
      <w:r w:rsidR="00053B5E">
        <w:instrText>ADDIN CSL_CITATION {"citationItems":[{"id":"ITEM-1","itemData":{"author":[{"dropping-particle":"","family":"Niyibizi","given":"Jean Baptiste","non-dropping-particle":"","parse-names":false,"suffix":""},{"dropping-particle":"","family":"Mutangana","given":"Maxime","non-dropping-particle":"","parse-names":false,"suffix":""},{"dropping-particle":"","family":"Uwase","given":"Nadine","non-dropping-particle":"","parse-names":false,"suffix":""},{"dropping-particle":"","family":"Ndagijimana","given":"Innocent","non-dropping-particle":"","parse-names":false,"suffix":""}],"id":"ITEM-1","issue":"2","issued":{"date-parts":[["2018"]]},"page":"66-71","title":"Prevalence of Dyslipidemia and Its Associated Risk Factors Among Diabetic Patients Attending Muhima District Hospital , Kigali City , Rwanda","type":"article-journal","volume":"3"},"uris":["http://www.mendeley.com/documents/?uuid=d4ccdf60-d908-44ce-b52f-5a17382db3cf"]}],"mendeley":{"formattedCitation":"(13)","plainTextFormattedCitation":"(13)","previouslyFormattedCitation":"(13)"},"properties":{"noteIndex":0},"schema":"https://github.com/citation-style-language/schema/raw/master/csl-citation.json"}</w:instrText>
      </w:r>
      <w:r w:rsidR="006F09D0">
        <w:fldChar w:fldCharType="separate"/>
      </w:r>
      <w:r w:rsidR="001D17CD" w:rsidRPr="001D17CD">
        <w:rPr>
          <w:noProof/>
        </w:rPr>
        <w:t>(13)</w:t>
      </w:r>
      <w:r w:rsidR="006F09D0">
        <w:fldChar w:fldCharType="end"/>
      </w:r>
      <w:r w:rsidR="006F09D0">
        <w:t>.</w:t>
      </w:r>
      <w:r>
        <w:t>These disparities may be partly influenced by genetic variations, including genes such as APOE, PCSK9, and LPL, which regulate lipid metabolism and contribute to dyslipidemia risk.</w:t>
      </w:r>
    </w:p>
    <w:p w14:paraId="703C0AC4" w14:textId="77777777" w:rsidR="00381DF0" w:rsidRDefault="00381DF0" w:rsidP="00381DF0">
      <w:pPr>
        <w:spacing w:line="360" w:lineRule="auto"/>
        <w:jc w:val="both"/>
      </w:pPr>
    </w:p>
    <w:p w14:paraId="4A76018E" w14:textId="4B50AD15" w:rsidR="00381DF0" w:rsidRDefault="00381DF0" w:rsidP="00381DF0">
      <w:pPr>
        <w:spacing w:line="360" w:lineRule="auto"/>
        <w:jc w:val="both"/>
      </w:pPr>
      <w:r>
        <w:t xml:space="preserve">Diabetic retinopathy was highly prevalent in our study, affecting 68.6% of participants, with 31.4% showing no signs of retinopathy (NDR). This higher prevalence could be attributed to factors like longer diabetes duration and poor glycemic control both established risk factors for advanced retinopathy. Additionally, the use of advanced diagnostic tools (e.g., OCT), referral bias to tertiary care centers, specialized services for severe cases, and socioeconomic barriers to timely healthcare may have influenced detection rates. These findings align with </w:t>
      </w:r>
      <w:r w:rsidR="006F09D0">
        <w:fldChar w:fldCharType="begin" w:fldLock="1"/>
      </w:r>
      <w:r w:rsidR="00053B5E">
        <w:instrText>ADDIN CSL_CITATION {"citationItems":[{"id":"ITEM-1","itemData":{"DOI":"10.4103/2230-8210.119637","ISSN":"2230-8210","abstract":"A total number of 140 type 2 diabetic patients with diabetic retinopathy (DR) were enrolled in the study from diabetic clinic during May 2011 till June 2012 to determine correlation between severity of DR with serum lipid and other modifiable risk factors in type 2 diabetic patients. Information including age, sex, height, body weight, body mass index (BMI), waist-hip ratio (WHR), and systolic and diastolic blood pressure was collected from each patient. Fasting plasma sugar, low density lipoprotein (LDL), triglyceride level (TG), high density lipoprotein (HDL), glycated hemoglobin (HbA1C), creatinine, and 24 h urinary albumin excretion was done for each patient. Estimated glomerular filtration rate (eGFR) was measured by modification of diet in renal disease (MDRD) equation. Patients were divided in five groups according to retinopathy status based on early treatment DR study (ETDRS) disease severity level. Statistical analysis was performed with Statistical Packages for Social Sciences (SPSS) statistical software (version 17.0 for Windows). The alpha level was set at P = 0.05 for all tests. Statistically significant positive correlation between severity of DR with systolic blood pressure P = 0.005 (r = 0.974), diastolic blood pressure P = 0.001(r = 0.994), LDL P = 0.005 (r = 0.976), TG P = 0.001 (r = 0.990), and 24 h urinary albumin P = 0.004 (r = 0.977) was documented. DR was also strongly positively correlated with smoking P = 0.017 (r = 0.941) and duration of diabetes P = 0.003 (r = 0.981). There was strong inverse correlation of DR with HDL P = 0.001 (r = -0.994) and eGFR P = 0.002 (r = -0.987). Serum lipids were significantly correlated with severity of DR.","author":[{"dropping-particle":"","family":"Agroiya","given":"Puspalata","non-dropping-particle":"","parse-names":false,"suffix":""},{"dropping-particle":"","family":"Philip","given":"Rajeev","non-dropping-particle":"","parse-names":false,"suffix":""},{"dropping-particle":"","family":"Saran","given":"Sanjay","non-dropping-particle":"","parse-names":false,"suffix":""},{"dropping-particle":"","family":"Gutch","given":"Manish","non-dropping-particle":"","parse-names":false,"suffix":""},{"dropping-particle":"","family":"Tyagi","given":"Rajeev","non-dropping-particle":"","parse-names":false,"suffix":""},{"dropping-particle":"","family":"Gupta","given":"KeshavKumar","non-dropping-particle":"","parse-names":false,"suffix":""}],"container-title":"Indian Journal of Endocrinology and Metabolism","id":"ITEM-1","issue":"7","issued":{"date-parts":[["2013"]]},"page":"335","title":"Association of serum lipids with diabetic retinopathy in type 2 diabetes","type":"article-journal","volume":"17"},"uris":["http://www.mendeley.com/documents/?uuid=e728b9de-08a5-4f8b-8f7c-7fb467193116"]}],"mendeley":{"formattedCitation":"(4)","plainTextFormattedCitation":"(4)","previouslyFormattedCitation":"(4)"},"properties":{"noteIndex":0},"schema":"https://github.com/citation-style-language/schema/raw/master/csl-citation.json"}</w:instrText>
      </w:r>
      <w:r w:rsidR="006F09D0">
        <w:fldChar w:fldCharType="separate"/>
      </w:r>
      <w:r w:rsidR="001D17CD" w:rsidRPr="001D17CD">
        <w:rPr>
          <w:noProof/>
        </w:rPr>
        <w:t>(4)</w:t>
      </w:r>
      <w:r w:rsidR="006F09D0">
        <w:fldChar w:fldCharType="end"/>
      </w:r>
      <w:r w:rsidR="006F09D0">
        <w:t xml:space="preserve"> </w:t>
      </w:r>
      <w:r>
        <w:t xml:space="preserve">in India, where NDR was 39.7% and diabetic retinopathy 60.3%. Both studies share similar single-center, hospital-based settings, with patients having a mean diabetes duration of over 10 years. However, our results differ from those of </w:t>
      </w:r>
      <w:r w:rsidR="006F09D0">
        <w:fldChar w:fldCharType="begin" w:fldLock="1"/>
      </w:r>
      <w:r w:rsidR="00053B5E">
        <w:instrText>ADDIN CSL_CITATION {"citationItems":[{"id":"ITEM-1","itemData":{"DOI":"10.4103/2230-8210.104142","ISSN":"2230-8210","abstract":"AIM: To evaluate the association of elevated serum lipids with retinal hard exudates formation, the occurrence clinically significant macular edema (CSME), occurrence and severity of diabetic retinopathy (DR) and loss of vision in type 2 diabetics.\\n\\nMATERIALS AND METHODS: Type 2 diabetic patients seeking ocular evaluation for diabetic retinopathy were included in this cross-sectional study. They were assessed for presence and severity of diabetic retinopathy (DR), presence of hard exudates, clinically significant macular oedema (CSME) and best corrected visual acuity (BCVA). Retinal findings were correlated to serum lipids levels using univariate and multivariate analysis.\\n\\nRESULTS: Totally 330 patients were included, of which 141/330 had diabetic retinopathy of any grade. Retinal hard exudate formation, was found to have statistically significant correlation with the presence of dyslipidemia (p=0.02), increased total cholesterol (p=0.002) and LDL levels (p=0.001). On multivariate analysis, after correcting for duration, glycemic control and albuminuria, increased cholesterol remained significantly associated with increased hard exudate formation (p=0.02). Elevated cholesterol also showed independent association with visual loss (p=0.04). The occurrence CSME showed a statistically significant correlation with dyslipidemia (p=0.04) and increased LDL levels (0.04), which did not persist on multivariate analysis. However the there was no correlation with the occurrence and severity of diabetic retinopathy.\\n\\nCONCLUSION: Elevated serum lipids showed a significant association with retinal hard exudate formation, CSME and loss of vision in type 2 diabetics. Lipid lowering agents may help in reducing the occurrence of these retinal findings and loss of vision in diabetic patients.","author":[{"dropping-particle":"","family":"Idiculla","given":"Jyothi","non-dropping-particle":"","parse-names":false,"suffix":""},{"dropping-particle":"","family":"Nithyanandam","given":"Suneetha","non-dropping-particle":"","parse-names":false,"suffix":""},{"dropping-particle":"","family":"Joseph","given":"Mary","non-dropping-particle":"","parse-names":false,"suffix":""},{"dropping-particle":"","family":"Ajoy Mohan","given":"VK","non-dropping-particle":"","parse-names":false,"suffix":""},{"dropping-particle":"","family":"Vasu","given":"Usha","non-dropping-particle":"","parse-names":false,"suffix":""},{"dropping-particle":"","family":"Sadiq","given":"Mohammed","non-dropping-particle":"","parse-names":false,"suffix":""}],"container-title":"Indian Journal of Endocrinology and Metabolism","id":"ITEM-1","issue":"8","issued":{"date-parts":[["2012"]]},"page":"492","title":"Serum lipids and diabetic retinopathy: A cross-sectional study","type":"article-journal","volume":"16"},"uris":["http://www.mendeley.com/documents/?uuid=7fb9a3a6-339c-4f14-ba3c-f5e8a4ca5bd7"]}],"mendeley":{"formattedCitation":"(14)","plainTextFormattedCitation":"(14)","previouslyFormattedCitation":"(14)"},"properties":{"noteIndex":0},"schema":"https://github.com/citation-style-language/schema/raw/master/csl-citation.json"}</w:instrText>
      </w:r>
      <w:r w:rsidR="006F09D0">
        <w:fldChar w:fldCharType="separate"/>
      </w:r>
      <w:r w:rsidR="001D17CD" w:rsidRPr="001D17CD">
        <w:rPr>
          <w:noProof/>
        </w:rPr>
        <w:t>(14)</w:t>
      </w:r>
      <w:r w:rsidR="006F09D0">
        <w:fldChar w:fldCharType="end"/>
      </w:r>
      <w:r>
        <w:t xml:space="preserve"> in Bangalore and </w:t>
      </w:r>
      <w:r w:rsidR="006F09D0">
        <w:fldChar w:fldCharType="begin" w:fldLock="1"/>
      </w:r>
      <w:r w:rsidR="00053B5E">
        <w:instrText>ADDIN CSL_CITATION {"citationItems":[{"id":"ITEM-1","itemData":{"DOI":"10.2147/OPTH.S385806","ISSN":"11775483","abstract":"Background: Diabetic retinopathy (DR) is the most prevalent microvascular consequence of diabetes mellitus, and it can result in blindness that is irreversible. Due to delayed diagnosis and limited access to diabetic care, the situation is even worse in developing countries. Scientific evidence on the prevalence of DR and its associated factors among diabetes patients in low-income countries, such as Ethiopia, is limited. This study aimed to determine the prevalence of DR and associated factors among adult diabetes patients in southeast Ethiopia. Methods: A hospital-based cross-sectional study was conducted among diabetes patients who visited Madda Walabu University Goba Referral Hospital. Fundus and slit-lamp examination were performed for screening of DR. Multivariate binary logistic regression was computed to identify factors associated with DR. Results: A total of 256 patients (144 men, 56.2%) aged 50.15±15.71 years were included in the study. The prevalence of any DR was 19.9% (95% CI 15.4%–25.3%), mild nonproliferative diabetic retinopathy (NPDR) 10.9% (95% CI 7.6%–15.4%), moderate NPDR 5.9% (95% CI 3.5%–9.5%), severe NPDR 0.9% (95% CI 0.2%–3.9%), and proliferative DR 2.3% (95% CI 1.0%–5.1%). Duration of diabetes ≥10 years (AOR 10.22, 95% CI 1.70–61.44), central obesity (AOR 5.42, 95% CI 1.38–21.19), overweight/obese (AOR 2.65, 95% CI 1.02–6.92), lower high-density lipoprotein (HDL) cholesterol (AOR 5.82, 95% CI 1.86–18.24), moderate triglyceride:HDL cholesterol ratio (AOR 4.13, 95% CI 1.13–15.15), and urban dwelling (AOR 2.84, 95% CI 1.04–7.78) were significantly associated with DR. Conclusion: One in every five DM patients had DR. Sociodemographic, anthropometric, and blood lipids were independently associated with DR. To reduce the burden of diabetes, strategies that focus on lifestyle modifications targeted at identified modifiable risk factors are essential.","author":[{"dropping-particle":"","family":"Sahiledengle","given":"Biniyam","non-dropping-particle":"","parse-names":false,"suffix":""},{"dropping-particle":"","family":"Assefa","given":"Tesfaye","non-dropping-particle":"","parse-names":false,"suffix":""},{"dropping-particle":"","family":"Negash","given":"Wogene","non-dropping-particle":"","parse-names":false,"suffix":""},{"dropping-particle":"","family":"Tahir","given":"Anwar","non-dropping-particle":"","parse-names":false,"suffix":""},{"dropping-particle":"","family":"Regasa","given":"Tadele","non-dropping-particle":"","parse-names":false,"suffix":""},{"dropping-particle":"","family":"Tekalegn","given":"Yohannes","non-dropping-particle":"","parse-names":false,"suffix":""},{"dropping-particle":"","family":"Mamo","given":"Ayele","non-dropping-particle":"","parse-names":false,"suffix":""},{"dropping-particle":"","family":"Teferu","given":"Zinash","non-dropping-particle":"","parse-names":false,"suffix":""},{"dropping-particle":"","family":"Solomon","given":"Damtew","non-dropping-particle":"","parse-names":false,"suffix":""},{"dropping-particle":"","family":"Gezahegn","given":"Habtamu","non-dropping-particle":"","parse-names":false,"suffix":""},{"dropping-particle":"","family":"Bekele","given":"Kebebe","non-dropping-particle":"","parse-names":false,"suffix":""},{"dropping-particle":"","family":"Zenbaba","given":"Demisu","non-dropping-particle":"","parse-names":false,"suffix":""},{"dropping-particle":"","family":"Tasew","given":"Alelign","non-dropping-particle":"","parse-names":false,"suffix":""},{"dropping-particle":"","family":"Desta","given":"Fikreab","non-dropping-particle":"","parse-names":false,"suffix":""},{"dropping-particle":"","family":"Regassa","given":"Zegeye","non-dropping-particle":"","parse-names":false,"suffix":""},{"dropping-particle":"","family":"Feleke","given":"Zegeye","non-dropping-particle":"","parse-names":false,"suffix":""},{"dropping-particle":"","family":"Kene","given":"Chala","non-dropping-particle":"","parse-names":false,"suffix":""},{"dropping-particle":"","family":"Tolcha","given":"Fekata","non-dropping-particle":"","parse-names":false,"suffix":""},{"dropping-particle":"","family":"Gomora","given":"Degefa","non-dropping-particle":"","parse-names":false,"suffix":""},{"dropping-particle":"","family":"Dibaba","given":"Diriba","non-dropping-particle":"","parse-names":false,"suffix":""},{"dropping-particle":"","family":"Atlaw","given":"Daniel","non-dropping-particle":"","parse-names":false,"suffix":""}],"container-title":"Clinical Ophthalmology","id":"ITEM-1","issue":"October","issued":{"date-parts":[["2022"]]},"page":"3527-3545","title":"Prevalence and Factors Associated with Diabetic Retinopathy among Adult Diabetes Patients in Southeast Ethiopia: A Hospital-Based Cross-Sectional Study","type":"article-journal","volume":"16"},"uris":["http://www.mendeley.com/documents/?uuid=7729d025-6c67-49d1-b084-78c8be8b95cd"]}],"mendeley":{"formattedCitation":"(15)","plainTextFormattedCitation":"(15)","previouslyFormattedCitation":"(15)"},"properties":{"noteIndex":0},"schema":"https://github.com/citation-style-language/schema/raw/master/csl-citation.json"}</w:instrText>
      </w:r>
      <w:r w:rsidR="006F09D0">
        <w:fldChar w:fldCharType="separate"/>
      </w:r>
      <w:r w:rsidR="001D17CD" w:rsidRPr="001D17CD">
        <w:rPr>
          <w:noProof/>
        </w:rPr>
        <w:t>(15)</w:t>
      </w:r>
      <w:r w:rsidR="006F09D0">
        <w:fldChar w:fldCharType="end"/>
      </w:r>
      <w:r w:rsidR="006F09D0">
        <w:t xml:space="preserve"> </w:t>
      </w:r>
      <w:r>
        <w:t>in Southern Ethiopia, where NDR proportions were higher, likely due to the younger age of their participants.</w:t>
      </w:r>
    </w:p>
    <w:p w14:paraId="0A6FF41D" w14:textId="77777777" w:rsidR="00987F2E" w:rsidRPr="00987F2E" w:rsidRDefault="00987F2E" w:rsidP="00987F2E">
      <w:pPr>
        <w:spacing w:line="360" w:lineRule="auto"/>
        <w:jc w:val="both"/>
        <w:rPr>
          <w:rFonts w:cstheme="minorHAnsi"/>
        </w:rPr>
      </w:pPr>
    </w:p>
    <w:p w14:paraId="2274EAC5" w14:textId="058BF2F2" w:rsidR="00DD2549" w:rsidRDefault="00987F2E" w:rsidP="00B718E9">
      <w:pPr>
        <w:spacing w:line="360" w:lineRule="auto"/>
        <w:jc w:val="both"/>
        <w:rPr>
          <w:rFonts w:cstheme="minorHAnsi"/>
        </w:rPr>
      </w:pPr>
      <w:r w:rsidRPr="00987F2E">
        <w:rPr>
          <w:rFonts w:cstheme="minorHAnsi"/>
        </w:rPr>
        <w:t>A significant association was observed between dyslipidemia and increased severity of diabetic retinopathy. Elevated serum cholesterol, triglycerides, and LDL levels were linked to higher odds of developing NPDR and PDR. This may be attributed to mechanisms such as endothelial dysfunction, lipid peroxidation</w:t>
      </w:r>
      <w:r w:rsidR="004B5E04">
        <w:rPr>
          <w:rFonts w:cstheme="minorHAnsi"/>
        </w:rPr>
        <w:t xml:space="preserve">, </w:t>
      </w:r>
      <w:r w:rsidRPr="00987F2E">
        <w:rPr>
          <w:rFonts w:cstheme="minorHAnsi"/>
        </w:rPr>
        <w:t xml:space="preserve">induced oxidative stress, and inflammation, all of which contribute to retinopathy progression. These results align with previous studies, including </w:t>
      </w:r>
      <w:r w:rsidR="004E442F">
        <w:rPr>
          <w:rFonts w:cstheme="minorHAnsi"/>
        </w:rPr>
        <w:fldChar w:fldCharType="begin" w:fldLock="1"/>
      </w:r>
      <w:r w:rsidR="00053B5E">
        <w:rPr>
          <w:rFonts w:cstheme="minorHAnsi"/>
        </w:rPr>
        <w:instrText>ADDIN CSL_CITATION {"citationItems":[{"id":"ITEM-1","itemData":{"DOI":"10.18410/jebmh/2021/25","ISSN":"23492562","abstract":"BACKGROUND Dyslipidaemia has been proposed as a possible risk factor for diabetic retinopathy (DR) but results from previous studies are inconsistent. We designed this study to find the association of abnormal serum lipid levels with diabetic retinopathy and diabetic macular oedema (DME). METHODS This was a single centre observational study conducted at a tertiary care hospital, where patients with type 2 diabetes of more than five years duration were enrolled. A comprehensive ophthalmic evaluation was performed on all study subjects. Detailed fundoscopy was done after obtaining the best possible mydriasis with 1 % tropicamide and 5 % phenylephrine eye drops using direct ophthalmoscopy, indirect ophthalmoscopy with + 20 D lens and stereoscopic slit lamp biomicroscopy of the disc and macula using + 78 D Volk lens. Fundus photographs were taken in patients with any grade of diabetic retinopathy by Topcon fundus camera. DR and DME were diagnosed and classified according to the Early Treatment Diabetic Retinopathy Study (ETDRS) grading system. Fasting blood sugar (FBS), fasting lipid profile and glycated haemoglobin (HbA1c) was assessed for each patient. RESULTS A total of two hundred and twelve participants was enrolled. Mean age of the study group was 63.93 ± 9.52 and the mean duration of diabetes was 13.54 ± 6.07. DR was present in 164 (78.1 %) of whom 71 (43.3 %) had mild non proliferative diabetic retinopathy (NPDR), 42 (25.6 %) had moderate NPDR, 31 (18.9 %) had severe NPDR, and 20 (12.2 %) had proliferative diabetic retinopathy (PDR). Of those with DR, 59 (36 %) had DME. Duration of diabetes (14.62 ± 6.18 vs 9.72 ± 3.68 years, P &lt; 0.001), higher fasting blood glucose (176.79 ± 59.13 vs 138.46 ± 49.44 mg / dL, P &lt; 0.001), higher HbA1c (8.21 ± 1.38 vs. 7.48 ± 1.25 %, P = 0.002), higher total cholesterol (215.04 ± 49.78 vs 184.37 ± 30.84 mg / dL, P &lt; 0.001), higher triglyceride levels (155.23 ± 59.06 vs 125.13 ± 37.3 mg / dL, P = 0.001) and higher low density lipoprotein (LDL) cholesterol levels (139.28 ± 37.38 vs 120.85 ± 22.75 mg / dL, P = 0.002) were significantly associated with the severity of DR. Higher total cholesterol, higher triglyceride levels and higher LDL cholesterol levels were also associated with DME. CONCLUSIONS There is a significant association of abnormal serum lipid levels and hyperglycaemia with the presence and severity of DR and presence of DME. Early identification and intervention to control these modifiable risk factors, hype…","author":[{"dropping-particle":"","family":"S","given":"Kajal Seema","non-dropping-particle":"","parse-names":false,"suffix":""},{"dropping-particle":"","family":"S.S","given":"Binu","non-dropping-particle":"","parse-names":false,"suffix":""},{"dropping-particle":"","family":"M.K.","given":"Bhaskar","non-dropping-particle":"","parse-names":false,"suffix":""}],"container-title":"Journal of Evidence Based Medicine and Healthcare","id":"ITEM-1","issue":"03","issued":{"date-parts":[["2021"]]},"page":"131-135","title":"An Observational Study on the Association between Diabetic Retinopathy and Serum Lipid Levels in a Tertiary Centre in Thiruvananthapuram","type":"article-journal","volume":"8"},"uris":["http://www.mendeley.com/documents/?uuid=b35f87a0-7add-4f75-8bd7-5729aceb4bbe"]}],"mendeley":{"formattedCitation":"(2)","plainTextFormattedCitation":"(2)","previouslyFormattedCitation":"(2)"},"properties":{"noteIndex":0},"schema":"https://github.com/citation-style-language/schema/raw/master/csl-citation.json"}</w:instrText>
      </w:r>
      <w:r w:rsidR="004E442F">
        <w:rPr>
          <w:rFonts w:cstheme="minorHAnsi"/>
        </w:rPr>
        <w:fldChar w:fldCharType="separate"/>
      </w:r>
      <w:r w:rsidR="001D17CD" w:rsidRPr="001D17CD">
        <w:rPr>
          <w:rFonts w:cstheme="minorHAnsi"/>
          <w:noProof/>
        </w:rPr>
        <w:t>(2)</w:t>
      </w:r>
      <w:r w:rsidR="004E442F">
        <w:rPr>
          <w:rFonts w:cstheme="minorHAnsi"/>
        </w:rPr>
        <w:fldChar w:fldCharType="end"/>
      </w:r>
      <w:r w:rsidRPr="00987F2E">
        <w:rPr>
          <w:rFonts w:cstheme="minorHAnsi"/>
        </w:rPr>
        <w:t xml:space="preserve"> in India, who reported significantly higher lipid levels among patients with diabetic retinopathy. However, our findings contrast with those of</w:t>
      </w:r>
      <w:r w:rsidR="000326ED">
        <w:rPr>
          <w:rFonts w:cstheme="minorHAnsi"/>
        </w:rPr>
        <w:t xml:space="preserve"> </w:t>
      </w:r>
      <w:r w:rsidR="005A2396">
        <w:rPr>
          <w:rFonts w:cstheme="minorHAnsi"/>
        </w:rPr>
        <w:fldChar w:fldCharType="begin" w:fldLock="1"/>
      </w:r>
      <w:r w:rsidR="00053B5E">
        <w:rPr>
          <w:rFonts w:cstheme="minorHAnsi"/>
        </w:rPr>
        <w:instrText>ADDIN CSL_CITATION {"citationItems":[{"id":"ITEM-1","itemData":{"DOI":"10.18231/j.ijceo.2021.045","ISSN":"2395-1443","abstract":"To study the prevalence of dyslipidemia and to find out the correlation between serum lipid levels and social factors like occupation, locality(urban/rural) and education status with diabetic retinopathy in patients with type 2 diabetes mellitus.200 patients with type 2 diabetes mellitus were segregated into 2 categories:- First category of patients with diabetic retinopathy and second category of patients without diabetic retinopathy. Serum lipid levels of subjects were measured and social history like occupation, locality (urban/rural) and education status was taken. Observations were compared to check association between above factors and diabetic retinopathy.The prevalence of dyslipidemia was found to be 75.50%. Mean ± SD of LDL(mg/dL) in patients with diabetic retinopathy was 118.86 ± 40.58 which was significantly higher as compared to patients without diabetic retinopathy (p value=0.006). No significant association was seen in the distribution of total cholesterol(mg/dL), HDL(mg/dL), Triglyceride(mg/dL) with diabetic retinopathy (p value&amp;#62;.05). 10% of patients with DR worked as clerks while 52% were homemakers, thus, significant association was seen in the relationship of occupation with the presence of diabetic retinopathy (p value&amp;#60;.05). Diabetic retinopathy was more prevalent among type 2 diabetics living in urban areas (p&amp;#60;0.0001). 16% of patients with DR had studied up to primary school while 28% of patients with DR had studied up to high school, thus significant association was seen between the education status of the patients and the occurrence of diabetic retinopathy (p value&amp;#60;.05).Elevated serum LDL levels were found to be a significant risk factor for diabetic retinopathy. Clerks and homemakers were more predisposed to diabetic retinopathy. Subjects who received education up to primary school and high school and subjects living in urban areas had significantly increased rates of diabetic retinopathy.","author":[{"dropping-particle":"","family":"Cardoza","given":"Namratha Judith","non-dropping-particle":"","parse-names":false,"suffix":""},{"dropping-particle":"","family":"O K Radhakrishnan","given":"","non-dropping-particle":"","parse-names":false,"suffix":""},{"dropping-particle":"","family":"Desai","given":"Chaitali","non-dropping-particle":"","parse-names":false,"suffix":""},{"dropping-particle":"","family":"Mohankumar","given":"Kavitha","non-dropping-particle":"","parse-names":false,"suffix":""},{"dropping-particle":"","family":"Mohan","given":"Madhuvanthi","non-dropping-particle":"","parse-names":false,"suffix":""}],"container-title":"Indian Journal of Clinical and Experimental Ophthalmology","id":"ITEM-1","issue":"1","issued":{"date-parts":[["2021"]]},"page":"218-223","title":"Association of serum lipid levels and social factors with diabetic retinopathy in patients with type 2 diabetes mellitus: Study from tertiary care center of Western Maharashtra","type":"article-journal","volume":"7"},"uris":["http://www.mendeley.com/documents/?uuid=31c5d446-9d08-45b2-aec9-0037a8103c61"]}],"mendeley":{"formattedCitation":"(7)","plainTextFormattedCitation":"(7)","previouslyFormattedCitation":"(7)"},"properties":{"noteIndex":0},"schema":"https://github.com/citation-style-language/schema/raw/master/csl-citation.json"}</w:instrText>
      </w:r>
      <w:r w:rsidR="005A2396">
        <w:rPr>
          <w:rFonts w:cstheme="minorHAnsi"/>
        </w:rPr>
        <w:fldChar w:fldCharType="separate"/>
      </w:r>
      <w:r w:rsidR="001D17CD" w:rsidRPr="001D17CD">
        <w:rPr>
          <w:rFonts w:cstheme="minorHAnsi"/>
          <w:noProof/>
        </w:rPr>
        <w:t>(7)</w:t>
      </w:r>
      <w:r w:rsidR="005A2396">
        <w:rPr>
          <w:rFonts w:cstheme="minorHAnsi"/>
        </w:rPr>
        <w:fldChar w:fldCharType="end"/>
      </w:r>
      <w:r w:rsidR="000326ED">
        <w:rPr>
          <w:rFonts w:cstheme="minorHAnsi"/>
        </w:rPr>
        <w:t xml:space="preserve"> </w:t>
      </w:r>
      <w:r w:rsidRPr="00987F2E">
        <w:rPr>
          <w:rFonts w:cstheme="minorHAnsi"/>
        </w:rPr>
        <w:t>who found no significant association</w:t>
      </w:r>
      <w:r w:rsidR="004B5E04">
        <w:rPr>
          <w:rFonts w:cstheme="minorHAnsi"/>
        </w:rPr>
        <w:t xml:space="preserve">, </w:t>
      </w:r>
      <w:r w:rsidRPr="00987F2E">
        <w:rPr>
          <w:rFonts w:cstheme="minorHAnsi"/>
        </w:rPr>
        <w:t>possibly due to their smaller sample size.</w:t>
      </w:r>
    </w:p>
    <w:p w14:paraId="1EA582C5" w14:textId="77777777" w:rsidR="002C13A7" w:rsidRDefault="002C13A7" w:rsidP="000D7982">
      <w:pPr>
        <w:spacing w:line="360" w:lineRule="auto"/>
        <w:jc w:val="both"/>
      </w:pPr>
    </w:p>
    <w:p w14:paraId="7D9CF518" w14:textId="440A0BEE" w:rsidR="002C13A7" w:rsidRDefault="002C13A7" w:rsidP="000D7982">
      <w:pPr>
        <w:spacing w:line="360" w:lineRule="auto"/>
        <w:jc w:val="both"/>
      </w:pPr>
      <w:r>
        <w:lastRenderedPageBreak/>
        <w:t xml:space="preserve">In examining predictors for progression from NPDR to PDR, a strong independent association was found with both diabetes duration and lipid profile abnormalities. Each additional year of diabetes was linked to a 12% increased risk of developing PDR, likely reflecting the cumulative effects of chronic hyperglycemia on retinal microvasculature, consistent with findings by </w:t>
      </w:r>
      <w:r w:rsidR="00704FD9">
        <w:fldChar w:fldCharType="begin" w:fldLock="1"/>
      </w:r>
      <w:r w:rsidR="00053B5E">
        <w:instrText>ADDIN CSL_CITATION {"citationItems":[{"id":"ITEM-1","itemData":{"DOI":"10.12669/pjms.326.11056","ISSN":"1682024X","abstract":"Objective: To compare serum cholesterol, TG, HDL-C and LDL-C concentrations between type-2 Diabetes mellitus (DM) patients with retinopathy and without retinopathy and to study association between various modifiable risk factors of Diabetic retinopathy (DR). Methods: The study included 300 patients with type 2 DM; 140 of them were without DR (Group-I) and 160 were with DR (Group-II). Serum total cholesterol, LDL-C, HDL-C, and TG levels were determined. SPSS 17.0 for windows was used for statistical analysis. Results: Overall, mean age of study population was 48.86 ± 5.62 years. Subjects with DR were older (P &lt; 0.018), had higher fasting plasma glucose (P &lt; 0.01) and higher HbA1c (P &lt;0.01) concentrations compared with those without DR. Analysis of serum cholesterol, LDL-C, HDL-C and TG among subgroups of patients with no DR, with NPDR and PDR showed statistically significant difference (p &lt;0.01). There was strong positive correlation of severity of DR with BSF, HbA1c, serum LDL-C, total cholesterol and TG. Conclusion: The serum cholesterol, TG, HDL-C and LDL-C concentrations were found to be significantly deranged in patients with DR as compared to those without DR.","author":[{"dropping-particle":"","family":"Amin","given":"Zulfiqar Ali","non-dropping-particle":"","parse-names":false,"suffix":""},{"dropping-particle":"","family":"Ul Islam","given":"Qamar","non-dropping-particle":"","parse-names":false,"suffix":""},{"dropping-particle":"","family":"Mehboob","given":"Mohammad Asim","non-dropping-particle":"","parse-names":false,"suffix":""}],"container-title":"Pakistan Journal of Medical Sciences","id":"ITEM-1","issue":"6","issued":{"date-parts":[["2016"]]},"page":"1349-1353","title":"Comparison of serum lipid profile in Type-2 Diabetics with and without retinopathy in Pakistani population","type":"article-journal","volume":"32"},"uris":["http://www.mendeley.com/documents/?uuid=faa3d585-75cf-44f5-95df-576acd00744b"]}],"mendeley":{"formattedCitation":"(16)","plainTextFormattedCitation":"(16)","previouslyFormattedCitation":"(16)"},"properties":{"noteIndex":0},"schema":"https://github.com/citation-style-language/schema/raw/master/csl-citation.json"}</w:instrText>
      </w:r>
      <w:r w:rsidR="00704FD9">
        <w:fldChar w:fldCharType="separate"/>
      </w:r>
      <w:r w:rsidR="001D17CD" w:rsidRPr="001D17CD">
        <w:rPr>
          <w:noProof/>
        </w:rPr>
        <w:t>(16)</w:t>
      </w:r>
      <w:r w:rsidR="00704FD9">
        <w:fldChar w:fldCharType="end"/>
      </w:r>
      <w:r w:rsidR="00704FD9">
        <w:t xml:space="preserve"> </w:t>
      </w:r>
      <w:r>
        <w:t xml:space="preserve">in Pakistan. Among lipid markers, elevated serum triglycerides showed the strongest association, conferring a 65% higher risk of PDR. Similar observations were reported by </w:t>
      </w:r>
      <w:r w:rsidR="00704FD9">
        <w:fldChar w:fldCharType="begin" w:fldLock="1"/>
      </w:r>
      <w:r w:rsidR="00053B5E">
        <w:instrText>ADDIN CSL_CITATION {"citationItems":[{"id":"ITEM-1","itemData":{"DOI":"10.1186/s40942-022-00366-4","ISSN":"20569920","abstract":"Background: Diabetic retinopathy (DR) is a major cause of blindness worldwide, threatening the vision of approximately 10% of patients with diabetes. Many studies have demonstrated that intensive control of the risk factors for DR is essential to reduce the onset and progression of DR. Currently, the relationship between lipid profile and DR is still unclear, especially in Saudi Arabia. We aimed to assess the correlation between both the development and severity of DR with lipid profile and blood pressure among the diabetic patients at the King Abdul-Aziz University hospital in Jeddah, Saudi Arabia. Methods: This was a retrospective record review study of 298 diabetic patients diagnosed with DR. Retinal findings were correlated to serum lipids levels using univariate, bivariate, and multivariate analysis. Results: This study included 298 participants with DR. Triglyceride levels, systolic blood pressure, low-density lipoprotein cholesterol levels, and presence of macular edema were significantly associated with DR progression (P = 0.012, P = 0.001, P = 0.002). Other parameters, including total cholesterol, high-density lipoprotein cholesterol, HbA1C, body mass index, age, were not significantly associated with DR. Conclusion: Elevation in serum triglyceride levels and systolic blood pressure showed a statically significant association with diabetic retinopathy. Controlling these factors may help preventing progression and occurrence of diabetic retinopathy among diabetic patients.","author":[{"dropping-particle":"","family":"Alattas","given":"Khadijah","non-dropping-particle":"","parse-names":false,"suffix":""},{"dropping-particle":"","family":"Alsulami","given":"Dania W.","non-dropping-particle":"","parse-names":false,"suffix":""},{"dropping-particle":"","family":"Alem","given":"Rahaf H.","non-dropping-particle":"","parse-names":false,"suffix":""},{"dropping-particle":"","family":"Alotaibi","given":"Felwa S.","non-dropping-particle":"","parse-names":false,"suffix":""},{"dropping-particle":"","family":"Alghamdi","given":"Bayan A.","non-dropping-particle":"","parse-names":false,"suffix":""},{"dropping-particle":"","family":"Baeesa","given":"Layan S.","non-dropping-particle":"","parse-names":false,"suffix":""}],"container-title":"International Journal of Retina and Vitreous","id":"ITEM-1","issue":"1","issued":{"date-parts":[["2022"]]},"page":"1-5","publisher":"BioMed Central","title":"Relation between lipid profile, blood pressure and retinopathy in diabetic patients in King Abdulaziz University hospital: a retrospective record review study","type":"article-journal","volume":"8"},"uris":["http://www.mendeley.com/documents/?uuid=bb4c05e3-0156-4648-9f66-ad69adaa9dc0"]}],"mendeley":{"formattedCitation":"(17)","plainTextFormattedCitation":"(17)","previouslyFormattedCitation":"(17)"},"properties":{"noteIndex":0},"schema":"https://github.com/citation-style-language/schema/raw/master/csl-citation.json"}</w:instrText>
      </w:r>
      <w:r w:rsidR="00704FD9">
        <w:fldChar w:fldCharType="separate"/>
      </w:r>
      <w:r w:rsidR="001D17CD" w:rsidRPr="001D17CD">
        <w:rPr>
          <w:noProof/>
        </w:rPr>
        <w:t>(17)</w:t>
      </w:r>
      <w:r w:rsidR="00704FD9">
        <w:fldChar w:fldCharType="end"/>
      </w:r>
      <w:r w:rsidR="00704FD9">
        <w:t xml:space="preserve"> </w:t>
      </w:r>
      <w:r>
        <w:t>in Saudi Arabia, where participants had comparable mean ages.</w:t>
      </w:r>
    </w:p>
    <w:p w14:paraId="331E41E5" w14:textId="77777777" w:rsidR="002C13A7" w:rsidRDefault="002C13A7" w:rsidP="000D7982">
      <w:pPr>
        <w:spacing w:line="360" w:lineRule="auto"/>
        <w:jc w:val="both"/>
      </w:pPr>
    </w:p>
    <w:p w14:paraId="22DFA164" w14:textId="2A94B983" w:rsidR="000D7982" w:rsidRDefault="000D7982" w:rsidP="000D7982">
      <w:pPr>
        <w:spacing w:line="360" w:lineRule="auto"/>
        <w:jc w:val="both"/>
      </w:pPr>
      <w:r>
        <w:t xml:space="preserve">Interestingly, this study found no significant association between HDL levels and the severity of diabetic retinopathy. This may be attributed to population-based variations in HDL subclasses (HDL2 and HDL3), as also reported by </w:t>
      </w:r>
      <w:r w:rsidR="00C42D9F">
        <w:fldChar w:fldCharType="begin" w:fldLock="1"/>
      </w:r>
      <w:r w:rsidR="00053B5E">
        <w:instrText>ADDIN CSL_CITATION {"citationItems":[{"id":"ITEM-1","itemData":{"DOI":"10.14260/jemds/2015/2454","ISSN":"22784748","author":[{"dropping-particle":"","family":"Kolli","given":"Sivaramareddy","non-dropping-particle":"","parse-names":false,"suffix":""},{"dropping-particle":"","family":"Endreddy","given":"Ananda Reddy","non-dropping-particle":"","parse-names":false,"suffix":""},{"dropping-particle":"","family":"Reddy","given":"Viswas","non-dropping-particle":"","parse-names":false,"suffix":""}],"container-title":"Journal of Evolution of Medical and Dental Sciences","id":"ITEM-1","issue":"100","issued":{"date-parts":[["2015"]]},"page":"16506-16509","title":"Study of Association of Diabetic Maculopathy With Hyperlipidemia","type":"article-journal","volume":"4"},"uris":["http://www.mendeley.com/documents/?uuid=b3b94a9b-267b-4a28-947b-ce0faa1b54b4"]}],"mendeley":{"formattedCitation":"(18)","plainTextFormattedCitation":"(18)","previouslyFormattedCitation":"(18)"},"properties":{"noteIndex":0},"schema":"https://github.com/citation-style-language/schema/raw/master/csl-citation.json"}</w:instrText>
      </w:r>
      <w:r w:rsidR="00C42D9F">
        <w:fldChar w:fldCharType="separate"/>
      </w:r>
      <w:r w:rsidR="001D17CD" w:rsidRPr="001D17CD">
        <w:rPr>
          <w:noProof/>
        </w:rPr>
        <w:t>(18)</w:t>
      </w:r>
      <w:r w:rsidR="00C42D9F">
        <w:fldChar w:fldCharType="end"/>
      </w:r>
      <w:r w:rsidR="00C42D9F">
        <w:t xml:space="preserve"> </w:t>
      </w:r>
      <w:r>
        <w:t xml:space="preserve">in Guntur, India. Conversely, </w:t>
      </w:r>
      <w:r w:rsidR="00C42D9F">
        <w:fldChar w:fldCharType="begin" w:fldLock="1"/>
      </w:r>
      <w:r w:rsidR="00053B5E">
        <w:instrText>ADDIN CSL_CITATION {"citationItems":[{"id":"ITEM-1","itemData":{"DOI":"10.12669/pjms.326.11056","ISSN":"1682024X","abstract":"Objective: To compare serum cholesterol, TG, HDL-C and LDL-C concentrations between type-2 Diabetes mellitus (DM) patients with retinopathy and without retinopathy and to study association between various modifiable risk factors of Diabetic retinopathy (DR). Methods: The study included 300 patients with type 2 DM; 140 of them were without DR (Group-I) and 160 were with DR (Group-II). Serum total cholesterol, LDL-C, HDL-C, and TG levels were determined. SPSS 17.0 for windows was used for statistical analysis. Results: Overall, mean age of study population was 48.86 ± 5.62 years. Subjects with DR were older (P &lt; 0.018), had higher fasting plasma glucose (P &lt; 0.01) and higher HbA1c (P &lt;0.01) concentrations compared with those without DR. Analysis of serum cholesterol, LDL-C, HDL-C and TG among subgroups of patients with no DR, with NPDR and PDR showed statistically significant difference (p &lt;0.01). There was strong positive correlation of severity of DR with BSF, HbA1c, serum LDL-C, total cholesterol and TG. Conclusion: The serum cholesterol, TG, HDL-C and LDL-C concentrations were found to be significantly deranged in patients with DR as compared to those without DR.","author":[{"dropping-particle":"","family":"Amin","given":"Zulfiqar Ali","non-dropping-particle":"","parse-names":false,"suffix":""},{"dropping-particle":"","family":"Ul Islam","given":"Qamar","non-dropping-particle":"","parse-names":false,"suffix":""},{"dropping-particle":"","family":"Mehboob","given":"Mohammad Asim","non-dropping-particle":"","parse-names":false,"suffix":""}],"container-title":"Pakistan Journal of Medical Sciences","id":"ITEM-1","issue":"6","issued":{"date-parts":[["2016"]]},"page":"1349-1353","title":"Comparison of serum lipid profile in Type-2 Diabetics with and without retinopathy in Pakistani population","type":"article-journal","volume":"32"},"uris":["http://www.mendeley.com/documents/?uuid=da621172-1554-471d-a788-bdf2f20c0adb"]}],"mendeley":{"formattedCitation":"(16)","plainTextFormattedCitation":"(16)","previouslyFormattedCitation":"(16)"},"properties":{"noteIndex":0},"schema":"https://github.com/citation-style-language/schema/raw/master/csl-citation.json"}</w:instrText>
      </w:r>
      <w:r w:rsidR="00C42D9F">
        <w:fldChar w:fldCharType="separate"/>
      </w:r>
      <w:r w:rsidR="001D17CD" w:rsidRPr="001D17CD">
        <w:rPr>
          <w:noProof/>
        </w:rPr>
        <w:t>(16)</w:t>
      </w:r>
      <w:r w:rsidR="00C42D9F">
        <w:fldChar w:fldCharType="end"/>
      </w:r>
      <w:r w:rsidR="00C42D9F">
        <w:t xml:space="preserve"> </w:t>
      </w:r>
      <w:r>
        <w:t>in Pakistan observed a significant association between reduced HDL and increased retinopathy severity. These inconsistencies could be influenced by geographic differences and the younger mean age of participants in their study compared to ours.</w:t>
      </w:r>
    </w:p>
    <w:p w14:paraId="5530B513" w14:textId="77777777" w:rsidR="005C50AB" w:rsidRDefault="005C50AB" w:rsidP="005C50AB">
      <w:pPr>
        <w:spacing w:line="360" w:lineRule="auto"/>
        <w:jc w:val="both"/>
      </w:pPr>
    </w:p>
    <w:p w14:paraId="4C0D7126" w14:textId="375ADD13" w:rsidR="00C7430C" w:rsidRDefault="005C50AB" w:rsidP="00C7430C">
      <w:pPr>
        <w:spacing w:line="360" w:lineRule="auto"/>
        <w:jc w:val="both"/>
      </w:pPr>
      <w:r>
        <w:t>This study also found a significant association between higher BMI and increased severity of diabetic retinopathy. This is likely due to the link between elevated BMI and insulin resistance, which impairs glycemic control and contributes to chronic hyperglycemia</w:t>
      </w:r>
      <w:r w:rsidR="00EA7B97">
        <w:t xml:space="preserve"> </w:t>
      </w:r>
      <w:r>
        <w:t>a known driver of retinopathy progression. Our findings are consistent with those of</w:t>
      </w:r>
      <w:r w:rsidR="00EA7B97">
        <w:t xml:space="preserve"> </w:t>
      </w:r>
      <w:r w:rsidR="00EA7B97">
        <w:fldChar w:fldCharType="begin" w:fldLock="1"/>
      </w:r>
      <w:r w:rsidR="00053B5E">
        <w:instrText>ADDIN CSL_CITATION {"citationItems":[{"id":"ITEM-1","itemData":{"DOI":"10.1155/2013/436329","ISSN":"14661861","PMID":"24347825","abstract":"The aim of the study was to investigate whether body mass index (BMI) independently or in correlation with other risk factors is associated with diabetic retinopathy (DR) progression. The study included 545 patients with type 2 diabetes. According to DR status, they were divided into three groups: group 1 (no retinopathy; n = 296), group 2 (mild/moderate nonproliferative DR; n = 118), and group 3 (severe/very severe NPDR or proliferative DR; n = 131). Patients without DR were younger than those with signs of retinopathy at time of diabetes onset whilst diabetes duration was longer in groups with severe NPDR and PDR. DR progression was correlated with diabetes duration, BMI, HbA 1c, hypertension, and cholesterol. Statistical analyses showed that the progression of retinopathy increased significantly with higher BMI (gr. 1: 26.50 ± 2.70, gr. 2: 28.11 ± 3.00, gr. 3: 28.69 ± 2.50; P &lt; 0.01). We observed a significant deterioration of HbA1c and a significant increase in cholesterol and hypertension with an increase in BMI. Correlation between BMI and triglycerides was not significant. Thus, BMI in correlation with HbA1c cholesterol and hypertension appears to be associated with the progression of DR in type 2 diabetes and may serve as a predictive factor for the development of this important cause of visual loss in developed countries. © 2013 Snježana Kaštelan et al.","author":[{"dropping-particle":"","family":"Kaštelan","given":"Snježana","non-dropping-particle":"","parse-names":false,"suffix":""},{"dropping-particle":"","family":"Tomić","given":"Martina","non-dropping-particle":"","parse-names":false,"suffix":""},{"dropping-particle":"","family":"Gverović Antunica","given":"Antonela","non-dropping-particle":"","parse-names":false,"suffix":""},{"dropping-particle":"","family":"Ljubić","given":"Spomenka","non-dropping-particle":"","parse-names":false,"suffix":""},{"dropping-particle":"","family":"Salopek Rabatić","given":"Jasminka","non-dropping-particle":"","parse-names":false,"suffix":""},{"dropping-particle":"","family":"Karabatić","given":"Mirela","non-dropping-particle":"","parse-names":false,"suffix":""}],"container-title":"Mediators of Inflammation","id":"ITEM-1","issued":{"date-parts":[["2013"]]},"title":"Body mass index: A risk factor for retinopathy in type 2 diabetic patients","type":"article-journal","volume":"2013"},"uris":["http://www.mendeley.com/documents/?uuid=eb3789f6-7894-4c40-a8a4-428c77ea986a"]}],"mendeley":{"formattedCitation":"(19)","plainTextFormattedCitation":"(19)","previouslyFormattedCitation":"(19)"},"properties":{"noteIndex":0},"schema":"https://github.com/citation-style-language/schema/raw/master/csl-citation.json"}</w:instrText>
      </w:r>
      <w:r w:rsidR="00EA7B97">
        <w:fldChar w:fldCharType="separate"/>
      </w:r>
      <w:r w:rsidR="001D17CD" w:rsidRPr="001D17CD">
        <w:rPr>
          <w:noProof/>
        </w:rPr>
        <w:t>(19)</w:t>
      </w:r>
      <w:r w:rsidR="00EA7B97">
        <w:fldChar w:fldCharType="end"/>
      </w:r>
      <w:r>
        <w:t xml:space="preserve"> in Croatia, where similar associations were observed, possibly due to a high prevalence of hypertension in both cohorts. These results underscore the potential role of metabolic syndrome in retinal vascular damage and highlight the need for further investigation in this area.</w:t>
      </w:r>
      <w:bookmarkStart w:id="12" w:name="_Toc171341403"/>
    </w:p>
    <w:p w14:paraId="26532306" w14:textId="77777777" w:rsidR="00C7430C" w:rsidRDefault="00C7430C" w:rsidP="00C7430C">
      <w:pPr>
        <w:spacing w:line="360" w:lineRule="auto"/>
        <w:jc w:val="both"/>
      </w:pPr>
    </w:p>
    <w:p w14:paraId="394547FB" w14:textId="3ABAAB87" w:rsidR="00C7430C" w:rsidRPr="00C7430C" w:rsidRDefault="00C7430C" w:rsidP="00C7430C">
      <w:pPr>
        <w:spacing w:line="360" w:lineRule="auto"/>
        <w:jc w:val="both"/>
      </w:pPr>
      <w:r w:rsidRPr="00C7430C">
        <w:t>A key limitation of this study is its hospital-based design, which may limit the generalizability of findings to the broader population of individuals with type 2 diabetes. Patients attending tertiary care centers are more likely to present with advanced disease or complications, potentially leading to an overestimation of the prevalence and severity of diabetic retinopathy and dyslipidemia. To address this in future research, population-based studies involving community-level screening and broader sampling strategies are recommended to provide a more representative picture of disease patterns and associated risk factors.</w:t>
      </w:r>
    </w:p>
    <w:p w14:paraId="344A22C5" w14:textId="08A055B2" w:rsidR="00A36D72" w:rsidRPr="00B55B9F" w:rsidRDefault="00A36D72" w:rsidP="00C7430C">
      <w:pPr>
        <w:pStyle w:val="Heading2"/>
      </w:pPr>
      <w:r w:rsidRPr="00B55B9F">
        <w:lastRenderedPageBreak/>
        <w:t>Conclusion</w:t>
      </w:r>
      <w:bookmarkEnd w:id="12"/>
    </w:p>
    <w:p w14:paraId="7AF02D56" w14:textId="77777777" w:rsidR="00FA0080" w:rsidRDefault="00A36D72" w:rsidP="00FA0080">
      <w:pPr>
        <w:spacing w:line="360" w:lineRule="auto"/>
        <w:jc w:val="both"/>
      </w:pPr>
      <w:r w:rsidRPr="00B55B9F">
        <w:rPr>
          <w:shd w:val="clear" w:color="auto" w:fill="FFFFFF"/>
        </w:rPr>
        <w:t>The study revealed a strong connection between dyslipidemia and the severity of diabetic retinopathy</w:t>
      </w:r>
      <w:r w:rsidR="00280E41">
        <w:rPr>
          <w:shd w:val="clear" w:color="auto" w:fill="FFFFFF"/>
        </w:rPr>
        <w:t>.</w:t>
      </w:r>
      <w:r w:rsidRPr="00B55B9F">
        <w:rPr>
          <w:shd w:val="clear" w:color="auto" w:fill="FFFFFF"/>
        </w:rPr>
        <w:t xml:space="preserve"> Even after adjustments, LDL, and triglycerides were significantly associated with the severity of diabetic retinopathy. Additionally, the duration of diabetes and BMI remained significant factors. </w:t>
      </w:r>
      <w:r w:rsidR="008C699A">
        <w:t>These findings underscore the importance of early intervention, lifestyle modification, and metabolic control in reducing the risk of vision-threatening complications. Furthermore, the study highlights the need for enhanced screening programs and patient education to support timely detection and management of diabetic retinopathy.</w:t>
      </w:r>
      <w:bookmarkStart w:id="13" w:name="_Toc171341404"/>
    </w:p>
    <w:p w14:paraId="37E97D3B" w14:textId="77777777" w:rsidR="00FA0080" w:rsidRDefault="00FA0080" w:rsidP="00FA0080">
      <w:pPr>
        <w:spacing w:line="360" w:lineRule="auto"/>
        <w:jc w:val="both"/>
      </w:pPr>
    </w:p>
    <w:p w14:paraId="41FC33D0" w14:textId="6B08491B" w:rsidR="00D766CF" w:rsidRPr="00FA0080" w:rsidRDefault="00A36D72" w:rsidP="00FA0080">
      <w:pPr>
        <w:spacing w:line="360" w:lineRule="auto"/>
        <w:jc w:val="both"/>
        <w:rPr>
          <w:b/>
          <w:bCs/>
          <w:shd w:val="clear" w:color="auto" w:fill="FFFFFF"/>
        </w:rPr>
      </w:pPr>
      <w:r w:rsidRPr="00FA0080">
        <w:rPr>
          <w:b/>
          <w:bCs/>
        </w:rPr>
        <w:t>Recommendations</w:t>
      </w:r>
      <w:bookmarkEnd w:id="13"/>
    </w:p>
    <w:p w14:paraId="63489811" w14:textId="51A15359" w:rsidR="00A36D72" w:rsidRPr="00D766CF" w:rsidRDefault="00D766CF" w:rsidP="00D766CF">
      <w:pPr>
        <w:spacing w:before="240" w:line="360" w:lineRule="auto"/>
        <w:jc w:val="both"/>
      </w:pPr>
      <w:r w:rsidRPr="00D766CF">
        <w:t>Future research should prioritize large-scale, well-designed studies</w:t>
      </w:r>
      <w:r>
        <w:t xml:space="preserve"> </w:t>
      </w:r>
      <w:r w:rsidRPr="00D766CF">
        <w:t>such as case-control designs</w:t>
      </w:r>
      <w:r>
        <w:t xml:space="preserve"> </w:t>
      </w:r>
      <w:r w:rsidRPr="00D766CF">
        <w:t>to better establish the causal relationship between dyslipidemia and diabetic retinopathy progression. Meanwhile, clinical practice should incorporate routine lipid screening, patient education, and lifestyle interventions into diabetes care. Strengthened interdisciplinary collaboration and supportive national policies are also essential to ensure early detection, effective lipid management, and the prevention of vision-threatening diabetic complications.</w:t>
      </w:r>
    </w:p>
    <w:p w14:paraId="4C7D2AB9" w14:textId="40B73075" w:rsidR="00B55B9F" w:rsidRDefault="00B55B9F">
      <w:pPr>
        <w:rPr>
          <w:b/>
          <w:bCs/>
        </w:rPr>
      </w:pPr>
    </w:p>
    <w:p w14:paraId="5C0DF116" w14:textId="31ED8232" w:rsidR="006970AC" w:rsidRDefault="00EC1092" w:rsidP="00B163EB">
      <w:pPr>
        <w:pStyle w:val="Heading1"/>
        <w:jc w:val="left"/>
      </w:pPr>
      <w:bookmarkStart w:id="14" w:name="_Toc171341407"/>
      <w:r w:rsidRPr="00B55B9F">
        <w:t>REFERENCES</w:t>
      </w:r>
      <w:bookmarkEnd w:id="14"/>
    </w:p>
    <w:p w14:paraId="7FA8748D" w14:textId="77777777" w:rsidR="00B163EB" w:rsidRPr="00B163EB" w:rsidRDefault="00B163EB" w:rsidP="00B163EB">
      <w:pPr>
        <w:rPr>
          <w:lang w:eastAsia="en-GB"/>
        </w:rPr>
      </w:pPr>
    </w:p>
    <w:p w14:paraId="143FCF5F" w14:textId="40080C2D" w:rsidR="00D37F15" w:rsidRPr="00D37F15" w:rsidRDefault="00EC1092" w:rsidP="00D37F15">
      <w:pPr>
        <w:widowControl w:val="0"/>
        <w:autoSpaceDE w:val="0"/>
        <w:autoSpaceDN w:val="0"/>
        <w:adjustRightInd w:val="0"/>
        <w:spacing w:line="360" w:lineRule="auto"/>
        <w:ind w:left="640" w:hanging="640"/>
        <w:rPr>
          <w:noProof/>
        </w:rPr>
      </w:pPr>
      <w:r w:rsidRPr="00B55B9F">
        <w:rPr>
          <w:lang w:val="en-GB"/>
        </w:rPr>
        <w:fldChar w:fldCharType="begin" w:fldLock="1"/>
      </w:r>
      <w:r w:rsidRPr="00B55B9F">
        <w:rPr>
          <w:lang w:val="en-GB"/>
        </w:rPr>
        <w:instrText xml:space="preserve">ADDIN Mendeley Bibliography CSL_BIBLIOGRAPHY </w:instrText>
      </w:r>
      <w:r w:rsidRPr="00B55B9F">
        <w:rPr>
          <w:lang w:val="en-GB"/>
        </w:rPr>
        <w:fldChar w:fldCharType="separate"/>
      </w:r>
      <w:r w:rsidR="00D37F15" w:rsidRPr="00D37F15">
        <w:rPr>
          <w:noProof/>
        </w:rPr>
        <w:t>1.</w:t>
      </w:r>
      <w:r w:rsidR="00D37F15" w:rsidRPr="00D37F15">
        <w:rPr>
          <w:noProof/>
        </w:rPr>
        <w:tab/>
        <w:t xml:space="preserve">Sajjan N, Shamsuddin M. A study of serum magnesium and dyslipidemia in type 2 diabetes mellitus patients. Int J Clin Biochem Res. 2016;3(1):36. </w:t>
      </w:r>
    </w:p>
    <w:p w14:paraId="6F032349"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2.</w:t>
      </w:r>
      <w:r w:rsidRPr="00D37F15">
        <w:rPr>
          <w:noProof/>
        </w:rPr>
        <w:tab/>
        <w:t xml:space="preserve">S KS, S.S B, M.K. B. An Observational Study on the Association between Diabetic Retinopathy and Serum Lipid Levels in a Tertiary Centre in Thiruvananthapuram. J Evid Based Med Healthc. 2021;8(03):131–5. </w:t>
      </w:r>
    </w:p>
    <w:p w14:paraId="666D9510"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3.</w:t>
      </w:r>
      <w:r w:rsidRPr="00D37F15">
        <w:rPr>
          <w:noProof/>
        </w:rPr>
        <w:tab/>
        <w:t>Burgess PI, Harding SP, García-Fiñana M, Beare NAV, Msukwa G, Allain TJ. First Prospective Cohort Study of Diabetic Retinopathy from Sub-Saharan Africa: High Incidence and Progression of Retinopathy and Relationship to Human Immunodeficiency Virus Infection. Ophthalmology [Internet]. 2016;123(9):1919–25. Available from: http://dx.doi.org/10.1016/j.ophtha.2016.05.042</w:t>
      </w:r>
    </w:p>
    <w:p w14:paraId="14FC763C"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4.</w:t>
      </w:r>
      <w:r w:rsidRPr="00D37F15">
        <w:rPr>
          <w:noProof/>
        </w:rPr>
        <w:tab/>
        <w:t xml:space="preserve">Agroiya P, Philip R, Saran S, Gutch M, Tyagi R, Gupta K. Association of serum lipids with diabetic retinopathy in type 2 diabetes. Indian J Endocrinol Metab. 2013;17(7):335. </w:t>
      </w:r>
    </w:p>
    <w:p w14:paraId="34509318"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5.</w:t>
      </w:r>
      <w:r w:rsidRPr="00D37F15">
        <w:rPr>
          <w:noProof/>
        </w:rPr>
        <w:tab/>
        <w:t xml:space="preserve">Chang YC, Wu WC. Dyslipidemia and diabetic retinopathy. Rev Diabet Stud. </w:t>
      </w:r>
      <w:r w:rsidRPr="00D37F15">
        <w:rPr>
          <w:noProof/>
        </w:rPr>
        <w:lastRenderedPageBreak/>
        <w:t xml:space="preserve">2013;10(2–3):121–32. </w:t>
      </w:r>
    </w:p>
    <w:p w14:paraId="1227DB82"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6.</w:t>
      </w:r>
      <w:r w:rsidRPr="00D37F15">
        <w:rPr>
          <w:noProof/>
        </w:rPr>
        <w:tab/>
        <w:t xml:space="preserve">Simó-Servat O, Planas A, Ciudin A, Simó R, Hernández C. Assessment of advanced glycation end-products as a biomarker of diabetic outcomes. Endocrinol Diabetes y Nutr. 2018;65(9):540–5. </w:t>
      </w:r>
    </w:p>
    <w:p w14:paraId="1E1CD143"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7.</w:t>
      </w:r>
      <w:r w:rsidRPr="00D37F15">
        <w:rPr>
          <w:noProof/>
        </w:rPr>
        <w:tab/>
        <w:t xml:space="preserve">Cardoza NJ, O K Radhakrishnan, Desai C, Mohankumar K, Mohan M. Association of serum lipid levels and social factors with diabetic retinopathy in patients with type 2 diabetes mellitus: Study from tertiary care center of Western Maharashtra. Indian J Clin Exp Ophthalmol. 2021;7(1):218–23. </w:t>
      </w:r>
    </w:p>
    <w:p w14:paraId="5294B24F"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8.</w:t>
      </w:r>
      <w:r w:rsidRPr="00D37F15">
        <w:rPr>
          <w:noProof/>
        </w:rPr>
        <w:tab/>
        <w:t xml:space="preserve">Ahmed AM, Md hafez, Md Manir Hossain Mollah, Md. Mojibur Rahman. Dyslipidemia Among Type 2 Diabetes Mellitus Patients Attending AdenAbdulle Hospital in Mogadishu Somalia. Eur J Med Vet Sci  . 2021;e-ISSN: 27(01(01)). </w:t>
      </w:r>
    </w:p>
    <w:p w14:paraId="2D8958AB"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9.</w:t>
      </w:r>
      <w:r w:rsidRPr="00D37F15">
        <w:rPr>
          <w:noProof/>
        </w:rPr>
        <w:tab/>
        <w:t xml:space="preserve">A E, BR AE, SE AZ. Association between Dyslipidemia and Diabetic Retinopathy in Type 2 Diabetic Patients. J Ophthalmic Stud. 2019;2(1):1–6. </w:t>
      </w:r>
    </w:p>
    <w:p w14:paraId="091B550B"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10.</w:t>
      </w:r>
      <w:r w:rsidRPr="00D37F15">
        <w:rPr>
          <w:noProof/>
        </w:rPr>
        <w:tab/>
        <w:t xml:space="preserve">Haile K, Timerga A. Dyslipidemia and its associated risk factors among adult type-2 diabetic patients at jimma university medical center, Jimma, Southwest Ethiopia. Diabetes, Metab Syndr Obes. 2020;13:4589–97. </w:t>
      </w:r>
    </w:p>
    <w:p w14:paraId="789A2DF5"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11.</w:t>
      </w:r>
      <w:r w:rsidRPr="00D37F15">
        <w:rPr>
          <w:noProof/>
        </w:rPr>
        <w:tab/>
        <w:t xml:space="preserve">Shao ER. Lipid Profile of Type 2 Diabetic Patients at a Tertiary Hospital in Tanzania: Cross Sectional Study. J Endocrinol Diabetes. 2017;4(1):1–6. </w:t>
      </w:r>
    </w:p>
    <w:p w14:paraId="4DE1FB3A"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12.</w:t>
      </w:r>
      <w:r w:rsidRPr="00D37F15">
        <w:rPr>
          <w:noProof/>
        </w:rPr>
        <w:tab/>
        <w:t xml:space="preserve">Ahmed AM, Md hafez, Md Manir Hossain Mollah, Md. Mojibur Rahman. Dyslipidemia Among Type 2 Diabetes Mellitus Patients Attending Aden Abdulle Hospital in Mogadishu Somalia. Eur J Med Vet Sci. 2021;e-ISSN: 27(01(01)):45–56. </w:t>
      </w:r>
    </w:p>
    <w:p w14:paraId="716FB736"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13.</w:t>
      </w:r>
      <w:r w:rsidRPr="00D37F15">
        <w:rPr>
          <w:noProof/>
        </w:rPr>
        <w:tab/>
        <w:t xml:space="preserve">Niyibizi JB, Mutangana M, Uwase N, Ndagijimana I. Prevalence of Dyslipidemia and Its Associated Risk Factors Among Diabetic Patients Attending Muhima District Hospital , Kigali City , Rwanda. 2018;3(2):66–71. </w:t>
      </w:r>
    </w:p>
    <w:p w14:paraId="65D475F8"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14.</w:t>
      </w:r>
      <w:r w:rsidRPr="00D37F15">
        <w:rPr>
          <w:noProof/>
        </w:rPr>
        <w:tab/>
        <w:t xml:space="preserve">Idiculla J, Nithyanandam S, Joseph M, Ajoy Mohan V, Vasu U, Sadiq M. Serum lipids and diabetic retinopathy: A cross-sectional study. Indian J Endocrinol Metab. 2012;16(8):492. </w:t>
      </w:r>
    </w:p>
    <w:p w14:paraId="22BEA5E7"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15.</w:t>
      </w:r>
      <w:r w:rsidRPr="00D37F15">
        <w:rPr>
          <w:noProof/>
        </w:rPr>
        <w:tab/>
        <w:t xml:space="preserve">Sahiledengle B, Assefa T, Negash W, Tahir A, Regasa T, Tekalegn Y, et al. Prevalence and Factors Associated with Diabetic Retinopathy among Adult Diabetes Patients in Southeast Ethiopia: A Hospital-Based Cross-Sectional Study. Clin Ophthalmol. 2022;16(October):3527–45. </w:t>
      </w:r>
    </w:p>
    <w:p w14:paraId="06EF5D99"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16.</w:t>
      </w:r>
      <w:r w:rsidRPr="00D37F15">
        <w:rPr>
          <w:noProof/>
        </w:rPr>
        <w:tab/>
        <w:t xml:space="preserve">Amin ZA, Ul Islam Q, Mehboob MA. Comparison of serum lipid profile in Type-2 Diabetics with and without retinopathy in Pakistani population. Pakistan J Med Sci. 2016;32(6):1349–53. </w:t>
      </w:r>
    </w:p>
    <w:p w14:paraId="27E65F6B"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lastRenderedPageBreak/>
        <w:t>17.</w:t>
      </w:r>
      <w:r w:rsidRPr="00D37F15">
        <w:rPr>
          <w:noProof/>
        </w:rPr>
        <w:tab/>
        <w:t xml:space="preserve">Alattas K, Alsulami DW, Alem RH, Alotaibi FS, Alghamdi BA, Baeesa LS. Relation between lipid profile, blood pressure and retinopathy in diabetic patients in King Abdulaziz University hospital: a retrospective record review study. Int J Retin Vitr. 2022;8(1):1–5. </w:t>
      </w:r>
    </w:p>
    <w:p w14:paraId="4BE7657C"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18.</w:t>
      </w:r>
      <w:r w:rsidRPr="00D37F15">
        <w:rPr>
          <w:noProof/>
        </w:rPr>
        <w:tab/>
        <w:t xml:space="preserve">Kolli S, Endreddy AR, Reddy V. Study of Association of Diabetic Maculopathy With Hyperlipidemia. J Evol Med Dent Sci. 2015;4(100):16506–9. </w:t>
      </w:r>
    </w:p>
    <w:p w14:paraId="072D292E" w14:textId="77777777" w:rsidR="00D37F15" w:rsidRPr="00D37F15" w:rsidRDefault="00D37F15" w:rsidP="00D37F15">
      <w:pPr>
        <w:widowControl w:val="0"/>
        <w:autoSpaceDE w:val="0"/>
        <w:autoSpaceDN w:val="0"/>
        <w:adjustRightInd w:val="0"/>
        <w:spacing w:line="360" w:lineRule="auto"/>
        <w:ind w:left="640" w:hanging="640"/>
        <w:rPr>
          <w:noProof/>
        </w:rPr>
      </w:pPr>
      <w:r w:rsidRPr="00D37F15">
        <w:rPr>
          <w:noProof/>
        </w:rPr>
        <w:t>19.</w:t>
      </w:r>
      <w:r w:rsidRPr="00D37F15">
        <w:rPr>
          <w:noProof/>
        </w:rPr>
        <w:tab/>
        <w:t xml:space="preserve">Kaštelan S, Tomić M, Gverović Antunica A, Ljubić S, Salopek Rabatić J, Karabatić M. Body mass index: A risk factor for retinopathy in type 2 diabetic patients. Mediators Inflamm. 2013;2013. </w:t>
      </w:r>
    </w:p>
    <w:p w14:paraId="3E51EC75" w14:textId="6A918919" w:rsidR="008A4DE1" w:rsidRPr="00B55B9F" w:rsidRDefault="00EC1092" w:rsidP="00D37F15">
      <w:pPr>
        <w:widowControl w:val="0"/>
        <w:autoSpaceDE w:val="0"/>
        <w:autoSpaceDN w:val="0"/>
        <w:adjustRightInd w:val="0"/>
        <w:spacing w:line="360" w:lineRule="auto"/>
        <w:ind w:left="640" w:hanging="640"/>
        <w:rPr>
          <w:lang w:val="en-GB"/>
        </w:rPr>
      </w:pPr>
      <w:r w:rsidRPr="00B55B9F">
        <w:rPr>
          <w:lang w:val="en-GB"/>
        </w:rPr>
        <w:fldChar w:fldCharType="end"/>
      </w:r>
    </w:p>
    <w:p w14:paraId="76B0B6F4" w14:textId="60A016C6" w:rsidR="008A4DE1" w:rsidRPr="00B55B9F" w:rsidRDefault="008A4DE1" w:rsidP="00B718E9">
      <w:pPr>
        <w:spacing w:line="360" w:lineRule="auto"/>
        <w:jc w:val="both"/>
        <w:rPr>
          <w:lang w:val="en-GB"/>
        </w:rPr>
      </w:pPr>
    </w:p>
    <w:sectPr w:rsidR="008A4DE1" w:rsidRPr="00B55B9F" w:rsidSect="00035DBF">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83590" w14:textId="77777777" w:rsidR="00710C56" w:rsidRDefault="00710C56" w:rsidP="004B78A7">
      <w:r>
        <w:separator/>
      </w:r>
    </w:p>
  </w:endnote>
  <w:endnote w:type="continuationSeparator" w:id="0">
    <w:p w14:paraId="426858B8" w14:textId="77777777" w:rsidR="00710C56" w:rsidRDefault="00710C56" w:rsidP="004B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A6B3" w14:textId="77777777" w:rsidR="004D2B6D" w:rsidRDefault="004D2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654269"/>
      <w:docPartObj>
        <w:docPartGallery w:val="Page Numbers (Bottom of Page)"/>
        <w:docPartUnique/>
      </w:docPartObj>
    </w:sdtPr>
    <w:sdtEndPr>
      <w:rPr>
        <w:noProof/>
      </w:rPr>
    </w:sdtEndPr>
    <w:sdtContent>
      <w:p w14:paraId="4D73C54E" w14:textId="5DC45D01" w:rsidR="00BB6D98" w:rsidRDefault="00BB6D98">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6641" w14:textId="77777777" w:rsidR="004D2B6D" w:rsidRDefault="004D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666D0" w14:textId="77777777" w:rsidR="00710C56" w:rsidRDefault="00710C56" w:rsidP="004B78A7">
      <w:r>
        <w:separator/>
      </w:r>
    </w:p>
  </w:footnote>
  <w:footnote w:type="continuationSeparator" w:id="0">
    <w:p w14:paraId="2626C8EF" w14:textId="77777777" w:rsidR="00710C56" w:rsidRDefault="00710C56" w:rsidP="004B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36BF" w14:textId="268089FD" w:rsidR="004D2B6D" w:rsidRDefault="004D2B6D">
    <w:pPr>
      <w:pStyle w:val="Header"/>
    </w:pPr>
    <w:r>
      <w:rPr>
        <w:noProof/>
      </w:rPr>
      <w:pict w14:anchorId="06488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3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F07A" w14:textId="270FC118" w:rsidR="004D2B6D" w:rsidRDefault="004D2B6D">
    <w:pPr>
      <w:pStyle w:val="Header"/>
    </w:pPr>
    <w:r>
      <w:rPr>
        <w:noProof/>
      </w:rPr>
      <w:pict w14:anchorId="61A58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3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86F5" w14:textId="3A37234B" w:rsidR="004D2B6D" w:rsidRDefault="004D2B6D">
    <w:pPr>
      <w:pStyle w:val="Header"/>
    </w:pPr>
    <w:r>
      <w:rPr>
        <w:noProof/>
      </w:rPr>
      <w:pict w14:anchorId="6AC59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3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9A5"/>
    <w:multiLevelType w:val="hybridMultilevel"/>
    <w:tmpl w:val="A940A0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1192A50"/>
    <w:multiLevelType w:val="hybridMultilevel"/>
    <w:tmpl w:val="FF3891DA"/>
    <w:lvl w:ilvl="0" w:tplc="4FA86B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C846A9"/>
    <w:multiLevelType w:val="hybridMultilevel"/>
    <w:tmpl w:val="D648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9635E"/>
    <w:multiLevelType w:val="hybridMultilevel"/>
    <w:tmpl w:val="8CDC3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2F7FCD"/>
    <w:multiLevelType w:val="hybridMultilevel"/>
    <w:tmpl w:val="9F6C8F5C"/>
    <w:lvl w:ilvl="0" w:tplc="1F3489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63ACA"/>
    <w:multiLevelType w:val="hybridMultilevel"/>
    <w:tmpl w:val="1AAA502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26D32A3A"/>
    <w:multiLevelType w:val="multilevel"/>
    <w:tmpl w:val="519C5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D17C7B"/>
    <w:multiLevelType w:val="hybridMultilevel"/>
    <w:tmpl w:val="484E5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54B3A"/>
    <w:multiLevelType w:val="hybridMultilevel"/>
    <w:tmpl w:val="8384EC70"/>
    <w:lvl w:ilvl="0" w:tplc="263C4048">
      <w:start w:val="1"/>
      <w:numFmt w:val="bullet"/>
      <w:lvlText w:val="•"/>
      <w:lvlJc w:val="left"/>
      <w:pPr>
        <w:tabs>
          <w:tab w:val="num" w:pos="720"/>
        </w:tabs>
        <w:ind w:left="720" w:hanging="360"/>
      </w:pPr>
      <w:rPr>
        <w:rFonts w:ascii="Arial" w:hAnsi="Arial" w:hint="default"/>
      </w:rPr>
    </w:lvl>
    <w:lvl w:ilvl="1" w:tplc="6DFE2CF6">
      <w:start w:val="1"/>
      <w:numFmt w:val="bullet"/>
      <w:lvlText w:val="•"/>
      <w:lvlJc w:val="left"/>
      <w:pPr>
        <w:tabs>
          <w:tab w:val="num" w:pos="1440"/>
        </w:tabs>
        <w:ind w:left="1440" w:hanging="360"/>
      </w:pPr>
      <w:rPr>
        <w:rFonts w:ascii="Arial" w:hAnsi="Arial" w:hint="default"/>
      </w:rPr>
    </w:lvl>
    <w:lvl w:ilvl="2" w:tplc="5D66A810" w:tentative="1">
      <w:start w:val="1"/>
      <w:numFmt w:val="bullet"/>
      <w:lvlText w:val="•"/>
      <w:lvlJc w:val="left"/>
      <w:pPr>
        <w:tabs>
          <w:tab w:val="num" w:pos="2160"/>
        </w:tabs>
        <w:ind w:left="2160" w:hanging="360"/>
      </w:pPr>
      <w:rPr>
        <w:rFonts w:ascii="Arial" w:hAnsi="Arial" w:hint="default"/>
      </w:rPr>
    </w:lvl>
    <w:lvl w:ilvl="3" w:tplc="1910E376" w:tentative="1">
      <w:start w:val="1"/>
      <w:numFmt w:val="bullet"/>
      <w:lvlText w:val="•"/>
      <w:lvlJc w:val="left"/>
      <w:pPr>
        <w:tabs>
          <w:tab w:val="num" w:pos="2880"/>
        </w:tabs>
        <w:ind w:left="2880" w:hanging="360"/>
      </w:pPr>
      <w:rPr>
        <w:rFonts w:ascii="Arial" w:hAnsi="Arial" w:hint="default"/>
      </w:rPr>
    </w:lvl>
    <w:lvl w:ilvl="4" w:tplc="E620E170" w:tentative="1">
      <w:start w:val="1"/>
      <w:numFmt w:val="bullet"/>
      <w:lvlText w:val="•"/>
      <w:lvlJc w:val="left"/>
      <w:pPr>
        <w:tabs>
          <w:tab w:val="num" w:pos="3600"/>
        </w:tabs>
        <w:ind w:left="3600" w:hanging="360"/>
      </w:pPr>
      <w:rPr>
        <w:rFonts w:ascii="Arial" w:hAnsi="Arial" w:hint="default"/>
      </w:rPr>
    </w:lvl>
    <w:lvl w:ilvl="5" w:tplc="3A403274" w:tentative="1">
      <w:start w:val="1"/>
      <w:numFmt w:val="bullet"/>
      <w:lvlText w:val="•"/>
      <w:lvlJc w:val="left"/>
      <w:pPr>
        <w:tabs>
          <w:tab w:val="num" w:pos="4320"/>
        </w:tabs>
        <w:ind w:left="4320" w:hanging="360"/>
      </w:pPr>
      <w:rPr>
        <w:rFonts w:ascii="Arial" w:hAnsi="Arial" w:hint="default"/>
      </w:rPr>
    </w:lvl>
    <w:lvl w:ilvl="6" w:tplc="135E766E" w:tentative="1">
      <w:start w:val="1"/>
      <w:numFmt w:val="bullet"/>
      <w:lvlText w:val="•"/>
      <w:lvlJc w:val="left"/>
      <w:pPr>
        <w:tabs>
          <w:tab w:val="num" w:pos="5040"/>
        </w:tabs>
        <w:ind w:left="5040" w:hanging="360"/>
      </w:pPr>
      <w:rPr>
        <w:rFonts w:ascii="Arial" w:hAnsi="Arial" w:hint="default"/>
      </w:rPr>
    </w:lvl>
    <w:lvl w:ilvl="7" w:tplc="B5BECAC2" w:tentative="1">
      <w:start w:val="1"/>
      <w:numFmt w:val="bullet"/>
      <w:lvlText w:val="•"/>
      <w:lvlJc w:val="left"/>
      <w:pPr>
        <w:tabs>
          <w:tab w:val="num" w:pos="5760"/>
        </w:tabs>
        <w:ind w:left="5760" w:hanging="360"/>
      </w:pPr>
      <w:rPr>
        <w:rFonts w:ascii="Arial" w:hAnsi="Arial" w:hint="default"/>
      </w:rPr>
    </w:lvl>
    <w:lvl w:ilvl="8" w:tplc="F5429A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150C23"/>
    <w:multiLevelType w:val="hybridMultilevel"/>
    <w:tmpl w:val="77E8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00FA4"/>
    <w:multiLevelType w:val="hybridMultilevel"/>
    <w:tmpl w:val="F9C8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52CA2"/>
    <w:multiLevelType w:val="multilevel"/>
    <w:tmpl w:val="933CDD6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8C7404"/>
    <w:multiLevelType w:val="hybridMultilevel"/>
    <w:tmpl w:val="0D062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95503B"/>
    <w:multiLevelType w:val="hybridMultilevel"/>
    <w:tmpl w:val="4964D592"/>
    <w:lvl w:ilvl="0" w:tplc="E72403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90887"/>
    <w:multiLevelType w:val="hybridMultilevel"/>
    <w:tmpl w:val="A2922382"/>
    <w:lvl w:ilvl="0" w:tplc="AE800758">
      <w:start w:val="1"/>
      <w:numFmt w:val="bullet"/>
      <w:lvlText w:val="•"/>
      <w:lvlJc w:val="left"/>
      <w:pPr>
        <w:tabs>
          <w:tab w:val="num" w:pos="720"/>
        </w:tabs>
        <w:ind w:left="720" w:hanging="360"/>
      </w:pPr>
      <w:rPr>
        <w:rFonts w:ascii="Arial" w:hAnsi="Arial" w:hint="default"/>
      </w:rPr>
    </w:lvl>
    <w:lvl w:ilvl="1" w:tplc="064CF826" w:tentative="1">
      <w:start w:val="1"/>
      <w:numFmt w:val="bullet"/>
      <w:lvlText w:val="•"/>
      <w:lvlJc w:val="left"/>
      <w:pPr>
        <w:tabs>
          <w:tab w:val="num" w:pos="1440"/>
        </w:tabs>
        <w:ind w:left="1440" w:hanging="360"/>
      </w:pPr>
      <w:rPr>
        <w:rFonts w:ascii="Arial" w:hAnsi="Arial" w:hint="default"/>
      </w:rPr>
    </w:lvl>
    <w:lvl w:ilvl="2" w:tplc="85B024FA" w:tentative="1">
      <w:start w:val="1"/>
      <w:numFmt w:val="bullet"/>
      <w:lvlText w:val="•"/>
      <w:lvlJc w:val="left"/>
      <w:pPr>
        <w:tabs>
          <w:tab w:val="num" w:pos="2160"/>
        </w:tabs>
        <w:ind w:left="2160" w:hanging="360"/>
      </w:pPr>
      <w:rPr>
        <w:rFonts w:ascii="Arial" w:hAnsi="Arial" w:hint="default"/>
      </w:rPr>
    </w:lvl>
    <w:lvl w:ilvl="3" w:tplc="0354F146" w:tentative="1">
      <w:start w:val="1"/>
      <w:numFmt w:val="bullet"/>
      <w:lvlText w:val="•"/>
      <w:lvlJc w:val="left"/>
      <w:pPr>
        <w:tabs>
          <w:tab w:val="num" w:pos="2880"/>
        </w:tabs>
        <w:ind w:left="2880" w:hanging="360"/>
      </w:pPr>
      <w:rPr>
        <w:rFonts w:ascii="Arial" w:hAnsi="Arial" w:hint="default"/>
      </w:rPr>
    </w:lvl>
    <w:lvl w:ilvl="4" w:tplc="C4823A08" w:tentative="1">
      <w:start w:val="1"/>
      <w:numFmt w:val="bullet"/>
      <w:lvlText w:val="•"/>
      <w:lvlJc w:val="left"/>
      <w:pPr>
        <w:tabs>
          <w:tab w:val="num" w:pos="3600"/>
        </w:tabs>
        <w:ind w:left="3600" w:hanging="360"/>
      </w:pPr>
      <w:rPr>
        <w:rFonts w:ascii="Arial" w:hAnsi="Arial" w:hint="default"/>
      </w:rPr>
    </w:lvl>
    <w:lvl w:ilvl="5" w:tplc="ABFEC6C6" w:tentative="1">
      <w:start w:val="1"/>
      <w:numFmt w:val="bullet"/>
      <w:lvlText w:val="•"/>
      <w:lvlJc w:val="left"/>
      <w:pPr>
        <w:tabs>
          <w:tab w:val="num" w:pos="4320"/>
        </w:tabs>
        <w:ind w:left="4320" w:hanging="360"/>
      </w:pPr>
      <w:rPr>
        <w:rFonts w:ascii="Arial" w:hAnsi="Arial" w:hint="default"/>
      </w:rPr>
    </w:lvl>
    <w:lvl w:ilvl="6" w:tplc="210E76E2" w:tentative="1">
      <w:start w:val="1"/>
      <w:numFmt w:val="bullet"/>
      <w:lvlText w:val="•"/>
      <w:lvlJc w:val="left"/>
      <w:pPr>
        <w:tabs>
          <w:tab w:val="num" w:pos="5040"/>
        </w:tabs>
        <w:ind w:left="5040" w:hanging="360"/>
      </w:pPr>
      <w:rPr>
        <w:rFonts w:ascii="Arial" w:hAnsi="Arial" w:hint="default"/>
      </w:rPr>
    </w:lvl>
    <w:lvl w:ilvl="7" w:tplc="2A345922" w:tentative="1">
      <w:start w:val="1"/>
      <w:numFmt w:val="bullet"/>
      <w:lvlText w:val="•"/>
      <w:lvlJc w:val="left"/>
      <w:pPr>
        <w:tabs>
          <w:tab w:val="num" w:pos="5760"/>
        </w:tabs>
        <w:ind w:left="5760" w:hanging="360"/>
      </w:pPr>
      <w:rPr>
        <w:rFonts w:ascii="Arial" w:hAnsi="Arial" w:hint="default"/>
      </w:rPr>
    </w:lvl>
    <w:lvl w:ilvl="8" w:tplc="079893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654657"/>
    <w:multiLevelType w:val="hybridMultilevel"/>
    <w:tmpl w:val="68ACE440"/>
    <w:lvl w:ilvl="0" w:tplc="0A5E0E32">
      <w:start w:val="1"/>
      <w:numFmt w:val="bullet"/>
      <w:lvlText w:val="•"/>
      <w:lvlJc w:val="left"/>
      <w:pPr>
        <w:tabs>
          <w:tab w:val="num" w:pos="720"/>
        </w:tabs>
        <w:ind w:left="720" w:hanging="360"/>
      </w:pPr>
      <w:rPr>
        <w:rFonts w:ascii="Arial" w:hAnsi="Arial" w:hint="default"/>
      </w:rPr>
    </w:lvl>
    <w:lvl w:ilvl="1" w:tplc="08D2D86C" w:tentative="1">
      <w:start w:val="1"/>
      <w:numFmt w:val="bullet"/>
      <w:lvlText w:val="•"/>
      <w:lvlJc w:val="left"/>
      <w:pPr>
        <w:tabs>
          <w:tab w:val="num" w:pos="1440"/>
        </w:tabs>
        <w:ind w:left="1440" w:hanging="360"/>
      </w:pPr>
      <w:rPr>
        <w:rFonts w:ascii="Arial" w:hAnsi="Arial" w:hint="default"/>
      </w:rPr>
    </w:lvl>
    <w:lvl w:ilvl="2" w:tplc="26D2BD64" w:tentative="1">
      <w:start w:val="1"/>
      <w:numFmt w:val="bullet"/>
      <w:lvlText w:val="•"/>
      <w:lvlJc w:val="left"/>
      <w:pPr>
        <w:tabs>
          <w:tab w:val="num" w:pos="2160"/>
        </w:tabs>
        <w:ind w:left="2160" w:hanging="360"/>
      </w:pPr>
      <w:rPr>
        <w:rFonts w:ascii="Arial" w:hAnsi="Arial" w:hint="default"/>
      </w:rPr>
    </w:lvl>
    <w:lvl w:ilvl="3" w:tplc="2D128DFC" w:tentative="1">
      <w:start w:val="1"/>
      <w:numFmt w:val="bullet"/>
      <w:lvlText w:val="•"/>
      <w:lvlJc w:val="left"/>
      <w:pPr>
        <w:tabs>
          <w:tab w:val="num" w:pos="2880"/>
        </w:tabs>
        <w:ind w:left="2880" w:hanging="360"/>
      </w:pPr>
      <w:rPr>
        <w:rFonts w:ascii="Arial" w:hAnsi="Arial" w:hint="default"/>
      </w:rPr>
    </w:lvl>
    <w:lvl w:ilvl="4" w:tplc="9BB2841E" w:tentative="1">
      <w:start w:val="1"/>
      <w:numFmt w:val="bullet"/>
      <w:lvlText w:val="•"/>
      <w:lvlJc w:val="left"/>
      <w:pPr>
        <w:tabs>
          <w:tab w:val="num" w:pos="3600"/>
        </w:tabs>
        <w:ind w:left="3600" w:hanging="360"/>
      </w:pPr>
      <w:rPr>
        <w:rFonts w:ascii="Arial" w:hAnsi="Arial" w:hint="default"/>
      </w:rPr>
    </w:lvl>
    <w:lvl w:ilvl="5" w:tplc="EE362A76" w:tentative="1">
      <w:start w:val="1"/>
      <w:numFmt w:val="bullet"/>
      <w:lvlText w:val="•"/>
      <w:lvlJc w:val="left"/>
      <w:pPr>
        <w:tabs>
          <w:tab w:val="num" w:pos="4320"/>
        </w:tabs>
        <w:ind w:left="4320" w:hanging="360"/>
      </w:pPr>
      <w:rPr>
        <w:rFonts w:ascii="Arial" w:hAnsi="Arial" w:hint="default"/>
      </w:rPr>
    </w:lvl>
    <w:lvl w:ilvl="6" w:tplc="40989B14" w:tentative="1">
      <w:start w:val="1"/>
      <w:numFmt w:val="bullet"/>
      <w:lvlText w:val="•"/>
      <w:lvlJc w:val="left"/>
      <w:pPr>
        <w:tabs>
          <w:tab w:val="num" w:pos="5040"/>
        </w:tabs>
        <w:ind w:left="5040" w:hanging="360"/>
      </w:pPr>
      <w:rPr>
        <w:rFonts w:ascii="Arial" w:hAnsi="Arial" w:hint="default"/>
      </w:rPr>
    </w:lvl>
    <w:lvl w:ilvl="7" w:tplc="F698BB16" w:tentative="1">
      <w:start w:val="1"/>
      <w:numFmt w:val="bullet"/>
      <w:lvlText w:val="•"/>
      <w:lvlJc w:val="left"/>
      <w:pPr>
        <w:tabs>
          <w:tab w:val="num" w:pos="5760"/>
        </w:tabs>
        <w:ind w:left="5760" w:hanging="360"/>
      </w:pPr>
      <w:rPr>
        <w:rFonts w:ascii="Arial" w:hAnsi="Arial" w:hint="default"/>
      </w:rPr>
    </w:lvl>
    <w:lvl w:ilvl="8" w:tplc="F20C3F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5D3C55"/>
    <w:multiLevelType w:val="hybridMultilevel"/>
    <w:tmpl w:val="BEE83B2A"/>
    <w:lvl w:ilvl="0" w:tplc="997C9B5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6D32685"/>
    <w:multiLevelType w:val="hybridMultilevel"/>
    <w:tmpl w:val="28BE56E2"/>
    <w:lvl w:ilvl="0" w:tplc="C5BC51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9F16DE"/>
    <w:multiLevelType w:val="hybridMultilevel"/>
    <w:tmpl w:val="F278AF22"/>
    <w:lvl w:ilvl="0" w:tplc="4B54582A">
      <w:start w:val="1"/>
      <w:numFmt w:val="bullet"/>
      <w:lvlText w:val="•"/>
      <w:lvlJc w:val="left"/>
      <w:pPr>
        <w:tabs>
          <w:tab w:val="num" w:pos="720"/>
        </w:tabs>
        <w:ind w:left="720" w:hanging="360"/>
      </w:pPr>
      <w:rPr>
        <w:rFonts w:ascii="Arial" w:hAnsi="Arial" w:hint="default"/>
      </w:rPr>
    </w:lvl>
    <w:lvl w:ilvl="1" w:tplc="9C0E66FC" w:tentative="1">
      <w:start w:val="1"/>
      <w:numFmt w:val="bullet"/>
      <w:lvlText w:val="•"/>
      <w:lvlJc w:val="left"/>
      <w:pPr>
        <w:tabs>
          <w:tab w:val="num" w:pos="1440"/>
        </w:tabs>
        <w:ind w:left="1440" w:hanging="360"/>
      </w:pPr>
      <w:rPr>
        <w:rFonts w:ascii="Arial" w:hAnsi="Arial" w:hint="default"/>
      </w:rPr>
    </w:lvl>
    <w:lvl w:ilvl="2" w:tplc="57A27092" w:tentative="1">
      <w:start w:val="1"/>
      <w:numFmt w:val="bullet"/>
      <w:lvlText w:val="•"/>
      <w:lvlJc w:val="left"/>
      <w:pPr>
        <w:tabs>
          <w:tab w:val="num" w:pos="2160"/>
        </w:tabs>
        <w:ind w:left="2160" w:hanging="360"/>
      </w:pPr>
      <w:rPr>
        <w:rFonts w:ascii="Arial" w:hAnsi="Arial" w:hint="default"/>
      </w:rPr>
    </w:lvl>
    <w:lvl w:ilvl="3" w:tplc="F7681B7E" w:tentative="1">
      <w:start w:val="1"/>
      <w:numFmt w:val="bullet"/>
      <w:lvlText w:val="•"/>
      <w:lvlJc w:val="left"/>
      <w:pPr>
        <w:tabs>
          <w:tab w:val="num" w:pos="2880"/>
        </w:tabs>
        <w:ind w:left="2880" w:hanging="360"/>
      </w:pPr>
      <w:rPr>
        <w:rFonts w:ascii="Arial" w:hAnsi="Arial" w:hint="default"/>
      </w:rPr>
    </w:lvl>
    <w:lvl w:ilvl="4" w:tplc="12A82FEC" w:tentative="1">
      <w:start w:val="1"/>
      <w:numFmt w:val="bullet"/>
      <w:lvlText w:val="•"/>
      <w:lvlJc w:val="left"/>
      <w:pPr>
        <w:tabs>
          <w:tab w:val="num" w:pos="3600"/>
        </w:tabs>
        <w:ind w:left="3600" w:hanging="360"/>
      </w:pPr>
      <w:rPr>
        <w:rFonts w:ascii="Arial" w:hAnsi="Arial" w:hint="default"/>
      </w:rPr>
    </w:lvl>
    <w:lvl w:ilvl="5" w:tplc="D75C9634" w:tentative="1">
      <w:start w:val="1"/>
      <w:numFmt w:val="bullet"/>
      <w:lvlText w:val="•"/>
      <w:lvlJc w:val="left"/>
      <w:pPr>
        <w:tabs>
          <w:tab w:val="num" w:pos="4320"/>
        </w:tabs>
        <w:ind w:left="4320" w:hanging="360"/>
      </w:pPr>
      <w:rPr>
        <w:rFonts w:ascii="Arial" w:hAnsi="Arial" w:hint="default"/>
      </w:rPr>
    </w:lvl>
    <w:lvl w:ilvl="6" w:tplc="EC3420AA" w:tentative="1">
      <w:start w:val="1"/>
      <w:numFmt w:val="bullet"/>
      <w:lvlText w:val="•"/>
      <w:lvlJc w:val="left"/>
      <w:pPr>
        <w:tabs>
          <w:tab w:val="num" w:pos="5040"/>
        </w:tabs>
        <w:ind w:left="5040" w:hanging="360"/>
      </w:pPr>
      <w:rPr>
        <w:rFonts w:ascii="Arial" w:hAnsi="Arial" w:hint="default"/>
      </w:rPr>
    </w:lvl>
    <w:lvl w:ilvl="7" w:tplc="5DD41E54" w:tentative="1">
      <w:start w:val="1"/>
      <w:numFmt w:val="bullet"/>
      <w:lvlText w:val="•"/>
      <w:lvlJc w:val="left"/>
      <w:pPr>
        <w:tabs>
          <w:tab w:val="num" w:pos="5760"/>
        </w:tabs>
        <w:ind w:left="5760" w:hanging="360"/>
      </w:pPr>
      <w:rPr>
        <w:rFonts w:ascii="Arial" w:hAnsi="Arial" w:hint="default"/>
      </w:rPr>
    </w:lvl>
    <w:lvl w:ilvl="8" w:tplc="D9449F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D72C3C"/>
    <w:multiLevelType w:val="hybridMultilevel"/>
    <w:tmpl w:val="7B0AAB2C"/>
    <w:lvl w:ilvl="0" w:tplc="2D881DB8">
      <w:start w:val="1"/>
      <w:numFmt w:val="decimal"/>
      <w:lvlText w:val="%1."/>
      <w:lvlJc w:val="left"/>
      <w:pPr>
        <w:tabs>
          <w:tab w:val="num" w:pos="720"/>
        </w:tabs>
        <w:ind w:left="720" w:hanging="360"/>
      </w:pPr>
    </w:lvl>
    <w:lvl w:ilvl="1" w:tplc="772EB120" w:tentative="1">
      <w:start w:val="1"/>
      <w:numFmt w:val="decimal"/>
      <w:lvlText w:val="%2."/>
      <w:lvlJc w:val="left"/>
      <w:pPr>
        <w:tabs>
          <w:tab w:val="num" w:pos="1440"/>
        </w:tabs>
        <w:ind w:left="1440" w:hanging="360"/>
      </w:pPr>
    </w:lvl>
    <w:lvl w:ilvl="2" w:tplc="8F2AD2B6" w:tentative="1">
      <w:start w:val="1"/>
      <w:numFmt w:val="decimal"/>
      <w:lvlText w:val="%3."/>
      <w:lvlJc w:val="left"/>
      <w:pPr>
        <w:tabs>
          <w:tab w:val="num" w:pos="2160"/>
        </w:tabs>
        <w:ind w:left="2160" w:hanging="360"/>
      </w:pPr>
    </w:lvl>
    <w:lvl w:ilvl="3" w:tplc="416A1534" w:tentative="1">
      <w:start w:val="1"/>
      <w:numFmt w:val="decimal"/>
      <w:lvlText w:val="%4."/>
      <w:lvlJc w:val="left"/>
      <w:pPr>
        <w:tabs>
          <w:tab w:val="num" w:pos="2880"/>
        </w:tabs>
        <w:ind w:left="2880" w:hanging="360"/>
      </w:pPr>
    </w:lvl>
    <w:lvl w:ilvl="4" w:tplc="AAFC127A" w:tentative="1">
      <w:start w:val="1"/>
      <w:numFmt w:val="decimal"/>
      <w:lvlText w:val="%5."/>
      <w:lvlJc w:val="left"/>
      <w:pPr>
        <w:tabs>
          <w:tab w:val="num" w:pos="3600"/>
        </w:tabs>
        <w:ind w:left="3600" w:hanging="360"/>
      </w:pPr>
    </w:lvl>
    <w:lvl w:ilvl="5" w:tplc="3B5C9544" w:tentative="1">
      <w:start w:val="1"/>
      <w:numFmt w:val="decimal"/>
      <w:lvlText w:val="%6."/>
      <w:lvlJc w:val="left"/>
      <w:pPr>
        <w:tabs>
          <w:tab w:val="num" w:pos="4320"/>
        </w:tabs>
        <w:ind w:left="4320" w:hanging="360"/>
      </w:pPr>
    </w:lvl>
    <w:lvl w:ilvl="6" w:tplc="B7E41ADC" w:tentative="1">
      <w:start w:val="1"/>
      <w:numFmt w:val="decimal"/>
      <w:lvlText w:val="%7."/>
      <w:lvlJc w:val="left"/>
      <w:pPr>
        <w:tabs>
          <w:tab w:val="num" w:pos="5040"/>
        </w:tabs>
        <w:ind w:left="5040" w:hanging="360"/>
      </w:pPr>
    </w:lvl>
    <w:lvl w:ilvl="7" w:tplc="DF00B04C" w:tentative="1">
      <w:start w:val="1"/>
      <w:numFmt w:val="decimal"/>
      <w:lvlText w:val="%8."/>
      <w:lvlJc w:val="left"/>
      <w:pPr>
        <w:tabs>
          <w:tab w:val="num" w:pos="5760"/>
        </w:tabs>
        <w:ind w:left="5760" w:hanging="360"/>
      </w:pPr>
    </w:lvl>
    <w:lvl w:ilvl="8" w:tplc="01404A12" w:tentative="1">
      <w:start w:val="1"/>
      <w:numFmt w:val="decimal"/>
      <w:lvlText w:val="%9."/>
      <w:lvlJc w:val="left"/>
      <w:pPr>
        <w:tabs>
          <w:tab w:val="num" w:pos="6480"/>
        </w:tabs>
        <w:ind w:left="6480" w:hanging="360"/>
      </w:pPr>
    </w:lvl>
  </w:abstractNum>
  <w:abstractNum w:abstractNumId="20" w15:restartNumberingAfterBreak="0">
    <w:nsid w:val="606714F4"/>
    <w:multiLevelType w:val="multilevel"/>
    <w:tmpl w:val="C4801E5A"/>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2192594"/>
    <w:multiLevelType w:val="hybridMultilevel"/>
    <w:tmpl w:val="CDEEDAA8"/>
    <w:lvl w:ilvl="0" w:tplc="E424BB0A">
      <w:start w:val="1"/>
      <w:numFmt w:val="bullet"/>
      <w:lvlText w:val="•"/>
      <w:lvlJc w:val="left"/>
      <w:pPr>
        <w:tabs>
          <w:tab w:val="num" w:pos="720"/>
        </w:tabs>
        <w:ind w:left="720" w:hanging="360"/>
      </w:pPr>
      <w:rPr>
        <w:rFonts w:ascii="Arial" w:hAnsi="Arial" w:hint="default"/>
      </w:rPr>
    </w:lvl>
    <w:lvl w:ilvl="1" w:tplc="F49CA64E" w:tentative="1">
      <w:start w:val="1"/>
      <w:numFmt w:val="bullet"/>
      <w:lvlText w:val="•"/>
      <w:lvlJc w:val="left"/>
      <w:pPr>
        <w:tabs>
          <w:tab w:val="num" w:pos="1440"/>
        </w:tabs>
        <w:ind w:left="1440" w:hanging="360"/>
      </w:pPr>
      <w:rPr>
        <w:rFonts w:ascii="Arial" w:hAnsi="Arial" w:hint="default"/>
      </w:rPr>
    </w:lvl>
    <w:lvl w:ilvl="2" w:tplc="8A2E99A4" w:tentative="1">
      <w:start w:val="1"/>
      <w:numFmt w:val="bullet"/>
      <w:lvlText w:val="•"/>
      <w:lvlJc w:val="left"/>
      <w:pPr>
        <w:tabs>
          <w:tab w:val="num" w:pos="2160"/>
        </w:tabs>
        <w:ind w:left="2160" w:hanging="360"/>
      </w:pPr>
      <w:rPr>
        <w:rFonts w:ascii="Arial" w:hAnsi="Arial" w:hint="default"/>
      </w:rPr>
    </w:lvl>
    <w:lvl w:ilvl="3" w:tplc="96604D56" w:tentative="1">
      <w:start w:val="1"/>
      <w:numFmt w:val="bullet"/>
      <w:lvlText w:val="•"/>
      <w:lvlJc w:val="left"/>
      <w:pPr>
        <w:tabs>
          <w:tab w:val="num" w:pos="2880"/>
        </w:tabs>
        <w:ind w:left="2880" w:hanging="360"/>
      </w:pPr>
      <w:rPr>
        <w:rFonts w:ascii="Arial" w:hAnsi="Arial" w:hint="default"/>
      </w:rPr>
    </w:lvl>
    <w:lvl w:ilvl="4" w:tplc="3A30A8CC" w:tentative="1">
      <w:start w:val="1"/>
      <w:numFmt w:val="bullet"/>
      <w:lvlText w:val="•"/>
      <w:lvlJc w:val="left"/>
      <w:pPr>
        <w:tabs>
          <w:tab w:val="num" w:pos="3600"/>
        </w:tabs>
        <w:ind w:left="3600" w:hanging="360"/>
      </w:pPr>
      <w:rPr>
        <w:rFonts w:ascii="Arial" w:hAnsi="Arial" w:hint="default"/>
      </w:rPr>
    </w:lvl>
    <w:lvl w:ilvl="5" w:tplc="4142E8DE" w:tentative="1">
      <w:start w:val="1"/>
      <w:numFmt w:val="bullet"/>
      <w:lvlText w:val="•"/>
      <w:lvlJc w:val="left"/>
      <w:pPr>
        <w:tabs>
          <w:tab w:val="num" w:pos="4320"/>
        </w:tabs>
        <w:ind w:left="4320" w:hanging="360"/>
      </w:pPr>
      <w:rPr>
        <w:rFonts w:ascii="Arial" w:hAnsi="Arial" w:hint="default"/>
      </w:rPr>
    </w:lvl>
    <w:lvl w:ilvl="6" w:tplc="3CC4AC16" w:tentative="1">
      <w:start w:val="1"/>
      <w:numFmt w:val="bullet"/>
      <w:lvlText w:val="•"/>
      <w:lvlJc w:val="left"/>
      <w:pPr>
        <w:tabs>
          <w:tab w:val="num" w:pos="5040"/>
        </w:tabs>
        <w:ind w:left="5040" w:hanging="360"/>
      </w:pPr>
      <w:rPr>
        <w:rFonts w:ascii="Arial" w:hAnsi="Arial" w:hint="default"/>
      </w:rPr>
    </w:lvl>
    <w:lvl w:ilvl="7" w:tplc="64963118" w:tentative="1">
      <w:start w:val="1"/>
      <w:numFmt w:val="bullet"/>
      <w:lvlText w:val="•"/>
      <w:lvlJc w:val="left"/>
      <w:pPr>
        <w:tabs>
          <w:tab w:val="num" w:pos="5760"/>
        </w:tabs>
        <w:ind w:left="5760" w:hanging="360"/>
      </w:pPr>
      <w:rPr>
        <w:rFonts w:ascii="Arial" w:hAnsi="Arial" w:hint="default"/>
      </w:rPr>
    </w:lvl>
    <w:lvl w:ilvl="8" w:tplc="BAD4D1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651FA5"/>
    <w:multiLevelType w:val="hybridMultilevel"/>
    <w:tmpl w:val="4504391C"/>
    <w:lvl w:ilvl="0" w:tplc="4C8E5E24">
      <w:start w:val="1"/>
      <w:numFmt w:val="decimal"/>
      <w:lvlText w:val="%1."/>
      <w:lvlJc w:val="left"/>
      <w:pPr>
        <w:tabs>
          <w:tab w:val="num" w:pos="720"/>
        </w:tabs>
        <w:ind w:left="720" w:hanging="360"/>
      </w:pPr>
    </w:lvl>
    <w:lvl w:ilvl="1" w:tplc="E58E3E6A" w:tentative="1">
      <w:start w:val="1"/>
      <w:numFmt w:val="decimal"/>
      <w:lvlText w:val="%2."/>
      <w:lvlJc w:val="left"/>
      <w:pPr>
        <w:tabs>
          <w:tab w:val="num" w:pos="1440"/>
        </w:tabs>
        <w:ind w:left="1440" w:hanging="360"/>
      </w:pPr>
    </w:lvl>
    <w:lvl w:ilvl="2" w:tplc="ECE253E2" w:tentative="1">
      <w:start w:val="1"/>
      <w:numFmt w:val="decimal"/>
      <w:lvlText w:val="%3."/>
      <w:lvlJc w:val="left"/>
      <w:pPr>
        <w:tabs>
          <w:tab w:val="num" w:pos="2160"/>
        </w:tabs>
        <w:ind w:left="2160" w:hanging="360"/>
      </w:pPr>
    </w:lvl>
    <w:lvl w:ilvl="3" w:tplc="5A2A5158" w:tentative="1">
      <w:start w:val="1"/>
      <w:numFmt w:val="decimal"/>
      <w:lvlText w:val="%4."/>
      <w:lvlJc w:val="left"/>
      <w:pPr>
        <w:tabs>
          <w:tab w:val="num" w:pos="2880"/>
        </w:tabs>
        <w:ind w:left="2880" w:hanging="360"/>
      </w:pPr>
    </w:lvl>
    <w:lvl w:ilvl="4" w:tplc="11E4B0CE" w:tentative="1">
      <w:start w:val="1"/>
      <w:numFmt w:val="decimal"/>
      <w:lvlText w:val="%5."/>
      <w:lvlJc w:val="left"/>
      <w:pPr>
        <w:tabs>
          <w:tab w:val="num" w:pos="3600"/>
        </w:tabs>
        <w:ind w:left="3600" w:hanging="360"/>
      </w:pPr>
    </w:lvl>
    <w:lvl w:ilvl="5" w:tplc="46243D30" w:tentative="1">
      <w:start w:val="1"/>
      <w:numFmt w:val="decimal"/>
      <w:lvlText w:val="%6."/>
      <w:lvlJc w:val="left"/>
      <w:pPr>
        <w:tabs>
          <w:tab w:val="num" w:pos="4320"/>
        </w:tabs>
        <w:ind w:left="4320" w:hanging="360"/>
      </w:pPr>
    </w:lvl>
    <w:lvl w:ilvl="6" w:tplc="CCD484E0" w:tentative="1">
      <w:start w:val="1"/>
      <w:numFmt w:val="decimal"/>
      <w:lvlText w:val="%7."/>
      <w:lvlJc w:val="left"/>
      <w:pPr>
        <w:tabs>
          <w:tab w:val="num" w:pos="5040"/>
        </w:tabs>
        <w:ind w:left="5040" w:hanging="360"/>
      </w:pPr>
    </w:lvl>
    <w:lvl w:ilvl="7" w:tplc="FF96C2A2" w:tentative="1">
      <w:start w:val="1"/>
      <w:numFmt w:val="decimal"/>
      <w:lvlText w:val="%8."/>
      <w:lvlJc w:val="left"/>
      <w:pPr>
        <w:tabs>
          <w:tab w:val="num" w:pos="5760"/>
        </w:tabs>
        <w:ind w:left="5760" w:hanging="360"/>
      </w:pPr>
    </w:lvl>
    <w:lvl w:ilvl="8" w:tplc="3B0E1542" w:tentative="1">
      <w:start w:val="1"/>
      <w:numFmt w:val="decimal"/>
      <w:lvlText w:val="%9."/>
      <w:lvlJc w:val="left"/>
      <w:pPr>
        <w:tabs>
          <w:tab w:val="num" w:pos="6480"/>
        </w:tabs>
        <w:ind w:left="6480" w:hanging="360"/>
      </w:pPr>
    </w:lvl>
  </w:abstractNum>
  <w:abstractNum w:abstractNumId="23" w15:restartNumberingAfterBreak="0">
    <w:nsid w:val="67712C68"/>
    <w:multiLevelType w:val="hybridMultilevel"/>
    <w:tmpl w:val="81F28BF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4" w15:restartNumberingAfterBreak="0">
    <w:nsid w:val="681F29BD"/>
    <w:multiLevelType w:val="hybridMultilevel"/>
    <w:tmpl w:val="A0542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20620"/>
    <w:multiLevelType w:val="hybridMultilevel"/>
    <w:tmpl w:val="6B32C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474419"/>
    <w:multiLevelType w:val="hybridMultilevel"/>
    <w:tmpl w:val="465EDEF8"/>
    <w:lvl w:ilvl="0" w:tplc="4B160E96">
      <w:start w:val="1"/>
      <w:numFmt w:val="bullet"/>
      <w:lvlText w:val="•"/>
      <w:lvlJc w:val="left"/>
      <w:pPr>
        <w:tabs>
          <w:tab w:val="num" w:pos="720"/>
        </w:tabs>
        <w:ind w:left="720" w:hanging="360"/>
      </w:pPr>
      <w:rPr>
        <w:rFonts w:ascii="Arial" w:hAnsi="Arial" w:hint="default"/>
      </w:rPr>
    </w:lvl>
    <w:lvl w:ilvl="1" w:tplc="DD140182" w:tentative="1">
      <w:start w:val="1"/>
      <w:numFmt w:val="bullet"/>
      <w:lvlText w:val="•"/>
      <w:lvlJc w:val="left"/>
      <w:pPr>
        <w:tabs>
          <w:tab w:val="num" w:pos="1440"/>
        </w:tabs>
        <w:ind w:left="1440" w:hanging="360"/>
      </w:pPr>
      <w:rPr>
        <w:rFonts w:ascii="Arial" w:hAnsi="Arial" w:hint="default"/>
      </w:rPr>
    </w:lvl>
    <w:lvl w:ilvl="2" w:tplc="3E244604">
      <w:start w:val="1"/>
      <w:numFmt w:val="bullet"/>
      <w:lvlText w:val="•"/>
      <w:lvlJc w:val="left"/>
      <w:pPr>
        <w:tabs>
          <w:tab w:val="num" w:pos="2160"/>
        </w:tabs>
        <w:ind w:left="2160" w:hanging="360"/>
      </w:pPr>
      <w:rPr>
        <w:rFonts w:ascii="Arial" w:hAnsi="Arial" w:hint="default"/>
      </w:rPr>
    </w:lvl>
    <w:lvl w:ilvl="3" w:tplc="72B4E7AE" w:tentative="1">
      <w:start w:val="1"/>
      <w:numFmt w:val="bullet"/>
      <w:lvlText w:val="•"/>
      <w:lvlJc w:val="left"/>
      <w:pPr>
        <w:tabs>
          <w:tab w:val="num" w:pos="2880"/>
        </w:tabs>
        <w:ind w:left="2880" w:hanging="360"/>
      </w:pPr>
      <w:rPr>
        <w:rFonts w:ascii="Arial" w:hAnsi="Arial" w:hint="default"/>
      </w:rPr>
    </w:lvl>
    <w:lvl w:ilvl="4" w:tplc="7EC0F0FE" w:tentative="1">
      <w:start w:val="1"/>
      <w:numFmt w:val="bullet"/>
      <w:lvlText w:val="•"/>
      <w:lvlJc w:val="left"/>
      <w:pPr>
        <w:tabs>
          <w:tab w:val="num" w:pos="3600"/>
        </w:tabs>
        <w:ind w:left="3600" w:hanging="360"/>
      </w:pPr>
      <w:rPr>
        <w:rFonts w:ascii="Arial" w:hAnsi="Arial" w:hint="default"/>
      </w:rPr>
    </w:lvl>
    <w:lvl w:ilvl="5" w:tplc="CE226FDA" w:tentative="1">
      <w:start w:val="1"/>
      <w:numFmt w:val="bullet"/>
      <w:lvlText w:val="•"/>
      <w:lvlJc w:val="left"/>
      <w:pPr>
        <w:tabs>
          <w:tab w:val="num" w:pos="4320"/>
        </w:tabs>
        <w:ind w:left="4320" w:hanging="360"/>
      </w:pPr>
      <w:rPr>
        <w:rFonts w:ascii="Arial" w:hAnsi="Arial" w:hint="default"/>
      </w:rPr>
    </w:lvl>
    <w:lvl w:ilvl="6" w:tplc="A2867584" w:tentative="1">
      <w:start w:val="1"/>
      <w:numFmt w:val="bullet"/>
      <w:lvlText w:val="•"/>
      <w:lvlJc w:val="left"/>
      <w:pPr>
        <w:tabs>
          <w:tab w:val="num" w:pos="5040"/>
        </w:tabs>
        <w:ind w:left="5040" w:hanging="360"/>
      </w:pPr>
      <w:rPr>
        <w:rFonts w:ascii="Arial" w:hAnsi="Arial" w:hint="default"/>
      </w:rPr>
    </w:lvl>
    <w:lvl w:ilvl="7" w:tplc="C08C3A24" w:tentative="1">
      <w:start w:val="1"/>
      <w:numFmt w:val="bullet"/>
      <w:lvlText w:val="•"/>
      <w:lvlJc w:val="left"/>
      <w:pPr>
        <w:tabs>
          <w:tab w:val="num" w:pos="5760"/>
        </w:tabs>
        <w:ind w:left="5760" w:hanging="360"/>
      </w:pPr>
      <w:rPr>
        <w:rFonts w:ascii="Arial" w:hAnsi="Arial" w:hint="default"/>
      </w:rPr>
    </w:lvl>
    <w:lvl w:ilvl="8" w:tplc="EC4CDF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C34D6D"/>
    <w:multiLevelType w:val="hybridMultilevel"/>
    <w:tmpl w:val="3F60BD92"/>
    <w:lvl w:ilvl="0" w:tplc="43F0C2E8">
      <w:start w:val="1"/>
      <w:numFmt w:val="decimal"/>
      <w:lvlText w:val="%1."/>
      <w:lvlJc w:val="left"/>
      <w:pPr>
        <w:tabs>
          <w:tab w:val="num" w:pos="720"/>
        </w:tabs>
        <w:ind w:left="720" w:hanging="360"/>
      </w:pPr>
    </w:lvl>
    <w:lvl w:ilvl="1" w:tplc="E0CA5DA4" w:tentative="1">
      <w:start w:val="1"/>
      <w:numFmt w:val="decimal"/>
      <w:lvlText w:val="%2."/>
      <w:lvlJc w:val="left"/>
      <w:pPr>
        <w:tabs>
          <w:tab w:val="num" w:pos="1440"/>
        </w:tabs>
        <w:ind w:left="1440" w:hanging="360"/>
      </w:pPr>
    </w:lvl>
    <w:lvl w:ilvl="2" w:tplc="F4669304" w:tentative="1">
      <w:start w:val="1"/>
      <w:numFmt w:val="decimal"/>
      <w:lvlText w:val="%3."/>
      <w:lvlJc w:val="left"/>
      <w:pPr>
        <w:tabs>
          <w:tab w:val="num" w:pos="2160"/>
        </w:tabs>
        <w:ind w:left="2160" w:hanging="360"/>
      </w:pPr>
    </w:lvl>
    <w:lvl w:ilvl="3" w:tplc="9DE4BF4C" w:tentative="1">
      <w:start w:val="1"/>
      <w:numFmt w:val="decimal"/>
      <w:lvlText w:val="%4."/>
      <w:lvlJc w:val="left"/>
      <w:pPr>
        <w:tabs>
          <w:tab w:val="num" w:pos="2880"/>
        </w:tabs>
        <w:ind w:left="2880" w:hanging="360"/>
      </w:pPr>
    </w:lvl>
    <w:lvl w:ilvl="4" w:tplc="6C209FF8" w:tentative="1">
      <w:start w:val="1"/>
      <w:numFmt w:val="decimal"/>
      <w:lvlText w:val="%5."/>
      <w:lvlJc w:val="left"/>
      <w:pPr>
        <w:tabs>
          <w:tab w:val="num" w:pos="3600"/>
        </w:tabs>
        <w:ind w:left="3600" w:hanging="360"/>
      </w:pPr>
    </w:lvl>
    <w:lvl w:ilvl="5" w:tplc="81D4225E" w:tentative="1">
      <w:start w:val="1"/>
      <w:numFmt w:val="decimal"/>
      <w:lvlText w:val="%6."/>
      <w:lvlJc w:val="left"/>
      <w:pPr>
        <w:tabs>
          <w:tab w:val="num" w:pos="4320"/>
        </w:tabs>
        <w:ind w:left="4320" w:hanging="360"/>
      </w:pPr>
    </w:lvl>
    <w:lvl w:ilvl="6" w:tplc="EFFC5092" w:tentative="1">
      <w:start w:val="1"/>
      <w:numFmt w:val="decimal"/>
      <w:lvlText w:val="%7."/>
      <w:lvlJc w:val="left"/>
      <w:pPr>
        <w:tabs>
          <w:tab w:val="num" w:pos="5040"/>
        </w:tabs>
        <w:ind w:left="5040" w:hanging="360"/>
      </w:pPr>
    </w:lvl>
    <w:lvl w:ilvl="7" w:tplc="49C46B02" w:tentative="1">
      <w:start w:val="1"/>
      <w:numFmt w:val="decimal"/>
      <w:lvlText w:val="%8."/>
      <w:lvlJc w:val="left"/>
      <w:pPr>
        <w:tabs>
          <w:tab w:val="num" w:pos="5760"/>
        </w:tabs>
        <w:ind w:left="5760" w:hanging="360"/>
      </w:pPr>
    </w:lvl>
    <w:lvl w:ilvl="8" w:tplc="9676B162" w:tentative="1">
      <w:start w:val="1"/>
      <w:numFmt w:val="decimal"/>
      <w:lvlText w:val="%9."/>
      <w:lvlJc w:val="left"/>
      <w:pPr>
        <w:tabs>
          <w:tab w:val="num" w:pos="6480"/>
        </w:tabs>
        <w:ind w:left="6480" w:hanging="360"/>
      </w:pPr>
    </w:lvl>
  </w:abstractNum>
  <w:abstractNum w:abstractNumId="28" w15:restartNumberingAfterBreak="0">
    <w:nsid w:val="73D46632"/>
    <w:multiLevelType w:val="hybridMultilevel"/>
    <w:tmpl w:val="D3BC6D70"/>
    <w:lvl w:ilvl="0" w:tplc="CDD0596E">
      <w:start w:val="1"/>
      <w:numFmt w:val="bullet"/>
      <w:lvlText w:val="•"/>
      <w:lvlJc w:val="left"/>
      <w:pPr>
        <w:tabs>
          <w:tab w:val="num" w:pos="720"/>
        </w:tabs>
        <w:ind w:left="720" w:hanging="360"/>
      </w:pPr>
      <w:rPr>
        <w:rFonts w:ascii="Arial" w:hAnsi="Arial" w:hint="default"/>
      </w:rPr>
    </w:lvl>
    <w:lvl w:ilvl="1" w:tplc="673A916C" w:tentative="1">
      <w:start w:val="1"/>
      <w:numFmt w:val="bullet"/>
      <w:lvlText w:val="•"/>
      <w:lvlJc w:val="left"/>
      <w:pPr>
        <w:tabs>
          <w:tab w:val="num" w:pos="1440"/>
        </w:tabs>
        <w:ind w:left="1440" w:hanging="360"/>
      </w:pPr>
      <w:rPr>
        <w:rFonts w:ascii="Arial" w:hAnsi="Arial" w:hint="default"/>
      </w:rPr>
    </w:lvl>
    <w:lvl w:ilvl="2" w:tplc="7EC825E0" w:tentative="1">
      <w:start w:val="1"/>
      <w:numFmt w:val="bullet"/>
      <w:lvlText w:val="•"/>
      <w:lvlJc w:val="left"/>
      <w:pPr>
        <w:tabs>
          <w:tab w:val="num" w:pos="2160"/>
        </w:tabs>
        <w:ind w:left="2160" w:hanging="360"/>
      </w:pPr>
      <w:rPr>
        <w:rFonts w:ascii="Arial" w:hAnsi="Arial" w:hint="default"/>
      </w:rPr>
    </w:lvl>
    <w:lvl w:ilvl="3" w:tplc="491E75E8" w:tentative="1">
      <w:start w:val="1"/>
      <w:numFmt w:val="bullet"/>
      <w:lvlText w:val="•"/>
      <w:lvlJc w:val="left"/>
      <w:pPr>
        <w:tabs>
          <w:tab w:val="num" w:pos="2880"/>
        </w:tabs>
        <w:ind w:left="2880" w:hanging="360"/>
      </w:pPr>
      <w:rPr>
        <w:rFonts w:ascii="Arial" w:hAnsi="Arial" w:hint="default"/>
      </w:rPr>
    </w:lvl>
    <w:lvl w:ilvl="4" w:tplc="C00E4990" w:tentative="1">
      <w:start w:val="1"/>
      <w:numFmt w:val="bullet"/>
      <w:lvlText w:val="•"/>
      <w:lvlJc w:val="left"/>
      <w:pPr>
        <w:tabs>
          <w:tab w:val="num" w:pos="3600"/>
        </w:tabs>
        <w:ind w:left="3600" w:hanging="360"/>
      </w:pPr>
      <w:rPr>
        <w:rFonts w:ascii="Arial" w:hAnsi="Arial" w:hint="default"/>
      </w:rPr>
    </w:lvl>
    <w:lvl w:ilvl="5" w:tplc="79AA104A" w:tentative="1">
      <w:start w:val="1"/>
      <w:numFmt w:val="bullet"/>
      <w:lvlText w:val="•"/>
      <w:lvlJc w:val="left"/>
      <w:pPr>
        <w:tabs>
          <w:tab w:val="num" w:pos="4320"/>
        </w:tabs>
        <w:ind w:left="4320" w:hanging="360"/>
      </w:pPr>
      <w:rPr>
        <w:rFonts w:ascii="Arial" w:hAnsi="Arial" w:hint="default"/>
      </w:rPr>
    </w:lvl>
    <w:lvl w:ilvl="6" w:tplc="446081EA" w:tentative="1">
      <w:start w:val="1"/>
      <w:numFmt w:val="bullet"/>
      <w:lvlText w:val="•"/>
      <w:lvlJc w:val="left"/>
      <w:pPr>
        <w:tabs>
          <w:tab w:val="num" w:pos="5040"/>
        </w:tabs>
        <w:ind w:left="5040" w:hanging="360"/>
      </w:pPr>
      <w:rPr>
        <w:rFonts w:ascii="Arial" w:hAnsi="Arial" w:hint="default"/>
      </w:rPr>
    </w:lvl>
    <w:lvl w:ilvl="7" w:tplc="8070D09C" w:tentative="1">
      <w:start w:val="1"/>
      <w:numFmt w:val="bullet"/>
      <w:lvlText w:val="•"/>
      <w:lvlJc w:val="left"/>
      <w:pPr>
        <w:tabs>
          <w:tab w:val="num" w:pos="5760"/>
        </w:tabs>
        <w:ind w:left="5760" w:hanging="360"/>
      </w:pPr>
      <w:rPr>
        <w:rFonts w:ascii="Arial" w:hAnsi="Arial" w:hint="default"/>
      </w:rPr>
    </w:lvl>
    <w:lvl w:ilvl="8" w:tplc="7062F44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2D427F"/>
    <w:multiLevelType w:val="hybridMultilevel"/>
    <w:tmpl w:val="667E87B4"/>
    <w:lvl w:ilvl="0" w:tplc="7176456E">
      <w:start w:val="1"/>
      <w:numFmt w:val="decimal"/>
      <w:lvlText w:val="%1."/>
      <w:lvlJc w:val="left"/>
      <w:pPr>
        <w:tabs>
          <w:tab w:val="num" w:pos="720"/>
        </w:tabs>
        <w:ind w:left="720" w:hanging="360"/>
      </w:pPr>
    </w:lvl>
    <w:lvl w:ilvl="1" w:tplc="E062BA54" w:tentative="1">
      <w:start w:val="1"/>
      <w:numFmt w:val="decimal"/>
      <w:lvlText w:val="%2."/>
      <w:lvlJc w:val="left"/>
      <w:pPr>
        <w:tabs>
          <w:tab w:val="num" w:pos="1440"/>
        </w:tabs>
        <w:ind w:left="1440" w:hanging="360"/>
      </w:pPr>
    </w:lvl>
    <w:lvl w:ilvl="2" w:tplc="9E3498DA" w:tentative="1">
      <w:start w:val="1"/>
      <w:numFmt w:val="decimal"/>
      <w:lvlText w:val="%3."/>
      <w:lvlJc w:val="left"/>
      <w:pPr>
        <w:tabs>
          <w:tab w:val="num" w:pos="2160"/>
        </w:tabs>
        <w:ind w:left="2160" w:hanging="360"/>
      </w:pPr>
    </w:lvl>
    <w:lvl w:ilvl="3" w:tplc="4880CFA2" w:tentative="1">
      <w:start w:val="1"/>
      <w:numFmt w:val="decimal"/>
      <w:lvlText w:val="%4."/>
      <w:lvlJc w:val="left"/>
      <w:pPr>
        <w:tabs>
          <w:tab w:val="num" w:pos="2880"/>
        </w:tabs>
        <w:ind w:left="2880" w:hanging="360"/>
      </w:pPr>
    </w:lvl>
    <w:lvl w:ilvl="4" w:tplc="1AAEE548" w:tentative="1">
      <w:start w:val="1"/>
      <w:numFmt w:val="decimal"/>
      <w:lvlText w:val="%5."/>
      <w:lvlJc w:val="left"/>
      <w:pPr>
        <w:tabs>
          <w:tab w:val="num" w:pos="3600"/>
        </w:tabs>
        <w:ind w:left="3600" w:hanging="360"/>
      </w:pPr>
    </w:lvl>
    <w:lvl w:ilvl="5" w:tplc="98906B4A" w:tentative="1">
      <w:start w:val="1"/>
      <w:numFmt w:val="decimal"/>
      <w:lvlText w:val="%6."/>
      <w:lvlJc w:val="left"/>
      <w:pPr>
        <w:tabs>
          <w:tab w:val="num" w:pos="4320"/>
        </w:tabs>
        <w:ind w:left="4320" w:hanging="360"/>
      </w:pPr>
    </w:lvl>
    <w:lvl w:ilvl="6" w:tplc="5F383FE6" w:tentative="1">
      <w:start w:val="1"/>
      <w:numFmt w:val="decimal"/>
      <w:lvlText w:val="%7."/>
      <w:lvlJc w:val="left"/>
      <w:pPr>
        <w:tabs>
          <w:tab w:val="num" w:pos="5040"/>
        </w:tabs>
        <w:ind w:left="5040" w:hanging="360"/>
      </w:pPr>
    </w:lvl>
    <w:lvl w:ilvl="7" w:tplc="E7C2A7BA" w:tentative="1">
      <w:start w:val="1"/>
      <w:numFmt w:val="decimal"/>
      <w:lvlText w:val="%8."/>
      <w:lvlJc w:val="left"/>
      <w:pPr>
        <w:tabs>
          <w:tab w:val="num" w:pos="5760"/>
        </w:tabs>
        <w:ind w:left="5760" w:hanging="360"/>
      </w:pPr>
    </w:lvl>
    <w:lvl w:ilvl="8" w:tplc="0DA27036" w:tentative="1">
      <w:start w:val="1"/>
      <w:numFmt w:val="decimal"/>
      <w:lvlText w:val="%9."/>
      <w:lvlJc w:val="left"/>
      <w:pPr>
        <w:tabs>
          <w:tab w:val="num" w:pos="6480"/>
        </w:tabs>
        <w:ind w:left="6480" w:hanging="360"/>
      </w:pPr>
    </w:lvl>
  </w:abstractNum>
  <w:num w:numId="1">
    <w:abstractNumId w:val="20"/>
  </w:num>
  <w:num w:numId="2">
    <w:abstractNumId w:val="6"/>
  </w:num>
  <w:num w:numId="3">
    <w:abstractNumId w:val="12"/>
  </w:num>
  <w:num w:numId="4">
    <w:abstractNumId w:val="3"/>
  </w:num>
  <w:num w:numId="5">
    <w:abstractNumId w:val="23"/>
  </w:num>
  <w:num w:numId="6">
    <w:abstractNumId w:val="5"/>
  </w:num>
  <w:num w:numId="7">
    <w:abstractNumId w:val="0"/>
  </w:num>
  <w:num w:numId="8">
    <w:abstractNumId w:val="10"/>
  </w:num>
  <w:num w:numId="9">
    <w:abstractNumId w:val="24"/>
  </w:num>
  <w:num w:numId="10">
    <w:abstractNumId w:val="17"/>
  </w:num>
  <w:num w:numId="11">
    <w:abstractNumId w:val="1"/>
  </w:num>
  <w:num w:numId="12">
    <w:abstractNumId w:val="13"/>
  </w:num>
  <w:num w:numId="13">
    <w:abstractNumId w:val="16"/>
  </w:num>
  <w:num w:numId="14">
    <w:abstractNumId w:val="11"/>
  </w:num>
  <w:num w:numId="15">
    <w:abstractNumId w:val="7"/>
  </w:num>
  <w:num w:numId="16">
    <w:abstractNumId w:val="21"/>
  </w:num>
  <w:num w:numId="17">
    <w:abstractNumId w:val="8"/>
  </w:num>
  <w:num w:numId="18">
    <w:abstractNumId w:val="4"/>
  </w:num>
  <w:num w:numId="19">
    <w:abstractNumId w:val="25"/>
  </w:num>
  <w:num w:numId="20">
    <w:abstractNumId w:val="29"/>
  </w:num>
  <w:num w:numId="21">
    <w:abstractNumId w:val="27"/>
  </w:num>
  <w:num w:numId="22">
    <w:abstractNumId w:val="28"/>
  </w:num>
  <w:num w:numId="23">
    <w:abstractNumId w:val="15"/>
  </w:num>
  <w:num w:numId="24">
    <w:abstractNumId w:val="18"/>
  </w:num>
  <w:num w:numId="25">
    <w:abstractNumId w:val="14"/>
  </w:num>
  <w:num w:numId="26">
    <w:abstractNumId w:val="19"/>
  </w:num>
  <w:num w:numId="27">
    <w:abstractNumId w:val="22"/>
  </w:num>
  <w:num w:numId="28">
    <w:abstractNumId w:val="2"/>
  </w:num>
  <w:num w:numId="29">
    <w:abstractNumId w:val="2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307"/>
    <w:rsid w:val="00000DD5"/>
    <w:rsid w:val="000019B1"/>
    <w:rsid w:val="00001A85"/>
    <w:rsid w:val="00001CFC"/>
    <w:rsid w:val="00001DC7"/>
    <w:rsid w:val="00001E47"/>
    <w:rsid w:val="00002DA1"/>
    <w:rsid w:val="000035FF"/>
    <w:rsid w:val="00004B3E"/>
    <w:rsid w:val="00004B9D"/>
    <w:rsid w:val="000079E8"/>
    <w:rsid w:val="00010AF6"/>
    <w:rsid w:val="00011BF2"/>
    <w:rsid w:val="00013DE8"/>
    <w:rsid w:val="00014A10"/>
    <w:rsid w:val="00014E8B"/>
    <w:rsid w:val="00016E27"/>
    <w:rsid w:val="0001757B"/>
    <w:rsid w:val="00017AF0"/>
    <w:rsid w:val="00020863"/>
    <w:rsid w:val="000215F3"/>
    <w:rsid w:val="00022634"/>
    <w:rsid w:val="00023F7B"/>
    <w:rsid w:val="000244DE"/>
    <w:rsid w:val="00024DE2"/>
    <w:rsid w:val="000253B4"/>
    <w:rsid w:val="0002717C"/>
    <w:rsid w:val="00027236"/>
    <w:rsid w:val="0002763D"/>
    <w:rsid w:val="000326ED"/>
    <w:rsid w:val="000327BD"/>
    <w:rsid w:val="00032E66"/>
    <w:rsid w:val="000358F0"/>
    <w:rsid w:val="00035DBF"/>
    <w:rsid w:val="000372A1"/>
    <w:rsid w:val="0003777A"/>
    <w:rsid w:val="000406E9"/>
    <w:rsid w:val="0004091A"/>
    <w:rsid w:val="00041B79"/>
    <w:rsid w:val="00042598"/>
    <w:rsid w:val="00042FFB"/>
    <w:rsid w:val="00043681"/>
    <w:rsid w:val="00043965"/>
    <w:rsid w:val="000477C8"/>
    <w:rsid w:val="00047A01"/>
    <w:rsid w:val="00051A85"/>
    <w:rsid w:val="00051FD3"/>
    <w:rsid w:val="0005339A"/>
    <w:rsid w:val="00053B5E"/>
    <w:rsid w:val="00055CE3"/>
    <w:rsid w:val="0006066E"/>
    <w:rsid w:val="00061510"/>
    <w:rsid w:val="00061DC7"/>
    <w:rsid w:val="00061F88"/>
    <w:rsid w:val="00062493"/>
    <w:rsid w:val="000627A3"/>
    <w:rsid w:val="00063662"/>
    <w:rsid w:val="00063A0B"/>
    <w:rsid w:val="000643C8"/>
    <w:rsid w:val="0006597F"/>
    <w:rsid w:val="00065A1D"/>
    <w:rsid w:val="00066436"/>
    <w:rsid w:val="00066521"/>
    <w:rsid w:val="000679AE"/>
    <w:rsid w:val="00070896"/>
    <w:rsid w:val="00071D7B"/>
    <w:rsid w:val="00071E50"/>
    <w:rsid w:val="00072033"/>
    <w:rsid w:val="00072610"/>
    <w:rsid w:val="00072997"/>
    <w:rsid w:val="00075B38"/>
    <w:rsid w:val="000764AB"/>
    <w:rsid w:val="000768B9"/>
    <w:rsid w:val="00076CE8"/>
    <w:rsid w:val="00076E99"/>
    <w:rsid w:val="00080236"/>
    <w:rsid w:val="00080F27"/>
    <w:rsid w:val="000848E1"/>
    <w:rsid w:val="00084EA7"/>
    <w:rsid w:val="00087512"/>
    <w:rsid w:val="00087A17"/>
    <w:rsid w:val="00087CF3"/>
    <w:rsid w:val="00090C19"/>
    <w:rsid w:val="00091514"/>
    <w:rsid w:val="00092EDC"/>
    <w:rsid w:val="00093352"/>
    <w:rsid w:val="00094857"/>
    <w:rsid w:val="00094BBE"/>
    <w:rsid w:val="00094CBA"/>
    <w:rsid w:val="000952E6"/>
    <w:rsid w:val="00096222"/>
    <w:rsid w:val="000A0EE8"/>
    <w:rsid w:val="000A22A5"/>
    <w:rsid w:val="000A2ADD"/>
    <w:rsid w:val="000A2DA5"/>
    <w:rsid w:val="000A3C01"/>
    <w:rsid w:val="000A4046"/>
    <w:rsid w:val="000B01B5"/>
    <w:rsid w:val="000B09D7"/>
    <w:rsid w:val="000B12FA"/>
    <w:rsid w:val="000B602C"/>
    <w:rsid w:val="000B6485"/>
    <w:rsid w:val="000B65D0"/>
    <w:rsid w:val="000B7EA7"/>
    <w:rsid w:val="000C0DF0"/>
    <w:rsid w:val="000C15AC"/>
    <w:rsid w:val="000C1656"/>
    <w:rsid w:val="000C34E4"/>
    <w:rsid w:val="000C3DC5"/>
    <w:rsid w:val="000C4C12"/>
    <w:rsid w:val="000C5E3C"/>
    <w:rsid w:val="000C72EA"/>
    <w:rsid w:val="000C7778"/>
    <w:rsid w:val="000D1DD9"/>
    <w:rsid w:val="000D362E"/>
    <w:rsid w:val="000D3AEF"/>
    <w:rsid w:val="000D3FB9"/>
    <w:rsid w:val="000D49B1"/>
    <w:rsid w:val="000D4FA9"/>
    <w:rsid w:val="000D5D4F"/>
    <w:rsid w:val="000D6E68"/>
    <w:rsid w:val="000D7824"/>
    <w:rsid w:val="000D7982"/>
    <w:rsid w:val="000E0BA6"/>
    <w:rsid w:val="000E26CC"/>
    <w:rsid w:val="000E289B"/>
    <w:rsid w:val="000E3380"/>
    <w:rsid w:val="000E71D1"/>
    <w:rsid w:val="000E7672"/>
    <w:rsid w:val="000F207F"/>
    <w:rsid w:val="000F35EA"/>
    <w:rsid w:val="000F52B2"/>
    <w:rsid w:val="000F56F3"/>
    <w:rsid w:val="000F5DF3"/>
    <w:rsid w:val="000F6733"/>
    <w:rsid w:val="001029B7"/>
    <w:rsid w:val="00102A76"/>
    <w:rsid w:val="00103323"/>
    <w:rsid w:val="00104C67"/>
    <w:rsid w:val="00104FAA"/>
    <w:rsid w:val="00106D4C"/>
    <w:rsid w:val="00106F01"/>
    <w:rsid w:val="001109DE"/>
    <w:rsid w:val="001145C3"/>
    <w:rsid w:val="001162DD"/>
    <w:rsid w:val="001224FD"/>
    <w:rsid w:val="001259EE"/>
    <w:rsid w:val="00125C1A"/>
    <w:rsid w:val="00126FBD"/>
    <w:rsid w:val="00132351"/>
    <w:rsid w:val="00132B65"/>
    <w:rsid w:val="001338BE"/>
    <w:rsid w:val="00133A18"/>
    <w:rsid w:val="00133D5E"/>
    <w:rsid w:val="00133D9B"/>
    <w:rsid w:val="00133E33"/>
    <w:rsid w:val="00133EAA"/>
    <w:rsid w:val="00134743"/>
    <w:rsid w:val="001352DD"/>
    <w:rsid w:val="00136251"/>
    <w:rsid w:val="0013662E"/>
    <w:rsid w:val="00137298"/>
    <w:rsid w:val="00140A15"/>
    <w:rsid w:val="00140AD8"/>
    <w:rsid w:val="001410E9"/>
    <w:rsid w:val="001422E9"/>
    <w:rsid w:val="00142391"/>
    <w:rsid w:val="001428C1"/>
    <w:rsid w:val="00142EDE"/>
    <w:rsid w:val="001435BC"/>
    <w:rsid w:val="0014487B"/>
    <w:rsid w:val="00145EE2"/>
    <w:rsid w:val="00147118"/>
    <w:rsid w:val="001479D7"/>
    <w:rsid w:val="001521E2"/>
    <w:rsid w:val="001522A0"/>
    <w:rsid w:val="001529F8"/>
    <w:rsid w:val="00152B6C"/>
    <w:rsid w:val="00156113"/>
    <w:rsid w:val="00156ED9"/>
    <w:rsid w:val="00156FD8"/>
    <w:rsid w:val="00161A0B"/>
    <w:rsid w:val="00162C7E"/>
    <w:rsid w:val="00163177"/>
    <w:rsid w:val="001633A2"/>
    <w:rsid w:val="00164923"/>
    <w:rsid w:val="00165633"/>
    <w:rsid w:val="00165746"/>
    <w:rsid w:val="001664A8"/>
    <w:rsid w:val="001669C5"/>
    <w:rsid w:val="001678C9"/>
    <w:rsid w:val="00171F6C"/>
    <w:rsid w:val="00172715"/>
    <w:rsid w:val="00173747"/>
    <w:rsid w:val="001750CA"/>
    <w:rsid w:val="001754C2"/>
    <w:rsid w:val="00175CDE"/>
    <w:rsid w:val="001807FF"/>
    <w:rsid w:val="00180F57"/>
    <w:rsid w:val="001812E0"/>
    <w:rsid w:val="00181498"/>
    <w:rsid w:val="0018151F"/>
    <w:rsid w:val="0018175A"/>
    <w:rsid w:val="00182B4A"/>
    <w:rsid w:val="00182EF3"/>
    <w:rsid w:val="00184426"/>
    <w:rsid w:val="00185F93"/>
    <w:rsid w:val="001862C5"/>
    <w:rsid w:val="00186D04"/>
    <w:rsid w:val="001902F6"/>
    <w:rsid w:val="001905D7"/>
    <w:rsid w:val="001907AD"/>
    <w:rsid w:val="0019119E"/>
    <w:rsid w:val="0019139E"/>
    <w:rsid w:val="00191902"/>
    <w:rsid w:val="00191E84"/>
    <w:rsid w:val="0019280C"/>
    <w:rsid w:val="001928E6"/>
    <w:rsid w:val="00192960"/>
    <w:rsid w:val="00192F18"/>
    <w:rsid w:val="00194F32"/>
    <w:rsid w:val="00195FCC"/>
    <w:rsid w:val="00196EC6"/>
    <w:rsid w:val="001A1334"/>
    <w:rsid w:val="001A217D"/>
    <w:rsid w:val="001A41DB"/>
    <w:rsid w:val="001A6319"/>
    <w:rsid w:val="001A7692"/>
    <w:rsid w:val="001B145B"/>
    <w:rsid w:val="001B26AC"/>
    <w:rsid w:val="001B4042"/>
    <w:rsid w:val="001B446B"/>
    <w:rsid w:val="001B6D4F"/>
    <w:rsid w:val="001B7C9F"/>
    <w:rsid w:val="001C1424"/>
    <w:rsid w:val="001C706B"/>
    <w:rsid w:val="001D0759"/>
    <w:rsid w:val="001D0CA1"/>
    <w:rsid w:val="001D12E0"/>
    <w:rsid w:val="001D17CD"/>
    <w:rsid w:val="001D22A6"/>
    <w:rsid w:val="001D2F89"/>
    <w:rsid w:val="001D3750"/>
    <w:rsid w:val="001D486C"/>
    <w:rsid w:val="001D4D60"/>
    <w:rsid w:val="001D5953"/>
    <w:rsid w:val="001D62F9"/>
    <w:rsid w:val="001D7E39"/>
    <w:rsid w:val="001E14AF"/>
    <w:rsid w:val="001E18CF"/>
    <w:rsid w:val="001E1F0F"/>
    <w:rsid w:val="001E2E69"/>
    <w:rsid w:val="001E3273"/>
    <w:rsid w:val="001E6745"/>
    <w:rsid w:val="001E6A26"/>
    <w:rsid w:val="001E6D55"/>
    <w:rsid w:val="001E7336"/>
    <w:rsid w:val="001E7920"/>
    <w:rsid w:val="001E7FC0"/>
    <w:rsid w:val="001F24FB"/>
    <w:rsid w:val="001F2F5D"/>
    <w:rsid w:val="001F3DFE"/>
    <w:rsid w:val="001F5543"/>
    <w:rsid w:val="001F7433"/>
    <w:rsid w:val="002000A9"/>
    <w:rsid w:val="00200EBF"/>
    <w:rsid w:val="00202D40"/>
    <w:rsid w:val="00203287"/>
    <w:rsid w:val="002057A2"/>
    <w:rsid w:val="00207FAD"/>
    <w:rsid w:val="00210153"/>
    <w:rsid w:val="00210C54"/>
    <w:rsid w:val="00211669"/>
    <w:rsid w:val="002123E4"/>
    <w:rsid w:val="0021274A"/>
    <w:rsid w:val="00213BDE"/>
    <w:rsid w:val="00215877"/>
    <w:rsid w:val="0021642A"/>
    <w:rsid w:val="0021658E"/>
    <w:rsid w:val="00222D84"/>
    <w:rsid w:val="00223C7B"/>
    <w:rsid w:val="00225CC6"/>
    <w:rsid w:val="002301F0"/>
    <w:rsid w:val="00235623"/>
    <w:rsid w:val="00236F22"/>
    <w:rsid w:val="00237EE9"/>
    <w:rsid w:val="00240D85"/>
    <w:rsid w:val="00241C68"/>
    <w:rsid w:val="0024333E"/>
    <w:rsid w:val="00250A84"/>
    <w:rsid w:val="00250B8C"/>
    <w:rsid w:val="00251315"/>
    <w:rsid w:val="00253298"/>
    <w:rsid w:val="00253FA5"/>
    <w:rsid w:val="0025570B"/>
    <w:rsid w:val="00257255"/>
    <w:rsid w:val="00257E1E"/>
    <w:rsid w:val="00260923"/>
    <w:rsid w:val="00260CEE"/>
    <w:rsid w:val="00262A4F"/>
    <w:rsid w:val="00262FF1"/>
    <w:rsid w:val="002639EC"/>
    <w:rsid w:val="0026523C"/>
    <w:rsid w:val="002664AC"/>
    <w:rsid w:val="00266A97"/>
    <w:rsid w:val="00267B36"/>
    <w:rsid w:val="002706D6"/>
    <w:rsid w:val="00270DD5"/>
    <w:rsid w:val="00272417"/>
    <w:rsid w:val="00273CE9"/>
    <w:rsid w:val="002743B1"/>
    <w:rsid w:val="00275943"/>
    <w:rsid w:val="0028019B"/>
    <w:rsid w:val="00280A72"/>
    <w:rsid w:val="00280D2D"/>
    <w:rsid w:val="00280E41"/>
    <w:rsid w:val="0028210E"/>
    <w:rsid w:val="00282A9C"/>
    <w:rsid w:val="00283ADB"/>
    <w:rsid w:val="002840B3"/>
    <w:rsid w:val="00284354"/>
    <w:rsid w:val="002876D9"/>
    <w:rsid w:val="00290A87"/>
    <w:rsid w:val="00290AAD"/>
    <w:rsid w:val="00291B68"/>
    <w:rsid w:val="00292294"/>
    <w:rsid w:val="00293246"/>
    <w:rsid w:val="00295613"/>
    <w:rsid w:val="002956F7"/>
    <w:rsid w:val="00296062"/>
    <w:rsid w:val="002A0848"/>
    <w:rsid w:val="002A44A0"/>
    <w:rsid w:val="002A5F7D"/>
    <w:rsid w:val="002A7CC6"/>
    <w:rsid w:val="002B03A0"/>
    <w:rsid w:val="002B19E7"/>
    <w:rsid w:val="002B1DCC"/>
    <w:rsid w:val="002B3526"/>
    <w:rsid w:val="002B3688"/>
    <w:rsid w:val="002B3AED"/>
    <w:rsid w:val="002B3BB2"/>
    <w:rsid w:val="002B4258"/>
    <w:rsid w:val="002B50B5"/>
    <w:rsid w:val="002B52E5"/>
    <w:rsid w:val="002B7C6C"/>
    <w:rsid w:val="002C02A2"/>
    <w:rsid w:val="002C13A7"/>
    <w:rsid w:val="002C26E0"/>
    <w:rsid w:val="002C4AA7"/>
    <w:rsid w:val="002D3360"/>
    <w:rsid w:val="002E04E0"/>
    <w:rsid w:val="002E1236"/>
    <w:rsid w:val="002E172D"/>
    <w:rsid w:val="002E2305"/>
    <w:rsid w:val="002E2572"/>
    <w:rsid w:val="002E3F44"/>
    <w:rsid w:val="002E4560"/>
    <w:rsid w:val="002E4C1D"/>
    <w:rsid w:val="002E5690"/>
    <w:rsid w:val="002E714F"/>
    <w:rsid w:val="002E722C"/>
    <w:rsid w:val="002E75DE"/>
    <w:rsid w:val="002E764B"/>
    <w:rsid w:val="002F3460"/>
    <w:rsid w:val="002F4865"/>
    <w:rsid w:val="002F596D"/>
    <w:rsid w:val="002F7529"/>
    <w:rsid w:val="002F7918"/>
    <w:rsid w:val="002F7E8F"/>
    <w:rsid w:val="003020FD"/>
    <w:rsid w:val="003032A8"/>
    <w:rsid w:val="00304547"/>
    <w:rsid w:val="003058B2"/>
    <w:rsid w:val="0030608B"/>
    <w:rsid w:val="00306ACF"/>
    <w:rsid w:val="003074AE"/>
    <w:rsid w:val="0031029A"/>
    <w:rsid w:val="0031105E"/>
    <w:rsid w:val="003113B2"/>
    <w:rsid w:val="003130B9"/>
    <w:rsid w:val="0031366D"/>
    <w:rsid w:val="003149E5"/>
    <w:rsid w:val="00314C7E"/>
    <w:rsid w:val="00315474"/>
    <w:rsid w:val="00317053"/>
    <w:rsid w:val="003176AF"/>
    <w:rsid w:val="00317917"/>
    <w:rsid w:val="00320112"/>
    <w:rsid w:val="003208B4"/>
    <w:rsid w:val="00320DC9"/>
    <w:rsid w:val="0032114E"/>
    <w:rsid w:val="00321E3A"/>
    <w:rsid w:val="00321EAD"/>
    <w:rsid w:val="0032249C"/>
    <w:rsid w:val="00322E1D"/>
    <w:rsid w:val="003264A4"/>
    <w:rsid w:val="0032679F"/>
    <w:rsid w:val="00326D78"/>
    <w:rsid w:val="0032751F"/>
    <w:rsid w:val="00330C45"/>
    <w:rsid w:val="00331079"/>
    <w:rsid w:val="00331462"/>
    <w:rsid w:val="00331C28"/>
    <w:rsid w:val="003333A1"/>
    <w:rsid w:val="00334C7A"/>
    <w:rsid w:val="00334D5E"/>
    <w:rsid w:val="00336646"/>
    <w:rsid w:val="00337B65"/>
    <w:rsid w:val="00343F44"/>
    <w:rsid w:val="00344560"/>
    <w:rsid w:val="003469D9"/>
    <w:rsid w:val="00347B81"/>
    <w:rsid w:val="00350AD6"/>
    <w:rsid w:val="00352ABB"/>
    <w:rsid w:val="00352C19"/>
    <w:rsid w:val="003542F9"/>
    <w:rsid w:val="00354698"/>
    <w:rsid w:val="00355AC6"/>
    <w:rsid w:val="003618E2"/>
    <w:rsid w:val="003659B7"/>
    <w:rsid w:val="003663F7"/>
    <w:rsid w:val="0036689E"/>
    <w:rsid w:val="00366E5C"/>
    <w:rsid w:val="00367147"/>
    <w:rsid w:val="00370B3C"/>
    <w:rsid w:val="00371B9F"/>
    <w:rsid w:val="00375333"/>
    <w:rsid w:val="0037568F"/>
    <w:rsid w:val="00375D43"/>
    <w:rsid w:val="00380127"/>
    <w:rsid w:val="00380B8C"/>
    <w:rsid w:val="003815FE"/>
    <w:rsid w:val="00381DF0"/>
    <w:rsid w:val="0038245A"/>
    <w:rsid w:val="00382AFD"/>
    <w:rsid w:val="00382C7B"/>
    <w:rsid w:val="00384AB9"/>
    <w:rsid w:val="00384C04"/>
    <w:rsid w:val="0038511E"/>
    <w:rsid w:val="003863F1"/>
    <w:rsid w:val="00386C7E"/>
    <w:rsid w:val="0038772E"/>
    <w:rsid w:val="003877A8"/>
    <w:rsid w:val="00387C04"/>
    <w:rsid w:val="0039299B"/>
    <w:rsid w:val="00392D25"/>
    <w:rsid w:val="00394A41"/>
    <w:rsid w:val="003952A9"/>
    <w:rsid w:val="00395328"/>
    <w:rsid w:val="00395B5B"/>
    <w:rsid w:val="00397527"/>
    <w:rsid w:val="003A0298"/>
    <w:rsid w:val="003A0641"/>
    <w:rsid w:val="003A076C"/>
    <w:rsid w:val="003A1240"/>
    <w:rsid w:val="003A3217"/>
    <w:rsid w:val="003A3EF0"/>
    <w:rsid w:val="003A3FC3"/>
    <w:rsid w:val="003A49A0"/>
    <w:rsid w:val="003A56A3"/>
    <w:rsid w:val="003A60FF"/>
    <w:rsid w:val="003A6265"/>
    <w:rsid w:val="003A65EC"/>
    <w:rsid w:val="003A6CC3"/>
    <w:rsid w:val="003B0A16"/>
    <w:rsid w:val="003B0F2B"/>
    <w:rsid w:val="003B199C"/>
    <w:rsid w:val="003B1AB1"/>
    <w:rsid w:val="003B27B6"/>
    <w:rsid w:val="003B3FA6"/>
    <w:rsid w:val="003B40D1"/>
    <w:rsid w:val="003B51B1"/>
    <w:rsid w:val="003B6DC9"/>
    <w:rsid w:val="003B771F"/>
    <w:rsid w:val="003B7E90"/>
    <w:rsid w:val="003C3B44"/>
    <w:rsid w:val="003C3D8F"/>
    <w:rsid w:val="003C4942"/>
    <w:rsid w:val="003C5848"/>
    <w:rsid w:val="003C666E"/>
    <w:rsid w:val="003C6796"/>
    <w:rsid w:val="003C7417"/>
    <w:rsid w:val="003C7A4B"/>
    <w:rsid w:val="003C7B7F"/>
    <w:rsid w:val="003D02F9"/>
    <w:rsid w:val="003D051B"/>
    <w:rsid w:val="003D247F"/>
    <w:rsid w:val="003D24F7"/>
    <w:rsid w:val="003D34EE"/>
    <w:rsid w:val="003D40F9"/>
    <w:rsid w:val="003D4B36"/>
    <w:rsid w:val="003D65C8"/>
    <w:rsid w:val="003E0BCF"/>
    <w:rsid w:val="003E11ED"/>
    <w:rsid w:val="003E1357"/>
    <w:rsid w:val="003E17E4"/>
    <w:rsid w:val="003E39AC"/>
    <w:rsid w:val="003E4AD1"/>
    <w:rsid w:val="003E6AD5"/>
    <w:rsid w:val="003E7831"/>
    <w:rsid w:val="003F02B6"/>
    <w:rsid w:val="003F0F01"/>
    <w:rsid w:val="003F18E4"/>
    <w:rsid w:val="003F2FC4"/>
    <w:rsid w:val="003F4208"/>
    <w:rsid w:val="003F52F1"/>
    <w:rsid w:val="003F5EEF"/>
    <w:rsid w:val="003F6E29"/>
    <w:rsid w:val="00401076"/>
    <w:rsid w:val="004013D0"/>
    <w:rsid w:val="004027F8"/>
    <w:rsid w:val="00403F12"/>
    <w:rsid w:val="004045C6"/>
    <w:rsid w:val="004048E8"/>
    <w:rsid w:val="00404B7B"/>
    <w:rsid w:val="00410DF2"/>
    <w:rsid w:val="004117BD"/>
    <w:rsid w:val="00411880"/>
    <w:rsid w:val="0041348C"/>
    <w:rsid w:val="004143AF"/>
    <w:rsid w:val="004157FF"/>
    <w:rsid w:val="00415981"/>
    <w:rsid w:val="00416792"/>
    <w:rsid w:val="00416D49"/>
    <w:rsid w:val="00416F9B"/>
    <w:rsid w:val="00417421"/>
    <w:rsid w:val="00417AC7"/>
    <w:rsid w:val="00420B4F"/>
    <w:rsid w:val="004215BB"/>
    <w:rsid w:val="004220DF"/>
    <w:rsid w:val="004227B7"/>
    <w:rsid w:val="004227E1"/>
    <w:rsid w:val="00422FEF"/>
    <w:rsid w:val="004234EF"/>
    <w:rsid w:val="004238A8"/>
    <w:rsid w:val="00423E6C"/>
    <w:rsid w:val="00425A40"/>
    <w:rsid w:val="00425A9F"/>
    <w:rsid w:val="00426270"/>
    <w:rsid w:val="004263E4"/>
    <w:rsid w:val="00427E04"/>
    <w:rsid w:val="00430A6A"/>
    <w:rsid w:val="00430C4B"/>
    <w:rsid w:val="00432DEE"/>
    <w:rsid w:val="00433943"/>
    <w:rsid w:val="00435ABA"/>
    <w:rsid w:val="004367B3"/>
    <w:rsid w:val="004373A6"/>
    <w:rsid w:val="00437AAF"/>
    <w:rsid w:val="004416D1"/>
    <w:rsid w:val="004425F5"/>
    <w:rsid w:val="004432EF"/>
    <w:rsid w:val="00443A70"/>
    <w:rsid w:val="004441AB"/>
    <w:rsid w:val="00445EFE"/>
    <w:rsid w:val="00446453"/>
    <w:rsid w:val="004474CA"/>
    <w:rsid w:val="004508CD"/>
    <w:rsid w:val="0045427A"/>
    <w:rsid w:val="004562A0"/>
    <w:rsid w:val="00456411"/>
    <w:rsid w:val="00456F91"/>
    <w:rsid w:val="00457D34"/>
    <w:rsid w:val="00462B77"/>
    <w:rsid w:val="004637AE"/>
    <w:rsid w:val="00465479"/>
    <w:rsid w:val="00466FD9"/>
    <w:rsid w:val="00467BEF"/>
    <w:rsid w:val="00467D21"/>
    <w:rsid w:val="00467F62"/>
    <w:rsid w:val="00472D4B"/>
    <w:rsid w:val="00474976"/>
    <w:rsid w:val="00474E82"/>
    <w:rsid w:val="0047596C"/>
    <w:rsid w:val="0048013A"/>
    <w:rsid w:val="00480BC2"/>
    <w:rsid w:val="00482779"/>
    <w:rsid w:val="00483BA6"/>
    <w:rsid w:val="004847C3"/>
    <w:rsid w:val="00487932"/>
    <w:rsid w:val="004909A1"/>
    <w:rsid w:val="00490E01"/>
    <w:rsid w:val="00491D10"/>
    <w:rsid w:val="004941E2"/>
    <w:rsid w:val="00494766"/>
    <w:rsid w:val="00497761"/>
    <w:rsid w:val="004A272F"/>
    <w:rsid w:val="004A2AF9"/>
    <w:rsid w:val="004A4322"/>
    <w:rsid w:val="004A75BC"/>
    <w:rsid w:val="004A7F71"/>
    <w:rsid w:val="004B0A9C"/>
    <w:rsid w:val="004B4BA7"/>
    <w:rsid w:val="004B4BF0"/>
    <w:rsid w:val="004B4DA8"/>
    <w:rsid w:val="004B5A7E"/>
    <w:rsid w:val="004B5E04"/>
    <w:rsid w:val="004B78A7"/>
    <w:rsid w:val="004C1011"/>
    <w:rsid w:val="004C2333"/>
    <w:rsid w:val="004C23C9"/>
    <w:rsid w:val="004C2732"/>
    <w:rsid w:val="004C3315"/>
    <w:rsid w:val="004C34BB"/>
    <w:rsid w:val="004C448B"/>
    <w:rsid w:val="004C51CA"/>
    <w:rsid w:val="004C5802"/>
    <w:rsid w:val="004C67F8"/>
    <w:rsid w:val="004C7773"/>
    <w:rsid w:val="004D1786"/>
    <w:rsid w:val="004D2307"/>
    <w:rsid w:val="004D2B6D"/>
    <w:rsid w:val="004D2F4F"/>
    <w:rsid w:val="004D4570"/>
    <w:rsid w:val="004D6A47"/>
    <w:rsid w:val="004D7EA7"/>
    <w:rsid w:val="004E02C8"/>
    <w:rsid w:val="004E0DF5"/>
    <w:rsid w:val="004E1599"/>
    <w:rsid w:val="004E225C"/>
    <w:rsid w:val="004E2A7A"/>
    <w:rsid w:val="004E442F"/>
    <w:rsid w:val="004E5E4D"/>
    <w:rsid w:val="004E5E93"/>
    <w:rsid w:val="004E6448"/>
    <w:rsid w:val="004F0424"/>
    <w:rsid w:val="004F1211"/>
    <w:rsid w:val="004F1FFC"/>
    <w:rsid w:val="004F249B"/>
    <w:rsid w:val="004F2BF4"/>
    <w:rsid w:val="004F31C3"/>
    <w:rsid w:val="004F3E48"/>
    <w:rsid w:val="004F5CDA"/>
    <w:rsid w:val="004F76F3"/>
    <w:rsid w:val="004F7B6D"/>
    <w:rsid w:val="0050186F"/>
    <w:rsid w:val="00501C78"/>
    <w:rsid w:val="00502996"/>
    <w:rsid w:val="00502CA4"/>
    <w:rsid w:val="005033E9"/>
    <w:rsid w:val="00503E5E"/>
    <w:rsid w:val="00505386"/>
    <w:rsid w:val="005064D8"/>
    <w:rsid w:val="00510700"/>
    <w:rsid w:val="00511CE0"/>
    <w:rsid w:val="00511FA3"/>
    <w:rsid w:val="005130E0"/>
    <w:rsid w:val="005131A8"/>
    <w:rsid w:val="005139AC"/>
    <w:rsid w:val="005149A8"/>
    <w:rsid w:val="00514EFF"/>
    <w:rsid w:val="00514FF9"/>
    <w:rsid w:val="00516507"/>
    <w:rsid w:val="00522EDE"/>
    <w:rsid w:val="005242A4"/>
    <w:rsid w:val="005254F1"/>
    <w:rsid w:val="00526039"/>
    <w:rsid w:val="00526FAE"/>
    <w:rsid w:val="00527877"/>
    <w:rsid w:val="00527DFB"/>
    <w:rsid w:val="00530B82"/>
    <w:rsid w:val="00530D81"/>
    <w:rsid w:val="005328B1"/>
    <w:rsid w:val="0053309F"/>
    <w:rsid w:val="00533BD1"/>
    <w:rsid w:val="00534E6C"/>
    <w:rsid w:val="005350E1"/>
    <w:rsid w:val="005353F2"/>
    <w:rsid w:val="005355A5"/>
    <w:rsid w:val="005359D4"/>
    <w:rsid w:val="00536698"/>
    <w:rsid w:val="00540ADE"/>
    <w:rsid w:val="0054190F"/>
    <w:rsid w:val="00547BEF"/>
    <w:rsid w:val="00550763"/>
    <w:rsid w:val="00550FF7"/>
    <w:rsid w:val="0055124A"/>
    <w:rsid w:val="00552253"/>
    <w:rsid w:val="00552921"/>
    <w:rsid w:val="00553C37"/>
    <w:rsid w:val="00553ECC"/>
    <w:rsid w:val="00554EB9"/>
    <w:rsid w:val="00555D34"/>
    <w:rsid w:val="005564D9"/>
    <w:rsid w:val="00556F15"/>
    <w:rsid w:val="005602B3"/>
    <w:rsid w:val="00560E2F"/>
    <w:rsid w:val="00560EBD"/>
    <w:rsid w:val="00563ADA"/>
    <w:rsid w:val="005721E0"/>
    <w:rsid w:val="0057301A"/>
    <w:rsid w:val="00573A2F"/>
    <w:rsid w:val="00574072"/>
    <w:rsid w:val="005765C1"/>
    <w:rsid w:val="005811DA"/>
    <w:rsid w:val="0058170D"/>
    <w:rsid w:val="00582575"/>
    <w:rsid w:val="00582979"/>
    <w:rsid w:val="00582D4B"/>
    <w:rsid w:val="005830DD"/>
    <w:rsid w:val="00584A55"/>
    <w:rsid w:val="00585069"/>
    <w:rsid w:val="00587423"/>
    <w:rsid w:val="005906B1"/>
    <w:rsid w:val="00590860"/>
    <w:rsid w:val="00590906"/>
    <w:rsid w:val="00590E63"/>
    <w:rsid w:val="005932CC"/>
    <w:rsid w:val="0059332C"/>
    <w:rsid w:val="005940AC"/>
    <w:rsid w:val="00594880"/>
    <w:rsid w:val="00595B33"/>
    <w:rsid w:val="005966BA"/>
    <w:rsid w:val="005A02B4"/>
    <w:rsid w:val="005A0A4C"/>
    <w:rsid w:val="005A1694"/>
    <w:rsid w:val="005A2396"/>
    <w:rsid w:val="005A3F02"/>
    <w:rsid w:val="005A422B"/>
    <w:rsid w:val="005A563C"/>
    <w:rsid w:val="005A570B"/>
    <w:rsid w:val="005A5CF3"/>
    <w:rsid w:val="005A5D20"/>
    <w:rsid w:val="005A66AB"/>
    <w:rsid w:val="005A751E"/>
    <w:rsid w:val="005A7DB9"/>
    <w:rsid w:val="005B030B"/>
    <w:rsid w:val="005B0B4B"/>
    <w:rsid w:val="005B1ACE"/>
    <w:rsid w:val="005B1FB5"/>
    <w:rsid w:val="005B2D75"/>
    <w:rsid w:val="005B33C4"/>
    <w:rsid w:val="005B4893"/>
    <w:rsid w:val="005B690F"/>
    <w:rsid w:val="005B75F8"/>
    <w:rsid w:val="005C1CF8"/>
    <w:rsid w:val="005C228A"/>
    <w:rsid w:val="005C2854"/>
    <w:rsid w:val="005C4700"/>
    <w:rsid w:val="005C50AB"/>
    <w:rsid w:val="005C736A"/>
    <w:rsid w:val="005D0428"/>
    <w:rsid w:val="005D0980"/>
    <w:rsid w:val="005D1EE5"/>
    <w:rsid w:val="005D2EDB"/>
    <w:rsid w:val="005D6184"/>
    <w:rsid w:val="005D7E83"/>
    <w:rsid w:val="005E07A4"/>
    <w:rsid w:val="005E5E1F"/>
    <w:rsid w:val="005E5E47"/>
    <w:rsid w:val="005E71EE"/>
    <w:rsid w:val="005E729F"/>
    <w:rsid w:val="005E7320"/>
    <w:rsid w:val="005E7336"/>
    <w:rsid w:val="005E73CC"/>
    <w:rsid w:val="005E7662"/>
    <w:rsid w:val="005E777D"/>
    <w:rsid w:val="005E79B9"/>
    <w:rsid w:val="005E7A1A"/>
    <w:rsid w:val="005E7DEA"/>
    <w:rsid w:val="005F0642"/>
    <w:rsid w:val="005F0EA8"/>
    <w:rsid w:val="005F1C90"/>
    <w:rsid w:val="005F21F2"/>
    <w:rsid w:val="005F32DC"/>
    <w:rsid w:val="005F3904"/>
    <w:rsid w:val="005F4669"/>
    <w:rsid w:val="005F47B2"/>
    <w:rsid w:val="005F4C67"/>
    <w:rsid w:val="006012CC"/>
    <w:rsid w:val="00604092"/>
    <w:rsid w:val="00604EB8"/>
    <w:rsid w:val="00606CB8"/>
    <w:rsid w:val="0060752A"/>
    <w:rsid w:val="00612030"/>
    <w:rsid w:val="00613FE3"/>
    <w:rsid w:val="00613FF1"/>
    <w:rsid w:val="00614708"/>
    <w:rsid w:val="00615A17"/>
    <w:rsid w:val="00617072"/>
    <w:rsid w:val="00617D02"/>
    <w:rsid w:val="0062153F"/>
    <w:rsid w:val="00621F6F"/>
    <w:rsid w:val="0062248D"/>
    <w:rsid w:val="006260F9"/>
    <w:rsid w:val="0062716D"/>
    <w:rsid w:val="00630C69"/>
    <w:rsid w:val="00631CD9"/>
    <w:rsid w:val="00633C9C"/>
    <w:rsid w:val="00633DE4"/>
    <w:rsid w:val="00634A4C"/>
    <w:rsid w:val="00634A50"/>
    <w:rsid w:val="006378CF"/>
    <w:rsid w:val="00640D6C"/>
    <w:rsid w:val="00642207"/>
    <w:rsid w:val="00642549"/>
    <w:rsid w:val="00642A1F"/>
    <w:rsid w:val="006431FC"/>
    <w:rsid w:val="006446A1"/>
    <w:rsid w:val="00644EF1"/>
    <w:rsid w:val="00646AB4"/>
    <w:rsid w:val="006478B2"/>
    <w:rsid w:val="00652832"/>
    <w:rsid w:val="00653556"/>
    <w:rsid w:val="006536C4"/>
    <w:rsid w:val="00654808"/>
    <w:rsid w:val="00654AB7"/>
    <w:rsid w:val="00654E14"/>
    <w:rsid w:val="006551B4"/>
    <w:rsid w:val="00655F4B"/>
    <w:rsid w:val="0066031A"/>
    <w:rsid w:val="00660BDB"/>
    <w:rsid w:val="00661538"/>
    <w:rsid w:val="00663215"/>
    <w:rsid w:val="0066436F"/>
    <w:rsid w:val="00665E86"/>
    <w:rsid w:val="00666BB0"/>
    <w:rsid w:val="006701B7"/>
    <w:rsid w:val="006703AA"/>
    <w:rsid w:val="006714A2"/>
    <w:rsid w:val="00671D5F"/>
    <w:rsid w:val="00673F56"/>
    <w:rsid w:val="0067615E"/>
    <w:rsid w:val="00676F76"/>
    <w:rsid w:val="006771F4"/>
    <w:rsid w:val="00677512"/>
    <w:rsid w:val="00677CAD"/>
    <w:rsid w:val="00677DAC"/>
    <w:rsid w:val="00682B64"/>
    <w:rsid w:val="006841F6"/>
    <w:rsid w:val="00684A4B"/>
    <w:rsid w:val="00684D4C"/>
    <w:rsid w:val="0068528C"/>
    <w:rsid w:val="00685B60"/>
    <w:rsid w:val="00687F55"/>
    <w:rsid w:val="006917FD"/>
    <w:rsid w:val="0069201E"/>
    <w:rsid w:val="00693232"/>
    <w:rsid w:val="006932E2"/>
    <w:rsid w:val="00693443"/>
    <w:rsid w:val="0069345C"/>
    <w:rsid w:val="00693680"/>
    <w:rsid w:val="006947AF"/>
    <w:rsid w:val="006952E5"/>
    <w:rsid w:val="00696FF3"/>
    <w:rsid w:val="006970AC"/>
    <w:rsid w:val="00697340"/>
    <w:rsid w:val="006974FE"/>
    <w:rsid w:val="006A00A9"/>
    <w:rsid w:val="006A2347"/>
    <w:rsid w:val="006A3471"/>
    <w:rsid w:val="006A3C06"/>
    <w:rsid w:val="006A4776"/>
    <w:rsid w:val="006B0659"/>
    <w:rsid w:val="006B1750"/>
    <w:rsid w:val="006B2644"/>
    <w:rsid w:val="006B2EBC"/>
    <w:rsid w:val="006B2F7C"/>
    <w:rsid w:val="006B590E"/>
    <w:rsid w:val="006B595C"/>
    <w:rsid w:val="006B5E63"/>
    <w:rsid w:val="006B7D3A"/>
    <w:rsid w:val="006C1F62"/>
    <w:rsid w:val="006C22D2"/>
    <w:rsid w:val="006C2E07"/>
    <w:rsid w:val="006C39F3"/>
    <w:rsid w:val="006C466C"/>
    <w:rsid w:val="006C486B"/>
    <w:rsid w:val="006C4F8F"/>
    <w:rsid w:val="006C6540"/>
    <w:rsid w:val="006D034B"/>
    <w:rsid w:val="006D03BC"/>
    <w:rsid w:val="006D173D"/>
    <w:rsid w:val="006D1887"/>
    <w:rsid w:val="006D1B04"/>
    <w:rsid w:val="006D4DE4"/>
    <w:rsid w:val="006E23A2"/>
    <w:rsid w:val="006E3064"/>
    <w:rsid w:val="006E323C"/>
    <w:rsid w:val="006E67B4"/>
    <w:rsid w:val="006E741A"/>
    <w:rsid w:val="006E78E1"/>
    <w:rsid w:val="006E7E8E"/>
    <w:rsid w:val="006F0233"/>
    <w:rsid w:val="006F0530"/>
    <w:rsid w:val="006F09D0"/>
    <w:rsid w:val="006F1685"/>
    <w:rsid w:val="006F405D"/>
    <w:rsid w:val="006F5D58"/>
    <w:rsid w:val="006F70B2"/>
    <w:rsid w:val="006F72A0"/>
    <w:rsid w:val="00702981"/>
    <w:rsid w:val="00703877"/>
    <w:rsid w:val="00703BB0"/>
    <w:rsid w:val="00704FD9"/>
    <w:rsid w:val="007051A0"/>
    <w:rsid w:val="007057A4"/>
    <w:rsid w:val="007068CF"/>
    <w:rsid w:val="00710C56"/>
    <w:rsid w:val="007111B0"/>
    <w:rsid w:val="007112C3"/>
    <w:rsid w:val="00711336"/>
    <w:rsid w:val="00711951"/>
    <w:rsid w:val="00711FA8"/>
    <w:rsid w:val="0071257D"/>
    <w:rsid w:val="00712630"/>
    <w:rsid w:val="0071310D"/>
    <w:rsid w:val="007160AD"/>
    <w:rsid w:val="007161AB"/>
    <w:rsid w:val="00722B0A"/>
    <w:rsid w:val="007244B2"/>
    <w:rsid w:val="007250A5"/>
    <w:rsid w:val="00725120"/>
    <w:rsid w:val="007265B3"/>
    <w:rsid w:val="00730A07"/>
    <w:rsid w:val="00731AAE"/>
    <w:rsid w:val="0073223D"/>
    <w:rsid w:val="007329C4"/>
    <w:rsid w:val="00732B44"/>
    <w:rsid w:val="00733430"/>
    <w:rsid w:val="007341E2"/>
    <w:rsid w:val="007356F7"/>
    <w:rsid w:val="00735A06"/>
    <w:rsid w:val="00736AED"/>
    <w:rsid w:val="0074025A"/>
    <w:rsid w:val="00740AEB"/>
    <w:rsid w:val="00740F8A"/>
    <w:rsid w:val="00741502"/>
    <w:rsid w:val="00742279"/>
    <w:rsid w:val="00742333"/>
    <w:rsid w:val="00743382"/>
    <w:rsid w:val="00744B71"/>
    <w:rsid w:val="00744F2D"/>
    <w:rsid w:val="00745196"/>
    <w:rsid w:val="007461C4"/>
    <w:rsid w:val="00746A26"/>
    <w:rsid w:val="007475EC"/>
    <w:rsid w:val="00751A55"/>
    <w:rsid w:val="00753D0B"/>
    <w:rsid w:val="00753E01"/>
    <w:rsid w:val="00755234"/>
    <w:rsid w:val="0076081E"/>
    <w:rsid w:val="00761979"/>
    <w:rsid w:val="007620B7"/>
    <w:rsid w:val="007628B4"/>
    <w:rsid w:val="00762EAF"/>
    <w:rsid w:val="00763ECF"/>
    <w:rsid w:val="0076463F"/>
    <w:rsid w:val="00764DBF"/>
    <w:rsid w:val="0076638A"/>
    <w:rsid w:val="0076660B"/>
    <w:rsid w:val="00770867"/>
    <w:rsid w:val="00770C78"/>
    <w:rsid w:val="00770CFA"/>
    <w:rsid w:val="00770E63"/>
    <w:rsid w:val="00771EEA"/>
    <w:rsid w:val="00772F67"/>
    <w:rsid w:val="00773D44"/>
    <w:rsid w:val="007741FC"/>
    <w:rsid w:val="00774825"/>
    <w:rsid w:val="0077508C"/>
    <w:rsid w:val="00775D6A"/>
    <w:rsid w:val="00776558"/>
    <w:rsid w:val="00776635"/>
    <w:rsid w:val="00783CD4"/>
    <w:rsid w:val="007845E9"/>
    <w:rsid w:val="00784658"/>
    <w:rsid w:val="00786AFC"/>
    <w:rsid w:val="007876BD"/>
    <w:rsid w:val="00790A45"/>
    <w:rsid w:val="00791F8D"/>
    <w:rsid w:val="007924C2"/>
    <w:rsid w:val="007934CB"/>
    <w:rsid w:val="007939CC"/>
    <w:rsid w:val="00793F4C"/>
    <w:rsid w:val="00794065"/>
    <w:rsid w:val="00795830"/>
    <w:rsid w:val="00796565"/>
    <w:rsid w:val="00796E32"/>
    <w:rsid w:val="007A0D18"/>
    <w:rsid w:val="007A2AC2"/>
    <w:rsid w:val="007A3584"/>
    <w:rsid w:val="007A488F"/>
    <w:rsid w:val="007A4BC8"/>
    <w:rsid w:val="007A7EDB"/>
    <w:rsid w:val="007B0903"/>
    <w:rsid w:val="007B0BCC"/>
    <w:rsid w:val="007C075F"/>
    <w:rsid w:val="007C193B"/>
    <w:rsid w:val="007C5479"/>
    <w:rsid w:val="007C5875"/>
    <w:rsid w:val="007C5AF0"/>
    <w:rsid w:val="007C64A9"/>
    <w:rsid w:val="007C67BB"/>
    <w:rsid w:val="007C7C2C"/>
    <w:rsid w:val="007D2041"/>
    <w:rsid w:val="007D3363"/>
    <w:rsid w:val="007D38BD"/>
    <w:rsid w:val="007D4029"/>
    <w:rsid w:val="007D471A"/>
    <w:rsid w:val="007D58CF"/>
    <w:rsid w:val="007D72A6"/>
    <w:rsid w:val="007D7814"/>
    <w:rsid w:val="007E1029"/>
    <w:rsid w:val="007E1A1A"/>
    <w:rsid w:val="007E2607"/>
    <w:rsid w:val="007E2A97"/>
    <w:rsid w:val="007E39F7"/>
    <w:rsid w:val="007E55E1"/>
    <w:rsid w:val="007E565C"/>
    <w:rsid w:val="007E5A60"/>
    <w:rsid w:val="007E647E"/>
    <w:rsid w:val="007F051D"/>
    <w:rsid w:val="007F0F47"/>
    <w:rsid w:val="007F18C8"/>
    <w:rsid w:val="007F19AA"/>
    <w:rsid w:val="007F22A2"/>
    <w:rsid w:val="007F2DFE"/>
    <w:rsid w:val="007F31EE"/>
    <w:rsid w:val="007F4C80"/>
    <w:rsid w:val="007F751D"/>
    <w:rsid w:val="007F7FBA"/>
    <w:rsid w:val="008000A3"/>
    <w:rsid w:val="008011C5"/>
    <w:rsid w:val="008048A3"/>
    <w:rsid w:val="00805A03"/>
    <w:rsid w:val="008077B6"/>
    <w:rsid w:val="00807DCF"/>
    <w:rsid w:val="00810A85"/>
    <w:rsid w:val="00810DAB"/>
    <w:rsid w:val="008126C6"/>
    <w:rsid w:val="00814833"/>
    <w:rsid w:val="00814A2C"/>
    <w:rsid w:val="0081545E"/>
    <w:rsid w:val="0081785D"/>
    <w:rsid w:val="008230B3"/>
    <w:rsid w:val="008232CB"/>
    <w:rsid w:val="00823733"/>
    <w:rsid w:val="0082460E"/>
    <w:rsid w:val="008248FA"/>
    <w:rsid w:val="008258D8"/>
    <w:rsid w:val="008273DD"/>
    <w:rsid w:val="00827E1E"/>
    <w:rsid w:val="008311E4"/>
    <w:rsid w:val="0083230C"/>
    <w:rsid w:val="008331FC"/>
    <w:rsid w:val="008338B2"/>
    <w:rsid w:val="00833E8E"/>
    <w:rsid w:val="00834433"/>
    <w:rsid w:val="00834718"/>
    <w:rsid w:val="00834FCD"/>
    <w:rsid w:val="0083514D"/>
    <w:rsid w:val="00837A74"/>
    <w:rsid w:val="00840A0A"/>
    <w:rsid w:val="00840AFC"/>
    <w:rsid w:val="00840EFC"/>
    <w:rsid w:val="00841AE6"/>
    <w:rsid w:val="00841D85"/>
    <w:rsid w:val="0084431C"/>
    <w:rsid w:val="00845137"/>
    <w:rsid w:val="008469A4"/>
    <w:rsid w:val="00846A7B"/>
    <w:rsid w:val="00851025"/>
    <w:rsid w:val="0085212E"/>
    <w:rsid w:val="00852343"/>
    <w:rsid w:val="008528EB"/>
    <w:rsid w:val="00853652"/>
    <w:rsid w:val="008537BF"/>
    <w:rsid w:val="008537C7"/>
    <w:rsid w:val="008545EE"/>
    <w:rsid w:val="008545EF"/>
    <w:rsid w:val="00855145"/>
    <w:rsid w:val="008565FC"/>
    <w:rsid w:val="008575D1"/>
    <w:rsid w:val="0086122C"/>
    <w:rsid w:val="00861390"/>
    <w:rsid w:val="008619D1"/>
    <w:rsid w:val="00863A07"/>
    <w:rsid w:val="00863A10"/>
    <w:rsid w:val="00864BF7"/>
    <w:rsid w:val="00865D18"/>
    <w:rsid w:val="00866438"/>
    <w:rsid w:val="00870D8B"/>
    <w:rsid w:val="00871C33"/>
    <w:rsid w:val="00871DB9"/>
    <w:rsid w:val="00873266"/>
    <w:rsid w:val="00873F35"/>
    <w:rsid w:val="008748B6"/>
    <w:rsid w:val="0087513B"/>
    <w:rsid w:val="00876F8A"/>
    <w:rsid w:val="00880C90"/>
    <w:rsid w:val="008815D0"/>
    <w:rsid w:val="00882248"/>
    <w:rsid w:val="00882C4B"/>
    <w:rsid w:val="008839D9"/>
    <w:rsid w:val="00883E30"/>
    <w:rsid w:val="00885760"/>
    <w:rsid w:val="00890552"/>
    <w:rsid w:val="008912A6"/>
    <w:rsid w:val="0089187E"/>
    <w:rsid w:val="008929A0"/>
    <w:rsid w:val="00893C49"/>
    <w:rsid w:val="00894017"/>
    <w:rsid w:val="00895157"/>
    <w:rsid w:val="00897059"/>
    <w:rsid w:val="008A01B7"/>
    <w:rsid w:val="008A0D43"/>
    <w:rsid w:val="008A3A86"/>
    <w:rsid w:val="008A4112"/>
    <w:rsid w:val="008A4190"/>
    <w:rsid w:val="008A494B"/>
    <w:rsid w:val="008A4DE1"/>
    <w:rsid w:val="008A51DF"/>
    <w:rsid w:val="008A6BAF"/>
    <w:rsid w:val="008A72E2"/>
    <w:rsid w:val="008A7B89"/>
    <w:rsid w:val="008B086D"/>
    <w:rsid w:val="008B0A19"/>
    <w:rsid w:val="008B119F"/>
    <w:rsid w:val="008B2BAD"/>
    <w:rsid w:val="008B392E"/>
    <w:rsid w:val="008B4215"/>
    <w:rsid w:val="008B47E3"/>
    <w:rsid w:val="008B4C6D"/>
    <w:rsid w:val="008B6ECE"/>
    <w:rsid w:val="008B74C3"/>
    <w:rsid w:val="008C0EFF"/>
    <w:rsid w:val="008C0F72"/>
    <w:rsid w:val="008C1E6C"/>
    <w:rsid w:val="008C3779"/>
    <w:rsid w:val="008C5473"/>
    <w:rsid w:val="008C699A"/>
    <w:rsid w:val="008D0C50"/>
    <w:rsid w:val="008D1564"/>
    <w:rsid w:val="008D1AC5"/>
    <w:rsid w:val="008D1FC6"/>
    <w:rsid w:val="008D21A5"/>
    <w:rsid w:val="008D4979"/>
    <w:rsid w:val="008D5640"/>
    <w:rsid w:val="008E1EB4"/>
    <w:rsid w:val="008E2ED7"/>
    <w:rsid w:val="008E3688"/>
    <w:rsid w:val="008E458A"/>
    <w:rsid w:val="008E56EB"/>
    <w:rsid w:val="008E6417"/>
    <w:rsid w:val="008F00EC"/>
    <w:rsid w:val="008F0D08"/>
    <w:rsid w:val="008F5A2B"/>
    <w:rsid w:val="008F5D05"/>
    <w:rsid w:val="008F7310"/>
    <w:rsid w:val="00900450"/>
    <w:rsid w:val="00901207"/>
    <w:rsid w:val="00901F5B"/>
    <w:rsid w:val="00903B6B"/>
    <w:rsid w:val="00907913"/>
    <w:rsid w:val="009116E8"/>
    <w:rsid w:val="009133D2"/>
    <w:rsid w:val="009140F2"/>
    <w:rsid w:val="0091437E"/>
    <w:rsid w:val="00915831"/>
    <w:rsid w:val="00915E4A"/>
    <w:rsid w:val="009161FD"/>
    <w:rsid w:val="00916473"/>
    <w:rsid w:val="00916F1D"/>
    <w:rsid w:val="00916F31"/>
    <w:rsid w:val="0092089C"/>
    <w:rsid w:val="009238CA"/>
    <w:rsid w:val="00924F3F"/>
    <w:rsid w:val="009254BF"/>
    <w:rsid w:val="0092579D"/>
    <w:rsid w:val="00925C68"/>
    <w:rsid w:val="0093132F"/>
    <w:rsid w:val="009318E5"/>
    <w:rsid w:val="00932F57"/>
    <w:rsid w:val="009332C9"/>
    <w:rsid w:val="00933709"/>
    <w:rsid w:val="00934C9C"/>
    <w:rsid w:val="00934D21"/>
    <w:rsid w:val="0093567D"/>
    <w:rsid w:val="009357A4"/>
    <w:rsid w:val="00936FA4"/>
    <w:rsid w:val="009370C3"/>
    <w:rsid w:val="00937460"/>
    <w:rsid w:val="0094095D"/>
    <w:rsid w:val="00940D08"/>
    <w:rsid w:val="00941530"/>
    <w:rsid w:val="00942BC2"/>
    <w:rsid w:val="00942ED6"/>
    <w:rsid w:val="00943730"/>
    <w:rsid w:val="00943756"/>
    <w:rsid w:val="009438D6"/>
    <w:rsid w:val="00945E4E"/>
    <w:rsid w:val="00946150"/>
    <w:rsid w:val="00947C4B"/>
    <w:rsid w:val="00954C81"/>
    <w:rsid w:val="00956DE5"/>
    <w:rsid w:val="00957440"/>
    <w:rsid w:val="00957CC9"/>
    <w:rsid w:val="009602F1"/>
    <w:rsid w:val="00960B15"/>
    <w:rsid w:val="0096260C"/>
    <w:rsid w:val="009627F4"/>
    <w:rsid w:val="00964A1A"/>
    <w:rsid w:val="00965EFE"/>
    <w:rsid w:val="00966839"/>
    <w:rsid w:val="00966B73"/>
    <w:rsid w:val="00966E9D"/>
    <w:rsid w:val="00970D2B"/>
    <w:rsid w:val="009725F5"/>
    <w:rsid w:val="00972ECC"/>
    <w:rsid w:val="00973331"/>
    <w:rsid w:val="009745F2"/>
    <w:rsid w:val="009746CD"/>
    <w:rsid w:val="009753D7"/>
    <w:rsid w:val="00976292"/>
    <w:rsid w:val="0098009A"/>
    <w:rsid w:val="00980706"/>
    <w:rsid w:val="00981F41"/>
    <w:rsid w:val="0098272A"/>
    <w:rsid w:val="009837A5"/>
    <w:rsid w:val="00983F33"/>
    <w:rsid w:val="0098615C"/>
    <w:rsid w:val="00987F2E"/>
    <w:rsid w:val="009907B8"/>
    <w:rsid w:val="00992603"/>
    <w:rsid w:val="00993773"/>
    <w:rsid w:val="00993E58"/>
    <w:rsid w:val="00994373"/>
    <w:rsid w:val="0099773A"/>
    <w:rsid w:val="009A1B1E"/>
    <w:rsid w:val="009A297C"/>
    <w:rsid w:val="009A4C5F"/>
    <w:rsid w:val="009A537B"/>
    <w:rsid w:val="009A54FF"/>
    <w:rsid w:val="009A7938"/>
    <w:rsid w:val="009B0681"/>
    <w:rsid w:val="009B5A60"/>
    <w:rsid w:val="009B75DD"/>
    <w:rsid w:val="009C0C05"/>
    <w:rsid w:val="009C16FD"/>
    <w:rsid w:val="009C53B3"/>
    <w:rsid w:val="009C6DB9"/>
    <w:rsid w:val="009C7909"/>
    <w:rsid w:val="009D0461"/>
    <w:rsid w:val="009D0BCD"/>
    <w:rsid w:val="009D0E78"/>
    <w:rsid w:val="009D2635"/>
    <w:rsid w:val="009D41F2"/>
    <w:rsid w:val="009D696E"/>
    <w:rsid w:val="009D7C5D"/>
    <w:rsid w:val="009E1076"/>
    <w:rsid w:val="009E19C0"/>
    <w:rsid w:val="009E1B44"/>
    <w:rsid w:val="009E2CE9"/>
    <w:rsid w:val="009E49E9"/>
    <w:rsid w:val="009E70B6"/>
    <w:rsid w:val="009F064D"/>
    <w:rsid w:val="009F09C3"/>
    <w:rsid w:val="009F145F"/>
    <w:rsid w:val="009F1509"/>
    <w:rsid w:val="009F2A0D"/>
    <w:rsid w:val="009F3204"/>
    <w:rsid w:val="009F3C49"/>
    <w:rsid w:val="009F53B6"/>
    <w:rsid w:val="009F6186"/>
    <w:rsid w:val="009F62D6"/>
    <w:rsid w:val="009F75F9"/>
    <w:rsid w:val="00A00CA3"/>
    <w:rsid w:val="00A0143C"/>
    <w:rsid w:val="00A023E2"/>
    <w:rsid w:val="00A025E2"/>
    <w:rsid w:val="00A03679"/>
    <w:rsid w:val="00A07639"/>
    <w:rsid w:val="00A07D9A"/>
    <w:rsid w:val="00A109CA"/>
    <w:rsid w:val="00A13B01"/>
    <w:rsid w:val="00A1498E"/>
    <w:rsid w:val="00A14A5E"/>
    <w:rsid w:val="00A166F5"/>
    <w:rsid w:val="00A210CB"/>
    <w:rsid w:val="00A2158F"/>
    <w:rsid w:val="00A22E4D"/>
    <w:rsid w:val="00A25448"/>
    <w:rsid w:val="00A25802"/>
    <w:rsid w:val="00A26546"/>
    <w:rsid w:val="00A26C36"/>
    <w:rsid w:val="00A26FA1"/>
    <w:rsid w:val="00A27113"/>
    <w:rsid w:val="00A301F8"/>
    <w:rsid w:val="00A307E9"/>
    <w:rsid w:val="00A3228A"/>
    <w:rsid w:val="00A3471E"/>
    <w:rsid w:val="00A36D72"/>
    <w:rsid w:val="00A37314"/>
    <w:rsid w:val="00A41BEF"/>
    <w:rsid w:val="00A449A1"/>
    <w:rsid w:val="00A5031B"/>
    <w:rsid w:val="00A51620"/>
    <w:rsid w:val="00A51733"/>
    <w:rsid w:val="00A54CF5"/>
    <w:rsid w:val="00A5505E"/>
    <w:rsid w:val="00A56A8D"/>
    <w:rsid w:val="00A56EA2"/>
    <w:rsid w:val="00A5788C"/>
    <w:rsid w:val="00A57F95"/>
    <w:rsid w:val="00A62023"/>
    <w:rsid w:val="00A6334A"/>
    <w:rsid w:val="00A640BC"/>
    <w:rsid w:val="00A64713"/>
    <w:rsid w:val="00A66421"/>
    <w:rsid w:val="00A7018F"/>
    <w:rsid w:val="00A7238A"/>
    <w:rsid w:val="00A72DA5"/>
    <w:rsid w:val="00A7386A"/>
    <w:rsid w:val="00A73CEF"/>
    <w:rsid w:val="00A74E24"/>
    <w:rsid w:val="00A75CC3"/>
    <w:rsid w:val="00A775B3"/>
    <w:rsid w:val="00A80684"/>
    <w:rsid w:val="00A80D60"/>
    <w:rsid w:val="00A815E4"/>
    <w:rsid w:val="00A82DAE"/>
    <w:rsid w:val="00A8525A"/>
    <w:rsid w:val="00A879C0"/>
    <w:rsid w:val="00A915A0"/>
    <w:rsid w:val="00A94D4C"/>
    <w:rsid w:val="00A964A3"/>
    <w:rsid w:val="00AA09D2"/>
    <w:rsid w:val="00AA101B"/>
    <w:rsid w:val="00AA3D3D"/>
    <w:rsid w:val="00AA56E2"/>
    <w:rsid w:val="00AA61AE"/>
    <w:rsid w:val="00AA7716"/>
    <w:rsid w:val="00AA79D1"/>
    <w:rsid w:val="00AB0017"/>
    <w:rsid w:val="00AB0816"/>
    <w:rsid w:val="00AB0FB4"/>
    <w:rsid w:val="00AB10B1"/>
    <w:rsid w:val="00AB1976"/>
    <w:rsid w:val="00AB1D18"/>
    <w:rsid w:val="00AB1EF4"/>
    <w:rsid w:val="00AB2477"/>
    <w:rsid w:val="00AB27DF"/>
    <w:rsid w:val="00AB4033"/>
    <w:rsid w:val="00AB5D3B"/>
    <w:rsid w:val="00AB7CDE"/>
    <w:rsid w:val="00AB7E87"/>
    <w:rsid w:val="00AC13E7"/>
    <w:rsid w:val="00AC186D"/>
    <w:rsid w:val="00AC4C8E"/>
    <w:rsid w:val="00AC59E1"/>
    <w:rsid w:val="00AD03AF"/>
    <w:rsid w:val="00AD1644"/>
    <w:rsid w:val="00AE08FE"/>
    <w:rsid w:val="00AE1457"/>
    <w:rsid w:val="00AE2506"/>
    <w:rsid w:val="00AE2FC8"/>
    <w:rsid w:val="00AE375A"/>
    <w:rsid w:val="00AE3A6B"/>
    <w:rsid w:val="00AE3AC8"/>
    <w:rsid w:val="00AE3AF9"/>
    <w:rsid w:val="00AE61CD"/>
    <w:rsid w:val="00AE65C7"/>
    <w:rsid w:val="00AE6E6B"/>
    <w:rsid w:val="00AE720C"/>
    <w:rsid w:val="00AE765B"/>
    <w:rsid w:val="00AE7C9D"/>
    <w:rsid w:val="00AF0FD8"/>
    <w:rsid w:val="00AF185E"/>
    <w:rsid w:val="00AF2225"/>
    <w:rsid w:val="00AF3AB3"/>
    <w:rsid w:val="00AF3E89"/>
    <w:rsid w:val="00AF40F2"/>
    <w:rsid w:val="00AF4D86"/>
    <w:rsid w:val="00AF5353"/>
    <w:rsid w:val="00AF6354"/>
    <w:rsid w:val="00AF7B18"/>
    <w:rsid w:val="00B01361"/>
    <w:rsid w:val="00B02AA6"/>
    <w:rsid w:val="00B03D26"/>
    <w:rsid w:val="00B047E2"/>
    <w:rsid w:val="00B04AE3"/>
    <w:rsid w:val="00B04C97"/>
    <w:rsid w:val="00B05927"/>
    <w:rsid w:val="00B05FAA"/>
    <w:rsid w:val="00B068A3"/>
    <w:rsid w:val="00B0710E"/>
    <w:rsid w:val="00B07D1C"/>
    <w:rsid w:val="00B07DFA"/>
    <w:rsid w:val="00B12C4D"/>
    <w:rsid w:val="00B138B1"/>
    <w:rsid w:val="00B139C9"/>
    <w:rsid w:val="00B13BC1"/>
    <w:rsid w:val="00B163EB"/>
    <w:rsid w:val="00B208F4"/>
    <w:rsid w:val="00B2135B"/>
    <w:rsid w:val="00B23214"/>
    <w:rsid w:val="00B23E7B"/>
    <w:rsid w:val="00B25908"/>
    <w:rsid w:val="00B2783E"/>
    <w:rsid w:val="00B27C4C"/>
    <w:rsid w:val="00B30C98"/>
    <w:rsid w:val="00B31234"/>
    <w:rsid w:val="00B3155B"/>
    <w:rsid w:val="00B33645"/>
    <w:rsid w:val="00B3439B"/>
    <w:rsid w:val="00B34EAE"/>
    <w:rsid w:val="00B359AA"/>
    <w:rsid w:val="00B36AED"/>
    <w:rsid w:val="00B41A39"/>
    <w:rsid w:val="00B43E32"/>
    <w:rsid w:val="00B451BD"/>
    <w:rsid w:val="00B45B5E"/>
    <w:rsid w:val="00B46110"/>
    <w:rsid w:val="00B50E2E"/>
    <w:rsid w:val="00B52018"/>
    <w:rsid w:val="00B53031"/>
    <w:rsid w:val="00B53C8C"/>
    <w:rsid w:val="00B5551D"/>
    <w:rsid w:val="00B5555A"/>
    <w:rsid w:val="00B55715"/>
    <w:rsid w:val="00B55B9F"/>
    <w:rsid w:val="00B56469"/>
    <w:rsid w:val="00B606B3"/>
    <w:rsid w:val="00B60D57"/>
    <w:rsid w:val="00B619E0"/>
    <w:rsid w:val="00B62B8C"/>
    <w:rsid w:val="00B62E04"/>
    <w:rsid w:val="00B63473"/>
    <w:rsid w:val="00B659C1"/>
    <w:rsid w:val="00B66430"/>
    <w:rsid w:val="00B66960"/>
    <w:rsid w:val="00B670F0"/>
    <w:rsid w:val="00B70196"/>
    <w:rsid w:val="00B70909"/>
    <w:rsid w:val="00B70E20"/>
    <w:rsid w:val="00B70FB7"/>
    <w:rsid w:val="00B718E9"/>
    <w:rsid w:val="00B718FF"/>
    <w:rsid w:val="00B73410"/>
    <w:rsid w:val="00B738B1"/>
    <w:rsid w:val="00B73A6C"/>
    <w:rsid w:val="00B7473B"/>
    <w:rsid w:val="00B74EF8"/>
    <w:rsid w:val="00B75937"/>
    <w:rsid w:val="00B75C2C"/>
    <w:rsid w:val="00B76197"/>
    <w:rsid w:val="00B76855"/>
    <w:rsid w:val="00B76CBE"/>
    <w:rsid w:val="00B813AC"/>
    <w:rsid w:val="00B81BD6"/>
    <w:rsid w:val="00B81DAF"/>
    <w:rsid w:val="00B849D8"/>
    <w:rsid w:val="00B849F0"/>
    <w:rsid w:val="00B84DCE"/>
    <w:rsid w:val="00B855B4"/>
    <w:rsid w:val="00B860B0"/>
    <w:rsid w:val="00B862F9"/>
    <w:rsid w:val="00B87C29"/>
    <w:rsid w:val="00B87F40"/>
    <w:rsid w:val="00B907BF"/>
    <w:rsid w:val="00B91B84"/>
    <w:rsid w:val="00B93BB4"/>
    <w:rsid w:val="00B93BD9"/>
    <w:rsid w:val="00B9437E"/>
    <w:rsid w:val="00B948AE"/>
    <w:rsid w:val="00B94CF1"/>
    <w:rsid w:val="00B9575B"/>
    <w:rsid w:val="00B96080"/>
    <w:rsid w:val="00B96258"/>
    <w:rsid w:val="00B97D3F"/>
    <w:rsid w:val="00BA08CD"/>
    <w:rsid w:val="00BA0B1C"/>
    <w:rsid w:val="00BA2020"/>
    <w:rsid w:val="00BA3953"/>
    <w:rsid w:val="00BA4C1F"/>
    <w:rsid w:val="00BA4CB3"/>
    <w:rsid w:val="00BA743A"/>
    <w:rsid w:val="00BA7AC9"/>
    <w:rsid w:val="00BB19C4"/>
    <w:rsid w:val="00BB28D2"/>
    <w:rsid w:val="00BB291E"/>
    <w:rsid w:val="00BB34A4"/>
    <w:rsid w:val="00BB66BE"/>
    <w:rsid w:val="00BB6BA8"/>
    <w:rsid w:val="00BB6D98"/>
    <w:rsid w:val="00BB7B32"/>
    <w:rsid w:val="00BC0D77"/>
    <w:rsid w:val="00BC2D93"/>
    <w:rsid w:val="00BC35E5"/>
    <w:rsid w:val="00BC35EF"/>
    <w:rsid w:val="00BC372E"/>
    <w:rsid w:val="00BC3CB5"/>
    <w:rsid w:val="00BC3D07"/>
    <w:rsid w:val="00BC47E7"/>
    <w:rsid w:val="00BC54E2"/>
    <w:rsid w:val="00BC6BA7"/>
    <w:rsid w:val="00BD05CF"/>
    <w:rsid w:val="00BD2341"/>
    <w:rsid w:val="00BD275A"/>
    <w:rsid w:val="00BD33A9"/>
    <w:rsid w:val="00BD4120"/>
    <w:rsid w:val="00BD5A38"/>
    <w:rsid w:val="00BD5D26"/>
    <w:rsid w:val="00BD6C50"/>
    <w:rsid w:val="00BE0AC1"/>
    <w:rsid w:val="00BE0F89"/>
    <w:rsid w:val="00BE1081"/>
    <w:rsid w:val="00BE1F84"/>
    <w:rsid w:val="00BE42C5"/>
    <w:rsid w:val="00BE4DD8"/>
    <w:rsid w:val="00BE6E43"/>
    <w:rsid w:val="00BE76F9"/>
    <w:rsid w:val="00BF0385"/>
    <w:rsid w:val="00BF1640"/>
    <w:rsid w:val="00BF591D"/>
    <w:rsid w:val="00BF7C7E"/>
    <w:rsid w:val="00C004D8"/>
    <w:rsid w:val="00C008CE"/>
    <w:rsid w:val="00C02C7E"/>
    <w:rsid w:val="00C04188"/>
    <w:rsid w:val="00C04800"/>
    <w:rsid w:val="00C05245"/>
    <w:rsid w:val="00C10EB0"/>
    <w:rsid w:val="00C116FF"/>
    <w:rsid w:val="00C119E2"/>
    <w:rsid w:val="00C12053"/>
    <w:rsid w:val="00C12107"/>
    <w:rsid w:val="00C122EE"/>
    <w:rsid w:val="00C126B8"/>
    <w:rsid w:val="00C12A54"/>
    <w:rsid w:val="00C14166"/>
    <w:rsid w:val="00C14F11"/>
    <w:rsid w:val="00C1503B"/>
    <w:rsid w:val="00C158EA"/>
    <w:rsid w:val="00C15AA1"/>
    <w:rsid w:val="00C15B59"/>
    <w:rsid w:val="00C15F86"/>
    <w:rsid w:val="00C169D0"/>
    <w:rsid w:val="00C16A07"/>
    <w:rsid w:val="00C17E5E"/>
    <w:rsid w:val="00C20418"/>
    <w:rsid w:val="00C215E2"/>
    <w:rsid w:val="00C21FD4"/>
    <w:rsid w:val="00C22384"/>
    <w:rsid w:val="00C23942"/>
    <w:rsid w:val="00C23E3E"/>
    <w:rsid w:val="00C24372"/>
    <w:rsid w:val="00C26240"/>
    <w:rsid w:val="00C27895"/>
    <w:rsid w:val="00C32149"/>
    <w:rsid w:val="00C34F63"/>
    <w:rsid w:val="00C41167"/>
    <w:rsid w:val="00C4121D"/>
    <w:rsid w:val="00C413F2"/>
    <w:rsid w:val="00C41F04"/>
    <w:rsid w:val="00C42032"/>
    <w:rsid w:val="00C42D9F"/>
    <w:rsid w:val="00C42E55"/>
    <w:rsid w:val="00C42E77"/>
    <w:rsid w:val="00C43051"/>
    <w:rsid w:val="00C466A1"/>
    <w:rsid w:val="00C46BC8"/>
    <w:rsid w:val="00C509E4"/>
    <w:rsid w:val="00C515E7"/>
    <w:rsid w:val="00C51E02"/>
    <w:rsid w:val="00C527AD"/>
    <w:rsid w:val="00C52976"/>
    <w:rsid w:val="00C52DE7"/>
    <w:rsid w:val="00C53232"/>
    <w:rsid w:val="00C5384A"/>
    <w:rsid w:val="00C545E9"/>
    <w:rsid w:val="00C548A8"/>
    <w:rsid w:val="00C562BB"/>
    <w:rsid w:val="00C56E7E"/>
    <w:rsid w:val="00C60B45"/>
    <w:rsid w:val="00C6285B"/>
    <w:rsid w:val="00C63BB4"/>
    <w:rsid w:val="00C655BE"/>
    <w:rsid w:val="00C65617"/>
    <w:rsid w:val="00C65BED"/>
    <w:rsid w:val="00C70E65"/>
    <w:rsid w:val="00C73A2F"/>
    <w:rsid w:val="00C7430C"/>
    <w:rsid w:val="00C74828"/>
    <w:rsid w:val="00C74A5E"/>
    <w:rsid w:val="00C7570A"/>
    <w:rsid w:val="00C7625D"/>
    <w:rsid w:val="00C76D7E"/>
    <w:rsid w:val="00C807C0"/>
    <w:rsid w:val="00C819B2"/>
    <w:rsid w:val="00C83B53"/>
    <w:rsid w:val="00C84E28"/>
    <w:rsid w:val="00C85646"/>
    <w:rsid w:val="00C866EB"/>
    <w:rsid w:val="00C86D00"/>
    <w:rsid w:val="00C86D6F"/>
    <w:rsid w:val="00C875AB"/>
    <w:rsid w:val="00C90267"/>
    <w:rsid w:val="00C9029D"/>
    <w:rsid w:val="00C9088F"/>
    <w:rsid w:val="00C92500"/>
    <w:rsid w:val="00CA2813"/>
    <w:rsid w:val="00CA284B"/>
    <w:rsid w:val="00CA2951"/>
    <w:rsid w:val="00CA374D"/>
    <w:rsid w:val="00CA3A26"/>
    <w:rsid w:val="00CA4A9D"/>
    <w:rsid w:val="00CA4C5F"/>
    <w:rsid w:val="00CA60B1"/>
    <w:rsid w:val="00CA6E17"/>
    <w:rsid w:val="00CA737F"/>
    <w:rsid w:val="00CB0216"/>
    <w:rsid w:val="00CB31FB"/>
    <w:rsid w:val="00CB34D8"/>
    <w:rsid w:val="00CB4BAF"/>
    <w:rsid w:val="00CB5817"/>
    <w:rsid w:val="00CB77BE"/>
    <w:rsid w:val="00CB7948"/>
    <w:rsid w:val="00CB7C29"/>
    <w:rsid w:val="00CC1300"/>
    <w:rsid w:val="00CC16C7"/>
    <w:rsid w:val="00CC3DCB"/>
    <w:rsid w:val="00CC4CE9"/>
    <w:rsid w:val="00CC5716"/>
    <w:rsid w:val="00CC5ACC"/>
    <w:rsid w:val="00CC61DB"/>
    <w:rsid w:val="00CC6CF1"/>
    <w:rsid w:val="00CD296E"/>
    <w:rsid w:val="00CD2DA6"/>
    <w:rsid w:val="00CD301F"/>
    <w:rsid w:val="00CD3C9B"/>
    <w:rsid w:val="00CD3D1C"/>
    <w:rsid w:val="00CD4237"/>
    <w:rsid w:val="00CD4D58"/>
    <w:rsid w:val="00CD4E36"/>
    <w:rsid w:val="00CD5A5F"/>
    <w:rsid w:val="00CD5D70"/>
    <w:rsid w:val="00CD62AE"/>
    <w:rsid w:val="00CD687D"/>
    <w:rsid w:val="00CD7533"/>
    <w:rsid w:val="00CD7A12"/>
    <w:rsid w:val="00CE0CC0"/>
    <w:rsid w:val="00CE10E3"/>
    <w:rsid w:val="00CE2695"/>
    <w:rsid w:val="00CE47A1"/>
    <w:rsid w:val="00CE6178"/>
    <w:rsid w:val="00CE79EB"/>
    <w:rsid w:val="00CF11B1"/>
    <w:rsid w:val="00CF2C70"/>
    <w:rsid w:val="00CF3A04"/>
    <w:rsid w:val="00CF4016"/>
    <w:rsid w:val="00CF408F"/>
    <w:rsid w:val="00CF5EE3"/>
    <w:rsid w:val="00CF6490"/>
    <w:rsid w:val="00CF6ECF"/>
    <w:rsid w:val="00D003D1"/>
    <w:rsid w:val="00D0212C"/>
    <w:rsid w:val="00D02834"/>
    <w:rsid w:val="00D0388E"/>
    <w:rsid w:val="00D04A46"/>
    <w:rsid w:val="00D0572E"/>
    <w:rsid w:val="00D062C5"/>
    <w:rsid w:val="00D06BF0"/>
    <w:rsid w:val="00D112F6"/>
    <w:rsid w:val="00D12230"/>
    <w:rsid w:val="00D12361"/>
    <w:rsid w:val="00D12EA6"/>
    <w:rsid w:val="00D13A60"/>
    <w:rsid w:val="00D14100"/>
    <w:rsid w:val="00D15715"/>
    <w:rsid w:val="00D158C5"/>
    <w:rsid w:val="00D15E99"/>
    <w:rsid w:val="00D162AD"/>
    <w:rsid w:val="00D1632E"/>
    <w:rsid w:val="00D1654F"/>
    <w:rsid w:val="00D167D2"/>
    <w:rsid w:val="00D177B3"/>
    <w:rsid w:val="00D217C3"/>
    <w:rsid w:val="00D22A2C"/>
    <w:rsid w:val="00D2303B"/>
    <w:rsid w:val="00D25213"/>
    <w:rsid w:val="00D258FF"/>
    <w:rsid w:val="00D27849"/>
    <w:rsid w:val="00D27A59"/>
    <w:rsid w:val="00D30197"/>
    <w:rsid w:val="00D30981"/>
    <w:rsid w:val="00D30CC9"/>
    <w:rsid w:val="00D30DE8"/>
    <w:rsid w:val="00D32DBA"/>
    <w:rsid w:val="00D33A7F"/>
    <w:rsid w:val="00D369DC"/>
    <w:rsid w:val="00D37F15"/>
    <w:rsid w:val="00D43E87"/>
    <w:rsid w:val="00D4440E"/>
    <w:rsid w:val="00D44E80"/>
    <w:rsid w:val="00D510CC"/>
    <w:rsid w:val="00D51689"/>
    <w:rsid w:val="00D51C43"/>
    <w:rsid w:val="00D525BB"/>
    <w:rsid w:val="00D527B1"/>
    <w:rsid w:val="00D52E32"/>
    <w:rsid w:val="00D52E51"/>
    <w:rsid w:val="00D53458"/>
    <w:rsid w:val="00D53573"/>
    <w:rsid w:val="00D53BBB"/>
    <w:rsid w:val="00D53E8A"/>
    <w:rsid w:val="00D54E33"/>
    <w:rsid w:val="00D56CCD"/>
    <w:rsid w:val="00D56DB1"/>
    <w:rsid w:val="00D570FD"/>
    <w:rsid w:val="00D600FE"/>
    <w:rsid w:val="00D60A2E"/>
    <w:rsid w:val="00D60BE2"/>
    <w:rsid w:val="00D612DE"/>
    <w:rsid w:val="00D61399"/>
    <w:rsid w:val="00D614EA"/>
    <w:rsid w:val="00D61604"/>
    <w:rsid w:val="00D6260B"/>
    <w:rsid w:val="00D63DAD"/>
    <w:rsid w:val="00D644BE"/>
    <w:rsid w:val="00D646F7"/>
    <w:rsid w:val="00D64B02"/>
    <w:rsid w:val="00D66597"/>
    <w:rsid w:val="00D67EBE"/>
    <w:rsid w:val="00D67ED9"/>
    <w:rsid w:val="00D70981"/>
    <w:rsid w:val="00D71F44"/>
    <w:rsid w:val="00D72BDD"/>
    <w:rsid w:val="00D74B46"/>
    <w:rsid w:val="00D74F54"/>
    <w:rsid w:val="00D766CF"/>
    <w:rsid w:val="00D768BA"/>
    <w:rsid w:val="00D77568"/>
    <w:rsid w:val="00D77F27"/>
    <w:rsid w:val="00D825D6"/>
    <w:rsid w:val="00D8599A"/>
    <w:rsid w:val="00D85BDC"/>
    <w:rsid w:val="00D85E0D"/>
    <w:rsid w:val="00D85F29"/>
    <w:rsid w:val="00D87A62"/>
    <w:rsid w:val="00D91AFA"/>
    <w:rsid w:val="00D92344"/>
    <w:rsid w:val="00D92CD9"/>
    <w:rsid w:val="00D92FF8"/>
    <w:rsid w:val="00D94024"/>
    <w:rsid w:val="00D94EB0"/>
    <w:rsid w:val="00D95E77"/>
    <w:rsid w:val="00DA221E"/>
    <w:rsid w:val="00DA2991"/>
    <w:rsid w:val="00DA347B"/>
    <w:rsid w:val="00DA3AA9"/>
    <w:rsid w:val="00DA46FA"/>
    <w:rsid w:val="00DA4EA2"/>
    <w:rsid w:val="00DA4F8B"/>
    <w:rsid w:val="00DA5492"/>
    <w:rsid w:val="00DB060F"/>
    <w:rsid w:val="00DB088B"/>
    <w:rsid w:val="00DB1C29"/>
    <w:rsid w:val="00DB2233"/>
    <w:rsid w:val="00DB2E09"/>
    <w:rsid w:val="00DB3E94"/>
    <w:rsid w:val="00DB419E"/>
    <w:rsid w:val="00DB4EEB"/>
    <w:rsid w:val="00DB5BAA"/>
    <w:rsid w:val="00DB681E"/>
    <w:rsid w:val="00DB7098"/>
    <w:rsid w:val="00DC00A9"/>
    <w:rsid w:val="00DC0EB7"/>
    <w:rsid w:val="00DC1CD7"/>
    <w:rsid w:val="00DC1F2C"/>
    <w:rsid w:val="00DC292D"/>
    <w:rsid w:val="00DC50E8"/>
    <w:rsid w:val="00DC6CE9"/>
    <w:rsid w:val="00DC7176"/>
    <w:rsid w:val="00DC7819"/>
    <w:rsid w:val="00DD0447"/>
    <w:rsid w:val="00DD0EF7"/>
    <w:rsid w:val="00DD2150"/>
    <w:rsid w:val="00DD2549"/>
    <w:rsid w:val="00DD31D6"/>
    <w:rsid w:val="00DD4024"/>
    <w:rsid w:val="00DD42AA"/>
    <w:rsid w:val="00DD4C8E"/>
    <w:rsid w:val="00DE0E5B"/>
    <w:rsid w:val="00DE0FE0"/>
    <w:rsid w:val="00DE1A93"/>
    <w:rsid w:val="00DE204C"/>
    <w:rsid w:val="00DE731D"/>
    <w:rsid w:val="00DE7541"/>
    <w:rsid w:val="00DF0C8F"/>
    <w:rsid w:val="00DF17AC"/>
    <w:rsid w:val="00DF1E9F"/>
    <w:rsid w:val="00DF1EF0"/>
    <w:rsid w:val="00DF2165"/>
    <w:rsid w:val="00DF4499"/>
    <w:rsid w:val="00DF6C17"/>
    <w:rsid w:val="00DF6CCD"/>
    <w:rsid w:val="00DF70C4"/>
    <w:rsid w:val="00E00243"/>
    <w:rsid w:val="00E00978"/>
    <w:rsid w:val="00E0141D"/>
    <w:rsid w:val="00E03590"/>
    <w:rsid w:val="00E04424"/>
    <w:rsid w:val="00E074FC"/>
    <w:rsid w:val="00E10E80"/>
    <w:rsid w:val="00E10E87"/>
    <w:rsid w:val="00E1169A"/>
    <w:rsid w:val="00E123AA"/>
    <w:rsid w:val="00E14344"/>
    <w:rsid w:val="00E14A6A"/>
    <w:rsid w:val="00E163E4"/>
    <w:rsid w:val="00E215E2"/>
    <w:rsid w:val="00E22BA8"/>
    <w:rsid w:val="00E24203"/>
    <w:rsid w:val="00E24485"/>
    <w:rsid w:val="00E25057"/>
    <w:rsid w:val="00E263E7"/>
    <w:rsid w:val="00E26CC9"/>
    <w:rsid w:val="00E300E4"/>
    <w:rsid w:val="00E30149"/>
    <w:rsid w:val="00E30DF2"/>
    <w:rsid w:val="00E30E2F"/>
    <w:rsid w:val="00E332E8"/>
    <w:rsid w:val="00E35E9A"/>
    <w:rsid w:val="00E35FAD"/>
    <w:rsid w:val="00E40CA0"/>
    <w:rsid w:val="00E421F6"/>
    <w:rsid w:val="00E4469B"/>
    <w:rsid w:val="00E450D5"/>
    <w:rsid w:val="00E47B09"/>
    <w:rsid w:val="00E50BF1"/>
    <w:rsid w:val="00E513D6"/>
    <w:rsid w:val="00E5289C"/>
    <w:rsid w:val="00E52CD4"/>
    <w:rsid w:val="00E53202"/>
    <w:rsid w:val="00E5379B"/>
    <w:rsid w:val="00E5536C"/>
    <w:rsid w:val="00E5796B"/>
    <w:rsid w:val="00E63389"/>
    <w:rsid w:val="00E6392C"/>
    <w:rsid w:val="00E6424A"/>
    <w:rsid w:val="00E65696"/>
    <w:rsid w:val="00E70B91"/>
    <w:rsid w:val="00E7107E"/>
    <w:rsid w:val="00E71F98"/>
    <w:rsid w:val="00E72A53"/>
    <w:rsid w:val="00E73B9A"/>
    <w:rsid w:val="00E73EB6"/>
    <w:rsid w:val="00E743B1"/>
    <w:rsid w:val="00E76668"/>
    <w:rsid w:val="00E80C9B"/>
    <w:rsid w:val="00E81019"/>
    <w:rsid w:val="00E824F2"/>
    <w:rsid w:val="00E83DC6"/>
    <w:rsid w:val="00E83E00"/>
    <w:rsid w:val="00E847EE"/>
    <w:rsid w:val="00E86221"/>
    <w:rsid w:val="00E871C1"/>
    <w:rsid w:val="00E87317"/>
    <w:rsid w:val="00E87E62"/>
    <w:rsid w:val="00E91406"/>
    <w:rsid w:val="00E916AB"/>
    <w:rsid w:val="00E92D07"/>
    <w:rsid w:val="00E94324"/>
    <w:rsid w:val="00E94584"/>
    <w:rsid w:val="00E958E7"/>
    <w:rsid w:val="00E95BEB"/>
    <w:rsid w:val="00EA1A57"/>
    <w:rsid w:val="00EA2861"/>
    <w:rsid w:val="00EA2A24"/>
    <w:rsid w:val="00EA3263"/>
    <w:rsid w:val="00EA58E1"/>
    <w:rsid w:val="00EA5BA4"/>
    <w:rsid w:val="00EA5C75"/>
    <w:rsid w:val="00EA6457"/>
    <w:rsid w:val="00EA7B97"/>
    <w:rsid w:val="00EB1222"/>
    <w:rsid w:val="00EB190C"/>
    <w:rsid w:val="00EB3426"/>
    <w:rsid w:val="00EB48C2"/>
    <w:rsid w:val="00EB4D90"/>
    <w:rsid w:val="00EB50A0"/>
    <w:rsid w:val="00EB57B5"/>
    <w:rsid w:val="00EB629B"/>
    <w:rsid w:val="00EB7B8F"/>
    <w:rsid w:val="00EB7F01"/>
    <w:rsid w:val="00EC033D"/>
    <w:rsid w:val="00EC1092"/>
    <w:rsid w:val="00EC14B8"/>
    <w:rsid w:val="00EC1B6E"/>
    <w:rsid w:val="00EC2D5F"/>
    <w:rsid w:val="00EC389F"/>
    <w:rsid w:val="00EC3CE1"/>
    <w:rsid w:val="00EC5544"/>
    <w:rsid w:val="00EC6A88"/>
    <w:rsid w:val="00EC735A"/>
    <w:rsid w:val="00EC7B78"/>
    <w:rsid w:val="00ED08F2"/>
    <w:rsid w:val="00ED11C6"/>
    <w:rsid w:val="00ED1A04"/>
    <w:rsid w:val="00ED242B"/>
    <w:rsid w:val="00ED2714"/>
    <w:rsid w:val="00ED339E"/>
    <w:rsid w:val="00ED3F46"/>
    <w:rsid w:val="00ED5687"/>
    <w:rsid w:val="00ED64ED"/>
    <w:rsid w:val="00ED66E7"/>
    <w:rsid w:val="00EE06E2"/>
    <w:rsid w:val="00EE27FC"/>
    <w:rsid w:val="00EE3389"/>
    <w:rsid w:val="00EE3D8B"/>
    <w:rsid w:val="00EE3E63"/>
    <w:rsid w:val="00EE59E9"/>
    <w:rsid w:val="00EE5DB7"/>
    <w:rsid w:val="00EE7440"/>
    <w:rsid w:val="00EE7C4F"/>
    <w:rsid w:val="00EF06E9"/>
    <w:rsid w:val="00EF1317"/>
    <w:rsid w:val="00EF1548"/>
    <w:rsid w:val="00EF19F5"/>
    <w:rsid w:val="00EF1C24"/>
    <w:rsid w:val="00EF4C1A"/>
    <w:rsid w:val="00EF5AB7"/>
    <w:rsid w:val="00EF6718"/>
    <w:rsid w:val="00EF6E94"/>
    <w:rsid w:val="00F00810"/>
    <w:rsid w:val="00F00A71"/>
    <w:rsid w:val="00F00C26"/>
    <w:rsid w:val="00F0193C"/>
    <w:rsid w:val="00F03409"/>
    <w:rsid w:val="00F036A0"/>
    <w:rsid w:val="00F04F4A"/>
    <w:rsid w:val="00F06D4E"/>
    <w:rsid w:val="00F12C2C"/>
    <w:rsid w:val="00F13226"/>
    <w:rsid w:val="00F162DB"/>
    <w:rsid w:val="00F16770"/>
    <w:rsid w:val="00F16E76"/>
    <w:rsid w:val="00F2047C"/>
    <w:rsid w:val="00F20662"/>
    <w:rsid w:val="00F21C52"/>
    <w:rsid w:val="00F22D79"/>
    <w:rsid w:val="00F23625"/>
    <w:rsid w:val="00F2375A"/>
    <w:rsid w:val="00F23A3A"/>
    <w:rsid w:val="00F23C60"/>
    <w:rsid w:val="00F2453B"/>
    <w:rsid w:val="00F254E4"/>
    <w:rsid w:val="00F25EEC"/>
    <w:rsid w:val="00F267B1"/>
    <w:rsid w:val="00F268F6"/>
    <w:rsid w:val="00F26D3F"/>
    <w:rsid w:val="00F278B3"/>
    <w:rsid w:val="00F27D7F"/>
    <w:rsid w:val="00F27FFD"/>
    <w:rsid w:val="00F31546"/>
    <w:rsid w:val="00F315FD"/>
    <w:rsid w:val="00F32301"/>
    <w:rsid w:val="00F32553"/>
    <w:rsid w:val="00F32B27"/>
    <w:rsid w:val="00F32E77"/>
    <w:rsid w:val="00F3440A"/>
    <w:rsid w:val="00F36A1F"/>
    <w:rsid w:val="00F44E98"/>
    <w:rsid w:val="00F456DA"/>
    <w:rsid w:val="00F4582D"/>
    <w:rsid w:val="00F50E13"/>
    <w:rsid w:val="00F5226B"/>
    <w:rsid w:val="00F52361"/>
    <w:rsid w:val="00F52C98"/>
    <w:rsid w:val="00F53017"/>
    <w:rsid w:val="00F53427"/>
    <w:rsid w:val="00F537C5"/>
    <w:rsid w:val="00F549C3"/>
    <w:rsid w:val="00F55BFE"/>
    <w:rsid w:val="00F561A8"/>
    <w:rsid w:val="00F60FE3"/>
    <w:rsid w:val="00F6225D"/>
    <w:rsid w:val="00F62771"/>
    <w:rsid w:val="00F62BAA"/>
    <w:rsid w:val="00F630EF"/>
    <w:rsid w:val="00F631E4"/>
    <w:rsid w:val="00F632DF"/>
    <w:rsid w:val="00F63BA3"/>
    <w:rsid w:val="00F65CCE"/>
    <w:rsid w:val="00F724BF"/>
    <w:rsid w:val="00F72B1B"/>
    <w:rsid w:val="00F72F3E"/>
    <w:rsid w:val="00F753E7"/>
    <w:rsid w:val="00F75722"/>
    <w:rsid w:val="00F75E3B"/>
    <w:rsid w:val="00F77F5F"/>
    <w:rsid w:val="00F80809"/>
    <w:rsid w:val="00F82259"/>
    <w:rsid w:val="00F82E2F"/>
    <w:rsid w:val="00F84A93"/>
    <w:rsid w:val="00F85DAD"/>
    <w:rsid w:val="00F86A99"/>
    <w:rsid w:val="00F91EB7"/>
    <w:rsid w:val="00F92CB3"/>
    <w:rsid w:val="00F93D2B"/>
    <w:rsid w:val="00F94D0D"/>
    <w:rsid w:val="00F97A24"/>
    <w:rsid w:val="00FA0080"/>
    <w:rsid w:val="00FA16BE"/>
    <w:rsid w:val="00FA2229"/>
    <w:rsid w:val="00FA365C"/>
    <w:rsid w:val="00FA3718"/>
    <w:rsid w:val="00FB1D23"/>
    <w:rsid w:val="00FB2769"/>
    <w:rsid w:val="00FB280B"/>
    <w:rsid w:val="00FB63E1"/>
    <w:rsid w:val="00FB70A3"/>
    <w:rsid w:val="00FB749D"/>
    <w:rsid w:val="00FB761D"/>
    <w:rsid w:val="00FC00AD"/>
    <w:rsid w:val="00FC0160"/>
    <w:rsid w:val="00FC0287"/>
    <w:rsid w:val="00FC05CE"/>
    <w:rsid w:val="00FC0CE5"/>
    <w:rsid w:val="00FC2473"/>
    <w:rsid w:val="00FC36D9"/>
    <w:rsid w:val="00FC49D1"/>
    <w:rsid w:val="00FC4E8F"/>
    <w:rsid w:val="00FC5CEC"/>
    <w:rsid w:val="00FC757C"/>
    <w:rsid w:val="00FD1BC2"/>
    <w:rsid w:val="00FD23BF"/>
    <w:rsid w:val="00FD3463"/>
    <w:rsid w:val="00FD45B5"/>
    <w:rsid w:val="00FD4EA4"/>
    <w:rsid w:val="00FD5F85"/>
    <w:rsid w:val="00FD62E5"/>
    <w:rsid w:val="00FE0F31"/>
    <w:rsid w:val="00FE1019"/>
    <w:rsid w:val="00FE17A0"/>
    <w:rsid w:val="00FE26B1"/>
    <w:rsid w:val="00FE2F47"/>
    <w:rsid w:val="00FE312E"/>
    <w:rsid w:val="00FF0EF0"/>
    <w:rsid w:val="00FF2630"/>
    <w:rsid w:val="00FF3474"/>
    <w:rsid w:val="00FF3CD6"/>
    <w:rsid w:val="00FF5023"/>
    <w:rsid w:val="00FF567D"/>
    <w:rsid w:val="00FF6F60"/>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19832"/>
  <w15:docId w15:val="{B6BFD845-2C3F-3942-AB5F-31362656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8FF"/>
    <w:rPr>
      <w:rFonts w:ascii="Times New Roman" w:eastAsia="Times New Roman" w:hAnsi="Times New Roman" w:cs="Times New Roman"/>
    </w:rPr>
  </w:style>
  <w:style w:type="paragraph" w:styleId="Heading1">
    <w:name w:val="heading 1"/>
    <w:basedOn w:val="Normal"/>
    <w:next w:val="Normal"/>
    <w:link w:val="Heading1Char"/>
    <w:uiPriority w:val="9"/>
    <w:qFormat/>
    <w:rsid w:val="00035DBF"/>
    <w:pPr>
      <w:spacing w:line="360" w:lineRule="auto"/>
      <w:jc w:val="center"/>
      <w:outlineLvl w:val="0"/>
    </w:pPr>
    <w:rPr>
      <w:b/>
      <w:bCs/>
    </w:rPr>
  </w:style>
  <w:style w:type="paragraph" w:styleId="Heading2">
    <w:name w:val="heading 2"/>
    <w:basedOn w:val="Normal"/>
    <w:next w:val="Normal"/>
    <w:link w:val="Heading2Char"/>
    <w:uiPriority w:val="9"/>
    <w:unhideWhenUsed/>
    <w:qFormat/>
    <w:rsid w:val="008A4DE1"/>
    <w:pPr>
      <w:keepNext/>
      <w:keepLines/>
      <w:spacing w:before="240" w:line="360" w:lineRule="auto"/>
      <w:jc w:val="both"/>
      <w:outlineLvl w:val="1"/>
    </w:pPr>
    <w:rPr>
      <w:rFonts w:eastAsia="Calibri"/>
      <w:b/>
      <w:bCs/>
      <w:color w:val="000000" w:themeColor="text1"/>
    </w:rPr>
  </w:style>
  <w:style w:type="paragraph" w:styleId="Heading3">
    <w:name w:val="heading 3"/>
    <w:basedOn w:val="Heading2"/>
    <w:next w:val="Normal"/>
    <w:link w:val="Heading3Char"/>
    <w:uiPriority w:val="9"/>
    <w:unhideWhenUsed/>
    <w:qFormat/>
    <w:rsid w:val="00035DB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B9575B"/>
    <w:rPr>
      <w:rFonts w:cs="Minion Pro"/>
      <w:color w:val="000000"/>
      <w:sz w:val="18"/>
      <w:szCs w:val="18"/>
    </w:rPr>
  </w:style>
  <w:style w:type="paragraph" w:styleId="BalloonText">
    <w:name w:val="Balloon Text"/>
    <w:basedOn w:val="Normal"/>
    <w:link w:val="BalloonTextChar"/>
    <w:uiPriority w:val="99"/>
    <w:semiHidden/>
    <w:unhideWhenUsed/>
    <w:rsid w:val="00B13BC1"/>
    <w:rPr>
      <w:sz w:val="18"/>
      <w:szCs w:val="18"/>
    </w:rPr>
  </w:style>
  <w:style w:type="character" w:customStyle="1" w:styleId="BalloonTextChar">
    <w:name w:val="Balloon Text Char"/>
    <w:basedOn w:val="DefaultParagraphFont"/>
    <w:link w:val="BalloonText"/>
    <w:uiPriority w:val="99"/>
    <w:semiHidden/>
    <w:rsid w:val="00B13BC1"/>
    <w:rPr>
      <w:rFonts w:ascii="Times New Roman" w:hAnsi="Times New Roman" w:cs="Times New Roman"/>
      <w:sz w:val="18"/>
      <w:szCs w:val="18"/>
    </w:rPr>
  </w:style>
  <w:style w:type="paragraph" w:customStyle="1" w:styleId="Default">
    <w:name w:val="Default"/>
    <w:rsid w:val="00087A17"/>
    <w:pPr>
      <w:autoSpaceDE w:val="0"/>
      <w:autoSpaceDN w:val="0"/>
      <w:adjustRightInd w:val="0"/>
    </w:pPr>
    <w:rPr>
      <w:rFonts w:ascii="Helvetica" w:hAnsi="Helvetica" w:cs="Helvetica"/>
      <w:color w:val="000000"/>
      <w:lang w:val="en-GB"/>
    </w:rPr>
  </w:style>
  <w:style w:type="paragraph" w:styleId="ListParagraph">
    <w:name w:val="List Paragraph"/>
    <w:basedOn w:val="Normal"/>
    <w:uiPriority w:val="34"/>
    <w:qFormat/>
    <w:rsid w:val="00D167D2"/>
    <w:pPr>
      <w:ind w:left="720"/>
      <w:contextualSpacing/>
    </w:pPr>
  </w:style>
  <w:style w:type="paragraph" w:styleId="NoSpacing">
    <w:name w:val="No Spacing"/>
    <w:uiPriority w:val="1"/>
    <w:qFormat/>
    <w:rsid w:val="00B04AE3"/>
    <w:rPr>
      <w:sz w:val="22"/>
      <w:szCs w:val="22"/>
    </w:rPr>
  </w:style>
  <w:style w:type="character" w:customStyle="1" w:styleId="Heading1Char">
    <w:name w:val="Heading 1 Char"/>
    <w:basedOn w:val="DefaultParagraphFont"/>
    <w:link w:val="Heading1"/>
    <w:uiPriority w:val="9"/>
    <w:rsid w:val="00035DBF"/>
    <w:rPr>
      <w:rFonts w:ascii="Times New Roman" w:eastAsia="Times New Roman" w:hAnsi="Times New Roman" w:cs="Times New Roman"/>
      <w:b/>
      <w:bCs/>
      <w:lang w:val="en-US" w:eastAsia="en-GB"/>
    </w:rPr>
  </w:style>
  <w:style w:type="character" w:customStyle="1" w:styleId="A0">
    <w:name w:val="A0"/>
    <w:uiPriority w:val="99"/>
    <w:rsid w:val="00BA7AC9"/>
    <w:rPr>
      <w:color w:val="000000"/>
      <w:sz w:val="17"/>
      <w:szCs w:val="17"/>
    </w:rPr>
  </w:style>
  <w:style w:type="character" w:customStyle="1" w:styleId="A3">
    <w:name w:val="A3"/>
    <w:uiPriority w:val="99"/>
    <w:rsid w:val="00DE0E5B"/>
    <w:rPr>
      <w:b/>
      <w:bCs/>
      <w:color w:val="000000"/>
      <w:sz w:val="32"/>
      <w:szCs w:val="32"/>
    </w:rPr>
  </w:style>
  <w:style w:type="character" w:customStyle="1" w:styleId="A4">
    <w:name w:val="A4"/>
    <w:uiPriority w:val="99"/>
    <w:rsid w:val="005E7320"/>
    <w:rPr>
      <w:color w:val="000000"/>
      <w:sz w:val="36"/>
      <w:szCs w:val="36"/>
    </w:rPr>
  </w:style>
  <w:style w:type="character" w:customStyle="1" w:styleId="A8">
    <w:name w:val="A8"/>
    <w:uiPriority w:val="99"/>
    <w:rsid w:val="005E7320"/>
    <w:rPr>
      <w:rFonts w:ascii="Calibri" w:hAnsi="Calibri" w:cs="Calibri"/>
      <w:b/>
      <w:bCs/>
      <w:color w:val="000000"/>
      <w:sz w:val="17"/>
      <w:szCs w:val="17"/>
    </w:rPr>
  </w:style>
  <w:style w:type="character" w:customStyle="1" w:styleId="Heading2Char">
    <w:name w:val="Heading 2 Char"/>
    <w:basedOn w:val="DefaultParagraphFont"/>
    <w:link w:val="Heading2"/>
    <w:uiPriority w:val="9"/>
    <w:rsid w:val="008A4DE1"/>
    <w:rPr>
      <w:rFonts w:ascii="Times New Roman" w:eastAsia="Calibri" w:hAnsi="Times New Roman" w:cs="Times New Roman"/>
      <w:b/>
      <w:bCs/>
      <w:color w:val="000000" w:themeColor="text1"/>
      <w:lang w:val="en-US" w:eastAsia="en-GB"/>
    </w:rPr>
  </w:style>
  <w:style w:type="character" w:customStyle="1" w:styleId="Heading3Char">
    <w:name w:val="Heading 3 Char"/>
    <w:basedOn w:val="DefaultParagraphFont"/>
    <w:link w:val="Heading3"/>
    <w:uiPriority w:val="9"/>
    <w:rsid w:val="00035DBF"/>
    <w:rPr>
      <w:rFonts w:ascii="Times New Roman" w:eastAsia="Calibri" w:hAnsi="Times New Roman" w:cs="Times New Roman"/>
      <w:b/>
      <w:bCs/>
      <w:color w:val="000000" w:themeColor="text1"/>
      <w:lang w:val="en-US" w:eastAsia="en-GB"/>
    </w:rPr>
  </w:style>
  <w:style w:type="character" w:customStyle="1" w:styleId="multisyn">
    <w:name w:val="multi_syn"/>
    <w:basedOn w:val="DefaultParagraphFont"/>
    <w:rsid w:val="001F24FB"/>
  </w:style>
  <w:style w:type="character" w:customStyle="1" w:styleId="singlesyn">
    <w:name w:val="single_syn"/>
    <w:basedOn w:val="DefaultParagraphFont"/>
    <w:rsid w:val="001F24FB"/>
  </w:style>
  <w:style w:type="paragraph" w:styleId="z-TopofForm">
    <w:name w:val="HTML Top of Form"/>
    <w:basedOn w:val="Normal"/>
    <w:next w:val="Normal"/>
    <w:link w:val="z-TopofFormChar"/>
    <w:hidden/>
    <w:uiPriority w:val="99"/>
    <w:semiHidden/>
    <w:unhideWhenUsed/>
    <w:rsid w:val="005330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309F"/>
    <w:rPr>
      <w:rFonts w:ascii="Arial" w:eastAsia="Times New Roman" w:hAnsi="Arial" w:cs="Arial"/>
      <w:vanish/>
      <w:sz w:val="16"/>
      <w:szCs w:val="16"/>
      <w:lang w:eastAsia="en-GB"/>
    </w:rPr>
  </w:style>
  <w:style w:type="character" w:styleId="Emphasis">
    <w:name w:val="Emphasis"/>
    <w:basedOn w:val="DefaultParagraphFont"/>
    <w:uiPriority w:val="20"/>
    <w:qFormat/>
    <w:rsid w:val="0053309F"/>
    <w:rPr>
      <w:i/>
      <w:iCs/>
    </w:rPr>
  </w:style>
  <w:style w:type="paragraph" w:styleId="z-BottomofForm">
    <w:name w:val="HTML Bottom of Form"/>
    <w:basedOn w:val="Normal"/>
    <w:next w:val="Normal"/>
    <w:link w:val="z-BottomofFormChar"/>
    <w:hidden/>
    <w:uiPriority w:val="99"/>
    <w:semiHidden/>
    <w:unhideWhenUsed/>
    <w:rsid w:val="0053309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309F"/>
    <w:rPr>
      <w:rFonts w:ascii="Arial" w:eastAsia="Times New Roman" w:hAnsi="Arial" w:cs="Arial"/>
      <w:vanish/>
      <w:sz w:val="16"/>
      <w:szCs w:val="16"/>
      <w:lang w:eastAsia="en-GB"/>
    </w:rPr>
  </w:style>
  <w:style w:type="character" w:customStyle="1" w:styleId="sw">
    <w:name w:val="sw"/>
    <w:basedOn w:val="DefaultParagraphFont"/>
    <w:rsid w:val="0053309F"/>
  </w:style>
  <w:style w:type="character" w:customStyle="1" w:styleId="words">
    <w:name w:val="words"/>
    <w:basedOn w:val="DefaultParagraphFont"/>
    <w:rsid w:val="00F23625"/>
  </w:style>
  <w:style w:type="table" w:styleId="TableGrid">
    <w:name w:val="Table Grid"/>
    <w:basedOn w:val="TableNormal"/>
    <w:uiPriority w:val="39"/>
    <w:rsid w:val="001649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29B7"/>
    <w:rPr>
      <w:color w:val="808080"/>
    </w:rPr>
  </w:style>
  <w:style w:type="paragraph" w:styleId="Header">
    <w:name w:val="header"/>
    <w:basedOn w:val="Normal"/>
    <w:link w:val="HeaderChar"/>
    <w:uiPriority w:val="99"/>
    <w:unhideWhenUsed/>
    <w:rsid w:val="004B78A7"/>
    <w:pPr>
      <w:tabs>
        <w:tab w:val="center" w:pos="4513"/>
        <w:tab w:val="right" w:pos="9026"/>
      </w:tabs>
    </w:pPr>
  </w:style>
  <w:style w:type="character" w:customStyle="1" w:styleId="HeaderChar">
    <w:name w:val="Header Char"/>
    <w:basedOn w:val="DefaultParagraphFont"/>
    <w:link w:val="Header"/>
    <w:uiPriority w:val="99"/>
    <w:rsid w:val="004B78A7"/>
    <w:rPr>
      <w:rFonts w:ascii="Times New Roman" w:eastAsia="Times New Roman" w:hAnsi="Times New Roman" w:cs="Times New Roman"/>
      <w:lang w:eastAsia="en-GB"/>
    </w:rPr>
  </w:style>
  <w:style w:type="paragraph" w:styleId="Footer">
    <w:name w:val="footer"/>
    <w:basedOn w:val="Normal"/>
    <w:link w:val="FooterChar"/>
    <w:uiPriority w:val="99"/>
    <w:unhideWhenUsed/>
    <w:rsid w:val="004B78A7"/>
    <w:pPr>
      <w:tabs>
        <w:tab w:val="center" w:pos="4513"/>
        <w:tab w:val="right" w:pos="9026"/>
      </w:tabs>
    </w:pPr>
  </w:style>
  <w:style w:type="character" w:customStyle="1" w:styleId="FooterChar">
    <w:name w:val="Footer Char"/>
    <w:basedOn w:val="DefaultParagraphFont"/>
    <w:link w:val="Footer"/>
    <w:uiPriority w:val="99"/>
    <w:rsid w:val="004B78A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B78A7"/>
  </w:style>
  <w:style w:type="paragraph" w:styleId="TOCHeading">
    <w:name w:val="TOC Heading"/>
    <w:basedOn w:val="Heading1"/>
    <w:next w:val="Normal"/>
    <w:uiPriority w:val="39"/>
    <w:unhideWhenUsed/>
    <w:qFormat/>
    <w:rsid w:val="00236F22"/>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236F22"/>
    <w:pPr>
      <w:spacing w:before="120"/>
    </w:pPr>
    <w:rPr>
      <w:rFonts w:asciiTheme="minorHAnsi" w:hAnsiTheme="minorHAnsi"/>
      <w:b/>
      <w:bCs/>
      <w:i/>
      <w:iCs/>
    </w:rPr>
  </w:style>
  <w:style w:type="paragraph" w:styleId="TOC2">
    <w:name w:val="toc 2"/>
    <w:basedOn w:val="Normal"/>
    <w:next w:val="Normal"/>
    <w:autoRedefine/>
    <w:uiPriority w:val="39"/>
    <w:unhideWhenUsed/>
    <w:rsid w:val="00236F22"/>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236F22"/>
    <w:pPr>
      <w:ind w:left="480"/>
    </w:pPr>
    <w:rPr>
      <w:rFonts w:asciiTheme="minorHAnsi" w:hAnsiTheme="minorHAnsi"/>
      <w:sz w:val="20"/>
      <w:szCs w:val="20"/>
    </w:rPr>
  </w:style>
  <w:style w:type="character" w:styleId="Hyperlink">
    <w:name w:val="Hyperlink"/>
    <w:basedOn w:val="DefaultParagraphFont"/>
    <w:uiPriority w:val="99"/>
    <w:unhideWhenUsed/>
    <w:rsid w:val="00236F22"/>
    <w:rPr>
      <w:color w:val="0563C1" w:themeColor="hyperlink"/>
      <w:u w:val="single"/>
    </w:rPr>
  </w:style>
  <w:style w:type="paragraph" w:styleId="TOC4">
    <w:name w:val="toc 4"/>
    <w:basedOn w:val="Normal"/>
    <w:next w:val="Normal"/>
    <w:autoRedefine/>
    <w:uiPriority w:val="39"/>
    <w:semiHidden/>
    <w:unhideWhenUsed/>
    <w:rsid w:val="00236F2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36F2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36F2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36F2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36F2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36F22"/>
    <w:pPr>
      <w:ind w:left="1920"/>
    </w:pPr>
    <w:rPr>
      <w:rFonts w:asciiTheme="minorHAnsi" w:hAnsiTheme="minorHAnsi"/>
      <w:sz w:val="20"/>
      <w:szCs w:val="20"/>
    </w:rPr>
  </w:style>
  <w:style w:type="character" w:customStyle="1" w:styleId="multisentence">
    <w:name w:val="multisentence"/>
    <w:basedOn w:val="DefaultParagraphFont"/>
    <w:rsid w:val="00D87A62"/>
  </w:style>
  <w:style w:type="paragraph" w:styleId="NormalWeb">
    <w:name w:val="Normal (Web)"/>
    <w:basedOn w:val="Normal"/>
    <w:uiPriority w:val="99"/>
    <w:semiHidden/>
    <w:unhideWhenUsed/>
    <w:rsid w:val="00EE59E9"/>
    <w:pPr>
      <w:spacing w:before="100" w:beforeAutospacing="1" w:after="100" w:afterAutospacing="1"/>
    </w:pPr>
  </w:style>
  <w:style w:type="paragraph" w:styleId="Caption">
    <w:name w:val="caption"/>
    <w:basedOn w:val="Normal"/>
    <w:next w:val="Normal"/>
    <w:uiPriority w:val="35"/>
    <w:unhideWhenUsed/>
    <w:qFormat/>
    <w:rsid w:val="00D92CD9"/>
    <w:pPr>
      <w:spacing w:before="240" w:line="360" w:lineRule="auto"/>
    </w:pPr>
    <w:rPr>
      <w:b/>
      <w:bCs/>
      <w:szCs w:val="18"/>
    </w:rPr>
  </w:style>
  <w:style w:type="paragraph" w:styleId="TableofFigures">
    <w:name w:val="table of figures"/>
    <w:basedOn w:val="Normal"/>
    <w:next w:val="Normal"/>
    <w:uiPriority w:val="99"/>
    <w:unhideWhenUsed/>
    <w:rsid w:val="00094CBA"/>
  </w:style>
  <w:style w:type="character" w:styleId="Strong">
    <w:name w:val="Strong"/>
    <w:basedOn w:val="DefaultParagraphFont"/>
    <w:uiPriority w:val="22"/>
    <w:qFormat/>
    <w:rsid w:val="00480BC2"/>
    <w:rPr>
      <w:b/>
      <w:bCs/>
    </w:rPr>
  </w:style>
  <w:style w:type="character" w:styleId="UnresolvedMention">
    <w:name w:val="Unresolved Mention"/>
    <w:basedOn w:val="DefaultParagraphFont"/>
    <w:uiPriority w:val="99"/>
    <w:semiHidden/>
    <w:unhideWhenUsed/>
    <w:rsid w:val="00212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272">
      <w:bodyDiv w:val="1"/>
      <w:marLeft w:val="0"/>
      <w:marRight w:val="0"/>
      <w:marTop w:val="0"/>
      <w:marBottom w:val="0"/>
      <w:divBdr>
        <w:top w:val="none" w:sz="0" w:space="0" w:color="auto"/>
        <w:left w:val="none" w:sz="0" w:space="0" w:color="auto"/>
        <w:bottom w:val="none" w:sz="0" w:space="0" w:color="auto"/>
        <w:right w:val="none" w:sz="0" w:space="0" w:color="auto"/>
      </w:divBdr>
    </w:div>
    <w:div w:id="7412927">
      <w:bodyDiv w:val="1"/>
      <w:marLeft w:val="0"/>
      <w:marRight w:val="0"/>
      <w:marTop w:val="0"/>
      <w:marBottom w:val="0"/>
      <w:divBdr>
        <w:top w:val="none" w:sz="0" w:space="0" w:color="auto"/>
        <w:left w:val="none" w:sz="0" w:space="0" w:color="auto"/>
        <w:bottom w:val="none" w:sz="0" w:space="0" w:color="auto"/>
        <w:right w:val="none" w:sz="0" w:space="0" w:color="auto"/>
      </w:divBdr>
    </w:div>
    <w:div w:id="22052404">
      <w:bodyDiv w:val="1"/>
      <w:marLeft w:val="0"/>
      <w:marRight w:val="0"/>
      <w:marTop w:val="0"/>
      <w:marBottom w:val="0"/>
      <w:divBdr>
        <w:top w:val="none" w:sz="0" w:space="0" w:color="auto"/>
        <w:left w:val="none" w:sz="0" w:space="0" w:color="auto"/>
        <w:bottom w:val="none" w:sz="0" w:space="0" w:color="auto"/>
        <w:right w:val="none" w:sz="0" w:space="0" w:color="auto"/>
      </w:divBdr>
      <w:divsChild>
        <w:div w:id="595478903">
          <w:marLeft w:val="446"/>
          <w:marRight w:val="0"/>
          <w:marTop w:val="0"/>
          <w:marBottom w:val="0"/>
          <w:divBdr>
            <w:top w:val="none" w:sz="0" w:space="0" w:color="auto"/>
            <w:left w:val="none" w:sz="0" w:space="0" w:color="auto"/>
            <w:bottom w:val="none" w:sz="0" w:space="0" w:color="auto"/>
            <w:right w:val="none" w:sz="0" w:space="0" w:color="auto"/>
          </w:divBdr>
        </w:div>
        <w:div w:id="1246647862">
          <w:marLeft w:val="446"/>
          <w:marRight w:val="0"/>
          <w:marTop w:val="0"/>
          <w:marBottom w:val="0"/>
          <w:divBdr>
            <w:top w:val="none" w:sz="0" w:space="0" w:color="auto"/>
            <w:left w:val="none" w:sz="0" w:space="0" w:color="auto"/>
            <w:bottom w:val="none" w:sz="0" w:space="0" w:color="auto"/>
            <w:right w:val="none" w:sz="0" w:space="0" w:color="auto"/>
          </w:divBdr>
        </w:div>
      </w:divsChild>
    </w:div>
    <w:div w:id="51540055">
      <w:bodyDiv w:val="1"/>
      <w:marLeft w:val="0"/>
      <w:marRight w:val="0"/>
      <w:marTop w:val="0"/>
      <w:marBottom w:val="0"/>
      <w:divBdr>
        <w:top w:val="none" w:sz="0" w:space="0" w:color="auto"/>
        <w:left w:val="none" w:sz="0" w:space="0" w:color="auto"/>
        <w:bottom w:val="none" w:sz="0" w:space="0" w:color="auto"/>
        <w:right w:val="none" w:sz="0" w:space="0" w:color="auto"/>
      </w:divBdr>
      <w:divsChild>
        <w:div w:id="1370763495">
          <w:marLeft w:val="360"/>
          <w:marRight w:val="0"/>
          <w:marTop w:val="200"/>
          <w:marBottom w:val="0"/>
          <w:divBdr>
            <w:top w:val="none" w:sz="0" w:space="0" w:color="auto"/>
            <w:left w:val="none" w:sz="0" w:space="0" w:color="auto"/>
            <w:bottom w:val="none" w:sz="0" w:space="0" w:color="auto"/>
            <w:right w:val="none" w:sz="0" w:space="0" w:color="auto"/>
          </w:divBdr>
        </w:div>
        <w:div w:id="651525579">
          <w:marLeft w:val="360"/>
          <w:marRight w:val="0"/>
          <w:marTop w:val="200"/>
          <w:marBottom w:val="0"/>
          <w:divBdr>
            <w:top w:val="none" w:sz="0" w:space="0" w:color="auto"/>
            <w:left w:val="none" w:sz="0" w:space="0" w:color="auto"/>
            <w:bottom w:val="none" w:sz="0" w:space="0" w:color="auto"/>
            <w:right w:val="none" w:sz="0" w:space="0" w:color="auto"/>
          </w:divBdr>
        </w:div>
      </w:divsChild>
    </w:div>
    <w:div w:id="52776128">
      <w:bodyDiv w:val="1"/>
      <w:marLeft w:val="0"/>
      <w:marRight w:val="0"/>
      <w:marTop w:val="0"/>
      <w:marBottom w:val="0"/>
      <w:divBdr>
        <w:top w:val="none" w:sz="0" w:space="0" w:color="auto"/>
        <w:left w:val="none" w:sz="0" w:space="0" w:color="auto"/>
        <w:bottom w:val="none" w:sz="0" w:space="0" w:color="auto"/>
        <w:right w:val="none" w:sz="0" w:space="0" w:color="auto"/>
      </w:divBdr>
    </w:div>
    <w:div w:id="65229345">
      <w:bodyDiv w:val="1"/>
      <w:marLeft w:val="0"/>
      <w:marRight w:val="0"/>
      <w:marTop w:val="0"/>
      <w:marBottom w:val="0"/>
      <w:divBdr>
        <w:top w:val="none" w:sz="0" w:space="0" w:color="auto"/>
        <w:left w:val="none" w:sz="0" w:space="0" w:color="auto"/>
        <w:bottom w:val="none" w:sz="0" w:space="0" w:color="auto"/>
        <w:right w:val="none" w:sz="0" w:space="0" w:color="auto"/>
      </w:divBdr>
    </w:div>
    <w:div w:id="83957778">
      <w:bodyDiv w:val="1"/>
      <w:marLeft w:val="0"/>
      <w:marRight w:val="0"/>
      <w:marTop w:val="0"/>
      <w:marBottom w:val="0"/>
      <w:divBdr>
        <w:top w:val="none" w:sz="0" w:space="0" w:color="auto"/>
        <w:left w:val="none" w:sz="0" w:space="0" w:color="auto"/>
        <w:bottom w:val="none" w:sz="0" w:space="0" w:color="auto"/>
        <w:right w:val="none" w:sz="0" w:space="0" w:color="auto"/>
      </w:divBdr>
    </w:div>
    <w:div w:id="113671265">
      <w:bodyDiv w:val="1"/>
      <w:marLeft w:val="0"/>
      <w:marRight w:val="0"/>
      <w:marTop w:val="0"/>
      <w:marBottom w:val="0"/>
      <w:divBdr>
        <w:top w:val="none" w:sz="0" w:space="0" w:color="auto"/>
        <w:left w:val="none" w:sz="0" w:space="0" w:color="auto"/>
        <w:bottom w:val="none" w:sz="0" w:space="0" w:color="auto"/>
        <w:right w:val="none" w:sz="0" w:space="0" w:color="auto"/>
      </w:divBdr>
    </w:div>
    <w:div w:id="114911671">
      <w:bodyDiv w:val="1"/>
      <w:marLeft w:val="0"/>
      <w:marRight w:val="0"/>
      <w:marTop w:val="0"/>
      <w:marBottom w:val="0"/>
      <w:divBdr>
        <w:top w:val="none" w:sz="0" w:space="0" w:color="auto"/>
        <w:left w:val="none" w:sz="0" w:space="0" w:color="auto"/>
        <w:bottom w:val="none" w:sz="0" w:space="0" w:color="auto"/>
        <w:right w:val="none" w:sz="0" w:space="0" w:color="auto"/>
      </w:divBdr>
    </w:div>
    <w:div w:id="131601416">
      <w:bodyDiv w:val="1"/>
      <w:marLeft w:val="0"/>
      <w:marRight w:val="0"/>
      <w:marTop w:val="0"/>
      <w:marBottom w:val="0"/>
      <w:divBdr>
        <w:top w:val="none" w:sz="0" w:space="0" w:color="auto"/>
        <w:left w:val="none" w:sz="0" w:space="0" w:color="auto"/>
        <w:bottom w:val="none" w:sz="0" w:space="0" w:color="auto"/>
        <w:right w:val="none" w:sz="0" w:space="0" w:color="auto"/>
      </w:divBdr>
    </w:div>
    <w:div w:id="134640391">
      <w:bodyDiv w:val="1"/>
      <w:marLeft w:val="0"/>
      <w:marRight w:val="0"/>
      <w:marTop w:val="0"/>
      <w:marBottom w:val="0"/>
      <w:divBdr>
        <w:top w:val="none" w:sz="0" w:space="0" w:color="auto"/>
        <w:left w:val="none" w:sz="0" w:space="0" w:color="auto"/>
        <w:bottom w:val="none" w:sz="0" w:space="0" w:color="auto"/>
        <w:right w:val="none" w:sz="0" w:space="0" w:color="auto"/>
      </w:divBdr>
    </w:div>
    <w:div w:id="145166284">
      <w:bodyDiv w:val="1"/>
      <w:marLeft w:val="0"/>
      <w:marRight w:val="0"/>
      <w:marTop w:val="0"/>
      <w:marBottom w:val="0"/>
      <w:divBdr>
        <w:top w:val="none" w:sz="0" w:space="0" w:color="auto"/>
        <w:left w:val="none" w:sz="0" w:space="0" w:color="auto"/>
        <w:bottom w:val="none" w:sz="0" w:space="0" w:color="auto"/>
        <w:right w:val="none" w:sz="0" w:space="0" w:color="auto"/>
      </w:divBdr>
    </w:div>
    <w:div w:id="166482880">
      <w:bodyDiv w:val="1"/>
      <w:marLeft w:val="0"/>
      <w:marRight w:val="0"/>
      <w:marTop w:val="0"/>
      <w:marBottom w:val="0"/>
      <w:divBdr>
        <w:top w:val="none" w:sz="0" w:space="0" w:color="auto"/>
        <w:left w:val="none" w:sz="0" w:space="0" w:color="auto"/>
        <w:bottom w:val="none" w:sz="0" w:space="0" w:color="auto"/>
        <w:right w:val="none" w:sz="0" w:space="0" w:color="auto"/>
      </w:divBdr>
    </w:div>
    <w:div w:id="230963747">
      <w:bodyDiv w:val="1"/>
      <w:marLeft w:val="0"/>
      <w:marRight w:val="0"/>
      <w:marTop w:val="0"/>
      <w:marBottom w:val="0"/>
      <w:divBdr>
        <w:top w:val="none" w:sz="0" w:space="0" w:color="auto"/>
        <w:left w:val="none" w:sz="0" w:space="0" w:color="auto"/>
        <w:bottom w:val="none" w:sz="0" w:space="0" w:color="auto"/>
        <w:right w:val="none" w:sz="0" w:space="0" w:color="auto"/>
      </w:divBdr>
    </w:div>
    <w:div w:id="243732187">
      <w:bodyDiv w:val="1"/>
      <w:marLeft w:val="0"/>
      <w:marRight w:val="0"/>
      <w:marTop w:val="0"/>
      <w:marBottom w:val="0"/>
      <w:divBdr>
        <w:top w:val="none" w:sz="0" w:space="0" w:color="auto"/>
        <w:left w:val="none" w:sz="0" w:space="0" w:color="auto"/>
        <w:bottom w:val="none" w:sz="0" w:space="0" w:color="auto"/>
        <w:right w:val="none" w:sz="0" w:space="0" w:color="auto"/>
      </w:divBdr>
    </w:div>
    <w:div w:id="247930905">
      <w:bodyDiv w:val="1"/>
      <w:marLeft w:val="0"/>
      <w:marRight w:val="0"/>
      <w:marTop w:val="0"/>
      <w:marBottom w:val="0"/>
      <w:divBdr>
        <w:top w:val="none" w:sz="0" w:space="0" w:color="auto"/>
        <w:left w:val="none" w:sz="0" w:space="0" w:color="auto"/>
        <w:bottom w:val="none" w:sz="0" w:space="0" w:color="auto"/>
        <w:right w:val="none" w:sz="0" w:space="0" w:color="auto"/>
      </w:divBdr>
    </w:div>
    <w:div w:id="274026252">
      <w:bodyDiv w:val="1"/>
      <w:marLeft w:val="0"/>
      <w:marRight w:val="0"/>
      <w:marTop w:val="0"/>
      <w:marBottom w:val="0"/>
      <w:divBdr>
        <w:top w:val="none" w:sz="0" w:space="0" w:color="auto"/>
        <w:left w:val="none" w:sz="0" w:space="0" w:color="auto"/>
        <w:bottom w:val="none" w:sz="0" w:space="0" w:color="auto"/>
        <w:right w:val="none" w:sz="0" w:space="0" w:color="auto"/>
      </w:divBdr>
      <w:divsChild>
        <w:div w:id="885486051">
          <w:marLeft w:val="1800"/>
          <w:marRight w:val="0"/>
          <w:marTop w:val="100"/>
          <w:marBottom w:val="0"/>
          <w:divBdr>
            <w:top w:val="none" w:sz="0" w:space="0" w:color="auto"/>
            <w:left w:val="none" w:sz="0" w:space="0" w:color="auto"/>
            <w:bottom w:val="none" w:sz="0" w:space="0" w:color="auto"/>
            <w:right w:val="none" w:sz="0" w:space="0" w:color="auto"/>
          </w:divBdr>
        </w:div>
        <w:div w:id="516968288">
          <w:marLeft w:val="1800"/>
          <w:marRight w:val="0"/>
          <w:marTop w:val="100"/>
          <w:marBottom w:val="0"/>
          <w:divBdr>
            <w:top w:val="none" w:sz="0" w:space="0" w:color="auto"/>
            <w:left w:val="none" w:sz="0" w:space="0" w:color="auto"/>
            <w:bottom w:val="none" w:sz="0" w:space="0" w:color="auto"/>
            <w:right w:val="none" w:sz="0" w:space="0" w:color="auto"/>
          </w:divBdr>
        </w:div>
        <w:div w:id="1427312555">
          <w:marLeft w:val="1800"/>
          <w:marRight w:val="0"/>
          <w:marTop w:val="100"/>
          <w:marBottom w:val="0"/>
          <w:divBdr>
            <w:top w:val="none" w:sz="0" w:space="0" w:color="auto"/>
            <w:left w:val="none" w:sz="0" w:space="0" w:color="auto"/>
            <w:bottom w:val="none" w:sz="0" w:space="0" w:color="auto"/>
            <w:right w:val="none" w:sz="0" w:space="0" w:color="auto"/>
          </w:divBdr>
        </w:div>
      </w:divsChild>
    </w:div>
    <w:div w:id="289673664">
      <w:bodyDiv w:val="1"/>
      <w:marLeft w:val="0"/>
      <w:marRight w:val="0"/>
      <w:marTop w:val="0"/>
      <w:marBottom w:val="0"/>
      <w:divBdr>
        <w:top w:val="none" w:sz="0" w:space="0" w:color="auto"/>
        <w:left w:val="none" w:sz="0" w:space="0" w:color="auto"/>
        <w:bottom w:val="none" w:sz="0" w:space="0" w:color="auto"/>
        <w:right w:val="none" w:sz="0" w:space="0" w:color="auto"/>
      </w:divBdr>
    </w:div>
    <w:div w:id="305621466">
      <w:bodyDiv w:val="1"/>
      <w:marLeft w:val="0"/>
      <w:marRight w:val="0"/>
      <w:marTop w:val="0"/>
      <w:marBottom w:val="0"/>
      <w:divBdr>
        <w:top w:val="none" w:sz="0" w:space="0" w:color="auto"/>
        <w:left w:val="none" w:sz="0" w:space="0" w:color="auto"/>
        <w:bottom w:val="none" w:sz="0" w:space="0" w:color="auto"/>
        <w:right w:val="none" w:sz="0" w:space="0" w:color="auto"/>
      </w:divBdr>
    </w:div>
    <w:div w:id="306471658">
      <w:bodyDiv w:val="1"/>
      <w:marLeft w:val="0"/>
      <w:marRight w:val="0"/>
      <w:marTop w:val="0"/>
      <w:marBottom w:val="0"/>
      <w:divBdr>
        <w:top w:val="none" w:sz="0" w:space="0" w:color="auto"/>
        <w:left w:val="none" w:sz="0" w:space="0" w:color="auto"/>
        <w:bottom w:val="none" w:sz="0" w:space="0" w:color="auto"/>
        <w:right w:val="none" w:sz="0" w:space="0" w:color="auto"/>
      </w:divBdr>
    </w:div>
    <w:div w:id="322469407">
      <w:bodyDiv w:val="1"/>
      <w:marLeft w:val="0"/>
      <w:marRight w:val="0"/>
      <w:marTop w:val="0"/>
      <w:marBottom w:val="0"/>
      <w:divBdr>
        <w:top w:val="none" w:sz="0" w:space="0" w:color="auto"/>
        <w:left w:val="none" w:sz="0" w:space="0" w:color="auto"/>
        <w:bottom w:val="none" w:sz="0" w:space="0" w:color="auto"/>
        <w:right w:val="none" w:sz="0" w:space="0" w:color="auto"/>
      </w:divBdr>
    </w:div>
    <w:div w:id="330377225">
      <w:bodyDiv w:val="1"/>
      <w:marLeft w:val="0"/>
      <w:marRight w:val="0"/>
      <w:marTop w:val="0"/>
      <w:marBottom w:val="0"/>
      <w:divBdr>
        <w:top w:val="none" w:sz="0" w:space="0" w:color="auto"/>
        <w:left w:val="none" w:sz="0" w:space="0" w:color="auto"/>
        <w:bottom w:val="none" w:sz="0" w:space="0" w:color="auto"/>
        <w:right w:val="none" w:sz="0" w:space="0" w:color="auto"/>
      </w:divBdr>
    </w:div>
    <w:div w:id="338779273">
      <w:bodyDiv w:val="1"/>
      <w:marLeft w:val="0"/>
      <w:marRight w:val="0"/>
      <w:marTop w:val="0"/>
      <w:marBottom w:val="0"/>
      <w:divBdr>
        <w:top w:val="none" w:sz="0" w:space="0" w:color="auto"/>
        <w:left w:val="none" w:sz="0" w:space="0" w:color="auto"/>
        <w:bottom w:val="none" w:sz="0" w:space="0" w:color="auto"/>
        <w:right w:val="none" w:sz="0" w:space="0" w:color="auto"/>
      </w:divBdr>
      <w:divsChild>
        <w:div w:id="1407608908">
          <w:marLeft w:val="547"/>
          <w:marRight w:val="0"/>
          <w:marTop w:val="200"/>
          <w:marBottom w:val="0"/>
          <w:divBdr>
            <w:top w:val="none" w:sz="0" w:space="0" w:color="auto"/>
            <w:left w:val="none" w:sz="0" w:space="0" w:color="auto"/>
            <w:bottom w:val="none" w:sz="0" w:space="0" w:color="auto"/>
            <w:right w:val="none" w:sz="0" w:space="0" w:color="auto"/>
          </w:divBdr>
        </w:div>
        <w:div w:id="1771855672">
          <w:marLeft w:val="547"/>
          <w:marRight w:val="0"/>
          <w:marTop w:val="200"/>
          <w:marBottom w:val="0"/>
          <w:divBdr>
            <w:top w:val="none" w:sz="0" w:space="0" w:color="auto"/>
            <w:left w:val="none" w:sz="0" w:space="0" w:color="auto"/>
            <w:bottom w:val="none" w:sz="0" w:space="0" w:color="auto"/>
            <w:right w:val="none" w:sz="0" w:space="0" w:color="auto"/>
          </w:divBdr>
        </w:div>
        <w:div w:id="1798068260">
          <w:marLeft w:val="547"/>
          <w:marRight w:val="0"/>
          <w:marTop w:val="200"/>
          <w:marBottom w:val="0"/>
          <w:divBdr>
            <w:top w:val="none" w:sz="0" w:space="0" w:color="auto"/>
            <w:left w:val="none" w:sz="0" w:space="0" w:color="auto"/>
            <w:bottom w:val="none" w:sz="0" w:space="0" w:color="auto"/>
            <w:right w:val="none" w:sz="0" w:space="0" w:color="auto"/>
          </w:divBdr>
        </w:div>
        <w:div w:id="1945183615">
          <w:marLeft w:val="547"/>
          <w:marRight w:val="0"/>
          <w:marTop w:val="200"/>
          <w:marBottom w:val="0"/>
          <w:divBdr>
            <w:top w:val="none" w:sz="0" w:space="0" w:color="auto"/>
            <w:left w:val="none" w:sz="0" w:space="0" w:color="auto"/>
            <w:bottom w:val="none" w:sz="0" w:space="0" w:color="auto"/>
            <w:right w:val="none" w:sz="0" w:space="0" w:color="auto"/>
          </w:divBdr>
        </w:div>
      </w:divsChild>
    </w:div>
    <w:div w:id="393701189">
      <w:bodyDiv w:val="1"/>
      <w:marLeft w:val="0"/>
      <w:marRight w:val="0"/>
      <w:marTop w:val="0"/>
      <w:marBottom w:val="0"/>
      <w:divBdr>
        <w:top w:val="none" w:sz="0" w:space="0" w:color="auto"/>
        <w:left w:val="none" w:sz="0" w:space="0" w:color="auto"/>
        <w:bottom w:val="none" w:sz="0" w:space="0" w:color="auto"/>
        <w:right w:val="none" w:sz="0" w:space="0" w:color="auto"/>
      </w:divBdr>
    </w:div>
    <w:div w:id="408313232">
      <w:bodyDiv w:val="1"/>
      <w:marLeft w:val="0"/>
      <w:marRight w:val="0"/>
      <w:marTop w:val="0"/>
      <w:marBottom w:val="0"/>
      <w:divBdr>
        <w:top w:val="none" w:sz="0" w:space="0" w:color="auto"/>
        <w:left w:val="none" w:sz="0" w:space="0" w:color="auto"/>
        <w:bottom w:val="none" w:sz="0" w:space="0" w:color="auto"/>
        <w:right w:val="none" w:sz="0" w:space="0" w:color="auto"/>
      </w:divBdr>
    </w:div>
    <w:div w:id="415634362">
      <w:bodyDiv w:val="1"/>
      <w:marLeft w:val="0"/>
      <w:marRight w:val="0"/>
      <w:marTop w:val="0"/>
      <w:marBottom w:val="0"/>
      <w:divBdr>
        <w:top w:val="none" w:sz="0" w:space="0" w:color="auto"/>
        <w:left w:val="none" w:sz="0" w:space="0" w:color="auto"/>
        <w:bottom w:val="none" w:sz="0" w:space="0" w:color="auto"/>
        <w:right w:val="none" w:sz="0" w:space="0" w:color="auto"/>
      </w:divBdr>
    </w:div>
    <w:div w:id="424300556">
      <w:bodyDiv w:val="1"/>
      <w:marLeft w:val="0"/>
      <w:marRight w:val="0"/>
      <w:marTop w:val="0"/>
      <w:marBottom w:val="0"/>
      <w:divBdr>
        <w:top w:val="none" w:sz="0" w:space="0" w:color="auto"/>
        <w:left w:val="none" w:sz="0" w:space="0" w:color="auto"/>
        <w:bottom w:val="none" w:sz="0" w:space="0" w:color="auto"/>
        <w:right w:val="none" w:sz="0" w:space="0" w:color="auto"/>
      </w:divBdr>
    </w:div>
    <w:div w:id="443429987">
      <w:bodyDiv w:val="1"/>
      <w:marLeft w:val="0"/>
      <w:marRight w:val="0"/>
      <w:marTop w:val="0"/>
      <w:marBottom w:val="0"/>
      <w:divBdr>
        <w:top w:val="none" w:sz="0" w:space="0" w:color="auto"/>
        <w:left w:val="none" w:sz="0" w:space="0" w:color="auto"/>
        <w:bottom w:val="none" w:sz="0" w:space="0" w:color="auto"/>
        <w:right w:val="none" w:sz="0" w:space="0" w:color="auto"/>
      </w:divBdr>
    </w:div>
    <w:div w:id="474951377">
      <w:bodyDiv w:val="1"/>
      <w:marLeft w:val="0"/>
      <w:marRight w:val="0"/>
      <w:marTop w:val="0"/>
      <w:marBottom w:val="0"/>
      <w:divBdr>
        <w:top w:val="none" w:sz="0" w:space="0" w:color="auto"/>
        <w:left w:val="none" w:sz="0" w:space="0" w:color="auto"/>
        <w:bottom w:val="none" w:sz="0" w:space="0" w:color="auto"/>
        <w:right w:val="none" w:sz="0" w:space="0" w:color="auto"/>
      </w:divBdr>
    </w:div>
    <w:div w:id="486168119">
      <w:bodyDiv w:val="1"/>
      <w:marLeft w:val="0"/>
      <w:marRight w:val="0"/>
      <w:marTop w:val="0"/>
      <w:marBottom w:val="0"/>
      <w:divBdr>
        <w:top w:val="none" w:sz="0" w:space="0" w:color="auto"/>
        <w:left w:val="none" w:sz="0" w:space="0" w:color="auto"/>
        <w:bottom w:val="none" w:sz="0" w:space="0" w:color="auto"/>
        <w:right w:val="none" w:sz="0" w:space="0" w:color="auto"/>
      </w:divBdr>
    </w:div>
    <w:div w:id="492255104">
      <w:bodyDiv w:val="1"/>
      <w:marLeft w:val="0"/>
      <w:marRight w:val="0"/>
      <w:marTop w:val="0"/>
      <w:marBottom w:val="0"/>
      <w:divBdr>
        <w:top w:val="none" w:sz="0" w:space="0" w:color="auto"/>
        <w:left w:val="none" w:sz="0" w:space="0" w:color="auto"/>
        <w:bottom w:val="none" w:sz="0" w:space="0" w:color="auto"/>
        <w:right w:val="none" w:sz="0" w:space="0" w:color="auto"/>
      </w:divBdr>
    </w:div>
    <w:div w:id="498037995">
      <w:bodyDiv w:val="1"/>
      <w:marLeft w:val="0"/>
      <w:marRight w:val="0"/>
      <w:marTop w:val="0"/>
      <w:marBottom w:val="0"/>
      <w:divBdr>
        <w:top w:val="none" w:sz="0" w:space="0" w:color="auto"/>
        <w:left w:val="none" w:sz="0" w:space="0" w:color="auto"/>
        <w:bottom w:val="none" w:sz="0" w:space="0" w:color="auto"/>
        <w:right w:val="none" w:sz="0" w:space="0" w:color="auto"/>
      </w:divBdr>
    </w:div>
    <w:div w:id="500049764">
      <w:bodyDiv w:val="1"/>
      <w:marLeft w:val="0"/>
      <w:marRight w:val="0"/>
      <w:marTop w:val="0"/>
      <w:marBottom w:val="0"/>
      <w:divBdr>
        <w:top w:val="none" w:sz="0" w:space="0" w:color="auto"/>
        <w:left w:val="none" w:sz="0" w:space="0" w:color="auto"/>
        <w:bottom w:val="none" w:sz="0" w:space="0" w:color="auto"/>
        <w:right w:val="none" w:sz="0" w:space="0" w:color="auto"/>
      </w:divBdr>
    </w:div>
    <w:div w:id="513761641">
      <w:bodyDiv w:val="1"/>
      <w:marLeft w:val="0"/>
      <w:marRight w:val="0"/>
      <w:marTop w:val="0"/>
      <w:marBottom w:val="0"/>
      <w:divBdr>
        <w:top w:val="none" w:sz="0" w:space="0" w:color="auto"/>
        <w:left w:val="none" w:sz="0" w:space="0" w:color="auto"/>
        <w:bottom w:val="none" w:sz="0" w:space="0" w:color="auto"/>
        <w:right w:val="none" w:sz="0" w:space="0" w:color="auto"/>
      </w:divBdr>
    </w:div>
    <w:div w:id="566232429">
      <w:bodyDiv w:val="1"/>
      <w:marLeft w:val="0"/>
      <w:marRight w:val="0"/>
      <w:marTop w:val="0"/>
      <w:marBottom w:val="0"/>
      <w:divBdr>
        <w:top w:val="none" w:sz="0" w:space="0" w:color="auto"/>
        <w:left w:val="none" w:sz="0" w:space="0" w:color="auto"/>
        <w:bottom w:val="none" w:sz="0" w:space="0" w:color="auto"/>
        <w:right w:val="none" w:sz="0" w:space="0" w:color="auto"/>
      </w:divBdr>
      <w:divsChild>
        <w:div w:id="1472283302">
          <w:marLeft w:val="360"/>
          <w:marRight w:val="0"/>
          <w:marTop w:val="200"/>
          <w:marBottom w:val="0"/>
          <w:divBdr>
            <w:top w:val="none" w:sz="0" w:space="0" w:color="auto"/>
            <w:left w:val="none" w:sz="0" w:space="0" w:color="auto"/>
            <w:bottom w:val="none" w:sz="0" w:space="0" w:color="auto"/>
            <w:right w:val="none" w:sz="0" w:space="0" w:color="auto"/>
          </w:divBdr>
        </w:div>
        <w:div w:id="84041330">
          <w:marLeft w:val="360"/>
          <w:marRight w:val="0"/>
          <w:marTop w:val="200"/>
          <w:marBottom w:val="0"/>
          <w:divBdr>
            <w:top w:val="none" w:sz="0" w:space="0" w:color="auto"/>
            <w:left w:val="none" w:sz="0" w:space="0" w:color="auto"/>
            <w:bottom w:val="none" w:sz="0" w:space="0" w:color="auto"/>
            <w:right w:val="none" w:sz="0" w:space="0" w:color="auto"/>
          </w:divBdr>
        </w:div>
        <w:div w:id="1952128617">
          <w:marLeft w:val="360"/>
          <w:marRight w:val="0"/>
          <w:marTop w:val="200"/>
          <w:marBottom w:val="0"/>
          <w:divBdr>
            <w:top w:val="none" w:sz="0" w:space="0" w:color="auto"/>
            <w:left w:val="none" w:sz="0" w:space="0" w:color="auto"/>
            <w:bottom w:val="none" w:sz="0" w:space="0" w:color="auto"/>
            <w:right w:val="none" w:sz="0" w:space="0" w:color="auto"/>
          </w:divBdr>
        </w:div>
      </w:divsChild>
    </w:div>
    <w:div w:id="578757805">
      <w:bodyDiv w:val="1"/>
      <w:marLeft w:val="0"/>
      <w:marRight w:val="0"/>
      <w:marTop w:val="0"/>
      <w:marBottom w:val="0"/>
      <w:divBdr>
        <w:top w:val="none" w:sz="0" w:space="0" w:color="auto"/>
        <w:left w:val="none" w:sz="0" w:space="0" w:color="auto"/>
        <w:bottom w:val="none" w:sz="0" w:space="0" w:color="auto"/>
        <w:right w:val="none" w:sz="0" w:space="0" w:color="auto"/>
      </w:divBdr>
    </w:div>
    <w:div w:id="605619243">
      <w:bodyDiv w:val="1"/>
      <w:marLeft w:val="0"/>
      <w:marRight w:val="0"/>
      <w:marTop w:val="0"/>
      <w:marBottom w:val="0"/>
      <w:divBdr>
        <w:top w:val="none" w:sz="0" w:space="0" w:color="auto"/>
        <w:left w:val="none" w:sz="0" w:space="0" w:color="auto"/>
        <w:bottom w:val="none" w:sz="0" w:space="0" w:color="auto"/>
        <w:right w:val="none" w:sz="0" w:space="0" w:color="auto"/>
      </w:divBdr>
    </w:div>
    <w:div w:id="606547296">
      <w:bodyDiv w:val="1"/>
      <w:marLeft w:val="0"/>
      <w:marRight w:val="0"/>
      <w:marTop w:val="0"/>
      <w:marBottom w:val="0"/>
      <w:divBdr>
        <w:top w:val="none" w:sz="0" w:space="0" w:color="auto"/>
        <w:left w:val="none" w:sz="0" w:space="0" w:color="auto"/>
        <w:bottom w:val="none" w:sz="0" w:space="0" w:color="auto"/>
        <w:right w:val="none" w:sz="0" w:space="0" w:color="auto"/>
      </w:divBdr>
    </w:div>
    <w:div w:id="636452498">
      <w:bodyDiv w:val="1"/>
      <w:marLeft w:val="0"/>
      <w:marRight w:val="0"/>
      <w:marTop w:val="0"/>
      <w:marBottom w:val="0"/>
      <w:divBdr>
        <w:top w:val="none" w:sz="0" w:space="0" w:color="auto"/>
        <w:left w:val="none" w:sz="0" w:space="0" w:color="auto"/>
        <w:bottom w:val="none" w:sz="0" w:space="0" w:color="auto"/>
        <w:right w:val="none" w:sz="0" w:space="0" w:color="auto"/>
      </w:divBdr>
      <w:divsChild>
        <w:div w:id="1121918598">
          <w:marLeft w:val="547"/>
          <w:marRight w:val="0"/>
          <w:marTop w:val="0"/>
          <w:marBottom w:val="0"/>
          <w:divBdr>
            <w:top w:val="none" w:sz="0" w:space="0" w:color="auto"/>
            <w:left w:val="none" w:sz="0" w:space="0" w:color="auto"/>
            <w:bottom w:val="none" w:sz="0" w:space="0" w:color="auto"/>
            <w:right w:val="none" w:sz="0" w:space="0" w:color="auto"/>
          </w:divBdr>
        </w:div>
        <w:div w:id="130363112">
          <w:marLeft w:val="547"/>
          <w:marRight w:val="0"/>
          <w:marTop w:val="0"/>
          <w:marBottom w:val="0"/>
          <w:divBdr>
            <w:top w:val="none" w:sz="0" w:space="0" w:color="auto"/>
            <w:left w:val="none" w:sz="0" w:space="0" w:color="auto"/>
            <w:bottom w:val="none" w:sz="0" w:space="0" w:color="auto"/>
            <w:right w:val="none" w:sz="0" w:space="0" w:color="auto"/>
          </w:divBdr>
        </w:div>
        <w:div w:id="252786466">
          <w:marLeft w:val="547"/>
          <w:marRight w:val="0"/>
          <w:marTop w:val="0"/>
          <w:marBottom w:val="0"/>
          <w:divBdr>
            <w:top w:val="none" w:sz="0" w:space="0" w:color="auto"/>
            <w:left w:val="none" w:sz="0" w:space="0" w:color="auto"/>
            <w:bottom w:val="none" w:sz="0" w:space="0" w:color="auto"/>
            <w:right w:val="none" w:sz="0" w:space="0" w:color="auto"/>
          </w:divBdr>
        </w:div>
      </w:divsChild>
    </w:div>
    <w:div w:id="678043348">
      <w:bodyDiv w:val="1"/>
      <w:marLeft w:val="0"/>
      <w:marRight w:val="0"/>
      <w:marTop w:val="0"/>
      <w:marBottom w:val="0"/>
      <w:divBdr>
        <w:top w:val="none" w:sz="0" w:space="0" w:color="auto"/>
        <w:left w:val="none" w:sz="0" w:space="0" w:color="auto"/>
        <w:bottom w:val="none" w:sz="0" w:space="0" w:color="auto"/>
        <w:right w:val="none" w:sz="0" w:space="0" w:color="auto"/>
      </w:divBdr>
      <w:divsChild>
        <w:div w:id="819226072">
          <w:marLeft w:val="547"/>
          <w:marRight w:val="0"/>
          <w:marTop w:val="240"/>
          <w:marBottom w:val="0"/>
          <w:divBdr>
            <w:top w:val="none" w:sz="0" w:space="0" w:color="auto"/>
            <w:left w:val="none" w:sz="0" w:space="0" w:color="auto"/>
            <w:bottom w:val="none" w:sz="0" w:space="0" w:color="auto"/>
            <w:right w:val="none" w:sz="0" w:space="0" w:color="auto"/>
          </w:divBdr>
        </w:div>
      </w:divsChild>
    </w:div>
    <w:div w:id="760415361">
      <w:bodyDiv w:val="1"/>
      <w:marLeft w:val="0"/>
      <w:marRight w:val="0"/>
      <w:marTop w:val="0"/>
      <w:marBottom w:val="0"/>
      <w:divBdr>
        <w:top w:val="none" w:sz="0" w:space="0" w:color="auto"/>
        <w:left w:val="none" w:sz="0" w:space="0" w:color="auto"/>
        <w:bottom w:val="none" w:sz="0" w:space="0" w:color="auto"/>
        <w:right w:val="none" w:sz="0" w:space="0" w:color="auto"/>
      </w:divBdr>
    </w:div>
    <w:div w:id="769742546">
      <w:bodyDiv w:val="1"/>
      <w:marLeft w:val="0"/>
      <w:marRight w:val="0"/>
      <w:marTop w:val="0"/>
      <w:marBottom w:val="0"/>
      <w:divBdr>
        <w:top w:val="none" w:sz="0" w:space="0" w:color="auto"/>
        <w:left w:val="none" w:sz="0" w:space="0" w:color="auto"/>
        <w:bottom w:val="none" w:sz="0" w:space="0" w:color="auto"/>
        <w:right w:val="none" w:sz="0" w:space="0" w:color="auto"/>
      </w:divBdr>
      <w:divsChild>
        <w:div w:id="1414352485">
          <w:marLeft w:val="547"/>
          <w:marRight w:val="0"/>
          <w:marTop w:val="0"/>
          <w:marBottom w:val="0"/>
          <w:divBdr>
            <w:top w:val="none" w:sz="0" w:space="0" w:color="auto"/>
            <w:left w:val="none" w:sz="0" w:space="0" w:color="auto"/>
            <w:bottom w:val="none" w:sz="0" w:space="0" w:color="auto"/>
            <w:right w:val="none" w:sz="0" w:space="0" w:color="auto"/>
          </w:divBdr>
        </w:div>
        <w:div w:id="1304118279">
          <w:marLeft w:val="547"/>
          <w:marRight w:val="0"/>
          <w:marTop w:val="0"/>
          <w:marBottom w:val="0"/>
          <w:divBdr>
            <w:top w:val="none" w:sz="0" w:space="0" w:color="auto"/>
            <w:left w:val="none" w:sz="0" w:space="0" w:color="auto"/>
            <w:bottom w:val="none" w:sz="0" w:space="0" w:color="auto"/>
            <w:right w:val="none" w:sz="0" w:space="0" w:color="auto"/>
          </w:divBdr>
        </w:div>
        <w:div w:id="761219553">
          <w:marLeft w:val="547"/>
          <w:marRight w:val="0"/>
          <w:marTop w:val="0"/>
          <w:marBottom w:val="0"/>
          <w:divBdr>
            <w:top w:val="none" w:sz="0" w:space="0" w:color="auto"/>
            <w:left w:val="none" w:sz="0" w:space="0" w:color="auto"/>
            <w:bottom w:val="none" w:sz="0" w:space="0" w:color="auto"/>
            <w:right w:val="none" w:sz="0" w:space="0" w:color="auto"/>
          </w:divBdr>
        </w:div>
        <w:div w:id="1841458315">
          <w:marLeft w:val="547"/>
          <w:marRight w:val="0"/>
          <w:marTop w:val="0"/>
          <w:marBottom w:val="0"/>
          <w:divBdr>
            <w:top w:val="none" w:sz="0" w:space="0" w:color="auto"/>
            <w:left w:val="none" w:sz="0" w:space="0" w:color="auto"/>
            <w:bottom w:val="none" w:sz="0" w:space="0" w:color="auto"/>
            <w:right w:val="none" w:sz="0" w:space="0" w:color="auto"/>
          </w:divBdr>
        </w:div>
      </w:divsChild>
    </w:div>
    <w:div w:id="786779215">
      <w:bodyDiv w:val="1"/>
      <w:marLeft w:val="0"/>
      <w:marRight w:val="0"/>
      <w:marTop w:val="0"/>
      <w:marBottom w:val="0"/>
      <w:divBdr>
        <w:top w:val="none" w:sz="0" w:space="0" w:color="auto"/>
        <w:left w:val="none" w:sz="0" w:space="0" w:color="auto"/>
        <w:bottom w:val="none" w:sz="0" w:space="0" w:color="auto"/>
        <w:right w:val="none" w:sz="0" w:space="0" w:color="auto"/>
      </w:divBdr>
    </w:div>
    <w:div w:id="851799487">
      <w:bodyDiv w:val="1"/>
      <w:marLeft w:val="0"/>
      <w:marRight w:val="0"/>
      <w:marTop w:val="0"/>
      <w:marBottom w:val="0"/>
      <w:divBdr>
        <w:top w:val="none" w:sz="0" w:space="0" w:color="auto"/>
        <w:left w:val="none" w:sz="0" w:space="0" w:color="auto"/>
        <w:bottom w:val="none" w:sz="0" w:space="0" w:color="auto"/>
        <w:right w:val="none" w:sz="0" w:space="0" w:color="auto"/>
      </w:divBdr>
      <w:divsChild>
        <w:div w:id="1375734946">
          <w:marLeft w:val="547"/>
          <w:marRight w:val="0"/>
          <w:marTop w:val="240"/>
          <w:marBottom w:val="0"/>
          <w:divBdr>
            <w:top w:val="none" w:sz="0" w:space="0" w:color="auto"/>
            <w:left w:val="none" w:sz="0" w:space="0" w:color="auto"/>
            <w:bottom w:val="none" w:sz="0" w:space="0" w:color="auto"/>
            <w:right w:val="none" w:sz="0" w:space="0" w:color="auto"/>
          </w:divBdr>
        </w:div>
      </w:divsChild>
    </w:div>
    <w:div w:id="864437849">
      <w:bodyDiv w:val="1"/>
      <w:marLeft w:val="0"/>
      <w:marRight w:val="0"/>
      <w:marTop w:val="0"/>
      <w:marBottom w:val="0"/>
      <w:divBdr>
        <w:top w:val="none" w:sz="0" w:space="0" w:color="auto"/>
        <w:left w:val="none" w:sz="0" w:space="0" w:color="auto"/>
        <w:bottom w:val="none" w:sz="0" w:space="0" w:color="auto"/>
        <w:right w:val="none" w:sz="0" w:space="0" w:color="auto"/>
      </w:divBdr>
    </w:div>
    <w:div w:id="899633415">
      <w:bodyDiv w:val="1"/>
      <w:marLeft w:val="0"/>
      <w:marRight w:val="0"/>
      <w:marTop w:val="0"/>
      <w:marBottom w:val="0"/>
      <w:divBdr>
        <w:top w:val="none" w:sz="0" w:space="0" w:color="auto"/>
        <w:left w:val="none" w:sz="0" w:space="0" w:color="auto"/>
        <w:bottom w:val="none" w:sz="0" w:space="0" w:color="auto"/>
        <w:right w:val="none" w:sz="0" w:space="0" w:color="auto"/>
      </w:divBdr>
    </w:div>
    <w:div w:id="906036048">
      <w:bodyDiv w:val="1"/>
      <w:marLeft w:val="0"/>
      <w:marRight w:val="0"/>
      <w:marTop w:val="0"/>
      <w:marBottom w:val="0"/>
      <w:divBdr>
        <w:top w:val="none" w:sz="0" w:space="0" w:color="auto"/>
        <w:left w:val="none" w:sz="0" w:space="0" w:color="auto"/>
        <w:bottom w:val="none" w:sz="0" w:space="0" w:color="auto"/>
        <w:right w:val="none" w:sz="0" w:space="0" w:color="auto"/>
      </w:divBdr>
    </w:div>
    <w:div w:id="915358776">
      <w:bodyDiv w:val="1"/>
      <w:marLeft w:val="0"/>
      <w:marRight w:val="0"/>
      <w:marTop w:val="0"/>
      <w:marBottom w:val="0"/>
      <w:divBdr>
        <w:top w:val="none" w:sz="0" w:space="0" w:color="auto"/>
        <w:left w:val="none" w:sz="0" w:space="0" w:color="auto"/>
        <w:bottom w:val="none" w:sz="0" w:space="0" w:color="auto"/>
        <w:right w:val="none" w:sz="0" w:space="0" w:color="auto"/>
      </w:divBdr>
    </w:div>
    <w:div w:id="945039070">
      <w:bodyDiv w:val="1"/>
      <w:marLeft w:val="0"/>
      <w:marRight w:val="0"/>
      <w:marTop w:val="0"/>
      <w:marBottom w:val="0"/>
      <w:divBdr>
        <w:top w:val="none" w:sz="0" w:space="0" w:color="auto"/>
        <w:left w:val="none" w:sz="0" w:space="0" w:color="auto"/>
        <w:bottom w:val="none" w:sz="0" w:space="0" w:color="auto"/>
        <w:right w:val="none" w:sz="0" w:space="0" w:color="auto"/>
      </w:divBdr>
    </w:div>
    <w:div w:id="956722297">
      <w:bodyDiv w:val="1"/>
      <w:marLeft w:val="0"/>
      <w:marRight w:val="0"/>
      <w:marTop w:val="0"/>
      <w:marBottom w:val="0"/>
      <w:divBdr>
        <w:top w:val="none" w:sz="0" w:space="0" w:color="auto"/>
        <w:left w:val="none" w:sz="0" w:space="0" w:color="auto"/>
        <w:bottom w:val="none" w:sz="0" w:space="0" w:color="auto"/>
        <w:right w:val="none" w:sz="0" w:space="0" w:color="auto"/>
      </w:divBdr>
    </w:div>
    <w:div w:id="985743015">
      <w:bodyDiv w:val="1"/>
      <w:marLeft w:val="0"/>
      <w:marRight w:val="0"/>
      <w:marTop w:val="0"/>
      <w:marBottom w:val="0"/>
      <w:divBdr>
        <w:top w:val="none" w:sz="0" w:space="0" w:color="auto"/>
        <w:left w:val="none" w:sz="0" w:space="0" w:color="auto"/>
        <w:bottom w:val="none" w:sz="0" w:space="0" w:color="auto"/>
        <w:right w:val="none" w:sz="0" w:space="0" w:color="auto"/>
      </w:divBdr>
      <w:divsChild>
        <w:div w:id="776171113">
          <w:marLeft w:val="446"/>
          <w:marRight w:val="0"/>
          <w:marTop w:val="0"/>
          <w:marBottom w:val="0"/>
          <w:divBdr>
            <w:top w:val="none" w:sz="0" w:space="0" w:color="auto"/>
            <w:left w:val="none" w:sz="0" w:space="0" w:color="auto"/>
            <w:bottom w:val="none" w:sz="0" w:space="0" w:color="auto"/>
            <w:right w:val="none" w:sz="0" w:space="0" w:color="auto"/>
          </w:divBdr>
        </w:div>
        <w:div w:id="329450169">
          <w:marLeft w:val="446"/>
          <w:marRight w:val="0"/>
          <w:marTop w:val="0"/>
          <w:marBottom w:val="0"/>
          <w:divBdr>
            <w:top w:val="none" w:sz="0" w:space="0" w:color="auto"/>
            <w:left w:val="none" w:sz="0" w:space="0" w:color="auto"/>
            <w:bottom w:val="none" w:sz="0" w:space="0" w:color="auto"/>
            <w:right w:val="none" w:sz="0" w:space="0" w:color="auto"/>
          </w:divBdr>
        </w:div>
        <w:div w:id="2028946048">
          <w:marLeft w:val="446"/>
          <w:marRight w:val="0"/>
          <w:marTop w:val="0"/>
          <w:marBottom w:val="0"/>
          <w:divBdr>
            <w:top w:val="none" w:sz="0" w:space="0" w:color="auto"/>
            <w:left w:val="none" w:sz="0" w:space="0" w:color="auto"/>
            <w:bottom w:val="none" w:sz="0" w:space="0" w:color="auto"/>
            <w:right w:val="none" w:sz="0" w:space="0" w:color="auto"/>
          </w:divBdr>
        </w:div>
      </w:divsChild>
    </w:div>
    <w:div w:id="988634330">
      <w:bodyDiv w:val="1"/>
      <w:marLeft w:val="0"/>
      <w:marRight w:val="0"/>
      <w:marTop w:val="0"/>
      <w:marBottom w:val="0"/>
      <w:divBdr>
        <w:top w:val="none" w:sz="0" w:space="0" w:color="auto"/>
        <w:left w:val="none" w:sz="0" w:space="0" w:color="auto"/>
        <w:bottom w:val="none" w:sz="0" w:space="0" w:color="auto"/>
        <w:right w:val="none" w:sz="0" w:space="0" w:color="auto"/>
      </w:divBdr>
    </w:div>
    <w:div w:id="991257235">
      <w:bodyDiv w:val="1"/>
      <w:marLeft w:val="0"/>
      <w:marRight w:val="0"/>
      <w:marTop w:val="0"/>
      <w:marBottom w:val="0"/>
      <w:divBdr>
        <w:top w:val="none" w:sz="0" w:space="0" w:color="auto"/>
        <w:left w:val="none" w:sz="0" w:space="0" w:color="auto"/>
        <w:bottom w:val="none" w:sz="0" w:space="0" w:color="auto"/>
        <w:right w:val="none" w:sz="0" w:space="0" w:color="auto"/>
      </w:divBdr>
    </w:div>
    <w:div w:id="993877422">
      <w:bodyDiv w:val="1"/>
      <w:marLeft w:val="0"/>
      <w:marRight w:val="0"/>
      <w:marTop w:val="0"/>
      <w:marBottom w:val="0"/>
      <w:divBdr>
        <w:top w:val="none" w:sz="0" w:space="0" w:color="auto"/>
        <w:left w:val="none" w:sz="0" w:space="0" w:color="auto"/>
        <w:bottom w:val="none" w:sz="0" w:space="0" w:color="auto"/>
        <w:right w:val="none" w:sz="0" w:space="0" w:color="auto"/>
      </w:divBdr>
    </w:div>
    <w:div w:id="1065178396">
      <w:bodyDiv w:val="1"/>
      <w:marLeft w:val="0"/>
      <w:marRight w:val="0"/>
      <w:marTop w:val="0"/>
      <w:marBottom w:val="0"/>
      <w:divBdr>
        <w:top w:val="none" w:sz="0" w:space="0" w:color="auto"/>
        <w:left w:val="none" w:sz="0" w:space="0" w:color="auto"/>
        <w:bottom w:val="none" w:sz="0" w:space="0" w:color="auto"/>
        <w:right w:val="none" w:sz="0" w:space="0" w:color="auto"/>
      </w:divBdr>
    </w:div>
    <w:div w:id="1095978749">
      <w:bodyDiv w:val="1"/>
      <w:marLeft w:val="0"/>
      <w:marRight w:val="0"/>
      <w:marTop w:val="0"/>
      <w:marBottom w:val="0"/>
      <w:divBdr>
        <w:top w:val="none" w:sz="0" w:space="0" w:color="auto"/>
        <w:left w:val="none" w:sz="0" w:space="0" w:color="auto"/>
        <w:bottom w:val="none" w:sz="0" w:space="0" w:color="auto"/>
        <w:right w:val="none" w:sz="0" w:space="0" w:color="auto"/>
      </w:divBdr>
    </w:div>
    <w:div w:id="1099720350">
      <w:bodyDiv w:val="1"/>
      <w:marLeft w:val="0"/>
      <w:marRight w:val="0"/>
      <w:marTop w:val="0"/>
      <w:marBottom w:val="0"/>
      <w:divBdr>
        <w:top w:val="none" w:sz="0" w:space="0" w:color="auto"/>
        <w:left w:val="none" w:sz="0" w:space="0" w:color="auto"/>
        <w:bottom w:val="none" w:sz="0" w:space="0" w:color="auto"/>
        <w:right w:val="none" w:sz="0" w:space="0" w:color="auto"/>
      </w:divBdr>
      <w:divsChild>
        <w:div w:id="188221706">
          <w:marLeft w:val="547"/>
          <w:marRight w:val="0"/>
          <w:marTop w:val="0"/>
          <w:marBottom w:val="0"/>
          <w:divBdr>
            <w:top w:val="none" w:sz="0" w:space="0" w:color="auto"/>
            <w:left w:val="none" w:sz="0" w:space="0" w:color="auto"/>
            <w:bottom w:val="none" w:sz="0" w:space="0" w:color="auto"/>
            <w:right w:val="none" w:sz="0" w:space="0" w:color="auto"/>
          </w:divBdr>
        </w:div>
        <w:div w:id="1958176966">
          <w:marLeft w:val="547"/>
          <w:marRight w:val="0"/>
          <w:marTop w:val="0"/>
          <w:marBottom w:val="0"/>
          <w:divBdr>
            <w:top w:val="none" w:sz="0" w:space="0" w:color="auto"/>
            <w:left w:val="none" w:sz="0" w:space="0" w:color="auto"/>
            <w:bottom w:val="none" w:sz="0" w:space="0" w:color="auto"/>
            <w:right w:val="none" w:sz="0" w:space="0" w:color="auto"/>
          </w:divBdr>
        </w:div>
        <w:div w:id="249584339">
          <w:marLeft w:val="547"/>
          <w:marRight w:val="0"/>
          <w:marTop w:val="0"/>
          <w:marBottom w:val="0"/>
          <w:divBdr>
            <w:top w:val="none" w:sz="0" w:space="0" w:color="auto"/>
            <w:left w:val="none" w:sz="0" w:space="0" w:color="auto"/>
            <w:bottom w:val="none" w:sz="0" w:space="0" w:color="auto"/>
            <w:right w:val="none" w:sz="0" w:space="0" w:color="auto"/>
          </w:divBdr>
        </w:div>
        <w:div w:id="2135828174">
          <w:marLeft w:val="547"/>
          <w:marRight w:val="0"/>
          <w:marTop w:val="0"/>
          <w:marBottom w:val="0"/>
          <w:divBdr>
            <w:top w:val="none" w:sz="0" w:space="0" w:color="auto"/>
            <w:left w:val="none" w:sz="0" w:space="0" w:color="auto"/>
            <w:bottom w:val="none" w:sz="0" w:space="0" w:color="auto"/>
            <w:right w:val="none" w:sz="0" w:space="0" w:color="auto"/>
          </w:divBdr>
        </w:div>
      </w:divsChild>
    </w:div>
    <w:div w:id="1162702822">
      <w:bodyDiv w:val="1"/>
      <w:marLeft w:val="0"/>
      <w:marRight w:val="0"/>
      <w:marTop w:val="0"/>
      <w:marBottom w:val="0"/>
      <w:divBdr>
        <w:top w:val="none" w:sz="0" w:space="0" w:color="auto"/>
        <w:left w:val="none" w:sz="0" w:space="0" w:color="auto"/>
        <w:bottom w:val="none" w:sz="0" w:space="0" w:color="auto"/>
        <w:right w:val="none" w:sz="0" w:space="0" w:color="auto"/>
      </w:divBdr>
    </w:div>
    <w:div w:id="1219121826">
      <w:bodyDiv w:val="1"/>
      <w:marLeft w:val="0"/>
      <w:marRight w:val="0"/>
      <w:marTop w:val="0"/>
      <w:marBottom w:val="0"/>
      <w:divBdr>
        <w:top w:val="none" w:sz="0" w:space="0" w:color="auto"/>
        <w:left w:val="none" w:sz="0" w:space="0" w:color="auto"/>
        <w:bottom w:val="none" w:sz="0" w:space="0" w:color="auto"/>
        <w:right w:val="none" w:sz="0" w:space="0" w:color="auto"/>
      </w:divBdr>
    </w:div>
    <w:div w:id="1251357204">
      <w:bodyDiv w:val="1"/>
      <w:marLeft w:val="0"/>
      <w:marRight w:val="0"/>
      <w:marTop w:val="0"/>
      <w:marBottom w:val="0"/>
      <w:divBdr>
        <w:top w:val="none" w:sz="0" w:space="0" w:color="auto"/>
        <w:left w:val="none" w:sz="0" w:space="0" w:color="auto"/>
        <w:bottom w:val="none" w:sz="0" w:space="0" w:color="auto"/>
        <w:right w:val="none" w:sz="0" w:space="0" w:color="auto"/>
      </w:divBdr>
      <w:divsChild>
        <w:div w:id="1738934982">
          <w:marLeft w:val="547"/>
          <w:marRight w:val="0"/>
          <w:marTop w:val="200"/>
          <w:marBottom w:val="0"/>
          <w:divBdr>
            <w:top w:val="none" w:sz="0" w:space="0" w:color="auto"/>
            <w:left w:val="none" w:sz="0" w:space="0" w:color="auto"/>
            <w:bottom w:val="none" w:sz="0" w:space="0" w:color="auto"/>
            <w:right w:val="none" w:sz="0" w:space="0" w:color="auto"/>
          </w:divBdr>
        </w:div>
      </w:divsChild>
    </w:div>
    <w:div w:id="1270622938">
      <w:bodyDiv w:val="1"/>
      <w:marLeft w:val="0"/>
      <w:marRight w:val="0"/>
      <w:marTop w:val="0"/>
      <w:marBottom w:val="0"/>
      <w:divBdr>
        <w:top w:val="none" w:sz="0" w:space="0" w:color="auto"/>
        <w:left w:val="none" w:sz="0" w:space="0" w:color="auto"/>
        <w:bottom w:val="none" w:sz="0" w:space="0" w:color="auto"/>
        <w:right w:val="none" w:sz="0" w:space="0" w:color="auto"/>
      </w:divBdr>
    </w:div>
    <w:div w:id="1310092290">
      <w:bodyDiv w:val="1"/>
      <w:marLeft w:val="0"/>
      <w:marRight w:val="0"/>
      <w:marTop w:val="0"/>
      <w:marBottom w:val="0"/>
      <w:divBdr>
        <w:top w:val="none" w:sz="0" w:space="0" w:color="auto"/>
        <w:left w:val="none" w:sz="0" w:space="0" w:color="auto"/>
        <w:bottom w:val="none" w:sz="0" w:space="0" w:color="auto"/>
        <w:right w:val="none" w:sz="0" w:space="0" w:color="auto"/>
      </w:divBdr>
    </w:div>
    <w:div w:id="1312325181">
      <w:bodyDiv w:val="1"/>
      <w:marLeft w:val="0"/>
      <w:marRight w:val="0"/>
      <w:marTop w:val="0"/>
      <w:marBottom w:val="0"/>
      <w:divBdr>
        <w:top w:val="none" w:sz="0" w:space="0" w:color="auto"/>
        <w:left w:val="none" w:sz="0" w:space="0" w:color="auto"/>
        <w:bottom w:val="none" w:sz="0" w:space="0" w:color="auto"/>
        <w:right w:val="none" w:sz="0" w:space="0" w:color="auto"/>
      </w:divBdr>
    </w:div>
    <w:div w:id="1323778716">
      <w:bodyDiv w:val="1"/>
      <w:marLeft w:val="0"/>
      <w:marRight w:val="0"/>
      <w:marTop w:val="0"/>
      <w:marBottom w:val="0"/>
      <w:divBdr>
        <w:top w:val="none" w:sz="0" w:space="0" w:color="auto"/>
        <w:left w:val="none" w:sz="0" w:space="0" w:color="auto"/>
        <w:bottom w:val="none" w:sz="0" w:space="0" w:color="auto"/>
        <w:right w:val="none" w:sz="0" w:space="0" w:color="auto"/>
      </w:divBdr>
    </w:div>
    <w:div w:id="1344550281">
      <w:bodyDiv w:val="1"/>
      <w:marLeft w:val="0"/>
      <w:marRight w:val="0"/>
      <w:marTop w:val="0"/>
      <w:marBottom w:val="0"/>
      <w:divBdr>
        <w:top w:val="none" w:sz="0" w:space="0" w:color="auto"/>
        <w:left w:val="none" w:sz="0" w:space="0" w:color="auto"/>
        <w:bottom w:val="none" w:sz="0" w:space="0" w:color="auto"/>
        <w:right w:val="none" w:sz="0" w:space="0" w:color="auto"/>
      </w:divBdr>
    </w:div>
    <w:div w:id="1421174473">
      <w:bodyDiv w:val="1"/>
      <w:marLeft w:val="0"/>
      <w:marRight w:val="0"/>
      <w:marTop w:val="0"/>
      <w:marBottom w:val="0"/>
      <w:divBdr>
        <w:top w:val="none" w:sz="0" w:space="0" w:color="auto"/>
        <w:left w:val="none" w:sz="0" w:space="0" w:color="auto"/>
        <w:bottom w:val="none" w:sz="0" w:space="0" w:color="auto"/>
        <w:right w:val="none" w:sz="0" w:space="0" w:color="auto"/>
      </w:divBdr>
      <w:divsChild>
        <w:div w:id="527834709">
          <w:marLeft w:val="0"/>
          <w:marRight w:val="0"/>
          <w:marTop w:val="0"/>
          <w:marBottom w:val="450"/>
          <w:divBdr>
            <w:top w:val="none" w:sz="0" w:space="0" w:color="auto"/>
            <w:left w:val="none" w:sz="0" w:space="0" w:color="auto"/>
            <w:bottom w:val="none" w:sz="0" w:space="0" w:color="auto"/>
            <w:right w:val="none" w:sz="0" w:space="0" w:color="auto"/>
          </w:divBdr>
          <w:divsChild>
            <w:div w:id="1120957576">
              <w:marLeft w:val="0"/>
              <w:marRight w:val="0"/>
              <w:marTop w:val="0"/>
              <w:marBottom w:val="0"/>
              <w:divBdr>
                <w:top w:val="none" w:sz="0" w:space="0" w:color="auto"/>
                <w:left w:val="none" w:sz="0" w:space="0" w:color="auto"/>
                <w:bottom w:val="none" w:sz="0" w:space="0" w:color="auto"/>
                <w:right w:val="none" w:sz="0" w:space="0" w:color="auto"/>
              </w:divBdr>
              <w:divsChild>
                <w:div w:id="608465990">
                  <w:marLeft w:val="0"/>
                  <w:marRight w:val="0"/>
                  <w:marTop w:val="0"/>
                  <w:marBottom w:val="0"/>
                  <w:divBdr>
                    <w:top w:val="none" w:sz="0" w:space="0" w:color="auto"/>
                    <w:left w:val="none" w:sz="0" w:space="0" w:color="auto"/>
                    <w:bottom w:val="none" w:sz="0" w:space="0" w:color="auto"/>
                    <w:right w:val="none" w:sz="0" w:space="0" w:color="auto"/>
                  </w:divBdr>
                </w:div>
                <w:div w:id="1030454486">
                  <w:marLeft w:val="0"/>
                  <w:marRight w:val="0"/>
                  <w:marTop w:val="0"/>
                  <w:marBottom w:val="0"/>
                  <w:divBdr>
                    <w:top w:val="none" w:sz="0" w:space="0" w:color="auto"/>
                    <w:left w:val="none" w:sz="0" w:space="0" w:color="auto"/>
                    <w:bottom w:val="none" w:sz="0" w:space="0" w:color="auto"/>
                    <w:right w:val="none" w:sz="0" w:space="0" w:color="auto"/>
                  </w:divBdr>
                  <w:divsChild>
                    <w:div w:id="1679037610">
                      <w:marLeft w:val="0"/>
                      <w:marRight w:val="0"/>
                      <w:marTop w:val="0"/>
                      <w:marBottom w:val="0"/>
                      <w:divBdr>
                        <w:top w:val="none" w:sz="0" w:space="0" w:color="auto"/>
                        <w:left w:val="none" w:sz="0" w:space="0" w:color="auto"/>
                        <w:bottom w:val="none" w:sz="0" w:space="0" w:color="auto"/>
                        <w:right w:val="none" w:sz="0" w:space="0" w:color="auto"/>
                      </w:divBdr>
                      <w:divsChild>
                        <w:div w:id="1059787297">
                          <w:marLeft w:val="0"/>
                          <w:marRight w:val="0"/>
                          <w:marTop w:val="0"/>
                          <w:marBottom w:val="0"/>
                          <w:divBdr>
                            <w:top w:val="none" w:sz="0" w:space="0" w:color="auto"/>
                            <w:left w:val="none" w:sz="0" w:space="0" w:color="auto"/>
                            <w:bottom w:val="none" w:sz="0" w:space="0" w:color="auto"/>
                            <w:right w:val="none" w:sz="0" w:space="0" w:color="auto"/>
                          </w:divBdr>
                          <w:divsChild>
                            <w:div w:id="1266885446">
                              <w:marLeft w:val="75"/>
                              <w:marRight w:val="0"/>
                              <w:marTop w:val="0"/>
                              <w:marBottom w:val="0"/>
                              <w:divBdr>
                                <w:top w:val="none" w:sz="0" w:space="0" w:color="auto"/>
                                <w:left w:val="none" w:sz="0" w:space="0" w:color="auto"/>
                                <w:bottom w:val="none" w:sz="0" w:space="0" w:color="auto"/>
                                <w:right w:val="none" w:sz="0" w:space="0" w:color="auto"/>
                              </w:divBdr>
                            </w:div>
                          </w:divsChild>
                        </w:div>
                        <w:div w:id="724597888">
                          <w:marLeft w:val="0"/>
                          <w:marRight w:val="0"/>
                          <w:marTop w:val="0"/>
                          <w:marBottom w:val="0"/>
                          <w:divBdr>
                            <w:top w:val="none" w:sz="0" w:space="0" w:color="auto"/>
                            <w:left w:val="none" w:sz="0" w:space="0" w:color="auto"/>
                            <w:bottom w:val="none" w:sz="0" w:space="0" w:color="auto"/>
                            <w:right w:val="none" w:sz="0" w:space="0" w:color="auto"/>
                          </w:divBdr>
                          <w:divsChild>
                            <w:div w:id="3504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4824">
          <w:marLeft w:val="0"/>
          <w:marRight w:val="0"/>
          <w:marTop w:val="0"/>
          <w:marBottom w:val="0"/>
          <w:divBdr>
            <w:top w:val="none" w:sz="0" w:space="0" w:color="auto"/>
            <w:left w:val="none" w:sz="0" w:space="0" w:color="auto"/>
            <w:bottom w:val="none" w:sz="0" w:space="0" w:color="auto"/>
            <w:right w:val="none" w:sz="0" w:space="0" w:color="auto"/>
          </w:divBdr>
          <w:divsChild>
            <w:div w:id="773945064">
              <w:marLeft w:val="0"/>
              <w:marRight w:val="0"/>
              <w:marTop w:val="0"/>
              <w:marBottom w:val="0"/>
              <w:divBdr>
                <w:top w:val="none" w:sz="0" w:space="0" w:color="auto"/>
                <w:left w:val="none" w:sz="0" w:space="0" w:color="auto"/>
                <w:bottom w:val="none" w:sz="0" w:space="0" w:color="auto"/>
                <w:right w:val="none" w:sz="0" w:space="0" w:color="auto"/>
              </w:divBdr>
              <w:divsChild>
                <w:div w:id="283199344">
                  <w:marLeft w:val="0"/>
                  <w:marRight w:val="0"/>
                  <w:marTop w:val="0"/>
                  <w:marBottom w:val="0"/>
                  <w:divBdr>
                    <w:top w:val="none" w:sz="0" w:space="0" w:color="auto"/>
                    <w:left w:val="none" w:sz="0" w:space="0" w:color="auto"/>
                    <w:bottom w:val="none" w:sz="0" w:space="0" w:color="auto"/>
                    <w:right w:val="none" w:sz="0" w:space="0" w:color="auto"/>
                  </w:divBdr>
                  <w:divsChild>
                    <w:div w:id="771097851">
                      <w:marLeft w:val="0"/>
                      <w:marRight w:val="0"/>
                      <w:marTop w:val="0"/>
                      <w:marBottom w:val="0"/>
                      <w:divBdr>
                        <w:top w:val="none" w:sz="0" w:space="0" w:color="auto"/>
                        <w:left w:val="none" w:sz="0" w:space="0" w:color="auto"/>
                        <w:bottom w:val="single" w:sz="6" w:space="15" w:color="E6E6E6"/>
                        <w:right w:val="none" w:sz="0" w:space="0" w:color="auto"/>
                      </w:divBdr>
                    </w:div>
                  </w:divsChild>
                </w:div>
              </w:divsChild>
            </w:div>
          </w:divsChild>
        </w:div>
      </w:divsChild>
    </w:div>
    <w:div w:id="1423839178">
      <w:bodyDiv w:val="1"/>
      <w:marLeft w:val="0"/>
      <w:marRight w:val="0"/>
      <w:marTop w:val="0"/>
      <w:marBottom w:val="0"/>
      <w:divBdr>
        <w:top w:val="none" w:sz="0" w:space="0" w:color="auto"/>
        <w:left w:val="none" w:sz="0" w:space="0" w:color="auto"/>
        <w:bottom w:val="none" w:sz="0" w:space="0" w:color="auto"/>
        <w:right w:val="none" w:sz="0" w:space="0" w:color="auto"/>
      </w:divBdr>
    </w:div>
    <w:div w:id="1444419163">
      <w:bodyDiv w:val="1"/>
      <w:marLeft w:val="0"/>
      <w:marRight w:val="0"/>
      <w:marTop w:val="0"/>
      <w:marBottom w:val="0"/>
      <w:divBdr>
        <w:top w:val="none" w:sz="0" w:space="0" w:color="auto"/>
        <w:left w:val="none" w:sz="0" w:space="0" w:color="auto"/>
        <w:bottom w:val="none" w:sz="0" w:space="0" w:color="auto"/>
        <w:right w:val="none" w:sz="0" w:space="0" w:color="auto"/>
      </w:divBdr>
    </w:div>
    <w:div w:id="1446971839">
      <w:bodyDiv w:val="1"/>
      <w:marLeft w:val="0"/>
      <w:marRight w:val="0"/>
      <w:marTop w:val="0"/>
      <w:marBottom w:val="0"/>
      <w:divBdr>
        <w:top w:val="none" w:sz="0" w:space="0" w:color="auto"/>
        <w:left w:val="none" w:sz="0" w:space="0" w:color="auto"/>
        <w:bottom w:val="none" w:sz="0" w:space="0" w:color="auto"/>
        <w:right w:val="none" w:sz="0" w:space="0" w:color="auto"/>
      </w:divBdr>
    </w:div>
    <w:div w:id="1456145012">
      <w:bodyDiv w:val="1"/>
      <w:marLeft w:val="0"/>
      <w:marRight w:val="0"/>
      <w:marTop w:val="0"/>
      <w:marBottom w:val="0"/>
      <w:divBdr>
        <w:top w:val="none" w:sz="0" w:space="0" w:color="auto"/>
        <w:left w:val="none" w:sz="0" w:space="0" w:color="auto"/>
        <w:bottom w:val="none" w:sz="0" w:space="0" w:color="auto"/>
        <w:right w:val="none" w:sz="0" w:space="0" w:color="auto"/>
      </w:divBdr>
    </w:div>
    <w:div w:id="1480413700">
      <w:bodyDiv w:val="1"/>
      <w:marLeft w:val="0"/>
      <w:marRight w:val="0"/>
      <w:marTop w:val="0"/>
      <w:marBottom w:val="0"/>
      <w:divBdr>
        <w:top w:val="none" w:sz="0" w:space="0" w:color="auto"/>
        <w:left w:val="none" w:sz="0" w:space="0" w:color="auto"/>
        <w:bottom w:val="none" w:sz="0" w:space="0" w:color="auto"/>
        <w:right w:val="none" w:sz="0" w:space="0" w:color="auto"/>
      </w:divBdr>
    </w:div>
    <w:div w:id="1488522388">
      <w:bodyDiv w:val="1"/>
      <w:marLeft w:val="0"/>
      <w:marRight w:val="0"/>
      <w:marTop w:val="0"/>
      <w:marBottom w:val="0"/>
      <w:divBdr>
        <w:top w:val="none" w:sz="0" w:space="0" w:color="auto"/>
        <w:left w:val="none" w:sz="0" w:space="0" w:color="auto"/>
        <w:bottom w:val="none" w:sz="0" w:space="0" w:color="auto"/>
        <w:right w:val="none" w:sz="0" w:space="0" w:color="auto"/>
      </w:divBdr>
    </w:div>
    <w:div w:id="1513491350">
      <w:bodyDiv w:val="1"/>
      <w:marLeft w:val="0"/>
      <w:marRight w:val="0"/>
      <w:marTop w:val="0"/>
      <w:marBottom w:val="0"/>
      <w:divBdr>
        <w:top w:val="none" w:sz="0" w:space="0" w:color="auto"/>
        <w:left w:val="none" w:sz="0" w:space="0" w:color="auto"/>
        <w:bottom w:val="none" w:sz="0" w:space="0" w:color="auto"/>
        <w:right w:val="none" w:sz="0" w:space="0" w:color="auto"/>
      </w:divBdr>
      <w:divsChild>
        <w:div w:id="11499408">
          <w:marLeft w:val="360"/>
          <w:marRight w:val="0"/>
          <w:marTop w:val="200"/>
          <w:marBottom w:val="0"/>
          <w:divBdr>
            <w:top w:val="none" w:sz="0" w:space="0" w:color="auto"/>
            <w:left w:val="none" w:sz="0" w:space="0" w:color="auto"/>
            <w:bottom w:val="none" w:sz="0" w:space="0" w:color="auto"/>
            <w:right w:val="none" w:sz="0" w:space="0" w:color="auto"/>
          </w:divBdr>
        </w:div>
        <w:div w:id="661082734">
          <w:marLeft w:val="360"/>
          <w:marRight w:val="0"/>
          <w:marTop w:val="200"/>
          <w:marBottom w:val="0"/>
          <w:divBdr>
            <w:top w:val="none" w:sz="0" w:space="0" w:color="auto"/>
            <w:left w:val="none" w:sz="0" w:space="0" w:color="auto"/>
            <w:bottom w:val="none" w:sz="0" w:space="0" w:color="auto"/>
            <w:right w:val="none" w:sz="0" w:space="0" w:color="auto"/>
          </w:divBdr>
        </w:div>
      </w:divsChild>
    </w:div>
    <w:div w:id="1527938842">
      <w:bodyDiv w:val="1"/>
      <w:marLeft w:val="0"/>
      <w:marRight w:val="0"/>
      <w:marTop w:val="0"/>
      <w:marBottom w:val="0"/>
      <w:divBdr>
        <w:top w:val="none" w:sz="0" w:space="0" w:color="auto"/>
        <w:left w:val="none" w:sz="0" w:space="0" w:color="auto"/>
        <w:bottom w:val="none" w:sz="0" w:space="0" w:color="auto"/>
        <w:right w:val="none" w:sz="0" w:space="0" w:color="auto"/>
      </w:divBdr>
    </w:div>
    <w:div w:id="1556697591">
      <w:bodyDiv w:val="1"/>
      <w:marLeft w:val="0"/>
      <w:marRight w:val="0"/>
      <w:marTop w:val="0"/>
      <w:marBottom w:val="0"/>
      <w:divBdr>
        <w:top w:val="none" w:sz="0" w:space="0" w:color="auto"/>
        <w:left w:val="none" w:sz="0" w:space="0" w:color="auto"/>
        <w:bottom w:val="none" w:sz="0" w:space="0" w:color="auto"/>
        <w:right w:val="none" w:sz="0" w:space="0" w:color="auto"/>
      </w:divBdr>
    </w:div>
    <w:div w:id="1594892562">
      <w:bodyDiv w:val="1"/>
      <w:marLeft w:val="0"/>
      <w:marRight w:val="0"/>
      <w:marTop w:val="0"/>
      <w:marBottom w:val="0"/>
      <w:divBdr>
        <w:top w:val="none" w:sz="0" w:space="0" w:color="auto"/>
        <w:left w:val="none" w:sz="0" w:space="0" w:color="auto"/>
        <w:bottom w:val="none" w:sz="0" w:space="0" w:color="auto"/>
        <w:right w:val="none" w:sz="0" w:space="0" w:color="auto"/>
      </w:divBdr>
    </w:div>
    <w:div w:id="1611744743">
      <w:bodyDiv w:val="1"/>
      <w:marLeft w:val="0"/>
      <w:marRight w:val="0"/>
      <w:marTop w:val="0"/>
      <w:marBottom w:val="0"/>
      <w:divBdr>
        <w:top w:val="none" w:sz="0" w:space="0" w:color="auto"/>
        <w:left w:val="none" w:sz="0" w:space="0" w:color="auto"/>
        <w:bottom w:val="none" w:sz="0" w:space="0" w:color="auto"/>
        <w:right w:val="none" w:sz="0" w:space="0" w:color="auto"/>
      </w:divBdr>
    </w:div>
    <w:div w:id="1673755244">
      <w:bodyDiv w:val="1"/>
      <w:marLeft w:val="0"/>
      <w:marRight w:val="0"/>
      <w:marTop w:val="0"/>
      <w:marBottom w:val="0"/>
      <w:divBdr>
        <w:top w:val="none" w:sz="0" w:space="0" w:color="auto"/>
        <w:left w:val="none" w:sz="0" w:space="0" w:color="auto"/>
        <w:bottom w:val="none" w:sz="0" w:space="0" w:color="auto"/>
        <w:right w:val="none" w:sz="0" w:space="0" w:color="auto"/>
      </w:divBdr>
    </w:div>
    <w:div w:id="1699618222">
      <w:bodyDiv w:val="1"/>
      <w:marLeft w:val="0"/>
      <w:marRight w:val="0"/>
      <w:marTop w:val="0"/>
      <w:marBottom w:val="0"/>
      <w:divBdr>
        <w:top w:val="none" w:sz="0" w:space="0" w:color="auto"/>
        <w:left w:val="none" w:sz="0" w:space="0" w:color="auto"/>
        <w:bottom w:val="none" w:sz="0" w:space="0" w:color="auto"/>
        <w:right w:val="none" w:sz="0" w:space="0" w:color="auto"/>
      </w:divBdr>
    </w:div>
    <w:div w:id="1732189497">
      <w:bodyDiv w:val="1"/>
      <w:marLeft w:val="0"/>
      <w:marRight w:val="0"/>
      <w:marTop w:val="0"/>
      <w:marBottom w:val="0"/>
      <w:divBdr>
        <w:top w:val="none" w:sz="0" w:space="0" w:color="auto"/>
        <w:left w:val="none" w:sz="0" w:space="0" w:color="auto"/>
        <w:bottom w:val="none" w:sz="0" w:space="0" w:color="auto"/>
        <w:right w:val="none" w:sz="0" w:space="0" w:color="auto"/>
      </w:divBdr>
    </w:div>
    <w:div w:id="1760247981">
      <w:bodyDiv w:val="1"/>
      <w:marLeft w:val="0"/>
      <w:marRight w:val="0"/>
      <w:marTop w:val="0"/>
      <w:marBottom w:val="0"/>
      <w:divBdr>
        <w:top w:val="none" w:sz="0" w:space="0" w:color="auto"/>
        <w:left w:val="none" w:sz="0" w:space="0" w:color="auto"/>
        <w:bottom w:val="none" w:sz="0" w:space="0" w:color="auto"/>
        <w:right w:val="none" w:sz="0" w:space="0" w:color="auto"/>
      </w:divBdr>
    </w:div>
    <w:div w:id="1778716517">
      <w:bodyDiv w:val="1"/>
      <w:marLeft w:val="0"/>
      <w:marRight w:val="0"/>
      <w:marTop w:val="0"/>
      <w:marBottom w:val="0"/>
      <w:divBdr>
        <w:top w:val="none" w:sz="0" w:space="0" w:color="auto"/>
        <w:left w:val="none" w:sz="0" w:space="0" w:color="auto"/>
        <w:bottom w:val="none" w:sz="0" w:space="0" w:color="auto"/>
        <w:right w:val="none" w:sz="0" w:space="0" w:color="auto"/>
      </w:divBdr>
    </w:div>
    <w:div w:id="1816528830">
      <w:bodyDiv w:val="1"/>
      <w:marLeft w:val="0"/>
      <w:marRight w:val="0"/>
      <w:marTop w:val="0"/>
      <w:marBottom w:val="0"/>
      <w:divBdr>
        <w:top w:val="none" w:sz="0" w:space="0" w:color="auto"/>
        <w:left w:val="none" w:sz="0" w:space="0" w:color="auto"/>
        <w:bottom w:val="none" w:sz="0" w:space="0" w:color="auto"/>
        <w:right w:val="none" w:sz="0" w:space="0" w:color="auto"/>
      </w:divBdr>
    </w:div>
    <w:div w:id="1822888772">
      <w:bodyDiv w:val="1"/>
      <w:marLeft w:val="0"/>
      <w:marRight w:val="0"/>
      <w:marTop w:val="0"/>
      <w:marBottom w:val="0"/>
      <w:divBdr>
        <w:top w:val="none" w:sz="0" w:space="0" w:color="auto"/>
        <w:left w:val="none" w:sz="0" w:space="0" w:color="auto"/>
        <w:bottom w:val="none" w:sz="0" w:space="0" w:color="auto"/>
        <w:right w:val="none" w:sz="0" w:space="0" w:color="auto"/>
      </w:divBdr>
    </w:div>
    <w:div w:id="1839033502">
      <w:bodyDiv w:val="1"/>
      <w:marLeft w:val="0"/>
      <w:marRight w:val="0"/>
      <w:marTop w:val="0"/>
      <w:marBottom w:val="0"/>
      <w:divBdr>
        <w:top w:val="none" w:sz="0" w:space="0" w:color="auto"/>
        <w:left w:val="none" w:sz="0" w:space="0" w:color="auto"/>
        <w:bottom w:val="none" w:sz="0" w:space="0" w:color="auto"/>
        <w:right w:val="none" w:sz="0" w:space="0" w:color="auto"/>
      </w:divBdr>
    </w:div>
    <w:div w:id="1853955160">
      <w:bodyDiv w:val="1"/>
      <w:marLeft w:val="0"/>
      <w:marRight w:val="0"/>
      <w:marTop w:val="0"/>
      <w:marBottom w:val="0"/>
      <w:divBdr>
        <w:top w:val="none" w:sz="0" w:space="0" w:color="auto"/>
        <w:left w:val="none" w:sz="0" w:space="0" w:color="auto"/>
        <w:bottom w:val="none" w:sz="0" w:space="0" w:color="auto"/>
        <w:right w:val="none" w:sz="0" w:space="0" w:color="auto"/>
      </w:divBdr>
    </w:div>
    <w:div w:id="1886208620">
      <w:bodyDiv w:val="1"/>
      <w:marLeft w:val="0"/>
      <w:marRight w:val="0"/>
      <w:marTop w:val="0"/>
      <w:marBottom w:val="0"/>
      <w:divBdr>
        <w:top w:val="none" w:sz="0" w:space="0" w:color="auto"/>
        <w:left w:val="none" w:sz="0" w:space="0" w:color="auto"/>
        <w:bottom w:val="none" w:sz="0" w:space="0" w:color="auto"/>
        <w:right w:val="none" w:sz="0" w:space="0" w:color="auto"/>
      </w:divBdr>
    </w:div>
    <w:div w:id="1905680757">
      <w:bodyDiv w:val="1"/>
      <w:marLeft w:val="0"/>
      <w:marRight w:val="0"/>
      <w:marTop w:val="0"/>
      <w:marBottom w:val="0"/>
      <w:divBdr>
        <w:top w:val="none" w:sz="0" w:space="0" w:color="auto"/>
        <w:left w:val="none" w:sz="0" w:space="0" w:color="auto"/>
        <w:bottom w:val="none" w:sz="0" w:space="0" w:color="auto"/>
        <w:right w:val="none" w:sz="0" w:space="0" w:color="auto"/>
      </w:divBdr>
    </w:div>
    <w:div w:id="1953706437">
      <w:bodyDiv w:val="1"/>
      <w:marLeft w:val="0"/>
      <w:marRight w:val="0"/>
      <w:marTop w:val="0"/>
      <w:marBottom w:val="0"/>
      <w:divBdr>
        <w:top w:val="none" w:sz="0" w:space="0" w:color="auto"/>
        <w:left w:val="none" w:sz="0" w:space="0" w:color="auto"/>
        <w:bottom w:val="none" w:sz="0" w:space="0" w:color="auto"/>
        <w:right w:val="none" w:sz="0" w:space="0" w:color="auto"/>
      </w:divBdr>
    </w:div>
    <w:div w:id="1984964657">
      <w:bodyDiv w:val="1"/>
      <w:marLeft w:val="0"/>
      <w:marRight w:val="0"/>
      <w:marTop w:val="0"/>
      <w:marBottom w:val="0"/>
      <w:divBdr>
        <w:top w:val="none" w:sz="0" w:space="0" w:color="auto"/>
        <w:left w:val="none" w:sz="0" w:space="0" w:color="auto"/>
        <w:bottom w:val="none" w:sz="0" w:space="0" w:color="auto"/>
        <w:right w:val="none" w:sz="0" w:space="0" w:color="auto"/>
      </w:divBdr>
    </w:div>
    <w:div w:id="1993092972">
      <w:bodyDiv w:val="1"/>
      <w:marLeft w:val="0"/>
      <w:marRight w:val="0"/>
      <w:marTop w:val="0"/>
      <w:marBottom w:val="0"/>
      <w:divBdr>
        <w:top w:val="none" w:sz="0" w:space="0" w:color="auto"/>
        <w:left w:val="none" w:sz="0" w:space="0" w:color="auto"/>
        <w:bottom w:val="none" w:sz="0" w:space="0" w:color="auto"/>
        <w:right w:val="none" w:sz="0" w:space="0" w:color="auto"/>
      </w:divBdr>
    </w:div>
    <w:div w:id="2036422818">
      <w:bodyDiv w:val="1"/>
      <w:marLeft w:val="0"/>
      <w:marRight w:val="0"/>
      <w:marTop w:val="0"/>
      <w:marBottom w:val="0"/>
      <w:divBdr>
        <w:top w:val="none" w:sz="0" w:space="0" w:color="auto"/>
        <w:left w:val="none" w:sz="0" w:space="0" w:color="auto"/>
        <w:bottom w:val="none" w:sz="0" w:space="0" w:color="auto"/>
        <w:right w:val="none" w:sz="0" w:space="0" w:color="auto"/>
      </w:divBdr>
    </w:div>
    <w:div w:id="2050646337">
      <w:bodyDiv w:val="1"/>
      <w:marLeft w:val="0"/>
      <w:marRight w:val="0"/>
      <w:marTop w:val="0"/>
      <w:marBottom w:val="0"/>
      <w:divBdr>
        <w:top w:val="none" w:sz="0" w:space="0" w:color="auto"/>
        <w:left w:val="none" w:sz="0" w:space="0" w:color="auto"/>
        <w:bottom w:val="none" w:sz="0" w:space="0" w:color="auto"/>
        <w:right w:val="none" w:sz="0" w:space="0" w:color="auto"/>
      </w:divBdr>
    </w:div>
    <w:div w:id="2069527654">
      <w:bodyDiv w:val="1"/>
      <w:marLeft w:val="0"/>
      <w:marRight w:val="0"/>
      <w:marTop w:val="0"/>
      <w:marBottom w:val="0"/>
      <w:divBdr>
        <w:top w:val="none" w:sz="0" w:space="0" w:color="auto"/>
        <w:left w:val="none" w:sz="0" w:space="0" w:color="auto"/>
        <w:bottom w:val="none" w:sz="0" w:space="0" w:color="auto"/>
        <w:right w:val="none" w:sz="0" w:space="0" w:color="auto"/>
      </w:divBdr>
    </w:div>
    <w:div w:id="2096855089">
      <w:bodyDiv w:val="1"/>
      <w:marLeft w:val="0"/>
      <w:marRight w:val="0"/>
      <w:marTop w:val="0"/>
      <w:marBottom w:val="0"/>
      <w:divBdr>
        <w:top w:val="none" w:sz="0" w:space="0" w:color="auto"/>
        <w:left w:val="none" w:sz="0" w:space="0" w:color="auto"/>
        <w:bottom w:val="none" w:sz="0" w:space="0" w:color="auto"/>
        <w:right w:val="none" w:sz="0" w:space="0" w:color="auto"/>
      </w:divBdr>
    </w:div>
    <w:div w:id="2112239834">
      <w:bodyDiv w:val="1"/>
      <w:marLeft w:val="0"/>
      <w:marRight w:val="0"/>
      <w:marTop w:val="0"/>
      <w:marBottom w:val="0"/>
      <w:divBdr>
        <w:top w:val="none" w:sz="0" w:space="0" w:color="auto"/>
        <w:left w:val="none" w:sz="0" w:space="0" w:color="auto"/>
        <w:bottom w:val="none" w:sz="0" w:space="0" w:color="auto"/>
        <w:right w:val="none" w:sz="0" w:space="0" w:color="auto"/>
      </w:divBdr>
    </w:div>
    <w:div w:id="2115126038">
      <w:bodyDiv w:val="1"/>
      <w:marLeft w:val="0"/>
      <w:marRight w:val="0"/>
      <w:marTop w:val="0"/>
      <w:marBottom w:val="0"/>
      <w:divBdr>
        <w:top w:val="none" w:sz="0" w:space="0" w:color="auto"/>
        <w:left w:val="none" w:sz="0" w:space="0" w:color="auto"/>
        <w:bottom w:val="none" w:sz="0" w:space="0" w:color="auto"/>
        <w:right w:val="none" w:sz="0" w:space="0" w:color="auto"/>
      </w:divBdr>
    </w:div>
    <w:div w:id="21216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4B678-DF9A-4BE8-9CEF-F5B98DC4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16</Pages>
  <Words>15791</Words>
  <Characters>90012</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muhidini huud</dc:creator>
  <cp:lastModifiedBy>SDI 1180</cp:lastModifiedBy>
  <cp:revision>361</cp:revision>
  <cp:lastPrinted>2024-07-08T11:49:00Z</cp:lastPrinted>
  <dcterms:created xsi:type="dcterms:W3CDTF">2024-07-08T11:32:00Z</dcterms:created>
  <dcterms:modified xsi:type="dcterms:W3CDTF">2025-10-18T12:40:00Z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0cfa7b44-b360-3777-9119-c732110650db</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