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F43C2"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Strabismic Anomalies of Binocular Vision Associated with Excessive Screen Use in Children and Young Adults</w:t>
      </w:r>
    </w:p>
    <w:p w14:paraId="1D48242A" w14:textId="77777777" w:rsidR="00AE258C" w:rsidRDefault="00AE258C">
      <w:pPr>
        <w:jc w:val="both"/>
        <w:rPr>
          <w:rFonts w:ascii="Times New Roman" w:eastAsia="Times New Roman" w:hAnsi="Times New Roman" w:cs="Times New Roman"/>
        </w:rPr>
      </w:pPr>
    </w:p>
    <w:p w14:paraId="4611DFFA"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Abstract</w:t>
      </w:r>
    </w:p>
    <w:p w14:paraId="36CA5562"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Background</w:t>
      </w:r>
    </w:p>
    <w:p w14:paraId="0B3A6918"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The pervasive use of digital devices for education and recreation is linked to a rising incidence of binocular vision anomalies, particularly heterophoria, in children and young adults. These conditions disrupt fusional vergence, potentially causing asthenopia, diplopia, and visual discomfort.</w:t>
      </w:r>
    </w:p>
    <w:p w14:paraId="5ADE850D"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Objective</w:t>
      </w:r>
    </w:p>
    <w:p w14:paraId="25A31A91"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This study aimed to investigate the relationship between excessive screen use and heterophoria, specifically esophoria and exophoria, in children and young adults.</w:t>
      </w:r>
    </w:p>
    <w:p w14:paraId="7D3EF427"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Methods</w:t>
      </w:r>
    </w:p>
    <w:p w14:paraId="7329874F"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A retrospective cross-sectional study evaluated 40 patients aged 5-30 years with heterophoria and best-corrected visual acuity of 6/9 or better, excluding those with strabismus, amblyopia, or ocular surgery. Participants were categorized into exophoria (n=30) and esophoria (n=10) groups. The magnitude of phoria (prism </w:t>
      </w:r>
      <w:proofErr w:type="spellStart"/>
      <w:r>
        <w:rPr>
          <w:rFonts w:ascii="Times New Roman" w:eastAsia="Times New Roman" w:hAnsi="Times New Roman" w:cs="Times New Roman"/>
        </w:rPr>
        <w:t>diopters</w:t>
      </w:r>
      <w:proofErr w:type="spellEnd"/>
      <w:r>
        <w:rPr>
          <w:rFonts w:ascii="Times New Roman" w:eastAsia="Times New Roman" w:hAnsi="Times New Roman" w:cs="Times New Roman"/>
        </w:rPr>
        <w:t>, PD), near point of convergence (NPC), and near point of accommodation (NPA) were measured. Screen time data was collected via questionnaire. Statistical analyses included t-tests, chi-square tests, correlation analyses, and regression models.</w:t>
      </w:r>
    </w:p>
    <w:p w14:paraId="1B38C761"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Results</w:t>
      </w:r>
    </w:p>
    <w:p w14:paraId="6C459A72"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The mean age was 18.2 ± 6.1 years, with a female predominance (62.5%). Mean daily screen time was 5.1 ± 2.3 hours. Females had higher odds of esophoria (OR=3.1, 95% CI: 1.2–8.0, p=0.02). Screen time was positively correlated with near phoria magnitude (r=0.32, p=0.04) and negatively correlated with NPC (r=-0.41, p=0.008). Esophoria was associated with shorter NPC (7.6 ± 1.1 cm vs. 9.8 ± 2.1 cm, p=0.003) and NPA (8.2 ± 1.3 cm vs. 10.3 ± 2.3 cm, p=0.02). Myopia was more prevalent in esophoria (66.7% vs. 33.3%, p=0.04), while astigmatism was more prevalent in exophoria (66.7% vs. 33.3%, p=0.04).</w:t>
      </w:r>
    </w:p>
    <w:p w14:paraId="4542E8D2"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Conclusion</w:t>
      </w:r>
    </w:p>
    <w:p w14:paraId="32EA9F39"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Excessive screen use is significantly associated with heterophoria and reduced convergence function. Female gender and specific refractive errors are risk factors for esophoria. These findings underscore the need for preventive measures, including visual hygiene education and early screening, to mitigate long-term binocular vision complications.</w:t>
      </w:r>
    </w:p>
    <w:p w14:paraId="6DEB2CDD" w14:textId="77777777" w:rsidR="00AE258C" w:rsidRDefault="00AE258C">
      <w:pPr>
        <w:jc w:val="both"/>
        <w:rPr>
          <w:rFonts w:ascii="Times New Roman" w:eastAsia="Times New Roman" w:hAnsi="Times New Roman" w:cs="Times New Roman"/>
        </w:rPr>
      </w:pPr>
    </w:p>
    <w:p w14:paraId="7A6AA96A"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Introduction</w:t>
      </w:r>
    </w:p>
    <w:p w14:paraId="68F22E62"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The integration of digital devices into daily life has become ubiquitous, with children and young adults increasingly dependent on screens for</w:t>
      </w:r>
      <w:r w:rsidR="001A62DA">
        <w:rPr>
          <w:rFonts w:ascii="Times New Roman" w:eastAsia="Times New Roman" w:hAnsi="Times New Roman" w:cs="Times New Roman"/>
        </w:rPr>
        <w:t xml:space="preserve"> both education and recreation. </w:t>
      </w:r>
      <w:r>
        <w:rPr>
          <w:rFonts w:ascii="Times New Roman" w:eastAsia="Times New Roman" w:hAnsi="Times New Roman" w:cs="Times New Roman"/>
        </w:rPr>
        <w:t>About 98% of adolescents (10–19 years) use social media/internet on mobile devices, with a mean screen tim</w:t>
      </w:r>
      <w:r w:rsidR="001A62DA">
        <w:rPr>
          <w:rFonts w:ascii="Times New Roman" w:eastAsia="Times New Roman" w:hAnsi="Times New Roman" w:cs="Times New Roman"/>
        </w:rPr>
        <w:t xml:space="preserve">e of 3.89 (±2.77) hours/day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{"citationID":"HtQ0re0P","properties":{"formattedCitation":"(1)","plainCitation":"(1)","noteIndex":0},"citationItems":[{"id":49,"uris":["http://zotero.org/users/local/6mH0t5Ye/items/BBXRR3IS"],"itemData":{"id":49,"type":"article-journal","abstract":"Background: Media forms an important part of the lives of adolescents in as much as the shows they watch on television, playing video games, as well as visiting the various websites. There is a growing concern of the influence of media on every aspect of health of children and adolescents. About 95% of the population in India has availability of television. India has limited studies which have explored the use of screen-based media (SBM) and its effect on child health. This study was conducted to assess the pattern of SBM use. Methods: A community-based cross-sectional study was conducted in an Urban Resettlement Colony, New Delhi. The study included 550 adolescents of age group from 10 to 19 years of age selected through simple random sampling from a list of adolescents residing in the area. A semi-structured interview schedule was used. Results: About 98% of the adolescents used SBM. Television formed the maximum used media (96.5%). The mean (standard deviation) of the screen time was found to be 3.8 (2.77) h/day. Out of the total screen time, time contributed by television is 2.8 h/day followed by other SBM. About 68% of adolescents reported having screen time more than the recommended (&gt;2 h). Significant association was observed between screen time and watching television while eating [odds ratio (95% confidence interval) = 0.35 (0.22, 0.55)]. Conclusion: High proportion of adolescents use SBM for more than the recommended screen time. We should have a recommendation for maximum screen time separately for developing countries.","container-title":"Journal of Family Medicine and Primary Care","DOI":"10.4103/jfmpc.jfmpc_190_18","ISSN":"2249-4863","issue":"6","journalAbbreviation":"J Family Med Prim Care","language":"en","page":"1236","source":"DOI.org (Crossref)","title":"Screen-based media use and screen time assessment among adolescents residing in an Urban Resettlement Colony in New Delhi, India","volume":"7","author":[{"family":"Dubey","given":"Mahasweta"},{"family":"Nongkynrih","given":"Baridalyne"},{"family":"Gupta","given":"SanjeevKumar"},{"family":"Kalaivani","given":"Mani"},{"family":"Goswami","given":"AnilKumar"},{"family":"Salve","given":"HarshalRamesh"}],"issued":{"date-parts":[["2018"]]}}}],"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(1)</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 xml:space="preserve">A 2023 study by </w:t>
      </w:r>
      <w:proofErr w:type="spellStart"/>
      <w:r>
        <w:rPr>
          <w:rFonts w:ascii="Times New Roman" w:eastAsia="Times New Roman" w:hAnsi="Times New Roman" w:cs="Times New Roman"/>
        </w:rPr>
        <w:t>Hedderson</w:t>
      </w:r>
      <w:proofErr w:type="spellEnd"/>
      <w:r>
        <w:rPr>
          <w:rFonts w:ascii="Times New Roman" w:eastAsia="Times New Roman" w:hAnsi="Times New Roman" w:cs="Times New Roman"/>
        </w:rPr>
        <w:t xml:space="preserve"> reported that children (4–12 years) averaged 4.4 h/day on recreational screens pre-pandemic, which increased by 1.75 h in the initial phase and </w:t>
      </w:r>
      <w:r w:rsidR="001A62DA">
        <w:rPr>
          <w:rFonts w:ascii="Times New Roman" w:eastAsia="Times New Roman" w:hAnsi="Times New Roman" w:cs="Times New Roman"/>
        </w:rPr>
        <w:t xml:space="preserve">1.11 h in the later phase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{"citationID":"kdugr1dZ","properties":{"formattedCitation":"(2)","plainCitation":"(2)","noteIndex":0},"citationItems":[{"id":14,"uris":["http://zotero.org/users/local/6mH0t5Ye/items/8A4T3B2C"],"itemData":{"id":14,"type":"article-journal","abstract":"OBJECTIVE To evaluate change in children’s screen time from before the pandemic to during the pandemic, from July 2019 through August 2021. DESIGN, SETTING, AND PARTICIPANTS This is a longitudinal cohort study with repeated measures of screen time collected before the pandemic and during 2 pandemic periods. Children aged 4 to 12 years and their parent were enrolled in 3 pediatric cohorts across 3 states in the US participating in the Environmental Influences of Child Health Outcomes (ECHO) Program. Data analysis was performed from November 2021 to July 2022. EXPOSURES COVID-19 pandemic period: prepandemic (July 2019 to March 2020), pandemic period 1 (December 2020 to April 2021), and pandemic period 2 (May 2021 to August 2021). MAIN OUTCOMES AND MEASURES The primary outcomes were total, educational (not including remote school), and recreational screen time assessed via the ECHO Child Media Use questionnaire. Linear mixed-effects models were used for screen time adjusted for child’s age, number of siblings, sex, race, ethnicity, and maternal education.\nRESULTS The cohort included 228 children (prepandemic mean [SD] age, 7.0 [2.7] years; 100 female [43.9%]) with screen time measured during the prepandemic period and at least once during the pandemic period. Prepandemic mean (SD) total screen time was 4.4 (3.9) hours per day and increased 1.75 hours per day (95% CI, 1.18-2.31 hours per day) in the first pandemic period and 1.11 hours per day (95% CI, 0.49-1.72 hours per day) in the second pandemic period, in adjusted models. Prepandemic mean (SD) recreational screen time was 4.0 (3.5) hours per day and increased 0.89 hours per day (95% CI, 0.39-1.39 hours per day) in the first pandemic period and 0.70 hours per day (95% CI, 0.16-1.25 hours per day) in the second pandemic period. Prepandemic mean (SD) educational screen time was 0.5 (1.2) hours per day (median [IQR], 0.0 [0.0-0.4] hours per day) and increased 0.93 hours per day (95% CI, 0.67-1.19 hours per day) in the first pandemic period and 0.46 hours per day (95% CI, 0.18-0.74 hours per day) in the second pandemic period.\nCONCLUSIONS AND RELEVANCE These findings suggest that screen time among children increased during the COVID-19 pandemic and remained elevated even after many public health","container-title":"JAMA Network Open","DOI":"10.1001/jamanetworkopen.2022.56157","ISSN":"2574-3805","issue":"2","journalAbbreviation":"JAMA Netw Open","language":"en","page":"e2256157","source":"DOI.org (Crossref)","title":"Trends in Screen Time Use Among Children During the COVID-19 Pandemic, July 2019 Through August 2021","volume":"6","author":[{"family":"Hedderson","given":"Monique M."},{"family":"Bekelman","given":"Traci A."},{"family":"Li","given":"Mingyi"},{"family":"Knapp","given":"Emily A."},{"family":"Palmore","given":"Meredith"},{"family":"Dong","given":"Yanan"},{"family":"Elliott","given":"Amy J."},{"family":"Friedman","given":"Chloe"},{"family":"Galarce","given":"Maren"},{"family":"Gilbert-Diamond","given":"Diane"},{"family":"Glueck","given":"Deborah"},{"family":"Hockett","given":"Christine W."},{"family":"Lucchini","given":"Maristella"},{"family":"McDonald","given":"Julia"},{"family":"Sauder","given":"Katherine"},{"family":"Zhu","given":"Yeyi"},{"family":"Karagas","given":"Margaret R."},{"family":"Dabelea","given":"Dana"},{"family":"Ferrara","given":"Assiamira"},{"literal":"Environmental Influences on Child Health Outcomes Program"},{"family":"Smith","given":"Brian P"},{"family":"Newby","given":"Kristen L"},{"family":"Jacobson","given":"Lisa P"},{"family":"Parker","given":"Corette B"},{"family":"Gershon","given":"Richard C"},{"family":"Cella","given":"David"},{"family":"Alshawabkeh","given":"Akram N"},{"family":"Aschner","given":"Judy L"},{"family":"Merhar","given":"Stephanie L"},{"family":"Pryhuber","given":"Gloria S"},{"family":"Moore","given":"Paul E"},{"family":"Lampland","given":"Andrea L"},{"family":"Wadhawan","given":"Rajan"},{"family":"Wagner","given":"Carol L"},{"family":"Hudak","given":"Mark L"},{"family":"Mayock","given":"Dennis E"},{"family":"Washburn","given":"Lisa K"},{"family":"Croen","given":"Lisa A"},{"family":"Karr","given":"Caherine J"},{"family":"Mason","given":"Alex"},{"family":"Lester","given":"Barry M"},{"family":"Carter","given":"Brian S"},{"family":"Marsit","given":"Carmen J"},{"family":"Pastyrnak","given":"Steven L"},{"family":"Neal","given":"Charles"},{"family":"Smith","given":"Lynne M"},{"family":"Helderman","given":"Jennifer B"},{"family":"McEvoy","given":"Cindy"},{"family":"Tepper","given":"Robert S"},{"family":"Kerver","given":"Jean"},{"family":"Barone","given":"Charles"},{"family":"McKane","given":"Patricia"},{"family":"Paneth","given":"Nigel"},{"family":"Elliott","given":"Michael R"},{"family":"Trasande","given":"Leonardo"},{"family":"Sathyanarayana","given":"Sheela"},{"family":"Bush","given":"Nicole"},{"family":"Nguyen","given":"Ruby Hn"},{"family":"Barrett","given":"Emily S"}],"issued":{"date-parts":[["2023",2,15]]}}}],"schema":"https://github.com/citation-style-language/schema/raw/master/csl-citation.json"}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(2)</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A study reported electronic gadget use in 95.6% of participants, with 28.6% using them for more than two h</w:t>
      </w:r>
      <w:r w:rsidR="001A62DA">
        <w:rPr>
          <w:rFonts w:ascii="Times New Roman" w:eastAsia="Times New Roman" w:hAnsi="Times New Roman" w:cs="Times New Roman"/>
        </w:rPr>
        <w:t xml:space="preserve">ours daily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{"citationID":"tLUI7EDW","properties":{"formattedCitation":"(3)","plainCitation":"(3)","noteIndex":0},"citationItems":[{"id":15,"uris":["http://zotero.org/users/local/6mH0t5Ye/items/UX3TEUC8"],"itemData":{"id":15,"type":"article-journal","abstract":"BACKGROUND: To analyze the impact of online classes on eye health of children and young adults during the COVID‑19 pandemic. MATERIALS AND METHODS: An observational study with a written questionnaire and comprehensive ophthalmic evaluation at a tertiary eye care center in South India, during the COVID‑19 pandemic.\nRESULTS: Of the 496 patients, most were 5–10 years old, attending online classes 1–2 h/day with majority (84.7%) having &lt;4 h of classes. Electronic gadget use after classes was seen in 95.6% participants and 28.6% admitted to using it for more than 2 h/day. Digital eye strain (DES) was seen in 50.8% of patients of which headache or eye ache were the most common symptom (30.8%). Duration of online class was found to be the single most independent factor associated with the development of eye complaints (P = 0.001). Duration of class hours (P = 0.007) and light setting (P = 0.008) was found to be independent determinants of developing DES.\nCONCLUSIONS: Increased screen time, inadequate light setting, and excessive application of near vision can produce undesirable effects including the development of DES, worsening or development of new refractive errors and squint.","container-title":"Oman Journal of Ophthalmology","DOI":"10.4103/ojo.ojo_57_22","ISSN":"0974-620X","issue":"1","language":"en","page":"45-50","source":"DOI.org (Crossref)","title":"Impact of online classes on eye health of children and young adults in the setting of COVID-19 pandemic: A hospital-based survey","title-short":"Impact of online classes on eye health of children and young adults in the setting of COVID-19 pandemic","volume":"16","author":[{"family":"Neena","given":"R."},{"family":"Gayathri","given":"M. S."},{"family":"Prakash","given":"Nimmy"},{"family":"Anantharaman","given":"Giridhar"}],"issued":{"date-parts":[["2023",1]]}}}],"schema":"https://github.com/citation-style-language/schema/raw/master/csl-citation.json"}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(3)</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This increased exposure has significant implications for visual health, contributing to the development of Digital Eye St</w:t>
      </w:r>
      <w:r w:rsidR="001A62DA">
        <w:rPr>
          <w:rFonts w:ascii="Times New Roman" w:eastAsia="Times New Roman" w:hAnsi="Times New Roman" w:cs="Times New Roman"/>
        </w:rPr>
        <w:t xml:space="preserve">rain (DES). </w:t>
      </w:r>
      <w:r>
        <w:rPr>
          <w:rFonts w:ascii="Times New Roman" w:eastAsia="Times New Roman" w:hAnsi="Times New Roman" w:cs="Times New Roman"/>
        </w:rPr>
        <w:t>According to Audrey et al., blue light from LED screens induces photochemical damage to the cor</w:t>
      </w:r>
      <w:r w:rsidR="001A62DA">
        <w:rPr>
          <w:rFonts w:ascii="Times New Roman" w:eastAsia="Times New Roman" w:hAnsi="Times New Roman" w:cs="Times New Roman"/>
        </w:rPr>
        <w:t xml:space="preserve">nea, lens, and retina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{"citationID":"VDqj2kcz","properties":{"formattedCitation":"(4)","plainCitation":"(4)","noteIndex":0},"citationItems":[{"id":64,"uris":["http://zotero.org/users/local/6mH0t5Ye/items/NIXCXBBT"],"itemData":{"id":64,"type":"article-journal","container-title":"Ophthalmology and Therapy","DOI":"10.1007/s40123-023-00675-3","ISSN":"2193-8245, 2193-6528","issue":"2","journalAbbreviation":"Ophthalmol Ther","language":"en","page":"755-788","source":"DOI.org (Crossref)","title":"Blue Light Exposure: Ocular Hazards and Prevention—A Narrative Review","title-short":"Blue Light Exposure","volume":"12","author":[{"family":"Cougnard-Gregoire","given":"Audrey"},{"family":"Merle","given":"Bénédicte M. J."},{"family":"Aslam","given":"Tariq"},{"family":"Seddon","given":"Johanna M."},{"family":"Aknin","given":"Isabelle"},{"family":"Klaver","given":"Caroline C. W."},{"family":"Garhöfer","given":"Gerhard"},{"family":"Layana","given":"Alfredo Garcia"},{"family":"Minnella","given":"Angelo Maria"},{"family":"Silva","given":"Rufino"},{"family":"Delcourt","given":"Cécile"}],"issued":{"date-parts":[["2023",4]]}}}],"schema":"https://github.com/citation-style-language/schema/raw/master/csl-citation.json"}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(4)</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lastRenderedPageBreak/>
        <w:t>Digital Eye Syndrome (DES) involves tear film instability causing ocular surface damage, leading to symptoms like dry eyes, epiphora</w:t>
      </w:r>
      <w:r w:rsidR="001A62DA">
        <w:rPr>
          <w:rFonts w:ascii="Times New Roman" w:eastAsia="Times New Roman" w:hAnsi="Times New Roman" w:cs="Times New Roman"/>
        </w:rPr>
        <w:t xml:space="preserve">, and irritation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{"citationID":"VLXSTj0s","properties":{"formattedCitation":"(5)","plainCitation":"(5)","noteIndex":0},"citationItems":[{"id":66,"uris":["http://zotero.org/users/local/6mH0t5Ye/items/38ECUJLT"],"itemData":{"id":66,"type":"article-journal","abstract":"Dry eye disease is characterized by tear film instability that can result in ocular surface damage. Patients with dry eye disease may experience ocular pain/discomfort and visual disturbances that may negatively impact quality of life. Increased use of digital screens for work, communication, and entertainment, especially during times of pandemic, may contribute to dry eye. Extensive cross-sectional studies have shown that digital screen use duration is associated with an increased risk of severe symptoms and clinical diagnosis of dry eye disease in adults. Smartphone use duration has also been found to be greater in school-age children with dry eye disease than in those without dry eye disease. A commonly accepted hypothesis for the relationship between digital screen use and dry eye disease is that digital screen use changes blinking dynamics, leading to ocular dryness. This review describes evidence that digital screen use is associated with dry eye disease, that digital device use alters blinking dynamics, and that dry eye affects mental health and work productivity in digital screen users. Helpful prevention and management strategies for dry eye disease exist for those who use digital screens.","container-title":"Clinical Ophthalmology","DOI":"10.2147/OPTH.S321591","ISSN":"1177-5483","journalAbbreviation":"OPTH","language":"en","license":"http://creativecommons.org/licenses/by-nc/3.0/","page":"3811-3820","source":"DOI.org (Crossref)","title":"The Relationship Between Dry Eye Disease and Digital Screen Use","volume":"Volume 15","author":[{"family":"Al-Mohtaseb","given":"Zaina"},{"family":"Schachter","given":"Scott"},{"family":"Shen Lee","given":"Bridgitte"},{"family":"Garlich","given":"Jaclyn"},{"family":"Trattler","given":"William"}],"issued":{"date-parts":[["2021",9]]}}}],"schema":"https://github.com/citation-style-language/schema/raw/master/csl-citation.json"}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(5)</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w:t>
      </w:r>
      <w:r>
        <w:rPr>
          <w:rFonts w:ascii="Times New Roman" w:eastAsia="Times New Roman" w:hAnsi="Times New Roman" w:cs="Times New Roman"/>
        </w:rPr>
        <w:t>DES is characterized by a range of ocular and visual symptoms, including asthenopia, dry eyes, and irritation, stemming from tear film instability and vergence-accommoda</w:t>
      </w:r>
      <w:r w:rsidR="001A62DA">
        <w:rPr>
          <w:rFonts w:ascii="Times New Roman" w:eastAsia="Times New Roman" w:hAnsi="Times New Roman" w:cs="Times New Roman"/>
        </w:rPr>
        <w:t>tion stress. It was also reported that</w:t>
      </w:r>
      <w:r>
        <w:rPr>
          <w:rFonts w:ascii="Times New Roman" w:eastAsia="Times New Roman" w:hAnsi="Times New Roman" w:cs="Times New Roman"/>
        </w:rPr>
        <w:t xml:space="preserve"> a 50–60% prevalence of DES in children, with associated esotropia and verg</w:t>
      </w:r>
      <w:r w:rsidR="001A62DA">
        <w:rPr>
          <w:rFonts w:ascii="Times New Roman" w:eastAsia="Times New Roman" w:hAnsi="Times New Roman" w:cs="Times New Roman"/>
        </w:rPr>
        <w:t xml:space="preserve">ence abnormalities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{"citationID":"HHAMphqR","properties":{"formattedCitation":"(6)","plainCitation":"(6)","noteIndex":0},"citationItems":[{"id":45,"uris":["http://zotero.org/users/local/6mH0t5Ye/items/TIKZIDYR"],"itemData":{"id":45,"type":"article-journal","container-title":"Ophthalmology and Therapy","DOI":"10.1007/s40123-022-00540-9","ISSN":"2193-8245, 2193-6528","issue":"5","journalAbbreviation":"Ophthalmol Ther","language":"en","page":"1655-1680","source":"DOI.org (Crossref)","title":"Digital Eye Strain- A Comprehensive Review","volume":"11","author":[{"family":"Kaur","given":"Kirandeep"},{"family":"Gurnani","given":"Bharat"},{"family":"Nayak","given":"Swatishree"},{"family":"Deori","given":"Nilutparna"},{"family":"Kaur","given":"Savleen"},{"family":"Jethani","given":"Jitendra"},{"family":"Singh","given":"Digvijay"},{"family":"Agarkar","given":"Sumita"},{"family":"Hussaindeen","given":"Jameel Rizwana"},{"family":"Sukhija","given":"Jaspreet"},{"family":"Mishra","given":"Deepak"}],"issued":{"date-parts":[["2022",10]]}}}],"schema":"https://github.com/citation-style-language/schema/raw/master/csl-citation.json"}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(6)</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A concerning manifestation of this strain is the development of binocular vision anomalies, particularly heterophoria—a latent misalignment of the visual axes that is controlled b</w:t>
      </w:r>
      <w:r w:rsidR="001A62DA">
        <w:rPr>
          <w:rFonts w:ascii="Times New Roman" w:eastAsia="Times New Roman" w:hAnsi="Times New Roman" w:cs="Times New Roman"/>
        </w:rPr>
        <w:t xml:space="preserve">y fusional vergence mechanisms. Phoria is a latent ocular deviation controlled by fusion, becoming apparent when fusion is disrupted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{"citationID":"pGrdGRnm","properties":{"formattedCitation":"(7)","plainCitation":"(7)","noteIndex":0},"citationItems":[{"id":70,"uris":["http://zotero.org/users/local/6mH0t5Ye/items/9RX8669P"],"itemData":{"id":70,"type":"article-journal","abstract":"Background: Fusional vergence amplitude is the amount of convergence and divergence that can be induced before fusion is lost and fusional vergence amplitude controls heterophoria. Aim: This study aimed to investigate the relationship between near heterophoria, near fusional vergence (NFV), and near point of convergence (NPC). Setting: Al-Neelain Eye Hospital Khartoum, Sudan.\nMethods: A hospital-based prospective study from February to October 2019, included 230 patients with age range of 15–30 years and mean age and standard deviation of 19.46 ± 3.33 years. The alternate cover test with prism was used to measure near heterophoria and a prism bar was used to measure quantity of fusional vergence. All measurements were taken at near heterophoria (0.33 m). Then the associations between near heterophoria, NFV and NPC were assessed.\nResults: The most common heterophoria at near among the participants was exophoria: 200 (87.0%). Reported complaints of asthenopia were commonly found among these exophoric patients: 106 (86.9%) (P = 0.735). Positive fusional vergence (PFV) to the break point varied according to the forms of heterophoria (P = 0.003). Esophoria had a higher PFV to break point than exophoria (30.83 ± 8.79∆ compared to 25.59 ± 10.07∆). Negative fusional vergence at the break and recovery points were higher among those with exophoria and lower in esophoria (P ˃ 0.05). The NPC differed by the type of heterophoria (P = 0.01), with exophoria and slightly receded NPC (8.38 cm ± 3.33 cm) than for participants with esophoria (6.77 cm ± 1.52 cm).\nConclusions: Exophoria was the most common type of near heterophoria, with asthenopia being the most reported complaint. Esophoria was found to be strongly associated with high PFV. Exophoria, on the contrary, is related to significant high NFV at the blur, beak, and recovery point. The NPC differed significantly by the type of near heterophoria, with exophoria having more receded NPC compared to those with esophoria.","container-title":"African Vision and Eye Health","DOI":"10.4102/aveh.v83i1.869","ISSN":"2410-1516, 2413-3183","issue":"1","journalAbbreviation":"African Vision and Eye Health","language":"en","license":"https://creativecommons.org/licenses/by/4.0","source":"DOI.org (Crossref)","title":"Heterophoria, fusional vergence, and near point of convergence in Sudanese hospital-based population","URL":"http://www.avehjournal.org/index.php/AVEH/article/view/869","volume":"83","author":[{"family":"Alrasheed","given":"Saif H."},{"family":"Aldakhil","given":"Sulaiman"}],"accessed":{"date-parts":[["2025",4,30]]},"issued":{"date-parts":[["2024",2,5]]}}}],"schema":"https://github.com/citation-style-language/schema/raw/master/csl-citation.json"}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(7)</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As stated by </w:t>
      </w:r>
      <w:proofErr w:type="spellStart"/>
      <w:r w:rsidR="001A62DA">
        <w:rPr>
          <w:rFonts w:ascii="Times New Roman" w:eastAsia="Times New Roman" w:hAnsi="Times New Roman" w:cs="Times New Roman"/>
        </w:rPr>
        <w:t>Gunton</w:t>
      </w:r>
      <w:proofErr w:type="spellEnd"/>
      <w:r w:rsidR="001A62DA">
        <w:rPr>
          <w:rFonts w:ascii="Times New Roman" w:eastAsia="Times New Roman" w:hAnsi="Times New Roman" w:cs="Times New Roman"/>
        </w:rPr>
        <w:t xml:space="preserve"> et al, esotropia or strabismus can be defined as a misalignment of the visual axes of the two eyes and can also be referred to as squint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{"citationID":"w7xgTTLb","properties":{"formattedCitation":"(8)","plainCitation":"(8)","noteIndex":0},"citationItems":[{"id":41,"uris":["http://zotero.org/users/local/6mH0t5Ye/items/IGEVMU5F"],"itemData":{"id":41,"type":"article-journal","container-title":"Primary Care: Clinics in Office Practice","DOI":"10.1016/j.pop.2015.05.006","ISSN":"00954543","issue":"3","journalAbbreviation":"Primary Care: Clinics in Office Practice","language":"en","page":"393-407","source":"DOI.org (Crossref)","title":"Strabismus","volume":"42","author":[{"family":"Gunton","given":"Kammi B."},{"family":"Wasserman","given":"Barry N."},{"family":"DeBenedictis","given":"Caroline"}],"issued":{"date-parts":[["2015",9]]}}}],"schema":"https://github.com/citation-style-language/schema/raw/master/csl-citation.json"}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(8)</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w:t>
      </w:r>
      <w:r>
        <w:rPr>
          <w:rFonts w:ascii="Times New Roman" w:eastAsia="Times New Roman" w:hAnsi="Times New Roman" w:cs="Times New Roman"/>
        </w:rPr>
        <w:t xml:space="preserve"> When compensatory mechanisms are overwhelmed, typically by prolonged near work, esophoria (latent inward deviation) or exophoria (latent outward deviation) can become symptomatic, leading to visual disco</w:t>
      </w:r>
      <w:r w:rsidR="001A62DA">
        <w:rPr>
          <w:rFonts w:ascii="Times New Roman" w:eastAsia="Times New Roman" w:hAnsi="Times New Roman" w:cs="Times New Roman"/>
        </w:rPr>
        <w:t xml:space="preserve">mfort, diplopia, and headaches. </w:t>
      </w:r>
      <w:r>
        <w:rPr>
          <w:rFonts w:ascii="Times New Roman" w:eastAsia="Times New Roman" w:hAnsi="Times New Roman" w:cs="Times New Roman"/>
        </w:rPr>
        <w:t>Esophoria is the inward, and exophoria the outward, deviation of the eyeball from the anterior–pos</w:t>
      </w:r>
      <w:r w:rsidR="001A62DA">
        <w:rPr>
          <w:rFonts w:ascii="Times New Roman" w:eastAsia="Times New Roman" w:hAnsi="Times New Roman" w:cs="Times New Roman"/>
        </w:rPr>
        <w:t xml:space="preserve">terior axis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{"citationID":"Et8BvEgJ","properties":{"formattedCitation":"(9)","plainCitation":"(9)","noteIndex":0},"citationItems":[{"id":57,"uris":["http://zotero.org/users/local/6mH0t5Ye/items/FE3P9QL2"],"itemData":{"id":57,"type":"article-journal","abstract":"The purpose of this study was to investigate the relationship between heterophoria and refractive error. Thirty-six subjects (11 myopes, 25 emmetropes) participated in this study. Heterophoria was measured with the Free-Space Phoria Card at five different viewing distances (25cm, 33cm, 50cm, 100cm and 300cm). Regardless of the types of heterophoria, the amount of heterophoria reduced towards orthophoric position with increasing viewing distance. Emmetropes and myopes did not show any significant difference in the degree of heterophoria at different viewing distances (F = 0.30, p&gt;0.05) or in the type of heterophoria ( 2 = 2, p&gt;0.05).","language":"en","source":"Zotero","title":"HETEROPHORIA IN YOUNG ADULTS WITH EMMETROPIA AND MYOPIA","author":[{"family":"Chen","given":"Ai Hong"},{"family":"Dom","given":"Abdul Aziz"}]}}],"schema":"https://github.com/citation-style-language/schema/raw/master/csl-citation.json"}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(9)</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 xml:space="preserve">Smartphones are typically viewed at short distances (≈36 cm texting, 32 cm browsing), inducing convergence, pupil constriction, and accommodation, which in turn affect vergence and ocular alignment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{"citationID":"m0hAF4u7","properties":{"formattedCitation":"(10)","plainCitation":"(10)","noteIndex":0},"citationItems":[{"id":50,"uris":["http://zotero.org/users/local/6mH0t5Ye/items/GBY7S2RK"],"itemData":{"id":50,"type":"article-journal","abstract":"Background/Aims Smartphone use has become an indispensable part of our daily life. The handy design and powerful processor allow smartphone users to perform diversified tasks even when walking. This study aimed to investigate and compare the optical aftereffect and vergence adaptation of using a smartphone while walking and sitting.\nMethods Twenty-nine young healthy adults (aged 19 to 24 years old) with normal binocular and accommodative functions were recruited. Participants were asked to watch a movie for 30 minutes using a smartphone while either walking on a treadmill or sitting on a chair. Corneal aberrations and near heterophoria were measured before and after smartphone use by a corneal topographer and modified Thorington heterophoria test, respectively.\nResults Using the smartphone while walking induced a change in corneal H/V astigmatism, becoming 0.11±0.03 μm less negative (two-way ANOVA repeated measures, Bonferroni post-hoc test, p = 0.001). This optical aftereffect was significantly higher than after smartphone use while sitting by 0.10±0.03 μm (paired t-test, p = 0.003). Although smartphone use did not result in a significant change in near heterophoria (Bonferroni post-hoc test, p &gt; 0.15), the vergence adaptation showed relatively more eso- or less exo-deviation by 0.79±0.36Δ in the walking than the sitting condition (paired t-test, p = 0.037).\nConclusions Eyecare practitioners should be cautious of the potential optical after effect and vergence adaptation after prolonged smartphone usage. PLOS ONE","container-title":"PLOS ONE","DOI":"10.1371/journal.pone.0243072","ISSN":"1932-6203","issue":"12","journalAbbreviation":"PLoS ONE","language":"en","page":"e0243072","source":"DOI.org (Crossref)","title":"Changes in corneal astigmatism and near heterophoria after smartphone use while walking and sitting","volume":"15","author":[{"family":"Leung","given":"Tsz Wing"},{"family":"Chan","given":"Chui-Ting"},{"family":"Lam","given":"Chi-Hin"},{"family":"Tong","given":"Yuk-Kwan"},{"family":"Kee","given":"Chea-Su"}],"editor":[{"family":"Golebiowski","given":"Blanka"}],"issued":{"date-parts":[["2020",12,3]]}}}],"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(10)</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While the link between screen time and DES is established, its specific association with measurable changes in heterophoria magnitude and vergence function is less defined. This study aims to quantify this relationship by evaluating heterophoria, NPC, and NPA in children and young adults with high screen time exposure, identifying key demographic and refractive risk factors.</w:t>
      </w:r>
    </w:p>
    <w:p w14:paraId="2DEA4E94" w14:textId="77777777" w:rsidR="00AE258C" w:rsidRDefault="007662E5">
      <w:pPr>
        <w:spacing w:line="360" w:lineRule="auto"/>
        <w:jc w:val="center"/>
        <w:rPr>
          <w:rFonts w:ascii="Times New Roman" w:eastAsia="Times New Roman" w:hAnsi="Times New Roman" w:cs="Times New Roman"/>
          <w:b/>
          <w:u w:val="single"/>
        </w:rPr>
      </w:pPr>
      <w:r>
        <w:rPr>
          <w:noProof/>
          <w:lang w:val="en-US" w:eastAsia="en-US" w:bidi="ar-SA"/>
        </w:rPr>
        <w:drawing>
          <wp:inline distT="0" distB="0" distL="0" distR="0" wp14:anchorId="50F9BCBF" wp14:editId="17CAD530">
            <wp:extent cx="3032243" cy="2727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A pie chart with different colored circles&#10;&#10;AI-generated content may be incorrect."/>
                    <pic:cNvPicPr/>
                  </pic:nvPicPr>
                  <pic:blipFill rotWithShape="1">
                    <a:blip r:embed="rId7" cstate="print"/>
                    <a:srcRect l="26480" t="11951" r="25430" b="11134"/>
                    <a:stretch>
                      <a:fillRect/>
                    </a:stretch>
                  </pic:blipFill>
                  <pic:spPr bwMode="auto">
                    <a:xfrm>
                      <a:off x="0" y="0"/>
                      <a:ext cx="3129212" cy="2815198"/>
                    </a:xfrm>
                    <a:prstGeom prst="rect">
                      <a:avLst/>
                    </a:prstGeom>
                    <a:ln>
                      <a:noFill/>
                    </a:ln>
                  </pic:spPr>
                </pic:pic>
              </a:graphicData>
            </a:graphic>
          </wp:inline>
        </w:drawing>
      </w:r>
    </w:p>
    <w:p w14:paraId="10D5499A"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Pie chart illustrating the types of digital devices used and their respective percentages (smartphones: 48%, laptops: 25%, tablets: 15%, other: 12%). This figure highlights the predominance of smartphones, a key factor in screen time exposure, showing the percentage distribution of digital devices used by study participants.</w:t>
      </w:r>
    </w:p>
    <w:p w14:paraId="61755782"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Methods</w:t>
      </w:r>
    </w:p>
    <w:p w14:paraId="6DAB09C3"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This retrospective cross-sectional study was conducted at the Department of Ophthalmology, Jawaharlal Nehru Medical College, Aligarh Muslim University, India. After obtaining ethical approval, data from 40 patients aged 5-30 years was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Patients were included if they had a best-corrected visual acuity of 6/9 or better and were diagnosed with heterophoria. Exclusion criteria included manifest strabismus, amblyopia, history of ocular surgery, or any ocular pathology affecting binocular vision.</w:t>
      </w:r>
    </w:p>
    <w:p w14:paraId="55A2817D"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All participants underwent a comprehensive orthoptic workup. The alternate cover test was used for qualitative assessment. Quantitative measurement of near and distance phoria was performed using </w:t>
      </w:r>
      <w:r>
        <w:rPr>
          <w:rFonts w:ascii="Times New Roman" w:eastAsia="Times New Roman" w:hAnsi="Times New Roman" w:cs="Times New Roman"/>
        </w:rPr>
        <w:lastRenderedPageBreak/>
        <w:t xml:space="preserve">the Maddox Wing and Maddox Rod test, respectively, and recorded in prism </w:t>
      </w:r>
      <w:proofErr w:type="spellStart"/>
      <w:r>
        <w:rPr>
          <w:rFonts w:ascii="Times New Roman" w:eastAsia="Times New Roman" w:hAnsi="Times New Roman" w:cs="Times New Roman"/>
        </w:rPr>
        <w:t>diopters</w:t>
      </w:r>
      <w:proofErr w:type="spellEnd"/>
      <w:r>
        <w:rPr>
          <w:rFonts w:ascii="Times New Roman" w:eastAsia="Times New Roman" w:hAnsi="Times New Roman" w:cs="Times New Roman"/>
        </w:rPr>
        <w:t xml:space="preserve"> (PD). The near point of convergence (NPC) and near point of accommodation (NPA) were measured using the Royal Air Force (RAF) Rule. Objective and subjective refraction were performed to diagnose myopia and astigmatism. A structured questionnaire was administered to collect data on daily screen time usage and types of digital devices used.</w:t>
      </w:r>
    </w:p>
    <w:p w14:paraId="564E77CB"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Results</w:t>
      </w:r>
    </w:p>
    <w:p w14:paraId="1B56895B"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The study included 40 participants, with 30 diagnosed with exophoria and 10 with esophoria, reflecting a diverse age range from 5 to 30 years, with a mean age of 18.2 ± 6.1 years. The cohort exhibited a notable gender imbalance, with females comprising 62.5% (n=25) of the total participants, a distribution that varied significantly between phoria types. The average daily screen time across all participants was 5.1 ± 2.3 hours, with no significant difference observed between the exophoria group (5.3 ± 2.4 hours) and the esophoria group (4.6 ± 1.9 hours). This consistency in screen time exposure highlights the broad impact of digital device use across both groups, though the predominance of smartphone </w:t>
      </w:r>
      <w:proofErr w:type="gramStart"/>
      <w:r>
        <w:rPr>
          <w:rFonts w:ascii="Times New Roman" w:eastAsia="Times New Roman" w:hAnsi="Times New Roman" w:cs="Times New Roman"/>
        </w:rPr>
        <w:t>use</w:t>
      </w:r>
      <w:proofErr w:type="gramEnd"/>
      <w:r>
        <w:rPr>
          <w:rFonts w:ascii="Times New Roman" w:eastAsia="Times New Roman" w:hAnsi="Times New Roman" w:cs="Times New Roman"/>
        </w:rPr>
        <w:t xml:space="preserve"> as the primary device (reported by 48% of participants) suggests a specific focus on near-work demands.</w:t>
      </w:r>
    </w:p>
    <w:p w14:paraId="61E01D08"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1: Sociodemographic and clinical profile of study participants</w:t>
      </w:r>
    </w:p>
    <w:tbl>
      <w:tblPr>
        <w:tblStyle w:val="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0"/>
        <w:gridCol w:w="1351"/>
        <w:gridCol w:w="1856"/>
        <w:gridCol w:w="1832"/>
        <w:gridCol w:w="907"/>
      </w:tblGrid>
      <w:tr w:rsidR="00AE258C" w14:paraId="5A73C5CE" w14:textId="77777777">
        <w:tc>
          <w:tcPr>
            <w:tcW w:w="3070" w:type="dxa"/>
          </w:tcPr>
          <w:p w14:paraId="6DC6A5DA"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Variable</w:t>
            </w:r>
          </w:p>
        </w:tc>
        <w:tc>
          <w:tcPr>
            <w:tcW w:w="1351" w:type="dxa"/>
          </w:tcPr>
          <w:p w14:paraId="78D59640"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Total (n=40)</w:t>
            </w:r>
          </w:p>
        </w:tc>
        <w:tc>
          <w:tcPr>
            <w:tcW w:w="1856" w:type="dxa"/>
          </w:tcPr>
          <w:p w14:paraId="34F21168"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Exophoria (n=30)</w:t>
            </w:r>
          </w:p>
        </w:tc>
        <w:tc>
          <w:tcPr>
            <w:tcW w:w="1832" w:type="dxa"/>
          </w:tcPr>
          <w:p w14:paraId="45929BDF"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Esophoria (n=10)</w:t>
            </w:r>
          </w:p>
        </w:tc>
        <w:tc>
          <w:tcPr>
            <w:tcW w:w="907" w:type="dxa"/>
          </w:tcPr>
          <w:p w14:paraId="247292BB"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14:paraId="240E5251" w14:textId="77777777">
        <w:tc>
          <w:tcPr>
            <w:tcW w:w="3070" w:type="dxa"/>
          </w:tcPr>
          <w:p w14:paraId="267860AE"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Age (years), Mean ± SD</w:t>
            </w:r>
          </w:p>
        </w:tc>
        <w:tc>
          <w:tcPr>
            <w:tcW w:w="1351" w:type="dxa"/>
          </w:tcPr>
          <w:p w14:paraId="7321BBD0"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18.2 ± 6.1</w:t>
            </w:r>
          </w:p>
        </w:tc>
        <w:tc>
          <w:tcPr>
            <w:tcW w:w="1856" w:type="dxa"/>
          </w:tcPr>
          <w:p w14:paraId="702F1B23"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19.1 ± 5.8</w:t>
            </w:r>
          </w:p>
        </w:tc>
        <w:tc>
          <w:tcPr>
            <w:tcW w:w="1832" w:type="dxa"/>
          </w:tcPr>
          <w:p w14:paraId="5A31023A"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15.4 ± 6.3</w:t>
            </w:r>
          </w:p>
        </w:tc>
        <w:tc>
          <w:tcPr>
            <w:tcW w:w="907" w:type="dxa"/>
          </w:tcPr>
          <w:p w14:paraId="252F564B"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0.09</w:t>
            </w:r>
          </w:p>
        </w:tc>
      </w:tr>
      <w:tr w:rsidR="00AE258C" w14:paraId="48CF316C" w14:textId="77777777">
        <w:tc>
          <w:tcPr>
            <w:tcW w:w="3070" w:type="dxa"/>
          </w:tcPr>
          <w:p w14:paraId="5478A373"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Gender, n (%)</w:t>
            </w:r>
          </w:p>
        </w:tc>
        <w:tc>
          <w:tcPr>
            <w:tcW w:w="1351" w:type="dxa"/>
          </w:tcPr>
          <w:p w14:paraId="33234B32" w14:textId="77777777" w:rsidR="00AE258C" w:rsidRDefault="00AE258C">
            <w:pPr>
              <w:spacing w:after="160" w:line="259" w:lineRule="auto"/>
              <w:jc w:val="both"/>
              <w:rPr>
                <w:rFonts w:ascii="Times New Roman" w:eastAsia="Times New Roman" w:hAnsi="Times New Roman" w:cs="Times New Roman"/>
              </w:rPr>
            </w:pPr>
          </w:p>
        </w:tc>
        <w:tc>
          <w:tcPr>
            <w:tcW w:w="1856" w:type="dxa"/>
          </w:tcPr>
          <w:p w14:paraId="6C087D86" w14:textId="77777777" w:rsidR="00AE258C" w:rsidRDefault="00AE258C">
            <w:pPr>
              <w:spacing w:after="160" w:line="259" w:lineRule="auto"/>
              <w:jc w:val="both"/>
              <w:rPr>
                <w:rFonts w:ascii="Times New Roman" w:eastAsia="Times New Roman" w:hAnsi="Times New Roman" w:cs="Times New Roman"/>
              </w:rPr>
            </w:pPr>
          </w:p>
        </w:tc>
        <w:tc>
          <w:tcPr>
            <w:tcW w:w="1832" w:type="dxa"/>
          </w:tcPr>
          <w:p w14:paraId="1CC47F02" w14:textId="77777777" w:rsidR="00AE258C" w:rsidRDefault="00AE258C">
            <w:pPr>
              <w:spacing w:after="160" w:line="259" w:lineRule="auto"/>
              <w:jc w:val="both"/>
              <w:rPr>
                <w:rFonts w:ascii="Times New Roman" w:eastAsia="Times New Roman" w:hAnsi="Times New Roman" w:cs="Times New Roman"/>
              </w:rPr>
            </w:pPr>
          </w:p>
        </w:tc>
        <w:tc>
          <w:tcPr>
            <w:tcW w:w="907" w:type="dxa"/>
          </w:tcPr>
          <w:p w14:paraId="394936FC" w14:textId="77777777" w:rsidR="00AE258C" w:rsidRDefault="00AE258C">
            <w:pPr>
              <w:spacing w:after="160" w:line="259" w:lineRule="auto"/>
              <w:jc w:val="both"/>
              <w:rPr>
                <w:rFonts w:ascii="Times New Roman" w:eastAsia="Times New Roman" w:hAnsi="Times New Roman" w:cs="Times New Roman"/>
              </w:rPr>
            </w:pPr>
          </w:p>
        </w:tc>
      </w:tr>
      <w:tr w:rsidR="00AE258C" w14:paraId="633DDA42" w14:textId="77777777">
        <w:tc>
          <w:tcPr>
            <w:tcW w:w="3070" w:type="dxa"/>
          </w:tcPr>
          <w:p w14:paraId="4FA7C7D6"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Female</w:t>
            </w:r>
          </w:p>
        </w:tc>
        <w:tc>
          <w:tcPr>
            <w:tcW w:w="1351" w:type="dxa"/>
          </w:tcPr>
          <w:p w14:paraId="72AA4125"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25 (62.5)</w:t>
            </w:r>
          </w:p>
        </w:tc>
        <w:tc>
          <w:tcPr>
            <w:tcW w:w="1856" w:type="dxa"/>
          </w:tcPr>
          <w:p w14:paraId="0892119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16 (53.3)</w:t>
            </w:r>
          </w:p>
        </w:tc>
        <w:tc>
          <w:tcPr>
            <w:tcW w:w="1832" w:type="dxa"/>
          </w:tcPr>
          <w:p w14:paraId="66B8BB85"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 (80.0)</w:t>
            </w:r>
          </w:p>
        </w:tc>
        <w:tc>
          <w:tcPr>
            <w:tcW w:w="907" w:type="dxa"/>
          </w:tcPr>
          <w:p w14:paraId="57FEC0F8"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0.04</w:t>
            </w:r>
          </w:p>
        </w:tc>
      </w:tr>
      <w:tr w:rsidR="00AE258C" w14:paraId="1160089E" w14:textId="77777777">
        <w:tc>
          <w:tcPr>
            <w:tcW w:w="3070" w:type="dxa"/>
          </w:tcPr>
          <w:p w14:paraId="56EB12F5"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Male</w:t>
            </w:r>
          </w:p>
        </w:tc>
        <w:tc>
          <w:tcPr>
            <w:tcW w:w="1351" w:type="dxa"/>
          </w:tcPr>
          <w:p w14:paraId="134319F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15 (37.5)</w:t>
            </w:r>
          </w:p>
        </w:tc>
        <w:tc>
          <w:tcPr>
            <w:tcW w:w="1856" w:type="dxa"/>
          </w:tcPr>
          <w:p w14:paraId="104723B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14 (46.7)</w:t>
            </w:r>
          </w:p>
        </w:tc>
        <w:tc>
          <w:tcPr>
            <w:tcW w:w="1832" w:type="dxa"/>
          </w:tcPr>
          <w:p w14:paraId="143121C8"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 (20.0)</w:t>
            </w:r>
          </w:p>
        </w:tc>
        <w:tc>
          <w:tcPr>
            <w:tcW w:w="907" w:type="dxa"/>
          </w:tcPr>
          <w:p w14:paraId="3BE9BF63" w14:textId="77777777" w:rsidR="00AE258C" w:rsidRDefault="00AE258C">
            <w:pPr>
              <w:spacing w:after="160" w:line="259" w:lineRule="auto"/>
              <w:jc w:val="both"/>
              <w:rPr>
                <w:rFonts w:ascii="Times New Roman" w:eastAsia="Times New Roman" w:hAnsi="Times New Roman" w:cs="Times New Roman"/>
              </w:rPr>
            </w:pPr>
          </w:p>
        </w:tc>
      </w:tr>
      <w:tr w:rsidR="00AE258C" w14:paraId="777C295B" w14:textId="77777777">
        <w:tc>
          <w:tcPr>
            <w:tcW w:w="3070" w:type="dxa"/>
          </w:tcPr>
          <w:p w14:paraId="2C374C19"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 (hours), Mean ± SD</w:t>
            </w:r>
          </w:p>
        </w:tc>
        <w:tc>
          <w:tcPr>
            <w:tcW w:w="1351" w:type="dxa"/>
          </w:tcPr>
          <w:p w14:paraId="606F257C"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5.1 ± 2.3</w:t>
            </w:r>
          </w:p>
        </w:tc>
        <w:tc>
          <w:tcPr>
            <w:tcW w:w="1856" w:type="dxa"/>
          </w:tcPr>
          <w:p w14:paraId="22FDEE0D"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5.3 ± 2.4</w:t>
            </w:r>
          </w:p>
        </w:tc>
        <w:tc>
          <w:tcPr>
            <w:tcW w:w="1832" w:type="dxa"/>
          </w:tcPr>
          <w:p w14:paraId="02A220B3"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4.6 ± 1.9</w:t>
            </w:r>
          </w:p>
        </w:tc>
        <w:tc>
          <w:tcPr>
            <w:tcW w:w="907" w:type="dxa"/>
          </w:tcPr>
          <w:p w14:paraId="20CD1A71"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0.38</w:t>
            </w:r>
          </w:p>
        </w:tc>
      </w:tr>
    </w:tbl>
    <w:p w14:paraId="714B83C3"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This table summarizes the demographic and clinical characteristics of the study participants. The significant difference in gender distribution (p=0.04) indicates a higher proportion of females in the esophoria group, suggesting a potential gender-specific vulnerability. </w:t>
      </w:r>
    </w:p>
    <w:p w14:paraId="790ACBD8"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Binary logistic regression analysis revealed that female gender was a significant predictor of esophoria, with an odds ratio of 3.1 (95% CI: 1.2–8.0, p=0.02), indicating a threefold increased risk compared to males. This finding suggests a potential gender-specific vulnerability to convergence-related issues, possibly influenced by hormonal or anatomical factors. Screen time exceeding 5 hours per day showed a trend toward increased risk of esophoria (OR=2.4, 95% CI: 0.9–6.3, p=0.08), though this did not reach statistical significance, possibly due to the small sample size in the esophoria group. Myopia as a predictor showed no significant association (OR=1.8, 95% CI: 0.7–4.9, p=0.24), suggesting that while it may contribute, its role requires further exploration with a larger cohort.</w:t>
      </w:r>
    </w:p>
    <w:p w14:paraId="2E3B0EFD"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2: Odds ratios for predictors of esophoria</w:t>
      </w:r>
    </w:p>
    <w:tbl>
      <w:tblPr>
        <w:tblStyle w:val="a0"/>
        <w:tblW w:w="90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6"/>
        <w:gridCol w:w="2903"/>
        <w:gridCol w:w="2938"/>
      </w:tblGrid>
      <w:tr w:rsidR="00AE258C" w14:paraId="432F2800" w14:textId="77777777" w:rsidTr="00C66E6A">
        <w:trPr>
          <w:trHeight w:val="478"/>
        </w:trPr>
        <w:tc>
          <w:tcPr>
            <w:tcW w:w="3206" w:type="dxa"/>
          </w:tcPr>
          <w:p w14:paraId="2ABABA95"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Predictor</w:t>
            </w:r>
          </w:p>
        </w:tc>
        <w:tc>
          <w:tcPr>
            <w:tcW w:w="2903" w:type="dxa"/>
          </w:tcPr>
          <w:p w14:paraId="5894A238"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Odds Ratio (95% CI)</w:t>
            </w:r>
          </w:p>
        </w:tc>
        <w:tc>
          <w:tcPr>
            <w:tcW w:w="2938" w:type="dxa"/>
          </w:tcPr>
          <w:p w14:paraId="5920321B"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14:paraId="2AFD6126" w14:textId="77777777" w:rsidTr="00C66E6A">
        <w:trPr>
          <w:trHeight w:val="478"/>
        </w:trPr>
        <w:tc>
          <w:tcPr>
            <w:tcW w:w="3206" w:type="dxa"/>
          </w:tcPr>
          <w:p w14:paraId="031E5AF3"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Female Gender</w:t>
            </w:r>
          </w:p>
        </w:tc>
        <w:tc>
          <w:tcPr>
            <w:tcW w:w="2903" w:type="dxa"/>
          </w:tcPr>
          <w:p w14:paraId="3E93D2AD"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3.1 (1.2 - 8.0)</w:t>
            </w:r>
          </w:p>
        </w:tc>
        <w:tc>
          <w:tcPr>
            <w:tcW w:w="2938" w:type="dxa"/>
          </w:tcPr>
          <w:p w14:paraId="48060BBE"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0.02</w:t>
            </w:r>
          </w:p>
        </w:tc>
      </w:tr>
      <w:tr w:rsidR="00AE258C" w14:paraId="4F5FAE66" w14:textId="77777777" w:rsidTr="00C66E6A">
        <w:trPr>
          <w:trHeight w:val="478"/>
        </w:trPr>
        <w:tc>
          <w:tcPr>
            <w:tcW w:w="3206" w:type="dxa"/>
          </w:tcPr>
          <w:p w14:paraId="5584C293"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 (&gt;5 hrs/day)</w:t>
            </w:r>
          </w:p>
        </w:tc>
        <w:tc>
          <w:tcPr>
            <w:tcW w:w="2903" w:type="dxa"/>
          </w:tcPr>
          <w:p w14:paraId="61295E16"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2.4 (0.9 - 6.3)</w:t>
            </w:r>
          </w:p>
        </w:tc>
        <w:tc>
          <w:tcPr>
            <w:tcW w:w="2938" w:type="dxa"/>
          </w:tcPr>
          <w:p w14:paraId="0B0B6649"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0.08</w:t>
            </w:r>
          </w:p>
        </w:tc>
      </w:tr>
      <w:tr w:rsidR="00AE258C" w14:paraId="5749D72B" w14:textId="77777777" w:rsidTr="00C66E6A">
        <w:trPr>
          <w:trHeight w:val="478"/>
        </w:trPr>
        <w:tc>
          <w:tcPr>
            <w:tcW w:w="3206" w:type="dxa"/>
          </w:tcPr>
          <w:p w14:paraId="24B25B85"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Myopia</w:t>
            </w:r>
          </w:p>
        </w:tc>
        <w:tc>
          <w:tcPr>
            <w:tcW w:w="2903" w:type="dxa"/>
          </w:tcPr>
          <w:p w14:paraId="696DB656"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1.8 (0.7 - 4.9)</w:t>
            </w:r>
          </w:p>
        </w:tc>
        <w:tc>
          <w:tcPr>
            <w:tcW w:w="2938" w:type="dxa"/>
          </w:tcPr>
          <w:p w14:paraId="30F8E3D9"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0.24</w:t>
            </w:r>
          </w:p>
        </w:tc>
      </w:tr>
    </w:tbl>
    <w:p w14:paraId="46D07692"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lastRenderedPageBreak/>
        <w:t>This table presents the odds ratios for predictors of esophoria, with female gender showing statistical significance (p=0.02), indicating its strong association with esophoria development.</w:t>
      </w:r>
    </w:p>
    <w:p w14:paraId="466192BC"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Clinical measurements revealed distinct patterns between phoria types. The mean near phoria was 11.0 ± 4.2 PD in the exophoria group and 12.6 ± 2.8 PD in the esophoria group, a difference that was not statistically significant (p=0.25). Similarly, distance phoria showed a non-significant variation, with 8.0 ± 3.5 PD in exophoria and 9.2 ± 1.9 PD in esophoria (p=0.32). However, significant differences emerged in vergence and accommodation functions. The near point of convergence (NPC) was significantly worse (closer) in the esophoria group (7.6 ± 1.1 cm) compared to the exophoria group (9.8 ± 2.1 cm, p=0.003), indicating potential convergence insufficiency that could contribute to visual discomfort during prolonged near work. Likewise, the near point of accommodation (NPA) was worse in the esophoria group (8.2 ± 1.3 cm vs. 10.3 ± 2.3 cm, p=0.02), suggesting a broader impact on accommodative capacity that may exacerbate symptoms.</w:t>
      </w:r>
    </w:p>
    <w:p w14:paraId="28470C04" w14:textId="77777777" w:rsidR="00AE258C" w:rsidRDefault="00AE258C">
      <w:pPr>
        <w:jc w:val="both"/>
        <w:rPr>
          <w:rFonts w:ascii="Times New Roman" w:eastAsia="Times New Roman" w:hAnsi="Times New Roman" w:cs="Times New Roman"/>
          <w:b/>
        </w:rPr>
      </w:pPr>
    </w:p>
    <w:p w14:paraId="48A4C780"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3: Clinical characteristics by phoria type</w:t>
      </w:r>
    </w:p>
    <w:tbl>
      <w:tblPr>
        <w:tblStyle w:val="a1"/>
        <w:tblW w:w="90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1402"/>
        <w:gridCol w:w="1924"/>
        <w:gridCol w:w="1900"/>
        <w:gridCol w:w="936"/>
      </w:tblGrid>
      <w:tr w:rsidR="00AE258C" w14:paraId="252D76B6" w14:textId="77777777" w:rsidTr="00C66E6A">
        <w:trPr>
          <w:trHeight w:val="712"/>
        </w:trPr>
        <w:tc>
          <w:tcPr>
            <w:tcW w:w="2860" w:type="dxa"/>
          </w:tcPr>
          <w:p w14:paraId="74864F5D"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Variable</w:t>
            </w:r>
          </w:p>
        </w:tc>
        <w:tc>
          <w:tcPr>
            <w:tcW w:w="1402" w:type="dxa"/>
          </w:tcPr>
          <w:p w14:paraId="5F9FA921"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Total (n=40)</w:t>
            </w:r>
          </w:p>
        </w:tc>
        <w:tc>
          <w:tcPr>
            <w:tcW w:w="1924" w:type="dxa"/>
          </w:tcPr>
          <w:p w14:paraId="0B284B0E"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Exophoria (n=30)</w:t>
            </w:r>
          </w:p>
        </w:tc>
        <w:tc>
          <w:tcPr>
            <w:tcW w:w="1900" w:type="dxa"/>
          </w:tcPr>
          <w:p w14:paraId="23D4196D"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Esophoria (n=10)</w:t>
            </w:r>
          </w:p>
        </w:tc>
        <w:tc>
          <w:tcPr>
            <w:tcW w:w="936" w:type="dxa"/>
          </w:tcPr>
          <w:p w14:paraId="1AE02D10"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14:paraId="705F5A53" w14:textId="77777777" w:rsidTr="00C66E6A">
        <w:trPr>
          <w:trHeight w:val="422"/>
        </w:trPr>
        <w:tc>
          <w:tcPr>
            <w:tcW w:w="2860" w:type="dxa"/>
          </w:tcPr>
          <w:p w14:paraId="5C2FEAEC"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Near PD (Δ), Mean ± SD</w:t>
            </w:r>
          </w:p>
        </w:tc>
        <w:tc>
          <w:tcPr>
            <w:tcW w:w="1402" w:type="dxa"/>
          </w:tcPr>
          <w:p w14:paraId="35545287"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11.4 ± 3.9</w:t>
            </w:r>
          </w:p>
        </w:tc>
        <w:tc>
          <w:tcPr>
            <w:tcW w:w="1924" w:type="dxa"/>
          </w:tcPr>
          <w:p w14:paraId="7EEEC301"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11.0 ± 4.2</w:t>
            </w:r>
          </w:p>
        </w:tc>
        <w:tc>
          <w:tcPr>
            <w:tcW w:w="1900" w:type="dxa"/>
          </w:tcPr>
          <w:p w14:paraId="28BC05E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12.6 ± 2.8</w:t>
            </w:r>
          </w:p>
        </w:tc>
        <w:tc>
          <w:tcPr>
            <w:tcW w:w="936" w:type="dxa"/>
          </w:tcPr>
          <w:p w14:paraId="503A8724"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0.25</w:t>
            </w:r>
          </w:p>
        </w:tc>
      </w:tr>
      <w:tr w:rsidR="00AE258C" w14:paraId="0DA86965" w14:textId="77777777" w:rsidTr="00C66E6A">
        <w:trPr>
          <w:trHeight w:val="434"/>
        </w:trPr>
        <w:tc>
          <w:tcPr>
            <w:tcW w:w="2860" w:type="dxa"/>
          </w:tcPr>
          <w:p w14:paraId="151911B9"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Distance PD (Δ), Mean ± SD</w:t>
            </w:r>
          </w:p>
        </w:tc>
        <w:tc>
          <w:tcPr>
            <w:tcW w:w="1402" w:type="dxa"/>
          </w:tcPr>
          <w:p w14:paraId="7DC9AB83"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8.4 ± 3.2</w:t>
            </w:r>
          </w:p>
        </w:tc>
        <w:tc>
          <w:tcPr>
            <w:tcW w:w="1924" w:type="dxa"/>
          </w:tcPr>
          <w:p w14:paraId="3CC5C178"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8.0 ± 3.5</w:t>
            </w:r>
          </w:p>
        </w:tc>
        <w:tc>
          <w:tcPr>
            <w:tcW w:w="1900" w:type="dxa"/>
          </w:tcPr>
          <w:p w14:paraId="099BDC4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9.2 ± 1.9</w:t>
            </w:r>
          </w:p>
        </w:tc>
        <w:tc>
          <w:tcPr>
            <w:tcW w:w="936" w:type="dxa"/>
          </w:tcPr>
          <w:p w14:paraId="3B5D8447"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0.32</w:t>
            </w:r>
          </w:p>
        </w:tc>
      </w:tr>
      <w:tr w:rsidR="00AE258C" w14:paraId="786603DB" w14:textId="77777777" w:rsidTr="00C66E6A">
        <w:trPr>
          <w:trHeight w:val="434"/>
        </w:trPr>
        <w:tc>
          <w:tcPr>
            <w:tcW w:w="2860" w:type="dxa"/>
          </w:tcPr>
          <w:p w14:paraId="10DFF3C1"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NPC (cm), Mean ± SD</w:t>
            </w:r>
          </w:p>
        </w:tc>
        <w:tc>
          <w:tcPr>
            <w:tcW w:w="1402" w:type="dxa"/>
          </w:tcPr>
          <w:p w14:paraId="7A96DF18"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9.2 ± 2.1</w:t>
            </w:r>
          </w:p>
        </w:tc>
        <w:tc>
          <w:tcPr>
            <w:tcW w:w="1924" w:type="dxa"/>
          </w:tcPr>
          <w:p w14:paraId="08F98D77"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9.8 ± 2.1</w:t>
            </w:r>
          </w:p>
        </w:tc>
        <w:tc>
          <w:tcPr>
            <w:tcW w:w="1900" w:type="dxa"/>
          </w:tcPr>
          <w:p w14:paraId="68B4B784"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7.6 ± 1.1</w:t>
            </w:r>
          </w:p>
        </w:tc>
        <w:tc>
          <w:tcPr>
            <w:tcW w:w="936" w:type="dxa"/>
          </w:tcPr>
          <w:p w14:paraId="77F12003"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0.003</w:t>
            </w:r>
          </w:p>
        </w:tc>
      </w:tr>
      <w:tr w:rsidR="00AE258C" w14:paraId="6F0FA53A" w14:textId="77777777" w:rsidTr="00C66E6A">
        <w:trPr>
          <w:trHeight w:val="434"/>
        </w:trPr>
        <w:tc>
          <w:tcPr>
            <w:tcW w:w="2860" w:type="dxa"/>
          </w:tcPr>
          <w:p w14:paraId="7CAED0A1"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NPA (cm), Mean ± SD</w:t>
            </w:r>
          </w:p>
        </w:tc>
        <w:tc>
          <w:tcPr>
            <w:tcW w:w="1402" w:type="dxa"/>
          </w:tcPr>
          <w:p w14:paraId="5986BC3A"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9.7 ± 2.3</w:t>
            </w:r>
          </w:p>
        </w:tc>
        <w:tc>
          <w:tcPr>
            <w:tcW w:w="1924" w:type="dxa"/>
          </w:tcPr>
          <w:p w14:paraId="20EFF42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10.3 ± 2.3</w:t>
            </w:r>
          </w:p>
        </w:tc>
        <w:tc>
          <w:tcPr>
            <w:tcW w:w="1900" w:type="dxa"/>
          </w:tcPr>
          <w:p w14:paraId="307587E1"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8.2 ± 1.3</w:t>
            </w:r>
          </w:p>
        </w:tc>
        <w:tc>
          <w:tcPr>
            <w:tcW w:w="936" w:type="dxa"/>
          </w:tcPr>
          <w:p w14:paraId="27EAA02D"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0.02</w:t>
            </w:r>
          </w:p>
        </w:tc>
      </w:tr>
    </w:tbl>
    <w:p w14:paraId="46429BD4"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This table compares clinical measures across phoria types, with significant differences in NPC (p=0.003) and NPA (p=0.02), reflecting the impact of esophoria on convergence and accommodation functions. PD stands for Prism </w:t>
      </w:r>
      <w:proofErr w:type="spellStart"/>
      <w:r>
        <w:rPr>
          <w:rFonts w:ascii="Times New Roman" w:eastAsia="Times New Roman" w:hAnsi="Times New Roman" w:cs="Times New Roman"/>
        </w:rPr>
        <w:t>Diopters</w:t>
      </w:r>
      <w:proofErr w:type="spellEnd"/>
      <w:r>
        <w:rPr>
          <w:rFonts w:ascii="Times New Roman" w:eastAsia="Times New Roman" w:hAnsi="Times New Roman" w:cs="Times New Roman"/>
        </w:rPr>
        <w:t>, NPC for Near Point of Convergence, and NPA for Near Point of Accommodation.</w:t>
      </w:r>
    </w:p>
    <w:p w14:paraId="0460F44D"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Correlation analyses revealed several significant relationships. Screen time demonstrated a positive correlation with the magnitude of near phoria (r=0.32, p=0.04), indicating that longer screen use was associated with a larger </w:t>
      </w:r>
      <w:proofErr w:type="spellStart"/>
      <w:r>
        <w:rPr>
          <w:rFonts w:ascii="Times New Roman" w:eastAsia="Times New Roman" w:hAnsi="Times New Roman" w:cs="Times New Roman"/>
        </w:rPr>
        <w:t>phoric</w:t>
      </w:r>
      <w:proofErr w:type="spellEnd"/>
      <w:r>
        <w:rPr>
          <w:rFonts w:ascii="Times New Roman" w:eastAsia="Times New Roman" w:hAnsi="Times New Roman" w:cs="Times New Roman"/>
        </w:rPr>
        <w:t xml:space="preserve"> deviation, potentially reflecting increased accommodative stress over time. A significant negative correlation was found between screen time and NPC (r=-0.41, p=0.008), suggesting that increased screen time is associated with reduced convergence ability, a critical factor in maintaining binocular vision stability. A very strong positive correlation was observed between NPC and NPA (r=0.67, p&lt;0.001), highlighting the interdependence of these visual functions and their joint susceptibility to near-work demands.</w:t>
      </w:r>
    </w:p>
    <w:p w14:paraId="1688F11C"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4: Correlation analysis of screen time, near PD, and NPC</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4"/>
        <w:gridCol w:w="4032"/>
        <w:gridCol w:w="1366"/>
      </w:tblGrid>
      <w:tr w:rsidR="00AE258C" w14:paraId="31F976B5" w14:textId="77777777" w:rsidTr="00CF4EF2">
        <w:trPr>
          <w:trHeight w:val="603"/>
        </w:trPr>
        <w:tc>
          <w:tcPr>
            <w:tcW w:w="3664" w:type="dxa"/>
          </w:tcPr>
          <w:p w14:paraId="1E968F6C"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Variables</w:t>
            </w:r>
          </w:p>
        </w:tc>
        <w:tc>
          <w:tcPr>
            <w:tcW w:w="4032" w:type="dxa"/>
          </w:tcPr>
          <w:p w14:paraId="1108EA52"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Correlation Coefficient (r)</w:t>
            </w:r>
          </w:p>
        </w:tc>
        <w:tc>
          <w:tcPr>
            <w:tcW w:w="1366" w:type="dxa"/>
          </w:tcPr>
          <w:p w14:paraId="1E11F53A"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14:paraId="4A2C317F" w14:textId="77777777" w:rsidTr="00CF4EF2">
        <w:trPr>
          <w:trHeight w:val="603"/>
        </w:trPr>
        <w:tc>
          <w:tcPr>
            <w:tcW w:w="3664" w:type="dxa"/>
          </w:tcPr>
          <w:p w14:paraId="4A4BBFEA"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 vs. Near PD</w:t>
            </w:r>
          </w:p>
        </w:tc>
        <w:tc>
          <w:tcPr>
            <w:tcW w:w="4032" w:type="dxa"/>
          </w:tcPr>
          <w:p w14:paraId="570E5CC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0.32</w:t>
            </w:r>
          </w:p>
        </w:tc>
        <w:tc>
          <w:tcPr>
            <w:tcW w:w="1366" w:type="dxa"/>
          </w:tcPr>
          <w:p w14:paraId="5D0955C4"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0.04</w:t>
            </w:r>
          </w:p>
        </w:tc>
      </w:tr>
      <w:tr w:rsidR="00AE258C" w14:paraId="5657512C" w14:textId="77777777" w:rsidTr="00CF4EF2">
        <w:trPr>
          <w:trHeight w:val="603"/>
        </w:trPr>
        <w:tc>
          <w:tcPr>
            <w:tcW w:w="3664" w:type="dxa"/>
          </w:tcPr>
          <w:p w14:paraId="1C73A131"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 vs. NPC</w:t>
            </w:r>
          </w:p>
        </w:tc>
        <w:tc>
          <w:tcPr>
            <w:tcW w:w="4032" w:type="dxa"/>
          </w:tcPr>
          <w:p w14:paraId="1AFB964A"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-0.41</w:t>
            </w:r>
          </w:p>
        </w:tc>
        <w:tc>
          <w:tcPr>
            <w:tcW w:w="1366" w:type="dxa"/>
          </w:tcPr>
          <w:p w14:paraId="40C16548"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0.008</w:t>
            </w:r>
          </w:p>
        </w:tc>
      </w:tr>
      <w:tr w:rsidR="00AE258C" w14:paraId="762E23CD" w14:textId="77777777" w:rsidTr="00CF4EF2">
        <w:trPr>
          <w:trHeight w:val="603"/>
        </w:trPr>
        <w:tc>
          <w:tcPr>
            <w:tcW w:w="3664" w:type="dxa"/>
          </w:tcPr>
          <w:p w14:paraId="6ED1F2E7"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NPC vs. NPA</w:t>
            </w:r>
          </w:p>
        </w:tc>
        <w:tc>
          <w:tcPr>
            <w:tcW w:w="4032" w:type="dxa"/>
          </w:tcPr>
          <w:p w14:paraId="076073AB"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0.67</w:t>
            </w:r>
          </w:p>
        </w:tc>
        <w:tc>
          <w:tcPr>
            <w:tcW w:w="1366" w:type="dxa"/>
          </w:tcPr>
          <w:p w14:paraId="1A422264"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&lt;0.001</w:t>
            </w:r>
          </w:p>
        </w:tc>
      </w:tr>
    </w:tbl>
    <w:p w14:paraId="632068A1"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lastRenderedPageBreak/>
        <w:t>This table shows the correlation coefficients, with significant relationships between screen time and both near PD (p=0.04) and NPC (p=0.008), emphasizing the impact of screen exposure on visual function.</w:t>
      </w:r>
    </w:p>
    <w:p w14:paraId="6D5ADDC0"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The distribution of refractive errors differed significantly between phoria types. Myopia was more prevalent in the esophoria group (70.0%) compared to the exophoria group (33.3%, p=0.04), suggesting a potential link between myopic refractive error and inward eye deviation that may strain accommodative mechanisms. Conversely, astigmatism was more frequent in the exophoria group (66.7%) than in the esophoria group (30.0%, p=0.04), indicating a possible association with outward deviation potentially due to visual blur from uncorrected astigmatism. Hypermetropia was not detected in any participant, reinforcing the focus on myopia and astigmatism as relevant factors in this cohort.</w:t>
      </w:r>
    </w:p>
    <w:p w14:paraId="51F9F2DA"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5: Refractive errors by phoria type</w:t>
      </w:r>
    </w:p>
    <w:tbl>
      <w:tblPr>
        <w:tblStyle w:val="a3"/>
        <w:tblW w:w="90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6"/>
        <w:gridCol w:w="2507"/>
        <w:gridCol w:w="2475"/>
        <w:gridCol w:w="1220"/>
      </w:tblGrid>
      <w:tr w:rsidR="00AE258C" w14:paraId="516FCEC3" w14:textId="77777777" w:rsidTr="00CF4EF2">
        <w:trPr>
          <w:trHeight w:val="493"/>
        </w:trPr>
        <w:tc>
          <w:tcPr>
            <w:tcW w:w="2876" w:type="dxa"/>
          </w:tcPr>
          <w:p w14:paraId="7CE688CE"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Refractive Error</w:t>
            </w:r>
          </w:p>
        </w:tc>
        <w:tc>
          <w:tcPr>
            <w:tcW w:w="2507" w:type="dxa"/>
          </w:tcPr>
          <w:p w14:paraId="331B5174"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Exophoria (n=30)</w:t>
            </w:r>
          </w:p>
        </w:tc>
        <w:tc>
          <w:tcPr>
            <w:tcW w:w="2475" w:type="dxa"/>
          </w:tcPr>
          <w:p w14:paraId="3A10AA7B"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Esophoria (n=10)</w:t>
            </w:r>
          </w:p>
        </w:tc>
        <w:tc>
          <w:tcPr>
            <w:tcW w:w="1220" w:type="dxa"/>
          </w:tcPr>
          <w:p w14:paraId="2C68F445"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14:paraId="4F2D0175" w14:textId="77777777" w:rsidTr="00CF4EF2">
        <w:trPr>
          <w:trHeight w:val="493"/>
        </w:trPr>
        <w:tc>
          <w:tcPr>
            <w:tcW w:w="2876" w:type="dxa"/>
          </w:tcPr>
          <w:p w14:paraId="495BE48F"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Myopia, n (%)</w:t>
            </w:r>
          </w:p>
        </w:tc>
        <w:tc>
          <w:tcPr>
            <w:tcW w:w="2507" w:type="dxa"/>
          </w:tcPr>
          <w:p w14:paraId="655C13FE"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10 (33.3)</w:t>
            </w:r>
          </w:p>
        </w:tc>
        <w:tc>
          <w:tcPr>
            <w:tcW w:w="2475" w:type="dxa"/>
          </w:tcPr>
          <w:p w14:paraId="1877F38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7 (70.0)</w:t>
            </w:r>
          </w:p>
        </w:tc>
        <w:tc>
          <w:tcPr>
            <w:tcW w:w="1220" w:type="dxa"/>
          </w:tcPr>
          <w:p w14:paraId="4CC57BD9"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0.04</w:t>
            </w:r>
          </w:p>
        </w:tc>
      </w:tr>
      <w:tr w:rsidR="00AE258C" w14:paraId="1DE7537E" w14:textId="77777777" w:rsidTr="00CF4EF2">
        <w:trPr>
          <w:trHeight w:val="493"/>
        </w:trPr>
        <w:tc>
          <w:tcPr>
            <w:tcW w:w="2876" w:type="dxa"/>
          </w:tcPr>
          <w:p w14:paraId="0C9DC63D"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Astigmatism, n (%)</w:t>
            </w:r>
          </w:p>
        </w:tc>
        <w:tc>
          <w:tcPr>
            <w:tcW w:w="2507" w:type="dxa"/>
          </w:tcPr>
          <w:p w14:paraId="1BCAD8BF"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20 (66.7)</w:t>
            </w:r>
          </w:p>
        </w:tc>
        <w:tc>
          <w:tcPr>
            <w:tcW w:w="2475" w:type="dxa"/>
          </w:tcPr>
          <w:p w14:paraId="4FE9CEE8"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(30.0)</w:t>
            </w:r>
          </w:p>
        </w:tc>
        <w:tc>
          <w:tcPr>
            <w:tcW w:w="1220" w:type="dxa"/>
          </w:tcPr>
          <w:p w14:paraId="57B38AF9"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0.04</w:t>
            </w:r>
          </w:p>
        </w:tc>
      </w:tr>
      <w:tr w:rsidR="00AE258C" w14:paraId="36867E62" w14:textId="77777777" w:rsidTr="00CF4EF2">
        <w:trPr>
          <w:trHeight w:val="493"/>
        </w:trPr>
        <w:tc>
          <w:tcPr>
            <w:tcW w:w="2876" w:type="dxa"/>
          </w:tcPr>
          <w:p w14:paraId="4E7AC4DE"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Hypermetropia, n (%)</w:t>
            </w:r>
          </w:p>
        </w:tc>
        <w:tc>
          <w:tcPr>
            <w:tcW w:w="2507" w:type="dxa"/>
          </w:tcPr>
          <w:p w14:paraId="56DF460C"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 (0)</w:t>
            </w:r>
          </w:p>
        </w:tc>
        <w:tc>
          <w:tcPr>
            <w:tcW w:w="2475" w:type="dxa"/>
          </w:tcPr>
          <w:p w14:paraId="4E8F2C8D"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 (0)</w:t>
            </w:r>
          </w:p>
        </w:tc>
        <w:tc>
          <w:tcPr>
            <w:tcW w:w="1220" w:type="dxa"/>
          </w:tcPr>
          <w:p w14:paraId="65ACF02B"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w:t>
            </w:r>
          </w:p>
        </w:tc>
      </w:tr>
    </w:tbl>
    <w:p w14:paraId="60AB4A7E"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This table shows the distribution of refractive errors by phoria type, with significant differences for both myopia and astigmatism (p=0.04), highlighting their association with specific phoria types. </w:t>
      </w:r>
    </w:p>
    <w:p w14:paraId="2655BC43"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A linear regression model was constructed to predict the magnitude of near phoria. The results indicated that screen time was a significant predictor, with each additional hour of daily screen time increasing near phoria by 0.5 prism </w:t>
      </w:r>
      <w:proofErr w:type="spellStart"/>
      <w:r>
        <w:rPr>
          <w:rFonts w:ascii="Times New Roman" w:eastAsia="Times New Roman" w:hAnsi="Times New Roman" w:cs="Times New Roman"/>
        </w:rPr>
        <w:t>diopters</w:t>
      </w:r>
      <w:proofErr w:type="spellEnd"/>
      <w:r>
        <w:rPr>
          <w:rFonts w:ascii="Times New Roman" w:eastAsia="Times New Roman" w:hAnsi="Times New Roman" w:cs="Times New Roman"/>
        </w:rPr>
        <w:t xml:space="preserve"> (β=0.5, 95% CI: 0.1–0.9, p=0.01). This finding highlights the cumulative effect of prolonged screen exposure on phoria magnitude, likely due to sustained accommodative effort. Age, however, was not a significant predictor in this model (β=0.3, 95% CI: -0.1–0.7, p=0.12), suggesting that screen exposure duration has a more direct impact on phoria magnitude than age-related factors within this age range.</w:t>
      </w:r>
    </w:p>
    <w:p w14:paraId="42240CD0"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6: Regression analysis for near PD</w:t>
      </w:r>
    </w:p>
    <w:tbl>
      <w:tblPr>
        <w:tblStyle w:val="a4"/>
        <w:tblW w:w="90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2"/>
        <w:gridCol w:w="4579"/>
        <w:gridCol w:w="1823"/>
      </w:tblGrid>
      <w:tr w:rsidR="00AE258C" w14:paraId="6377EFF5" w14:textId="77777777" w:rsidTr="00CF4EF2">
        <w:trPr>
          <w:trHeight w:val="432"/>
        </w:trPr>
        <w:tc>
          <w:tcPr>
            <w:tcW w:w="2642" w:type="dxa"/>
          </w:tcPr>
          <w:p w14:paraId="7C0C636C"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Predictor</w:t>
            </w:r>
          </w:p>
        </w:tc>
        <w:tc>
          <w:tcPr>
            <w:tcW w:w="4579" w:type="dxa"/>
          </w:tcPr>
          <w:p w14:paraId="024F1A9A"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β coefficient (95% CI)</w:t>
            </w:r>
          </w:p>
        </w:tc>
        <w:tc>
          <w:tcPr>
            <w:tcW w:w="1823" w:type="dxa"/>
          </w:tcPr>
          <w:p w14:paraId="2FBC3CDE" w14:textId="77777777"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14:paraId="3314A1F0" w14:textId="77777777" w:rsidTr="00CF4EF2">
        <w:trPr>
          <w:trHeight w:val="432"/>
        </w:trPr>
        <w:tc>
          <w:tcPr>
            <w:tcW w:w="2642" w:type="dxa"/>
          </w:tcPr>
          <w:p w14:paraId="0B3D7CA6"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w:t>
            </w:r>
          </w:p>
        </w:tc>
        <w:tc>
          <w:tcPr>
            <w:tcW w:w="4579" w:type="dxa"/>
          </w:tcPr>
          <w:p w14:paraId="50E39C55"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0.5 (0.1 - 0.9)</w:t>
            </w:r>
          </w:p>
        </w:tc>
        <w:tc>
          <w:tcPr>
            <w:tcW w:w="1823" w:type="dxa"/>
          </w:tcPr>
          <w:p w14:paraId="46F15347"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0.01</w:t>
            </w:r>
          </w:p>
        </w:tc>
      </w:tr>
      <w:tr w:rsidR="00AE258C" w14:paraId="490D9BAC" w14:textId="77777777" w:rsidTr="00CF4EF2">
        <w:trPr>
          <w:trHeight w:val="432"/>
        </w:trPr>
        <w:tc>
          <w:tcPr>
            <w:tcW w:w="2642" w:type="dxa"/>
          </w:tcPr>
          <w:p w14:paraId="3995312E"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Age</w:t>
            </w:r>
          </w:p>
        </w:tc>
        <w:tc>
          <w:tcPr>
            <w:tcW w:w="4579" w:type="dxa"/>
          </w:tcPr>
          <w:p w14:paraId="2B8C8602"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0.3 (-0.1 - 0.7)</w:t>
            </w:r>
          </w:p>
        </w:tc>
        <w:tc>
          <w:tcPr>
            <w:tcW w:w="1823" w:type="dxa"/>
          </w:tcPr>
          <w:p w14:paraId="48FDBB77" w14:textId="77777777"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0.12</w:t>
            </w:r>
          </w:p>
        </w:tc>
      </w:tr>
    </w:tbl>
    <w:p w14:paraId="2A19EE5A"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This table shows the predictors of near PD, with screen time being statistically significant (p=0.01), indicating its role in influencing phoria magnitude.</w:t>
      </w:r>
    </w:p>
    <w:p w14:paraId="3FD9B681" w14:textId="77777777" w:rsidR="00AE258C" w:rsidRDefault="00AE258C">
      <w:pPr>
        <w:jc w:val="both"/>
        <w:rPr>
          <w:rFonts w:ascii="Times New Roman" w:eastAsia="Times New Roman" w:hAnsi="Times New Roman" w:cs="Times New Roman"/>
        </w:rPr>
      </w:pPr>
    </w:p>
    <w:p w14:paraId="1E3B5B77"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Discussion</w:t>
      </w:r>
    </w:p>
    <w:p w14:paraId="6630AD95"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This study demonstrates a clear association between excessive screen time and binocular vision anomalies, particularly heterophoria, in a young population. The negative correlation between screen time and NPC suggests that prolonged near work on digital devices impairs convergence ability, likely due to sustained demand on the accommodative-convergence system, leading to fatigue and decompensation of fusional vergence reserves. The positive correlation with near phoria further supports the notion that extended screen exposure exacerbates latent eye deviations.</w:t>
      </w:r>
    </w:p>
    <w:p w14:paraId="748026A9"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lastRenderedPageBreak/>
        <w:t>The association of esophoria with shorter NPC may indicate convergence excess, potentially as a response to excessive accommodative demand. This contrasts with convergence insufficiency often seen in exophoria, where outward deviation may result from reduced fusional reserves. The increased prevalence of myopia in esophoria and astigmatism in exophoria suggests different mechanistic pathways. Myopia may predispose to esophoria due to a high accommodative convergence to accommodation (AC/A) ratio, placing additional strain on the visual system. In contrast, astigmatism may lead to exophoria via accommodation relaxation, as uncorrected astigmatic blur reduces the drive for convergence.</w:t>
      </w:r>
    </w:p>
    <w:p w14:paraId="7358130F"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The predominance of females in esophoria aligns with studies suggesting a higher prevalence of convergence excess in young women, possibly due to hormonal influences or differences in visual processing. The significant gender effect (OR=3.1) underscores the need to consider sex-specific factors in future research.</w:t>
      </w:r>
    </w:p>
    <w:p w14:paraId="14E0156C"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Limitations include the retrospective design, small sample size (especially esophoria, n=10), and self-reported screen time subject to recall bias. The absence of a control group limits causal inference, and the lack of longitudinal data prevents assessment of progression. Future prospective studies with larger cohorts, objective screen time metrics, and a control group are recommended to validate these findings and explore causal relationships.</w:t>
      </w:r>
    </w:p>
    <w:p w14:paraId="73A28428"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DES is an emerging public health concern, driven by increasing dependence on digital screens. It was deduced in a study that the prevalence of digital eye strain was 94.3% and eye strain was the most common digital eye strain symptom (62.6%), followed by tiredness of eyes</w:t>
      </w:r>
      <w:r w:rsidR="001A62DA">
        <w:rPr>
          <w:rFonts w:ascii="Times New Roman" w:eastAsia="Times New Roman" w:hAnsi="Times New Roman" w:cs="Times New Roman"/>
        </w:rPr>
        <w:t xml:space="preserve"> (50.29%)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{"citationID":"5d4OEykb","properties":{"formattedCitation":"(11)","plainCitation":"(11)","noteIndex":0},"citationItems":[{"id":68,"uris":["http://zotero.org/users/local/6mH0t5Ye/items/NDAQJ493"],"itemData":{"id":68,"type":"article-journal","abstract":"Introduction: The Novel Coronavirus disease 2019 pandemic has sent humanity indoors, replacing human contact with an electronic connection. The mandatory online classes and work from home policy to maintain the social distancing during the pandemic has forced the individual to spend most of the time in front of laptops or mobile screens. Digital eye strain is a group of vision-related symptoms that result from the continuous use of devices with digital displays, such as computers, tablets, and smartphones. The present study is done to find out the prevalence of digital eye strain among the adult population in a tertiary care hospital in the era of the COVID-19 pandemic.\nMethods: This descriptive cross-sectional study was done from 16th January 2021 to 31st July 2021 in a tertiary care hospital of Nepal after receiving ethical approval from the Institutional Review Committee (Registration number: 077/78/30). Convenience sampling was done. The sample size calculated in our study was 322. Data collection and entry were done in Microsoft Excel, point estimate at 95% Confidence Interval was calculated along with frequency and proportion for binary data.\nResults: The prevalence of digital eye strain was 300 (94.3%) (91.8-96.8 at 95% Confidence Interval) among 318 respondents. Eye strain (irritation, heaviness) was the most common digital eye strain symptom 199 (62.6%) followed by the tiredness of eyes 162 (50.9%).\nConclusions: The present study concluded that the prevalence of digital eye strain in the era of COVID-19 is high as compared to other studies conducted among adults.","container-title":"Journal of Nepal Medical Association","DOI":"10.31729/jnma.7092","ISSN":"1815-672X, 0028-2715","issue":"245","journalAbbreviation":"J Nepal Med Assoc","language":"en","license":"http://creativecommons.org/licenses/by/4.0","source":"DOI.org (Crossref)","title":"Digital Eye Strain among Adults Presenting to Tertiary Care Hospital in the Era of COVID-19 Pandemic: A Descriptive Cross-sectional Study","title-short":"Digital Eye Strain among Adults Presenting to Tertiary Care Hospital in the Era of COVID-19 Pandemic","URL":"https://www.jnma.com.np/jnma/index.php/jnma/article/view/7092","volume":"60","author":[{"family":"Basnet","given":"Anjila"},{"family":"Bickram Pathak","given":"Samyam"},{"family":"Marasini","given":"Anurag"},{"family":"Pandit","given":"Rohit"},{"family":"Pradhan","given":"Amita"}],"accessed":{"date-parts":[["2025",4,30]]},"issued":{"date-parts":[["2022",1,23]]}}}],"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(11)</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 xml:space="preserve"> In a study conducted at King Khalid University, it was deduced that among the various symptoms of DES, asthenopia had the highest prevalence at 30.5%, followed by conjunctivitis at 9.4%, squint 3.9%, glaucoma 1.6%, and cataract had </w:t>
      </w:r>
      <w:r w:rsidR="001A62DA">
        <w:rPr>
          <w:rFonts w:ascii="Times New Roman" w:eastAsia="Times New Roman" w:hAnsi="Times New Roman" w:cs="Times New Roman"/>
        </w:rPr>
        <w:t xml:space="preserve">lowest prevalence rate of 1.6% </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{"citationID":"unlvdCZl","properties":{"formattedCitation":"(12)","plainCitation":"(12)","noteIndex":0},"citationItems":[{"id":52,"uris":["http://zotero.org/users/local/6mH0t5Ye/items/288FRW52"],"itemData":{"id":52,"type":"article-journal","abstract":"Background Digital eye strain has become a serious concern due to the exponential increase in the usage of digital devices in recent years. This study aimed to assess the prevalence of digital eye strain among medical students.\nMethods A cross-sectional study was conducted over a period of one month, from 15th June to 15th July 2023, among undergraduate medical students at King Khalid University, Aseer Region, Saudi Arabia. An online survey was carried out using a structured questionnaire that was circulated through social media platforms (Facebook, Messenger, Instagram, Telegram, and WhatsApp).\nResults A total of 300 students were enrolled in this study. The prevalence of ocular problems, in descending order, was as follows: asthenopia had the highest prevalence at 30.5% (94), followed by conjunctivitis at 9.4% (29); squint, glaucoma, and cataract had lower prevalence rates of 3.9% (12), 1.6% (5), and 1.6% (5), respectively. The majority of participants used digital devices for fun (92.9% (286)) and study (95.5% (294)). Significant positive correlations were found between asthenopia and the hours spent on digital devices for studying (r = 0.161, p = 0.005), communication (r = 0.146, p = 0.011), and entertainment (r = 0.206, p &lt; 0.001).\nConclusions A substantial number of medical students are experiencing asthenopia. Prolonged usage of these devices is linked to a higher prevalence of asthenopia.","container-title":"Cureus","DOI":"10.7759/cureus.45621","ISSN":"2168-8184","language":"en","source":"DOI.org (Crossref)","title":"Association Between Digital Device Utilization and Asthenopia Among Medical Students at King Khalid University","URL":"https://www.cureus.com/articles/185959-association-between-digital-device-utilization-and-asthenopia-among-medical-students-at-king-khalid-university","author":[{"family":"Alamri","given":"Abdulrahman"},{"family":"Alamri","given":"Manar  M"},{"family":"Rashid","given":"Fatimah  A"},{"family":"Alawashiz","given":"Amal S"},{"family":"Alqahtani","given":"Fatimah H"},{"family":"Alyami","given":"Alhanoof A"},{"family":"Almathami","given":"Lena A"},{"family":"Alwabel","given":"Razan A"},{"family":"Alqarni","given":"Elham M"},{"family":"Alqahtani","given":"Albatool M"},{"family":"Almoghamer","given":"Hanan"},{"family":"Alahmari","given":"Abeer A"}],"accessed":{"date-parts":[["2025",4,30]]},"issued":{"date-parts":[["2023",9,20]]}}}],"schema":"https://github.com/citation-style-language/schema/raw/master/csl-citation.json"}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(12)</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p>
    <w:p w14:paraId="3CB4EE03" w14:textId="77777777" w:rsidR="00AE258C" w:rsidRPr="001A62DA" w:rsidRDefault="00AE258C">
      <w:pPr>
        <w:jc w:val="both"/>
        <w:rPr>
          <w:rFonts w:ascii="Times New Roman" w:eastAsia="Times New Roman" w:hAnsi="Times New Roman" w:cs="Times New Roman"/>
          <w:b/>
          <w:bCs/>
        </w:rPr>
      </w:pPr>
    </w:p>
    <w:p w14:paraId="041BD01F" w14:textId="77777777" w:rsidR="00AE258C" w:rsidRPr="001A62DA" w:rsidRDefault="007662E5">
      <w:pPr>
        <w:jc w:val="both"/>
        <w:rPr>
          <w:rFonts w:ascii="Times New Roman" w:eastAsia="Times New Roman" w:hAnsi="Times New Roman" w:cs="Times New Roman"/>
          <w:b/>
          <w:bCs/>
        </w:rPr>
      </w:pPr>
      <w:r w:rsidRPr="001A62DA">
        <w:rPr>
          <w:rFonts w:ascii="Times New Roman" w:eastAsia="Times New Roman" w:hAnsi="Times New Roman" w:cs="Times New Roman"/>
          <w:b/>
          <w:bCs/>
        </w:rPr>
        <w:t>Preventive measures</w:t>
      </w:r>
    </w:p>
    <w:p w14:paraId="3A0BDF5F"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t>DES symptoms are broadly categorized as external (dry eye–related) and internal (linked to ametropia, accommodation, or vergence problems)</w:t>
      </w:r>
      <w:r w:rsidR="004A7623">
        <w:rPr>
          <w:rFonts w:ascii="Times New Roman" w:eastAsia="Times New Roman" w:hAnsi="Times New Roman" w:cs="Times New Roman"/>
        </w:rPr>
        <w:fldChar w:fldCharType="begin"/>
      </w:r>
      <w:r w:rsidR="001A62DA">
        <w:rPr>
          <w:rFonts w:ascii="Times New Roman" w:eastAsia="Times New Roman" w:hAnsi="Times New Roman" w:cs="Times New Roman"/>
        </w:rPr>
        <w:instrText xml:space="preserve"> ADDIN ZOTERO_ITEM CSL_CITATION {"citationID":"LEEU4eZd","properties":{"formattedCitation":"(13)","plainCitation":"(13)","noteIndex":0},"citationItems":[{"id":46,"uris":["http://zotero.org/users/local/6mH0t5Ye/items/BV3P4A7V"],"itemData":{"id":46,"type":"article-journal","abstract":"Digital device usage has increased substantially in recent years across all age groups, so that extensive daily use for both social and professional purposes is now normal. Digital eye strain (DES), also known as computer vision syndrome, encompasses a range of ocular and visual symptoms, and estimates suggest its prevalence may be 50% or more among computer users. Symptoms fall into two main categories: those linked to accommodative or binocular vision stress, and external symptoms linked to dry eye. Although symptoms are typically transient, they may be frequent and persistent, and have an economic impact when vocational computer users are affected. DES may be identified and measured using one of several available questionnaires, or objective evaluations of parameters such as critical flicker–fusion frequency, blink rate and completeness, accommodative function and pupil characteristics may be used to provide indices of visual fatigue. Correlations between objective and subjective measures are not always apparent. A range of management approaches exist for DES including correction of refractive error and/or presbyopia, management of dry eye, incorporating regular screen breaks and consideration of vergence and accommodative problems. Recently, several authors have explored the putative role of blue light-filtering spectacle lenses on treating DES, with mixed results. Given the high prevalence of DES and nearuniversal use of digital devices, it is essential that eye care practitioners are able to provide advice and management options based on quality research evidence.","container-title":"BMJ Open Ophthalmology","DOI":"10.1136/bmjophth-2018-000146","ISSN":"2397-3269","issue":"1","journalAbbreviation":"BMJ Open Ophth","language":"en","page":"e000146","source":"DOI.org (Crossref)","title":"Digital eye strain: prevalence, measurement and amelioration","title-short":"Digital eye strain","volume":"3","author":[{"family":"Sheppard","given":"Amy L"},{"family":"Wolffsohn","given":"James S"}],"issued":{"date-parts":[["2018",4]]}}}],"schema":"https://github.com/citation-style-language/schema/raw/master/csl-citation.json"} </w:instrText>
      </w:r>
      <w:r w:rsidR="004A7623">
        <w:rPr>
          <w:rFonts w:ascii="Times New Roman" w:eastAsia="Times New Roman" w:hAnsi="Times New Roman" w:cs="Times New Roman"/>
        </w:rPr>
        <w:fldChar w:fldCharType="separate"/>
      </w:r>
      <w:r w:rsidR="001A62DA" w:rsidRPr="001A62DA">
        <w:rPr>
          <w:rFonts w:ascii="Times New Roman" w:hAnsi="Times New Roman" w:cs="Times New Roman"/>
        </w:rPr>
        <w:t>(13)</w:t>
      </w:r>
      <w:r w:rsidR="004A7623">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 xml:space="preserve"> Prolonged near work on digital devices disrupts natural focusing mechanisms, contributing to muscle imbalance and </w:t>
      </w:r>
      <w:proofErr w:type="spellStart"/>
      <w:r>
        <w:rPr>
          <w:rFonts w:ascii="Times New Roman" w:eastAsia="Times New Roman" w:hAnsi="Times New Roman" w:cs="Times New Roman"/>
        </w:rPr>
        <w:t>strabismus.Accommodation</w:t>
      </w:r>
      <w:proofErr w:type="spellEnd"/>
      <w:r>
        <w:rPr>
          <w:rFonts w:ascii="Times New Roman" w:eastAsia="Times New Roman" w:hAnsi="Times New Roman" w:cs="Times New Roman"/>
        </w:rPr>
        <w:t xml:space="preserve"> and vergence are normally balanced, but their disruption can cause fatigue, eye strain, vergence–accommodation disparity, impaired fusion, and phoria development </w:t>
      </w:r>
      <w:r w:rsidR="004A7623">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{"citationID":"dz7EWc4k","properties":{"formattedCitation":"(14)","plainCitation":"(14)","noteIndex":0},"citationItems":[{"id":72,"uris":["http://zotero.org/users/local/6mH0t5Ye/items/WQEZDJEZ"],"itemData":{"id":72,"type":"article-journal","abstract":"Purpose: This study examined the relationship between the near dissociated phoria and disparity vergence eye movements. Convergence insufﬁciency (CI) patients before vergence therapy were compared to: (1) the same patients after vergence therapy; and (2) binocularly normal controls (BNC).\nMethods: Sixteen subjects were studied—twelve BNC and four with CI. Measurements from the CI subjects were obtained before and after 18 h of vergence eye movement therapy. The near dissociated phoria was measured using the ﬂashed Maddox rod technique. Vergence responses were stimulated from 4◦ symmetrical disparity vergence step stimuli. The peak velocity of the vergence response and the magnitude of the fusion initiating component (FIC) from an independent component analysis (ICA) were calculated. A linear regression analysis was conducted studying the vergence peak velocity as a function of the near dissociated phoria where the Pearson correlation coefﬁcient was computed.\nResults: Before vergence therapy, the average with one standard deviation FIC magnitude of convergence responses from CI subjects was 0.29◦ ± 0.82 and signiﬁcantly less than the FIC magnitude of 1.85◦ ± 0.84 for BNC (p &lt; 0.02). A paired t-test reported that the FIC and near dissociated phoria before vergence therapy for CI subjects signiﬁcantly increased to 1.49◦ ± 0.57 (p &lt; 0.04) and became less exophoric to 3.51 ± 1.9 exo (p &lt; 0.02) after vergence therapy. A signiﬁcant correlation (r = 0.87; p &lt; 0.01) was observed between the near dissociated phoria and the vergence ratio of convergence peak velocity divided by divergence peak velocity.\nConclusion: The results have clinical translational impact in understanding the mechanism by which vergence therapy may be changing the vergence system leading to a sustained reduction in visual symptoms.","container-title":"Frontiers in Human Neuroscience","DOI":"10.3389/fnhum.2015.00419","ISSN":"1662-5161","journalAbbreviation":"Front. Hum. Neurosci.","language":"en","source":"DOI.org (Crossref)","title":"A pilot study of disparity vergence and near dissociated phoria in convergence insufficiency patients before vs. after vergence therapy","URL":"http://journal.frontiersin.org/Article/10.3389/fnhum.2015.00419/abstract","volume":"9","author":[{"family":"Alvarez","given":"Tara L."}],"accessed":{"date-parts":[["2025",4,30]]},"issued":{"date-parts":[["2015",7,27]]}}}],"schema":"https://github.com/citation-style-language/schema/raw/master/csl-citation.json"} </w:instrText>
      </w:r>
      <w:r w:rsidR="004A7623">
        <w:rPr>
          <w:rFonts w:ascii="Times New Roman" w:eastAsia="Times New Roman" w:hAnsi="Times New Roman" w:cs="Times New Roman"/>
        </w:rPr>
        <w:fldChar w:fldCharType="separate"/>
      </w:r>
      <w:r w:rsidRPr="007662E5">
        <w:rPr>
          <w:rFonts w:ascii="Times New Roman" w:hAnsi="Times New Roman" w:cs="Times New Roman"/>
        </w:rPr>
        <w:t>(14)</w:t>
      </w:r>
      <w:r w:rsidR="004A7623">
        <w:rPr>
          <w:rFonts w:ascii="Times New Roman" w:eastAsia="Times New Roman" w:hAnsi="Times New Roman" w:cs="Times New Roman"/>
        </w:rPr>
        <w:fldChar w:fldCharType="end"/>
      </w:r>
      <w:r>
        <w:rPr>
          <w:rFonts w:ascii="Times New Roman" w:eastAsia="Times New Roman" w:hAnsi="Times New Roman" w:cs="Times New Roman"/>
        </w:rPr>
        <w:t xml:space="preserve">.  Eye strain is associated with accommodative and vergence issues like exophoria, convergence insufficiency, reduced fusional convergence, low accommodative amplitude, and transient myopic shift </w:t>
      </w:r>
      <w:r w:rsidR="004A7623">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{"citationID":"Ov8UrqOm","properties":{"formattedCitation":"(15)","plainCitation":"(15)","noteIndex":0},"citationItems":[{"id":60,"uris":["http://zotero.org/users/local/6mH0t5Ye/items/4YMJXEX4"],"itemData":{"id":60,"type":"article-journal","abstract":"Digital Eye Strain (DES) is a clinical syndrome manifested with visual disturbances and/or ophthalmic dysfunction related to the usage of screen-enabled digital equipment. This term is gradually replacing the older term computer vision syndrome (CVS) that focused on the same symptoms found on personal computer users. DES is encountered more frequently during the past years due to the explosive increase in the usage of digital devices and subsequent increase in time in front of any screens. It presents with a series of atypical symptoms and signs stemming from asthenopia, dry eye syndrome, preexisting untreated vision issues and poor screen ergonomics. This review summarizes research data to date to determine whether the concept of DES has been conclusively defined and demarcated as a separate entity and if sufficient guidance is offered on professionals and the lay public. The maturity of the field, grouping of symptoms, examination techniques, treatment and prevention modalities are summarily presented.","container-title":"Clinical Optometry","DOI":"10.2147/OPTO.S389114","ISSN":"1179-2752","journalAbbreviation":"OPTO","language":"en","license":"https://creativecommons.org/licenses/by-nc/3.0/","page":"29-36","source":"DOI.org (Crossref)","title":"Spotlight on Digital Eye Strain","volume":"Volume 15","author":[{"family":"Mylona","given":"Ioanna"},{"family":"Glynatsis","given":"Mikes N"},{"family":"Floros","given":"Georgios D"},{"family":"Kandarakis","given":"Stylianos"}],"issued":{"date-parts":[["2023",2]]}}}],"schema":"https://github.com/citation-style-language/schema/raw/master/csl-citation.json"} </w:instrText>
      </w:r>
      <w:r w:rsidR="004A7623">
        <w:rPr>
          <w:rFonts w:ascii="Times New Roman" w:eastAsia="Times New Roman" w:hAnsi="Times New Roman" w:cs="Times New Roman"/>
        </w:rPr>
        <w:fldChar w:fldCharType="separate"/>
      </w:r>
      <w:r w:rsidRPr="007662E5">
        <w:rPr>
          <w:rFonts w:ascii="Times New Roman" w:hAnsi="Times New Roman" w:cs="Times New Roman"/>
        </w:rPr>
        <w:t>(15)</w:t>
      </w:r>
      <w:r w:rsidR="004A7623">
        <w:rPr>
          <w:rFonts w:ascii="Times New Roman" w:eastAsia="Times New Roman" w:hAnsi="Times New Roman" w:cs="Times New Roman"/>
        </w:rPr>
        <w:fldChar w:fldCharType="end"/>
      </w:r>
      <w:r>
        <w:rPr>
          <w:rFonts w:ascii="Times New Roman" w:eastAsia="Times New Roman" w:hAnsi="Times New Roman" w:cs="Times New Roman"/>
        </w:rPr>
        <w:t xml:space="preserve">. Preventive strategies include the 20-20-20 rule—looking 20 feet away for 20 seconds every 20 minutes of screen time </w:t>
      </w:r>
      <w:r w:rsidR="004A7623">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{"citationID":"llgtGCdg","properties":{"formattedCitation":"(16)","plainCitation":"(16)","noteIndex":0},"citationItems":[{"id":55,"uris":["http://zotero.org/users/local/6mH0t5Ye/items/AD4DV5I7"],"itemData":{"id":55,"type":"article-journal","abstract":"Purpose:\n              The present work style and lifestyle have increased the digital device use. Therefore, an increase in digital eyestrain is to be expected. We undertook a survey during coronavirus disease 2019 (COVID-19) pandemic to investigate the practice of 20/20/20 rule and its association with digital device use and asthenopic symptoms. While this rule is commonly advised, little is known about its validity.\n            \n            \n              Methods:\n              An online survey form was disseminated through social media and emails. The questions for eye-related symptoms were similar to the convergence insufficiency symptom survey (CISS). Participants with age ≥5 years were included, with parents completing the survey for children (≤16 years).\n            \n            \n              Results:\n              \n                A total of 432 participants (mean ± standard deviation [SD]: 26.06 ± 13.92 years) were enrolled, of which 125 responses were for children. The 20/20/20 rule was practiced only by 34% of the participants either regularly (\n                n\n                = 38) or occasionally (\n                n\n                = 109). Those who had complaints of burning sensation and headache tended to practice this rule. Among adult participants, more females (47%) practiced this rule when compared to males (23%). Also, adult females significantly (\n                P\n                = 0.04) had more symptoms score when compared to males. In children, no such gender difference was found.\n              \n            \n            \n              Conclusion:\n              Only one-third of participants practice the 20/20/20 rule at least occasionally. More number of adult females being symptomatic and practicing in greater number could be due to higher prevalence of dry eye condition in females. While the symptom of burning sensation could be related to dry eye, that of headache could be related to refractive error or binocular vision dysfunctions.","container-title":"Indian Journal of Ophthalmology","DOI":"10.4103/ijo.IJO_2056_22","ISSN":"0301-4738, 1998-3689","issue":"5","language":"en","page":"2071-2075","source":"DOI.org (Crossref)","title":"The 20/20/20 rule: Practicing pattern and associations with asthenopic symptoms","title-short":"The 20/20/20 rule","volume":"71","author":[{"family":"Datta","given":"Sourav"},{"family":"Sehgal","given":"Shivalika"},{"family":"Bhattacharya","given":"Bidisha"},{"family":"Satgunam","given":"Prem Nandhini"}],"issued":{"date-parts":[["2023",5]]}}}],"schema":"https://github.com/citation-style-language/schema/raw/master/csl-citation.json"} </w:instrText>
      </w:r>
      <w:r w:rsidR="004A7623">
        <w:rPr>
          <w:rFonts w:ascii="Times New Roman" w:eastAsia="Times New Roman" w:hAnsi="Times New Roman" w:cs="Times New Roman"/>
        </w:rPr>
        <w:fldChar w:fldCharType="separate"/>
      </w:r>
      <w:r w:rsidRPr="007662E5">
        <w:rPr>
          <w:rFonts w:ascii="Times New Roman" w:hAnsi="Times New Roman" w:cs="Times New Roman"/>
        </w:rPr>
        <w:t>(16)</w:t>
      </w:r>
      <w:r w:rsidR="004A7623">
        <w:rPr>
          <w:rFonts w:ascii="Times New Roman" w:eastAsia="Times New Roman" w:hAnsi="Times New Roman" w:cs="Times New Roman"/>
        </w:rPr>
        <w:fldChar w:fldCharType="end"/>
      </w:r>
      <w:r>
        <w:rPr>
          <w:rFonts w:ascii="Times New Roman" w:eastAsia="Times New Roman" w:hAnsi="Times New Roman" w:cs="Times New Roman"/>
        </w:rPr>
        <w:t xml:space="preserve">, and regular outdoor activity, which reduces myopia risk through natural light exposure </w:t>
      </w:r>
      <w:r w:rsidR="004A7623">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{"citationID":"VJHAEPff","properties":{"formattedCitation":"(17)","plainCitation":"(17)","noteIndex":0},"citationItems":[{"id":43,"uris":["http://zotero.org/users/local/6mH0t5Ye/items/58WIF3XM"],"itemData":{"id":43,"type":"article-journal","abstract":"Myopia has become a major cause for concern globally, particularly in East Asian countries. The increasing prevalence of myopia has been associated with a high socioeconomic burden owing to severe ocular complications that may occur with progressive myopia. There is an urgent need to identify effective and safe measures to address the growing number of people with myopia in the general population. Among the numerous strategies implemented to slow the progression of myopia, longer time spent outdoors has come to be recognized as a protective factor against this disorder. Although our understanding of the protective effects of outdoor time has increased in the past decade, considerably more research is needed to understand the mechanisms of action. Here, we summarize the main potential factors associated with the protective effects against myopia of increased outdoor time, namely, exposure to elevated levels and shorter wavelengths of light, and increased dopamine and vitamin D levels. In this review, we aimed to identify safe and effective therapeutic interventions to prevent myopia-related complications and vision loss.","container-title":"Journal of International Medical Research","DOI":"10.1177/0300060519893866","ISSN":"0300-0605, 1473-2300","issue":"3","journalAbbreviation":"J Int Med Res","language":"en","page":"0300060519893866","source":"DOI.org (Crossref)","title":"Protective effects of increased outdoor time against myopia: a review","title-short":"Protective effects of increased outdoor time against myopia","volume":"48","author":[{"family":"Zhang","given":"Jun"},{"family":"Deng","given":"Guohua"}],"issued":{"date-parts":[["2020",3]]}}}],"schema":"https://github.com/citation-style-language/schema/raw/master/csl-citation.json"} </w:instrText>
      </w:r>
      <w:r w:rsidR="004A7623">
        <w:rPr>
          <w:rFonts w:ascii="Times New Roman" w:eastAsia="Times New Roman" w:hAnsi="Times New Roman" w:cs="Times New Roman"/>
        </w:rPr>
        <w:fldChar w:fldCharType="separate"/>
      </w:r>
      <w:r w:rsidRPr="007662E5">
        <w:rPr>
          <w:rFonts w:ascii="Times New Roman" w:hAnsi="Times New Roman" w:cs="Times New Roman"/>
        </w:rPr>
        <w:t>(17)</w:t>
      </w:r>
      <w:r w:rsidR="004A7623">
        <w:rPr>
          <w:rFonts w:ascii="Times New Roman" w:eastAsia="Times New Roman" w:hAnsi="Times New Roman" w:cs="Times New Roman"/>
        </w:rPr>
        <w:fldChar w:fldCharType="end"/>
      </w:r>
      <w:r>
        <w:rPr>
          <w:rFonts w:ascii="Times New Roman" w:eastAsia="Times New Roman" w:hAnsi="Times New Roman" w:cs="Times New Roman"/>
        </w:rPr>
        <w:t xml:space="preserve">. The Government of India also recommends limiting screen exposure: 30 minutes daily for pre-primary, two 45-minute sessions for classes 1–8, and four 45-minute sessions for classes 9–12 </w:t>
      </w:r>
      <w:r w:rsidR="004A7623">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{"citationID":"HYlrkpYU","properties":{"formattedCitation":"(3)","plainCitation":"(3)","noteIndex":0},"citationItems":[{"id":15,"uris":["http://zotero.org/users/local/6mH0t5Ye/items/UX3TEUC8"],"itemData":{"id":15,"type":"article-journal","abstract":"BACKGROUND: To analyze the impact of online classes on eye health of children and young adults during the COVID‑19 pandemic. MATERIALS AND METHODS: An observational study with a written questionnaire and comprehensive ophthalmic evaluation at a tertiary eye care center in South India, during the COVID‑19 pandemic.\nRESULTS: Of the 496 patients, most were 5–10 years old, attending online classes 1–2 h/day with majority (84.7%) having &lt;4 h of classes. Electronic gadget use after classes was seen in 95.6% participants and 28.6% admitted to using it for more than 2 h/day. Digital eye strain (DES) was seen in 50.8% of patients of which headache or eye ache were the most common symptom (30.8%). Duration of online class was found to be the single most independent factor associated with the development of eye complaints (P = 0.001). Duration of class hours (P = 0.007) and light setting (P = 0.008) was found to be independent determinants of developing DES.\nCONCLUSIONS: Increased screen time, inadequate light setting, and excessive application of near vision can produce undesirable effects including the development of DES, worsening or development of new refractive errors and squint.","container-title":"Oman Journal of Ophthalmology","DOI":"10.4103/ojo.ojo_57_22","ISSN":"0974-620X","issue":"1","language":"en","page":"45-50","source":"DOI.org (Crossref)","title":"Impact of online classes on eye health of children and young adults in the setting of COVID-19 pandemic: A hospital-based survey","title-short":"Impact of online classes on eye health of children and young adults in the setting of COVID-19 pandemic","volume":"16","author":[{"family":"Neena","given":"R."},{"family":"Gayathri","given":"M. S."},{"family":"Prakash","given":"Nimmy"},{"family":"Anantharaman","given":"Giridhar"}],"issued":{"date-parts":[["2023",1]]}}}],"schema":"https://github.com/citation-style-language/schema/raw/master/csl-citation.json"} </w:instrText>
      </w:r>
      <w:r w:rsidR="004A7623">
        <w:rPr>
          <w:rFonts w:ascii="Times New Roman" w:eastAsia="Times New Roman" w:hAnsi="Times New Roman" w:cs="Times New Roman"/>
        </w:rPr>
        <w:fldChar w:fldCharType="separate"/>
      </w:r>
      <w:r w:rsidRPr="007662E5">
        <w:rPr>
          <w:rFonts w:ascii="Times New Roman" w:hAnsi="Times New Roman" w:cs="Times New Roman"/>
        </w:rPr>
        <w:t>(3)</w:t>
      </w:r>
      <w:r w:rsidR="004A7623">
        <w:rPr>
          <w:rFonts w:ascii="Times New Roman" w:eastAsia="Times New Roman" w:hAnsi="Times New Roman" w:cs="Times New Roman"/>
        </w:rPr>
        <w:fldChar w:fldCharType="end"/>
      </w:r>
      <w:r>
        <w:rPr>
          <w:rFonts w:ascii="Times New Roman" w:eastAsia="Times New Roman" w:hAnsi="Times New Roman" w:cs="Times New Roman"/>
        </w:rPr>
        <w:t xml:space="preserve">. Evidence-based management includes refractive error correction, vergence and accommodative therapy, blinking exercises, lubricating drops, comfort-enhanced contact lenses, and monitor filter glasses </w:t>
      </w:r>
      <w:r w:rsidR="004A7623">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{"citationID":"vGzejP3E","properties":{"formattedCitation":"(18)","plainCitation":"(18)","noteIndex":0},"citationItems":[{"id":83,"uris":["http://zotero.org/users/local/6mH0t5Ye/items/GSZT8NLL"],"itemData":{"id":83,"type":"article-journal","abstract":"Submitted: 16 January 2018 Revised: 26 March 2018 Accepted for publication: 20 April 2018 Digital eye strain, an emerging public health issue, is a condition characterised by visual disturbance and/or ocular discomfort related to the use of digital devices and resulting from a range of stresses on the ocular environment. This review aims to provide an overview of the extensive literature on digital eye strain research with particular reference to the clinical management of symptoms. As many as 90 per cent of digital device users experience symptoms of digital eye strain. Many studies suggest that the following factors are associated with digital eye strain: uncorrected refractive error (including presbyopia), accommodative and vergence anomalies, altered blinking pattern (reduced rate and incomplete blinking), excessive exposure to intense light, closer working distance, and smaller font size. Since a symptom may be caused by one or more factors, a holistic approach should be adopted. The following management strategies have been suggested: (i) appropriate correction of refractive error, including astigmatism and presbyopia; (ii) management of vergence anomalies, with the aim of inducing or leaving a small amount of heterophoria (~1.5Δ Exo); (iii) blinking exercise/training to maintain normal blinking pattern; (iv) use of lubricating eye drops (artiﬁcial tears) to help alleviate dry eye-related symptoms; (v) contact lenses with enhanced comfort, particularly at end-of-day and in challenging environments; (vi) prescription of colour ﬁlters in all vision correction options, especially blue lightabsorbing ﬁlters; and (vii) management of accommodative anomalies. Prevention is the main strategy for management of digital eye strain, which involves: (i) ensuring an ergonomic work environment and practice (through patient education and the implementation of ergonomic workplace policies); and (ii) visual examination and eye care to treat visual disorders. Special consideration is needed for people at a high risk of digital eye strain, such as computer workers and contact lens wearers.","container-title":"Clinical and Experimental Optometry","DOI":"10.1111/cxo.12798","ISSN":"0816-4622, 1444-0938","issue":"1","journalAbbreviation":"Clinical and Experimental Optometry","language":"en","page":"18-29","source":"DOI.org (Crossref)","title":"Management of digital eye strain","volume":"102","author":[{"family":"Coles‐brennan","given":"Chantal"},{"family":"Sulley","given":"Anna"},{"family":"Young","given":"Graeme"}],"issued":{"date-parts":[["2019",1,1]]}}}],"schema":"https://github.com/citation-style-language/schema/raw/master/csl-citation.json"} </w:instrText>
      </w:r>
      <w:r w:rsidR="004A7623">
        <w:rPr>
          <w:rFonts w:ascii="Times New Roman" w:eastAsia="Times New Roman" w:hAnsi="Times New Roman" w:cs="Times New Roman"/>
        </w:rPr>
        <w:fldChar w:fldCharType="separate"/>
      </w:r>
      <w:r w:rsidRPr="007662E5">
        <w:rPr>
          <w:rFonts w:ascii="Times New Roman" w:hAnsi="Times New Roman" w:cs="Times New Roman"/>
        </w:rPr>
        <w:t>(18)</w:t>
      </w:r>
      <w:r w:rsidR="004A7623">
        <w:rPr>
          <w:rFonts w:ascii="Times New Roman" w:eastAsia="Times New Roman" w:hAnsi="Times New Roman" w:cs="Times New Roman"/>
        </w:rPr>
        <w:fldChar w:fldCharType="end"/>
      </w:r>
      <w:r>
        <w:rPr>
          <w:rFonts w:ascii="Times New Roman" w:eastAsia="Times New Roman" w:hAnsi="Times New Roman" w:cs="Times New Roman"/>
        </w:rPr>
        <w:t xml:space="preserve">. Complementary measures such as proper ergonomics, appropriate eyewear, and regular eye examinations are essential to mitigate DES, prevent strabismus, and protect long-term visual </w:t>
      </w:r>
      <w:proofErr w:type="spellStart"/>
      <w:r>
        <w:rPr>
          <w:rFonts w:ascii="Times New Roman" w:eastAsia="Times New Roman" w:hAnsi="Times New Roman" w:cs="Times New Roman"/>
        </w:rPr>
        <w:t>health.Poor</w:t>
      </w:r>
      <w:proofErr w:type="spellEnd"/>
      <w:r>
        <w:rPr>
          <w:rFonts w:ascii="Times New Roman" w:eastAsia="Times New Roman" w:hAnsi="Times New Roman" w:cs="Times New Roman"/>
        </w:rPr>
        <w:t xml:space="preserve"> posture can contribute to ocular misalignment, and esodeviation has been shown to improve after one month of refraining from smartphone use </w:t>
      </w:r>
      <w:r w:rsidR="004A7623">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{"citationID":"a9WG5L2a","properties":{"formattedCitation":"(19)","plainCitation":"(19)","noteIndex":0},"citationItems":[{"id":44,"uris":["http://zotero.org/users/local/6mH0t5Ye/items/PPFXRA8H"],"itemData":{"id":44,"type":"article-journal","abstract":"Background: To describe the clinical characteristics and outcomes of acute acquired comitant esotropia (AACE) related to excessive smartphone use in adolescents.\nMethods: The medical records of 12 patients with AACE and a history of excessive smartphone use were retrospectively reviewed, and the duration of smartphone use, angle of deviation, refractive error, stereopsis, and treatment options were analyzed.\nResults: All patients showed convergent and comitant esotropia ranging from 15 to 45 prism diopters (PD; average: 27.75 ± 11.47 PD) at far fixation. The angle of deviation was nearly equivalent for far and near fixation. Every patient used a smartphone for more than 4 h a day over a period of several months (minimum 4 months). Myopic refractive errors were detected in eight patients (average:−3.84 ± 1.68 diopters (D]), and the remaining four patients showed mild hyperopic refractive error (average: +0.84 ± 0.53 D). Reductions in esodeviation were noted in all patients after refraining from smartphone use, and bilateral medial rectus recession was performed in three patients with considerable remnant esodeviation. Postoperative exams showed orthophoria with good stereoacuity in these patients.\nConclusion: Excessive smartphone use might influence AACE development in adolescents. Refraining from smartphone use can decrease the degree of esodeviation in these patients, and remnant deviation can be successfully managed with surgical correction.","container-title":"BMC Ophthalmology","DOI":"10.1186/s12886-016-0213-5","ISSN":"1471-2415","issue":"1","journalAbbreviation":"BMC Ophthalmol","language":"en","page":"37","source":"DOI.org (Crossref)","title":"Acute acquired comitant esotropia related to excessive Smartphone use","volume":"16","author":[{"family":"Lee","given":"Hyo Seok"},{"family":"Park","given":"Sang Woo"},{"family":"Heo","given":"Hwan"}],"issued":{"date-parts":[["2016",12]]}}}],"schema":"https://github.com/citation-style-language/schema/raw/master/csl-citation.json"} </w:instrText>
      </w:r>
      <w:r w:rsidR="004A7623">
        <w:rPr>
          <w:rFonts w:ascii="Times New Roman" w:eastAsia="Times New Roman" w:hAnsi="Times New Roman" w:cs="Times New Roman"/>
        </w:rPr>
        <w:fldChar w:fldCharType="separate"/>
      </w:r>
      <w:r w:rsidRPr="007662E5">
        <w:rPr>
          <w:rFonts w:ascii="Times New Roman" w:hAnsi="Times New Roman" w:cs="Times New Roman"/>
        </w:rPr>
        <w:t>(19)</w:t>
      </w:r>
      <w:r w:rsidR="004A7623">
        <w:rPr>
          <w:rFonts w:ascii="Times New Roman" w:eastAsia="Times New Roman" w:hAnsi="Times New Roman" w:cs="Times New Roman"/>
        </w:rPr>
        <w:fldChar w:fldCharType="end"/>
      </w:r>
      <w:r>
        <w:rPr>
          <w:rFonts w:ascii="Times New Roman" w:eastAsia="Times New Roman" w:hAnsi="Times New Roman" w:cs="Times New Roman"/>
        </w:rPr>
        <w:t>.</w:t>
      </w:r>
    </w:p>
    <w:p w14:paraId="74851C7F" w14:textId="77777777" w:rsidR="00AE258C" w:rsidRDefault="00AE258C">
      <w:pPr>
        <w:jc w:val="both"/>
        <w:rPr>
          <w:rFonts w:ascii="Times New Roman" w:eastAsia="Times New Roman" w:hAnsi="Times New Roman" w:cs="Times New Roman"/>
        </w:rPr>
      </w:pPr>
    </w:p>
    <w:p w14:paraId="31A31DF0" w14:textId="77777777"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Conclusions</w:t>
      </w:r>
    </w:p>
    <w:p w14:paraId="59C045F2" w14:textId="77777777" w:rsidR="00AE258C" w:rsidRDefault="007662E5">
      <w:pPr>
        <w:jc w:val="both"/>
        <w:rPr>
          <w:rFonts w:ascii="Times New Roman" w:eastAsia="Times New Roman" w:hAnsi="Times New Roman" w:cs="Times New Roman"/>
        </w:rPr>
      </w:pPr>
      <w:r>
        <w:rPr>
          <w:rFonts w:ascii="Times New Roman" w:eastAsia="Times New Roman" w:hAnsi="Times New Roman" w:cs="Times New Roman"/>
        </w:rPr>
        <w:lastRenderedPageBreak/>
        <w:t>Excessive screen use is significantly associated with heterophoria and reduced convergence function. Female gender and specific refractive errors, such as myopia for esophoria and astigmatism for exophoria, are identified as risk factors. These findings highlight the importance of early screening, visual hygiene education, and interventions like regular breaks and ergonomic adjustments to mitigate long-term binocular vision complications in this population.</w:t>
      </w:r>
    </w:p>
    <w:p w14:paraId="404832E0" w14:textId="77777777" w:rsidR="00C66E6A" w:rsidRDefault="007D7C53">
      <w:pPr>
        <w:jc w:val="both"/>
        <w:rPr>
          <w:rFonts w:ascii="Times New Roman" w:eastAsia="Times New Roman" w:hAnsi="Times New Roman" w:cs="Times New Roman"/>
          <w:b/>
          <w:bCs/>
        </w:rPr>
      </w:pPr>
      <w:r w:rsidRPr="007D7C53">
        <w:rPr>
          <w:rFonts w:ascii="Times New Roman" w:eastAsia="Times New Roman" w:hAnsi="Times New Roman" w:cs="Times New Roman"/>
          <w:b/>
          <w:bCs/>
        </w:rPr>
        <w:t>Ethical Approval</w:t>
      </w:r>
    </w:p>
    <w:p w14:paraId="2CD48CAC" w14:textId="77777777" w:rsidR="007D7C53" w:rsidRPr="00C66E6A" w:rsidRDefault="0095734E">
      <w:pPr>
        <w:jc w:val="both"/>
        <w:rPr>
          <w:rFonts w:ascii="Times New Roman" w:eastAsia="Times New Roman" w:hAnsi="Times New Roman" w:cs="Times New Roman"/>
          <w:b/>
          <w:bCs/>
        </w:rPr>
      </w:pPr>
      <w:r>
        <w:rPr>
          <w:rFonts w:ascii="Times New Roman" w:eastAsia="Times New Roman" w:hAnsi="Times New Roman" w:cs="Times New Roman"/>
        </w:rPr>
        <w:t xml:space="preserve">The study was approved by the </w:t>
      </w:r>
      <w:r w:rsidR="00BB37B8">
        <w:rPr>
          <w:rFonts w:ascii="Times New Roman" w:eastAsia="Times New Roman" w:hAnsi="Times New Roman" w:cs="Times New Roman"/>
        </w:rPr>
        <w:t xml:space="preserve">Institutional </w:t>
      </w:r>
      <w:r w:rsidR="007D7C53" w:rsidRPr="007D7C53">
        <w:rPr>
          <w:rFonts w:ascii="Times New Roman" w:eastAsia="Times New Roman" w:hAnsi="Times New Roman" w:cs="Times New Roman"/>
        </w:rPr>
        <w:t>Ethi</w:t>
      </w:r>
      <w:r w:rsidR="00BB37B8">
        <w:rPr>
          <w:rFonts w:ascii="Times New Roman" w:eastAsia="Times New Roman" w:hAnsi="Times New Roman" w:cs="Times New Roman"/>
        </w:rPr>
        <w:t xml:space="preserve">cs </w:t>
      </w:r>
      <w:r w:rsidR="007D7C53" w:rsidRPr="007D7C53">
        <w:rPr>
          <w:rFonts w:ascii="Times New Roman" w:eastAsia="Times New Roman" w:hAnsi="Times New Roman" w:cs="Times New Roman"/>
        </w:rPr>
        <w:t>Committee</w:t>
      </w:r>
      <w:r>
        <w:rPr>
          <w:rFonts w:ascii="Times New Roman" w:eastAsia="Times New Roman" w:hAnsi="Times New Roman" w:cs="Times New Roman"/>
        </w:rPr>
        <w:t>, J.N. Medical College, Aligarh Muslim University, Aligarh. Approval no. IECJNMC/1885</w:t>
      </w:r>
      <w:r w:rsidR="007D7C53" w:rsidRPr="007D7C53">
        <w:rPr>
          <w:rFonts w:ascii="Times New Roman" w:eastAsia="Times New Roman" w:hAnsi="Times New Roman" w:cs="Times New Roman"/>
        </w:rPr>
        <w:t>.</w:t>
      </w:r>
      <w:r w:rsidR="00756E18">
        <w:rPr>
          <w:rFonts w:ascii="Times New Roman" w:eastAsia="Times New Roman" w:hAnsi="Times New Roman" w:cs="Times New Roman"/>
        </w:rPr>
        <w:t>The confidentiality of participants' identities was maintained, and only the research team had access to this information</w:t>
      </w:r>
      <w:r w:rsidR="007D7C53" w:rsidRPr="007D7C53">
        <w:rPr>
          <w:rFonts w:ascii="Times New Roman" w:eastAsia="Times New Roman" w:hAnsi="Times New Roman" w:cs="Times New Roman"/>
        </w:rPr>
        <w:t xml:space="preserve">. </w:t>
      </w:r>
    </w:p>
    <w:p w14:paraId="7480AAA7" w14:textId="77777777" w:rsidR="00C37454" w:rsidRDefault="00C37454">
      <w:pPr>
        <w:jc w:val="both"/>
        <w:rPr>
          <w:rFonts w:ascii="Times New Roman" w:eastAsia="Times New Roman" w:hAnsi="Times New Roman" w:cs="Times New Roman"/>
          <w:b/>
          <w:bCs/>
        </w:rPr>
      </w:pPr>
    </w:p>
    <w:p w14:paraId="0EDD1B7B" w14:textId="42CAADF7" w:rsidR="001A62DA" w:rsidRPr="007662E5" w:rsidRDefault="007662E5">
      <w:pPr>
        <w:jc w:val="both"/>
        <w:rPr>
          <w:rFonts w:ascii="Times New Roman" w:eastAsia="Times New Roman" w:hAnsi="Times New Roman" w:cs="Times New Roman"/>
          <w:b/>
          <w:bCs/>
        </w:rPr>
      </w:pPr>
      <w:bookmarkStart w:id="0" w:name="_GoBack"/>
      <w:bookmarkEnd w:id="0"/>
      <w:r w:rsidRPr="007662E5">
        <w:rPr>
          <w:rFonts w:ascii="Times New Roman" w:eastAsia="Times New Roman" w:hAnsi="Times New Roman" w:cs="Times New Roman"/>
          <w:b/>
          <w:bCs/>
        </w:rPr>
        <w:t>References</w:t>
      </w:r>
    </w:p>
    <w:p w14:paraId="53740936" w14:textId="77777777" w:rsidR="007662E5" w:rsidRPr="007662E5" w:rsidRDefault="004A7623" w:rsidP="007662E5">
      <w:pPr>
        <w:pStyle w:val="Bibliography"/>
        <w:rPr>
          <w:rFonts w:ascii="Times New Roman" w:hAnsi="Times New Roman" w:cs="Times New Roman"/>
        </w:rPr>
      </w:pPr>
      <w:r>
        <w:rPr>
          <w:rFonts w:eastAsia="Times New Roman" w:cs="Times New Roman"/>
        </w:rPr>
        <w:fldChar w:fldCharType="begin"/>
      </w:r>
      <w:r w:rsidR="007662E5">
        <w:rPr>
          <w:rFonts w:eastAsia="Times New Roman" w:cs="Times New Roman"/>
        </w:rPr>
        <w:instrText xml:space="preserve"> ADDIN ZOTERO_BIBL {"uncited":[],"omitted":[],"custom":[]} CSL_BIBLIOGRAPHY </w:instrText>
      </w:r>
      <w:r>
        <w:rPr>
          <w:rFonts w:eastAsia="Times New Roman" w:cs="Times New Roman"/>
        </w:rPr>
        <w:fldChar w:fldCharType="separate"/>
      </w:r>
      <w:r w:rsidR="007662E5" w:rsidRPr="007662E5">
        <w:rPr>
          <w:rFonts w:ascii="Times New Roman" w:hAnsi="Times New Roman" w:cs="Times New Roman"/>
        </w:rPr>
        <w:t>1.</w:t>
      </w:r>
      <w:r w:rsidR="007662E5" w:rsidRPr="007662E5">
        <w:rPr>
          <w:rFonts w:ascii="Times New Roman" w:hAnsi="Times New Roman" w:cs="Times New Roman"/>
        </w:rPr>
        <w:tab/>
        <w:t xml:space="preserve">Dubey M, Nongkynrih B, Gupta S, Kalaivani M, Goswami A, Salve H. Screen-based media use and screen time assessment among adolescents residing in an Urban Resettlement Colony in New Delhi, India. J Fam Med Prim Care. 2018;7(6):1236. </w:t>
      </w:r>
    </w:p>
    <w:p w14:paraId="25923A0E"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2.</w:t>
      </w:r>
      <w:r w:rsidRPr="007662E5">
        <w:rPr>
          <w:rFonts w:ascii="Times New Roman" w:hAnsi="Times New Roman" w:cs="Times New Roman"/>
        </w:rPr>
        <w:tab/>
        <w:t xml:space="preserve">Hedderson MM, Bekelman TA, Li M, Knapp EA, Palmore M, Dong Y, et al. Trends in Screen Time Use Among Children During the COVID-19 Pandemic, July 2019 Through August 2021. JAMA Netw Open. 2023 Feb 15;6(2):e2256157. </w:t>
      </w:r>
    </w:p>
    <w:p w14:paraId="75C9F1F7"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3.</w:t>
      </w:r>
      <w:r w:rsidRPr="007662E5">
        <w:rPr>
          <w:rFonts w:ascii="Times New Roman" w:hAnsi="Times New Roman" w:cs="Times New Roman"/>
        </w:rPr>
        <w:tab/>
        <w:t xml:space="preserve">Neena R, Gayathri MS, Prakash N, Anantharaman G. Impact of online classes on eye health of children and young adults in the setting of COVID-19 pandemic: A hospital-based survey. Oman J Ophthalmol. 2023 Jan;16(1):45–50. </w:t>
      </w:r>
    </w:p>
    <w:p w14:paraId="5F548A7D"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4.</w:t>
      </w:r>
      <w:r w:rsidRPr="007662E5">
        <w:rPr>
          <w:rFonts w:ascii="Times New Roman" w:hAnsi="Times New Roman" w:cs="Times New Roman"/>
        </w:rPr>
        <w:tab/>
        <w:t xml:space="preserve">Cougnard-Gregoire A, Merle BMJ, Aslam T, Seddon JM, Aknin I, Klaver CCW, et al. Blue Light Exposure: Ocular Hazards and Prevention—A Narrative Review. Ophthalmol Ther. 2023 Apr;12(2):755–88. </w:t>
      </w:r>
    </w:p>
    <w:p w14:paraId="4951BDB1"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5.</w:t>
      </w:r>
      <w:r w:rsidRPr="007662E5">
        <w:rPr>
          <w:rFonts w:ascii="Times New Roman" w:hAnsi="Times New Roman" w:cs="Times New Roman"/>
        </w:rPr>
        <w:tab/>
        <w:t xml:space="preserve">Al-Mohtaseb Z, Schachter S, Shen Lee B, Garlich J, Trattler W. The Relationship Between Dry Eye Disease and Digital Screen Use. Clin Ophthalmol. 2021 Sep;Volume 15:3811–20. </w:t>
      </w:r>
    </w:p>
    <w:p w14:paraId="5FE718CC"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6.</w:t>
      </w:r>
      <w:r w:rsidRPr="007662E5">
        <w:rPr>
          <w:rFonts w:ascii="Times New Roman" w:hAnsi="Times New Roman" w:cs="Times New Roman"/>
        </w:rPr>
        <w:tab/>
        <w:t xml:space="preserve">Kaur K, Gurnani B, Nayak S, Deori N, Kaur S, Jethani J, et al. Digital Eye Strain- A Comprehensive Review. Ophthalmol Ther. 2022 Oct;11(5):1655–80. </w:t>
      </w:r>
    </w:p>
    <w:p w14:paraId="3FAF40B9"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7.</w:t>
      </w:r>
      <w:r w:rsidRPr="007662E5">
        <w:rPr>
          <w:rFonts w:ascii="Times New Roman" w:hAnsi="Times New Roman" w:cs="Times New Roman"/>
        </w:rPr>
        <w:tab/>
        <w:t>Alrasheed SH, Aldakhil S. Heterophoria, fusional vergence, and near point of convergence in Sudanese hospital-based population. Afr Vis Eye Health [Internet]. 2024 Feb 5 [cited 2025 Apr 30];83(1). Available from: http://www.avehjournal.org/index.php/AVEH/article/view/869</w:t>
      </w:r>
    </w:p>
    <w:p w14:paraId="4152C14A"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8.</w:t>
      </w:r>
      <w:r w:rsidRPr="007662E5">
        <w:rPr>
          <w:rFonts w:ascii="Times New Roman" w:hAnsi="Times New Roman" w:cs="Times New Roman"/>
        </w:rPr>
        <w:tab/>
        <w:t xml:space="preserve">Gunton KB, Wasserman BN, DeBenedictis C. Strabismus. Prim Care Clin Off Pract. 2015 Sep;42(3):393–407. </w:t>
      </w:r>
    </w:p>
    <w:p w14:paraId="1ECE03AF"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9.</w:t>
      </w:r>
      <w:r w:rsidRPr="007662E5">
        <w:rPr>
          <w:rFonts w:ascii="Times New Roman" w:hAnsi="Times New Roman" w:cs="Times New Roman"/>
        </w:rPr>
        <w:tab/>
        <w:t xml:space="preserve">Chen AH, Dom AA. HETEROPHORIA IN YOUNG ADULTS WITH EMMETROPIA AND MYOPIA. </w:t>
      </w:r>
    </w:p>
    <w:p w14:paraId="60701535"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10.</w:t>
      </w:r>
      <w:r w:rsidRPr="007662E5">
        <w:rPr>
          <w:rFonts w:ascii="Times New Roman" w:hAnsi="Times New Roman" w:cs="Times New Roman"/>
        </w:rPr>
        <w:tab/>
        <w:t xml:space="preserve">Leung TW, Chan CT, Lam CH, Tong YK, Kee CS. Changes in corneal astigmatism and near heterophoria after smartphone use while walking and sitting. Golebiowski B, editor. PLOS ONE. 2020 Dec 3;15(12):e0243072. </w:t>
      </w:r>
    </w:p>
    <w:p w14:paraId="46EA7AC7"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11.</w:t>
      </w:r>
      <w:r w:rsidRPr="007662E5">
        <w:rPr>
          <w:rFonts w:ascii="Times New Roman" w:hAnsi="Times New Roman" w:cs="Times New Roman"/>
        </w:rPr>
        <w:tab/>
        <w:t>Basnet A, Bickram Pathak S, Marasini A, Pandit R, Pradhan A. Digital Eye Strain among Adults Presenting to Tertiary Care Hospital in the Era of COVID-19 Pandemic: A Descriptive Cross-sectional Study. J Nepal Med Assoc [Internet]. 2022 Jan 23 [cited 2025 Apr 30];60(245). Available from: https://www.jnma.com.np/jnma/index.php/jnma/article/view/7092</w:t>
      </w:r>
    </w:p>
    <w:p w14:paraId="2C750D0B"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lastRenderedPageBreak/>
        <w:t>12.</w:t>
      </w:r>
      <w:r w:rsidRPr="007662E5">
        <w:rPr>
          <w:rFonts w:ascii="Times New Roman" w:hAnsi="Times New Roman" w:cs="Times New Roman"/>
        </w:rPr>
        <w:tab/>
        <w:t>Alamri A, Alamri MM, Rashid FA, Alawashiz AS, Alqahtani FH, Alyami AA, et al. Association Between Digital Device Utilization and Asthenopia Among Medical Students at King Khalid University. Cureus [Internet]. 2023 Sep 20 [cited 2025 Apr 30]; Available from: https://www.cureus.com/articles/185959-association-between-digital-device-utilization-and-asthenopia-among-medical-students-at-king-khalid-university</w:t>
      </w:r>
    </w:p>
    <w:p w14:paraId="2182364A"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13.</w:t>
      </w:r>
      <w:r w:rsidRPr="007662E5">
        <w:rPr>
          <w:rFonts w:ascii="Times New Roman" w:hAnsi="Times New Roman" w:cs="Times New Roman"/>
        </w:rPr>
        <w:tab/>
        <w:t xml:space="preserve">Sheppard AL, Wolffsohn JS. Digital eye strain: prevalence, measurement and amelioration. BMJ Open Ophthalmol. 2018 Apr;3(1):e000146. </w:t>
      </w:r>
    </w:p>
    <w:p w14:paraId="1B697FD0"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14.</w:t>
      </w:r>
      <w:r w:rsidRPr="007662E5">
        <w:rPr>
          <w:rFonts w:ascii="Times New Roman" w:hAnsi="Times New Roman" w:cs="Times New Roman"/>
        </w:rPr>
        <w:tab/>
        <w:t>Alvarez TL. A pilot study of disparity vergence and near dissociated phoria in convergence insufficiency patients before vs. after vergence therapy. Front Hum Neurosci [Internet]. 2015 Jul 27 [cited 2025 Apr 30];9. Available from: http://journal.frontiersin.org/Article/10.3389/fnhum.2015.00419/abstract</w:t>
      </w:r>
    </w:p>
    <w:p w14:paraId="39591A9E"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15.</w:t>
      </w:r>
      <w:r w:rsidRPr="007662E5">
        <w:rPr>
          <w:rFonts w:ascii="Times New Roman" w:hAnsi="Times New Roman" w:cs="Times New Roman"/>
        </w:rPr>
        <w:tab/>
        <w:t xml:space="preserve">Mylona I, Glynatsis MN, Floros GD, Kandarakis S. Spotlight on Digital Eye Strain. Clin Optom. 2023 Feb;Volume 15:29–36. </w:t>
      </w:r>
    </w:p>
    <w:p w14:paraId="2A5EE0E3"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16.</w:t>
      </w:r>
      <w:r w:rsidRPr="007662E5">
        <w:rPr>
          <w:rFonts w:ascii="Times New Roman" w:hAnsi="Times New Roman" w:cs="Times New Roman"/>
        </w:rPr>
        <w:tab/>
        <w:t xml:space="preserve">Datta S, Sehgal S, Bhattacharya B, Satgunam PN. The 20/20/20 rule: Practicing pattern and associations with asthenopic symptoms. Indian J Ophthalmol. 2023 May;71(5):2071–5. </w:t>
      </w:r>
    </w:p>
    <w:p w14:paraId="14E634DE"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17.</w:t>
      </w:r>
      <w:r w:rsidRPr="007662E5">
        <w:rPr>
          <w:rFonts w:ascii="Times New Roman" w:hAnsi="Times New Roman" w:cs="Times New Roman"/>
        </w:rPr>
        <w:tab/>
        <w:t xml:space="preserve">Zhang J, Deng G. Protective effects of increased outdoor time against myopia: a review. J Int Med Res. 2020 Mar;48(3):0300060519893866. </w:t>
      </w:r>
    </w:p>
    <w:p w14:paraId="5E86D84D"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18.</w:t>
      </w:r>
      <w:r w:rsidRPr="007662E5">
        <w:rPr>
          <w:rFonts w:ascii="Times New Roman" w:hAnsi="Times New Roman" w:cs="Times New Roman"/>
        </w:rPr>
        <w:tab/>
        <w:t xml:space="preserve">Coles‐brennan C, Sulley A, Young G. Management of digital eye strain. Clin Exp Optom. 2019 Jan 1;102(1):18–29. </w:t>
      </w:r>
    </w:p>
    <w:p w14:paraId="7624EFE4" w14:textId="77777777" w:rsidR="007662E5" w:rsidRPr="007662E5" w:rsidRDefault="007662E5" w:rsidP="007662E5">
      <w:pPr>
        <w:pStyle w:val="Bibliography"/>
        <w:rPr>
          <w:rFonts w:ascii="Times New Roman" w:hAnsi="Times New Roman" w:cs="Times New Roman"/>
        </w:rPr>
      </w:pPr>
      <w:r w:rsidRPr="007662E5">
        <w:rPr>
          <w:rFonts w:ascii="Times New Roman" w:hAnsi="Times New Roman" w:cs="Times New Roman"/>
        </w:rPr>
        <w:t>19.</w:t>
      </w:r>
      <w:r w:rsidRPr="007662E5">
        <w:rPr>
          <w:rFonts w:ascii="Times New Roman" w:hAnsi="Times New Roman" w:cs="Times New Roman"/>
        </w:rPr>
        <w:tab/>
        <w:t xml:space="preserve">Lee HS, Park SW, Heo H. Acute acquired comitant esotropia related to excessive Smartphone use. BMC Ophthalmol. 2016 Dec;16(1):37. </w:t>
      </w:r>
    </w:p>
    <w:p w14:paraId="0213E994" w14:textId="77777777" w:rsidR="007662E5" w:rsidRDefault="004A7623">
      <w:pPr>
        <w:jc w:val="both"/>
        <w:rPr>
          <w:rFonts w:ascii="Times New Roman" w:eastAsia="Times New Roman" w:hAnsi="Times New Roman" w:cs="Times New Roman"/>
        </w:rPr>
      </w:pPr>
      <w:r>
        <w:rPr>
          <w:rFonts w:ascii="Times New Roman" w:eastAsia="Times New Roman" w:hAnsi="Times New Roman" w:cs="Times New Roman"/>
        </w:rPr>
        <w:fldChar w:fldCharType="end"/>
      </w:r>
    </w:p>
    <w:p w14:paraId="50F48E08" w14:textId="77777777" w:rsidR="00AE258C" w:rsidRDefault="00AE258C">
      <w:pPr>
        <w:jc w:val="both"/>
        <w:rPr>
          <w:rFonts w:ascii="Times New Roman" w:eastAsia="Times New Roman" w:hAnsi="Times New Roman" w:cs="Times New Roman"/>
        </w:rPr>
      </w:pPr>
    </w:p>
    <w:sectPr w:rsidR="00AE258C" w:rsidSect="007F5F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9852D" w14:textId="77777777" w:rsidR="002A61A3" w:rsidRDefault="002A61A3" w:rsidP="00C37454">
      <w:pPr>
        <w:spacing w:after="0" w:line="240" w:lineRule="auto"/>
      </w:pPr>
      <w:r>
        <w:separator/>
      </w:r>
    </w:p>
  </w:endnote>
  <w:endnote w:type="continuationSeparator" w:id="0">
    <w:p w14:paraId="5AFEF6CB" w14:textId="77777777" w:rsidR="002A61A3" w:rsidRDefault="002A61A3" w:rsidP="00C3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E9CE" w14:textId="77777777" w:rsidR="00C37454" w:rsidRDefault="00C37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4208" w14:textId="77777777" w:rsidR="00C37454" w:rsidRDefault="00C37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064A" w14:textId="77777777" w:rsidR="00C37454" w:rsidRDefault="00C3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0BFCD" w14:textId="77777777" w:rsidR="002A61A3" w:rsidRDefault="002A61A3" w:rsidP="00C37454">
      <w:pPr>
        <w:spacing w:after="0" w:line="240" w:lineRule="auto"/>
      </w:pPr>
      <w:r>
        <w:separator/>
      </w:r>
    </w:p>
  </w:footnote>
  <w:footnote w:type="continuationSeparator" w:id="0">
    <w:p w14:paraId="7DF2A161" w14:textId="77777777" w:rsidR="002A61A3" w:rsidRDefault="002A61A3" w:rsidP="00C37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19FF" w14:textId="7D85C3C8" w:rsidR="00C37454" w:rsidRDefault="00C37454">
    <w:pPr>
      <w:pStyle w:val="Header"/>
    </w:pPr>
    <w:r>
      <w:rPr>
        <w:noProof/>
      </w:rPr>
      <w:pict w14:anchorId="61BF2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735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B366" w14:textId="545FF3BB" w:rsidR="00C37454" w:rsidRDefault="00C37454">
    <w:pPr>
      <w:pStyle w:val="Header"/>
    </w:pPr>
    <w:r>
      <w:rPr>
        <w:noProof/>
      </w:rPr>
      <w:pict w14:anchorId="5C26B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735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FE69" w14:textId="2F601320" w:rsidR="00C37454" w:rsidRDefault="00C37454">
    <w:pPr>
      <w:pStyle w:val="Header"/>
    </w:pPr>
    <w:r>
      <w:rPr>
        <w:noProof/>
      </w:rPr>
      <w:pict w14:anchorId="546B3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735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856DA"/>
    <w:multiLevelType w:val="hybridMultilevel"/>
    <w:tmpl w:val="4ADA21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58C"/>
    <w:rsid w:val="00011557"/>
    <w:rsid w:val="000421CB"/>
    <w:rsid w:val="001A62DA"/>
    <w:rsid w:val="00294E0D"/>
    <w:rsid w:val="002A61A3"/>
    <w:rsid w:val="002B079C"/>
    <w:rsid w:val="00313478"/>
    <w:rsid w:val="003753EC"/>
    <w:rsid w:val="004844F9"/>
    <w:rsid w:val="004A7623"/>
    <w:rsid w:val="004C4D8E"/>
    <w:rsid w:val="00756E18"/>
    <w:rsid w:val="007662E5"/>
    <w:rsid w:val="007B2D3F"/>
    <w:rsid w:val="007D7C53"/>
    <w:rsid w:val="007F5FFF"/>
    <w:rsid w:val="00812DF4"/>
    <w:rsid w:val="008872D3"/>
    <w:rsid w:val="0095734E"/>
    <w:rsid w:val="00AC66BB"/>
    <w:rsid w:val="00AE258C"/>
    <w:rsid w:val="00BB37B8"/>
    <w:rsid w:val="00C37454"/>
    <w:rsid w:val="00C66E6A"/>
    <w:rsid w:val="00CF4EF2"/>
    <w:rsid w:val="00D87EC2"/>
    <w:rsid w:val="00E523FF"/>
    <w:rsid w:val="00E734A4"/>
    <w:rsid w:val="00ED2DB1"/>
    <w:rsid w:val="00F75EC2"/>
    <w:rsid w:val="00F91B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4CDAA5"/>
  <w15:docId w15:val="{61869794-EEB1-46CF-9C21-76DC97BA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F5FFF"/>
  </w:style>
  <w:style w:type="paragraph" w:styleId="Heading1">
    <w:name w:val="heading 1"/>
    <w:basedOn w:val="Normal"/>
    <w:next w:val="Normal"/>
    <w:rsid w:val="007F5FFF"/>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rsid w:val="007F5FFF"/>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rsid w:val="007F5FFF"/>
    <w:pPr>
      <w:keepNext/>
      <w:keepLines/>
      <w:spacing w:before="160" w:after="80"/>
      <w:outlineLvl w:val="2"/>
    </w:pPr>
    <w:rPr>
      <w:color w:val="0F4761"/>
      <w:sz w:val="28"/>
      <w:szCs w:val="28"/>
    </w:rPr>
  </w:style>
  <w:style w:type="paragraph" w:styleId="Heading4">
    <w:name w:val="heading 4"/>
    <w:basedOn w:val="Normal"/>
    <w:next w:val="Normal"/>
    <w:rsid w:val="007F5FFF"/>
    <w:pPr>
      <w:keepNext/>
      <w:keepLines/>
      <w:spacing w:before="80" w:after="40"/>
      <w:outlineLvl w:val="3"/>
    </w:pPr>
    <w:rPr>
      <w:i/>
      <w:color w:val="0F4761"/>
    </w:rPr>
  </w:style>
  <w:style w:type="paragraph" w:styleId="Heading5">
    <w:name w:val="heading 5"/>
    <w:basedOn w:val="Normal"/>
    <w:next w:val="Normal"/>
    <w:rsid w:val="007F5FFF"/>
    <w:pPr>
      <w:keepNext/>
      <w:keepLines/>
      <w:spacing w:before="80" w:after="40"/>
      <w:outlineLvl w:val="4"/>
    </w:pPr>
    <w:rPr>
      <w:color w:val="0F4761"/>
    </w:rPr>
  </w:style>
  <w:style w:type="paragraph" w:styleId="Heading6">
    <w:name w:val="heading 6"/>
    <w:basedOn w:val="Normal"/>
    <w:next w:val="Normal"/>
    <w:rsid w:val="007F5FFF"/>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7F5FFF"/>
    <w:tblPr>
      <w:tblCellMar>
        <w:top w:w="0" w:type="dxa"/>
        <w:left w:w="0" w:type="dxa"/>
        <w:bottom w:w="0" w:type="dxa"/>
        <w:right w:w="0" w:type="dxa"/>
      </w:tblCellMar>
    </w:tblPr>
  </w:style>
  <w:style w:type="paragraph" w:styleId="Title">
    <w:name w:val="Title"/>
    <w:basedOn w:val="Normal"/>
    <w:next w:val="Normal"/>
    <w:rsid w:val="007F5FFF"/>
    <w:pPr>
      <w:spacing w:after="80" w:line="240" w:lineRule="auto"/>
    </w:pPr>
    <w:rPr>
      <w:rFonts w:ascii="Play" w:eastAsia="Play" w:hAnsi="Play" w:cs="Play"/>
      <w:sz w:val="56"/>
      <w:szCs w:val="56"/>
    </w:rPr>
  </w:style>
  <w:style w:type="paragraph" w:styleId="Subtitle">
    <w:name w:val="Subtitle"/>
    <w:basedOn w:val="Normal"/>
    <w:next w:val="Normal"/>
    <w:rsid w:val="007F5FFF"/>
    <w:rPr>
      <w:color w:val="595959"/>
      <w:sz w:val="28"/>
      <w:szCs w:val="28"/>
    </w:rPr>
  </w:style>
  <w:style w:type="table" w:customStyle="1" w:styleId="a">
    <w:basedOn w:val="TableNormal0"/>
    <w:rsid w:val="007F5FFF"/>
    <w:pPr>
      <w:spacing w:after="0" w:line="240" w:lineRule="auto"/>
    </w:pPr>
    <w:tblPr>
      <w:tblStyleRowBandSize w:val="1"/>
      <w:tblStyleColBandSize w:val="1"/>
      <w:tblCellMar>
        <w:left w:w="108" w:type="dxa"/>
        <w:right w:w="108" w:type="dxa"/>
      </w:tblCellMar>
    </w:tblPr>
  </w:style>
  <w:style w:type="table" w:customStyle="1" w:styleId="a0">
    <w:basedOn w:val="TableNormal0"/>
    <w:rsid w:val="007F5FFF"/>
    <w:pPr>
      <w:spacing w:after="0" w:line="240" w:lineRule="auto"/>
    </w:pPr>
    <w:tblPr>
      <w:tblStyleRowBandSize w:val="1"/>
      <w:tblStyleColBandSize w:val="1"/>
      <w:tblCellMar>
        <w:left w:w="108" w:type="dxa"/>
        <w:right w:w="108" w:type="dxa"/>
      </w:tblCellMar>
    </w:tblPr>
  </w:style>
  <w:style w:type="table" w:customStyle="1" w:styleId="a1">
    <w:basedOn w:val="TableNormal0"/>
    <w:rsid w:val="007F5FFF"/>
    <w:pPr>
      <w:spacing w:after="0" w:line="240" w:lineRule="auto"/>
    </w:pPr>
    <w:tblPr>
      <w:tblStyleRowBandSize w:val="1"/>
      <w:tblStyleColBandSize w:val="1"/>
      <w:tblCellMar>
        <w:left w:w="108" w:type="dxa"/>
        <w:right w:w="108" w:type="dxa"/>
      </w:tblCellMar>
    </w:tblPr>
  </w:style>
  <w:style w:type="table" w:customStyle="1" w:styleId="a2">
    <w:basedOn w:val="TableNormal0"/>
    <w:rsid w:val="007F5FFF"/>
    <w:pPr>
      <w:spacing w:after="0" w:line="240" w:lineRule="auto"/>
    </w:pPr>
    <w:tblPr>
      <w:tblStyleRowBandSize w:val="1"/>
      <w:tblStyleColBandSize w:val="1"/>
      <w:tblCellMar>
        <w:left w:w="108" w:type="dxa"/>
        <w:right w:w="108" w:type="dxa"/>
      </w:tblCellMar>
    </w:tblPr>
  </w:style>
  <w:style w:type="table" w:customStyle="1" w:styleId="a3">
    <w:basedOn w:val="TableNormal0"/>
    <w:rsid w:val="007F5FFF"/>
    <w:pPr>
      <w:spacing w:after="0" w:line="240" w:lineRule="auto"/>
    </w:pPr>
    <w:tblPr>
      <w:tblStyleRowBandSize w:val="1"/>
      <w:tblStyleColBandSize w:val="1"/>
      <w:tblCellMar>
        <w:left w:w="108" w:type="dxa"/>
        <w:right w:w="108" w:type="dxa"/>
      </w:tblCellMar>
    </w:tblPr>
  </w:style>
  <w:style w:type="table" w:customStyle="1" w:styleId="a4">
    <w:basedOn w:val="TableNormal0"/>
    <w:rsid w:val="007F5FFF"/>
    <w:pPr>
      <w:spacing w:after="0" w:line="240" w:lineRule="auto"/>
    </w:pPr>
    <w:tblPr>
      <w:tblStyleRowBandSize w:val="1"/>
      <w:tblStyleColBandSize w:val="1"/>
      <w:tblCellMar>
        <w:left w:w="108" w:type="dxa"/>
        <w:right w:w="108" w:type="dxa"/>
      </w:tblCellMar>
    </w:tblPr>
  </w:style>
  <w:style w:type="paragraph" w:styleId="Bibliography">
    <w:name w:val="Bibliography"/>
    <w:basedOn w:val="Normal"/>
    <w:next w:val="Normal"/>
    <w:uiPriority w:val="37"/>
    <w:unhideWhenUsed/>
    <w:rsid w:val="007662E5"/>
    <w:pPr>
      <w:tabs>
        <w:tab w:val="left" w:pos="384"/>
      </w:tabs>
      <w:spacing w:after="240" w:line="240" w:lineRule="auto"/>
      <w:ind w:left="384" w:hanging="384"/>
    </w:pPr>
    <w:rPr>
      <w:rFonts w:cs="Mangal"/>
      <w:szCs w:val="20"/>
    </w:rPr>
  </w:style>
  <w:style w:type="paragraph" w:styleId="BalloonText">
    <w:name w:val="Balloon Text"/>
    <w:basedOn w:val="Normal"/>
    <w:link w:val="BalloonTextChar"/>
    <w:uiPriority w:val="99"/>
    <w:semiHidden/>
    <w:unhideWhenUsed/>
    <w:rsid w:val="0031347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13478"/>
    <w:rPr>
      <w:rFonts w:ascii="Tahoma" w:hAnsi="Tahoma" w:cs="Mangal"/>
      <w:sz w:val="16"/>
      <w:szCs w:val="14"/>
    </w:rPr>
  </w:style>
  <w:style w:type="character" w:styleId="Hyperlink">
    <w:name w:val="Hyperlink"/>
    <w:basedOn w:val="DefaultParagraphFont"/>
    <w:uiPriority w:val="99"/>
    <w:unhideWhenUsed/>
    <w:rsid w:val="00011557"/>
    <w:rPr>
      <w:color w:val="0000FF" w:themeColor="hyperlink"/>
      <w:u w:val="single"/>
    </w:rPr>
  </w:style>
  <w:style w:type="character" w:styleId="UnresolvedMention">
    <w:name w:val="Unresolved Mention"/>
    <w:basedOn w:val="DefaultParagraphFont"/>
    <w:uiPriority w:val="99"/>
    <w:semiHidden/>
    <w:unhideWhenUsed/>
    <w:rsid w:val="00011557"/>
    <w:rPr>
      <w:color w:val="605E5C"/>
      <w:shd w:val="clear" w:color="auto" w:fill="E1DFDD"/>
    </w:rPr>
  </w:style>
  <w:style w:type="paragraph" w:styleId="Header">
    <w:name w:val="header"/>
    <w:basedOn w:val="Normal"/>
    <w:link w:val="HeaderChar"/>
    <w:uiPriority w:val="99"/>
    <w:unhideWhenUsed/>
    <w:rsid w:val="00C37454"/>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C37454"/>
    <w:rPr>
      <w:rFonts w:cs="Mangal"/>
      <w:szCs w:val="20"/>
    </w:rPr>
  </w:style>
  <w:style w:type="paragraph" w:styleId="Footer">
    <w:name w:val="footer"/>
    <w:basedOn w:val="Normal"/>
    <w:link w:val="FooterChar"/>
    <w:uiPriority w:val="99"/>
    <w:unhideWhenUsed/>
    <w:rsid w:val="00C37454"/>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C37454"/>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10500</Words>
  <Characters>59856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Saqib Zameer</dc:creator>
  <cp:lastModifiedBy>SDI 1084</cp:lastModifiedBy>
  <cp:revision>11</cp:revision>
  <dcterms:created xsi:type="dcterms:W3CDTF">2025-09-11T15:38:00Z</dcterms:created>
  <dcterms:modified xsi:type="dcterms:W3CDTF">2025-09-12T14:12:00Z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c9410db4-d576-48bd-85e7-695dca5471c7</vt:lpwstr>
  </property>
  <property fmtid="{D5CDD505-2E9C-101B-9397-08002B2CF9AE}" pid="3" name="ZOTERO_PREF_1">
    <vt:lpwstr>&lt;data data-version="3" zotero-version="7.0.22"&gt;&lt;session id="p8J6Ix0P"/&gt;&lt;style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