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0B337" w14:textId="77777777" w:rsidR="00BE2B44" w:rsidRDefault="00BE2B44" w:rsidP="00FA7BD7">
      <w:pPr>
        <w:pStyle w:val="Author"/>
        <w:spacing w:line="240" w:lineRule="auto"/>
        <w:ind w:right="732"/>
        <w:jc w:val="left"/>
        <w:rPr>
          <w:rFonts w:ascii="Arial" w:hAnsi="Arial" w:cs="Arial"/>
          <w:bCs/>
          <w:iCs/>
          <w:kern w:val="28"/>
          <w:sz w:val="36"/>
        </w:rPr>
      </w:pPr>
      <w:r w:rsidRPr="00BE2B44">
        <w:rPr>
          <w:rFonts w:ascii="Arial" w:hAnsi="Arial" w:cs="Arial"/>
          <w:bCs/>
          <w:iCs/>
          <w:kern w:val="28"/>
          <w:sz w:val="36"/>
        </w:rPr>
        <w:t>Original Research Article</w:t>
      </w:r>
    </w:p>
    <w:p w14:paraId="0C8538C7" w14:textId="77777777" w:rsidR="00BE2B44" w:rsidRDefault="00BE2B44" w:rsidP="00FA7BD7">
      <w:pPr>
        <w:pStyle w:val="Author"/>
        <w:spacing w:line="240" w:lineRule="auto"/>
        <w:ind w:right="732"/>
        <w:jc w:val="left"/>
        <w:rPr>
          <w:rFonts w:ascii="Arial" w:hAnsi="Arial" w:cs="Arial"/>
          <w:bCs/>
          <w:iCs/>
          <w:kern w:val="28"/>
          <w:sz w:val="36"/>
        </w:rPr>
      </w:pPr>
    </w:p>
    <w:p w14:paraId="73841C9D" w14:textId="7D0A3AF8" w:rsidR="00163BC4" w:rsidRPr="00163BC4" w:rsidRDefault="00E5302D" w:rsidP="00FA7BD7">
      <w:pPr>
        <w:pStyle w:val="Author"/>
        <w:spacing w:line="240" w:lineRule="auto"/>
        <w:ind w:right="732"/>
        <w:jc w:val="left"/>
        <w:rPr>
          <w:rFonts w:ascii="Arial" w:hAnsi="Arial" w:cs="Arial"/>
          <w:bCs/>
          <w:iCs/>
          <w:kern w:val="28"/>
          <w:sz w:val="36"/>
        </w:rPr>
      </w:pPr>
      <w:r w:rsidRPr="00E5302D">
        <w:rPr>
          <w:rFonts w:ascii="Arial" w:hAnsi="Arial" w:cs="Arial"/>
          <w:bCs/>
          <w:iCs/>
          <w:kern w:val="28"/>
          <w:sz w:val="36"/>
        </w:rPr>
        <w:t xml:space="preserve">Clinical Effects of a </w:t>
      </w:r>
      <w:proofErr w:type="spellStart"/>
      <w:r w:rsidRPr="00E5302D">
        <w:rPr>
          <w:rFonts w:ascii="Arial" w:hAnsi="Arial" w:cs="Arial"/>
          <w:bCs/>
          <w:iCs/>
          <w:kern w:val="28"/>
          <w:sz w:val="36"/>
        </w:rPr>
        <w:t>Parasynbiotic</w:t>
      </w:r>
      <w:proofErr w:type="spellEnd"/>
      <w:r w:rsidRPr="00E5302D">
        <w:rPr>
          <w:rFonts w:ascii="Arial" w:hAnsi="Arial" w:cs="Arial"/>
          <w:bCs/>
          <w:iCs/>
          <w:kern w:val="28"/>
          <w:sz w:val="36"/>
        </w:rPr>
        <w:t xml:space="preserve"> Combining 1-Kestose and </w:t>
      </w:r>
      <w:proofErr w:type="spellStart"/>
      <w:r w:rsidRPr="00FA7BD7">
        <w:rPr>
          <w:rFonts w:ascii="Arial" w:hAnsi="Arial" w:cs="Arial"/>
          <w:bCs/>
          <w:i/>
          <w:kern w:val="28"/>
          <w:sz w:val="36"/>
        </w:rPr>
        <w:t>Lactiplantibacillus</w:t>
      </w:r>
      <w:proofErr w:type="spellEnd"/>
      <w:r w:rsidRPr="00FA7BD7">
        <w:rPr>
          <w:rFonts w:ascii="Arial" w:hAnsi="Arial" w:cs="Arial"/>
          <w:bCs/>
          <w:i/>
          <w:kern w:val="28"/>
          <w:sz w:val="36"/>
        </w:rPr>
        <w:t xml:space="preserve"> plantarum</w:t>
      </w:r>
      <w:r w:rsidRPr="00E5302D">
        <w:rPr>
          <w:rFonts w:ascii="Arial" w:hAnsi="Arial" w:cs="Arial"/>
          <w:bCs/>
          <w:iCs/>
          <w:kern w:val="28"/>
          <w:sz w:val="36"/>
        </w:rPr>
        <w:t xml:space="preserve"> FM8 on Feline Atopic Skin Syndrome: A Pilot Study</w:t>
      </w:r>
      <w:r w:rsidR="00231920">
        <w:rPr>
          <w:rFonts w:ascii="Arial" w:hAnsi="Arial" w:cs="Arial"/>
          <w:bCs/>
          <w:iCs/>
          <w:kern w:val="28"/>
          <w:sz w:val="36"/>
        </w:rPr>
        <w:t xml:space="preserve"> </w:t>
      </w:r>
    </w:p>
    <w:p w14:paraId="2E4AA467" w14:textId="77777777" w:rsidR="00A258C3" w:rsidRPr="00790ADA" w:rsidRDefault="00A258C3" w:rsidP="00441B6F">
      <w:pPr>
        <w:pStyle w:val="Author"/>
        <w:spacing w:line="240" w:lineRule="auto"/>
        <w:jc w:val="both"/>
        <w:rPr>
          <w:rFonts w:ascii="Arial" w:hAnsi="Arial" w:cs="Arial"/>
          <w:sz w:val="36"/>
        </w:rPr>
      </w:pPr>
    </w:p>
    <w:p w14:paraId="7C71A4E2" w14:textId="77777777" w:rsidR="002C57D2" w:rsidRPr="00FB3A86" w:rsidRDefault="002C57D2" w:rsidP="00441B6F">
      <w:pPr>
        <w:pStyle w:val="Affiliation"/>
        <w:spacing w:after="0" w:line="240" w:lineRule="auto"/>
        <w:jc w:val="both"/>
        <w:rPr>
          <w:rFonts w:ascii="Arial" w:hAnsi="Arial" w:cs="Arial"/>
        </w:rPr>
      </w:pPr>
    </w:p>
    <w:p w14:paraId="2ECF7E12" w14:textId="77777777" w:rsidR="00B01FCD" w:rsidRPr="00FB3A86" w:rsidRDefault="003F6D3F" w:rsidP="00441B6F">
      <w:pPr>
        <w:pStyle w:val="Copyright"/>
        <w:spacing w:after="0" w:line="240" w:lineRule="auto"/>
        <w:jc w:val="both"/>
        <w:rPr>
          <w:rFonts w:ascii="Arial" w:hAnsi="Arial" w:cs="Arial"/>
        </w:rPr>
        <w:sectPr w:rsidR="00B01FCD" w:rsidRPr="00FB3A86" w:rsidSect="00BE2014">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AC6EF02" wp14:editId="01AC95FB">
                <wp:extent cx="5303520" cy="635"/>
                <wp:effectExtent l="0" t="12700" r="5080" b="12065"/>
                <wp:docPr id="72968996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arto="http://schemas.microsoft.com/office/word/2006/arto"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C43A8E" id="_x0000_t32" coordsize="21600,21600" o:spt="32" o:oned="t" path="m,l21600,21600e" filled="f">
                <v:path arrowok="t" fillok="f" o:connecttype="none"/>
                <o:lock v:ext="edit" shapetype="t"/>
              </v:shapetype>
              <v:shape id="AutoShape 5"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" strokeweight="1.5pt">
                <o:lock v:ext="edit" shapetype="f"/>
                <w10:anchorlock/>
              </v:shape>
            </w:pict>
          </mc:Fallback>
        </mc:AlternateContent>
      </w:r>
      <w:r w:rsidR="00FB3A86">
        <w:rPr>
          <w:rFonts w:ascii="Arial" w:hAnsi="Arial" w:cs="Arial"/>
        </w:rPr>
        <w:t>.</w:t>
      </w:r>
    </w:p>
    <w:p w14:paraId="692437B4" w14:textId="650FC941" w:rsidR="00B01FCD" w:rsidRDefault="00B01FCD" w:rsidP="00441B6F">
      <w:pPr>
        <w:pStyle w:val="AbstHead"/>
        <w:spacing w:after="0"/>
        <w:jc w:val="both"/>
        <w:rPr>
          <w:rFonts w:ascii="Arial" w:hAnsi="Arial" w:cs="Arial"/>
        </w:rPr>
      </w:pPr>
      <w:r w:rsidRPr="00FB3A86">
        <w:rPr>
          <w:rFonts w:ascii="Arial" w:hAnsi="Arial" w:cs="Arial"/>
        </w:rPr>
        <w:t>ABSTRACT</w:t>
      </w:r>
    </w:p>
    <w:p w14:paraId="2D79D2F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840A56C" w14:textId="77777777" w:rsidTr="001E44FE">
        <w:tc>
          <w:tcPr>
            <w:tcW w:w="9576" w:type="dxa"/>
            <w:shd w:val="clear" w:color="auto" w:fill="F2F2F2"/>
          </w:tcPr>
          <w:p w14:paraId="070A65BE" w14:textId="23502F7A" w:rsidR="00BA1B01" w:rsidRPr="004943B3" w:rsidRDefault="00BA1B01" w:rsidP="00441B6F">
            <w:pPr>
              <w:pStyle w:val="Body"/>
              <w:spacing w:after="0"/>
              <w:rPr>
                <w:rFonts w:ascii="Arial" w:eastAsia="Calibri" w:hAnsi="Arial" w:cs="Arial"/>
                <w:sz w:val="21"/>
                <w:szCs w:val="24"/>
              </w:rPr>
            </w:pPr>
            <w:r w:rsidRPr="004943B3">
              <w:rPr>
                <w:rFonts w:ascii="Arial" w:eastAsia="Calibri" w:hAnsi="Arial" w:cs="Arial"/>
                <w:b/>
                <w:sz w:val="21"/>
                <w:szCs w:val="24"/>
              </w:rPr>
              <w:t xml:space="preserve">Aims: </w:t>
            </w:r>
            <w:r w:rsidR="004943B3" w:rsidRPr="004943B3">
              <w:rPr>
                <w:rFonts w:ascii="Arial" w:eastAsia="Calibri" w:hAnsi="Arial" w:cs="Arial"/>
                <w:sz w:val="21"/>
                <w:szCs w:val="24"/>
              </w:rPr>
              <w:t xml:space="preserve">Feline atopic skin syndrome (FASS) is a chronic inflammatory skin disease characterized by pruritus and typical lesions such as erythema, papules, excoriations, and </w:t>
            </w:r>
            <w:proofErr w:type="spellStart"/>
            <w:r w:rsidR="004943B3" w:rsidRPr="004943B3">
              <w:rPr>
                <w:rFonts w:ascii="Arial" w:eastAsia="Calibri" w:hAnsi="Arial" w:cs="Arial"/>
                <w:sz w:val="21"/>
                <w:szCs w:val="24"/>
              </w:rPr>
              <w:t>lichenification</w:t>
            </w:r>
            <w:proofErr w:type="spellEnd"/>
            <w:r w:rsidR="004943B3" w:rsidRPr="004943B3">
              <w:rPr>
                <w:rFonts w:ascii="Arial" w:eastAsia="Calibri" w:hAnsi="Arial" w:cs="Arial"/>
                <w:sz w:val="21"/>
                <w:szCs w:val="24"/>
              </w:rPr>
              <w:t>. Although the relationship between gut microbiota and atopic dermatitis is well-documented in humans</w:t>
            </w:r>
            <w:r w:rsidR="00055BAB">
              <w:rPr>
                <w:rFonts w:ascii="Arial" w:eastAsia="Calibri" w:hAnsi="Arial" w:cs="Arial"/>
                <w:sz w:val="21"/>
                <w:szCs w:val="24"/>
              </w:rPr>
              <w:t xml:space="preserve"> and dogs</w:t>
            </w:r>
            <w:r w:rsidR="004943B3" w:rsidRPr="004943B3">
              <w:rPr>
                <w:rFonts w:ascii="Arial" w:eastAsia="Calibri" w:hAnsi="Arial" w:cs="Arial"/>
                <w:sz w:val="21"/>
                <w:szCs w:val="24"/>
              </w:rPr>
              <w:t xml:space="preserve">, research exploring gut-targeted therapies for FASS remains limited, and the role of gut microbiota in this condition is unclear. This study aimed to conduct a pilot investigation into the effects of a </w:t>
            </w:r>
            <w:proofErr w:type="spellStart"/>
            <w:r w:rsidR="004943B3" w:rsidRPr="004943B3">
              <w:rPr>
                <w:rFonts w:ascii="Arial" w:eastAsia="Calibri" w:hAnsi="Arial" w:cs="Arial"/>
                <w:sz w:val="21"/>
                <w:szCs w:val="24"/>
              </w:rPr>
              <w:t>parasynbiotic</w:t>
            </w:r>
            <w:proofErr w:type="spellEnd"/>
            <w:r w:rsidR="004943B3" w:rsidRPr="004943B3">
              <w:rPr>
                <w:rFonts w:ascii="Arial" w:eastAsia="Calibri" w:hAnsi="Arial" w:cs="Arial"/>
                <w:sz w:val="21"/>
                <w:szCs w:val="24"/>
              </w:rPr>
              <w:t xml:space="preserve"> containing 1-kestose and heat-killed </w:t>
            </w:r>
            <w:r w:rsidR="004943B3" w:rsidRPr="007961B8">
              <w:rPr>
                <w:rFonts w:ascii="Arial" w:eastAsia="Calibri" w:hAnsi="Arial" w:cs="Arial"/>
                <w:i/>
                <w:iCs/>
                <w:sz w:val="21"/>
                <w:szCs w:val="24"/>
              </w:rPr>
              <w:t>Lactobacillus plantarum</w:t>
            </w:r>
            <w:r w:rsidR="004943B3" w:rsidRPr="004943B3">
              <w:rPr>
                <w:rFonts w:ascii="Arial" w:eastAsia="Calibri" w:hAnsi="Arial" w:cs="Arial"/>
                <w:sz w:val="21"/>
                <w:szCs w:val="24"/>
              </w:rPr>
              <w:t xml:space="preserve"> FM8 on clinical symptoms and gut microbiota in cats with FASS.</w:t>
            </w:r>
          </w:p>
          <w:p w14:paraId="33EB6170" w14:textId="43473234" w:rsidR="00BA1B01" w:rsidRPr="004943B3" w:rsidRDefault="00BA1B01" w:rsidP="00441B6F">
            <w:pPr>
              <w:pStyle w:val="Body"/>
              <w:spacing w:after="0"/>
              <w:rPr>
                <w:rFonts w:ascii="Arial" w:eastAsia="Calibri" w:hAnsi="Arial" w:cs="Arial"/>
                <w:sz w:val="21"/>
                <w:szCs w:val="24"/>
              </w:rPr>
            </w:pPr>
            <w:r w:rsidRPr="004943B3">
              <w:rPr>
                <w:rFonts w:ascii="Arial" w:eastAsia="Calibri" w:hAnsi="Arial" w:cs="Arial"/>
                <w:b/>
                <w:bCs/>
                <w:sz w:val="21"/>
                <w:szCs w:val="24"/>
              </w:rPr>
              <w:t>Methodology:</w:t>
            </w:r>
            <w:r w:rsidRPr="004943B3">
              <w:rPr>
                <w:rFonts w:ascii="Arial" w:eastAsia="Calibri" w:hAnsi="Arial" w:cs="Arial"/>
                <w:sz w:val="21"/>
                <w:szCs w:val="24"/>
              </w:rPr>
              <w:t xml:space="preserve"> </w:t>
            </w:r>
            <w:r w:rsidR="004943B3" w:rsidRPr="004943B3">
              <w:rPr>
                <w:rFonts w:ascii="Arial" w:eastAsia="Calibri" w:hAnsi="Arial" w:cs="Arial"/>
                <w:sz w:val="21"/>
                <w:szCs w:val="24"/>
              </w:rPr>
              <w:t xml:space="preserve">Eleven cats </w:t>
            </w:r>
            <w:r w:rsidR="003C11A2">
              <w:rPr>
                <w:rFonts w:ascii="Arial" w:eastAsia="Calibri" w:hAnsi="Arial" w:cs="Arial"/>
                <w:sz w:val="21"/>
                <w:szCs w:val="24"/>
              </w:rPr>
              <w:t xml:space="preserve">with FASS </w:t>
            </w:r>
            <w:r w:rsidR="004943B3" w:rsidRPr="004943B3">
              <w:rPr>
                <w:rFonts w:ascii="Arial" w:eastAsia="Calibri" w:hAnsi="Arial" w:cs="Arial"/>
                <w:sz w:val="21"/>
                <w:szCs w:val="24"/>
              </w:rPr>
              <w:t xml:space="preserve">were orally administered the </w:t>
            </w:r>
            <w:proofErr w:type="spellStart"/>
            <w:r w:rsidR="004943B3" w:rsidRPr="004943B3">
              <w:rPr>
                <w:rFonts w:ascii="Arial" w:eastAsia="Calibri" w:hAnsi="Arial" w:cs="Arial"/>
                <w:sz w:val="21"/>
                <w:szCs w:val="24"/>
              </w:rPr>
              <w:t>parasynbiotic</w:t>
            </w:r>
            <w:proofErr w:type="spellEnd"/>
            <w:r w:rsidR="004943B3" w:rsidRPr="004943B3">
              <w:rPr>
                <w:rFonts w:ascii="Arial" w:eastAsia="Calibri" w:hAnsi="Arial" w:cs="Arial"/>
                <w:sz w:val="21"/>
                <w:szCs w:val="24"/>
              </w:rPr>
              <w:t>, composed of 1-kestose (400 mg/day) and heat-killed FM8 (2.0 × 10</w:t>
            </w:r>
            <w:r w:rsidR="004943B3" w:rsidRPr="004943B3">
              <w:rPr>
                <w:rFonts w:ascii="Arial" w:eastAsia="Calibri" w:hAnsi="Arial" w:cs="Arial"/>
                <w:sz w:val="21"/>
                <w:szCs w:val="24"/>
                <w:vertAlign w:val="superscript"/>
              </w:rPr>
              <w:t>10</w:t>
            </w:r>
            <w:r w:rsidR="004943B3" w:rsidRPr="004943B3">
              <w:rPr>
                <w:rFonts w:ascii="Arial" w:eastAsia="Calibri" w:hAnsi="Arial" w:cs="Arial"/>
                <w:sz w:val="21"/>
                <w:szCs w:val="24"/>
              </w:rPr>
              <w:t xml:space="preserve"> CFU/day), for 8 weeks. Clinical symptoms were assessed using the </w:t>
            </w:r>
            <w:proofErr w:type="spellStart"/>
            <w:r w:rsidR="004943B3" w:rsidRPr="004943B3">
              <w:rPr>
                <w:rFonts w:ascii="Arial" w:eastAsia="Calibri" w:hAnsi="Arial" w:cs="Arial"/>
                <w:sz w:val="21"/>
                <w:szCs w:val="24"/>
              </w:rPr>
              <w:t>SCORing</w:t>
            </w:r>
            <w:proofErr w:type="spellEnd"/>
            <w:r w:rsidR="004943B3" w:rsidRPr="004943B3">
              <w:rPr>
                <w:rFonts w:ascii="Arial" w:eastAsia="Calibri" w:hAnsi="Arial" w:cs="Arial"/>
                <w:sz w:val="21"/>
                <w:szCs w:val="24"/>
              </w:rPr>
              <w:t xml:space="preserve"> Feline Allergic Dermatitis (SCORFAD), investigator pruritus score (IPS), and rating of global assessment of improvement (GAI) approaches.</w:t>
            </w:r>
          </w:p>
          <w:p w14:paraId="5BC962B5" w14:textId="628412FE" w:rsidR="004943B3" w:rsidRPr="003C11A2" w:rsidRDefault="00BA1B01" w:rsidP="0083354E">
            <w:pPr>
              <w:pStyle w:val="Body"/>
              <w:rPr>
                <w:rFonts w:ascii="Arial" w:eastAsia="Calibri" w:hAnsi="Arial" w:cs="Arial"/>
                <w:sz w:val="21"/>
              </w:rPr>
            </w:pPr>
            <w:r w:rsidRPr="004943B3">
              <w:rPr>
                <w:rFonts w:ascii="Arial" w:eastAsia="Calibri" w:hAnsi="Arial" w:cs="Arial"/>
                <w:b/>
                <w:bCs/>
                <w:sz w:val="21"/>
                <w:szCs w:val="24"/>
              </w:rPr>
              <w:t>Results:</w:t>
            </w:r>
            <w:r w:rsidRPr="004943B3">
              <w:rPr>
                <w:rFonts w:ascii="Arial" w:eastAsia="Calibri" w:hAnsi="Arial" w:cs="Arial"/>
                <w:sz w:val="21"/>
                <w:szCs w:val="24"/>
              </w:rPr>
              <w:t xml:space="preserve"> </w:t>
            </w:r>
            <w:proofErr w:type="spellStart"/>
            <w:r w:rsidR="004943B3" w:rsidRPr="004943B3">
              <w:rPr>
                <w:rFonts w:ascii="Arial" w:eastAsia="Calibri" w:hAnsi="Arial" w:cs="Arial"/>
                <w:sz w:val="21"/>
                <w:szCs w:val="24"/>
              </w:rPr>
              <w:t>Parasynbiotic</w:t>
            </w:r>
            <w:proofErr w:type="spellEnd"/>
            <w:r w:rsidR="004943B3" w:rsidRPr="004943B3">
              <w:rPr>
                <w:rFonts w:ascii="Arial" w:eastAsia="Calibri" w:hAnsi="Arial" w:cs="Arial"/>
                <w:sz w:val="21"/>
                <w:szCs w:val="24"/>
              </w:rPr>
              <w:t xml:space="preserve"> intervention significantly reduced SCORFAD and IPS scores (p = 0.0224 and p = 0.0018, respectively), and improvement in GAI scores was observed in 10 of 11 cats. Additionally, fecal microbiota composition was analyzed through 16S rRNA sequencing, with fecal samples from 16 healthy cats used as controls. While β-diversity analysis did not reveal significant difference between baseline and post-intervention samples within the FASS group, a trend toward distinction from healthy controls was observed. </w:t>
            </w:r>
            <w:r w:rsidR="003C11A2" w:rsidRPr="0083354E">
              <w:rPr>
                <w:rFonts w:ascii="Arial" w:eastAsia="Calibri" w:hAnsi="Arial" w:cs="Arial"/>
                <w:sz w:val="21"/>
              </w:rPr>
              <w:t>Microbial analysis revealed that</w:t>
            </w:r>
            <w:r w:rsidR="003C11A2" w:rsidRPr="003C11A2">
              <w:rPr>
                <w:rFonts w:ascii="Arial" w:eastAsia="Calibri" w:hAnsi="Arial" w:cs="Arial"/>
                <w:i/>
                <w:iCs/>
                <w:sz w:val="21"/>
              </w:rPr>
              <w:t xml:space="preserve"> </w:t>
            </w:r>
            <w:proofErr w:type="spellStart"/>
            <w:r w:rsidR="003C11A2" w:rsidRPr="003C11A2">
              <w:rPr>
                <w:rFonts w:ascii="Arial" w:eastAsia="Calibri" w:hAnsi="Arial" w:cs="Arial"/>
                <w:i/>
                <w:iCs/>
                <w:sz w:val="21"/>
              </w:rPr>
              <w:t>Collinsella</w:t>
            </w:r>
            <w:proofErr w:type="spellEnd"/>
            <w:r w:rsidR="003C11A2" w:rsidRPr="003C11A2">
              <w:rPr>
                <w:rFonts w:ascii="Arial" w:eastAsia="Calibri" w:hAnsi="Arial" w:cs="Arial"/>
                <w:i/>
                <w:iCs/>
                <w:sz w:val="21"/>
              </w:rPr>
              <w:t xml:space="preserve"> </w:t>
            </w:r>
            <w:proofErr w:type="spellStart"/>
            <w:r w:rsidR="003C11A2" w:rsidRPr="003C11A2">
              <w:rPr>
                <w:rFonts w:ascii="Arial" w:eastAsia="Calibri" w:hAnsi="Arial" w:cs="Arial"/>
                <w:i/>
                <w:iCs/>
                <w:sz w:val="21"/>
              </w:rPr>
              <w:t>stercoris</w:t>
            </w:r>
            <w:proofErr w:type="spellEnd"/>
            <w:r w:rsidR="003C11A2" w:rsidRPr="0083354E">
              <w:rPr>
                <w:rFonts w:ascii="Arial" w:eastAsia="Calibri" w:hAnsi="Arial" w:cs="Arial"/>
                <w:sz w:val="21"/>
              </w:rPr>
              <w:t xml:space="preserve"> was significantly enriched in FASS cats compared with healthy controls, whereas its abundance decreased significantly after </w:t>
            </w:r>
            <w:proofErr w:type="spellStart"/>
            <w:r w:rsidR="003C11A2" w:rsidRPr="0083354E">
              <w:rPr>
                <w:rFonts w:ascii="Arial" w:eastAsia="Calibri" w:hAnsi="Arial" w:cs="Arial"/>
                <w:sz w:val="21"/>
              </w:rPr>
              <w:t>parasynbiotic</w:t>
            </w:r>
            <w:proofErr w:type="spellEnd"/>
            <w:r w:rsidR="003C11A2" w:rsidRPr="0083354E">
              <w:rPr>
                <w:rFonts w:ascii="Arial" w:eastAsia="Calibri" w:hAnsi="Arial" w:cs="Arial"/>
                <w:sz w:val="21"/>
              </w:rPr>
              <w:t xml:space="preserve"> intervention.</w:t>
            </w:r>
          </w:p>
          <w:p w14:paraId="2E0CB320" w14:textId="06B6FBE5" w:rsidR="00505F06" w:rsidRPr="00BA1B01" w:rsidRDefault="00BA1B01" w:rsidP="00441B6F">
            <w:pPr>
              <w:pStyle w:val="Body"/>
              <w:spacing w:after="0"/>
              <w:rPr>
                <w:rFonts w:ascii="Arial" w:eastAsia="Calibri" w:hAnsi="Arial" w:cs="Arial"/>
                <w:szCs w:val="22"/>
              </w:rPr>
            </w:pPr>
            <w:r w:rsidRPr="004943B3">
              <w:rPr>
                <w:rFonts w:ascii="Arial" w:eastAsia="Calibri" w:hAnsi="Arial" w:cs="Arial"/>
                <w:b/>
                <w:bCs/>
                <w:sz w:val="21"/>
                <w:szCs w:val="24"/>
              </w:rPr>
              <w:t>Conclusion:</w:t>
            </w:r>
            <w:r w:rsidRPr="004943B3">
              <w:rPr>
                <w:rFonts w:ascii="Arial" w:eastAsia="Calibri" w:hAnsi="Arial" w:cs="Arial"/>
                <w:sz w:val="21"/>
                <w:szCs w:val="24"/>
              </w:rPr>
              <w:t xml:space="preserve"> </w:t>
            </w:r>
            <w:r w:rsidR="004943B3" w:rsidRPr="004943B3">
              <w:rPr>
                <w:rFonts w:ascii="Arial" w:eastAsia="Calibri" w:hAnsi="Arial" w:cs="Arial"/>
                <w:sz w:val="21"/>
                <w:szCs w:val="24"/>
              </w:rPr>
              <w:t xml:space="preserve">These findings suggested that improvements in clinical symptoms may be linked to alterations in gut microbiota, specifically through </w:t>
            </w:r>
            <w:r w:rsidR="003C11A2">
              <w:t>the reduction of</w:t>
            </w:r>
            <w:r w:rsidR="003C11A2" w:rsidRPr="0083354E">
              <w:rPr>
                <w:i/>
                <w:iCs/>
              </w:rPr>
              <w:t xml:space="preserve"> C. </w:t>
            </w:r>
            <w:proofErr w:type="spellStart"/>
            <w:r w:rsidR="003C11A2" w:rsidRPr="0083354E">
              <w:rPr>
                <w:i/>
                <w:iCs/>
              </w:rPr>
              <w:t>stercoris</w:t>
            </w:r>
            <w:proofErr w:type="spellEnd"/>
            <w:r w:rsidR="003C11A2">
              <w:t>, which was initially enriched in FASS cats</w:t>
            </w:r>
            <w:r w:rsidR="004943B3" w:rsidRPr="004943B3">
              <w:rPr>
                <w:rFonts w:ascii="Arial" w:eastAsia="Calibri" w:hAnsi="Arial" w:cs="Arial"/>
                <w:sz w:val="21"/>
                <w:szCs w:val="24"/>
              </w:rPr>
              <w:t xml:space="preserve">. Overall, this study underscores the potential of </w:t>
            </w:r>
            <w:proofErr w:type="spellStart"/>
            <w:r w:rsidR="004943B3" w:rsidRPr="004943B3">
              <w:rPr>
                <w:rFonts w:ascii="Arial" w:eastAsia="Calibri" w:hAnsi="Arial" w:cs="Arial"/>
                <w:sz w:val="21"/>
                <w:szCs w:val="24"/>
              </w:rPr>
              <w:t>parasynbiotic</w:t>
            </w:r>
            <w:proofErr w:type="spellEnd"/>
            <w:r w:rsidR="004943B3" w:rsidRPr="004943B3">
              <w:rPr>
                <w:rFonts w:ascii="Arial" w:eastAsia="Calibri" w:hAnsi="Arial" w:cs="Arial"/>
                <w:sz w:val="21"/>
                <w:szCs w:val="24"/>
              </w:rPr>
              <w:t xml:space="preserve"> administration as a promising therapeutic </w:t>
            </w:r>
            <w:r w:rsidR="00E615C0" w:rsidRPr="004943B3">
              <w:rPr>
                <w:rFonts w:ascii="Arial" w:eastAsia="Calibri" w:hAnsi="Arial" w:cs="Arial"/>
                <w:sz w:val="21"/>
                <w:szCs w:val="24"/>
              </w:rPr>
              <w:t>strategy for</w:t>
            </w:r>
            <w:r w:rsidR="004943B3" w:rsidRPr="004943B3">
              <w:rPr>
                <w:rFonts w:ascii="Arial" w:eastAsia="Calibri" w:hAnsi="Arial" w:cs="Arial"/>
                <w:sz w:val="21"/>
                <w:szCs w:val="24"/>
              </w:rPr>
              <w:t xml:space="preserve"> FASS, offering new possibilities for innovative interventions aimed at the gut–skin axis.</w:t>
            </w:r>
          </w:p>
        </w:tc>
      </w:tr>
    </w:tbl>
    <w:p w14:paraId="2316EF10" w14:textId="77777777" w:rsidR="00636EB2" w:rsidRDefault="00636EB2" w:rsidP="00441B6F">
      <w:pPr>
        <w:pStyle w:val="Body"/>
        <w:spacing w:after="0"/>
        <w:rPr>
          <w:rFonts w:ascii="Arial" w:hAnsi="Arial" w:cs="Arial"/>
          <w:i/>
        </w:rPr>
      </w:pPr>
    </w:p>
    <w:p w14:paraId="157BF74A" w14:textId="19BCCA3C" w:rsidR="0024282C" w:rsidRPr="00E615C0" w:rsidRDefault="00A24E7E" w:rsidP="00441B6F">
      <w:pPr>
        <w:pStyle w:val="Body"/>
        <w:spacing w:after="0"/>
        <w:rPr>
          <w:rFonts w:ascii="Arial" w:hAnsi="Arial" w:cs="Arial"/>
          <w:i/>
        </w:rPr>
      </w:pPr>
      <w:r>
        <w:rPr>
          <w:rFonts w:ascii="Arial" w:hAnsi="Arial" w:cs="Arial"/>
          <w:i/>
        </w:rPr>
        <w:t xml:space="preserve">Keywords: </w:t>
      </w:r>
      <w:r w:rsidR="004943B3" w:rsidRPr="004943B3">
        <w:rPr>
          <w:rFonts w:ascii="Arial" w:hAnsi="Arial" w:cs="Arial"/>
          <w:i/>
        </w:rPr>
        <w:t xml:space="preserve">feline atopic skin syndrome, 1-kestose, Lactobacillus plantarum FM8, </w:t>
      </w:r>
      <w:proofErr w:type="spellStart"/>
      <w:r w:rsidR="004943B3" w:rsidRPr="004943B3">
        <w:rPr>
          <w:rFonts w:ascii="Arial" w:hAnsi="Arial" w:cs="Arial"/>
          <w:i/>
        </w:rPr>
        <w:t>parasynbiotics</w:t>
      </w:r>
      <w:proofErr w:type="spellEnd"/>
    </w:p>
    <w:p w14:paraId="4FCA928C" w14:textId="77777777" w:rsidR="00505F06" w:rsidRPr="00A24E7E" w:rsidRDefault="00505F06" w:rsidP="00441B6F">
      <w:pPr>
        <w:pStyle w:val="Body"/>
        <w:spacing w:after="0"/>
        <w:rPr>
          <w:rFonts w:ascii="Arial" w:hAnsi="Arial" w:cs="Arial"/>
          <w:i/>
        </w:rPr>
      </w:pPr>
    </w:p>
    <w:p w14:paraId="1C58FADE" w14:textId="7998824C" w:rsidR="00790ADA" w:rsidRPr="00FB3A86" w:rsidRDefault="00902823" w:rsidP="00441B6F">
      <w:pPr>
        <w:pStyle w:val="AbstHead"/>
        <w:spacing w:after="0"/>
        <w:jc w:val="both"/>
        <w:rPr>
          <w:rFonts w:ascii="Arial" w:hAnsi="Arial" w:cs="Arial"/>
        </w:rPr>
      </w:pPr>
      <w:r>
        <w:rPr>
          <w:rFonts w:ascii="Arial" w:hAnsi="Arial" w:cs="Arial"/>
        </w:rPr>
        <w:lastRenderedPageBreak/>
        <w:t xml:space="preserve">1. </w:t>
      </w:r>
      <w:r w:rsidR="00B01FCD" w:rsidRPr="00FB3A86">
        <w:rPr>
          <w:rFonts w:ascii="Arial" w:hAnsi="Arial" w:cs="Arial"/>
        </w:rPr>
        <w:t>INTRODUCTION</w:t>
      </w:r>
      <w:r w:rsidR="007F7B32">
        <w:rPr>
          <w:rFonts w:ascii="Arial" w:hAnsi="Arial" w:cs="Arial"/>
        </w:rPr>
        <w:t xml:space="preserve"> </w:t>
      </w:r>
    </w:p>
    <w:p w14:paraId="1D0E8E9E" w14:textId="3CB759A2" w:rsidR="00EA7835" w:rsidRDefault="004943B3" w:rsidP="004943B3">
      <w:pPr>
        <w:ind w:firstLineChars="67" w:firstLine="161"/>
        <w:rPr>
          <w:rFonts w:ascii="Arial" w:hAnsi="Arial" w:cs="Arial"/>
          <w:iCs/>
        </w:rPr>
      </w:pPr>
      <w:r w:rsidRPr="004943B3">
        <w:rPr>
          <w:rFonts w:ascii="Arial" w:hAnsi="Arial" w:cs="Arial"/>
          <w:iCs/>
        </w:rPr>
        <w:t>Atopic dermatitis (AD) is a chronic and recurrent inflammatory disease that is prevalent not only in humans but also in companion animals such as dogs and cats (Ambily 2024, Hobi 2011, Paller 2019). Characterized by intense pruritus and skin inflammation, AD significantly impacts the quality of life of both patients and their owners, necessitating the development of effective and safe therapeutic strategies. Current treatments such as glucocorticoids and other immunosuppressants are widely used but are associated with risks of adverse effects and limitations in long-term use, highlighting the need for alternative approaches (</w:t>
      </w:r>
      <w:proofErr w:type="spellStart"/>
      <w:r w:rsidRPr="004943B3">
        <w:rPr>
          <w:rFonts w:ascii="Arial" w:hAnsi="Arial" w:cs="Arial"/>
          <w:iCs/>
        </w:rPr>
        <w:t>Olivry</w:t>
      </w:r>
      <w:proofErr w:type="spellEnd"/>
      <w:r w:rsidRPr="004943B3">
        <w:rPr>
          <w:rFonts w:ascii="Arial" w:hAnsi="Arial" w:cs="Arial"/>
          <w:iCs/>
        </w:rPr>
        <w:t xml:space="preserve"> 2010, </w:t>
      </w:r>
      <w:proofErr w:type="spellStart"/>
      <w:r w:rsidRPr="004943B3">
        <w:rPr>
          <w:rFonts w:ascii="Arial" w:hAnsi="Arial" w:cs="Arial"/>
          <w:iCs/>
        </w:rPr>
        <w:t>Ortalda</w:t>
      </w:r>
      <w:proofErr w:type="spellEnd"/>
      <w:r w:rsidRPr="004943B3">
        <w:rPr>
          <w:rFonts w:ascii="Arial" w:hAnsi="Arial" w:cs="Arial"/>
          <w:iCs/>
        </w:rPr>
        <w:t xml:space="preserve"> 2015, Roberts 2016). </w:t>
      </w:r>
      <w:r w:rsidR="00AC3B45">
        <w:t>Although many aspects of the pathophysiology of feline atopic skin syndrome (FASS) remain unclear, some mechanisms have been reported, including the activation of Th2 cells that promotes the secretion of inflammatory cytokines such as interleukin (IL)-4, resulting in skin inflammation and severe pruritus (Roosje 2002).</w:t>
      </w:r>
      <w:r w:rsidR="00EA7835" w:rsidRPr="00EA7835">
        <w:rPr>
          <w:rFonts w:ascii="Arial" w:hAnsi="Arial" w:cs="Arial"/>
          <w:iCs/>
        </w:rPr>
        <w:t xml:space="preserve"> In contrast, substantial progress has been achieved in elucidating the mechanisms and developing management strategies for canine atopic dermatitis (CAD) (</w:t>
      </w:r>
      <w:proofErr w:type="spellStart"/>
      <w:r w:rsidR="00EA7835" w:rsidRPr="00EA7835">
        <w:rPr>
          <w:rFonts w:ascii="Arial" w:hAnsi="Arial" w:cs="Arial"/>
          <w:iCs/>
        </w:rPr>
        <w:t>Saridomichelakis</w:t>
      </w:r>
      <w:proofErr w:type="spellEnd"/>
      <w:r w:rsidR="00EA7835" w:rsidRPr="00EA7835">
        <w:rPr>
          <w:rFonts w:ascii="Arial" w:hAnsi="Arial" w:cs="Arial"/>
          <w:iCs/>
        </w:rPr>
        <w:t xml:space="preserve"> 2016, Paterson 2019, Mueller 2023, Santoro 2021), highlighting the knowledge gap that persists in feline disease.</w:t>
      </w:r>
    </w:p>
    <w:p w14:paraId="587C9E4F" w14:textId="43332B3D" w:rsidR="004943B3" w:rsidRPr="004943B3" w:rsidRDefault="004943B3" w:rsidP="004943B3">
      <w:pPr>
        <w:ind w:firstLineChars="67" w:firstLine="161"/>
        <w:rPr>
          <w:rFonts w:ascii="Arial" w:hAnsi="Arial" w:cs="Arial"/>
          <w:iCs/>
        </w:rPr>
      </w:pPr>
      <w:r w:rsidRPr="004943B3">
        <w:rPr>
          <w:rFonts w:ascii="Arial" w:hAnsi="Arial" w:cs="Arial"/>
          <w:iCs/>
        </w:rPr>
        <w:t>Recent studies have revealed that the gut microbiota interacts closely with the immune system and plays a crucial role in the onset and progression of immune-mediated diseases, including AD</w:t>
      </w:r>
      <w:r w:rsidRPr="004943B3">
        <w:rPr>
          <w:rFonts w:ascii="Arial" w:hAnsi="Arial" w:cs="Arial"/>
        </w:rPr>
        <w:t xml:space="preserve"> in humans</w:t>
      </w:r>
      <w:r w:rsidRPr="004943B3">
        <w:rPr>
          <w:rFonts w:ascii="Arial" w:hAnsi="Arial" w:cs="Arial"/>
          <w:iCs/>
        </w:rPr>
        <w:t xml:space="preserve"> (Kim 2019). Among such strategies, the use of prebiotics has garnered attention. Prebiotics are defined as</w:t>
      </w:r>
      <w:r w:rsidRPr="004943B3">
        <w:rPr>
          <w:rFonts w:ascii="Arial" w:hAnsi="Arial" w:cs="Arial"/>
          <w:i/>
        </w:rPr>
        <w:t xml:space="preserve"> </w:t>
      </w:r>
      <w:r w:rsidRPr="004943B3">
        <w:rPr>
          <w:rFonts w:ascii="Arial" w:hAnsi="Arial" w:cs="Arial"/>
          <w:iCs/>
        </w:rPr>
        <w:t xml:space="preserve">“a selectively fermented ingredient that results in specific changes in the composition and/or activity of the gastrointestinal microbiota, thus conferring benefit(s) upon host health” (Gibson 2017). They enhance the growth of beneficial gut bacteria, thereby improving host health. One such prebiotic, 1-kestose (Kes) that is a type of </w:t>
      </w:r>
      <w:proofErr w:type="spellStart"/>
      <w:r w:rsidRPr="004943B3">
        <w:rPr>
          <w:rFonts w:ascii="Arial" w:hAnsi="Arial" w:cs="Arial"/>
          <w:iCs/>
        </w:rPr>
        <w:t>fructooligosaccharide</w:t>
      </w:r>
      <w:proofErr w:type="spellEnd"/>
      <w:r w:rsidRPr="004943B3">
        <w:rPr>
          <w:rFonts w:ascii="Arial" w:hAnsi="Arial" w:cs="Arial"/>
          <w:iCs/>
        </w:rPr>
        <w:t>, promotes the growth of beneficial bacteria, including</w:t>
      </w:r>
      <w:r w:rsidRPr="004943B3">
        <w:rPr>
          <w:rFonts w:ascii="Arial" w:hAnsi="Arial" w:cs="Arial"/>
          <w:i/>
        </w:rPr>
        <w:t xml:space="preserve"> </w:t>
      </w:r>
      <w:r w:rsidRPr="004943B3">
        <w:rPr>
          <w:rFonts w:ascii="Arial" w:hAnsi="Arial" w:cs="Arial"/>
          <w:i/>
          <w:iCs/>
        </w:rPr>
        <w:t>Bifidobacterium</w:t>
      </w:r>
      <w:r w:rsidRPr="004943B3">
        <w:rPr>
          <w:rFonts w:ascii="Arial" w:hAnsi="Arial" w:cs="Arial"/>
          <w:iCs/>
        </w:rPr>
        <w:t xml:space="preserve"> and</w:t>
      </w:r>
      <w:r w:rsidRPr="004943B3">
        <w:rPr>
          <w:rFonts w:ascii="Arial" w:hAnsi="Arial" w:cs="Arial"/>
          <w:i/>
        </w:rPr>
        <w:t xml:space="preserve"> </w:t>
      </w:r>
      <w:proofErr w:type="spellStart"/>
      <w:r w:rsidRPr="004943B3">
        <w:rPr>
          <w:rFonts w:ascii="Arial" w:hAnsi="Arial" w:cs="Arial"/>
          <w:i/>
          <w:iCs/>
        </w:rPr>
        <w:t>Faecalibacterium</w:t>
      </w:r>
      <w:proofErr w:type="spellEnd"/>
      <w:r w:rsidRPr="004943B3">
        <w:rPr>
          <w:rFonts w:ascii="Arial" w:hAnsi="Arial" w:cs="Arial"/>
        </w:rPr>
        <w:t>, in humans</w:t>
      </w:r>
      <w:r w:rsidRPr="004943B3">
        <w:rPr>
          <w:rFonts w:ascii="Arial" w:hAnsi="Arial" w:cs="Arial"/>
          <w:iCs/>
        </w:rPr>
        <w:t xml:space="preserve"> (</w:t>
      </w:r>
      <w:proofErr w:type="spellStart"/>
      <w:r w:rsidRPr="004943B3">
        <w:rPr>
          <w:rFonts w:ascii="Arial" w:hAnsi="Arial" w:cs="Arial"/>
          <w:iCs/>
        </w:rPr>
        <w:t>Tochio</w:t>
      </w:r>
      <w:proofErr w:type="spellEnd"/>
      <w:r w:rsidRPr="004943B3">
        <w:rPr>
          <w:rFonts w:ascii="Arial" w:hAnsi="Arial" w:cs="Arial"/>
          <w:iCs/>
        </w:rPr>
        <w:t xml:space="preserve"> 2018). By enhancing the abundance of these bacteria, Kes supports gut microbiota balance and confers beneficial effects in AD</w:t>
      </w:r>
      <w:r w:rsidRPr="004943B3">
        <w:rPr>
          <w:rFonts w:ascii="Arial" w:hAnsi="Arial" w:cs="Arial"/>
        </w:rPr>
        <w:t xml:space="preserve"> mice models and humans</w:t>
      </w:r>
      <w:r w:rsidRPr="004943B3">
        <w:rPr>
          <w:rFonts w:ascii="Arial" w:hAnsi="Arial" w:cs="Arial"/>
          <w:iCs/>
        </w:rPr>
        <w:t xml:space="preserve"> (Kim 2021, Koga 2016, Shibata 2009). We have previously reported that Kes exerts food allergy-suppressing effects</w:t>
      </w:r>
      <w:r w:rsidRPr="004943B3">
        <w:rPr>
          <w:rFonts w:ascii="Arial" w:hAnsi="Arial" w:cs="Arial"/>
        </w:rPr>
        <w:t xml:space="preserve"> in mice</w:t>
      </w:r>
      <w:r w:rsidRPr="004943B3">
        <w:rPr>
          <w:rFonts w:ascii="Arial" w:hAnsi="Arial" w:cs="Arial"/>
          <w:iCs/>
        </w:rPr>
        <w:t xml:space="preserve"> that can be further enhanced by another </w:t>
      </w:r>
      <w:proofErr w:type="spellStart"/>
      <w:r w:rsidRPr="004943B3">
        <w:rPr>
          <w:rFonts w:ascii="Arial" w:hAnsi="Arial" w:cs="Arial"/>
          <w:iCs/>
        </w:rPr>
        <w:t>fructan</w:t>
      </w:r>
      <w:proofErr w:type="spellEnd"/>
      <w:r w:rsidRPr="004943B3">
        <w:rPr>
          <w:rFonts w:ascii="Arial" w:hAnsi="Arial" w:cs="Arial"/>
          <w:iCs/>
        </w:rPr>
        <w:t xml:space="preserve">, inulin (Takahashi 2023). Furthermore, Kes administration in healthy cats increases </w:t>
      </w:r>
      <w:r w:rsidRPr="004943B3">
        <w:rPr>
          <w:rFonts w:ascii="Arial" w:hAnsi="Arial" w:cs="Arial"/>
          <w:i/>
          <w:iCs/>
        </w:rPr>
        <w:t>Bifidobacterium</w:t>
      </w:r>
      <w:r w:rsidRPr="004943B3">
        <w:rPr>
          <w:rFonts w:ascii="Arial" w:hAnsi="Arial" w:cs="Arial"/>
          <w:i/>
        </w:rPr>
        <w:t xml:space="preserve"> </w:t>
      </w:r>
      <w:r w:rsidRPr="004943B3">
        <w:rPr>
          <w:rFonts w:ascii="Arial" w:hAnsi="Arial" w:cs="Arial"/>
          <w:iCs/>
        </w:rPr>
        <w:t xml:space="preserve">populations (Shinohara 2020). </w:t>
      </w:r>
    </w:p>
    <w:p w14:paraId="3FD22A8B" w14:textId="77777777" w:rsidR="004943B3" w:rsidRPr="004943B3" w:rsidRDefault="004943B3" w:rsidP="004943B3">
      <w:pPr>
        <w:ind w:firstLineChars="67" w:firstLine="161"/>
        <w:rPr>
          <w:rFonts w:ascii="Arial" w:hAnsi="Arial" w:cs="Arial"/>
          <w:iCs/>
        </w:rPr>
      </w:pPr>
      <w:r w:rsidRPr="004943B3">
        <w:rPr>
          <w:rFonts w:ascii="Arial" w:hAnsi="Arial" w:cs="Arial"/>
          <w:iCs/>
        </w:rPr>
        <w:t xml:space="preserve">In parallel, the concept of </w:t>
      </w:r>
      <w:proofErr w:type="spellStart"/>
      <w:r w:rsidRPr="004943B3">
        <w:rPr>
          <w:rFonts w:ascii="Arial" w:hAnsi="Arial" w:cs="Arial"/>
          <w:iCs/>
        </w:rPr>
        <w:t>paraprobiotics</w:t>
      </w:r>
      <w:proofErr w:type="spellEnd"/>
      <w:r w:rsidRPr="004943B3">
        <w:rPr>
          <w:rFonts w:ascii="Arial" w:hAnsi="Arial" w:cs="Arial"/>
          <w:iCs/>
        </w:rPr>
        <w:t xml:space="preserve"> has emerged as a promising avenue for modulating gut and immune health. </w:t>
      </w:r>
      <w:proofErr w:type="spellStart"/>
      <w:r w:rsidRPr="004943B3">
        <w:rPr>
          <w:rFonts w:ascii="Arial" w:hAnsi="Arial" w:cs="Arial"/>
          <w:iCs/>
        </w:rPr>
        <w:t>Paraprobiotics</w:t>
      </w:r>
      <w:proofErr w:type="spellEnd"/>
      <w:r w:rsidRPr="004943B3">
        <w:rPr>
          <w:rFonts w:ascii="Arial" w:hAnsi="Arial" w:cs="Arial"/>
          <w:iCs/>
        </w:rPr>
        <w:t xml:space="preserve"> are defined as “non-viable microbial cells (either intact or broken) or crude cell extracts that, when administered (orally or topically) in adequate amounts, confer a benefit on the human or animal consumer” (Siciliano 2021). Unlike live probiotics, </w:t>
      </w:r>
      <w:proofErr w:type="spellStart"/>
      <w:r w:rsidRPr="004943B3">
        <w:rPr>
          <w:rFonts w:ascii="Arial" w:hAnsi="Arial" w:cs="Arial"/>
          <w:iCs/>
        </w:rPr>
        <w:t>paraprobiotics</w:t>
      </w:r>
      <w:proofErr w:type="spellEnd"/>
      <w:r w:rsidRPr="004943B3">
        <w:rPr>
          <w:rFonts w:ascii="Arial" w:hAnsi="Arial" w:cs="Arial"/>
          <w:iCs/>
        </w:rPr>
        <w:t xml:space="preserve"> exert their effects without the risk of colonization or overgrowth. For example, heat-treated </w:t>
      </w:r>
      <w:r w:rsidRPr="004943B3">
        <w:rPr>
          <w:rFonts w:ascii="Arial" w:hAnsi="Arial" w:cs="Arial"/>
          <w:i/>
        </w:rPr>
        <w:t>Lactobacillus plantarum</w:t>
      </w:r>
      <w:r w:rsidRPr="004943B3">
        <w:rPr>
          <w:rFonts w:ascii="Arial" w:hAnsi="Arial" w:cs="Arial"/>
          <w:iCs/>
        </w:rPr>
        <w:t xml:space="preserve"> FM8 exerts anti-inflammatory effects by promoting IL-10 production via dendritic cells (Fujii 2024). IL-10 alleviates AD </w:t>
      </w:r>
      <w:proofErr w:type="gramStart"/>
      <w:r w:rsidRPr="004943B3">
        <w:rPr>
          <w:rFonts w:ascii="Arial" w:hAnsi="Arial" w:cs="Arial"/>
          <w:iCs/>
        </w:rPr>
        <w:t>symptoms  (</w:t>
      </w:r>
      <w:proofErr w:type="gramEnd"/>
      <w:r w:rsidRPr="004943B3">
        <w:rPr>
          <w:rFonts w:ascii="Arial" w:hAnsi="Arial" w:cs="Arial"/>
          <w:iCs/>
        </w:rPr>
        <w:t xml:space="preserve">Lee 2024), suggesting that </w:t>
      </w:r>
      <w:proofErr w:type="spellStart"/>
      <w:r w:rsidRPr="004943B3">
        <w:rPr>
          <w:rFonts w:ascii="Arial" w:hAnsi="Arial" w:cs="Arial"/>
          <w:iCs/>
        </w:rPr>
        <w:lastRenderedPageBreak/>
        <w:t>paraprobiotics</w:t>
      </w:r>
      <w:proofErr w:type="spellEnd"/>
      <w:r w:rsidRPr="004943B3">
        <w:rPr>
          <w:rFonts w:ascii="Arial" w:hAnsi="Arial" w:cs="Arial"/>
          <w:iCs/>
        </w:rPr>
        <w:t xml:space="preserve"> also hold therapeutic potential for FASS. However, their effects in this specific condition remain unexplored.</w:t>
      </w:r>
    </w:p>
    <w:p w14:paraId="7CB6FB45" w14:textId="6EA30961" w:rsidR="004943B3" w:rsidRPr="004943B3" w:rsidRDefault="004943B3" w:rsidP="004943B3">
      <w:pPr>
        <w:ind w:firstLineChars="67" w:firstLine="161"/>
        <w:rPr>
          <w:rFonts w:ascii="Arial" w:hAnsi="Arial" w:cs="Arial"/>
        </w:rPr>
      </w:pPr>
      <w:r w:rsidRPr="004943B3">
        <w:rPr>
          <w:rFonts w:ascii="Arial" w:hAnsi="Arial" w:cs="Arial"/>
          <w:iCs/>
        </w:rPr>
        <w:t xml:space="preserve">Building on the complementary </w:t>
      </w:r>
      <w:bookmarkStart w:id="1" w:name="_Hlk188879414"/>
      <w:r w:rsidRPr="004943B3">
        <w:rPr>
          <w:rFonts w:ascii="Arial" w:hAnsi="Arial" w:cs="Arial"/>
          <w:iCs/>
        </w:rPr>
        <w:t xml:space="preserve">mechanisms of prebiotics and </w:t>
      </w:r>
      <w:proofErr w:type="spellStart"/>
      <w:r w:rsidRPr="004943B3">
        <w:rPr>
          <w:rFonts w:ascii="Arial" w:hAnsi="Arial" w:cs="Arial"/>
          <w:iCs/>
        </w:rPr>
        <w:t>paraprobiotics</w:t>
      </w:r>
      <w:bookmarkEnd w:id="1"/>
      <w:proofErr w:type="spellEnd"/>
      <w:r w:rsidRPr="004943B3">
        <w:rPr>
          <w:rFonts w:ascii="Arial" w:hAnsi="Arial" w:cs="Arial"/>
          <w:iCs/>
        </w:rPr>
        <w:t>, a combined approach termed “</w:t>
      </w:r>
      <w:proofErr w:type="spellStart"/>
      <w:r w:rsidRPr="004943B3">
        <w:rPr>
          <w:rFonts w:ascii="Arial" w:hAnsi="Arial" w:cs="Arial"/>
          <w:iCs/>
        </w:rPr>
        <w:t>parasynbiotics</w:t>
      </w:r>
      <w:proofErr w:type="spellEnd"/>
      <w:r w:rsidRPr="004943B3">
        <w:rPr>
          <w:rFonts w:ascii="Arial" w:hAnsi="Arial" w:cs="Arial"/>
          <w:iCs/>
        </w:rPr>
        <w:t xml:space="preserve">” has gained traction. </w:t>
      </w:r>
      <w:bookmarkStart w:id="2" w:name="_Hlk188879374"/>
      <w:proofErr w:type="spellStart"/>
      <w:r w:rsidRPr="004943B3">
        <w:rPr>
          <w:rFonts w:ascii="Arial" w:hAnsi="Arial" w:cs="Arial"/>
          <w:iCs/>
        </w:rPr>
        <w:t>Parasynbiotics</w:t>
      </w:r>
      <w:proofErr w:type="spellEnd"/>
      <w:r w:rsidRPr="004943B3">
        <w:rPr>
          <w:rFonts w:ascii="Arial" w:hAnsi="Arial" w:cs="Arial"/>
          <w:iCs/>
        </w:rPr>
        <w:t xml:space="preserve"> are expected to exert synergistic effects by modulating gut health and improving immune responses</w:t>
      </w:r>
      <w:bookmarkEnd w:id="2"/>
      <w:r w:rsidRPr="004943B3">
        <w:rPr>
          <w:rFonts w:ascii="Arial" w:hAnsi="Arial" w:cs="Arial"/>
          <w:iCs/>
        </w:rPr>
        <w:t xml:space="preserve">. Indeed, </w:t>
      </w:r>
      <w:proofErr w:type="spellStart"/>
      <w:r w:rsidRPr="004943B3">
        <w:rPr>
          <w:rFonts w:ascii="Arial" w:hAnsi="Arial" w:cs="Arial"/>
          <w:iCs/>
        </w:rPr>
        <w:t>parasynbiotics</w:t>
      </w:r>
      <w:proofErr w:type="spellEnd"/>
      <w:r w:rsidRPr="004943B3">
        <w:rPr>
          <w:rFonts w:ascii="Arial" w:hAnsi="Arial" w:cs="Arial"/>
          <w:iCs/>
        </w:rPr>
        <w:t xml:space="preserve"> can alleviate symptoms of CAD (Kawano 2023). A study utilizing penguins determined that a </w:t>
      </w:r>
      <w:proofErr w:type="spellStart"/>
      <w:r w:rsidRPr="004943B3">
        <w:rPr>
          <w:rFonts w:ascii="Arial" w:hAnsi="Arial" w:cs="Arial"/>
          <w:iCs/>
        </w:rPr>
        <w:t>parasynbiotic</w:t>
      </w:r>
      <w:proofErr w:type="spellEnd"/>
      <w:r w:rsidRPr="004943B3">
        <w:rPr>
          <w:rFonts w:ascii="Arial" w:hAnsi="Arial" w:cs="Arial"/>
          <w:iCs/>
        </w:rPr>
        <w:t xml:space="preserve"> administration combining </w:t>
      </w:r>
      <w:proofErr w:type="spellStart"/>
      <w:r w:rsidRPr="004943B3">
        <w:rPr>
          <w:rFonts w:ascii="Arial" w:hAnsi="Arial" w:cs="Arial"/>
          <w:iCs/>
        </w:rPr>
        <w:t>Kes</w:t>
      </w:r>
      <w:proofErr w:type="spellEnd"/>
      <w:r w:rsidRPr="004943B3">
        <w:rPr>
          <w:rFonts w:ascii="Arial" w:hAnsi="Arial" w:cs="Arial"/>
          <w:iCs/>
        </w:rPr>
        <w:t xml:space="preserve"> with heat-killed FM8 reduces the growth of harmful gut bacteria such as </w:t>
      </w:r>
      <w:r w:rsidRPr="004943B3">
        <w:rPr>
          <w:rFonts w:ascii="Arial" w:hAnsi="Arial" w:cs="Arial"/>
          <w:i/>
          <w:iCs/>
        </w:rPr>
        <w:t>Clostridium perfringens</w:t>
      </w:r>
      <w:r w:rsidRPr="004943B3">
        <w:rPr>
          <w:rFonts w:ascii="Arial" w:hAnsi="Arial" w:cs="Arial"/>
          <w:iCs/>
        </w:rPr>
        <w:t xml:space="preserve">, increases the growth of beneficial bacteria such as </w:t>
      </w:r>
      <w:proofErr w:type="spellStart"/>
      <w:r w:rsidRPr="004943B3">
        <w:rPr>
          <w:rFonts w:ascii="Arial" w:hAnsi="Arial" w:cs="Arial"/>
          <w:i/>
          <w:iCs/>
        </w:rPr>
        <w:t>Lactobacillaceae</w:t>
      </w:r>
      <w:proofErr w:type="spellEnd"/>
      <w:r w:rsidRPr="004943B3">
        <w:rPr>
          <w:rFonts w:ascii="Arial" w:hAnsi="Arial" w:cs="Arial"/>
          <w:iCs/>
        </w:rPr>
        <w:t xml:space="preserve">, significantly increases the concentrations of minerals (calcium and magnesium), and attenuates inflammatory responses, as reflected by a marked decrease in alpha-globulin levels (Fujii 2024). This trial underscores the promise of </w:t>
      </w:r>
      <w:proofErr w:type="spellStart"/>
      <w:r w:rsidRPr="004943B3">
        <w:rPr>
          <w:rFonts w:ascii="Arial" w:hAnsi="Arial" w:cs="Arial"/>
          <w:iCs/>
        </w:rPr>
        <w:t>parasynbiotics</w:t>
      </w:r>
      <w:proofErr w:type="spellEnd"/>
      <w:r w:rsidRPr="004943B3">
        <w:rPr>
          <w:rFonts w:ascii="Arial" w:hAnsi="Arial" w:cs="Arial"/>
          <w:iCs/>
        </w:rPr>
        <w:t xml:space="preserve"> in modulating gut health. </w:t>
      </w:r>
      <w:r w:rsidRPr="004943B3">
        <w:rPr>
          <w:rFonts w:ascii="Arial" w:hAnsi="Arial" w:cs="Arial"/>
        </w:rPr>
        <w:t xml:space="preserve">Despite growing interest in </w:t>
      </w:r>
      <w:proofErr w:type="spellStart"/>
      <w:r w:rsidRPr="004943B3">
        <w:rPr>
          <w:rFonts w:ascii="Arial" w:hAnsi="Arial" w:cs="Arial"/>
        </w:rPr>
        <w:t>parasynbiotic</w:t>
      </w:r>
      <w:proofErr w:type="spellEnd"/>
      <w:r w:rsidRPr="004943B3">
        <w:rPr>
          <w:rFonts w:ascii="Arial" w:hAnsi="Arial" w:cs="Arial"/>
        </w:rPr>
        <w:t xml:space="preserve"> strategies, the role of the gut microbiota in Feline FASS and the development of microbiota-targeted interventions for this condition remain underexplored. Drawing on insights from human and </w:t>
      </w:r>
      <w:r w:rsidR="00335878">
        <w:rPr>
          <w:rFonts w:ascii="Arial" w:hAnsi="Arial" w:cs="Arial"/>
        </w:rPr>
        <w:t>canine allergy</w:t>
      </w:r>
      <w:r w:rsidRPr="004943B3">
        <w:rPr>
          <w:rFonts w:ascii="Arial" w:hAnsi="Arial" w:cs="Arial"/>
        </w:rPr>
        <w:t xml:space="preserve"> studies and other animal models, we therefore propose a novel, non-invasive </w:t>
      </w:r>
      <w:proofErr w:type="spellStart"/>
      <w:r w:rsidRPr="004943B3">
        <w:rPr>
          <w:rFonts w:ascii="Arial" w:hAnsi="Arial" w:cs="Arial"/>
        </w:rPr>
        <w:t>parasynbiotic</w:t>
      </w:r>
      <w:proofErr w:type="spellEnd"/>
      <w:r w:rsidRPr="004943B3">
        <w:rPr>
          <w:rFonts w:ascii="Arial" w:hAnsi="Arial" w:cs="Arial"/>
        </w:rPr>
        <w:t xml:space="preserve"> pilot intervention combining 1-kestose (Kes) with heat-killed </w:t>
      </w:r>
      <w:r w:rsidRPr="004943B3">
        <w:rPr>
          <w:rStyle w:val="Emphasis"/>
          <w:rFonts w:ascii="Arial" w:hAnsi="Arial" w:cs="Arial"/>
        </w:rPr>
        <w:t>Lactobacillus plantarum</w:t>
      </w:r>
      <w:r w:rsidRPr="004943B3">
        <w:rPr>
          <w:rFonts w:ascii="Arial" w:hAnsi="Arial" w:cs="Arial"/>
        </w:rPr>
        <w:t xml:space="preserve"> FM8. This trial aims to lay the groundwork for microbiome-targeted therapies in the management of FASS.</w:t>
      </w:r>
    </w:p>
    <w:p w14:paraId="12D29209" w14:textId="77777777" w:rsidR="004943B3" w:rsidRPr="00591288" w:rsidRDefault="004943B3" w:rsidP="004943B3">
      <w:pPr>
        <w:ind w:firstLineChars="67" w:firstLine="161"/>
      </w:pPr>
    </w:p>
    <w:p w14:paraId="3A04E96A" w14:textId="77777777" w:rsidR="00790ADA" w:rsidRPr="00FB3A86" w:rsidRDefault="00790ADA" w:rsidP="00441B6F">
      <w:pPr>
        <w:pStyle w:val="Body"/>
        <w:spacing w:after="0"/>
        <w:rPr>
          <w:rFonts w:ascii="Arial" w:hAnsi="Arial" w:cs="Arial"/>
        </w:rPr>
      </w:pPr>
    </w:p>
    <w:p w14:paraId="697B646B" w14:textId="349C18D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3DC83FB4" w14:textId="6CC65E77" w:rsidR="00790ADA" w:rsidRPr="00FB3A86" w:rsidRDefault="00454DD0" w:rsidP="00441B6F">
      <w:pPr>
        <w:pStyle w:val="AbstHead"/>
        <w:spacing w:after="0"/>
        <w:jc w:val="both"/>
        <w:rPr>
          <w:rFonts w:ascii="Arial" w:hAnsi="Arial" w:cs="Arial"/>
        </w:rPr>
      </w:pPr>
      <w:r w:rsidRPr="00454DD0">
        <w:rPr>
          <w:rFonts w:ascii="Arial" w:hAnsi="Arial" w:cs="Arial"/>
        </w:rPr>
        <w:t>2.1.</w:t>
      </w:r>
      <w:r w:rsidRPr="00454DD0">
        <w:rPr>
          <w:rFonts w:ascii="Arial" w:hAnsi="Arial" w:cs="Arial"/>
        </w:rPr>
        <w:tab/>
        <w:t>Ethics</w:t>
      </w:r>
    </w:p>
    <w:p w14:paraId="05F4938C" w14:textId="1FC54411" w:rsidR="00454DD0" w:rsidRDefault="00454DD0" w:rsidP="00441B6F">
      <w:pPr>
        <w:pStyle w:val="Body"/>
        <w:spacing w:after="0"/>
        <w:rPr>
          <w:rFonts w:ascii="Arial" w:hAnsi="Arial" w:cs="Arial"/>
        </w:rPr>
      </w:pPr>
      <w:r w:rsidRPr="00454DD0">
        <w:rPr>
          <w:rFonts w:ascii="Arial" w:hAnsi="Arial" w:cs="Arial"/>
        </w:rPr>
        <w:t xml:space="preserve">This study was conducted in compliance with Good Clinical Practice guidelines and the Japanese National Guidelines for the Humane Treatment of Animals (Ordinance of the Ministry of Health, </w:t>
      </w:r>
      <w:proofErr w:type="spellStart"/>
      <w:r w:rsidRPr="00454DD0">
        <w:rPr>
          <w:rFonts w:ascii="Arial" w:hAnsi="Arial" w:cs="Arial"/>
        </w:rPr>
        <w:t>Labour</w:t>
      </w:r>
      <w:proofErr w:type="spellEnd"/>
      <w:r w:rsidRPr="00454DD0">
        <w:rPr>
          <w:rFonts w:ascii="Arial" w:hAnsi="Arial" w:cs="Arial"/>
        </w:rPr>
        <w:t xml:space="preserve"> and Welfare, 2022). Written informed consent was obtained from all participating cat owners. Ethical approval for this study as a clinical research project was granted by 1sec. Co., Ltd. (approval No. 24006).</w:t>
      </w:r>
    </w:p>
    <w:p w14:paraId="332C9EE7" w14:textId="77777777" w:rsidR="00454DD0" w:rsidRDefault="00454DD0" w:rsidP="00441B6F">
      <w:pPr>
        <w:pStyle w:val="Body"/>
        <w:spacing w:after="0"/>
        <w:rPr>
          <w:rFonts w:ascii="Arial" w:hAnsi="Arial" w:cs="Arial"/>
        </w:rPr>
      </w:pPr>
    </w:p>
    <w:p w14:paraId="7D69F886" w14:textId="2654F6DE" w:rsidR="00454DD0" w:rsidRPr="00454DD0" w:rsidRDefault="00454DD0" w:rsidP="00441B6F">
      <w:pPr>
        <w:pStyle w:val="Body"/>
        <w:spacing w:after="0"/>
        <w:rPr>
          <w:rFonts w:ascii="Arial" w:hAnsi="Arial" w:cs="Arial"/>
          <w:b/>
          <w:bCs/>
          <w:sz w:val="22"/>
          <w:szCs w:val="22"/>
        </w:rPr>
      </w:pPr>
      <w:r w:rsidRPr="00454DD0">
        <w:rPr>
          <w:rFonts w:ascii="Arial" w:hAnsi="Arial" w:cs="Arial"/>
          <w:b/>
          <w:bCs/>
        </w:rPr>
        <w:t>2.2.</w:t>
      </w:r>
      <w:r w:rsidRPr="00454DD0">
        <w:rPr>
          <w:rFonts w:ascii="Arial" w:hAnsi="Arial" w:cs="Arial"/>
          <w:b/>
          <w:bCs/>
        </w:rPr>
        <w:tab/>
      </w:r>
      <w:r w:rsidRPr="00454DD0">
        <w:rPr>
          <w:rFonts w:ascii="Arial" w:hAnsi="Arial" w:cs="Arial"/>
          <w:b/>
          <w:bCs/>
          <w:sz w:val="22"/>
          <w:szCs w:val="22"/>
        </w:rPr>
        <w:t>Clinical study</w:t>
      </w:r>
    </w:p>
    <w:p w14:paraId="4ED7A2AA" w14:textId="77777777" w:rsidR="00454DD0" w:rsidRDefault="00454DD0" w:rsidP="00454DD0">
      <w:pPr>
        <w:pStyle w:val="Body"/>
        <w:ind w:firstLineChars="71" w:firstLine="142"/>
        <w:rPr>
          <w:rFonts w:ascii="Arial" w:hAnsi="Arial" w:cs="Arial"/>
        </w:rPr>
      </w:pPr>
      <w:r w:rsidRPr="00454DD0">
        <w:rPr>
          <w:rFonts w:ascii="Arial" w:hAnsi="Arial" w:cs="Arial"/>
        </w:rPr>
        <w:t xml:space="preserve">This study included cats diagnosed with FASS (Baseline and Post- intervention [Post] groups; n = 11; age: 3–15 years) and healthy control cats (Ctrl group; n = 14; age: 7–17 years). The baseline characteristics of the cats, including age and medication status, are summarized in Table 1. Cats with FASS received daily administration of heat-killed FM8 (Minori Co., Ltd., Okayama, Japan; </w:t>
      </w:r>
      <w:proofErr w:type="spellStart"/>
      <w:r w:rsidRPr="00454DD0">
        <w:rPr>
          <w:rFonts w:ascii="Arial" w:hAnsi="Arial" w:cs="Arial"/>
        </w:rPr>
        <w:t>paraprobiotic</w:t>
      </w:r>
      <w:proofErr w:type="spellEnd"/>
      <w:r w:rsidRPr="00454DD0">
        <w:rPr>
          <w:rFonts w:ascii="Arial" w:hAnsi="Arial" w:cs="Arial"/>
        </w:rPr>
        <w:t xml:space="preserve">; 2.0 × 1010 CFU, 1 capsule/day) and </w:t>
      </w:r>
      <w:proofErr w:type="spellStart"/>
      <w:r w:rsidRPr="00454DD0">
        <w:rPr>
          <w:rFonts w:ascii="Arial" w:hAnsi="Arial" w:cs="Arial"/>
        </w:rPr>
        <w:t>Kes</w:t>
      </w:r>
      <w:proofErr w:type="spellEnd"/>
      <w:r w:rsidRPr="00454DD0">
        <w:rPr>
          <w:rFonts w:ascii="Arial" w:hAnsi="Arial" w:cs="Arial"/>
        </w:rPr>
        <w:t xml:space="preserve"> (</w:t>
      </w:r>
      <w:proofErr w:type="spellStart"/>
      <w:r w:rsidRPr="00454DD0">
        <w:rPr>
          <w:rFonts w:ascii="Arial" w:hAnsi="Arial" w:cs="Arial"/>
        </w:rPr>
        <w:t>Wellneo</w:t>
      </w:r>
      <w:proofErr w:type="spellEnd"/>
      <w:r w:rsidRPr="00454DD0">
        <w:rPr>
          <w:rFonts w:ascii="Arial" w:hAnsi="Arial" w:cs="Arial"/>
        </w:rPr>
        <w:t xml:space="preserve"> Sugar Co., Ltd., Tokyo, Japan; &gt;97% purity, 400 mg, 1 tablet/day) for 8 weeks, whereas the cats in the Ctrl group did not receive these interventions. The primary outcome was the clinical severity of FASS, and the secondary outcome was changes in gut microbiota.</w:t>
      </w:r>
    </w:p>
    <w:p w14:paraId="1DDEBD20" w14:textId="77777777" w:rsidR="00454DD0" w:rsidRDefault="00454DD0" w:rsidP="00454DD0">
      <w:pPr>
        <w:pStyle w:val="Body"/>
        <w:ind w:firstLineChars="71" w:firstLine="142"/>
        <w:rPr>
          <w:rFonts w:ascii="Arial" w:hAnsi="Arial" w:cs="Arial"/>
        </w:rPr>
      </w:pPr>
      <w:r w:rsidRPr="00454DD0">
        <w:rPr>
          <w:rFonts w:ascii="Arial" w:hAnsi="Arial" w:cs="Arial"/>
        </w:rPr>
        <w:t xml:space="preserve">Following the procedures described in previous studies (Steffan 2012), we used the </w:t>
      </w:r>
      <w:proofErr w:type="spellStart"/>
      <w:r w:rsidRPr="00454DD0">
        <w:rPr>
          <w:rFonts w:ascii="Arial" w:hAnsi="Arial" w:cs="Arial"/>
        </w:rPr>
        <w:t>SCORing</w:t>
      </w:r>
      <w:proofErr w:type="spellEnd"/>
      <w:r w:rsidRPr="00454DD0">
        <w:rPr>
          <w:rFonts w:ascii="Arial" w:hAnsi="Arial" w:cs="Arial"/>
        </w:rPr>
        <w:t xml:space="preserve"> Feline Allergic Dermatitis (SCORFAD), investigator pruritus score (IPS), and rating of global assessment of improvement (GAI) for assessment. Clinical severity of FASS was evaluated using SCORFAD at baseline and again at 8 weeks after the intervention (post-intervention). The IPS was also measured at both time points. Additionally, the GAI was used to evaluate intervention outcomes at post-intervention. Fecal samples were collected at baseline and post-intervention for microbiota analysis.</w:t>
      </w:r>
    </w:p>
    <w:p w14:paraId="637CC341" w14:textId="584D05A7" w:rsidR="00454DD0" w:rsidRDefault="00454DD0" w:rsidP="00454DD0">
      <w:pPr>
        <w:pStyle w:val="Body"/>
        <w:ind w:firstLineChars="71" w:firstLine="142"/>
        <w:rPr>
          <w:rFonts w:ascii="Arial" w:hAnsi="Arial" w:cs="Arial"/>
        </w:rPr>
      </w:pPr>
      <w:r w:rsidRPr="00454DD0">
        <w:rPr>
          <w:rFonts w:ascii="Arial" w:hAnsi="Arial" w:cs="Arial"/>
        </w:rPr>
        <w:lastRenderedPageBreak/>
        <w:t>Inclusion criteria were the presence of clinical features consistent with FASS, including self-induced alopecia, eosinophilic plaques, miliary dermatitis, or localized pruritus (face, head, or neck). Exclusion criteria included the presence of external parasitic infections, bacterial or fungal infections, and the use of antibiotics, probiotics, or prebiotics within 30 days prior to the study or during the study period.</w:t>
      </w:r>
    </w:p>
    <w:p w14:paraId="5EEF2AAB" w14:textId="77777777" w:rsidR="00454DD0" w:rsidRPr="00454DD0" w:rsidRDefault="00454DD0" w:rsidP="00454DD0">
      <w:pPr>
        <w:pStyle w:val="Body"/>
        <w:rPr>
          <w:rFonts w:ascii="Arial" w:hAnsi="Arial" w:cs="Arial"/>
          <w:b/>
          <w:bCs/>
          <w:sz w:val="22"/>
          <w:szCs w:val="22"/>
        </w:rPr>
      </w:pPr>
      <w:r w:rsidRPr="00454DD0">
        <w:rPr>
          <w:rFonts w:ascii="Arial" w:hAnsi="Arial" w:cs="Arial"/>
          <w:b/>
          <w:bCs/>
          <w:sz w:val="22"/>
          <w:szCs w:val="22"/>
        </w:rPr>
        <w:t>2.4.</w:t>
      </w:r>
      <w:r w:rsidRPr="00454DD0">
        <w:rPr>
          <w:rFonts w:ascii="Arial" w:hAnsi="Arial" w:cs="Arial"/>
          <w:b/>
          <w:bCs/>
          <w:sz w:val="22"/>
          <w:szCs w:val="22"/>
        </w:rPr>
        <w:tab/>
        <w:t>Bioinformatics analysis</w:t>
      </w:r>
    </w:p>
    <w:p w14:paraId="1844DC7B" w14:textId="77777777" w:rsidR="00454DD0" w:rsidRPr="00454DD0" w:rsidRDefault="00454DD0" w:rsidP="00454DD0">
      <w:pPr>
        <w:pStyle w:val="Body"/>
        <w:ind w:firstLineChars="71" w:firstLine="142"/>
        <w:rPr>
          <w:rFonts w:ascii="Arial" w:hAnsi="Arial" w:cs="Arial"/>
        </w:rPr>
      </w:pPr>
      <w:r w:rsidRPr="00454DD0">
        <w:rPr>
          <w:rFonts w:ascii="Arial" w:hAnsi="Arial" w:cs="Arial"/>
        </w:rPr>
        <w:t>The 16S rRNA gene sequence analysis was performed as previously described (Takahashi 2023) using QIIME2 (v2023.5) (</w:t>
      </w:r>
      <w:proofErr w:type="spellStart"/>
      <w:r w:rsidRPr="00454DD0">
        <w:rPr>
          <w:rFonts w:ascii="Arial" w:hAnsi="Arial" w:cs="Arial"/>
        </w:rPr>
        <w:t>Bolyen</w:t>
      </w:r>
      <w:proofErr w:type="spellEnd"/>
      <w:r w:rsidRPr="00454DD0">
        <w:rPr>
          <w:rFonts w:ascii="Arial" w:hAnsi="Arial" w:cs="Arial"/>
        </w:rPr>
        <w:t xml:space="preserve"> 2019). Quality filtering and denoising of sequence data were performed using the DADA2 pipeline (parameters: p-</w:t>
      </w:r>
      <w:proofErr w:type="spellStart"/>
      <w:r w:rsidRPr="00454DD0">
        <w:rPr>
          <w:rFonts w:ascii="Arial" w:hAnsi="Arial" w:cs="Arial"/>
        </w:rPr>
        <w:t>trunc</w:t>
      </w:r>
      <w:proofErr w:type="spellEnd"/>
      <w:r w:rsidRPr="00454DD0">
        <w:rPr>
          <w:rFonts w:ascii="Arial" w:hAnsi="Arial" w:cs="Arial"/>
        </w:rPr>
        <w:t>-</w:t>
      </w:r>
      <w:proofErr w:type="spellStart"/>
      <w:r w:rsidRPr="00454DD0">
        <w:rPr>
          <w:rFonts w:ascii="Arial" w:hAnsi="Arial" w:cs="Arial"/>
        </w:rPr>
        <w:t>len</w:t>
      </w:r>
      <w:proofErr w:type="spellEnd"/>
      <w:r w:rsidRPr="00454DD0">
        <w:rPr>
          <w:rFonts w:ascii="Arial" w:hAnsi="Arial" w:cs="Arial"/>
        </w:rPr>
        <w:t>-f 240 and p-</w:t>
      </w:r>
      <w:proofErr w:type="spellStart"/>
      <w:r w:rsidRPr="00454DD0">
        <w:rPr>
          <w:rFonts w:ascii="Arial" w:hAnsi="Arial" w:cs="Arial"/>
        </w:rPr>
        <w:t>trunc</w:t>
      </w:r>
      <w:proofErr w:type="spellEnd"/>
      <w:r w:rsidRPr="00454DD0">
        <w:rPr>
          <w:rFonts w:ascii="Arial" w:hAnsi="Arial" w:cs="Arial"/>
        </w:rPr>
        <w:t>-</w:t>
      </w:r>
      <w:proofErr w:type="spellStart"/>
      <w:r w:rsidRPr="00454DD0">
        <w:rPr>
          <w:rFonts w:ascii="Arial" w:hAnsi="Arial" w:cs="Arial"/>
        </w:rPr>
        <w:t>len</w:t>
      </w:r>
      <w:proofErr w:type="spellEnd"/>
      <w:r w:rsidRPr="00454DD0">
        <w:rPr>
          <w:rFonts w:ascii="Arial" w:hAnsi="Arial" w:cs="Arial"/>
        </w:rPr>
        <w:t>-r 240) (Callahan 2016). The filtered output sequences were assigned to taxa using the “</w:t>
      </w:r>
      <w:proofErr w:type="spellStart"/>
      <w:r w:rsidRPr="00454DD0">
        <w:rPr>
          <w:rFonts w:ascii="Arial" w:hAnsi="Arial" w:cs="Arial"/>
        </w:rPr>
        <w:t>qiime</w:t>
      </w:r>
      <w:proofErr w:type="spellEnd"/>
      <w:r w:rsidRPr="00454DD0">
        <w:rPr>
          <w:rFonts w:ascii="Arial" w:hAnsi="Arial" w:cs="Arial"/>
        </w:rPr>
        <w:t xml:space="preserve"> feature-classifier classify-</w:t>
      </w:r>
      <w:proofErr w:type="spellStart"/>
      <w:r w:rsidRPr="00454DD0">
        <w:rPr>
          <w:rFonts w:ascii="Arial" w:hAnsi="Arial" w:cs="Arial"/>
        </w:rPr>
        <w:t>sklearn</w:t>
      </w:r>
      <w:proofErr w:type="spellEnd"/>
      <w:r w:rsidRPr="00454DD0">
        <w:rPr>
          <w:rFonts w:ascii="Arial" w:hAnsi="Arial" w:cs="Arial"/>
        </w:rPr>
        <w:t>” command, employing default parameters (</w:t>
      </w:r>
      <w:proofErr w:type="spellStart"/>
      <w:r w:rsidRPr="00454DD0">
        <w:rPr>
          <w:rFonts w:ascii="Arial" w:hAnsi="Arial" w:cs="Arial"/>
        </w:rPr>
        <w:t>Bokulich</w:t>
      </w:r>
      <w:proofErr w:type="spellEnd"/>
      <w:r w:rsidRPr="00454DD0">
        <w:rPr>
          <w:rFonts w:ascii="Arial" w:hAnsi="Arial" w:cs="Arial"/>
        </w:rPr>
        <w:t xml:space="preserve"> 2018). Greengenes2 (v2022.10) was used as the reference database for taxonomic assignments (McDonald 2022). Alpha diversity was calculated, and the principal coordinate analysis (</w:t>
      </w:r>
      <w:proofErr w:type="spellStart"/>
      <w:r w:rsidRPr="00454DD0">
        <w:rPr>
          <w:rFonts w:ascii="Arial" w:hAnsi="Arial" w:cs="Arial"/>
        </w:rPr>
        <w:t>PCoA</w:t>
      </w:r>
      <w:proofErr w:type="spellEnd"/>
      <w:r w:rsidRPr="00454DD0">
        <w:rPr>
          <w:rFonts w:ascii="Arial" w:hAnsi="Arial" w:cs="Arial"/>
        </w:rPr>
        <w:t xml:space="preserve">) of variance with weighted </w:t>
      </w:r>
      <w:proofErr w:type="spellStart"/>
      <w:r w:rsidRPr="00454DD0">
        <w:rPr>
          <w:rFonts w:ascii="Arial" w:hAnsi="Arial" w:cs="Arial"/>
        </w:rPr>
        <w:t>UniFrac</w:t>
      </w:r>
      <w:proofErr w:type="spellEnd"/>
      <w:r w:rsidRPr="00454DD0">
        <w:rPr>
          <w:rFonts w:ascii="Arial" w:hAnsi="Arial" w:cs="Arial"/>
        </w:rPr>
        <w:t xml:space="preserve"> distances was performed using the “</w:t>
      </w:r>
      <w:proofErr w:type="spellStart"/>
      <w:r w:rsidRPr="00454DD0">
        <w:rPr>
          <w:rFonts w:ascii="Arial" w:hAnsi="Arial" w:cs="Arial"/>
        </w:rPr>
        <w:t>qiime</w:t>
      </w:r>
      <w:proofErr w:type="spellEnd"/>
      <w:r w:rsidRPr="00454DD0">
        <w:rPr>
          <w:rFonts w:ascii="Arial" w:hAnsi="Arial" w:cs="Arial"/>
        </w:rPr>
        <w:t xml:space="preserve"> diversity core-metrics-phylogenetic” command. Beta diversity was assessed with weighted </w:t>
      </w:r>
      <w:proofErr w:type="spellStart"/>
      <w:r w:rsidRPr="00454DD0">
        <w:rPr>
          <w:rFonts w:ascii="Arial" w:hAnsi="Arial" w:cs="Arial"/>
        </w:rPr>
        <w:t>UniFrac</w:t>
      </w:r>
      <w:proofErr w:type="spellEnd"/>
      <w:r w:rsidRPr="00454DD0">
        <w:rPr>
          <w:rFonts w:ascii="Arial" w:hAnsi="Arial" w:cs="Arial"/>
        </w:rPr>
        <w:t xml:space="preserve"> distances and the “</w:t>
      </w:r>
      <w:proofErr w:type="spellStart"/>
      <w:r w:rsidRPr="00454DD0">
        <w:rPr>
          <w:rFonts w:ascii="Arial" w:hAnsi="Arial" w:cs="Arial"/>
        </w:rPr>
        <w:t>qiime</w:t>
      </w:r>
      <w:proofErr w:type="spellEnd"/>
      <w:r w:rsidRPr="00454DD0">
        <w:rPr>
          <w:rFonts w:ascii="Arial" w:hAnsi="Arial" w:cs="Arial"/>
        </w:rPr>
        <w:t xml:space="preserve"> diversity beta-group-significance” command.</w:t>
      </w:r>
    </w:p>
    <w:p w14:paraId="24CB25EA" w14:textId="77777777" w:rsidR="00454DD0" w:rsidRPr="00454DD0" w:rsidRDefault="00454DD0" w:rsidP="00454DD0">
      <w:pPr>
        <w:pStyle w:val="Body"/>
        <w:rPr>
          <w:rFonts w:ascii="Arial" w:hAnsi="Arial" w:cs="Arial"/>
          <w:b/>
          <w:bCs/>
          <w:sz w:val="22"/>
          <w:szCs w:val="22"/>
        </w:rPr>
      </w:pPr>
      <w:r w:rsidRPr="00454DD0">
        <w:rPr>
          <w:rFonts w:ascii="Arial" w:hAnsi="Arial" w:cs="Arial"/>
          <w:b/>
          <w:bCs/>
          <w:sz w:val="22"/>
          <w:szCs w:val="22"/>
        </w:rPr>
        <w:t>2.5.</w:t>
      </w:r>
      <w:r w:rsidRPr="00454DD0">
        <w:rPr>
          <w:rFonts w:ascii="Arial" w:hAnsi="Arial" w:cs="Arial"/>
          <w:b/>
          <w:bCs/>
          <w:sz w:val="22"/>
          <w:szCs w:val="22"/>
        </w:rPr>
        <w:tab/>
        <w:t>Statistical analysis</w:t>
      </w:r>
    </w:p>
    <w:p w14:paraId="59E4FC18" w14:textId="207A4393" w:rsidR="00454DD0" w:rsidRDefault="00454DD0" w:rsidP="00454DD0">
      <w:pPr>
        <w:pStyle w:val="Body"/>
        <w:spacing w:after="0"/>
        <w:ind w:firstLineChars="71" w:firstLine="142"/>
        <w:rPr>
          <w:rFonts w:ascii="Arial" w:hAnsi="Arial" w:cs="Arial"/>
        </w:rPr>
      </w:pPr>
      <w:r w:rsidRPr="00454DD0">
        <w:rPr>
          <w:rFonts w:ascii="Arial" w:hAnsi="Arial" w:cs="Arial"/>
        </w:rPr>
        <w:t>Clinical data are presented as mean ± standard deviation (SD). Statistical analyses were performed using Prism 10.4.1 software (GraphPad Software, San Diego, CA, USA). Unpaired t test was employed for comparisons of clinical data. The gut microbiota data at baseline between the Ctrl and FASS groups were analyzed using the Mann–Whitney U test, whereas comparisons between baseline and post-intervention data were conducted using the one-tailed Wilcoxon matched-pairs signed-rank test. Statistical significance was defined as p &lt; 0.05.</w:t>
      </w:r>
    </w:p>
    <w:p w14:paraId="31F3547F" w14:textId="77777777" w:rsidR="00A03B96" w:rsidRDefault="00A03B96" w:rsidP="00441B6F">
      <w:pPr>
        <w:pStyle w:val="Body"/>
        <w:spacing w:after="0"/>
        <w:rPr>
          <w:rFonts w:ascii="Arial" w:hAnsi="Arial" w:cs="Arial"/>
        </w:rPr>
      </w:pPr>
    </w:p>
    <w:p w14:paraId="21F5CED5" w14:textId="77777777" w:rsidR="00790ADA" w:rsidRPr="00FB3A86" w:rsidRDefault="00790ADA" w:rsidP="00441B6F">
      <w:pPr>
        <w:pStyle w:val="Body"/>
        <w:spacing w:after="0"/>
        <w:rPr>
          <w:rFonts w:ascii="Arial" w:hAnsi="Arial" w:cs="Arial"/>
        </w:rPr>
      </w:pPr>
    </w:p>
    <w:p w14:paraId="0D67BC21" w14:textId="5776B63A" w:rsidR="00454DD0" w:rsidRDefault="00000F8F" w:rsidP="00441B6F">
      <w:pPr>
        <w:pStyle w:val="Head1"/>
        <w:spacing w:after="0"/>
        <w:jc w:val="both"/>
        <w:rPr>
          <w:rFonts w:ascii="Arial" w:hAnsi="Arial" w:cs="Arial"/>
          <w:lang w:eastAsia="ja-JP"/>
        </w:rPr>
      </w:pPr>
      <w:r>
        <w:rPr>
          <w:rFonts w:ascii="Arial" w:hAnsi="Arial" w:cs="Arial"/>
        </w:rPr>
        <w:t>3</w:t>
      </w:r>
      <w:r w:rsidR="00902823">
        <w:rPr>
          <w:rFonts w:ascii="Arial" w:hAnsi="Arial" w:cs="Arial"/>
        </w:rPr>
        <w:t xml:space="preserve">. </w:t>
      </w:r>
      <w:r>
        <w:rPr>
          <w:rFonts w:ascii="Arial" w:hAnsi="Arial" w:cs="Arial"/>
        </w:rPr>
        <w:t xml:space="preserve">results </w:t>
      </w:r>
    </w:p>
    <w:p w14:paraId="266367C2" w14:textId="66BD76A9" w:rsidR="00F47BAD" w:rsidRPr="00F47BAD" w:rsidRDefault="00F47BAD" w:rsidP="00F47BAD">
      <w:pPr>
        <w:rPr>
          <w:rFonts w:ascii="Arial" w:hAnsi="Arial" w:cs="Arial"/>
          <w:b/>
          <w:bCs/>
          <w:iCs/>
          <w:sz w:val="22"/>
          <w:szCs w:val="22"/>
        </w:rPr>
      </w:pPr>
      <w:r w:rsidRPr="00F47BAD">
        <w:rPr>
          <w:rFonts w:ascii="Arial" w:hAnsi="Arial" w:cs="Arial"/>
          <w:b/>
          <w:bCs/>
          <w:iCs/>
          <w:sz w:val="22"/>
          <w:szCs w:val="22"/>
        </w:rPr>
        <w:t>3.1.</w:t>
      </w:r>
      <w:r w:rsidRPr="00F47BAD">
        <w:rPr>
          <w:rFonts w:ascii="Arial" w:hAnsi="Arial" w:cs="Arial"/>
          <w:b/>
          <w:bCs/>
          <w:iCs/>
          <w:sz w:val="22"/>
          <w:szCs w:val="22"/>
        </w:rPr>
        <w:tab/>
        <w:t xml:space="preserve">Effects of </w:t>
      </w:r>
      <w:proofErr w:type="spellStart"/>
      <w:r w:rsidRPr="00F47BAD">
        <w:rPr>
          <w:rFonts w:ascii="Arial" w:hAnsi="Arial" w:cs="Arial"/>
          <w:b/>
          <w:bCs/>
          <w:iCs/>
          <w:sz w:val="22"/>
          <w:szCs w:val="22"/>
        </w:rPr>
        <w:t>parasynbiotic</w:t>
      </w:r>
      <w:proofErr w:type="spellEnd"/>
      <w:r w:rsidRPr="00F47BAD">
        <w:rPr>
          <w:rFonts w:ascii="Arial" w:hAnsi="Arial" w:cs="Arial"/>
          <w:b/>
          <w:bCs/>
          <w:iCs/>
          <w:sz w:val="22"/>
          <w:szCs w:val="22"/>
        </w:rPr>
        <w:t xml:space="preserve"> administration on clinical symptoms </w:t>
      </w:r>
    </w:p>
    <w:p w14:paraId="625FD7E2" w14:textId="7D89B14A" w:rsidR="00454DD0" w:rsidRPr="003B2E92" w:rsidRDefault="00454DD0" w:rsidP="00454DD0">
      <w:pPr>
        <w:ind w:firstLineChars="67" w:firstLine="161"/>
        <w:rPr>
          <w:bCs/>
          <w:iCs/>
        </w:rPr>
      </w:pPr>
      <w:r w:rsidRPr="003B2E92">
        <w:rPr>
          <w:bCs/>
          <w:iCs/>
        </w:rPr>
        <w:t xml:space="preserve">We investigated the effects of a </w:t>
      </w:r>
      <w:proofErr w:type="spellStart"/>
      <w:r w:rsidRPr="003B2E92">
        <w:rPr>
          <w:bCs/>
          <w:iCs/>
        </w:rPr>
        <w:t>parasynbiotic</w:t>
      </w:r>
      <w:proofErr w:type="spellEnd"/>
      <w:r w:rsidRPr="003B2E92">
        <w:rPr>
          <w:bCs/>
          <w:iCs/>
        </w:rPr>
        <w:t xml:space="preserve"> containing </w:t>
      </w:r>
      <w:proofErr w:type="spellStart"/>
      <w:r w:rsidRPr="003B2E92">
        <w:rPr>
          <w:bCs/>
          <w:iCs/>
        </w:rPr>
        <w:t>Kes</w:t>
      </w:r>
      <w:proofErr w:type="spellEnd"/>
      <w:r w:rsidRPr="003B2E92">
        <w:rPr>
          <w:bCs/>
          <w:iCs/>
        </w:rPr>
        <w:t xml:space="preserve"> and FM8 on clinical symptoms in cats with FASS. No significant difference in sex distribution (p = 0.5084) was </w:t>
      </w:r>
      <w:r>
        <w:rPr>
          <w:bCs/>
          <w:iCs/>
        </w:rPr>
        <w:t>observed</w:t>
      </w:r>
      <w:r w:rsidRPr="003B2E92">
        <w:rPr>
          <w:bCs/>
          <w:iCs/>
        </w:rPr>
        <w:t xml:space="preserve"> between the FASS and Ctrl groups, while a slight trend was observed in age (p = 0.0928). </w:t>
      </w:r>
      <w:r w:rsidRPr="00591288">
        <w:t xml:space="preserve">Moreover, significantly more cats in the FASS group were receiving concomitant medication </w:t>
      </w:r>
      <w:r>
        <w:t>compared to that of</w:t>
      </w:r>
      <w:r w:rsidRPr="00591288">
        <w:t xml:space="preserve"> controls (p = 0.0408) (Table 1).</w:t>
      </w:r>
    </w:p>
    <w:p w14:paraId="61B9722E" w14:textId="77777777" w:rsidR="00F47BAD" w:rsidRDefault="00F47BAD" w:rsidP="00F47BAD">
      <w:pPr>
        <w:rPr>
          <w:rFonts w:ascii="Arial" w:hAnsi="Arial" w:cs="Arial"/>
          <w:b/>
          <w:bCs/>
          <w:iCs/>
        </w:rPr>
      </w:pPr>
    </w:p>
    <w:p w14:paraId="6AAABED6" w14:textId="6EE852B2" w:rsidR="00F47BAD" w:rsidRDefault="00F47BAD" w:rsidP="00F47BAD">
      <w:pPr>
        <w:rPr>
          <w:rFonts w:ascii="Arial" w:hAnsi="Arial" w:cs="Arial"/>
          <w:b/>
          <w:bCs/>
          <w:iCs/>
        </w:rPr>
      </w:pPr>
      <w:r w:rsidRPr="00F47BAD">
        <w:rPr>
          <w:rFonts w:ascii="Arial" w:hAnsi="Arial" w:cs="Arial"/>
          <w:b/>
          <w:bCs/>
          <w:iCs/>
        </w:rPr>
        <w:t>Table 1. Profiles of participating cats.</w:t>
      </w:r>
    </w:p>
    <w:tbl>
      <w:tblPr>
        <w:tblW w:w="9639" w:type="dxa"/>
        <w:jc w:val="center"/>
        <w:tblCellMar>
          <w:left w:w="99" w:type="dxa"/>
          <w:right w:w="99" w:type="dxa"/>
        </w:tblCellMar>
        <w:tblLook w:val="04A0" w:firstRow="1" w:lastRow="0" w:firstColumn="1" w:lastColumn="0" w:noHBand="0" w:noVBand="1"/>
      </w:tblPr>
      <w:tblGrid>
        <w:gridCol w:w="1266"/>
        <w:gridCol w:w="2031"/>
        <w:gridCol w:w="1265"/>
        <w:gridCol w:w="1246"/>
        <w:gridCol w:w="1265"/>
        <w:gridCol w:w="2566"/>
      </w:tblGrid>
      <w:tr w:rsidR="00F47BAD" w14:paraId="0A5C0A65" w14:textId="77777777">
        <w:trPr>
          <w:trHeight w:val="360"/>
          <w:jc w:val="center"/>
        </w:trPr>
        <w:tc>
          <w:tcPr>
            <w:tcW w:w="1266" w:type="dxa"/>
            <w:tcBorders>
              <w:top w:val="single" w:sz="4" w:space="0" w:color="auto"/>
              <w:left w:val="nil"/>
              <w:bottom w:val="single" w:sz="4" w:space="0" w:color="auto"/>
              <w:right w:val="nil"/>
            </w:tcBorders>
            <w:noWrap/>
            <w:vAlign w:val="bottom"/>
            <w:hideMark/>
          </w:tcPr>
          <w:p w14:paraId="0967986B" w14:textId="77777777" w:rsidR="00F47BAD" w:rsidRPr="003B2E92" w:rsidRDefault="00F47BAD">
            <w:pPr>
              <w:jc w:val="center"/>
              <w:rPr>
                <w:rFonts w:eastAsia="Yu Gothic" w:cstheme="minorHAnsi"/>
                <w:b/>
                <w:bCs/>
                <w:color w:val="000000"/>
                <w:szCs w:val="21"/>
              </w:rPr>
            </w:pPr>
            <w:r w:rsidRPr="003B2E92">
              <w:rPr>
                <w:rFonts w:eastAsia="Yu Gothic" w:cstheme="minorHAnsi"/>
                <w:b/>
                <w:bCs/>
                <w:color w:val="000000"/>
                <w:szCs w:val="21"/>
              </w:rPr>
              <w:t>ID No</w:t>
            </w:r>
          </w:p>
        </w:tc>
        <w:tc>
          <w:tcPr>
            <w:tcW w:w="2031" w:type="dxa"/>
            <w:tcBorders>
              <w:top w:val="single" w:sz="4" w:space="0" w:color="auto"/>
              <w:left w:val="nil"/>
              <w:bottom w:val="single" w:sz="4" w:space="0" w:color="auto"/>
              <w:right w:val="nil"/>
            </w:tcBorders>
            <w:noWrap/>
            <w:vAlign w:val="bottom"/>
            <w:hideMark/>
          </w:tcPr>
          <w:p w14:paraId="664EF6E4" w14:textId="77777777" w:rsidR="00F47BAD" w:rsidRPr="003B2E92" w:rsidRDefault="00F47BAD">
            <w:pPr>
              <w:jc w:val="center"/>
              <w:rPr>
                <w:rFonts w:eastAsia="Yu Gothic" w:cstheme="minorHAnsi"/>
                <w:b/>
                <w:bCs/>
                <w:color w:val="000000"/>
                <w:szCs w:val="21"/>
              </w:rPr>
            </w:pPr>
            <w:r w:rsidRPr="003B2E92">
              <w:rPr>
                <w:rFonts w:eastAsia="Yu Gothic" w:cstheme="minorHAnsi"/>
                <w:b/>
                <w:bCs/>
                <w:color w:val="000000"/>
                <w:szCs w:val="21"/>
              </w:rPr>
              <w:t>Breeds</w:t>
            </w:r>
          </w:p>
        </w:tc>
        <w:tc>
          <w:tcPr>
            <w:tcW w:w="1265" w:type="dxa"/>
            <w:tcBorders>
              <w:top w:val="single" w:sz="4" w:space="0" w:color="auto"/>
              <w:left w:val="nil"/>
              <w:bottom w:val="single" w:sz="4" w:space="0" w:color="auto"/>
              <w:right w:val="nil"/>
            </w:tcBorders>
            <w:noWrap/>
            <w:vAlign w:val="bottom"/>
            <w:hideMark/>
          </w:tcPr>
          <w:p w14:paraId="7E62879A" w14:textId="77777777" w:rsidR="00F47BAD" w:rsidRPr="003B2E92" w:rsidRDefault="00F47BAD">
            <w:pPr>
              <w:jc w:val="center"/>
              <w:rPr>
                <w:rFonts w:eastAsia="Yu Gothic" w:cstheme="minorHAnsi"/>
                <w:b/>
                <w:bCs/>
                <w:color w:val="000000"/>
                <w:szCs w:val="21"/>
              </w:rPr>
            </w:pPr>
            <w:r w:rsidRPr="003B2E92">
              <w:rPr>
                <w:rFonts w:eastAsia="Yu Gothic" w:cstheme="minorHAnsi"/>
                <w:b/>
                <w:bCs/>
                <w:color w:val="000000"/>
                <w:szCs w:val="21"/>
              </w:rPr>
              <w:t>Group</w:t>
            </w:r>
          </w:p>
        </w:tc>
        <w:tc>
          <w:tcPr>
            <w:tcW w:w="1246" w:type="dxa"/>
            <w:tcBorders>
              <w:top w:val="single" w:sz="4" w:space="0" w:color="auto"/>
              <w:left w:val="nil"/>
              <w:bottom w:val="single" w:sz="4" w:space="0" w:color="auto"/>
              <w:right w:val="nil"/>
            </w:tcBorders>
            <w:noWrap/>
            <w:vAlign w:val="bottom"/>
            <w:hideMark/>
          </w:tcPr>
          <w:p w14:paraId="24F92C0A" w14:textId="77777777" w:rsidR="00F47BAD" w:rsidRPr="003B2E92" w:rsidRDefault="00F47BAD">
            <w:pPr>
              <w:jc w:val="center"/>
              <w:rPr>
                <w:rFonts w:eastAsia="Yu Gothic" w:cstheme="minorHAnsi"/>
                <w:b/>
                <w:bCs/>
                <w:color w:val="000000"/>
                <w:szCs w:val="21"/>
              </w:rPr>
            </w:pPr>
            <w:r w:rsidRPr="003B2E92">
              <w:rPr>
                <w:rFonts w:eastAsia="Yu Gothic" w:cstheme="minorHAnsi"/>
                <w:b/>
                <w:bCs/>
                <w:color w:val="000000"/>
                <w:szCs w:val="21"/>
              </w:rPr>
              <w:t>Sex</w:t>
            </w:r>
          </w:p>
        </w:tc>
        <w:tc>
          <w:tcPr>
            <w:tcW w:w="1265" w:type="dxa"/>
            <w:tcBorders>
              <w:top w:val="single" w:sz="4" w:space="0" w:color="auto"/>
              <w:left w:val="nil"/>
              <w:bottom w:val="single" w:sz="4" w:space="0" w:color="auto"/>
              <w:right w:val="nil"/>
            </w:tcBorders>
            <w:noWrap/>
            <w:vAlign w:val="bottom"/>
            <w:hideMark/>
          </w:tcPr>
          <w:p w14:paraId="061B3050" w14:textId="77777777" w:rsidR="00F47BAD" w:rsidRPr="003B2E92" w:rsidRDefault="00F47BAD">
            <w:pPr>
              <w:jc w:val="center"/>
              <w:rPr>
                <w:rFonts w:eastAsia="Yu Gothic" w:cstheme="minorHAnsi"/>
                <w:b/>
                <w:bCs/>
                <w:color w:val="000000"/>
                <w:szCs w:val="21"/>
              </w:rPr>
            </w:pPr>
            <w:r w:rsidRPr="003B2E92">
              <w:rPr>
                <w:rFonts w:eastAsia="Yu Gothic" w:cstheme="minorHAnsi"/>
                <w:b/>
                <w:bCs/>
                <w:color w:val="000000"/>
                <w:szCs w:val="21"/>
              </w:rPr>
              <w:t>Age</w:t>
            </w:r>
          </w:p>
        </w:tc>
        <w:tc>
          <w:tcPr>
            <w:tcW w:w="2566" w:type="dxa"/>
            <w:tcBorders>
              <w:top w:val="single" w:sz="4" w:space="0" w:color="auto"/>
              <w:left w:val="nil"/>
              <w:bottom w:val="single" w:sz="4" w:space="0" w:color="auto"/>
              <w:right w:val="nil"/>
            </w:tcBorders>
          </w:tcPr>
          <w:p w14:paraId="5C1914C6" w14:textId="77777777" w:rsidR="00F47BAD" w:rsidRPr="003B2E92" w:rsidRDefault="00F47BAD">
            <w:pPr>
              <w:jc w:val="center"/>
              <w:rPr>
                <w:rFonts w:eastAsia="Yu Gothic" w:cstheme="minorHAnsi"/>
                <w:b/>
                <w:bCs/>
                <w:color w:val="000000"/>
              </w:rPr>
            </w:pPr>
          </w:p>
          <w:p w14:paraId="493ED41C" w14:textId="77777777" w:rsidR="00F47BAD" w:rsidRPr="003B2E92" w:rsidRDefault="00F47BAD">
            <w:pPr>
              <w:jc w:val="center"/>
              <w:rPr>
                <w:rFonts w:eastAsia="Yu Gothic" w:cstheme="minorHAnsi"/>
                <w:b/>
                <w:bCs/>
                <w:color w:val="000000"/>
              </w:rPr>
            </w:pPr>
            <w:r w:rsidRPr="00591288">
              <w:rPr>
                <w:rFonts w:eastAsia="Yu Gothic" w:cstheme="minorHAnsi"/>
                <w:b/>
                <w:bCs/>
                <w:color w:val="000000"/>
              </w:rPr>
              <w:t>Medication</w:t>
            </w:r>
          </w:p>
        </w:tc>
      </w:tr>
      <w:tr w:rsidR="00F47BAD" w14:paraId="1B59A15E" w14:textId="77777777">
        <w:trPr>
          <w:trHeight w:val="360"/>
          <w:jc w:val="center"/>
        </w:trPr>
        <w:tc>
          <w:tcPr>
            <w:tcW w:w="1266" w:type="dxa"/>
            <w:tcBorders>
              <w:top w:val="nil"/>
              <w:left w:val="nil"/>
              <w:bottom w:val="nil"/>
              <w:right w:val="nil"/>
            </w:tcBorders>
            <w:noWrap/>
            <w:vAlign w:val="bottom"/>
            <w:hideMark/>
          </w:tcPr>
          <w:p w14:paraId="08077E77"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w:t>
            </w:r>
          </w:p>
        </w:tc>
        <w:tc>
          <w:tcPr>
            <w:tcW w:w="2031" w:type="dxa"/>
            <w:tcBorders>
              <w:top w:val="nil"/>
              <w:left w:val="nil"/>
              <w:bottom w:val="nil"/>
              <w:right w:val="nil"/>
            </w:tcBorders>
            <w:noWrap/>
            <w:vAlign w:val="bottom"/>
            <w:hideMark/>
          </w:tcPr>
          <w:p w14:paraId="228B506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5599647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78AF7D78"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7F6D61CC"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13</w:t>
            </w:r>
          </w:p>
        </w:tc>
        <w:tc>
          <w:tcPr>
            <w:tcW w:w="2566" w:type="dxa"/>
            <w:tcBorders>
              <w:top w:val="nil"/>
              <w:left w:val="nil"/>
              <w:bottom w:val="nil"/>
              <w:right w:val="nil"/>
            </w:tcBorders>
          </w:tcPr>
          <w:p w14:paraId="224DBD08" w14:textId="77777777" w:rsidR="00F47BAD" w:rsidRPr="00591288" w:rsidRDefault="00F47BAD">
            <w:pPr>
              <w:jc w:val="center"/>
              <w:rPr>
                <w:rFonts w:eastAsia="Yu Gothic" w:cstheme="minorHAnsi"/>
                <w:color w:val="000000"/>
              </w:rPr>
            </w:pPr>
            <w:r w:rsidRPr="00591288">
              <w:rPr>
                <w:rFonts w:eastAsia="Yu Gothic" w:cstheme="minorHAnsi"/>
                <w:color w:val="000000"/>
              </w:rPr>
              <w:t>Prednisolone/</w:t>
            </w:r>
            <w:proofErr w:type="spellStart"/>
            <w:r w:rsidRPr="00591288">
              <w:rPr>
                <w:rFonts w:eastAsia="Yu Gothic" w:cstheme="minorHAnsi"/>
                <w:color w:val="000000"/>
              </w:rPr>
              <w:t>Apoquel</w:t>
            </w:r>
            <w:proofErr w:type="spellEnd"/>
          </w:p>
        </w:tc>
      </w:tr>
      <w:tr w:rsidR="00F47BAD" w14:paraId="7D3A577D" w14:textId="77777777">
        <w:trPr>
          <w:trHeight w:val="360"/>
          <w:jc w:val="center"/>
        </w:trPr>
        <w:tc>
          <w:tcPr>
            <w:tcW w:w="1266" w:type="dxa"/>
            <w:tcBorders>
              <w:top w:val="nil"/>
              <w:left w:val="nil"/>
              <w:bottom w:val="nil"/>
              <w:right w:val="nil"/>
            </w:tcBorders>
            <w:noWrap/>
            <w:vAlign w:val="bottom"/>
            <w:hideMark/>
          </w:tcPr>
          <w:p w14:paraId="5890553C"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2</w:t>
            </w:r>
          </w:p>
        </w:tc>
        <w:tc>
          <w:tcPr>
            <w:tcW w:w="2031" w:type="dxa"/>
            <w:tcBorders>
              <w:top w:val="nil"/>
              <w:left w:val="nil"/>
              <w:bottom w:val="nil"/>
              <w:right w:val="nil"/>
            </w:tcBorders>
            <w:noWrap/>
            <w:vAlign w:val="bottom"/>
            <w:hideMark/>
          </w:tcPr>
          <w:p w14:paraId="3422C09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Japanese cat</w:t>
            </w:r>
          </w:p>
        </w:tc>
        <w:tc>
          <w:tcPr>
            <w:tcW w:w="1265" w:type="dxa"/>
            <w:tcBorders>
              <w:top w:val="nil"/>
              <w:left w:val="nil"/>
              <w:bottom w:val="nil"/>
              <w:right w:val="nil"/>
            </w:tcBorders>
            <w:noWrap/>
            <w:vAlign w:val="bottom"/>
            <w:hideMark/>
          </w:tcPr>
          <w:p w14:paraId="3442C92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012CB445"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2B0C6447"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8</w:t>
            </w:r>
          </w:p>
        </w:tc>
        <w:tc>
          <w:tcPr>
            <w:tcW w:w="2566" w:type="dxa"/>
            <w:tcBorders>
              <w:top w:val="nil"/>
              <w:left w:val="nil"/>
              <w:bottom w:val="nil"/>
              <w:right w:val="nil"/>
            </w:tcBorders>
          </w:tcPr>
          <w:p w14:paraId="156FCDE4" w14:textId="77777777" w:rsidR="00F47BAD" w:rsidRPr="00591288" w:rsidRDefault="00F47BAD">
            <w:pPr>
              <w:jc w:val="center"/>
              <w:rPr>
                <w:rFonts w:eastAsia="Yu Gothic" w:cstheme="minorHAnsi"/>
                <w:color w:val="000000"/>
              </w:rPr>
            </w:pPr>
            <w:r w:rsidRPr="00591288">
              <w:rPr>
                <w:rFonts w:eastAsia="Yu Gothic" w:cstheme="minorHAnsi"/>
                <w:color w:val="000000"/>
              </w:rPr>
              <w:t>Oclacitinib</w:t>
            </w:r>
          </w:p>
        </w:tc>
      </w:tr>
      <w:tr w:rsidR="00F47BAD" w14:paraId="1D1E77A9" w14:textId="77777777">
        <w:trPr>
          <w:trHeight w:val="360"/>
          <w:jc w:val="center"/>
        </w:trPr>
        <w:tc>
          <w:tcPr>
            <w:tcW w:w="1266" w:type="dxa"/>
            <w:tcBorders>
              <w:top w:val="nil"/>
              <w:left w:val="nil"/>
              <w:bottom w:val="nil"/>
              <w:right w:val="nil"/>
            </w:tcBorders>
            <w:noWrap/>
            <w:vAlign w:val="bottom"/>
            <w:hideMark/>
          </w:tcPr>
          <w:p w14:paraId="423B4CA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3</w:t>
            </w:r>
          </w:p>
        </w:tc>
        <w:tc>
          <w:tcPr>
            <w:tcW w:w="2031" w:type="dxa"/>
            <w:tcBorders>
              <w:top w:val="nil"/>
              <w:left w:val="nil"/>
              <w:bottom w:val="nil"/>
              <w:right w:val="nil"/>
            </w:tcBorders>
            <w:noWrap/>
            <w:vAlign w:val="bottom"/>
            <w:hideMark/>
          </w:tcPr>
          <w:p w14:paraId="77F9B7CD"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420D38B2"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1044DCDC"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3CD98F61"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4</w:t>
            </w:r>
          </w:p>
        </w:tc>
        <w:tc>
          <w:tcPr>
            <w:tcW w:w="2566" w:type="dxa"/>
            <w:tcBorders>
              <w:top w:val="nil"/>
              <w:left w:val="nil"/>
              <w:bottom w:val="nil"/>
              <w:right w:val="nil"/>
            </w:tcBorders>
          </w:tcPr>
          <w:p w14:paraId="015E6392" w14:textId="77777777" w:rsidR="00F47BAD" w:rsidRPr="00591288" w:rsidRDefault="00F47BAD">
            <w:pPr>
              <w:jc w:val="center"/>
              <w:rPr>
                <w:rFonts w:eastAsia="Yu Gothic" w:cstheme="minorHAnsi"/>
                <w:color w:val="000000"/>
              </w:rPr>
            </w:pPr>
            <w:r w:rsidRPr="00591288">
              <w:rPr>
                <w:rFonts w:eastAsia="Yu Gothic" w:cstheme="minorHAnsi"/>
                <w:color w:val="000000"/>
              </w:rPr>
              <w:t>Prednisolone/</w:t>
            </w:r>
            <w:proofErr w:type="spellStart"/>
            <w:r w:rsidRPr="00591288">
              <w:rPr>
                <w:rFonts w:eastAsia="Yu Gothic" w:cstheme="minorHAnsi"/>
                <w:color w:val="000000"/>
              </w:rPr>
              <w:t>Apoquel</w:t>
            </w:r>
            <w:proofErr w:type="spellEnd"/>
          </w:p>
        </w:tc>
      </w:tr>
      <w:tr w:rsidR="00F47BAD" w14:paraId="083CA0DB" w14:textId="77777777">
        <w:trPr>
          <w:trHeight w:val="360"/>
          <w:jc w:val="center"/>
        </w:trPr>
        <w:tc>
          <w:tcPr>
            <w:tcW w:w="1266" w:type="dxa"/>
            <w:tcBorders>
              <w:top w:val="nil"/>
              <w:left w:val="nil"/>
              <w:bottom w:val="nil"/>
              <w:right w:val="nil"/>
            </w:tcBorders>
            <w:noWrap/>
            <w:vAlign w:val="bottom"/>
            <w:hideMark/>
          </w:tcPr>
          <w:p w14:paraId="34E15AE6"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4</w:t>
            </w:r>
          </w:p>
        </w:tc>
        <w:tc>
          <w:tcPr>
            <w:tcW w:w="2031" w:type="dxa"/>
            <w:tcBorders>
              <w:top w:val="nil"/>
              <w:left w:val="nil"/>
              <w:bottom w:val="nil"/>
              <w:right w:val="nil"/>
            </w:tcBorders>
            <w:noWrap/>
            <w:vAlign w:val="bottom"/>
            <w:hideMark/>
          </w:tcPr>
          <w:p w14:paraId="4468F9F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American Shorthair</w:t>
            </w:r>
          </w:p>
        </w:tc>
        <w:tc>
          <w:tcPr>
            <w:tcW w:w="1265" w:type="dxa"/>
            <w:tcBorders>
              <w:top w:val="nil"/>
              <w:left w:val="nil"/>
              <w:bottom w:val="nil"/>
              <w:right w:val="nil"/>
            </w:tcBorders>
            <w:noWrap/>
            <w:vAlign w:val="bottom"/>
            <w:hideMark/>
          </w:tcPr>
          <w:p w14:paraId="0A4B4B99"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059FDEF0"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6138530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7</w:t>
            </w:r>
          </w:p>
        </w:tc>
        <w:tc>
          <w:tcPr>
            <w:tcW w:w="2566" w:type="dxa"/>
            <w:tcBorders>
              <w:top w:val="nil"/>
              <w:left w:val="nil"/>
              <w:bottom w:val="nil"/>
              <w:right w:val="nil"/>
            </w:tcBorders>
          </w:tcPr>
          <w:p w14:paraId="48D7574A" w14:textId="77777777" w:rsidR="00F47BAD" w:rsidRPr="00591288" w:rsidRDefault="00F47BAD">
            <w:pPr>
              <w:jc w:val="center"/>
              <w:rPr>
                <w:rFonts w:eastAsia="Yu Gothic" w:cstheme="minorHAnsi"/>
                <w:color w:val="000000"/>
              </w:rPr>
            </w:pPr>
            <w:r w:rsidRPr="00591288">
              <w:rPr>
                <w:rFonts w:eastAsia="Yu Gothic" w:cstheme="minorHAnsi"/>
                <w:color w:val="000000"/>
              </w:rPr>
              <w:t>Oclacitinib</w:t>
            </w:r>
          </w:p>
        </w:tc>
      </w:tr>
      <w:tr w:rsidR="00F47BAD" w14:paraId="62CA36E5" w14:textId="77777777">
        <w:trPr>
          <w:trHeight w:val="360"/>
          <w:jc w:val="center"/>
        </w:trPr>
        <w:tc>
          <w:tcPr>
            <w:tcW w:w="1266" w:type="dxa"/>
            <w:tcBorders>
              <w:top w:val="nil"/>
              <w:left w:val="nil"/>
              <w:bottom w:val="nil"/>
              <w:right w:val="nil"/>
            </w:tcBorders>
            <w:noWrap/>
            <w:vAlign w:val="bottom"/>
            <w:hideMark/>
          </w:tcPr>
          <w:p w14:paraId="18F3A569"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lastRenderedPageBreak/>
              <w:t>5</w:t>
            </w:r>
          </w:p>
        </w:tc>
        <w:tc>
          <w:tcPr>
            <w:tcW w:w="2031" w:type="dxa"/>
            <w:tcBorders>
              <w:top w:val="nil"/>
              <w:left w:val="nil"/>
              <w:bottom w:val="nil"/>
              <w:right w:val="nil"/>
            </w:tcBorders>
            <w:noWrap/>
            <w:vAlign w:val="bottom"/>
            <w:hideMark/>
          </w:tcPr>
          <w:p w14:paraId="561D7B4B"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Japanese cat</w:t>
            </w:r>
          </w:p>
        </w:tc>
        <w:tc>
          <w:tcPr>
            <w:tcW w:w="1265" w:type="dxa"/>
            <w:tcBorders>
              <w:top w:val="nil"/>
              <w:left w:val="nil"/>
              <w:bottom w:val="nil"/>
              <w:right w:val="nil"/>
            </w:tcBorders>
            <w:noWrap/>
            <w:vAlign w:val="bottom"/>
            <w:hideMark/>
          </w:tcPr>
          <w:p w14:paraId="440FD765"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2EC70DCB"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2568DEE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3</w:t>
            </w:r>
          </w:p>
        </w:tc>
        <w:tc>
          <w:tcPr>
            <w:tcW w:w="2566" w:type="dxa"/>
            <w:tcBorders>
              <w:top w:val="nil"/>
              <w:left w:val="nil"/>
              <w:bottom w:val="nil"/>
              <w:right w:val="nil"/>
            </w:tcBorders>
          </w:tcPr>
          <w:p w14:paraId="433BA8DE"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44D30512" w14:textId="77777777">
        <w:trPr>
          <w:trHeight w:val="360"/>
          <w:jc w:val="center"/>
        </w:trPr>
        <w:tc>
          <w:tcPr>
            <w:tcW w:w="1266" w:type="dxa"/>
            <w:tcBorders>
              <w:top w:val="nil"/>
              <w:left w:val="nil"/>
              <w:bottom w:val="nil"/>
              <w:right w:val="nil"/>
            </w:tcBorders>
            <w:noWrap/>
            <w:vAlign w:val="bottom"/>
            <w:hideMark/>
          </w:tcPr>
          <w:p w14:paraId="02A8DEC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6</w:t>
            </w:r>
          </w:p>
        </w:tc>
        <w:tc>
          <w:tcPr>
            <w:tcW w:w="2031" w:type="dxa"/>
            <w:tcBorders>
              <w:top w:val="nil"/>
              <w:left w:val="nil"/>
              <w:bottom w:val="nil"/>
              <w:right w:val="nil"/>
            </w:tcBorders>
            <w:noWrap/>
            <w:vAlign w:val="bottom"/>
            <w:hideMark/>
          </w:tcPr>
          <w:p w14:paraId="2376A41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Japanese cat</w:t>
            </w:r>
          </w:p>
        </w:tc>
        <w:tc>
          <w:tcPr>
            <w:tcW w:w="1265" w:type="dxa"/>
            <w:tcBorders>
              <w:top w:val="nil"/>
              <w:left w:val="nil"/>
              <w:bottom w:val="nil"/>
              <w:right w:val="nil"/>
            </w:tcBorders>
            <w:noWrap/>
            <w:vAlign w:val="bottom"/>
            <w:hideMark/>
          </w:tcPr>
          <w:p w14:paraId="1981407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0E925A91"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1FA91789"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14</w:t>
            </w:r>
          </w:p>
        </w:tc>
        <w:tc>
          <w:tcPr>
            <w:tcW w:w="2566" w:type="dxa"/>
            <w:tcBorders>
              <w:top w:val="nil"/>
              <w:left w:val="nil"/>
              <w:bottom w:val="nil"/>
              <w:right w:val="nil"/>
            </w:tcBorders>
          </w:tcPr>
          <w:p w14:paraId="34F8B8B7"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20FA550C" w14:textId="77777777">
        <w:trPr>
          <w:trHeight w:val="360"/>
          <w:jc w:val="center"/>
        </w:trPr>
        <w:tc>
          <w:tcPr>
            <w:tcW w:w="1266" w:type="dxa"/>
            <w:tcBorders>
              <w:top w:val="nil"/>
              <w:left w:val="nil"/>
              <w:bottom w:val="nil"/>
              <w:right w:val="nil"/>
            </w:tcBorders>
            <w:noWrap/>
            <w:vAlign w:val="bottom"/>
            <w:hideMark/>
          </w:tcPr>
          <w:p w14:paraId="6E764D0B"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7</w:t>
            </w:r>
          </w:p>
        </w:tc>
        <w:tc>
          <w:tcPr>
            <w:tcW w:w="2031" w:type="dxa"/>
            <w:tcBorders>
              <w:top w:val="nil"/>
              <w:left w:val="nil"/>
              <w:bottom w:val="nil"/>
              <w:right w:val="nil"/>
            </w:tcBorders>
            <w:noWrap/>
            <w:vAlign w:val="bottom"/>
            <w:hideMark/>
          </w:tcPr>
          <w:p w14:paraId="4B76801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American Shorthair</w:t>
            </w:r>
          </w:p>
        </w:tc>
        <w:tc>
          <w:tcPr>
            <w:tcW w:w="1265" w:type="dxa"/>
            <w:tcBorders>
              <w:top w:val="nil"/>
              <w:left w:val="nil"/>
              <w:bottom w:val="nil"/>
              <w:right w:val="nil"/>
            </w:tcBorders>
            <w:noWrap/>
            <w:vAlign w:val="bottom"/>
            <w:hideMark/>
          </w:tcPr>
          <w:p w14:paraId="1C1D4ED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2B678A4B"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3E312B7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8</w:t>
            </w:r>
          </w:p>
        </w:tc>
        <w:tc>
          <w:tcPr>
            <w:tcW w:w="2566" w:type="dxa"/>
            <w:tcBorders>
              <w:top w:val="nil"/>
              <w:left w:val="nil"/>
              <w:bottom w:val="nil"/>
              <w:right w:val="nil"/>
            </w:tcBorders>
          </w:tcPr>
          <w:p w14:paraId="7F5CAA33" w14:textId="77777777" w:rsidR="00F47BAD" w:rsidRPr="00591288" w:rsidRDefault="00F47BAD">
            <w:pPr>
              <w:jc w:val="center"/>
              <w:rPr>
                <w:rFonts w:eastAsia="Yu Gothic" w:cstheme="minorHAnsi"/>
                <w:color w:val="000000"/>
              </w:rPr>
            </w:pPr>
            <w:r w:rsidRPr="00591288">
              <w:rPr>
                <w:rFonts w:eastAsia="Yu Gothic" w:cstheme="minorHAnsi"/>
                <w:color w:val="000000"/>
              </w:rPr>
              <w:t>Prednisone</w:t>
            </w:r>
          </w:p>
        </w:tc>
      </w:tr>
      <w:tr w:rsidR="00F47BAD" w14:paraId="6D5285EA" w14:textId="77777777">
        <w:trPr>
          <w:trHeight w:val="360"/>
          <w:jc w:val="center"/>
        </w:trPr>
        <w:tc>
          <w:tcPr>
            <w:tcW w:w="1266" w:type="dxa"/>
            <w:tcBorders>
              <w:top w:val="nil"/>
              <w:left w:val="nil"/>
              <w:bottom w:val="nil"/>
              <w:right w:val="nil"/>
            </w:tcBorders>
            <w:noWrap/>
            <w:vAlign w:val="bottom"/>
            <w:hideMark/>
          </w:tcPr>
          <w:p w14:paraId="3E9D843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8</w:t>
            </w:r>
          </w:p>
        </w:tc>
        <w:tc>
          <w:tcPr>
            <w:tcW w:w="2031" w:type="dxa"/>
            <w:tcBorders>
              <w:top w:val="nil"/>
              <w:left w:val="nil"/>
              <w:bottom w:val="nil"/>
              <w:right w:val="nil"/>
            </w:tcBorders>
            <w:noWrap/>
            <w:vAlign w:val="bottom"/>
            <w:hideMark/>
          </w:tcPr>
          <w:p w14:paraId="3BE5865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6F60CF4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6FFD2F7C"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5F138D9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4</w:t>
            </w:r>
          </w:p>
        </w:tc>
        <w:tc>
          <w:tcPr>
            <w:tcW w:w="2566" w:type="dxa"/>
            <w:tcBorders>
              <w:top w:val="nil"/>
              <w:left w:val="nil"/>
              <w:bottom w:val="nil"/>
              <w:right w:val="nil"/>
            </w:tcBorders>
          </w:tcPr>
          <w:p w14:paraId="0C2B1F0A" w14:textId="77777777" w:rsidR="00F47BAD" w:rsidRPr="00591288" w:rsidRDefault="00F47BAD">
            <w:pPr>
              <w:jc w:val="center"/>
              <w:rPr>
                <w:rFonts w:eastAsia="Yu Gothic" w:cstheme="minorHAnsi"/>
                <w:color w:val="000000"/>
              </w:rPr>
            </w:pPr>
            <w:r w:rsidRPr="00591288">
              <w:rPr>
                <w:rFonts w:eastAsia="Yu Gothic" w:cstheme="minorHAnsi"/>
                <w:color w:val="000000"/>
              </w:rPr>
              <w:t>Prednisone</w:t>
            </w:r>
          </w:p>
        </w:tc>
      </w:tr>
      <w:tr w:rsidR="00F47BAD" w14:paraId="74784B62" w14:textId="77777777">
        <w:trPr>
          <w:trHeight w:val="360"/>
          <w:jc w:val="center"/>
        </w:trPr>
        <w:tc>
          <w:tcPr>
            <w:tcW w:w="1266" w:type="dxa"/>
            <w:tcBorders>
              <w:top w:val="nil"/>
              <w:left w:val="nil"/>
              <w:bottom w:val="nil"/>
              <w:right w:val="nil"/>
            </w:tcBorders>
            <w:noWrap/>
            <w:vAlign w:val="bottom"/>
            <w:hideMark/>
          </w:tcPr>
          <w:p w14:paraId="11E8668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9</w:t>
            </w:r>
          </w:p>
        </w:tc>
        <w:tc>
          <w:tcPr>
            <w:tcW w:w="2031" w:type="dxa"/>
            <w:tcBorders>
              <w:top w:val="nil"/>
              <w:left w:val="nil"/>
              <w:bottom w:val="nil"/>
              <w:right w:val="nil"/>
            </w:tcBorders>
            <w:noWrap/>
            <w:vAlign w:val="bottom"/>
            <w:hideMark/>
          </w:tcPr>
          <w:p w14:paraId="1BB33BD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Japanese cat</w:t>
            </w:r>
          </w:p>
        </w:tc>
        <w:tc>
          <w:tcPr>
            <w:tcW w:w="1265" w:type="dxa"/>
            <w:tcBorders>
              <w:top w:val="nil"/>
              <w:left w:val="nil"/>
              <w:bottom w:val="nil"/>
              <w:right w:val="nil"/>
            </w:tcBorders>
            <w:noWrap/>
            <w:vAlign w:val="bottom"/>
            <w:hideMark/>
          </w:tcPr>
          <w:p w14:paraId="460C64CD"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6483EC4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340D526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4</w:t>
            </w:r>
          </w:p>
        </w:tc>
        <w:tc>
          <w:tcPr>
            <w:tcW w:w="2566" w:type="dxa"/>
            <w:tcBorders>
              <w:top w:val="nil"/>
              <w:left w:val="nil"/>
              <w:bottom w:val="nil"/>
              <w:right w:val="nil"/>
            </w:tcBorders>
          </w:tcPr>
          <w:p w14:paraId="7E1E88F0" w14:textId="77777777" w:rsidR="00F47BAD" w:rsidRPr="00591288" w:rsidRDefault="00F47BAD">
            <w:pPr>
              <w:jc w:val="center"/>
              <w:rPr>
                <w:rFonts w:eastAsia="Yu Gothic" w:cstheme="minorHAnsi"/>
                <w:color w:val="000000"/>
              </w:rPr>
            </w:pPr>
            <w:r w:rsidRPr="00591288">
              <w:rPr>
                <w:rFonts w:eastAsia="Yu Gothic" w:cstheme="minorHAnsi"/>
                <w:color w:val="000000"/>
              </w:rPr>
              <w:t>Steroid</w:t>
            </w:r>
          </w:p>
        </w:tc>
      </w:tr>
      <w:tr w:rsidR="00F47BAD" w14:paraId="424CC50C" w14:textId="77777777">
        <w:trPr>
          <w:trHeight w:val="360"/>
          <w:jc w:val="center"/>
        </w:trPr>
        <w:tc>
          <w:tcPr>
            <w:tcW w:w="1266" w:type="dxa"/>
            <w:tcBorders>
              <w:top w:val="nil"/>
              <w:left w:val="nil"/>
              <w:bottom w:val="nil"/>
              <w:right w:val="nil"/>
            </w:tcBorders>
            <w:noWrap/>
            <w:vAlign w:val="bottom"/>
            <w:hideMark/>
          </w:tcPr>
          <w:p w14:paraId="45F0D388"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10</w:t>
            </w:r>
          </w:p>
        </w:tc>
        <w:tc>
          <w:tcPr>
            <w:tcW w:w="2031" w:type="dxa"/>
            <w:tcBorders>
              <w:top w:val="nil"/>
              <w:left w:val="nil"/>
              <w:bottom w:val="nil"/>
              <w:right w:val="nil"/>
            </w:tcBorders>
            <w:noWrap/>
            <w:vAlign w:val="bottom"/>
            <w:hideMark/>
          </w:tcPr>
          <w:p w14:paraId="42EFD5A8"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05E4724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nil"/>
              <w:right w:val="nil"/>
            </w:tcBorders>
            <w:noWrap/>
            <w:vAlign w:val="bottom"/>
            <w:hideMark/>
          </w:tcPr>
          <w:p w14:paraId="280135B6"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51763CC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15</w:t>
            </w:r>
          </w:p>
        </w:tc>
        <w:tc>
          <w:tcPr>
            <w:tcW w:w="2566" w:type="dxa"/>
            <w:tcBorders>
              <w:top w:val="nil"/>
              <w:left w:val="nil"/>
              <w:bottom w:val="nil"/>
              <w:right w:val="nil"/>
            </w:tcBorders>
          </w:tcPr>
          <w:p w14:paraId="40060724" w14:textId="77777777" w:rsidR="00F47BAD" w:rsidRPr="00591288" w:rsidRDefault="00F47BAD">
            <w:pPr>
              <w:jc w:val="center"/>
              <w:rPr>
                <w:rFonts w:eastAsia="Yu Gothic" w:cstheme="minorHAnsi"/>
                <w:color w:val="000000"/>
              </w:rPr>
            </w:pPr>
            <w:r w:rsidRPr="00591288">
              <w:rPr>
                <w:rFonts w:eastAsia="Yu Gothic" w:cstheme="minorHAnsi"/>
                <w:color w:val="000000"/>
              </w:rPr>
              <w:t>Prednisolone/</w:t>
            </w:r>
            <w:proofErr w:type="spellStart"/>
            <w:r w:rsidRPr="00591288">
              <w:rPr>
                <w:rFonts w:eastAsia="Yu Gothic" w:cstheme="minorHAnsi"/>
                <w:color w:val="000000"/>
              </w:rPr>
              <w:t>Apoquel</w:t>
            </w:r>
            <w:proofErr w:type="spellEnd"/>
          </w:p>
        </w:tc>
      </w:tr>
      <w:tr w:rsidR="00F47BAD" w14:paraId="06115AAF" w14:textId="77777777">
        <w:trPr>
          <w:trHeight w:val="360"/>
          <w:jc w:val="center"/>
        </w:trPr>
        <w:tc>
          <w:tcPr>
            <w:tcW w:w="1266" w:type="dxa"/>
            <w:tcBorders>
              <w:top w:val="nil"/>
              <w:left w:val="nil"/>
              <w:bottom w:val="single" w:sz="4" w:space="0" w:color="auto"/>
              <w:right w:val="nil"/>
            </w:tcBorders>
            <w:noWrap/>
            <w:vAlign w:val="bottom"/>
            <w:hideMark/>
          </w:tcPr>
          <w:p w14:paraId="1630367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11</w:t>
            </w:r>
          </w:p>
        </w:tc>
        <w:tc>
          <w:tcPr>
            <w:tcW w:w="2031" w:type="dxa"/>
            <w:tcBorders>
              <w:top w:val="nil"/>
              <w:left w:val="nil"/>
              <w:bottom w:val="single" w:sz="4" w:space="0" w:color="auto"/>
              <w:right w:val="nil"/>
            </w:tcBorders>
            <w:noWrap/>
            <w:vAlign w:val="bottom"/>
            <w:hideMark/>
          </w:tcPr>
          <w:p w14:paraId="52A5B27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single" w:sz="4" w:space="0" w:color="auto"/>
              <w:right w:val="nil"/>
            </w:tcBorders>
            <w:noWrap/>
            <w:vAlign w:val="bottom"/>
            <w:hideMark/>
          </w:tcPr>
          <w:p w14:paraId="39BD680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FASS</w:t>
            </w:r>
          </w:p>
        </w:tc>
        <w:tc>
          <w:tcPr>
            <w:tcW w:w="1246" w:type="dxa"/>
            <w:tcBorders>
              <w:top w:val="nil"/>
              <w:left w:val="nil"/>
              <w:bottom w:val="single" w:sz="4" w:space="0" w:color="auto"/>
              <w:right w:val="nil"/>
            </w:tcBorders>
            <w:noWrap/>
            <w:vAlign w:val="bottom"/>
            <w:hideMark/>
          </w:tcPr>
          <w:p w14:paraId="324C0592"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single" w:sz="4" w:space="0" w:color="auto"/>
              <w:right w:val="nil"/>
            </w:tcBorders>
            <w:noWrap/>
            <w:vAlign w:val="bottom"/>
            <w:hideMark/>
          </w:tcPr>
          <w:p w14:paraId="297E7AA5"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4</w:t>
            </w:r>
          </w:p>
        </w:tc>
        <w:tc>
          <w:tcPr>
            <w:tcW w:w="2566" w:type="dxa"/>
            <w:tcBorders>
              <w:top w:val="nil"/>
              <w:left w:val="nil"/>
              <w:bottom w:val="single" w:sz="4" w:space="0" w:color="auto"/>
              <w:right w:val="nil"/>
            </w:tcBorders>
          </w:tcPr>
          <w:p w14:paraId="7433E627" w14:textId="77777777" w:rsidR="00F47BAD" w:rsidRPr="00591288" w:rsidRDefault="00F47BAD">
            <w:pPr>
              <w:jc w:val="center"/>
              <w:rPr>
                <w:rFonts w:eastAsia="Yu Gothic" w:cstheme="minorHAnsi"/>
                <w:color w:val="000000"/>
              </w:rPr>
            </w:pPr>
            <w:r w:rsidRPr="00591288">
              <w:rPr>
                <w:rFonts w:eastAsia="Yu Gothic" w:cstheme="minorHAnsi"/>
                <w:color w:val="000000"/>
              </w:rPr>
              <w:t>Prednisolone/</w:t>
            </w:r>
            <w:proofErr w:type="spellStart"/>
            <w:r w:rsidRPr="00591288">
              <w:rPr>
                <w:rFonts w:eastAsia="Yu Gothic" w:cstheme="minorHAnsi"/>
                <w:color w:val="000000"/>
              </w:rPr>
              <w:t>Apoquel</w:t>
            </w:r>
            <w:proofErr w:type="spellEnd"/>
          </w:p>
        </w:tc>
      </w:tr>
      <w:tr w:rsidR="00F47BAD" w14:paraId="5F48948D" w14:textId="77777777">
        <w:trPr>
          <w:trHeight w:val="360"/>
          <w:jc w:val="center"/>
        </w:trPr>
        <w:tc>
          <w:tcPr>
            <w:tcW w:w="1266" w:type="dxa"/>
            <w:tcBorders>
              <w:top w:val="nil"/>
              <w:left w:val="nil"/>
              <w:bottom w:val="nil"/>
              <w:right w:val="nil"/>
            </w:tcBorders>
            <w:noWrap/>
            <w:vAlign w:val="bottom"/>
            <w:hideMark/>
          </w:tcPr>
          <w:p w14:paraId="62D0B06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12</w:t>
            </w:r>
          </w:p>
        </w:tc>
        <w:tc>
          <w:tcPr>
            <w:tcW w:w="2031" w:type="dxa"/>
            <w:tcBorders>
              <w:top w:val="nil"/>
              <w:left w:val="nil"/>
              <w:bottom w:val="nil"/>
              <w:right w:val="nil"/>
            </w:tcBorders>
            <w:noWrap/>
            <w:vAlign w:val="bottom"/>
            <w:hideMark/>
          </w:tcPr>
          <w:p w14:paraId="7B0D696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4C90FDB7"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71622DF8"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5E8A70C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10</w:t>
            </w:r>
          </w:p>
        </w:tc>
        <w:tc>
          <w:tcPr>
            <w:tcW w:w="2566" w:type="dxa"/>
            <w:tcBorders>
              <w:top w:val="nil"/>
              <w:left w:val="nil"/>
              <w:bottom w:val="nil"/>
              <w:right w:val="nil"/>
            </w:tcBorders>
          </w:tcPr>
          <w:p w14:paraId="0015CC3B"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7E9AD854" w14:textId="77777777">
        <w:trPr>
          <w:trHeight w:val="360"/>
          <w:jc w:val="center"/>
        </w:trPr>
        <w:tc>
          <w:tcPr>
            <w:tcW w:w="1266" w:type="dxa"/>
            <w:tcBorders>
              <w:top w:val="nil"/>
              <w:left w:val="nil"/>
              <w:bottom w:val="nil"/>
              <w:right w:val="nil"/>
            </w:tcBorders>
            <w:noWrap/>
            <w:vAlign w:val="bottom"/>
            <w:hideMark/>
          </w:tcPr>
          <w:p w14:paraId="7E77CA00"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13</w:t>
            </w:r>
          </w:p>
        </w:tc>
        <w:tc>
          <w:tcPr>
            <w:tcW w:w="2031" w:type="dxa"/>
            <w:tcBorders>
              <w:top w:val="nil"/>
              <w:left w:val="nil"/>
              <w:bottom w:val="nil"/>
              <w:right w:val="nil"/>
            </w:tcBorders>
            <w:noWrap/>
            <w:vAlign w:val="bottom"/>
            <w:hideMark/>
          </w:tcPr>
          <w:p w14:paraId="548D553D"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4D0BECE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5D8D7C9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17F2938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12</w:t>
            </w:r>
          </w:p>
        </w:tc>
        <w:tc>
          <w:tcPr>
            <w:tcW w:w="2566" w:type="dxa"/>
            <w:tcBorders>
              <w:top w:val="nil"/>
              <w:left w:val="nil"/>
              <w:bottom w:val="nil"/>
              <w:right w:val="nil"/>
            </w:tcBorders>
          </w:tcPr>
          <w:p w14:paraId="5012DC50"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4CCAA35D" w14:textId="77777777">
        <w:trPr>
          <w:trHeight w:val="360"/>
          <w:jc w:val="center"/>
        </w:trPr>
        <w:tc>
          <w:tcPr>
            <w:tcW w:w="1266" w:type="dxa"/>
            <w:tcBorders>
              <w:top w:val="nil"/>
              <w:left w:val="nil"/>
              <w:bottom w:val="nil"/>
              <w:right w:val="nil"/>
            </w:tcBorders>
            <w:noWrap/>
            <w:vAlign w:val="bottom"/>
            <w:hideMark/>
          </w:tcPr>
          <w:p w14:paraId="156A049B"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14</w:t>
            </w:r>
          </w:p>
        </w:tc>
        <w:tc>
          <w:tcPr>
            <w:tcW w:w="2031" w:type="dxa"/>
            <w:tcBorders>
              <w:top w:val="nil"/>
              <w:left w:val="nil"/>
              <w:bottom w:val="nil"/>
              <w:right w:val="nil"/>
            </w:tcBorders>
            <w:noWrap/>
            <w:vAlign w:val="bottom"/>
            <w:hideMark/>
          </w:tcPr>
          <w:p w14:paraId="1F3F6BF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5F1E1C1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2128F9D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3C04C81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16</w:t>
            </w:r>
          </w:p>
        </w:tc>
        <w:tc>
          <w:tcPr>
            <w:tcW w:w="2566" w:type="dxa"/>
            <w:tcBorders>
              <w:top w:val="nil"/>
              <w:left w:val="nil"/>
              <w:bottom w:val="nil"/>
              <w:right w:val="nil"/>
            </w:tcBorders>
          </w:tcPr>
          <w:p w14:paraId="1E7D6CFB"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684FDA2C" w14:textId="77777777">
        <w:trPr>
          <w:trHeight w:val="360"/>
          <w:jc w:val="center"/>
        </w:trPr>
        <w:tc>
          <w:tcPr>
            <w:tcW w:w="1266" w:type="dxa"/>
            <w:tcBorders>
              <w:top w:val="nil"/>
              <w:left w:val="nil"/>
              <w:bottom w:val="nil"/>
              <w:right w:val="nil"/>
            </w:tcBorders>
            <w:noWrap/>
            <w:vAlign w:val="bottom"/>
            <w:hideMark/>
          </w:tcPr>
          <w:p w14:paraId="14E9F9E2"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15</w:t>
            </w:r>
          </w:p>
        </w:tc>
        <w:tc>
          <w:tcPr>
            <w:tcW w:w="2031" w:type="dxa"/>
            <w:tcBorders>
              <w:top w:val="nil"/>
              <w:left w:val="nil"/>
              <w:bottom w:val="nil"/>
              <w:right w:val="nil"/>
            </w:tcBorders>
            <w:noWrap/>
            <w:vAlign w:val="bottom"/>
            <w:hideMark/>
          </w:tcPr>
          <w:p w14:paraId="6F24176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56A3F057"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6A480C8D"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691659FB"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10</w:t>
            </w:r>
          </w:p>
        </w:tc>
        <w:tc>
          <w:tcPr>
            <w:tcW w:w="2566" w:type="dxa"/>
            <w:tcBorders>
              <w:top w:val="nil"/>
              <w:left w:val="nil"/>
              <w:bottom w:val="nil"/>
              <w:right w:val="nil"/>
            </w:tcBorders>
          </w:tcPr>
          <w:p w14:paraId="1986ED71"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51E47E07" w14:textId="77777777">
        <w:trPr>
          <w:trHeight w:val="360"/>
          <w:jc w:val="center"/>
        </w:trPr>
        <w:tc>
          <w:tcPr>
            <w:tcW w:w="1266" w:type="dxa"/>
            <w:tcBorders>
              <w:top w:val="nil"/>
              <w:left w:val="nil"/>
              <w:bottom w:val="nil"/>
              <w:right w:val="nil"/>
            </w:tcBorders>
            <w:noWrap/>
            <w:vAlign w:val="bottom"/>
            <w:hideMark/>
          </w:tcPr>
          <w:p w14:paraId="5A71A6D2"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16</w:t>
            </w:r>
          </w:p>
        </w:tc>
        <w:tc>
          <w:tcPr>
            <w:tcW w:w="2031" w:type="dxa"/>
            <w:tcBorders>
              <w:top w:val="nil"/>
              <w:left w:val="nil"/>
              <w:bottom w:val="nil"/>
              <w:right w:val="nil"/>
            </w:tcBorders>
            <w:noWrap/>
            <w:vAlign w:val="bottom"/>
            <w:hideMark/>
          </w:tcPr>
          <w:p w14:paraId="5519A226"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536E802B"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5137CED5"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650699B8"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17</w:t>
            </w:r>
          </w:p>
        </w:tc>
        <w:tc>
          <w:tcPr>
            <w:tcW w:w="2566" w:type="dxa"/>
            <w:tcBorders>
              <w:top w:val="nil"/>
              <w:left w:val="nil"/>
              <w:bottom w:val="nil"/>
              <w:right w:val="nil"/>
            </w:tcBorders>
          </w:tcPr>
          <w:p w14:paraId="4944079A"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16D2AEC9" w14:textId="77777777">
        <w:trPr>
          <w:trHeight w:val="360"/>
          <w:jc w:val="center"/>
        </w:trPr>
        <w:tc>
          <w:tcPr>
            <w:tcW w:w="1266" w:type="dxa"/>
            <w:tcBorders>
              <w:top w:val="nil"/>
              <w:left w:val="nil"/>
              <w:bottom w:val="nil"/>
              <w:right w:val="nil"/>
            </w:tcBorders>
            <w:noWrap/>
            <w:vAlign w:val="bottom"/>
            <w:hideMark/>
          </w:tcPr>
          <w:p w14:paraId="45C3BFA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17</w:t>
            </w:r>
          </w:p>
        </w:tc>
        <w:tc>
          <w:tcPr>
            <w:tcW w:w="2031" w:type="dxa"/>
            <w:tcBorders>
              <w:top w:val="nil"/>
              <w:left w:val="nil"/>
              <w:bottom w:val="nil"/>
              <w:right w:val="nil"/>
            </w:tcBorders>
            <w:noWrap/>
            <w:vAlign w:val="bottom"/>
            <w:hideMark/>
          </w:tcPr>
          <w:p w14:paraId="019BBC0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4E898DB8"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0E0EADA1"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6427BA00"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7</w:t>
            </w:r>
          </w:p>
        </w:tc>
        <w:tc>
          <w:tcPr>
            <w:tcW w:w="2566" w:type="dxa"/>
            <w:tcBorders>
              <w:top w:val="nil"/>
              <w:left w:val="nil"/>
              <w:bottom w:val="nil"/>
              <w:right w:val="nil"/>
            </w:tcBorders>
          </w:tcPr>
          <w:p w14:paraId="63177AE6"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2A726C01" w14:textId="77777777">
        <w:trPr>
          <w:trHeight w:val="360"/>
          <w:jc w:val="center"/>
        </w:trPr>
        <w:tc>
          <w:tcPr>
            <w:tcW w:w="1266" w:type="dxa"/>
            <w:tcBorders>
              <w:top w:val="nil"/>
              <w:left w:val="nil"/>
              <w:bottom w:val="nil"/>
              <w:right w:val="nil"/>
            </w:tcBorders>
            <w:noWrap/>
            <w:vAlign w:val="bottom"/>
            <w:hideMark/>
          </w:tcPr>
          <w:p w14:paraId="2B8817B5"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18</w:t>
            </w:r>
          </w:p>
        </w:tc>
        <w:tc>
          <w:tcPr>
            <w:tcW w:w="2031" w:type="dxa"/>
            <w:tcBorders>
              <w:top w:val="nil"/>
              <w:left w:val="nil"/>
              <w:bottom w:val="nil"/>
              <w:right w:val="nil"/>
            </w:tcBorders>
            <w:noWrap/>
            <w:vAlign w:val="bottom"/>
            <w:hideMark/>
          </w:tcPr>
          <w:p w14:paraId="1F02478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357FF365"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08A9373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5EB91F49"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9</w:t>
            </w:r>
          </w:p>
        </w:tc>
        <w:tc>
          <w:tcPr>
            <w:tcW w:w="2566" w:type="dxa"/>
            <w:tcBorders>
              <w:top w:val="nil"/>
              <w:left w:val="nil"/>
              <w:bottom w:val="nil"/>
              <w:right w:val="nil"/>
            </w:tcBorders>
          </w:tcPr>
          <w:p w14:paraId="7EF22495"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3D893EDC" w14:textId="77777777">
        <w:trPr>
          <w:trHeight w:val="360"/>
          <w:jc w:val="center"/>
        </w:trPr>
        <w:tc>
          <w:tcPr>
            <w:tcW w:w="1266" w:type="dxa"/>
            <w:tcBorders>
              <w:top w:val="nil"/>
              <w:left w:val="nil"/>
              <w:bottom w:val="nil"/>
              <w:right w:val="nil"/>
            </w:tcBorders>
            <w:noWrap/>
            <w:vAlign w:val="bottom"/>
            <w:hideMark/>
          </w:tcPr>
          <w:p w14:paraId="02A63038"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19</w:t>
            </w:r>
          </w:p>
        </w:tc>
        <w:tc>
          <w:tcPr>
            <w:tcW w:w="2031" w:type="dxa"/>
            <w:tcBorders>
              <w:top w:val="nil"/>
              <w:left w:val="nil"/>
              <w:bottom w:val="nil"/>
              <w:right w:val="nil"/>
            </w:tcBorders>
            <w:noWrap/>
            <w:vAlign w:val="bottom"/>
            <w:hideMark/>
          </w:tcPr>
          <w:p w14:paraId="3C947D41"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2796073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419EFF2D"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0BB03E6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11</w:t>
            </w:r>
          </w:p>
        </w:tc>
        <w:tc>
          <w:tcPr>
            <w:tcW w:w="2566" w:type="dxa"/>
            <w:tcBorders>
              <w:top w:val="nil"/>
              <w:left w:val="nil"/>
              <w:bottom w:val="nil"/>
              <w:right w:val="nil"/>
            </w:tcBorders>
          </w:tcPr>
          <w:p w14:paraId="03570C8D"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2B4B138F" w14:textId="77777777">
        <w:trPr>
          <w:trHeight w:val="360"/>
          <w:jc w:val="center"/>
        </w:trPr>
        <w:tc>
          <w:tcPr>
            <w:tcW w:w="1266" w:type="dxa"/>
            <w:tcBorders>
              <w:top w:val="nil"/>
              <w:left w:val="nil"/>
              <w:bottom w:val="nil"/>
              <w:right w:val="nil"/>
            </w:tcBorders>
            <w:noWrap/>
            <w:vAlign w:val="bottom"/>
            <w:hideMark/>
          </w:tcPr>
          <w:p w14:paraId="553D5C41"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20</w:t>
            </w:r>
          </w:p>
        </w:tc>
        <w:tc>
          <w:tcPr>
            <w:tcW w:w="2031" w:type="dxa"/>
            <w:tcBorders>
              <w:top w:val="nil"/>
              <w:left w:val="nil"/>
              <w:bottom w:val="nil"/>
              <w:right w:val="nil"/>
            </w:tcBorders>
            <w:noWrap/>
            <w:vAlign w:val="bottom"/>
            <w:hideMark/>
          </w:tcPr>
          <w:p w14:paraId="2E091DC1"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2EC73D6C"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2C8C169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154AE40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8</w:t>
            </w:r>
          </w:p>
        </w:tc>
        <w:tc>
          <w:tcPr>
            <w:tcW w:w="2566" w:type="dxa"/>
            <w:tcBorders>
              <w:top w:val="nil"/>
              <w:left w:val="nil"/>
              <w:bottom w:val="nil"/>
              <w:right w:val="nil"/>
            </w:tcBorders>
          </w:tcPr>
          <w:p w14:paraId="751B16EA"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4E6C0488" w14:textId="77777777">
        <w:trPr>
          <w:trHeight w:val="360"/>
          <w:jc w:val="center"/>
        </w:trPr>
        <w:tc>
          <w:tcPr>
            <w:tcW w:w="1266" w:type="dxa"/>
            <w:tcBorders>
              <w:top w:val="nil"/>
              <w:left w:val="nil"/>
              <w:bottom w:val="nil"/>
              <w:right w:val="nil"/>
            </w:tcBorders>
            <w:noWrap/>
            <w:vAlign w:val="bottom"/>
            <w:hideMark/>
          </w:tcPr>
          <w:p w14:paraId="7A3A14DC"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21</w:t>
            </w:r>
          </w:p>
        </w:tc>
        <w:tc>
          <w:tcPr>
            <w:tcW w:w="2031" w:type="dxa"/>
            <w:tcBorders>
              <w:top w:val="nil"/>
              <w:left w:val="nil"/>
              <w:bottom w:val="nil"/>
              <w:right w:val="nil"/>
            </w:tcBorders>
            <w:noWrap/>
            <w:vAlign w:val="bottom"/>
            <w:hideMark/>
          </w:tcPr>
          <w:p w14:paraId="213F39C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11994D4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41378F6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0B84B1F1"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8</w:t>
            </w:r>
          </w:p>
        </w:tc>
        <w:tc>
          <w:tcPr>
            <w:tcW w:w="2566" w:type="dxa"/>
            <w:tcBorders>
              <w:top w:val="nil"/>
              <w:left w:val="nil"/>
              <w:bottom w:val="nil"/>
              <w:right w:val="nil"/>
            </w:tcBorders>
          </w:tcPr>
          <w:p w14:paraId="7CAB3061"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4C6D1B52" w14:textId="77777777">
        <w:trPr>
          <w:trHeight w:val="360"/>
          <w:jc w:val="center"/>
        </w:trPr>
        <w:tc>
          <w:tcPr>
            <w:tcW w:w="1266" w:type="dxa"/>
            <w:tcBorders>
              <w:top w:val="nil"/>
              <w:left w:val="nil"/>
              <w:bottom w:val="nil"/>
              <w:right w:val="nil"/>
            </w:tcBorders>
            <w:noWrap/>
            <w:vAlign w:val="bottom"/>
            <w:hideMark/>
          </w:tcPr>
          <w:p w14:paraId="20F6A2A9"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22</w:t>
            </w:r>
          </w:p>
        </w:tc>
        <w:tc>
          <w:tcPr>
            <w:tcW w:w="2031" w:type="dxa"/>
            <w:tcBorders>
              <w:top w:val="nil"/>
              <w:left w:val="nil"/>
              <w:bottom w:val="nil"/>
              <w:right w:val="nil"/>
            </w:tcBorders>
            <w:noWrap/>
            <w:vAlign w:val="bottom"/>
            <w:hideMark/>
          </w:tcPr>
          <w:p w14:paraId="30CAEB49"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73B12AB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6EC03DC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nil"/>
              <w:right w:val="nil"/>
            </w:tcBorders>
            <w:noWrap/>
            <w:vAlign w:val="bottom"/>
            <w:hideMark/>
          </w:tcPr>
          <w:p w14:paraId="600E642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7</w:t>
            </w:r>
          </w:p>
        </w:tc>
        <w:tc>
          <w:tcPr>
            <w:tcW w:w="2566" w:type="dxa"/>
            <w:tcBorders>
              <w:top w:val="nil"/>
              <w:left w:val="nil"/>
              <w:bottom w:val="nil"/>
              <w:right w:val="nil"/>
            </w:tcBorders>
          </w:tcPr>
          <w:p w14:paraId="23248E20"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557AFF28" w14:textId="77777777">
        <w:trPr>
          <w:trHeight w:val="360"/>
          <w:jc w:val="center"/>
        </w:trPr>
        <w:tc>
          <w:tcPr>
            <w:tcW w:w="1266" w:type="dxa"/>
            <w:tcBorders>
              <w:top w:val="nil"/>
              <w:left w:val="nil"/>
              <w:bottom w:val="nil"/>
              <w:right w:val="nil"/>
            </w:tcBorders>
            <w:noWrap/>
            <w:vAlign w:val="bottom"/>
            <w:hideMark/>
          </w:tcPr>
          <w:p w14:paraId="10BDED6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23</w:t>
            </w:r>
          </w:p>
        </w:tc>
        <w:tc>
          <w:tcPr>
            <w:tcW w:w="2031" w:type="dxa"/>
            <w:tcBorders>
              <w:top w:val="nil"/>
              <w:left w:val="nil"/>
              <w:bottom w:val="nil"/>
              <w:right w:val="nil"/>
            </w:tcBorders>
            <w:noWrap/>
            <w:vAlign w:val="bottom"/>
            <w:hideMark/>
          </w:tcPr>
          <w:p w14:paraId="6148A536"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3AF6F5F0"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2F45D28D"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24AB4750"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12</w:t>
            </w:r>
          </w:p>
        </w:tc>
        <w:tc>
          <w:tcPr>
            <w:tcW w:w="2566" w:type="dxa"/>
            <w:tcBorders>
              <w:top w:val="nil"/>
              <w:left w:val="nil"/>
              <w:bottom w:val="nil"/>
              <w:right w:val="nil"/>
            </w:tcBorders>
          </w:tcPr>
          <w:p w14:paraId="59DB849A"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4E3283C0" w14:textId="77777777">
        <w:trPr>
          <w:trHeight w:val="360"/>
          <w:jc w:val="center"/>
        </w:trPr>
        <w:tc>
          <w:tcPr>
            <w:tcW w:w="1266" w:type="dxa"/>
            <w:tcBorders>
              <w:top w:val="nil"/>
              <w:left w:val="nil"/>
              <w:bottom w:val="nil"/>
              <w:right w:val="nil"/>
            </w:tcBorders>
            <w:noWrap/>
            <w:vAlign w:val="bottom"/>
            <w:hideMark/>
          </w:tcPr>
          <w:p w14:paraId="6A9B7AFE"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24</w:t>
            </w:r>
          </w:p>
        </w:tc>
        <w:tc>
          <w:tcPr>
            <w:tcW w:w="2031" w:type="dxa"/>
            <w:tcBorders>
              <w:top w:val="nil"/>
              <w:left w:val="nil"/>
              <w:bottom w:val="nil"/>
              <w:right w:val="nil"/>
            </w:tcBorders>
            <w:noWrap/>
            <w:vAlign w:val="bottom"/>
            <w:hideMark/>
          </w:tcPr>
          <w:p w14:paraId="69CA5DD4"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nil"/>
              <w:right w:val="nil"/>
            </w:tcBorders>
            <w:noWrap/>
            <w:vAlign w:val="bottom"/>
            <w:hideMark/>
          </w:tcPr>
          <w:p w14:paraId="137E7C03"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nil"/>
              <w:right w:val="nil"/>
            </w:tcBorders>
            <w:noWrap/>
            <w:vAlign w:val="bottom"/>
            <w:hideMark/>
          </w:tcPr>
          <w:p w14:paraId="76684B70"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Male</w:t>
            </w:r>
          </w:p>
        </w:tc>
        <w:tc>
          <w:tcPr>
            <w:tcW w:w="1265" w:type="dxa"/>
            <w:tcBorders>
              <w:top w:val="nil"/>
              <w:left w:val="nil"/>
              <w:bottom w:val="nil"/>
              <w:right w:val="nil"/>
            </w:tcBorders>
            <w:noWrap/>
            <w:vAlign w:val="bottom"/>
            <w:hideMark/>
          </w:tcPr>
          <w:p w14:paraId="1A230B6A"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8</w:t>
            </w:r>
          </w:p>
        </w:tc>
        <w:tc>
          <w:tcPr>
            <w:tcW w:w="2566" w:type="dxa"/>
            <w:tcBorders>
              <w:top w:val="nil"/>
              <w:left w:val="nil"/>
              <w:bottom w:val="nil"/>
              <w:right w:val="nil"/>
            </w:tcBorders>
          </w:tcPr>
          <w:p w14:paraId="4D79A16C"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4D934799" w14:textId="77777777">
        <w:trPr>
          <w:trHeight w:val="360"/>
          <w:jc w:val="center"/>
        </w:trPr>
        <w:tc>
          <w:tcPr>
            <w:tcW w:w="1266" w:type="dxa"/>
            <w:tcBorders>
              <w:top w:val="nil"/>
              <w:left w:val="nil"/>
              <w:bottom w:val="single" w:sz="4" w:space="0" w:color="auto"/>
              <w:right w:val="nil"/>
            </w:tcBorders>
            <w:noWrap/>
            <w:vAlign w:val="bottom"/>
            <w:hideMark/>
          </w:tcPr>
          <w:p w14:paraId="02F53C96"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25</w:t>
            </w:r>
          </w:p>
        </w:tc>
        <w:tc>
          <w:tcPr>
            <w:tcW w:w="2031" w:type="dxa"/>
            <w:tcBorders>
              <w:top w:val="nil"/>
              <w:left w:val="nil"/>
              <w:bottom w:val="single" w:sz="4" w:space="0" w:color="auto"/>
              <w:right w:val="nil"/>
            </w:tcBorders>
            <w:noWrap/>
            <w:vAlign w:val="bottom"/>
            <w:hideMark/>
          </w:tcPr>
          <w:p w14:paraId="1522062F"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Mixed-breed</w:t>
            </w:r>
          </w:p>
        </w:tc>
        <w:tc>
          <w:tcPr>
            <w:tcW w:w="1265" w:type="dxa"/>
            <w:tcBorders>
              <w:top w:val="nil"/>
              <w:left w:val="nil"/>
              <w:bottom w:val="single" w:sz="4" w:space="0" w:color="auto"/>
              <w:right w:val="nil"/>
            </w:tcBorders>
            <w:noWrap/>
            <w:vAlign w:val="bottom"/>
            <w:hideMark/>
          </w:tcPr>
          <w:p w14:paraId="5553FBB0"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Ctrl</w:t>
            </w:r>
          </w:p>
        </w:tc>
        <w:tc>
          <w:tcPr>
            <w:tcW w:w="1246" w:type="dxa"/>
            <w:tcBorders>
              <w:top w:val="nil"/>
              <w:left w:val="nil"/>
              <w:bottom w:val="single" w:sz="4" w:space="0" w:color="auto"/>
              <w:right w:val="nil"/>
            </w:tcBorders>
            <w:noWrap/>
            <w:vAlign w:val="bottom"/>
            <w:hideMark/>
          </w:tcPr>
          <w:p w14:paraId="11EB6BC7"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Female</w:t>
            </w:r>
          </w:p>
        </w:tc>
        <w:tc>
          <w:tcPr>
            <w:tcW w:w="1265" w:type="dxa"/>
            <w:tcBorders>
              <w:top w:val="nil"/>
              <w:left w:val="nil"/>
              <w:bottom w:val="single" w:sz="4" w:space="0" w:color="auto"/>
              <w:right w:val="nil"/>
            </w:tcBorders>
            <w:noWrap/>
            <w:vAlign w:val="bottom"/>
            <w:hideMark/>
          </w:tcPr>
          <w:p w14:paraId="0F9266CC" w14:textId="77777777" w:rsidR="00F47BAD" w:rsidRPr="003B2E92" w:rsidRDefault="00F47BAD">
            <w:pPr>
              <w:jc w:val="center"/>
              <w:rPr>
                <w:rFonts w:eastAsia="Yu Gothic" w:cstheme="minorHAnsi"/>
                <w:color w:val="000000"/>
                <w:szCs w:val="21"/>
              </w:rPr>
            </w:pPr>
            <w:r w:rsidRPr="003B2E92">
              <w:rPr>
                <w:rFonts w:eastAsia="Yu Gothic" w:cstheme="minorHAnsi"/>
                <w:color w:val="000000"/>
                <w:szCs w:val="21"/>
              </w:rPr>
              <w:t>9</w:t>
            </w:r>
          </w:p>
        </w:tc>
        <w:tc>
          <w:tcPr>
            <w:tcW w:w="2566" w:type="dxa"/>
            <w:tcBorders>
              <w:top w:val="nil"/>
              <w:left w:val="nil"/>
              <w:bottom w:val="single" w:sz="4" w:space="0" w:color="auto"/>
              <w:right w:val="nil"/>
            </w:tcBorders>
          </w:tcPr>
          <w:p w14:paraId="7E7E47BE" w14:textId="77777777" w:rsidR="00F47BAD" w:rsidRPr="00591288" w:rsidRDefault="00F47BAD">
            <w:pPr>
              <w:jc w:val="center"/>
              <w:rPr>
                <w:rFonts w:eastAsia="Yu Gothic" w:cstheme="minorHAnsi"/>
                <w:color w:val="000000"/>
              </w:rPr>
            </w:pPr>
            <w:r w:rsidRPr="00591288">
              <w:rPr>
                <w:rFonts w:eastAsia="Yu Gothic" w:cstheme="minorHAnsi"/>
                <w:color w:val="000000"/>
              </w:rPr>
              <w:t>None</w:t>
            </w:r>
          </w:p>
        </w:tc>
      </w:tr>
      <w:tr w:rsidR="00F47BAD" w14:paraId="41D6F193" w14:textId="77777777" w:rsidTr="0083354E">
        <w:trPr>
          <w:trHeight w:val="360"/>
          <w:jc w:val="center"/>
        </w:trPr>
        <w:tc>
          <w:tcPr>
            <w:tcW w:w="1266" w:type="dxa"/>
            <w:tcBorders>
              <w:top w:val="single" w:sz="4" w:space="0" w:color="auto"/>
              <w:left w:val="nil"/>
              <w:bottom w:val="single" w:sz="4" w:space="0" w:color="auto"/>
              <w:right w:val="nil"/>
            </w:tcBorders>
            <w:noWrap/>
            <w:vAlign w:val="center"/>
            <w:hideMark/>
          </w:tcPr>
          <w:p w14:paraId="262E90ED" w14:textId="77777777" w:rsidR="00F47BAD" w:rsidRPr="003B2E92" w:rsidRDefault="00F47BAD" w:rsidP="0083354E">
            <w:pPr>
              <w:jc w:val="right"/>
              <w:rPr>
                <w:rFonts w:eastAsia="Yu Gothic" w:cstheme="minorHAnsi"/>
                <w:color w:val="000000"/>
                <w:szCs w:val="21"/>
              </w:rPr>
            </w:pPr>
            <w:r w:rsidRPr="003B2E92">
              <w:rPr>
                <w:rFonts w:eastAsia="Yu Gothic" w:cstheme="minorHAnsi"/>
                <w:color w:val="000000"/>
                <w:szCs w:val="21"/>
              </w:rPr>
              <w:t>p-value</w:t>
            </w:r>
          </w:p>
        </w:tc>
        <w:tc>
          <w:tcPr>
            <w:tcW w:w="2031" w:type="dxa"/>
            <w:tcBorders>
              <w:top w:val="single" w:sz="4" w:space="0" w:color="auto"/>
              <w:left w:val="nil"/>
              <w:bottom w:val="single" w:sz="4" w:space="0" w:color="auto"/>
              <w:right w:val="nil"/>
            </w:tcBorders>
            <w:noWrap/>
            <w:vAlign w:val="center"/>
            <w:hideMark/>
          </w:tcPr>
          <w:p w14:paraId="637A8D7E" w14:textId="244DE6F3" w:rsidR="00F47BAD" w:rsidRPr="003B2E92" w:rsidRDefault="00F47BAD" w:rsidP="0083354E">
            <w:pPr>
              <w:jc w:val="right"/>
              <w:rPr>
                <w:rFonts w:eastAsia="Yu Gothic" w:cstheme="minorHAnsi"/>
                <w:color w:val="000000"/>
                <w:szCs w:val="21"/>
              </w:rPr>
            </w:pPr>
          </w:p>
        </w:tc>
        <w:tc>
          <w:tcPr>
            <w:tcW w:w="1265" w:type="dxa"/>
            <w:tcBorders>
              <w:top w:val="single" w:sz="4" w:space="0" w:color="auto"/>
              <w:left w:val="nil"/>
              <w:bottom w:val="single" w:sz="4" w:space="0" w:color="auto"/>
              <w:right w:val="nil"/>
            </w:tcBorders>
            <w:noWrap/>
            <w:vAlign w:val="center"/>
            <w:hideMark/>
          </w:tcPr>
          <w:p w14:paraId="6F92F9DB" w14:textId="5BA1CB26" w:rsidR="00F47BAD" w:rsidRPr="003B2E92" w:rsidRDefault="00F47BAD" w:rsidP="0083354E">
            <w:pPr>
              <w:jc w:val="right"/>
              <w:rPr>
                <w:rFonts w:eastAsia="Yu Gothic" w:cstheme="minorHAnsi"/>
                <w:color w:val="000000"/>
                <w:szCs w:val="21"/>
              </w:rPr>
            </w:pPr>
          </w:p>
        </w:tc>
        <w:tc>
          <w:tcPr>
            <w:tcW w:w="1246" w:type="dxa"/>
            <w:tcBorders>
              <w:top w:val="single" w:sz="4" w:space="0" w:color="auto"/>
              <w:left w:val="nil"/>
              <w:bottom w:val="single" w:sz="4" w:space="0" w:color="auto"/>
              <w:right w:val="nil"/>
            </w:tcBorders>
            <w:noWrap/>
            <w:vAlign w:val="center"/>
            <w:hideMark/>
          </w:tcPr>
          <w:p w14:paraId="748833A7" w14:textId="77777777" w:rsidR="00F47BAD" w:rsidRPr="003B2E92" w:rsidRDefault="00F47BAD" w:rsidP="0083354E">
            <w:pPr>
              <w:jc w:val="right"/>
              <w:rPr>
                <w:rFonts w:eastAsia="Yu Gothic" w:cstheme="minorHAnsi"/>
                <w:color w:val="000000"/>
                <w:szCs w:val="21"/>
              </w:rPr>
            </w:pPr>
            <w:r w:rsidRPr="003B2E92">
              <w:rPr>
                <w:rFonts w:eastAsia="Yu Gothic" w:cstheme="minorHAnsi"/>
                <w:color w:val="000000"/>
                <w:szCs w:val="21"/>
              </w:rPr>
              <w:t>p</w:t>
            </w:r>
            <w:r w:rsidRPr="003B2E92">
              <w:rPr>
                <w:rFonts w:eastAsia="Yu Gothic" w:cstheme="minorHAnsi"/>
                <w:i/>
                <w:iCs/>
                <w:color w:val="000000"/>
                <w:szCs w:val="21"/>
              </w:rPr>
              <w:t xml:space="preserve"> </w:t>
            </w:r>
            <w:r w:rsidRPr="003B2E92">
              <w:rPr>
                <w:rFonts w:eastAsia="Yu Gothic" w:cstheme="minorHAnsi"/>
                <w:color w:val="000000"/>
                <w:szCs w:val="21"/>
              </w:rPr>
              <w:t>= 0.</w:t>
            </w:r>
            <w:r w:rsidRPr="003B2E92">
              <w:rPr>
                <w:rFonts w:eastAsia="Yu Gothic" w:cstheme="minorHAnsi" w:hint="eastAsia"/>
                <w:color w:val="000000"/>
                <w:szCs w:val="21"/>
              </w:rPr>
              <w:t>5084</w:t>
            </w:r>
          </w:p>
        </w:tc>
        <w:tc>
          <w:tcPr>
            <w:tcW w:w="1265" w:type="dxa"/>
            <w:tcBorders>
              <w:top w:val="single" w:sz="4" w:space="0" w:color="auto"/>
              <w:left w:val="nil"/>
              <w:bottom w:val="single" w:sz="4" w:space="0" w:color="auto"/>
              <w:right w:val="nil"/>
            </w:tcBorders>
            <w:noWrap/>
            <w:vAlign w:val="center"/>
            <w:hideMark/>
          </w:tcPr>
          <w:p w14:paraId="2832797E" w14:textId="77777777" w:rsidR="00F47BAD" w:rsidRPr="003B2E92" w:rsidRDefault="00F47BAD" w:rsidP="0083354E">
            <w:pPr>
              <w:jc w:val="right"/>
              <w:rPr>
                <w:rFonts w:eastAsia="Yu Gothic" w:cstheme="minorHAnsi"/>
                <w:color w:val="000000"/>
                <w:szCs w:val="21"/>
              </w:rPr>
            </w:pPr>
            <w:r w:rsidRPr="003B2E92">
              <w:rPr>
                <w:rFonts w:eastAsia="Yu Gothic" w:cstheme="minorHAnsi"/>
                <w:color w:val="000000"/>
                <w:szCs w:val="21"/>
              </w:rPr>
              <w:t>p = 0.</w:t>
            </w:r>
            <w:r w:rsidRPr="003B2E92">
              <w:rPr>
                <w:rFonts w:eastAsia="Yu Gothic" w:cstheme="minorHAnsi" w:hint="eastAsia"/>
                <w:color w:val="000000"/>
                <w:szCs w:val="21"/>
              </w:rPr>
              <w:t>0928</w:t>
            </w:r>
          </w:p>
        </w:tc>
        <w:tc>
          <w:tcPr>
            <w:tcW w:w="2566" w:type="dxa"/>
            <w:tcBorders>
              <w:top w:val="single" w:sz="4" w:space="0" w:color="auto"/>
              <w:left w:val="nil"/>
              <w:bottom w:val="single" w:sz="4" w:space="0" w:color="auto"/>
              <w:right w:val="nil"/>
            </w:tcBorders>
            <w:vAlign w:val="center"/>
          </w:tcPr>
          <w:p w14:paraId="336B98F0" w14:textId="77777777" w:rsidR="00F47BAD" w:rsidRPr="00591288" w:rsidRDefault="00F47BAD" w:rsidP="009C0246">
            <w:pPr>
              <w:jc w:val="center"/>
              <w:rPr>
                <w:rFonts w:eastAsia="Yu Gothic" w:cstheme="minorHAnsi"/>
                <w:color w:val="000000"/>
              </w:rPr>
            </w:pPr>
            <w:r w:rsidRPr="00BF16E1">
              <w:rPr>
                <w:rFonts w:eastAsia="Yu Gothic" w:cstheme="minorHAnsi"/>
                <w:color w:val="000000"/>
              </w:rPr>
              <w:t>p</w:t>
            </w:r>
            <w:r w:rsidRPr="00591288">
              <w:rPr>
                <w:rFonts w:eastAsia="Yu Gothic" w:cstheme="minorHAnsi"/>
                <w:color w:val="000000"/>
              </w:rPr>
              <w:t xml:space="preserve"> = 0.408*</w:t>
            </w:r>
          </w:p>
        </w:tc>
      </w:tr>
    </w:tbl>
    <w:p w14:paraId="101378A8" w14:textId="7563877C" w:rsidR="00F47BAD" w:rsidRDefault="00F47BAD" w:rsidP="00F47BAD">
      <w:pPr>
        <w:rPr>
          <w:rFonts w:ascii="Arial" w:hAnsi="Arial" w:cs="Arial"/>
          <w:iCs/>
        </w:rPr>
      </w:pPr>
      <w:r w:rsidRPr="00F47BAD">
        <w:rPr>
          <w:rFonts w:ascii="Arial" w:hAnsi="Arial" w:cs="Arial"/>
          <w:iCs/>
        </w:rPr>
        <w:t>FASS: Feline atopic skin syndrome, Ctrl: healthy control cat group.</w:t>
      </w:r>
    </w:p>
    <w:p w14:paraId="546EB1F7" w14:textId="77777777" w:rsidR="00F47BAD" w:rsidRDefault="00F47BAD" w:rsidP="00F47BAD">
      <w:pPr>
        <w:rPr>
          <w:rFonts w:ascii="Arial" w:hAnsi="Arial" w:cs="Arial"/>
          <w:iCs/>
        </w:rPr>
      </w:pPr>
    </w:p>
    <w:p w14:paraId="19BBA975" w14:textId="77777777" w:rsidR="00F271C2" w:rsidRDefault="00F271C2" w:rsidP="00F47BAD">
      <w:pPr>
        <w:rPr>
          <w:rFonts w:ascii="Arial" w:hAnsi="Arial" w:cs="Arial"/>
          <w:iCs/>
        </w:rPr>
      </w:pPr>
    </w:p>
    <w:p w14:paraId="14D331B7" w14:textId="77777777" w:rsidR="00F271C2" w:rsidRDefault="00F271C2" w:rsidP="00F47BAD">
      <w:pPr>
        <w:rPr>
          <w:rFonts w:ascii="Arial" w:hAnsi="Arial" w:cs="Arial"/>
          <w:iCs/>
        </w:rPr>
      </w:pPr>
    </w:p>
    <w:p w14:paraId="69EC79DE" w14:textId="065CA842" w:rsidR="00F47BAD" w:rsidRDefault="00F47BAD" w:rsidP="00F47BAD">
      <w:pPr>
        <w:rPr>
          <w:rFonts w:ascii="Arial" w:hAnsi="Arial" w:cs="Arial"/>
          <w:iCs/>
        </w:rPr>
      </w:pPr>
      <w:r w:rsidRPr="00F47BAD">
        <w:rPr>
          <w:rFonts w:ascii="Arial" w:hAnsi="Arial" w:cs="Arial"/>
          <w:iCs/>
        </w:rPr>
        <w:t xml:space="preserve">The </w:t>
      </w:r>
      <w:proofErr w:type="spellStart"/>
      <w:r w:rsidRPr="00F47BAD">
        <w:rPr>
          <w:rFonts w:ascii="Arial" w:hAnsi="Arial" w:cs="Arial"/>
          <w:iCs/>
        </w:rPr>
        <w:t>parasynbiotic</w:t>
      </w:r>
      <w:proofErr w:type="spellEnd"/>
      <w:r w:rsidRPr="00F47BAD">
        <w:rPr>
          <w:rFonts w:ascii="Arial" w:hAnsi="Arial" w:cs="Arial"/>
          <w:iCs/>
        </w:rPr>
        <w:t xml:space="preserve"> intervention significantly reduced the SCORFAD scores (mean ± SEM: 7.18 ± 1.86 to 3.09 ± 0.49; p = 0.0224) and IPS scores (3.09 ± 0.21 to 1.55 ± 0.25 p = 0.0018) (Fig. 1</w:t>
      </w:r>
      <w:proofErr w:type="gramStart"/>
      <w:r w:rsidRPr="00F47BAD">
        <w:rPr>
          <w:rFonts w:ascii="Arial" w:hAnsi="Arial" w:cs="Arial"/>
          <w:iCs/>
        </w:rPr>
        <w:t>a,b</w:t>
      </w:r>
      <w:proofErr w:type="gramEnd"/>
      <w:r w:rsidRPr="00F47BAD">
        <w:rPr>
          <w:rFonts w:ascii="Arial" w:hAnsi="Arial" w:cs="Arial"/>
          <w:iCs/>
        </w:rPr>
        <w:t>). Furthermore, the GAI that evaluates symptom improvement after intervention indicated that 10 out of 11 cats achieved a clinically improved score of ≤2, with a mean GAI score of 1.45 ± 0.25 (Fig. 1c). Even the cat with the most severe symptoms prior to intervention maintained a score of 3, without any observed worsening.</w:t>
      </w:r>
    </w:p>
    <w:p w14:paraId="0F47E0B1" w14:textId="77777777" w:rsidR="00F47BAD" w:rsidRDefault="00F47BAD" w:rsidP="00F47BAD">
      <w:pPr>
        <w:rPr>
          <w:rFonts w:ascii="Arial" w:hAnsi="Arial" w:cs="Arial"/>
          <w:iCs/>
        </w:rPr>
      </w:pPr>
    </w:p>
    <w:p w14:paraId="0DCA7F06" w14:textId="7289780B" w:rsidR="00F47BAD" w:rsidRDefault="00F47BAD" w:rsidP="00F47BAD">
      <w:pPr>
        <w:rPr>
          <w:rFonts w:ascii="Arial" w:hAnsi="Arial" w:cs="Arial"/>
          <w:iCs/>
        </w:rPr>
      </w:pPr>
      <w:r w:rsidRPr="003B2E92">
        <w:rPr>
          <w:bCs/>
          <w:i/>
          <w:noProof/>
        </w:rPr>
        <w:lastRenderedPageBreak/>
        <w:drawing>
          <wp:inline distT="0" distB="0" distL="0" distR="0" wp14:anchorId="1ECF3F66" wp14:editId="3575FBD5">
            <wp:extent cx="5036949" cy="2833215"/>
            <wp:effectExtent l="0" t="0" r="0" b="0"/>
            <wp:docPr id="66985311" name="図 4" descr="グラフ&#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85311" name="図 4" descr="グラフ&#10;&#10;AI 生成コンテンツは誤りを含む可能性があります。"/>
                    <pic:cNvPicPr/>
                  </pic:nvPicPr>
                  <pic:blipFill>
                    <a:blip r:embed="rId14">
                      <a:extLst>
                        <a:ext uri="{28A0092B-C50C-407E-A947-70E740481C1C}">
                          <a14:useLocalDpi xmlns:a14="http://schemas.microsoft.com/office/drawing/2010/main" val="0"/>
                        </a:ext>
                      </a:extLst>
                    </a:blip>
                    <a:stretch>
                      <a:fillRect/>
                    </a:stretch>
                  </pic:blipFill>
                  <pic:spPr>
                    <a:xfrm>
                      <a:off x="0" y="0"/>
                      <a:ext cx="5119721" cy="2879773"/>
                    </a:xfrm>
                    <a:prstGeom prst="rect">
                      <a:avLst/>
                    </a:prstGeom>
                  </pic:spPr>
                </pic:pic>
              </a:graphicData>
            </a:graphic>
          </wp:inline>
        </w:drawing>
      </w:r>
    </w:p>
    <w:p w14:paraId="565551AC" w14:textId="77777777" w:rsidR="00F47BAD" w:rsidRPr="00F47BAD" w:rsidRDefault="00F47BAD" w:rsidP="00F47BAD">
      <w:pPr>
        <w:rPr>
          <w:rFonts w:ascii="Arial" w:hAnsi="Arial" w:cs="Arial"/>
          <w:b/>
          <w:bCs/>
          <w:iCs/>
        </w:rPr>
      </w:pPr>
      <w:r w:rsidRPr="00F47BAD">
        <w:rPr>
          <w:rFonts w:ascii="Arial" w:hAnsi="Arial" w:cs="Arial"/>
          <w:b/>
          <w:bCs/>
          <w:iCs/>
        </w:rPr>
        <w:t xml:space="preserve">Figure 1. Changes in clinical indices of the FASS group. </w:t>
      </w:r>
    </w:p>
    <w:p w14:paraId="536AFECB" w14:textId="0F449D5A" w:rsidR="00F47BAD" w:rsidRDefault="00F47BAD" w:rsidP="00F47BAD">
      <w:pPr>
        <w:rPr>
          <w:rFonts w:ascii="Arial" w:hAnsi="Arial" w:cs="Arial"/>
          <w:iCs/>
        </w:rPr>
      </w:pPr>
      <w:r w:rsidRPr="00F47BAD">
        <w:rPr>
          <w:rFonts w:ascii="Arial" w:hAnsi="Arial" w:cs="Arial"/>
          <w:iCs/>
        </w:rPr>
        <w:t xml:space="preserve">Pre- and post-intervention changes in the </w:t>
      </w:r>
      <w:proofErr w:type="spellStart"/>
      <w:r w:rsidRPr="00F47BAD">
        <w:rPr>
          <w:rFonts w:ascii="Arial" w:hAnsi="Arial" w:cs="Arial"/>
          <w:iCs/>
        </w:rPr>
        <w:t>SCORing</w:t>
      </w:r>
      <w:proofErr w:type="spellEnd"/>
      <w:r w:rsidRPr="00F47BAD">
        <w:rPr>
          <w:rFonts w:ascii="Arial" w:hAnsi="Arial" w:cs="Arial"/>
          <w:iCs/>
        </w:rPr>
        <w:t xml:space="preserve"> Feline Allergic Dermatitis (SCORFAD) (a), investigator pruritus scale (IPS) (b), and global assessment of improvement (GAI) scores (c). Statistical analysis was performed using the paired t-test. Data are presented as means ± standard deviation. For (c), the numbers within the pie chart indicate the number of FASS cases. Each point represents an individual sample. *p &lt; 0.05, **p &lt; 0.01. FASS: Feline atopic skin syndrome, Baseline: baseline group of feline atopic skin syndrome, Post: post-intervention group of feline atopic skin syndrome</w:t>
      </w:r>
    </w:p>
    <w:p w14:paraId="2183EC0A" w14:textId="77777777" w:rsidR="00F47BAD" w:rsidRDefault="00F47BAD" w:rsidP="00F47BAD">
      <w:pPr>
        <w:rPr>
          <w:rFonts w:ascii="Arial" w:hAnsi="Arial" w:cs="Arial"/>
          <w:iCs/>
        </w:rPr>
      </w:pPr>
    </w:p>
    <w:p w14:paraId="5787D375" w14:textId="77777777" w:rsidR="00F271C2" w:rsidRDefault="00F271C2" w:rsidP="00F47BAD">
      <w:pPr>
        <w:rPr>
          <w:rFonts w:ascii="Arial" w:hAnsi="Arial" w:cs="Arial"/>
          <w:iCs/>
        </w:rPr>
      </w:pPr>
    </w:p>
    <w:p w14:paraId="55EF5D27" w14:textId="77777777" w:rsidR="00F271C2" w:rsidRDefault="00F271C2" w:rsidP="00F47BAD">
      <w:pPr>
        <w:rPr>
          <w:rFonts w:ascii="Arial" w:hAnsi="Arial" w:cs="Arial"/>
          <w:iCs/>
        </w:rPr>
      </w:pPr>
    </w:p>
    <w:p w14:paraId="14E68626" w14:textId="6EA067A4" w:rsidR="00F47BAD" w:rsidRPr="00F47BAD" w:rsidRDefault="00F47BAD" w:rsidP="00F47BAD">
      <w:pPr>
        <w:rPr>
          <w:rFonts w:ascii="Arial" w:hAnsi="Arial" w:cs="Arial"/>
          <w:b/>
          <w:bCs/>
          <w:iCs/>
          <w:sz w:val="22"/>
          <w:szCs w:val="22"/>
        </w:rPr>
      </w:pPr>
      <w:r w:rsidRPr="00F47BAD">
        <w:rPr>
          <w:rFonts w:ascii="Arial" w:hAnsi="Arial" w:cs="Arial"/>
          <w:b/>
          <w:bCs/>
          <w:iCs/>
          <w:sz w:val="22"/>
          <w:szCs w:val="22"/>
        </w:rPr>
        <w:t>3.</w:t>
      </w:r>
      <w:r>
        <w:rPr>
          <w:rFonts w:ascii="Arial" w:hAnsi="Arial" w:cs="Arial"/>
          <w:b/>
          <w:bCs/>
          <w:iCs/>
          <w:sz w:val="22"/>
          <w:szCs w:val="22"/>
        </w:rPr>
        <w:t>2</w:t>
      </w:r>
      <w:r w:rsidRPr="00F47BAD">
        <w:rPr>
          <w:rFonts w:ascii="Arial" w:hAnsi="Arial" w:cs="Arial"/>
          <w:b/>
          <w:bCs/>
          <w:iCs/>
          <w:sz w:val="22"/>
          <w:szCs w:val="22"/>
        </w:rPr>
        <w:t>.</w:t>
      </w:r>
      <w:r w:rsidRPr="00F47BAD">
        <w:rPr>
          <w:rFonts w:ascii="Arial" w:hAnsi="Arial" w:cs="Arial"/>
          <w:b/>
          <w:bCs/>
          <w:iCs/>
          <w:sz w:val="22"/>
          <w:szCs w:val="22"/>
        </w:rPr>
        <w:tab/>
        <w:t xml:space="preserve">Effects of </w:t>
      </w:r>
      <w:proofErr w:type="spellStart"/>
      <w:r w:rsidRPr="00F47BAD">
        <w:rPr>
          <w:rFonts w:ascii="Arial" w:hAnsi="Arial" w:cs="Arial"/>
          <w:b/>
          <w:bCs/>
          <w:iCs/>
          <w:sz w:val="22"/>
          <w:szCs w:val="22"/>
        </w:rPr>
        <w:t>parasynbiotics</w:t>
      </w:r>
      <w:proofErr w:type="spellEnd"/>
      <w:r w:rsidRPr="00F47BAD">
        <w:rPr>
          <w:rFonts w:ascii="Arial" w:hAnsi="Arial" w:cs="Arial"/>
          <w:b/>
          <w:bCs/>
          <w:iCs/>
          <w:sz w:val="22"/>
          <w:szCs w:val="22"/>
        </w:rPr>
        <w:t xml:space="preserve"> on gut microbiota</w:t>
      </w:r>
    </w:p>
    <w:p w14:paraId="259B1CE0" w14:textId="77777777" w:rsidR="00F47BAD" w:rsidRPr="00432DCB" w:rsidRDefault="00F47BAD" w:rsidP="00F47BAD">
      <w:pPr>
        <w:ind w:firstLineChars="67" w:firstLine="161"/>
        <w:rPr>
          <w:rFonts w:ascii="Arial" w:hAnsi="Arial" w:cs="Arial"/>
          <w:iCs/>
        </w:rPr>
      </w:pPr>
      <w:r w:rsidRPr="00432DCB">
        <w:rPr>
          <w:rFonts w:ascii="Arial" w:hAnsi="Arial" w:cs="Arial"/>
          <w:iCs/>
        </w:rPr>
        <w:t xml:space="preserve">To evaluate the potential effects of the </w:t>
      </w:r>
      <w:proofErr w:type="spellStart"/>
      <w:r w:rsidRPr="00432DCB">
        <w:rPr>
          <w:rFonts w:ascii="Arial" w:hAnsi="Arial" w:cs="Arial"/>
          <w:iCs/>
        </w:rPr>
        <w:t>parasynbiotic</w:t>
      </w:r>
      <w:proofErr w:type="spellEnd"/>
      <w:r w:rsidRPr="00432DCB">
        <w:rPr>
          <w:rFonts w:ascii="Arial" w:hAnsi="Arial" w:cs="Arial"/>
          <w:iCs/>
        </w:rPr>
        <w:t xml:space="preserve"> intervention on the gut microbiota and host immunity, we compared the gut microbiome of the cats in the FASS group at baseline to that of the cats in the Ctrl group and further assessed the differences between the baseline and post-intervention data.</w:t>
      </w:r>
    </w:p>
    <w:p w14:paraId="4AAF8CA6" w14:textId="77777777" w:rsidR="00F47BAD" w:rsidRPr="00432DCB" w:rsidRDefault="00F47BAD" w:rsidP="00F47BAD">
      <w:pPr>
        <w:ind w:firstLineChars="67" w:firstLine="161"/>
        <w:rPr>
          <w:rFonts w:ascii="Arial" w:hAnsi="Arial" w:cs="Arial"/>
          <w:iCs/>
        </w:rPr>
      </w:pPr>
      <w:r w:rsidRPr="00432DCB">
        <w:rPr>
          <w:rFonts w:ascii="Arial" w:hAnsi="Arial" w:cs="Arial"/>
          <w:iCs/>
        </w:rPr>
        <w:t>An average of 18,872 ± 1,175 reads was obtained for the Ctrl group, 20,750 ± 765 reads for the baseline group, and 18,557 ± 542 reads for the post group (mean ± standard error of the mean). The NGS datasets were deposited in the NCBI Sequence Read Archive under accession PRJNA1219342. The compositions of the fecal microbiota at the genus and species levels are presented in Supplementary Fig. 1.</w:t>
      </w:r>
    </w:p>
    <w:p w14:paraId="4BB39CE3" w14:textId="2BA44CC3" w:rsidR="00F47BAD" w:rsidRPr="00432DCB" w:rsidRDefault="00F47BAD" w:rsidP="00F47BAD">
      <w:pPr>
        <w:ind w:firstLineChars="67" w:firstLine="161"/>
        <w:rPr>
          <w:rFonts w:ascii="Arial" w:hAnsi="Arial" w:cs="Arial"/>
          <w:iCs/>
        </w:rPr>
      </w:pPr>
      <w:proofErr w:type="spellStart"/>
      <w:r w:rsidRPr="00432DCB">
        <w:rPr>
          <w:rFonts w:ascii="Arial" w:hAnsi="Arial" w:cs="Arial"/>
          <w:iCs/>
        </w:rPr>
        <w:t>PCoA</w:t>
      </w:r>
      <w:proofErr w:type="spellEnd"/>
      <w:r w:rsidRPr="00432DCB">
        <w:rPr>
          <w:rFonts w:ascii="Arial" w:hAnsi="Arial" w:cs="Arial"/>
          <w:iCs/>
        </w:rPr>
        <w:t xml:space="preserve"> of β-diversity revealed that the Ctrl and </w:t>
      </w:r>
      <w:r w:rsidR="009C0246" w:rsidRPr="00432DCB">
        <w:rPr>
          <w:rFonts w:ascii="Arial" w:hAnsi="Arial" w:cs="Arial"/>
          <w:iCs/>
        </w:rPr>
        <w:t xml:space="preserve">FASS </w:t>
      </w:r>
      <w:r w:rsidRPr="00432DCB">
        <w:rPr>
          <w:rFonts w:ascii="Arial" w:hAnsi="Arial" w:cs="Arial"/>
          <w:iCs/>
        </w:rPr>
        <w:t xml:space="preserve">baseline groups exhibited different trends in microbial distributions (p = 0.065; Fig. 2). </w:t>
      </w:r>
      <w:r w:rsidRPr="00432DCB">
        <w:rPr>
          <w:rFonts w:ascii="Arial" w:hAnsi="Arial" w:cs="Arial"/>
        </w:rPr>
        <w:t xml:space="preserve">Similarly, the post group continued to exhibit a marginally significant difference in microbiome composition compared to that of the healthy Ctrl group (p = 0.061). However, within-group analysis of the FASS cats indicated </w:t>
      </w:r>
      <w:r w:rsidRPr="00432DCB">
        <w:rPr>
          <w:rFonts w:ascii="Arial" w:hAnsi="Arial" w:cs="Arial"/>
        </w:rPr>
        <w:lastRenderedPageBreak/>
        <w:t>no significant difference in microbiome composition between baseline and post-intervention samples (p = 0.940), indicating that the intervention did not substantially alter the overall microbiome structure</w:t>
      </w:r>
      <w:r w:rsidRPr="00432DCB">
        <w:rPr>
          <w:rFonts w:ascii="Arial" w:hAnsi="Arial" w:cs="Arial"/>
          <w:iCs/>
        </w:rPr>
        <w:t xml:space="preserve">. </w:t>
      </w:r>
    </w:p>
    <w:p w14:paraId="3A306F5A" w14:textId="77777777" w:rsidR="00F47BAD" w:rsidRDefault="00F47BAD" w:rsidP="00F47BAD">
      <w:pPr>
        <w:rPr>
          <w:rFonts w:ascii="Arial" w:hAnsi="Arial" w:cs="Arial"/>
          <w:iCs/>
        </w:rPr>
      </w:pPr>
    </w:p>
    <w:p w14:paraId="1CAE88C0" w14:textId="0DB536ED" w:rsidR="00F47BAD" w:rsidRDefault="002C7CF5" w:rsidP="00F47BAD">
      <w:pPr>
        <w:rPr>
          <w:rFonts w:ascii="Arial" w:hAnsi="Arial" w:cs="Arial"/>
          <w:iCs/>
        </w:rPr>
      </w:pPr>
      <w:r w:rsidRPr="003B2E92">
        <w:rPr>
          <w:iCs/>
          <w:noProof/>
        </w:rPr>
        <w:drawing>
          <wp:inline distT="0" distB="0" distL="0" distR="0" wp14:anchorId="7C08ED3F" wp14:editId="5B9C28AE">
            <wp:extent cx="5212080" cy="2816810"/>
            <wp:effectExtent l="0" t="0" r="0" b="0"/>
            <wp:docPr id="3" name="図 2">
              <a:extLst xmlns:a="http://schemas.openxmlformats.org/drawingml/2006/main">
                <a:ext uri="{FF2B5EF4-FFF2-40B4-BE49-F238E27FC236}">
                  <a16:creationId xmlns:a16="http://schemas.microsoft.com/office/drawing/2014/main" id="{AA46CAC8-733C-1050-95CD-4B2D83B748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a:extLst>
                        <a:ext uri="{FF2B5EF4-FFF2-40B4-BE49-F238E27FC236}">
                          <a16:creationId xmlns:a16="http://schemas.microsoft.com/office/drawing/2014/main" id="{AA46CAC8-733C-1050-95CD-4B2D83B748B2}"/>
                        </a:ext>
                      </a:extLst>
                    </pic:cNvPr>
                    <pic:cNvPicPr>
                      <a:picLocks noChangeAspect="1"/>
                    </pic:cNvPicPr>
                  </pic:nvPicPr>
                  <pic:blipFill>
                    <a:blip r:embed="rId15"/>
                    <a:stretch>
                      <a:fillRect/>
                    </a:stretch>
                  </pic:blipFill>
                  <pic:spPr>
                    <a:xfrm>
                      <a:off x="0" y="0"/>
                      <a:ext cx="5212080" cy="2816810"/>
                    </a:xfrm>
                    <a:prstGeom prst="rect">
                      <a:avLst/>
                    </a:prstGeom>
                  </pic:spPr>
                </pic:pic>
              </a:graphicData>
            </a:graphic>
          </wp:inline>
        </w:drawing>
      </w:r>
    </w:p>
    <w:p w14:paraId="67B62DEE" w14:textId="77777777" w:rsidR="002C7CF5" w:rsidRPr="002C7CF5" w:rsidRDefault="002C7CF5" w:rsidP="002C7CF5">
      <w:pPr>
        <w:rPr>
          <w:rFonts w:ascii="Arial" w:hAnsi="Arial" w:cs="Arial"/>
          <w:b/>
          <w:bCs/>
          <w:iCs/>
        </w:rPr>
      </w:pPr>
      <w:r w:rsidRPr="002C7CF5">
        <w:rPr>
          <w:rFonts w:ascii="Arial" w:hAnsi="Arial" w:cs="Arial"/>
          <w:b/>
          <w:bCs/>
          <w:iCs/>
        </w:rPr>
        <w:t>Figure 2. Beta diversity of the gut microbiota in each group.</w:t>
      </w:r>
    </w:p>
    <w:p w14:paraId="530CEADC" w14:textId="77777777" w:rsidR="002C7CF5" w:rsidRPr="002C7CF5" w:rsidRDefault="002C7CF5" w:rsidP="002C7CF5">
      <w:pPr>
        <w:rPr>
          <w:rFonts w:ascii="Arial" w:hAnsi="Arial" w:cs="Arial"/>
          <w:iCs/>
        </w:rPr>
      </w:pPr>
      <w:r w:rsidRPr="002C7CF5">
        <w:rPr>
          <w:rFonts w:ascii="Arial" w:hAnsi="Arial" w:cs="Arial"/>
          <w:iCs/>
        </w:rPr>
        <w:t>Beta diversity was assessed using principal coordinate analysis (</w:t>
      </w:r>
      <w:proofErr w:type="spellStart"/>
      <w:r w:rsidRPr="002C7CF5">
        <w:rPr>
          <w:rFonts w:ascii="Arial" w:hAnsi="Arial" w:cs="Arial"/>
          <w:iCs/>
        </w:rPr>
        <w:t>PCoA</w:t>
      </w:r>
      <w:proofErr w:type="spellEnd"/>
      <w:r w:rsidRPr="002C7CF5">
        <w:rPr>
          <w:rFonts w:ascii="Arial" w:hAnsi="Arial" w:cs="Arial"/>
          <w:iCs/>
        </w:rPr>
        <w:t xml:space="preserve">) based on weighted </w:t>
      </w:r>
      <w:proofErr w:type="spellStart"/>
      <w:r w:rsidRPr="002C7CF5">
        <w:rPr>
          <w:rFonts w:ascii="Arial" w:hAnsi="Arial" w:cs="Arial"/>
          <w:iCs/>
        </w:rPr>
        <w:t>UniFrac</w:t>
      </w:r>
      <w:proofErr w:type="spellEnd"/>
      <w:r w:rsidRPr="002C7CF5">
        <w:rPr>
          <w:rFonts w:ascii="Arial" w:hAnsi="Arial" w:cs="Arial"/>
          <w:iCs/>
        </w:rPr>
        <w:t xml:space="preserve"> distances. The </w:t>
      </w:r>
      <w:proofErr w:type="spellStart"/>
      <w:r w:rsidRPr="002C7CF5">
        <w:rPr>
          <w:rFonts w:ascii="Arial" w:hAnsi="Arial" w:cs="Arial"/>
          <w:iCs/>
        </w:rPr>
        <w:t>PCoA</w:t>
      </w:r>
      <w:proofErr w:type="spellEnd"/>
      <w:r w:rsidRPr="002C7CF5">
        <w:rPr>
          <w:rFonts w:ascii="Arial" w:hAnsi="Arial" w:cs="Arial"/>
          <w:iCs/>
        </w:rPr>
        <w:t xml:space="preserve"> plot displays the first principal component (PC1) on the horizontal axis and the second principal component (PC2) on the vertical axis. Each point represents an individual sample.</w:t>
      </w:r>
    </w:p>
    <w:p w14:paraId="7CF66AAD" w14:textId="319AED3D" w:rsidR="00F47BAD" w:rsidRDefault="002C7CF5" w:rsidP="002C7CF5">
      <w:pPr>
        <w:rPr>
          <w:rFonts w:ascii="Arial" w:hAnsi="Arial" w:cs="Arial"/>
          <w:iCs/>
        </w:rPr>
      </w:pPr>
      <w:r w:rsidRPr="002C7CF5">
        <w:rPr>
          <w:rFonts w:ascii="Arial" w:hAnsi="Arial" w:cs="Arial"/>
          <w:iCs/>
        </w:rPr>
        <w:t>Ctrl: healthy control cat group, Baseline: baseline group of feline atopic skin syndrome, Post: post-intervention group of feline atopic skin syndrome.</w:t>
      </w:r>
    </w:p>
    <w:p w14:paraId="583979F6" w14:textId="77777777" w:rsidR="00F47BAD" w:rsidRDefault="00F47BAD" w:rsidP="00F47BAD">
      <w:pPr>
        <w:rPr>
          <w:rFonts w:ascii="Arial" w:hAnsi="Arial" w:cs="Arial"/>
          <w:iCs/>
        </w:rPr>
      </w:pPr>
    </w:p>
    <w:p w14:paraId="3B8F37CD" w14:textId="77777777" w:rsidR="00F271C2" w:rsidRDefault="00F271C2" w:rsidP="00F47BAD">
      <w:pPr>
        <w:rPr>
          <w:rFonts w:ascii="Arial" w:hAnsi="Arial" w:cs="Arial"/>
          <w:iCs/>
        </w:rPr>
      </w:pPr>
    </w:p>
    <w:p w14:paraId="11426CF1" w14:textId="289088C9" w:rsidR="00F47BAD" w:rsidRDefault="002C7CF5" w:rsidP="00F47BAD">
      <w:pPr>
        <w:rPr>
          <w:rFonts w:ascii="Arial" w:hAnsi="Arial" w:cs="Arial"/>
          <w:iCs/>
        </w:rPr>
      </w:pPr>
      <w:r w:rsidRPr="002C7CF5">
        <w:rPr>
          <w:rFonts w:ascii="Arial" w:hAnsi="Arial" w:cs="Arial"/>
          <w:iCs/>
        </w:rPr>
        <w:t xml:space="preserve">To further investigate subtle microbiota changes, we compared the abundance of individual bacterial taxa between the Ctrl and </w:t>
      </w:r>
      <w:r w:rsidR="009C0246">
        <w:rPr>
          <w:rFonts w:ascii="Arial" w:hAnsi="Arial" w:cs="Arial"/>
          <w:iCs/>
        </w:rPr>
        <w:t xml:space="preserve">FASS </w:t>
      </w:r>
      <w:r w:rsidRPr="002C7CF5">
        <w:rPr>
          <w:rFonts w:ascii="Arial" w:hAnsi="Arial" w:cs="Arial"/>
          <w:iCs/>
        </w:rPr>
        <w:t xml:space="preserve">baseline groups. This analysis revealed distinct taxonomic differences. Bifidobacterium pullorum_B_388330 (p = 0.0052), </w:t>
      </w:r>
      <w:proofErr w:type="spellStart"/>
      <w:r w:rsidRPr="002C7CF5">
        <w:rPr>
          <w:rFonts w:ascii="Arial" w:hAnsi="Arial" w:cs="Arial"/>
          <w:i/>
        </w:rPr>
        <w:t>Collinsella</w:t>
      </w:r>
      <w:proofErr w:type="spellEnd"/>
      <w:r w:rsidRPr="002C7CF5">
        <w:rPr>
          <w:rFonts w:ascii="Arial" w:hAnsi="Arial" w:cs="Arial"/>
          <w:i/>
        </w:rPr>
        <w:t xml:space="preserve"> </w:t>
      </w:r>
      <w:proofErr w:type="spellStart"/>
      <w:r w:rsidRPr="002C7CF5">
        <w:rPr>
          <w:rFonts w:ascii="Arial" w:hAnsi="Arial" w:cs="Arial"/>
          <w:i/>
        </w:rPr>
        <w:t>stercoris</w:t>
      </w:r>
      <w:proofErr w:type="spellEnd"/>
      <w:r w:rsidRPr="002C7CF5">
        <w:rPr>
          <w:rFonts w:ascii="Arial" w:hAnsi="Arial" w:cs="Arial"/>
          <w:iCs/>
        </w:rPr>
        <w:t xml:space="preserve"> (p = 0.0152), </w:t>
      </w:r>
      <w:r w:rsidRPr="002C7CF5">
        <w:rPr>
          <w:rFonts w:ascii="Arial" w:hAnsi="Arial" w:cs="Arial"/>
          <w:i/>
        </w:rPr>
        <w:t>Bifidobacterium longum</w:t>
      </w:r>
      <w:r w:rsidRPr="002C7CF5">
        <w:rPr>
          <w:rFonts w:ascii="Arial" w:hAnsi="Arial" w:cs="Arial"/>
          <w:iCs/>
        </w:rPr>
        <w:t xml:space="preserve"> (p = 0.0261), and </w:t>
      </w:r>
      <w:proofErr w:type="spellStart"/>
      <w:r w:rsidRPr="002C7CF5">
        <w:rPr>
          <w:rFonts w:ascii="Arial" w:hAnsi="Arial" w:cs="Arial"/>
          <w:i/>
        </w:rPr>
        <w:t>Anaerostipes</w:t>
      </w:r>
      <w:proofErr w:type="spellEnd"/>
      <w:r w:rsidRPr="002C7CF5">
        <w:rPr>
          <w:rFonts w:ascii="Arial" w:hAnsi="Arial" w:cs="Arial"/>
          <w:i/>
        </w:rPr>
        <w:t xml:space="preserve"> </w:t>
      </w:r>
      <w:proofErr w:type="spellStart"/>
      <w:r w:rsidRPr="002C7CF5">
        <w:rPr>
          <w:rFonts w:ascii="Arial" w:hAnsi="Arial" w:cs="Arial"/>
          <w:i/>
        </w:rPr>
        <w:t>caccae</w:t>
      </w:r>
      <w:proofErr w:type="spellEnd"/>
      <w:r w:rsidRPr="002C7CF5">
        <w:rPr>
          <w:rFonts w:ascii="Arial" w:hAnsi="Arial" w:cs="Arial"/>
          <w:iCs/>
        </w:rPr>
        <w:t xml:space="preserve"> (p = 0.0261) were significantly enriched in the baseline group. In contrast, </w:t>
      </w:r>
      <w:proofErr w:type="spellStart"/>
      <w:r w:rsidRPr="002C7CF5">
        <w:rPr>
          <w:rFonts w:ascii="Arial" w:hAnsi="Arial" w:cs="Arial"/>
          <w:i/>
        </w:rPr>
        <w:t>Merdicola</w:t>
      </w:r>
      <w:proofErr w:type="spellEnd"/>
      <w:r w:rsidRPr="002C7CF5">
        <w:rPr>
          <w:rFonts w:ascii="Arial" w:hAnsi="Arial" w:cs="Arial"/>
          <w:i/>
        </w:rPr>
        <w:t xml:space="preserve"> </w:t>
      </w:r>
      <w:r w:rsidRPr="002C7CF5">
        <w:rPr>
          <w:rFonts w:ascii="Arial" w:hAnsi="Arial" w:cs="Arial"/>
          <w:iCs/>
        </w:rPr>
        <w:t xml:space="preserve">sp900552655 (p = 0.0106), </w:t>
      </w:r>
      <w:proofErr w:type="spellStart"/>
      <w:r w:rsidRPr="002C7CF5">
        <w:rPr>
          <w:rFonts w:ascii="Arial" w:hAnsi="Arial" w:cs="Arial"/>
          <w:i/>
        </w:rPr>
        <w:t>Fusobacterium_B</w:t>
      </w:r>
      <w:proofErr w:type="spellEnd"/>
      <w:r w:rsidRPr="002C7CF5">
        <w:rPr>
          <w:rFonts w:ascii="Arial" w:hAnsi="Arial" w:cs="Arial"/>
          <w:iCs/>
        </w:rPr>
        <w:t xml:space="preserve"> unclassified (p = 0.0129), </w:t>
      </w:r>
      <w:proofErr w:type="spellStart"/>
      <w:r w:rsidRPr="002C7CF5">
        <w:rPr>
          <w:rFonts w:ascii="Arial" w:hAnsi="Arial" w:cs="Arial"/>
          <w:i/>
        </w:rPr>
        <w:t>Lachnospira</w:t>
      </w:r>
      <w:proofErr w:type="spellEnd"/>
      <w:r w:rsidRPr="002C7CF5">
        <w:rPr>
          <w:rFonts w:ascii="Arial" w:hAnsi="Arial" w:cs="Arial"/>
          <w:i/>
        </w:rPr>
        <w:t xml:space="preserve"> </w:t>
      </w:r>
      <w:r w:rsidRPr="002C7CF5">
        <w:rPr>
          <w:rFonts w:ascii="Arial" w:hAnsi="Arial" w:cs="Arial"/>
          <w:iCs/>
        </w:rPr>
        <w:t xml:space="preserve">unclassified (p = 0.0243), Desulfovibrio_R_446353 </w:t>
      </w:r>
      <w:proofErr w:type="spellStart"/>
      <w:r w:rsidRPr="002C7CF5">
        <w:rPr>
          <w:rFonts w:ascii="Arial" w:hAnsi="Arial" w:cs="Arial"/>
          <w:iCs/>
        </w:rPr>
        <w:t>piger_A</w:t>
      </w:r>
      <w:proofErr w:type="spellEnd"/>
      <w:r w:rsidRPr="002C7CF5">
        <w:rPr>
          <w:rFonts w:ascii="Arial" w:hAnsi="Arial" w:cs="Arial"/>
          <w:iCs/>
        </w:rPr>
        <w:t xml:space="preserve"> (p = 0.0366), </w:t>
      </w:r>
      <w:proofErr w:type="spellStart"/>
      <w:r w:rsidRPr="002C7CF5">
        <w:rPr>
          <w:rFonts w:ascii="Arial" w:hAnsi="Arial" w:cs="Arial"/>
          <w:i/>
        </w:rPr>
        <w:t>Peptacetobacter</w:t>
      </w:r>
      <w:proofErr w:type="spellEnd"/>
      <w:r w:rsidRPr="002C7CF5">
        <w:rPr>
          <w:rFonts w:ascii="Arial" w:hAnsi="Arial" w:cs="Arial"/>
          <w:i/>
        </w:rPr>
        <w:t xml:space="preserve"> </w:t>
      </w:r>
      <w:proofErr w:type="spellStart"/>
      <w:r w:rsidRPr="002C7CF5">
        <w:rPr>
          <w:rFonts w:ascii="Arial" w:hAnsi="Arial" w:cs="Arial"/>
          <w:i/>
        </w:rPr>
        <w:t>hiranonis</w:t>
      </w:r>
      <w:proofErr w:type="spellEnd"/>
      <w:r w:rsidRPr="002C7CF5">
        <w:rPr>
          <w:rFonts w:ascii="Arial" w:hAnsi="Arial" w:cs="Arial"/>
          <w:iCs/>
        </w:rPr>
        <w:t xml:space="preserve"> (p = 0.0395), </w:t>
      </w:r>
      <w:proofErr w:type="spellStart"/>
      <w:r w:rsidRPr="002C7CF5">
        <w:rPr>
          <w:rFonts w:ascii="Arial" w:hAnsi="Arial" w:cs="Arial"/>
          <w:i/>
        </w:rPr>
        <w:t>Fusobacterium_A</w:t>
      </w:r>
      <w:proofErr w:type="spellEnd"/>
      <w:r w:rsidRPr="002C7CF5">
        <w:rPr>
          <w:rFonts w:ascii="Arial" w:hAnsi="Arial" w:cs="Arial"/>
          <w:iCs/>
        </w:rPr>
        <w:t xml:space="preserve"> unclassified (p = 0.0464), and </w:t>
      </w:r>
      <w:proofErr w:type="spellStart"/>
      <w:r w:rsidRPr="002C7CF5">
        <w:rPr>
          <w:rFonts w:ascii="Arial" w:hAnsi="Arial" w:cs="Arial"/>
          <w:i/>
        </w:rPr>
        <w:t>Anaerobutyricum</w:t>
      </w:r>
      <w:proofErr w:type="spellEnd"/>
      <w:r w:rsidRPr="002C7CF5">
        <w:rPr>
          <w:rFonts w:ascii="Arial" w:hAnsi="Arial" w:cs="Arial"/>
          <w:i/>
        </w:rPr>
        <w:t xml:space="preserve"> </w:t>
      </w:r>
      <w:proofErr w:type="spellStart"/>
      <w:r w:rsidRPr="002C7CF5">
        <w:rPr>
          <w:rFonts w:ascii="Arial" w:hAnsi="Arial" w:cs="Arial"/>
          <w:i/>
        </w:rPr>
        <w:t>faecale</w:t>
      </w:r>
      <w:proofErr w:type="spellEnd"/>
      <w:r w:rsidRPr="002C7CF5">
        <w:rPr>
          <w:rFonts w:ascii="Arial" w:hAnsi="Arial" w:cs="Arial"/>
          <w:i/>
        </w:rPr>
        <w:t xml:space="preserve"> </w:t>
      </w:r>
      <w:r w:rsidRPr="002C7CF5">
        <w:rPr>
          <w:rFonts w:ascii="Arial" w:hAnsi="Arial" w:cs="Arial"/>
          <w:iCs/>
        </w:rPr>
        <w:t>(p = 0.0464) were significantly depleted compared to the Ctrl group (Fig. 3).</w:t>
      </w:r>
    </w:p>
    <w:p w14:paraId="73BBF2B7" w14:textId="77777777" w:rsidR="00F47BAD" w:rsidRDefault="00F47BAD" w:rsidP="00F47BAD">
      <w:pPr>
        <w:rPr>
          <w:rFonts w:ascii="Arial" w:hAnsi="Arial" w:cs="Arial"/>
          <w:iCs/>
        </w:rPr>
      </w:pPr>
    </w:p>
    <w:p w14:paraId="20C910BD" w14:textId="56D8D598" w:rsidR="002C7CF5" w:rsidRPr="002C7CF5" w:rsidRDefault="002C7CF5" w:rsidP="002C7CF5">
      <w:pPr>
        <w:rPr>
          <w:rFonts w:ascii="Arial" w:hAnsi="Arial" w:cs="Arial"/>
          <w:b/>
          <w:bCs/>
          <w:iCs/>
        </w:rPr>
      </w:pPr>
      <w:r w:rsidRPr="003B2E92">
        <w:rPr>
          <w:iCs/>
          <w:noProof/>
        </w:rPr>
        <w:lastRenderedPageBreak/>
        <w:drawing>
          <wp:inline distT="0" distB="0" distL="0" distR="0" wp14:anchorId="7BB8C0E6" wp14:editId="597E3088">
            <wp:extent cx="5212080" cy="2095573"/>
            <wp:effectExtent l="0" t="0" r="0" b="0"/>
            <wp:docPr id="1347028599" name="図 1">
              <a:extLst xmlns:a="http://schemas.openxmlformats.org/drawingml/2006/main">
                <a:ext uri="{FF2B5EF4-FFF2-40B4-BE49-F238E27FC236}">
                  <a16:creationId xmlns:a16="http://schemas.microsoft.com/office/drawing/2014/main" id="{FAB7214E-FF43-0F38-0EB3-80B6EDA925E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a:extLst>
                        <a:ext uri="{FF2B5EF4-FFF2-40B4-BE49-F238E27FC236}">
                          <a16:creationId xmlns:a16="http://schemas.microsoft.com/office/drawing/2014/main" id="{FAB7214E-FF43-0F38-0EB3-80B6EDA925E5}"/>
                        </a:ext>
                      </a:extLst>
                    </pic:cNvPr>
                    <pic:cNvPicPr>
                      <a:picLocks noChangeAspect="1"/>
                    </pic:cNvPicPr>
                  </pic:nvPicPr>
                  <pic:blipFill>
                    <a:blip r:embed="rId16"/>
                    <a:srcRect l="6490" r="7423"/>
                    <a:stretch>
                      <a:fillRect/>
                    </a:stretch>
                  </pic:blipFill>
                  <pic:spPr>
                    <a:xfrm>
                      <a:off x="0" y="0"/>
                      <a:ext cx="5212080" cy="2095573"/>
                    </a:xfrm>
                    <a:prstGeom prst="rect">
                      <a:avLst/>
                    </a:prstGeom>
                  </pic:spPr>
                </pic:pic>
              </a:graphicData>
            </a:graphic>
          </wp:inline>
        </w:drawing>
      </w:r>
      <w:r w:rsidRPr="002C7CF5">
        <w:t xml:space="preserve"> </w:t>
      </w:r>
      <w:r w:rsidRPr="002C7CF5">
        <w:rPr>
          <w:rFonts w:ascii="Arial" w:hAnsi="Arial" w:cs="Arial"/>
          <w:b/>
          <w:bCs/>
          <w:iCs/>
        </w:rPr>
        <w:t>Figure 3. Changes in microbial species composition between the Ctrl and baseline groups.</w:t>
      </w:r>
    </w:p>
    <w:p w14:paraId="5C93E50C" w14:textId="0FE63547" w:rsidR="002C7CF5" w:rsidRPr="002C7CF5" w:rsidRDefault="002C7CF5" w:rsidP="002C7CF5">
      <w:pPr>
        <w:rPr>
          <w:rFonts w:ascii="Arial" w:hAnsi="Arial" w:cs="Arial"/>
          <w:iCs/>
        </w:rPr>
      </w:pPr>
      <w:r w:rsidRPr="002C7CF5">
        <w:rPr>
          <w:rFonts w:ascii="Arial" w:hAnsi="Arial" w:cs="Arial"/>
          <w:iCs/>
        </w:rPr>
        <w:t xml:space="preserve">Comparison of microbial species composition between the Ctrl and </w:t>
      </w:r>
      <w:r w:rsidR="009C0246">
        <w:rPr>
          <w:rFonts w:ascii="Arial" w:hAnsi="Arial" w:cs="Arial"/>
          <w:iCs/>
        </w:rPr>
        <w:t xml:space="preserve">FASS </w:t>
      </w:r>
      <w:r w:rsidRPr="002C7CF5">
        <w:rPr>
          <w:rFonts w:ascii="Arial" w:hAnsi="Arial" w:cs="Arial"/>
          <w:iCs/>
        </w:rPr>
        <w:t>baseline groups, indicating species with significant changes according to the Mann–Whitney U test. *p &lt; 0.05, **p &lt; 0.01.</w:t>
      </w:r>
    </w:p>
    <w:p w14:paraId="788AD62C" w14:textId="30C6D4A7" w:rsidR="00F47BAD" w:rsidRDefault="002C7CF5" w:rsidP="002C7CF5">
      <w:pPr>
        <w:rPr>
          <w:rFonts w:ascii="Arial" w:hAnsi="Arial" w:cs="Arial"/>
          <w:iCs/>
        </w:rPr>
      </w:pPr>
      <w:r w:rsidRPr="002C7CF5">
        <w:rPr>
          <w:rFonts w:ascii="Arial" w:hAnsi="Arial" w:cs="Arial"/>
          <w:iCs/>
        </w:rPr>
        <w:t>Ctrl: healthy control cat group, Baseline: baseline group of feline atopic skin syndrome.</w:t>
      </w:r>
    </w:p>
    <w:p w14:paraId="6197BCE5" w14:textId="77777777" w:rsidR="002C7CF5" w:rsidRDefault="002C7CF5" w:rsidP="002C7CF5">
      <w:pPr>
        <w:rPr>
          <w:rFonts w:ascii="Arial" w:hAnsi="Arial" w:cs="Arial"/>
          <w:iCs/>
        </w:rPr>
      </w:pPr>
    </w:p>
    <w:p w14:paraId="1303F58C" w14:textId="70DE4CBA" w:rsidR="002C7CF5" w:rsidRDefault="00B22FED" w:rsidP="002C7CF5">
      <w:pPr>
        <w:rPr>
          <w:rFonts w:ascii="Arial" w:hAnsi="Arial" w:cs="Arial"/>
          <w:iCs/>
        </w:rPr>
      </w:pPr>
      <w:r w:rsidRPr="00B22FED">
        <w:rPr>
          <w:rFonts w:ascii="Arial" w:hAnsi="Arial" w:cs="Arial"/>
          <w:iCs/>
        </w:rPr>
        <w:t>Then, we assessed changes between baseline and post-intervention.</w:t>
      </w:r>
      <w:r w:rsidR="00E87BC5" w:rsidRPr="00E87BC5">
        <w:rPr>
          <w:rFonts w:ascii="Arial" w:hAnsi="Arial" w:cs="Arial"/>
          <w:iCs/>
        </w:rPr>
        <w:t xml:space="preserve"> Four species, including </w:t>
      </w:r>
      <w:r w:rsidR="00E87BC5" w:rsidRPr="00E87BC5">
        <w:rPr>
          <w:rFonts w:ascii="Arial" w:hAnsi="Arial" w:cs="Arial"/>
          <w:i/>
        </w:rPr>
        <w:t xml:space="preserve">Parabacteroides_B_862066 </w:t>
      </w:r>
      <w:proofErr w:type="spellStart"/>
      <w:r w:rsidR="00E87BC5" w:rsidRPr="00E87BC5">
        <w:rPr>
          <w:rFonts w:ascii="Arial" w:hAnsi="Arial" w:cs="Arial"/>
          <w:i/>
        </w:rPr>
        <w:t>merdae</w:t>
      </w:r>
      <w:proofErr w:type="spellEnd"/>
      <w:r w:rsidR="00E87BC5" w:rsidRPr="00E87BC5">
        <w:rPr>
          <w:rFonts w:ascii="Arial" w:hAnsi="Arial" w:cs="Arial"/>
          <w:iCs/>
        </w:rPr>
        <w:t xml:space="preserve"> (p = 0.0273), </w:t>
      </w:r>
      <w:proofErr w:type="spellStart"/>
      <w:r w:rsidR="00E87BC5" w:rsidRPr="00E87BC5">
        <w:rPr>
          <w:rFonts w:ascii="Arial" w:hAnsi="Arial" w:cs="Arial"/>
          <w:i/>
        </w:rPr>
        <w:t>Clostridium_P</w:t>
      </w:r>
      <w:proofErr w:type="spellEnd"/>
      <w:r w:rsidR="00E87BC5" w:rsidRPr="00E87BC5">
        <w:rPr>
          <w:rFonts w:ascii="Arial" w:hAnsi="Arial" w:cs="Arial"/>
          <w:i/>
        </w:rPr>
        <w:t xml:space="preserve"> perfringens</w:t>
      </w:r>
      <w:r w:rsidR="00E87BC5" w:rsidRPr="00E87BC5">
        <w:rPr>
          <w:rFonts w:ascii="Arial" w:hAnsi="Arial" w:cs="Arial"/>
          <w:iCs/>
        </w:rPr>
        <w:t xml:space="preserve"> (p = 0.0312), </w:t>
      </w:r>
      <w:proofErr w:type="spellStart"/>
      <w:r w:rsidR="00E87BC5" w:rsidRPr="00E87BC5">
        <w:rPr>
          <w:rFonts w:ascii="Arial" w:hAnsi="Arial" w:cs="Arial"/>
          <w:i/>
        </w:rPr>
        <w:t>Phocea</w:t>
      </w:r>
      <w:proofErr w:type="spellEnd"/>
      <w:r w:rsidR="00E87BC5" w:rsidRPr="00E87BC5">
        <w:rPr>
          <w:rFonts w:ascii="Arial" w:hAnsi="Arial" w:cs="Arial"/>
          <w:iCs/>
        </w:rPr>
        <w:t xml:space="preserve"> unclassified (p = 0.0312), and </w:t>
      </w:r>
      <w:proofErr w:type="spellStart"/>
      <w:r w:rsidR="00E87BC5" w:rsidRPr="00E87BC5">
        <w:rPr>
          <w:rFonts w:ascii="Arial" w:hAnsi="Arial" w:cs="Arial"/>
          <w:i/>
        </w:rPr>
        <w:t>Collinsella</w:t>
      </w:r>
      <w:proofErr w:type="spellEnd"/>
      <w:r w:rsidR="00E87BC5" w:rsidRPr="00E87BC5">
        <w:rPr>
          <w:rFonts w:ascii="Arial" w:hAnsi="Arial" w:cs="Arial"/>
          <w:i/>
        </w:rPr>
        <w:t xml:space="preserve"> </w:t>
      </w:r>
      <w:proofErr w:type="spellStart"/>
      <w:r w:rsidR="00E87BC5" w:rsidRPr="00E87BC5">
        <w:rPr>
          <w:rFonts w:ascii="Arial" w:hAnsi="Arial" w:cs="Arial"/>
          <w:i/>
        </w:rPr>
        <w:t>stercoris</w:t>
      </w:r>
      <w:proofErr w:type="spellEnd"/>
      <w:r w:rsidR="00E87BC5" w:rsidRPr="00E87BC5">
        <w:rPr>
          <w:rFonts w:ascii="Arial" w:hAnsi="Arial" w:cs="Arial"/>
          <w:iCs/>
        </w:rPr>
        <w:t xml:space="preserve"> (p = 0.0415), were significantly reduced after intervention (Fig. 4). Notably,</w:t>
      </w:r>
      <w:r w:rsidR="00E87BC5" w:rsidRPr="0083354E">
        <w:rPr>
          <w:rFonts w:ascii="Arial" w:hAnsi="Arial" w:cs="Arial"/>
          <w:i/>
        </w:rPr>
        <w:t xml:space="preserve"> C. </w:t>
      </w:r>
      <w:proofErr w:type="spellStart"/>
      <w:r w:rsidR="00E87BC5" w:rsidRPr="0083354E">
        <w:rPr>
          <w:rFonts w:ascii="Arial" w:hAnsi="Arial" w:cs="Arial"/>
          <w:i/>
        </w:rPr>
        <w:t>stercoris</w:t>
      </w:r>
      <w:proofErr w:type="spellEnd"/>
      <w:r w:rsidR="00E87BC5" w:rsidRPr="0083354E">
        <w:rPr>
          <w:rFonts w:ascii="Arial" w:hAnsi="Arial" w:cs="Arial"/>
          <w:i/>
        </w:rPr>
        <w:t xml:space="preserve"> </w:t>
      </w:r>
      <w:r w:rsidR="00E87BC5" w:rsidRPr="00E87BC5">
        <w:rPr>
          <w:rFonts w:ascii="Arial" w:hAnsi="Arial" w:cs="Arial"/>
          <w:iCs/>
        </w:rPr>
        <w:t>was the only taxon that exhibited significant differences in both comparisons (Ctrl vs baseline and baseline vs post-intervention), and it underwent the largest reduction</w:t>
      </w:r>
      <w:r w:rsidR="00432DCB">
        <w:rPr>
          <w:rFonts w:ascii="Arial" w:hAnsi="Arial" w:cs="Arial"/>
          <w:iCs/>
        </w:rPr>
        <w:t xml:space="preserve"> (</w:t>
      </w:r>
      <w:r w:rsidR="00432DCB" w:rsidRPr="00432DCB">
        <w:rPr>
          <w:rFonts w:ascii="Arial" w:hAnsi="Arial" w:cs="Arial"/>
          <w:iCs/>
        </w:rPr>
        <w:t>Supplementary Table. 1</w:t>
      </w:r>
      <w:r w:rsidR="00432DCB">
        <w:rPr>
          <w:rFonts w:ascii="Arial" w:hAnsi="Arial" w:cs="Arial"/>
          <w:iCs/>
        </w:rPr>
        <w:t>)</w:t>
      </w:r>
      <w:r w:rsidR="00E87BC5" w:rsidRPr="00E87BC5">
        <w:rPr>
          <w:rFonts w:ascii="Arial" w:hAnsi="Arial" w:cs="Arial"/>
          <w:iCs/>
        </w:rPr>
        <w:t>.</w:t>
      </w:r>
    </w:p>
    <w:p w14:paraId="168221E1" w14:textId="708C5C89" w:rsidR="002C7CF5" w:rsidRDefault="00E87BC5" w:rsidP="002C7CF5">
      <w:pPr>
        <w:rPr>
          <w:rFonts w:ascii="Arial" w:hAnsi="Arial" w:cs="Arial"/>
          <w:iCs/>
        </w:rPr>
      </w:pPr>
      <w:r w:rsidRPr="00E87BC5">
        <w:rPr>
          <w:rFonts w:ascii="Arial" w:hAnsi="Arial" w:cs="Arial"/>
          <w:iCs/>
          <w:noProof/>
        </w:rPr>
        <w:drawing>
          <wp:inline distT="0" distB="0" distL="0" distR="0" wp14:anchorId="53C6E117" wp14:editId="68C1541B">
            <wp:extent cx="5212080" cy="1482090"/>
            <wp:effectExtent l="0" t="0" r="0" b="0"/>
            <wp:docPr id="8" name="図 7">
              <a:extLst xmlns:a="http://schemas.openxmlformats.org/drawingml/2006/main">
                <a:ext uri="{FF2B5EF4-FFF2-40B4-BE49-F238E27FC236}">
                  <a16:creationId xmlns:a16="http://schemas.microsoft.com/office/drawing/2014/main" id="{3F64882B-BBA4-F21B-ED69-22C31A86FD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3F64882B-BBA4-F21B-ED69-22C31A86FD21}"/>
                        </a:ext>
                      </a:extLst>
                    </pic:cNvPr>
                    <pic:cNvPicPr>
                      <a:picLocks noChangeAspect="1"/>
                    </pic:cNvPicPr>
                  </pic:nvPicPr>
                  <pic:blipFill>
                    <a:blip r:embed="rId17"/>
                    <a:stretch>
                      <a:fillRect/>
                    </a:stretch>
                  </pic:blipFill>
                  <pic:spPr>
                    <a:xfrm>
                      <a:off x="0" y="0"/>
                      <a:ext cx="5251312" cy="1493246"/>
                    </a:xfrm>
                    <a:prstGeom prst="rect">
                      <a:avLst/>
                    </a:prstGeom>
                  </pic:spPr>
                </pic:pic>
              </a:graphicData>
            </a:graphic>
          </wp:inline>
        </w:drawing>
      </w:r>
    </w:p>
    <w:p w14:paraId="1C583073" w14:textId="77777777" w:rsidR="002C7CF5" w:rsidRDefault="002C7CF5" w:rsidP="002C7CF5">
      <w:pPr>
        <w:rPr>
          <w:rFonts w:ascii="Arial" w:hAnsi="Arial" w:cs="Arial"/>
          <w:iCs/>
        </w:rPr>
      </w:pPr>
    </w:p>
    <w:p w14:paraId="12803A6B" w14:textId="77777777" w:rsidR="00E87BC5" w:rsidRPr="00E87BC5" w:rsidRDefault="00E87BC5" w:rsidP="00E87BC5">
      <w:pPr>
        <w:rPr>
          <w:rFonts w:ascii="Arial" w:hAnsi="Arial" w:cs="Arial"/>
          <w:b/>
          <w:bCs/>
          <w:iCs/>
        </w:rPr>
      </w:pPr>
      <w:r w:rsidRPr="00E87BC5">
        <w:rPr>
          <w:rFonts w:ascii="Arial" w:hAnsi="Arial" w:cs="Arial"/>
          <w:b/>
          <w:bCs/>
          <w:iCs/>
        </w:rPr>
        <w:t>Figure 4. Changes in microbial species composition between the baseline and post-intervention groups.</w:t>
      </w:r>
    </w:p>
    <w:p w14:paraId="5C4DC9ED" w14:textId="77777777" w:rsidR="00E87BC5" w:rsidRPr="00E87BC5" w:rsidRDefault="00E87BC5" w:rsidP="00E87BC5">
      <w:pPr>
        <w:rPr>
          <w:rFonts w:ascii="Arial" w:hAnsi="Arial" w:cs="Arial"/>
          <w:iCs/>
        </w:rPr>
      </w:pPr>
      <w:r w:rsidRPr="00E87BC5">
        <w:rPr>
          <w:rFonts w:ascii="Arial" w:hAnsi="Arial" w:cs="Arial"/>
          <w:iCs/>
        </w:rPr>
        <w:t>Comparison of microbial species composition between the baseline and post-intervention groups, indicating species with significant changes according to the Wilcoxon matched-pairs signed-rank test. Species marked with a "#" exhibited similar changes between the Ctrl and baseline groups. *p &lt; 0.05.</w:t>
      </w:r>
    </w:p>
    <w:p w14:paraId="69CACD93" w14:textId="2F4865A3" w:rsidR="002C7CF5" w:rsidRDefault="00E87BC5" w:rsidP="00E87BC5">
      <w:pPr>
        <w:rPr>
          <w:rFonts w:ascii="Arial" w:hAnsi="Arial" w:cs="Arial"/>
          <w:iCs/>
        </w:rPr>
      </w:pPr>
      <w:r w:rsidRPr="00E87BC5">
        <w:rPr>
          <w:rFonts w:ascii="Arial" w:hAnsi="Arial" w:cs="Arial"/>
          <w:iCs/>
        </w:rPr>
        <w:lastRenderedPageBreak/>
        <w:t>Baseline: baseline group of feline atopic skin syndrome, Post: post-intervention group of feline atopic skin syndrome.</w:t>
      </w:r>
    </w:p>
    <w:p w14:paraId="4E35604A" w14:textId="77777777" w:rsidR="00F47BAD" w:rsidRPr="00F47BAD" w:rsidRDefault="00F47BAD" w:rsidP="00441B6F">
      <w:pPr>
        <w:pStyle w:val="Head1"/>
        <w:spacing w:after="0"/>
        <w:jc w:val="both"/>
        <w:rPr>
          <w:rFonts w:ascii="Arial" w:hAnsi="Arial" w:cs="Arial"/>
          <w:lang w:eastAsia="ja-JP"/>
        </w:rPr>
      </w:pPr>
    </w:p>
    <w:p w14:paraId="71C8C640" w14:textId="6E686723" w:rsidR="00790ADA" w:rsidRPr="00FB3A86" w:rsidRDefault="00454DD0" w:rsidP="00441B6F">
      <w:pPr>
        <w:pStyle w:val="Head1"/>
        <w:spacing w:after="0"/>
        <w:jc w:val="both"/>
        <w:rPr>
          <w:rFonts w:ascii="Arial" w:hAnsi="Arial" w:cs="Arial"/>
        </w:rPr>
      </w:pPr>
      <w:r>
        <w:rPr>
          <w:rFonts w:ascii="Arial" w:hAnsi="Arial" w:cs="Arial" w:hint="eastAsia"/>
          <w:lang w:eastAsia="ja-JP"/>
        </w:rPr>
        <w:t>4.</w:t>
      </w:r>
      <w:r w:rsidR="00000F8F">
        <w:rPr>
          <w:rFonts w:ascii="Arial" w:hAnsi="Arial" w:cs="Arial"/>
        </w:rPr>
        <w:t>discussion</w:t>
      </w:r>
    </w:p>
    <w:p w14:paraId="1C5DA5E5" w14:textId="77777777" w:rsidR="00F271C2" w:rsidRPr="00F271C2" w:rsidRDefault="00F271C2" w:rsidP="00F271C2">
      <w:pPr>
        <w:tabs>
          <w:tab w:val="left" w:pos="1080"/>
        </w:tabs>
        <w:ind w:firstLineChars="71" w:firstLine="170"/>
        <w:jc w:val="both"/>
        <w:rPr>
          <w:rFonts w:ascii="Arial" w:hAnsi="Arial" w:cs="Arial"/>
        </w:rPr>
      </w:pPr>
      <w:r w:rsidRPr="00F271C2">
        <w:rPr>
          <w:rFonts w:ascii="Arial" w:hAnsi="Arial" w:cs="Arial"/>
        </w:rPr>
        <w:t xml:space="preserve">In this pilot study, we investigated the clinical and microbiological effects of a </w:t>
      </w:r>
      <w:proofErr w:type="spellStart"/>
      <w:r w:rsidRPr="00F271C2">
        <w:rPr>
          <w:rFonts w:ascii="Arial" w:hAnsi="Arial" w:cs="Arial"/>
        </w:rPr>
        <w:t>parasynbiotic</w:t>
      </w:r>
      <w:proofErr w:type="spellEnd"/>
      <w:r w:rsidRPr="00F271C2">
        <w:rPr>
          <w:rFonts w:ascii="Arial" w:hAnsi="Arial" w:cs="Arial"/>
        </w:rPr>
        <w:t xml:space="preserve"> comprising </w:t>
      </w:r>
      <w:proofErr w:type="spellStart"/>
      <w:r w:rsidRPr="00F271C2">
        <w:rPr>
          <w:rFonts w:ascii="Arial" w:hAnsi="Arial" w:cs="Arial"/>
        </w:rPr>
        <w:t>Kes</w:t>
      </w:r>
      <w:proofErr w:type="spellEnd"/>
      <w:r w:rsidRPr="00F271C2">
        <w:rPr>
          <w:rFonts w:ascii="Arial" w:hAnsi="Arial" w:cs="Arial"/>
        </w:rPr>
        <w:t xml:space="preserve"> and heat-killed FM8 in cats with FASS. Notable improvements in clinical symptoms were observed, with significant reductions in the SCORFAD (p = 0.0224) and IPS scores (p = 0.0018). Additionally, 10 out of 11 cats achieved a GAI score of ≤2, indicating clinical improvement, whereas the most severely affected cat maintained a score of 3, reflecting no further deterioration despite the severity of its initial condition (Fig. 1).</w:t>
      </w:r>
    </w:p>
    <w:p w14:paraId="4FB20361" w14:textId="77777777" w:rsidR="00F271C2" w:rsidRPr="00F271C2" w:rsidRDefault="00F271C2" w:rsidP="00F271C2">
      <w:pPr>
        <w:tabs>
          <w:tab w:val="left" w:pos="1080"/>
        </w:tabs>
        <w:ind w:firstLineChars="71" w:firstLine="170"/>
        <w:jc w:val="both"/>
        <w:rPr>
          <w:rFonts w:ascii="Arial" w:hAnsi="Arial" w:cs="Arial"/>
        </w:rPr>
      </w:pPr>
      <w:r w:rsidRPr="00F271C2">
        <w:rPr>
          <w:rFonts w:ascii="Arial" w:hAnsi="Arial" w:cs="Arial"/>
        </w:rPr>
        <w:t xml:space="preserve">We conducted 16S rRNA amplicon sequencing to assess the effects of the </w:t>
      </w:r>
      <w:proofErr w:type="spellStart"/>
      <w:r w:rsidRPr="00F271C2">
        <w:rPr>
          <w:rFonts w:ascii="Arial" w:hAnsi="Arial" w:cs="Arial"/>
        </w:rPr>
        <w:t>parasynbiotic</w:t>
      </w:r>
      <w:proofErr w:type="spellEnd"/>
      <w:r w:rsidRPr="00F271C2">
        <w:rPr>
          <w:rFonts w:ascii="Arial" w:hAnsi="Arial" w:cs="Arial"/>
        </w:rPr>
        <w:t xml:space="preserve"> intervention on the gut microbiota. β-diversity analysis revealed a marginal difference between the Ctrl and FASS groups at baseline (p = 0.065), and a similar marginal difference persisted between the Ctrl and post-intervention groups (p = 0.061) (Fig. 2). However, no significant differences were observed within the FASS group between baseline and post-intervention samples (p = 0.940). These findings suggest that the gut microbiota composition of FASS cats slightly differed from healthy controls at baseline and that the intervention did not dramatically alter this overall microbiome structure. This subtle microbiome distinction between FASS and healthy cats provides foundational insight supporting the exploration of microbiome-targeted therapeutic approaches, including </w:t>
      </w:r>
      <w:proofErr w:type="spellStart"/>
      <w:r w:rsidRPr="00F271C2">
        <w:rPr>
          <w:rFonts w:ascii="Arial" w:hAnsi="Arial" w:cs="Arial"/>
        </w:rPr>
        <w:t>parasynbiotics</w:t>
      </w:r>
      <w:proofErr w:type="spellEnd"/>
      <w:r w:rsidRPr="00F271C2">
        <w:rPr>
          <w:rFonts w:ascii="Arial" w:hAnsi="Arial" w:cs="Arial"/>
        </w:rPr>
        <w:t>, as potential interventions for FASS.</w:t>
      </w:r>
    </w:p>
    <w:p w14:paraId="7B387B1F" w14:textId="3626F110" w:rsidR="00F271C2" w:rsidRPr="00F271C2" w:rsidRDefault="00F271C2" w:rsidP="00F271C2">
      <w:pPr>
        <w:tabs>
          <w:tab w:val="left" w:pos="1080"/>
        </w:tabs>
        <w:ind w:firstLineChars="71" w:firstLine="170"/>
        <w:jc w:val="both"/>
        <w:rPr>
          <w:rFonts w:ascii="Arial" w:hAnsi="Arial" w:cs="Arial"/>
        </w:rPr>
      </w:pPr>
      <w:r w:rsidRPr="00F271C2">
        <w:rPr>
          <w:rFonts w:ascii="Arial" w:hAnsi="Arial" w:cs="Arial"/>
        </w:rPr>
        <w:t xml:space="preserve">Detailed taxonomic analyses identified key shifts in microbial populations. Compared to the Ctrl group, the FASS group at baseline exhibited significant increases in </w:t>
      </w:r>
      <w:r w:rsidRPr="005C05EB">
        <w:rPr>
          <w:rFonts w:ascii="Arial" w:hAnsi="Arial" w:cs="Arial"/>
          <w:i/>
          <w:iCs/>
        </w:rPr>
        <w:t>B. pullorum</w:t>
      </w:r>
      <w:r w:rsidR="00754191">
        <w:rPr>
          <w:rFonts w:ascii="Arial" w:hAnsi="Arial" w:cs="Arial"/>
          <w:i/>
          <w:iCs/>
        </w:rPr>
        <w:t xml:space="preserve"> </w:t>
      </w:r>
      <w:r w:rsidR="00754191">
        <w:rPr>
          <w:rFonts w:ascii="Arial" w:hAnsi="Arial" w:cs="Arial"/>
        </w:rPr>
        <w:t>and</w:t>
      </w:r>
      <w:r w:rsidRPr="00F271C2">
        <w:rPr>
          <w:rFonts w:ascii="Arial" w:hAnsi="Arial" w:cs="Arial"/>
        </w:rPr>
        <w:t xml:space="preserve"> </w:t>
      </w:r>
      <w:r w:rsidRPr="005C05EB">
        <w:rPr>
          <w:rFonts w:ascii="Arial" w:hAnsi="Arial" w:cs="Arial"/>
          <w:i/>
          <w:iCs/>
        </w:rPr>
        <w:t>B. longum</w:t>
      </w:r>
      <w:r w:rsidRPr="00F271C2">
        <w:rPr>
          <w:rFonts w:ascii="Arial" w:hAnsi="Arial" w:cs="Arial"/>
        </w:rPr>
        <w:t xml:space="preserve">. </w:t>
      </w:r>
      <w:r w:rsidRPr="005C05EB">
        <w:rPr>
          <w:rFonts w:ascii="Arial" w:hAnsi="Arial" w:cs="Arial"/>
          <w:i/>
          <w:iCs/>
        </w:rPr>
        <w:t>Bifidobacterium</w:t>
      </w:r>
      <w:r w:rsidRPr="00F271C2">
        <w:rPr>
          <w:rFonts w:ascii="Arial" w:hAnsi="Arial" w:cs="Arial"/>
        </w:rPr>
        <w:t xml:space="preserve"> species, including </w:t>
      </w:r>
      <w:r w:rsidRPr="005C05EB">
        <w:rPr>
          <w:rFonts w:ascii="Arial" w:hAnsi="Arial" w:cs="Arial"/>
          <w:i/>
          <w:iCs/>
        </w:rPr>
        <w:t>B. pullorum</w:t>
      </w:r>
      <w:r w:rsidRPr="00F271C2">
        <w:rPr>
          <w:rFonts w:ascii="Arial" w:hAnsi="Arial" w:cs="Arial"/>
        </w:rPr>
        <w:t xml:space="preserve"> and </w:t>
      </w:r>
      <w:r w:rsidRPr="005C05EB">
        <w:rPr>
          <w:rFonts w:ascii="Arial" w:hAnsi="Arial" w:cs="Arial"/>
          <w:i/>
          <w:iCs/>
        </w:rPr>
        <w:t>B. longum</w:t>
      </w:r>
      <w:r w:rsidRPr="00F271C2">
        <w:rPr>
          <w:rFonts w:ascii="Arial" w:hAnsi="Arial" w:cs="Arial"/>
        </w:rPr>
        <w:t>, produce short-chain fatty acids (O’Callaghan 2016) that play critical roles in linking gut microbiota and the immune system (Verstegen 2021). Notably, oral SCFA administration alleviates symptoms in atopic mouse models (</w:t>
      </w:r>
      <w:proofErr w:type="spellStart"/>
      <w:r w:rsidRPr="00F271C2">
        <w:rPr>
          <w:rFonts w:ascii="Arial" w:hAnsi="Arial" w:cs="Arial"/>
        </w:rPr>
        <w:t>Trompette</w:t>
      </w:r>
      <w:proofErr w:type="spellEnd"/>
      <w:r w:rsidRPr="00F271C2">
        <w:rPr>
          <w:rFonts w:ascii="Arial" w:hAnsi="Arial" w:cs="Arial"/>
        </w:rPr>
        <w:t xml:space="preserve"> 2022). However, the overgrowth of </w:t>
      </w:r>
      <w:r w:rsidRPr="005C05EB">
        <w:rPr>
          <w:rFonts w:ascii="Arial" w:hAnsi="Arial" w:cs="Arial"/>
          <w:i/>
          <w:iCs/>
        </w:rPr>
        <w:t>Bifidobacterium</w:t>
      </w:r>
      <w:r w:rsidRPr="00F271C2">
        <w:rPr>
          <w:rFonts w:ascii="Arial" w:hAnsi="Arial" w:cs="Arial"/>
        </w:rPr>
        <w:t xml:space="preserve"> species has been associated with Crohn’s disease (Wang 2020), suggesting that their increase is not universally beneficial. Further studies are required to elucidate the specific roles of these species in FASS pathogenesis.</w:t>
      </w:r>
    </w:p>
    <w:p w14:paraId="40D86121" w14:textId="2E2A66E0" w:rsidR="00F271C2" w:rsidRPr="00F271C2" w:rsidRDefault="00F271C2" w:rsidP="00F271C2">
      <w:pPr>
        <w:tabs>
          <w:tab w:val="left" w:pos="1080"/>
        </w:tabs>
        <w:ind w:firstLineChars="71" w:firstLine="170"/>
        <w:jc w:val="both"/>
        <w:rPr>
          <w:rFonts w:ascii="Arial" w:hAnsi="Arial" w:cs="Arial"/>
        </w:rPr>
      </w:pPr>
      <w:r w:rsidRPr="00F271C2">
        <w:rPr>
          <w:rFonts w:ascii="Arial" w:hAnsi="Arial" w:cs="Arial"/>
        </w:rPr>
        <w:t xml:space="preserve">Our results revealed that </w:t>
      </w:r>
      <w:proofErr w:type="spellStart"/>
      <w:r w:rsidR="00754191" w:rsidRPr="003C11A2">
        <w:rPr>
          <w:rFonts w:ascii="Arial" w:eastAsia="Calibri" w:hAnsi="Arial" w:cs="Arial"/>
          <w:i/>
          <w:iCs/>
          <w:sz w:val="21"/>
        </w:rPr>
        <w:t>stercoris</w:t>
      </w:r>
      <w:proofErr w:type="spellEnd"/>
      <w:r w:rsidR="00754191" w:rsidRPr="00E31342">
        <w:rPr>
          <w:rFonts w:ascii="Arial" w:eastAsia="Calibri" w:hAnsi="Arial" w:cs="Arial"/>
          <w:sz w:val="21"/>
        </w:rPr>
        <w:t xml:space="preserve"> was significantly enriched in FASS cats compared with healthy controls, whereas its abundance decreased significantly after </w:t>
      </w:r>
      <w:proofErr w:type="spellStart"/>
      <w:r w:rsidR="00754191" w:rsidRPr="00E31342">
        <w:rPr>
          <w:rFonts w:ascii="Arial" w:eastAsia="Calibri" w:hAnsi="Arial" w:cs="Arial"/>
          <w:sz w:val="21"/>
        </w:rPr>
        <w:t>parasynbiotic</w:t>
      </w:r>
      <w:proofErr w:type="spellEnd"/>
      <w:r w:rsidR="00754191" w:rsidRPr="00E31342">
        <w:rPr>
          <w:rFonts w:ascii="Arial" w:eastAsia="Calibri" w:hAnsi="Arial" w:cs="Arial"/>
          <w:sz w:val="21"/>
        </w:rPr>
        <w:t xml:space="preserve"> intervention</w:t>
      </w:r>
      <w:r w:rsidRPr="00F271C2">
        <w:rPr>
          <w:rFonts w:ascii="Arial" w:hAnsi="Arial" w:cs="Arial"/>
        </w:rPr>
        <w:t xml:space="preserve">. </w:t>
      </w:r>
      <w:r w:rsidRPr="005C05EB">
        <w:rPr>
          <w:rFonts w:ascii="Arial" w:hAnsi="Arial" w:cs="Arial"/>
          <w:i/>
          <w:iCs/>
        </w:rPr>
        <w:t xml:space="preserve">C. </w:t>
      </w:r>
      <w:proofErr w:type="spellStart"/>
      <w:r w:rsidRPr="005C05EB">
        <w:rPr>
          <w:rFonts w:ascii="Arial" w:hAnsi="Arial" w:cs="Arial"/>
          <w:i/>
          <w:iCs/>
        </w:rPr>
        <w:t>stercoris</w:t>
      </w:r>
      <w:proofErr w:type="spellEnd"/>
      <w:r w:rsidRPr="00F271C2">
        <w:rPr>
          <w:rFonts w:ascii="Arial" w:hAnsi="Arial" w:cs="Arial"/>
        </w:rPr>
        <w:t xml:space="preserve"> is associated with inflammatory conditions and linked to chronic kidney disease (Wu 2020) and cardiovascular disease (Prins 2024). Similarly, Xu et al. (Xu 2019) reported that probiotic administration in healthy dogs reduces </w:t>
      </w:r>
      <w:r w:rsidRPr="005C05EB">
        <w:rPr>
          <w:rFonts w:ascii="Arial" w:hAnsi="Arial" w:cs="Arial"/>
          <w:i/>
          <w:iCs/>
        </w:rPr>
        <w:t xml:space="preserve">C. </w:t>
      </w:r>
      <w:proofErr w:type="spellStart"/>
      <w:r w:rsidRPr="005C05EB">
        <w:rPr>
          <w:rFonts w:ascii="Arial" w:hAnsi="Arial" w:cs="Arial"/>
          <w:i/>
          <w:iCs/>
        </w:rPr>
        <w:t>stercoris</w:t>
      </w:r>
      <w:proofErr w:type="spellEnd"/>
      <w:r w:rsidRPr="00F271C2">
        <w:rPr>
          <w:rFonts w:ascii="Arial" w:hAnsi="Arial" w:cs="Arial"/>
        </w:rPr>
        <w:t xml:space="preserve"> levels and observed negative correlations between </w:t>
      </w:r>
      <w:proofErr w:type="spellStart"/>
      <w:r w:rsidRPr="005C05EB">
        <w:rPr>
          <w:rFonts w:ascii="Arial" w:hAnsi="Arial" w:cs="Arial"/>
          <w:i/>
          <w:iCs/>
        </w:rPr>
        <w:t>Collinsella</w:t>
      </w:r>
      <w:proofErr w:type="spellEnd"/>
      <w:r w:rsidRPr="00F271C2">
        <w:rPr>
          <w:rFonts w:ascii="Arial" w:hAnsi="Arial" w:cs="Arial"/>
        </w:rPr>
        <w:t xml:space="preserve"> species and feed intake, body weight, </w:t>
      </w:r>
      <w:proofErr w:type="spellStart"/>
      <w:r w:rsidRPr="00F271C2">
        <w:rPr>
          <w:rFonts w:ascii="Arial" w:hAnsi="Arial" w:cs="Arial"/>
        </w:rPr>
        <w:t>SIgA</w:t>
      </w:r>
      <w:proofErr w:type="spellEnd"/>
      <w:r w:rsidRPr="00F271C2">
        <w:rPr>
          <w:rFonts w:ascii="Arial" w:hAnsi="Arial" w:cs="Arial"/>
        </w:rPr>
        <w:t xml:space="preserve">, and IgG, as well as a positive correlation with the pro-inflammatory cytokine tumor necrosis factor-α. Although speculative, a similar inflammatory association might exist in </w:t>
      </w:r>
      <w:r w:rsidRPr="00F271C2">
        <w:rPr>
          <w:rFonts w:ascii="Arial" w:hAnsi="Arial" w:cs="Arial"/>
        </w:rPr>
        <w:lastRenderedPageBreak/>
        <w:t xml:space="preserve">FASS, as observed in other conditions; however, this remains unclear and warrants further investigation. These findings suggest that the reduction in </w:t>
      </w:r>
      <w:r w:rsidRPr="0083354E">
        <w:rPr>
          <w:rFonts w:ascii="Arial" w:hAnsi="Arial" w:cs="Arial"/>
          <w:i/>
          <w:iCs/>
        </w:rPr>
        <w:t xml:space="preserve">C. </w:t>
      </w:r>
      <w:proofErr w:type="spellStart"/>
      <w:r w:rsidRPr="0083354E">
        <w:rPr>
          <w:rFonts w:ascii="Arial" w:hAnsi="Arial" w:cs="Arial"/>
          <w:i/>
          <w:iCs/>
        </w:rPr>
        <w:t>stercoris</w:t>
      </w:r>
      <w:proofErr w:type="spellEnd"/>
      <w:r w:rsidRPr="00F271C2">
        <w:rPr>
          <w:rFonts w:ascii="Arial" w:hAnsi="Arial" w:cs="Arial"/>
        </w:rPr>
        <w:t xml:space="preserve"> abundance after the </w:t>
      </w:r>
      <w:proofErr w:type="spellStart"/>
      <w:r w:rsidRPr="00F271C2">
        <w:rPr>
          <w:rFonts w:ascii="Arial" w:hAnsi="Arial" w:cs="Arial"/>
        </w:rPr>
        <w:t>parasynbiotic</w:t>
      </w:r>
      <w:proofErr w:type="spellEnd"/>
      <w:r w:rsidRPr="00F271C2">
        <w:rPr>
          <w:rFonts w:ascii="Arial" w:hAnsi="Arial" w:cs="Arial"/>
        </w:rPr>
        <w:t xml:space="preserve"> intervention reflects improvements in gut health and reduced inflammation, and this possibly contributes to the significant reductions in SCORFAD and IPS scores.</w:t>
      </w:r>
    </w:p>
    <w:p w14:paraId="4812F50C" w14:textId="77777777" w:rsidR="00F271C2" w:rsidRPr="00F271C2" w:rsidRDefault="00F271C2" w:rsidP="00F271C2">
      <w:pPr>
        <w:tabs>
          <w:tab w:val="left" w:pos="1080"/>
        </w:tabs>
        <w:ind w:firstLineChars="71" w:firstLine="170"/>
        <w:jc w:val="both"/>
        <w:rPr>
          <w:rFonts w:ascii="Arial" w:hAnsi="Arial" w:cs="Arial"/>
        </w:rPr>
      </w:pPr>
      <w:r w:rsidRPr="00311B9F">
        <w:rPr>
          <w:rFonts w:ascii="Arial" w:hAnsi="Arial" w:cs="Arial"/>
          <w:i/>
          <w:iCs/>
        </w:rPr>
        <w:t>Cl. perfringens</w:t>
      </w:r>
      <w:r w:rsidRPr="00F271C2">
        <w:rPr>
          <w:rFonts w:ascii="Arial" w:hAnsi="Arial" w:cs="Arial"/>
        </w:rPr>
        <w:t xml:space="preserve"> also exhibited a declining abundance after the intervention. Huang et al. (Huang 2023) reported that </w:t>
      </w:r>
      <w:r w:rsidRPr="00311B9F">
        <w:rPr>
          <w:rFonts w:ascii="Arial" w:hAnsi="Arial" w:cs="Arial"/>
          <w:i/>
          <w:iCs/>
        </w:rPr>
        <w:t>Cl. perfringens</w:t>
      </w:r>
      <w:r w:rsidRPr="00F271C2">
        <w:rPr>
          <w:rFonts w:ascii="Arial" w:hAnsi="Arial" w:cs="Arial"/>
        </w:rPr>
        <w:t xml:space="preserve"> colonization increases the risk of allergic diseases in pediatric patients potentially due to enterotoxins that disrupt tight junctions, damage epithelia, alter the microbiota, and provoke abnormal host immune responses. In the present study, the reduction in </w:t>
      </w:r>
      <w:r w:rsidRPr="00311B9F">
        <w:rPr>
          <w:rFonts w:ascii="Arial" w:hAnsi="Arial" w:cs="Arial"/>
          <w:i/>
          <w:iCs/>
        </w:rPr>
        <w:t>Cl. perfringens</w:t>
      </w:r>
      <w:r w:rsidRPr="00F271C2">
        <w:rPr>
          <w:rFonts w:ascii="Arial" w:hAnsi="Arial" w:cs="Arial"/>
        </w:rPr>
        <w:t xml:space="preserve"> may have contributed to symptom alleviation in FASS through potential improvements in gut barrier integrity and inflammation. However, given the exploratory nature of this pilot study, further research specifically evaluating gut barrier function and inflammatory markers is required to confirm this hypothesis.</w:t>
      </w:r>
    </w:p>
    <w:p w14:paraId="562D314F" w14:textId="00B3829E" w:rsidR="00F271C2" w:rsidRPr="00F271C2" w:rsidRDefault="00F271C2" w:rsidP="00F271C2">
      <w:pPr>
        <w:tabs>
          <w:tab w:val="left" w:pos="1080"/>
        </w:tabs>
        <w:ind w:firstLineChars="71" w:firstLine="170"/>
        <w:jc w:val="both"/>
        <w:rPr>
          <w:rFonts w:ascii="Arial" w:hAnsi="Arial" w:cs="Arial"/>
          <w:iCs/>
          <w:szCs w:val="21"/>
        </w:rPr>
      </w:pPr>
      <w:r w:rsidRPr="00F271C2">
        <w:rPr>
          <w:rFonts w:ascii="Arial" w:hAnsi="Arial" w:cs="Arial"/>
          <w:iCs/>
          <w:szCs w:val="21"/>
        </w:rPr>
        <w:t>This study possesses several limitations inherent to its design as an open-label, non-randomized pilot trial with a small sample size. The lack of a placebo-controlled group and short treatment duration may have introduced potential biases in clinical assessment. Additionally, heterogeneity in factors such as age, diet, and medical history among enrolled cats may have influenced the outcomes. While we focused primarily on gut microbiota composition, functional aspects such as microbial metabolites and host immune responses were not assessed. Moreover, many microbial taxa identified remain functionally uncharacterized. These limitations underscore the need for larger, controlled studies to validate and extend the present findings.</w:t>
      </w:r>
    </w:p>
    <w:p w14:paraId="3195C967" w14:textId="77777777" w:rsidR="003F4E68" w:rsidRDefault="003F4E68" w:rsidP="003F4E68">
      <w:pPr>
        <w:tabs>
          <w:tab w:val="left" w:pos="1080"/>
        </w:tabs>
        <w:ind w:firstLineChars="71" w:firstLine="170"/>
        <w:jc w:val="both"/>
        <w:rPr>
          <w:rFonts w:ascii="Arial" w:hAnsi="Arial" w:cs="Arial"/>
        </w:rPr>
      </w:pPr>
      <w:r w:rsidRPr="00F271C2">
        <w:rPr>
          <w:rFonts w:ascii="Arial" w:hAnsi="Arial" w:cs="Arial"/>
        </w:rPr>
        <w:t xml:space="preserve">Overall, these preliminary findings suggest that </w:t>
      </w:r>
      <w:proofErr w:type="spellStart"/>
      <w:r w:rsidRPr="00F271C2">
        <w:rPr>
          <w:rFonts w:ascii="Arial" w:hAnsi="Arial" w:cs="Arial"/>
        </w:rPr>
        <w:t>parasynbiotics</w:t>
      </w:r>
      <w:proofErr w:type="spellEnd"/>
      <w:r w:rsidRPr="00F271C2">
        <w:rPr>
          <w:rFonts w:ascii="Arial" w:hAnsi="Arial" w:cs="Arial"/>
        </w:rPr>
        <w:t xml:space="preserve"> may selectively modulate certain aspects of the gut microbiota, potentially contributing to symptom improvement in FASS. Further research is necessary to clarify the precise relationship between microbiota changes and FASS pathogenesis and to evaluate whether these changes might inform future therapeutic strategies.</w:t>
      </w:r>
    </w:p>
    <w:p w14:paraId="03DC83D8" w14:textId="77777777" w:rsidR="00E053D0" w:rsidRDefault="00E053D0" w:rsidP="00441B6F">
      <w:pPr>
        <w:pStyle w:val="Body"/>
        <w:spacing w:after="0"/>
        <w:rPr>
          <w:rFonts w:ascii="Arial" w:hAnsi="Arial" w:cs="Arial"/>
        </w:rPr>
      </w:pPr>
    </w:p>
    <w:p w14:paraId="3DBA9F6E" w14:textId="77777777" w:rsidR="00790ADA" w:rsidRPr="00FB3A86" w:rsidRDefault="00790ADA" w:rsidP="00441B6F">
      <w:pPr>
        <w:pStyle w:val="Body"/>
        <w:spacing w:after="0"/>
        <w:rPr>
          <w:rFonts w:ascii="Arial" w:hAnsi="Arial" w:cs="Arial"/>
        </w:rPr>
      </w:pPr>
    </w:p>
    <w:p w14:paraId="2DBD54C5" w14:textId="0F9CE2D3" w:rsidR="00790ADA" w:rsidRPr="00FB3A86"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D26C268" w14:textId="153772A9" w:rsidR="00790ADA" w:rsidRDefault="00F271C2" w:rsidP="00441B6F">
      <w:pPr>
        <w:pStyle w:val="Body"/>
        <w:spacing w:after="0"/>
        <w:rPr>
          <w:rFonts w:ascii="Arial" w:hAnsi="Arial" w:cs="Arial"/>
        </w:rPr>
      </w:pPr>
      <w:r w:rsidRPr="00F271C2">
        <w:rPr>
          <w:rFonts w:ascii="Arial" w:hAnsi="Arial" w:cs="Arial"/>
        </w:rPr>
        <w:t xml:space="preserve">This pilot study represents the first </w:t>
      </w:r>
      <w:proofErr w:type="spellStart"/>
      <w:r w:rsidRPr="00F271C2">
        <w:rPr>
          <w:rFonts w:ascii="Arial" w:hAnsi="Arial" w:cs="Arial"/>
        </w:rPr>
        <w:t>paraprobiotic</w:t>
      </w:r>
      <w:proofErr w:type="spellEnd"/>
      <w:r w:rsidRPr="00F271C2">
        <w:rPr>
          <w:rFonts w:ascii="Arial" w:hAnsi="Arial" w:cs="Arial"/>
        </w:rPr>
        <w:t xml:space="preserve"> intervention for FASS, addressing the scarcity of gut microbiota-targeted approaches in this condition. Administration of a </w:t>
      </w:r>
      <w:proofErr w:type="spellStart"/>
      <w:r w:rsidRPr="00F271C2">
        <w:rPr>
          <w:rFonts w:ascii="Arial" w:hAnsi="Arial" w:cs="Arial"/>
        </w:rPr>
        <w:t>parasynbiotic</w:t>
      </w:r>
      <w:proofErr w:type="spellEnd"/>
      <w:r w:rsidRPr="00F271C2">
        <w:rPr>
          <w:rFonts w:ascii="Arial" w:hAnsi="Arial" w:cs="Arial"/>
        </w:rPr>
        <w:t xml:space="preserve"> combining </w:t>
      </w:r>
      <w:proofErr w:type="spellStart"/>
      <w:r w:rsidRPr="00F271C2">
        <w:rPr>
          <w:rFonts w:ascii="Arial" w:hAnsi="Arial" w:cs="Arial"/>
        </w:rPr>
        <w:t>Kes</w:t>
      </w:r>
      <w:proofErr w:type="spellEnd"/>
      <w:r w:rsidRPr="00F271C2">
        <w:rPr>
          <w:rFonts w:ascii="Arial" w:hAnsi="Arial" w:cs="Arial"/>
        </w:rPr>
        <w:t xml:space="preserve"> and heat-killed FM8 significantly improved clinical symptoms and partially normalized the gut microbiota, including reductions in </w:t>
      </w:r>
      <w:r w:rsidRPr="00C90A38">
        <w:rPr>
          <w:rFonts w:ascii="Arial" w:hAnsi="Arial" w:cs="Arial"/>
          <w:i/>
          <w:iCs/>
        </w:rPr>
        <w:t xml:space="preserve">C. </w:t>
      </w:r>
      <w:proofErr w:type="spellStart"/>
      <w:r w:rsidRPr="00C90A38">
        <w:rPr>
          <w:rFonts w:ascii="Arial" w:hAnsi="Arial" w:cs="Arial"/>
          <w:i/>
          <w:iCs/>
        </w:rPr>
        <w:t>stercoris</w:t>
      </w:r>
      <w:proofErr w:type="spellEnd"/>
      <w:r w:rsidR="00C9519D">
        <w:rPr>
          <w:rFonts w:ascii="Arial" w:hAnsi="Arial" w:cs="Arial"/>
          <w:i/>
          <w:iCs/>
        </w:rPr>
        <w:t xml:space="preserve"> </w:t>
      </w:r>
      <w:r w:rsidR="00C9519D" w:rsidRPr="0083354E">
        <w:rPr>
          <w:rFonts w:ascii="Arial" w:hAnsi="Arial" w:cs="Arial"/>
          <w:u w:val="single"/>
        </w:rPr>
        <w:t>and</w:t>
      </w:r>
      <w:r w:rsidR="00C9519D">
        <w:rPr>
          <w:rFonts w:ascii="Arial" w:hAnsi="Arial" w:cs="Arial"/>
          <w:i/>
          <w:iCs/>
        </w:rPr>
        <w:t xml:space="preserve"> </w:t>
      </w:r>
      <w:r w:rsidR="00C9519D" w:rsidRPr="00C90A38">
        <w:rPr>
          <w:rFonts w:ascii="Arial" w:hAnsi="Arial" w:cs="Arial"/>
          <w:i/>
          <w:iCs/>
        </w:rPr>
        <w:t>Cl. perfringens</w:t>
      </w:r>
      <w:r w:rsidRPr="00F271C2">
        <w:rPr>
          <w:rFonts w:ascii="Arial" w:hAnsi="Arial" w:cs="Arial"/>
        </w:rPr>
        <w:t>. These findings suggest that modulating the gut microbiota holds promise as a novel therapeutic strategy for FASS. Further research is needed to deepen our understanding of the interplay between gut microbiota, FASS pathogenesis, and therapeutic potential.</w:t>
      </w:r>
    </w:p>
    <w:p w14:paraId="51553CB3" w14:textId="77777777" w:rsidR="00F271C2" w:rsidRPr="00FB3A86" w:rsidRDefault="00F271C2" w:rsidP="00441B6F">
      <w:pPr>
        <w:pStyle w:val="Body"/>
        <w:spacing w:after="0"/>
        <w:rPr>
          <w:rFonts w:ascii="Arial" w:hAnsi="Arial" w:cs="Arial"/>
        </w:rPr>
      </w:pPr>
    </w:p>
    <w:p w14:paraId="2C2643BA" w14:textId="4E48C450" w:rsidR="003F6D3F" w:rsidRDefault="003F6D3F" w:rsidP="003F6D3F">
      <w:pPr>
        <w:rPr>
          <w:rFonts w:ascii="Arial" w:hAnsi="Arial" w:cs="Arial"/>
          <w:b/>
          <w:caps/>
        </w:rPr>
      </w:pPr>
    </w:p>
    <w:p w14:paraId="58A01012" w14:textId="0F9568AB" w:rsidR="00BE2014" w:rsidRDefault="00BE2014" w:rsidP="003F6D3F">
      <w:pPr>
        <w:rPr>
          <w:rFonts w:ascii="Arial" w:hAnsi="Arial" w:cs="Arial"/>
          <w:b/>
          <w:caps/>
        </w:rPr>
      </w:pPr>
    </w:p>
    <w:p w14:paraId="71DD31B3" w14:textId="77777777" w:rsidR="00BE2014" w:rsidRDefault="00BE2014" w:rsidP="003F6D3F">
      <w:pPr>
        <w:rPr>
          <w:rFonts w:ascii="Arial" w:hAnsi="Arial" w:cs="Arial"/>
          <w:b/>
          <w:caps/>
        </w:rPr>
      </w:pPr>
    </w:p>
    <w:p w14:paraId="233019E8" w14:textId="77777777" w:rsidR="003F6D3F" w:rsidRPr="003F6D3F" w:rsidRDefault="002B685A" w:rsidP="003F6D3F">
      <w:pPr>
        <w:rPr>
          <w:rFonts w:ascii="Arial" w:hAnsi="Arial" w:cs="Arial"/>
          <w:b/>
        </w:rPr>
      </w:pPr>
      <w:r w:rsidRPr="003F6D3F">
        <w:rPr>
          <w:rFonts w:ascii="Arial" w:hAnsi="Arial" w:cs="Arial"/>
          <w:b/>
        </w:rPr>
        <w:lastRenderedPageBreak/>
        <w:t xml:space="preserve">Consent </w:t>
      </w:r>
    </w:p>
    <w:p w14:paraId="487608A8" w14:textId="77777777" w:rsidR="003F6D3F" w:rsidRDefault="00F271C2" w:rsidP="003F6D3F">
      <w:pPr>
        <w:rPr>
          <w:rFonts w:ascii="Arial" w:hAnsi="Arial" w:cs="Arial"/>
        </w:rPr>
      </w:pPr>
      <w:r w:rsidRPr="00F271C2">
        <w:rPr>
          <w:rFonts w:ascii="Arial" w:hAnsi="Arial" w:cs="Arial"/>
        </w:rPr>
        <w:t>Written informed consent for the publication of data related to the cats was obtained from the owners prior to the study.</w:t>
      </w:r>
    </w:p>
    <w:p w14:paraId="4B286A6F" w14:textId="77777777" w:rsidR="003F6D3F" w:rsidRDefault="003F6D3F" w:rsidP="003F6D3F">
      <w:pPr>
        <w:rPr>
          <w:rFonts w:ascii="Arial" w:hAnsi="Arial" w:cs="Arial"/>
        </w:rPr>
      </w:pPr>
    </w:p>
    <w:p w14:paraId="0D1E7A8A" w14:textId="77777777" w:rsidR="003F6D3F" w:rsidRPr="003F6D3F" w:rsidRDefault="005C784C" w:rsidP="003F6D3F">
      <w:pPr>
        <w:rPr>
          <w:rFonts w:ascii="Arial" w:hAnsi="Arial" w:cs="Arial"/>
          <w:b/>
        </w:rPr>
      </w:pPr>
      <w:r w:rsidRPr="003F6D3F">
        <w:rPr>
          <w:rFonts w:ascii="Arial" w:hAnsi="Arial" w:cs="Arial"/>
          <w:b/>
        </w:rPr>
        <w:t xml:space="preserve">Ethical approval </w:t>
      </w:r>
    </w:p>
    <w:p w14:paraId="02B1B2C8" w14:textId="77777777" w:rsidR="003F6D3F" w:rsidRDefault="00F271C2" w:rsidP="003F6D3F">
      <w:pPr>
        <w:rPr>
          <w:rFonts w:ascii="Arial" w:hAnsi="Arial" w:cs="Arial"/>
        </w:rPr>
      </w:pPr>
      <w:r w:rsidRPr="00F271C2">
        <w:rPr>
          <w:rFonts w:ascii="Arial" w:hAnsi="Arial" w:cs="Arial"/>
        </w:rPr>
        <w:t>This study, as a clinical research project, was approved and granted by 1sec. Co., Ltd. (approval No. 24006).</w:t>
      </w:r>
    </w:p>
    <w:p w14:paraId="180AE0BD" w14:textId="77777777" w:rsidR="003F6D3F" w:rsidRDefault="003F6D3F" w:rsidP="003F6D3F">
      <w:pPr>
        <w:rPr>
          <w:rFonts w:ascii="Arial" w:hAnsi="Arial" w:cs="Arial"/>
          <w:b/>
          <w:sz w:val="22"/>
          <w:szCs w:val="22"/>
        </w:rPr>
      </w:pPr>
    </w:p>
    <w:p w14:paraId="2BE5EB55" w14:textId="77777777" w:rsidR="002C5270" w:rsidRPr="002C5270" w:rsidRDefault="002C5270" w:rsidP="002C5270">
      <w:pPr>
        <w:spacing w:after="200" w:line="276" w:lineRule="auto"/>
        <w:jc w:val="both"/>
        <w:outlineLvl w:val="0"/>
        <w:rPr>
          <w:rFonts w:ascii="Arial" w:eastAsiaTheme="minorEastAsia" w:hAnsi="Arial" w:cs="Arial"/>
          <w:sz w:val="22"/>
          <w:szCs w:val="22"/>
          <w:lang w:val="en-GB" w:eastAsia="en-GB"/>
        </w:rPr>
      </w:pPr>
      <w:r w:rsidRPr="002C5270">
        <w:rPr>
          <w:rFonts w:ascii="Arial" w:eastAsiaTheme="minorEastAsia" w:hAnsi="Arial" w:cs="Arial"/>
          <w:b/>
          <w:bCs/>
          <w:sz w:val="22"/>
          <w:szCs w:val="22"/>
          <w:lang w:val="en-GB" w:eastAsia="en-GB"/>
        </w:rPr>
        <w:t>COMPETING INTERESTS DISCLAIMER:</w:t>
      </w:r>
    </w:p>
    <w:p w14:paraId="2E81D5A6" w14:textId="77777777" w:rsidR="002C5270" w:rsidRDefault="002C5270" w:rsidP="002C5270">
      <w:pPr>
        <w:spacing w:after="200" w:line="276" w:lineRule="auto"/>
        <w:rPr>
          <w:rFonts w:asciiTheme="minorHAnsi" w:eastAsiaTheme="minorEastAsia" w:hAnsiTheme="minorHAnsi" w:cstheme="minorBidi"/>
          <w:sz w:val="22"/>
          <w:szCs w:val="22"/>
          <w:lang w:val="en-GB" w:eastAsia="en-GB"/>
        </w:rPr>
      </w:pPr>
      <w:r w:rsidRPr="002C5270">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3DAF91A6" w14:textId="77777777" w:rsidR="00704A8E" w:rsidRDefault="00704A8E" w:rsidP="002C5270">
      <w:pPr>
        <w:spacing w:after="200" w:line="276" w:lineRule="auto"/>
        <w:rPr>
          <w:rFonts w:asciiTheme="minorHAnsi" w:eastAsiaTheme="minorEastAsia" w:hAnsiTheme="minorHAnsi" w:cstheme="minorBidi"/>
          <w:sz w:val="22"/>
          <w:szCs w:val="22"/>
          <w:lang w:val="en-GB" w:eastAsia="en-GB"/>
        </w:rPr>
      </w:pPr>
    </w:p>
    <w:p w14:paraId="08967A78" w14:textId="77777777" w:rsidR="00704A8E" w:rsidRPr="003F6D3F" w:rsidRDefault="00704A8E" w:rsidP="00704A8E">
      <w:pPr>
        <w:pStyle w:val="Body"/>
        <w:spacing w:after="0"/>
        <w:rPr>
          <w:rFonts w:ascii="Arial" w:hAnsi="Arial" w:cs="Arial"/>
          <w:b/>
          <w:bCs/>
          <w:sz w:val="22"/>
          <w:szCs w:val="22"/>
          <w:shd w:val="clear" w:color="auto" w:fill="FFFFFF"/>
        </w:rPr>
      </w:pPr>
      <w:r w:rsidRPr="003F6D3F">
        <w:rPr>
          <w:rFonts w:ascii="Arial" w:hAnsi="Arial" w:cs="Arial"/>
          <w:b/>
          <w:bCs/>
          <w:sz w:val="22"/>
          <w:szCs w:val="22"/>
          <w:shd w:val="clear" w:color="auto" w:fill="FFFFFF"/>
        </w:rPr>
        <w:t>ABBREVIATIONS</w:t>
      </w:r>
    </w:p>
    <w:p w14:paraId="0FE507D1" w14:textId="77777777" w:rsidR="00704A8E" w:rsidRPr="003F6D3F" w:rsidRDefault="00704A8E" w:rsidP="00704A8E">
      <w:pPr>
        <w:pStyle w:val="Body"/>
        <w:spacing w:after="0"/>
        <w:rPr>
          <w:rFonts w:ascii="Arial" w:hAnsi="Arial" w:cs="Arial"/>
          <w:shd w:val="clear" w:color="auto" w:fill="FFFFFF"/>
        </w:rPr>
      </w:pPr>
      <w:r w:rsidRPr="003F6D3F">
        <w:rPr>
          <w:rFonts w:ascii="Arial" w:hAnsi="Arial" w:cs="Arial"/>
          <w:shd w:val="clear" w:color="auto" w:fill="FFFFFF"/>
        </w:rPr>
        <w:t>CAI:</w:t>
      </w:r>
      <w:r>
        <w:rPr>
          <w:rFonts w:ascii="Arial" w:hAnsi="Arial" w:cs="Arial"/>
          <w:shd w:val="clear" w:color="auto" w:fill="FFFFFF"/>
        </w:rPr>
        <w:t xml:space="preserve"> c</w:t>
      </w:r>
      <w:r w:rsidRPr="003F6D3F">
        <w:rPr>
          <w:rFonts w:ascii="Arial" w:hAnsi="Arial" w:cs="Arial"/>
          <w:shd w:val="clear" w:color="auto" w:fill="FFFFFF"/>
        </w:rPr>
        <w:t xml:space="preserve">linical </w:t>
      </w:r>
      <w:r>
        <w:rPr>
          <w:rFonts w:ascii="Arial" w:hAnsi="Arial" w:cs="Arial"/>
          <w:shd w:val="clear" w:color="auto" w:fill="FFFFFF"/>
        </w:rPr>
        <w:t>a</w:t>
      </w:r>
      <w:r w:rsidRPr="003F6D3F">
        <w:rPr>
          <w:rFonts w:ascii="Arial" w:hAnsi="Arial" w:cs="Arial"/>
          <w:shd w:val="clear" w:color="auto" w:fill="FFFFFF"/>
        </w:rPr>
        <w:t xml:space="preserve">ctivity </w:t>
      </w:r>
      <w:r>
        <w:rPr>
          <w:rFonts w:ascii="Arial" w:hAnsi="Arial" w:cs="Arial"/>
          <w:shd w:val="clear" w:color="auto" w:fill="FFFFFF"/>
        </w:rPr>
        <w:t>i</w:t>
      </w:r>
      <w:r w:rsidRPr="003F6D3F">
        <w:rPr>
          <w:rFonts w:ascii="Arial" w:hAnsi="Arial" w:cs="Arial"/>
          <w:shd w:val="clear" w:color="auto" w:fill="FFFFFF"/>
        </w:rPr>
        <w:t>ndex</w:t>
      </w:r>
    </w:p>
    <w:p w14:paraId="60699592" w14:textId="77777777" w:rsidR="00704A8E" w:rsidRPr="003F6D3F" w:rsidRDefault="00704A8E" w:rsidP="00704A8E">
      <w:pPr>
        <w:pStyle w:val="Body"/>
        <w:spacing w:after="0"/>
        <w:rPr>
          <w:rFonts w:ascii="Arial" w:eastAsia="Calibri" w:hAnsi="Arial" w:cs="Arial"/>
        </w:rPr>
      </w:pPr>
      <w:r w:rsidRPr="003F6D3F">
        <w:rPr>
          <w:rFonts w:ascii="Arial" w:eastAsia="Calibri" w:hAnsi="Arial" w:cs="Arial"/>
        </w:rPr>
        <w:t>FASS:</w:t>
      </w:r>
      <w:r>
        <w:rPr>
          <w:rFonts w:ascii="Arial" w:eastAsia="Calibri" w:hAnsi="Arial" w:cs="Arial"/>
        </w:rPr>
        <w:t xml:space="preserve"> </w:t>
      </w:r>
      <w:r w:rsidRPr="003F6D3F">
        <w:rPr>
          <w:rFonts w:ascii="Arial" w:eastAsia="Calibri" w:hAnsi="Arial" w:cs="Arial"/>
        </w:rPr>
        <w:t xml:space="preserve">Feline atopic skin syndrome </w:t>
      </w:r>
    </w:p>
    <w:p w14:paraId="4D9BE82A" w14:textId="77777777" w:rsidR="00704A8E" w:rsidRPr="003F6D3F" w:rsidRDefault="00704A8E" w:rsidP="00704A8E">
      <w:pPr>
        <w:pStyle w:val="Body"/>
        <w:spacing w:after="0"/>
        <w:rPr>
          <w:rFonts w:ascii="Arial" w:eastAsia="Calibri" w:hAnsi="Arial" w:cs="Arial"/>
        </w:rPr>
      </w:pPr>
      <w:r w:rsidRPr="003F6D3F">
        <w:rPr>
          <w:rFonts w:ascii="Arial" w:eastAsia="Calibri" w:hAnsi="Arial" w:cs="Arial"/>
        </w:rPr>
        <w:t>GAI: rating of global assessment of improvement</w:t>
      </w:r>
    </w:p>
    <w:p w14:paraId="71268333" w14:textId="77777777" w:rsidR="00704A8E" w:rsidRPr="003F6D3F" w:rsidRDefault="00704A8E" w:rsidP="00704A8E">
      <w:pPr>
        <w:pStyle w:val="Body"/>
        <w:spacing w:after="0"/>
        <w:rPr>
          <w:rFonts w:ascii="Arial" w:eastAsia="Calibri" w:hAnsi="Arial" w:cs="Arial"/>
        </w:rPr>
      </w:pPr>
      <w:r w:rsidRPr="003F6D3F">
        <w:rPr>
          <w:rFonts w:ascii="Arial" w:eastAsia="Calibri" w:hAnsi="Arial" w:cs="Arial"/>
        </w:rPr>
        <w:t>IPS:</w:t>
      </w:r>
      <w:r>
        <w:rPr>
          <w:rFonts w:ascii="Arial" w:eastAsia="Calibri" w:hAnsi="Arial" w:cs="Arial"/>
        </w:rPr>
        <w:t xml:space="preserve"> </w:t>
      </w:r>
      <w:r w:rsidRPr="003F6D3F">
        <w:rPr>
          <w:rFonts w:ascii="Arial" w:eastAsia="Calibri" w:hAnsi="Arial" w:cs="Arial"/>
        </w:rPr>
        <w:t>investigator pruritus score</w:t>
      </w:r>
    </w:p>
    <w:p w14:paraId="6D84239A" w14:textId="77777777" w:rsidR="00704A8E" w:rsidRPr="003F6D3F" w:rsidRDefault="00704A8E" w:rsidP="00704A8E">
      <w:pPr>
        <w:pStyle w:val="Body"/>
        <w:spacing w:after="0"/>
        <w:rPr>
          <w:rFonts w:ascii="Arial" w:hAnsi="Arial" w:cs="Arial"/>
          <w:shd w:val="clear" w:color="auto" w:fill="FFFFFF"/>
        </w:rPr>
      </w:pPr>
      <w:proofErr w:type="spellStart"/>
      <w:r w:rsidRPr="003F6D3F">
        <w:rPr>
          <w:rFonts w:ascii="Arial" w:hAnsi="Arial" w:cs="Arial"/>
          <w:shd w:val="clear" w:color="auto" w:fill="FFFFFF"/>
        </w:rPr>
        <w:t>PCoA</w:t>
      </w:r>
      <w:proofErr w:type="spellEnd"/>
      <w:r w:rsidRPr="003F6D3F">
        <w:rPr>
          <w:rFonts w:ascii="Arial" w:hAnsi="Arial" w:cs="Arial"/>
          <w:shd w:val="clear" w:color="auto" w:fill="FFFFFF"/>
        </w:rPr>
        <w:t xml:space="preserve">: </w:t>
      </w:r>
      <w:proofErr w:type="spellStart"/>
      <w:r>
        <w:rPr>
          <w:rFonts w:ascii="Arial" w:hAnsi="Arial" w:cs="Arial"/>
          <w:shd w:val="clear" w:color="auto" w:fill="FFFFFF"/>
        </w:rPr>
        <w:t>p</w:t>
      </w:r>
      <w:r w:rsidRPr="003F6D3F">
        <w:rPr>
          <w:rFonts w:ascii="Arial" w:hAnsi="Arial" w:cs="Arial"/>
          <w:shd w:val="clear" w:color="auto" w:fill="FFFFFF"/>
        </w:rPr>
        <w:t>rincipal</w:t>
      </w:r>
      <w:r>
        <w:rPr>
          <w:rFonts w:ascii="Arial" w:hAnsi="Arial" w:cs="Arial"/>
          <w:shd w:val="clear" w:color="auto" w:fill="FFFFFF"/>
        </w:rPr>
        <w:t>c</w:t>
      </w:r>
      <w:r w:rsidRPr="003F6D3F">
        <w:rPr>
          <w:rFonts w:ascii="Arial" w:hAnsi="Arial" w:cs="Arial"/>
          <w:shd w:val="clear" w:color="auto" w:fill="FFFFFF"/>
        </w:rPr>
        <w:t>oordinate</w:t>
      </w:r>
      <w:proofErr w:type="spellEnd"/>
      <w:r w:rsidRPr="003F6D3F">
        <w:rPr>
          <w:rFonts w:ascii="Arial" w:hAnsi="Arial" w:cs="Arial"/>
          <w:shd w:val="clear" w:color="auto" w:fill="FFFFFF"/>
        </w:rPr>
        <w:t xml:space="preserve"> </w:t>
      </w:r>
      <w:r>
        <w:rPr>
          <w:rFonts w:ascii="Arial" w:hAnsi="Arial" w:cs="Arial"/>
          <w:shd w:val="clear" w:color="auto" w:fill="FFFFFF"/>
        </w:rPr>
        <w:t>a</w:t>
      </w:r>
      <w:r w:rsidRPr="003F6D3F">
        <w:rPr>
          <w:rFonts w:ascii="Arial" w:hAnsi="Arial" w:cs="Arial"/>
          <w:shd w:val="clear" w:color="auto" w:fill="FFFFFF"/>
        </w:rPr>
        <w:t>nalysis</w:t>
      </w:r>
    </w:p>
    <w:p w14:paraId="0156B054" w14:textId="77777777" w:rsidR="00704A8E" w:rsidRPr="003F6D3F" w:rsidRDefault="00704A8E" w:rsidP="00704A8E">
      <w:pPr>
        <w:pStyle w:val="Body"/>
        <w:spacing w:after="0"/>
        <w:rPr>
          <w:rFonts w:ascii="Arial" w:eastAsia="Calibri" w:hAnsi="Arial" w:cs="Arial"/>
        </w:rPr>
      </w:pPr>
      <w:r w:rsidRPr="003F6D3F">
        <w:rPr>
          <w:rFonts w:ascii="Arial" w:eastAsia="Calibri" w:hAnsi="Arial" w:cs="Arial"/>
        </w:rPr>
        <w:t>SCORFAD:</w:t>
      </w:r>
      <w:r>
        <w:rPr>
          <w:rFonts w:ascii="Arial" w:eastAsia="Calibri" w:hAnsi="Arial" w:cs="Arial"/>
        </w:rPr>
        <w:t xml:space="preserve"> scor</w:t>
      </w:r>
      <w:r w:rsidRPr="003F6D3F">
        <w:rPr>
          <w:rFonts w:ascii="Arial" w:eastAsia="Calibri" w:hAnsi="Arial" w:cs="Arial"/>
        </w:rPr>
        <w:t xml:space="preserve">ing </w:t>
      </w:r>
      <w:r>
        <w:rPr>
          <w:rFonts w:ascii="Arial" w:eastAsia="Calibri" w:hAnsi="Arial" w:cs="Arial"/>
        </w:rPr>
        <w:t>f</w:t>
      </w:r>
      <w:r w:rsidRPr="003F6D3F">
        <w:rPr>
          <w:rFonts w:ascii="Arial" w:eastAsia="Calibri" w:hAnsi="Arial" w:cs="Arial"/>
        </w:rPr>
        <w:t xml:space="preserve">eline </w:t>
      </w:r>
      <w:r>
        <w:rPr>
          <w:rFonts w:ascii="Arial" w:eastAsia="Calibri" w:hAnsi="Arial" w:cs="Arial"/>
        </w:rPr>
        <w:t>a</w:t>
      </w:r>
      <w:r w:rsidRPr="003F6D3F">
        <w:rPr>
          <w:rFonts w:ascii="Arial" w:eastAsia="Calibri" w:hAnsi="Arial" w:cs="Arial"/>
        </w:rPr>
        <w:t xml:space="preserve">llergic </w:t>
      </w:r>
      <w:r>
        <w:rPr>
          <w:rFonts w:ascii="Arial" w:eastAsia="Calibri" w:hAnsi="Arial" w:cs="Arial"/>
        </w:rPr>
        <w:t>d</w:t>
      </w:r>
      <w:r w:rsidRPr="003F6D3F">
        <w:rPr>
          <w:rFonts w:ascii="Arial" w:eastAsia="Calibri" w:hAnsi="Arial" w:cs="Arial"/>
        </w:rPr>
        <w:t>ermatitis</w:t>
      </w:r>
    </w:p>
    <w:p w14:paraId="081F3ED0" w14:textId="77777777" w:rsidR="00704A8E" w:rsidRPr="002C5270" w:rsidRDefault="00704A8E" w:rsidP="002C5270">
      <w:pPr>
        <w:spacing w:after="200" w:line="276" w:lineRule="auto"/>
        <w:rPr>
          <w:rFonts w:asciiTheme="minorHAnsi" w:eastAsiaTheme="minorEastAsia" w:hAnsiTheme="minorHAnsi" w:cstheme="minorBidi"/>
          <w:sz w:val="22"/>
          <w:szCs w:val="22"/>
          <w:lang w:val="en-GB" w:eastAsia="en-GB"/>
        </w:rPr>
      </w:pPr>
    </w:p>
    <w:p w14:paraId="45EE1CDE" w14:textId="77777777" w:rsidR="002C5270" w:rsidRPr="002C5270" w:rsidRDefault="002C5270" w:rsidP="002C5270">
      <w:pPr>
        <w:spacing w:after="200" w:line="276" w:lineRule="auto"/>
        <w:rPr>
          <w:rFonts w:asciiTheme="minorHAnsi" w:eastAsiaTheme="minorEastAsia" w:hAnsiTheme="minorHAnsi" w:cstheme="minorBidi"/>
          <w:sz w:val="22"/>
          <w:szCs w:val="22"/>
          <w:lang w:val="en-GB" w:eastAsia="en-GB"/>
        </w:rPr>
      </w:pPr>
    </w:p>
    <w:p w14:paraId="5AD64923" w14:textId="77777777" w:rsidR="002C5270" w:rsidRPr="002C5270" w:rsidRDefault="002C5270" w:rsidP="002C5270">
      <w:pPr>
        <w:spacing w:after="200" w:line="276" w:lineRule="auto"/>
        <w:rPr>
          <w:rFonts w:asciiTheme="minorHAnsi" w:eastAsiaTheme="minorEastAsia" w:hAnsiTheme="minorHAnsi" w:cstheme="minorBidi"/>
          <w:sz w:val="22"/>
          <w:szCs w:val="22"/>
          <w:lang w:val="en-GB" w:eastAsia="en-GB"/>
        </w:rPr>
      </w:pPr>
    </w:p>
    <w:p w14:paraId="48AB98C5" w14:textId="77777777" w:rsidR="002C5270" w:rsidRDefault="002C5270" w:rsidP="003F6D3F">
      <w:pPr>
        <w:rPr>
          <w:rFonts w:ascii="Arial" w:hAnsi="Arial" w:cs="Arial"/>
        </w:rPr>
      </w:pPr>
    </w:p>
    <w:p w14:paraId="580895F1" w14:textId="77777777" w:rsidR="003F6D3F" w:rsidRDefault="003F6D3F" w:rsidP="003F6D3F">
      <w:pPr>
        <w:rPr>
          <w:rFonts w:ascii="Arial" w:hAnsi="Arial" w:cs="Arial"/>
        </w:rPr>
      </w:pPr>
    </w:p>
    <w:p w14:paraId="2EBD1DD2" w14:textId="77777777" w:rsidR="003F6D3F" w:rsidRPr="003F6D3F" w:rsidRDefault="003F6D3F" w:rsidP="003F6D3F"/>
    <w:p w14:paraId="5112586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7D78B3E" w14:textId="77777777" w:rsidR="00790ADA" w:rsidRPr="00FB3A86" w:rsidRDefault="00790ADA" w:rsidP="00441B6F">
      <w:pPr>
        <w:pStyle w:val="ReferHead"/>
        <w:spacing w:after="0"/>
        <w:jc w:val="both"/>
        <w:rPr>
          <w:rFonts w:ascii="Arial" w:hAnsi="Arial" w:cs="Arial"/>
        </w:rPr>
      </w:pPr>
    </w:p>
    <w:p w14:paraId="6F77B5DF" w14:textId="16AD509A" w:rsidR="00F271C2" w:rsidRDefault="00F271C2" w:rsidP="00CB43C2">
      <w:pPr>
        <w:ind w:left="511" w:hangingChars="213" w:hanging="511"/>
        <w:rPr>
          <w:rFonts w:ascii="Arial" w:hAnsi="Arial" w:cs="Arial"/>
          <w:iCs/>
        </w:rPr>
      </w:pPr>
      <w:r w:rsidRPr="00F271C2">
        <w:rPr>
          <w:rFonts w:ascii="Arial" w:hAnsi="Arial" w:cs="Arial"/>
          <w:iCs/>
        </w:rPr>
        <w:t xml:space="preserve">Ambily, V. R., Usha, N. P., Ajithkumar, S., Deepa, C., Vinu David, P., </w:t>
      </w:r>
      <w:proofErr w:type="spellStart"/>
      <w:r w:rsidRPr="00F271C2">
        <w:rPr>
          <w:rFonts w:ascii="Arial" w:hAnsi="Arial" w:cs="Arial"/>
          <w:iCs/>
        </w:rPr>
        <w:t>Aravindakshan</w:t>
      </w:r>
      <w:proofErr w:type="spellEnd"/>
      <w:r w:rsidRPr="00F271C2">
        <w:rPr>
          <w:rFonts w:ascii="Arial" w:hAnsi="Arial" w:cs="Arial"/>
          <w:iCs/>
        </w:rPr>
        <w:t>, T. V.,</w:t>
      </w:r>
      <w:r w:rsidRPr="00F271C2">
        <w:rPr>
          <w:rFonts w:ascii="Arial" w:hAnsi="Arial" w:cs="Arial"/>
          <w:i/>
        </w:rPr>
        <w:t xml:space="preserve"> </w:t>
      </w:r>
      <w:r w:rsidRPr="00F271C2">
        <w:rPr>
          <w:rFonts w:ascii="Arial" w:hAnsi="Arial" w:cs="Arial"/>
          <w:i/>
          <w:iCs/>
        </w:rPr>
        <w:t xml:space="preserve">et al. </w:t>
      </w:r>
      <w:r w:rsidRPr="00F271C2">
        <w:rPr>
          <w:rFonts w:ascii="Arial" w:hAnsi="Arial" w:cs="Arial"/>
        </w:rPr>
        <w:t>(2024)</w:t>
      </w:r>
      <w:r w:rsidRPr="00F271C2">
        <w:rPr>
          <w:rFonts w:ascii="Arial" w:hAnsi="Arial" w:cs="Arial"/>
          <w:i/>
          <w:iCs/>
        </w:rPr>
        <w:t>.</w:t>
      </w:r>
      <w:r w:rsidRPr="00F271C2">
        <w:rPr>
          <w:rFonts w:ascii="Arial" w:hAnsi="Arial" w:cs="Arial"/>
          <w:i/>
        </w:rPr>
        <w:t xml:space="preserve"> O</w:t>
      </w:r>
      <w:r w:rsidRPr="00F271C2">
        <w:rPr>
          <w:rFonts w:ascii="Arial" w:hAnsi="Arial" w:cs="Arial"/>
          <w:iCs/>
        </w:rPr>
        <w:t>ccurrence of allergic dermatitis in dogs with special reference to canine atopic dermatitis in Kerala.</w:t>
      </w:r>
      <w:r w:rsidRPr="00F271C2">
        <w:rPr>
          <w:rFonts w:ascii="Arial" w:hAnsi="Arial" w:cs="Arial"/>
          <w:i/>
        </w:rPr>
        <w:t xml:space="preserve"> </w:t>
      </w:r>
      <w:r w:rsidRPr="00F271C2">
        <w:rPr>
          <w:rFonts w:ascii="Arial" w:hAnsi="Arial" w:cs="Arial"/>
          <w:i/>
          <w:iCs/>
        </w:rPr>
        <w:t>Journal of Veterinary and Animal Sciences</w:t>
      </w:r>
      <w:r w:rsidRPr="00F271C2">
        <w:rPr>
          <w:rFonts w:ascii="Arial" w:hAnsi="Arial" w:cs="Arial"/>
        </w:rPr>
        <w:t>,</w:t>
      </w:r>
      <w:r w:rsidRPr="00F271C2">
        <w:rPr>
          <w:rFonts w:ascii="Arial" w:hAnsi="Arial" w:cs="Arial"/>
          <w:iCs/>
        </w:rPr>
        <w:t xml:space="preserve"> 53, 767–771. doi:10.51966/jvas.2022.53.4.767-771.</w:t>
      </w:r>
    </w:p>
    <w:p w14:paraId="713A1533" w14:textId="5A1D7D9D" w:rsidR="00C04571" w:rsidRDefault="00C32284" w:rsidP="00CB43C2">
      <w:pPr>
        <w:ind w:left="511" w:hangingChars="213" w:hanging="511"/>
        <w:rPr>
          <w:rFonts w:ascii="Arial" w:hAnsi="Arial" w:cs="Arial"/>
          <w:iCs/>
        </w:rPr>
      </w:pPr>
      <w:proofErr w:type="spellStart"/>
      <w:r w:rsidRPr="00F271C2">
        <w:rPr>
          <w:rFonts w:ascii="Arial" w:hAnsi="Arial" w:cs="Arial"/>
          <w:iCs/>
        </w:rPr>
        <w:t>Bokulich</w:t>
      </w:r>
      <w:proofErr w:type="spellEnd"/>
      <w:r w:rsidRPr="00F271C2">
        <w:rPr>
          <w:rFonts w:ascii="Arial" w:hAnsi="Arial" w:cs="Arial"/>
          <w:iCs/>
        </w:rPr>
        <w:t xml:space="preserve">, N. A., Kaehler, B. D., Rideout, J. R., Dillon, M., </w:t>
      </w:r>
      <w:proofErr w:type="spellStart"/>
      <w:r w:rsidRPr="00F271C2">
        <w:rPr>
          <w:rFonts w:ascii="Arial" w:hAnsi="Arial" w:cs="Arial"/>
          <w:iCs/>
        </w:rPr>
        <w:t>Bolyen</w:t>
      </w:r>
      <w:proofErr w:type="spellEnd"/>
      <w:r w:rsidRPr="00F271C2">
        <w:rPr>
          <w:rFonts w:ascii="Arial" w:hAnsi="Arial" w:cs="Arial"/>
          <w:iCs/>
        </w:rPr>
        <w:t xml:space="preserve">, E., </w:t>
      </w:r>
      <w:r w:rsidRPr="00F271C2">
        <w:rPr>
          <w:rFonts w:ascii="Arial" w:hAnsi="Arial" w:cs="Arial"/>
          <w:i/>
        </w:rPr>
        <w:t>et al.</w:t>
      </w:r>
      <w:r w:rsidRPr="00F271C2">
        <w:rPr>
          <w:rFonts w:ascii="Arial" w:hAnsi="Arial" w:cs="Arial"/>
          <w:iCs/>
        </w:rPr>
        <w:t xml:space="preserve"> (2018). Optimizing taxonomic classification of marker-gene amplicon sequences with QIIME 2’s Q2-Feature-Classifier Plugin. </w:t>
      </w:r>
      <w:r w:rsidRPr="00F271C2">
        <w:rPr>
          <w:rFonts w:ascii="Arial" w:hAnsi="Arial" w:cs="Arial"/>
          <w:i/>
        </w:rPr>
        <w:t>Microbiome</w:t>
      </w:r>
      <w:r w:rsidRPr="00F271C2">
        <w:rPr>
          <w:rFonts w:ascii="Arial" w:hAnsi="Arial" w:cs="Arial"/>
          <w:iCs/>
        </w:rPr>
        <w:t>, 6, 90. doi:10.1186/s40168-018-0470-z.</w:t>
      </w:r>
    </w:p>
    <w:p w14:paraId="6B0DCE2F" w14:textId="4B3AE8DD" w:rsidR="00CB43C2" w:rsidRDefault="00A80383" w:rsidP="00CB43C2">
      <w:pPr>
        <w:ind w:left="511" w:hangingChars="213" w:hanging="511"/>
        <w:rPr>
          <w:rFonts w:ascii="Arial" w:hAnsi="Arial" w:cs="Arial"/>
          <w:iCs/>
        </w:rPr>
      </w:pPr>
      <w:r w:rsidRPr="00F271C2">
        <w:rPr>
          <w:rFonts w:ascii="Arial" w:hAnsi="Arial" w:cs="Arial"/>
          <w:iCs/>
          <w:lang w:val="de-AT"/>
        </w:rPr>
        <w:t xml:space="preserve">Bolyen, E., Rideout, J. R., Dillon, M. R., Bokulich, N. A., </w:t>
      </w:r>
      <w:r w:rsidRPr="00F271C2">
        <w:rPr>
          <w:rFonts w:ascii="Arial" w:hAnsi="Arial" w:cs="Arial"/>
          <w:iCs/>
        </w:rPr>
        <w:t xml:space="preserve">Abnet, C. C., </w:t>
      </w:r>
      <w:r w:rsidRPr="00F271C2">
        <w:rPr>
          <w:rFonts w:ascii="Arial" w:hAnsi="Arial" w:cs="Arial"/>
          <w:i/>
        </w:rPr>
        <w:t>et al.</w:t>
      </w:r>
      <w:r w:rsidRPr="00F271C2">
        <w:rPr>
          <w:rFonts w:ascii="Arial" w:hAnsi="Arial" w:cs="Arial"/>
          <w:iCs/>
        </w:rPr>
        <w:t xml:space="preserve"> (2019). Author Correction: Reproducible, interactive, scalable and </w:t>
      </w:r>
      <w:r w:rsidRPr="00F271C2">
        <w:rPr>
          <w:rFonts w:ascii="Arial" w:hAnsi="Arial" w:cs="Arial"/>
          <w:iCs/>
        </w:rPr>
        <w:lastRenderedPageBreak/>
        <w:t xml:space="preserve">extensible microbiome data science using QIIME 2. </w:t>
      </w:r>
      <w:r w:rsidRPr="00F271C2">
        <w:rPr>
          <w:rFonts w:ascii="Arial" w:hAnsi="Arial" w:cs="Arial"/>
          <w:i/>
        </w:rPr>
        <w:t>Nature Biotechnology</w:t>
      </w:r>
      <w:r w:rsidRPr="00F271C2">
        <w:rPr>
          <w:rFonts w:ascii="Arial" w:hAnsi="Arial" w:cs="Arial"/>
          <w:iCs/>
        </w:rPr>
        <w:t>, 37, 1091. doi:10.1038/s41587-019-0252-6.</w:t>
      </w:r>
    </w:p>
    <w:p w14:paraId="480C8C02" w14:textId="73761409" w:rsidR="00CB43C2" w:rsidRDefault="00A80383" w:rsidP="00CB43C2">
      <w:pPr>
        <w:ind w:left="511" w:hangingChars="213" w:hanging="511"/>
        <w:rPr>
          <w:rFonts w:ascii="Arial" w:hAnsi="Arial" w:cs="Arial"/>
          <w:iCs/>
        </w:rPr>
      </w:pPr>
      <w:r w:rsidRPr="00F271C2">
        <w:rPr>
          <w:rFonts w:ascii="Arial" w:hAnsi="Arial" w:cs="Arial"/>
          <w:iCs/>
        </w:rPr>
        <w:t xml:space="preserve">Callahan, B. J., McMurdie, P. J., Rosen, M. J., Han, A. W., Johnson, A. J. A., </w:t>
      </w:r>
      <w:r w:rsidRPr="00F271C2">
        <w:rPr>
          <w:rFonts w:ascii="Arial" w:hAnsi="Arial" w:cs="Arial"/>
          <w:i/>
        </w:rPr>
        <w:t>et al</w:t>
      </w:r>
      <w:r w:rsidRPr="00F271C2">
        <w:rPr>
          <w:rFonts w:ascii="Arial" w:hAnsi="Arial" w:cs="Arial"/>
          <w:iCs/>
        </w:rPr>
        <w:t xml:space="preserve">. (2016). DADA2: high-resolution sample inference from Illumina amplicon data. </w:t>
      </w:r>
      <w:r w:rsidRPr="00F271C2">
        <w:rPr>
          <w:rFonts w:ascii="Arial" w:hAnsi="Arial" w:cs="Arial"/>
          <w:i/>
        </w:rPr>
        <w:t>Nature Methods</w:t>
      </w:r>
      <w:r w:rsidRPr="00F271C2">
        <w:rPr>
          <w:rFonts w:ascii="Arial" w:hAnsi="Arial" w:cs="Arial"/>
          <w:iCs/>
        </w:rPr>
        <w:t>, 13, 581–583. doi:10.1038/nmeth.3869.</w:t>
      </w:r>
    </w:p>
    <w:p w14:paraId="699937EB" w14:textId="06BE0ACA" w:rsidR="00A80383" w:rsidRDefault="00916F20" w:rsidP="00CB43C2">
      <w:pPr>
        <w:ind w:left="511" w:hangingChars="213" w:hanging="511"/>
        <w:rPr>
          <w:rFonts w:ascii="Arial" w:hAnsi="Arial" w:cs="Arial"/>
          <w:iCs/>
        </w:rPr>
      </w:pPr>
      <w:r w:rsidRPr="00F271C2">
        <w:rPr>
          <w:rFonts w:ascii="Arial" w:hAnsi="Arial" w:cs="Arial"/>
          <w:iCs/>
        </w:rPr>
        <w:t xml:space="preserve">Fujii, T., </w:t>
      </w:r>
      <w:proofErr w:type="spellStart"/>
      <w:r w:rsidRPr="00F271C2">
        <w:rPr>
          <w:rFonts w:ascii="Arial" w:hAnsi="Arial" w:cs="Arial"/>
          <w:iCs/>
        </w:rPr>
        <w:t>Kezuka</w:t>
      </w:r>
      <w:proofErr w:type="spellEnd"/>
      <w:r w:rsidRPr="00F271C2">
        <w:rPr>
          <w:rFonts w:ascii="Arial" w:hAnsi="Arial" w:cs="Arial"/>
          <w:iCs/>
        </w:rPr>
        <w:t xml:space="preserve">, C., Kawaguchi, Y., Yamakawa, S., Kondo, N., </w:t>
      </w:r>
      <w:r w:rsidRPr="00F271C2">
        <w:rPr>
          <w:rFonts w:ascii="Arial" w:hAnsi="Arial" w:cs="Arial"/>
          <w:i/>
        </w:rPr>
        <w:t>et al.</w:t>
      </w:r>
      <w:r w:rsidRPr="00F271C2">
        <w:rPr>
          <w:rFonts w:ascii="Arial" w:hAnsi="Arial" w:cs="Arial"/>
          <w:iCs/>
        </w:rPr>
        <w:t xml:space="preserve"> (2024). Co-administration of the prebiotic 1-kestose and the </w:t>
      </w:r>
      <w:proofErr w:type="spellStart"/>
      <w:r w:rsidRPr="00F271C2">
        <w:rPr>
          <w:rFonts w:ascii="Arial" w:hAnsi="Arial" w:cs="Arial"/>
          <w:iCs/>
        </w:rPr>
        <w:t>paraprobiotic</w:t>
      </w:r>
      <w:proofErr w:type="spellEnd"/>
      <w:r w:rsidRPr="00F271C2">
        <w:rPr>
          <w:rFonts w:ascii="Arial" w:hAnsi="Arial" w:cs="Arial"/>
          <w:iCs/>
        </w:rPr>
        <w:t xml:space="preserve"> </w:t>
      </w:r>
      <w:proofErr w:type="spellStart"/>
      <w:r w:rsidRPr="00F271C2">
        <w:rPr>
          <w:rFonts w:ascii="Arial" w:hAnsi="Arial" w:cs="Arial"/>
          <w:iCs/>
        </w:rPr>
        <w:t>Lactiplantibacillus</w:t>
      </w:r>
      <w:proofErr w:type="spellEnd"/>
      <w:r w:rsidRPr="00F271C2">
        <w:rPr>
          <w:rFonts w:ascii="Arial" w:hAnsi="Arial" w:cs="Arial"/>
          <w:iCs/>
        </w:rPr>
        <w:t xml:space="preserve"> Plantarum FM8 in </w:t>
      </w:r>
      <w:proofErr w:type="spellStart"/>
      <w:r w:rsidRPr="00F271C2">
        <w:rPr>
          <w:rFonts w:ascii="Arial" w:hAnsi="Arial" w:cs="Arial"/>
          <w:iCs/>
        </w:rPr>
        <w:t>magellanic</w:t>
      </w:r>
      <w:proofErr w:type="spellEnd"/>
      <w:r w:rsidRPr="00F271C2">
        <w:rPr>
          <w:rFonts w:ascii="Arial" w:hAnsi="Arial" w:cs="Arial"/>
          <w:iCs/>
        </w:rPr>
        <w:t xml:space="preserve"> penguins promotes the activity of intestinal </w:t>
      </w:r>
      <w:proofErr w:type="spellStart"/>
      <w:r w:rsidRPr="00F271C2">
        <w:rPr>
          <w:rFonts w:ascii="Arial" w:hAnsi="Arial" w:cs="Arial"/>
          <w:iCs/>
        </w:rPr>
        <w:t>Lactobacillaceae</w:t>
      </w:r>
      <w:proofErr w:type="spellEnd"/>
      <w:r w:rsidRPr="00F271C2">
        <w:rPr>
          <w:rFonts w:ascii="Arial" w:hAnsi="Arial" w:cs="Arial"/>
          <w:iCs/>
        </w:rPr>
        <w:t xml:space="preserve"> and reduces the Plc gene levels encoding Clostridium Perfringens toxin. </w:t>
      </w:r>
      <w:r w:rsidRPr="00F271C2">
        <w:rPr>
          <w:rFonts w:ascii="Arial" w:hAnsi="Arial" w:cs="Arial"/>
          <w:i/>
        </w:rPr>
        <w:t>Journal of Veterinary Medical Science</w:t>
      </w:r>
      <w:r w:rsidRPr="00F271C2">
        <w:rPr>
          <w:rFonts w:ascii="Arial" w:hAnsi="Arial" w:cs="Arial"/>
          <w:iCs/>
        </w:rPr>
        <w:t>, 86, 193–201. doi:10.1292/jvms.23-0238.</w:t>
      </w:r>
    </w:p>
    <w:p w14:paraId="598230C4" w14:textId="652F83C4" w:rsidR="00916F20" w:rsidRDefault="00FF1163" w:rsidP="00CB43C2">
      <w:pPr>
        <w:ind w:left="511" w:hangingChars="213" w:hanging="511"/>
        <w:rPr>
          <w:rFonts w:ascii="Arial" w:hAnsi="Arial" w:cs="Arial"/>
          <w:iCs/>
        </w:rPr>
      </w:pPr>
      <w:r w:rsidRPr="00F271C2">
        <w:rPr>
          <w:rFonts w:ascii="Arial" w:hAnsi="Arial" w:cs="Arial"/>
          <w:iCs/>
        </w:rPr>
        <w:t xml:space="preserve">Gibson, G. R., </w:t>
      </w:r>
      <w:proofErr w:type="spellStart"/>
      <w:r w:rsidRPr="00F271C2">
        <w:rPr>
          <w:rFonts w:ascii="Arial" w:hAnsi="Arial" w:cs="Arial"/>
          <w:iCs/>
        </w:rPr>
        <w:t>Hutkins</w:t>
      </w:r>
      <w:proofErr w:type="spellEnd"/>
      <w:r w:rsidRPr="00F271C2">
        <w:rPr>
          <w:rFonts w:ascii="Arial" w:hAnsi="Arial" w:cs="Arial"/>
          <w:iCs/>
        </w:rPr>
        <w:t xml:space="preserve">, R., Sanders, M. E., Prescott, S. L., Reimer, R. A., </w:t>
      </w:r>
      <w:r w:rsidRPr="00F271C2">
        <w:rPr>
          <w:rFonts w:ascii="Arial" w:hAnsi="Arial" w:cs="Arial"/>
          <w:i/>
        </w:rPr>
        <w:t>et al.</w:t>
      </w:r>
      <w:r w:rsidRPr="00F271C2">
        <w:rPr>
          <w:rFonts w:ascii="Arial" w:hAnsi="Arial" w:cs="Arial"/>
          <w:iCs/>
        </w:rPr>
        <w:t xml:space="preserve"> (2017). Expert consensus document: The International Scientific Association for Probiotics and Prebiotics (ISAPP) consensus statement on the definition and scope of prebiotics. </w:t>
      </w:r>
      <w:r w:rsidRPr="00F271C2">
        <w:rPr>
          <w:rFonts w:ascii="Arial" w:hAnsi="Arial" w:cs="Arial"/>
          <w:i/>
        </w:rPr>
        <w:t>Nature Reviews Gastroenterology &amp; Hepatology</w:t>
      </w:r>
      <w:r w:rsidRPr="00F271C2">
        <w:rPr>
          <w:rFonts w:ascii="Arial" w:hAnsi="Arial" w:cs="Arial"/>
          <w:iCs/>
        </w:rPr>
        <w:t>, 14, 491–502. doi:10.1038/nrgastro.2017.75.</w:t>
      </w:r>
    </w:p>
    <w:p w14:paraId="160F4631" w14:textId="04DEDEB0" w:rsidR="00A80383" w:rsidRDefault="00FF1163" w:rsidP="00CB43C2">
      <w:pPr>
        <w:ind w:left="511" w:hangingChars="213" w:hanging="511"/>
        <w:rPr>
          <w:rFonts w:ascii="Arial" w:hAnsi="Arial" w:cs="Arial"/>
          <w:iCs/>
        </w:rPr>
      </w:pPr>
      <w:r w:rsidRPr="00F271C2">
        <w:rPr>
          <w:rFonts w:ascii="Arial" w:hAnsi="Arial" w:cs="Arial"/>
          <w:iCs/>
        </w:rPr>
        <w:t xml:space="preserve">Hobi, S., Linek, M., </w:t>
      </w:r>
      <w:proofErr w:type="spellStart"/>
      <w:r w:rsidRPr="00F271C2">
        <w:rPr>
          <w:rFonts w:ascii="Arial" w:hAnsi="Arial" w:cs="Arial"/>
          <w:iCs/>
        </w:rPr>
        <w:t>Marignac</w:t>
      </w:r>
      <w:proofErr w:type="spellEnd"/>
      <w:r w:rsidRPr="00F271C2">
        <w:rPr>
          <w:rFonts w:ascii="Arial" w:hAnsi="Arial" w:cs="Arial"/>
          <w:iCs/>
        </w:rPr>
        <w:t xml:space="preserve">, G., </w:t>
      </w:r>
      <w:proofErr w:type="spellStart"/>
      <w:r w:rsidRPr="00F271C2">
        <w:rPr>
          <w:rFonts w:ascii="Arial" w:hAnsi="Arial" w:cs="Arial"/>
          <w:iCs/>
        </w:rPr>
        <w:t>Olivry</w:t>
      </w:r>
      <w:proofErr w:type="spellEnd"/>
      <w:r w:rsidRPr="00F271C2">
        <w:rPr>
          <w:rFonts w:ascii="Arial" w:hAnsi="Arial" w:cs="Arial"/>
          <w:iCs/>
        </w:rPr>
        <w:t xml:space="preserve">, T., Beco, L., </w:t>
      </w:r>
      <w:r w:rsidRPr="00F271C2">
        <w:rPr>
          <w:rFonts w:ascii="Arial" w:hAnsi="Arial" w:cs="Arial"/>
          <w:i/>
          <w:iCs/>
        </w:rPr>
        <w:t>et al</w:t>
      </w:r>
      <w:r w:rsidRPr="00F271C2">
        <w:rPr>
          <w:rFonts w:ascii="Arial" w:hAnsi="Arial" w:cs="Arial"/>
          <w:i/>
        </w:rPr>
        <w:t xml:space="preserve">. </w:t>
      </w:r>
      <w:r w:rsidRPr="00F271C2">
        <w:rPr>
          <w:rFonts w:ascii="Arial" w:hAnsi="Arial" w:cs="Arial"/>
          <w:iCs/>
        </w:rPr>
        <w:t xml:space="preserve">(2011). Clinical characteristics and causes of pruritus in cats: a </w:t>
      </w:r>
      <w:proofErr w:type="spellStart"/>
      <w:r w:rsidRPr="00F271C2">
        <w:rPr>
          <w:rFonts w:ascii="Arial" w:hAnsi="Arial" w:cs="Arial"/>
          <w:iCs/>
        </w:rPr>
        <w:t>multicentre</w:t>
      </w:r>
      <w:proofErr w:type="spellEnd"/>
      <w:r w:rsidRPr="00F271C2">
        <w:rPr>
          <w:rFonts w:ascii="Arial" w:hAnsi="Arial" w:cs="Arial"/>
          <w:iCs/>
        </w:rPr>
        <w:t xml:space="preserve"> study on feline hypersensitivity-associated dermatoses.</w:t>
      </w:r>
      <w:r w:rsidRPr="00F271C2">
        <w:rPr>
          <w:rFonts w:ascii="Arial" w:hAnsi="Arial" w:cs="Arial"/>
          <w:i/>
        </w:rPr>
        <w:t xml:space="preserve"> </w:t>
      </w:r>
      <w:r w:rsidRPr="00F271C2">
        <w:rPr>
          <w:rFonts w:ascii="Arial" w:hAnsi="Arial" w:cs="Arial"/>
          <w:i/>
          <w:iCs/>
        </w:rPr>
        <w:t>Veterinary Dermatology</w:t>
      </w:r>
      <w:r w:rsidRPr="00F271C2">
        <w:rPr>
          <w:rFonts w:ascii="Arial" w:hAnsi="Arial" w:cs="Arial"/>
          <w:iCs/>
        </w:rPr>
        <w:t>, 22, 406–413. doi:10.1111/j.1365-3164.2011.</w:t>
      </w:r>
      <w:proofErr w:type="gramStart"/>
      <w:r w:rsidRPr="00F271C2">
        <w:rPr>
          <w:rFonts w:ascii="Arial" w:hAnsi="Arial" w:cs="Arial"/>
          <w:iCs/>
        </w:rPr>
        <w:t>00962.x.</w:t>
      </w:r>
      <w:proofErr w:type="gramEnd"/>
    </w:p>
    <w:p w14:paraId="31C6BE52" w14:textId="3CA94883" w:rsidR="00FF1163" w:rsidRDefault="00FF1163" w:rsidP="00CB43C2">
      <w:pPr>
        <w:ind w:left="511" w:hangingChars="213" w:hanging="511"/>
        <w:rPr>
          <w:rFonts w:ascii="Arial" w:hAnsi="Arial" w:cs="Arial"/>
          <w:iCs/>
        </w:rPr>
      </w:pPr>
      <w:r w:rsidRPr="00F271C2">
        <w:rPr>
          <w:rFonts w:ascii="Arial" w:hAnsi="Arial" w:cs="Arial"/>
          <w:iCs/>
          <w:lang w:val="de-AT"/>
        </w:rPr>
        <w:t xml:space="preserve">Huang, K., Liang, B., Zhang, X., Chen, H., Ma, N., </w:t>
      </w:r>
      <w:r w:rsidRPr="00F271C2">
        <w:rPr>
          <w:rFonts w:ascii="Arial" w:hAnsi="Arial" w:cs="Arial"/>
          <w:i/>
          <w:lang w:val="de-AT"/>
        </w:rPr>
        <w:t>et al.</w:t>
      </w:r>
      <w:r w:rsidRPr="00F271C2">
        <w:rPr>
          <w:rFonts w:ascii="Arial" w:hAnsi="Arial" w:cs="Arial"/>
          <w:iCs/>
          <w:lang w:val="de-AT"/>
        </w:rPr>
        <w:t xml:space="preserve"> (2023). </w:t>
      </w:r>
      <w:r w:rsidRPr="00F271C2">
        <w:rPr>
          <w:rFonts w:ascii="Arial" w:hAnsi="Arial" w:cs="Arial"/>
          <w:iCs/>
        </w:rPr>
        <w:t xml:space="preserve">Molecular characterization of Clostridium perfringens isolates from a tertiary children’s hospital in Guangzhou, China, establishing an association between bacterial colonization and food allergies in infants. </w:t>
      </w:r>
      <w:r w:rsidRPr="00F271C2">
        <w:rPr>
          <w:rFonts w:ascii="Arial" w:hAnsi="Arial" w:cs="Arial"/>
          <w:i/>
        </w:rPr>
        <w:t>Gut Pathogens</w:t>
      </w:r>
      <w:r w:rsidRPr="00F271C2">
        <w:rPr>
          <w:rFonts w:ascii="Arial" w:hAnsi="Arial" w:cs="Arial"/>
          <w:iCs/>
        </w:rPr>
        <w:t>, 15, 47. doi:10.1186/s13099-023-00572-x.</w:t>
      </w:r>
    </w:p>
    <w:p w14:paraId="2C8952BA" w14:textId="1E9C3470" w:rsidR="00FF1163" w:rsidRDefault="00FF1163" w:rsidP="00CB43C2">
      <w:pPr>
        <w:ind w:left="511" w:hangingChars="213" w:hanging="511"/>
        <w:rPr>
          <w:rFonts w:ascii="Arial" w:hAnsi="Arial" w:cs="Arial"/>
          <w:iCs/>
        </w:rPr>
      </w:pPr>
      <w:r w:rsidRPr="00F271C2">
        <w:rPr>
          <w:rFonts w:ascii="Arial" w:hAnsi="Arial" w:cs="Arial"/>
          <w:iCs/>
        </w:rPr>
        <w:t xml:space="preserve">Kawano, K., </w:t>
      </w:r>
      <w:proofErr w:type="spellStart"/>
      <w:r w:rsidRPr="00F271C2">
        <w:rPr>
          <w:rFonts w:ascii="Arial" w:hAnsi="Arial" w:cs="Arial"/>
          <w:iCs/>
        </w:rPr>
        <w:t>Iyori</w:t>
      </w:r>
      <w:proofErr w:type="spellEnd"/>
      <w:r w:rsidRPr="00F271C2">
        <w:rPr>
          <w:rFonts w:ascii="Arial" w:hAnsi="Arial" w:cs="Arial"/>
          <w:iCs/>
        </w:rPr>
        <w:t xml:space="preserve">, K., Kondo, N., Yamakawa, S., Fujii, T., </w:t>
      </w:r>
      <w:r w:rsidRPr="00F271C2">
        <w:rPr>
          <w:rFonts w:ascii="Arial" w:hAnsi="Arial" w:cs="Arial"/>
          <w:i/>
        </w:rPr>
        <w:t>et al.</w:t>
      </w:r>
      <w:r w:rsidRPr="00F271C2">
        <w:rPr>
          <w:rFonts w:ascii="Arial" w:hAnsi="Arial" w:cs="Arial"/>
          <w:iCs/>
        </w:rPr>
        <w:t xml:space="preserve"> (2023). Clinical effects of combined Lactobacillus </w:t>
      </w:r>
      <w:proofErr w:type="spellStart"/>
      <w:r w:rsidRPr="00F271C2">
        <w:rPr>
          <w:rFonts w:ascii="Arial" w:hAnsi="Arial" w:cs="Arial"/>
          <w:iCs/>
        </w:rPr>
        <w:t>Paracasei</w:t>
      </w:r>
      <w:proofErr w:type="spellEnd"/>
      <w:r w:rsidRPr="00F271C2">
        <w:rPr>
          <w:rFonts w:ascii="Arial" w:hAnsi="Arial" w:cs="Arial"/>
          <w:iCs/>
        </w:rPr>
        <w:t xml:space="preserve"> and </w:t>
      </w:r>
      <w:proofErr w:type="spellStart"/>
      <w:r w:rsidRPr="00F271C2">
        <w:rPr>
          <w:rFonts w:ascii="Arial" w:hAnsi="Arial" w:cs="Arial"/>
          <w:iCs/>
        </w:rPr>
        <w:t>kestose</w:t>
      </w:r>
      <w:proofErr w:type="spellEnd"/>
      <w:r w:rsidRPr="00F271C2">
        <w:rPr>
          <w:rFonts w:ascii="Arial" w:hAnsi="Arial" w:cs="Arial"/>
          <w:iCs/>
        </w:rPr>
        <w:t xml:space="preserve"> on canine atopic dermatitis. </w:t>
      </w:r>
      <w:r w:rsidRPr="00F271C2">
        <w:rPr>
          <w:rFonts w:ascii="Arial" w:hAnsi="Arial" w:cs="Arial"/>
          <w:i/>
        </w:rPr>
        <w:t>Polish Journal of Veterinary Sciences</w:t>
      </w:r>
      <w:r w:rsidRPr="00F271C2">
        <w:rPr>
          <w:rFonts w:ascii="Arial" w:hAnsi="Arial" w:cs="Arial"/>
          <w:iCs/>
        </w:rPr>
        <w:t>, 26, 131–136. doi:10.24425/pjvs.2023.145014.</w:t>
      </w:r>
    </w:p>
    <w:p w14:paraId="30BDA2CF" w14:textId="161917A7" w:rsidR="00DD3561" w:rsidRDefault="00DD3561" w:rsidP="00CB43C2">
      <w:pPr>
        <w:ind w:left="511" w:hangingChars="213" w:hanging="511"/>
        <w:rPr>
          <w:rFonts w:ascii="Arial" w:hAnsi="Arial" w:cs="Arial"/>
          <w:iCs/>
        </w:rPr>
      </w:pPr>
      <w:r w:rsidRPr="00F271C2">
        <w:rPr>
          <w:rFonts w:ascii="Arial" w:hAnsi="Arial" w:cs="Arial"/>
          <w:iCs/>
        </w:rPr>
        <w:t xml:space="preserve">Kim, J. E., Kim, H. S. (2019). Microbiome of the skin and gut in atopic dermatitis (AD): understanding the pathophysiology and finding novel management strategies. </w:t>
      </w:r>
      <w:r w:rsidRPr="00F271C2">
        <w:rPr>
          <w:rFonts w:ascii="Arial" w:hAnsi="Arial" w:cs="Arial"/>
          <w:i/>
        </w:rPr>
        <w:t>Journal of Clinical Medicine</w:t>
      </w:r>
      <w:r w:rsidRPr="00F271C2">
        <w:rPr>
          <w:rFonts w:ascii="Arial" w:hAnsi="Arial" w:cs="Arial"/>
          <w:iCs/>
        </w:rPr>
        <w:t>, 8, 444. doi:10.3390/jcm8040444.</w:t>
      </w:r>
    </w:p>
    <w:p w14:paraId="6C610E97" w14:textId="344DE19C" w:rsidR="00DD3561" w:rsidRDefault="00DD3561" w:rsidP="00CB43C2">
      <w:pPr>
        <w:ind w:left="511" w:hangingChars="213" w:hanging="511"/>
        <w:rPr>
          <w:rFonts w:ascii="Arial" w:hAnsi="Arial" w:cs="Arial"/>
          <w:iCs/>
        </w:rPr>
      </w:pPr>
      <w:r w:rsidRPr="00F271C2">
        <w:rPr>
          <w:rFonts w:ascii="Arial" w:hAnsi="Arial" w:cs="Arial"/>
          <w:iCs/>
        </w:rPr>
        <w:t xml:space="preserve">Kim, J.-H., Baek, J., Sa, S., Park, J., </w:t>
      </w:r>
      <w:proofErr w:type="spellStart"/>
      <w:r w:rsidRPr="00F271C2">
        <w:rPr>
          <w:rFonts w:ascii="Arial" w:hAnsi="Arial" w:cs="Arial"/>
          <w:iCs/>
        </w:rPr>
        <w:t>Kih</w:t>
      </w:r>
      <w:proofErr w:type="spellEnd"/>
      <w:r w:rsidRPr="00F271C2">
        <w:rPr>
          <w:rFonts w:ascii="Arial" w:hAnsi="Arial" w:cs="Arial"/>
          <w:iCs/>
        </w:rPr>
        <w:t xml:space="preserve">, M., </w:t>
      </w:r>
      <w:r w:rsidRPr="00F271C2">
        <w:rPr>
          <w:rFonts w:ascii="Arial" w:hAnsi="Arial" w:cs="Arial"/>
          <w:i/>
        </w:rPr>
        <w:t>et al.</w:t>
      </w:r>
      <w:r w:rsidRPr="00F271C2">
        <w:rPr>
          <w:rFonts w:ascii="Arial" w:hAnsi="Arial" w:cs="Arial"/>
          <w:iCs/>
        </w:rPr>
        <w:t xml:space="preserve"> (2021). </w:t>
      </w:r>
      <w:proofErr w:type="spellStart"/>
      <w:r w:rsidRPr="00F271C2">
        <w:rPr>
          <w:rFonts w:ascii="Arial" w:hAnsi="Arial" w:cs="Arial"/>
          <w:iCs/>
        </w:rPr>
        <w:t>Kestose</w:t>
      </w:r>
      <w:proofErr w:type="spellEnd"/>
      <w:r w:rsidRPr="00F271C2">
        <w:rPr>
          <w:rFonts w:ascii="Arial" w:hAnsi="Arial" w:cs="Arial"/>
          <w:iCs/>
        </w:rPr>
        <w:t xml:space="preserve">-enriched fructo-oligosaccharide alleviates atopic dermatitis by modulating the gut microbiome and immune response. </w:t>
      </w:r>
      <w:r w:rsidRPr="00F271C2">
        <w:rPr>
          <w:rFonts w:ascii="Arial" w:hAnsi="Arial" w:cs="Arial"/>
          <w:i/>
        </w:rPr>
        <w:t>Journal of Functional Foods</w:t>
      </w:r>
      <w:r w:rsidRPr="00F271C2">
        <w:rPr>
          <w:rFonts w:ascii="Arial" w:hAnsi="Arial" w:cs="Arial"/>
          <w:iCs/>
        </w:rPr>
        <w:t xml:space="preserve">, 85, 104650. </w:t>
      </w:r>
      <w:proofErr w:type="gramStart"/>
      <w:r w:rsidRPr="00F271C2">
        <w:rPr>
          <w:rFonts w:ascii="Arial" w:hAnsi="Arial" w:cs="Arial"/>
          <w:iCs/>
        </w:rPr>
        <w:t>doi:10.1016/j.jff</w:t>
      </w:r>
      <w:proofErr w:type="gramEnd"/>
      <w:r w:rsidRPr="00F271C2">
        <w:rPr>
          <w:rFonts w:ascii="Arial" w:hAnsi="Arial" w:cs="Arial"/>
          <w:iCs/>
        </w:rPr>
        <w:t>.2021.104650.</w:t>
      </w:r>
    </w:p>
    <w:p w14:paraId="766EC723" w14:textId="5C35E6FD" w:rsidR="00FF1163" w:rsidRDefault="00DD3561" w:rsidP="00CB43C2">
      <w:pPr>
        <w:ind w:left="511" w:hangingChars="213" w:hanging="511"/>
        <w:rPr>
          <w:rFonts w:ascii="Arial" w:hAnsi="Arial" w:cs="Arial"/>
          <w:iCs/>
        </w:rPr>
      </w:pPr>
      <w:r w:rsidRPr="00F271C2">
        <w:rPr>
          <w:rFonts w:ascii="Arial" w:hAnsi="Arial" w:cs="Arial"/>
          <w:iCs/>
        </w:rPr>
        <w:t xml:space="preserve">Koga, Y., Tokunaga, S., Nagano, J., Sato, F., Konishi, K., </w:t>
      </w:r>
      <w:r w:rsidRPr="00F271C2">
        <w:rPr>
          <w:rFonts w:ascii="Arial" w:hAnsi="Arial" w:cs="Arial"/>
          <w:i/>
        </w:rPr>
        <w:t>et al.</w:t>
      </w:r>
      <w:r w:rsidRPr="00F271C2">
        <w:rPr>
          <w:rFonts w:ascii="Arial" w:hAnsi="Arial" w:cs="Arial"/>
          <w:iCs/>
        </w:rPr>
        <w:t xml:space="preserve"> (2016). Age-associated effect of </w:t>
      </w:r>
      <w:proofErr w:type="spellStart"/>
      <w:r w:rsidRPr="00F271C2">
        <w:rPr>
          <w:rFonts w:ascii="Arial" w:hAnsi="Arial" w:cs="Arial"/>
          <w:iCs/>
        </w:rPr>
        <w:t>kestose</w:t>
      </w:r>
      <w:proofErr w:type="spellEnd"/>
      <w:r w:rsidRPr="00F271C2">
        <w:rPr>
          <w:rFonts w:ascii="Arial" w:hAnsi="Arial" w:cs="Arial"/>
          <w:iCs/>
        </w:rPr>
        <w:t xml:space="preserve"> on </w:t>
      </w:r>
      <w:proofErr w:type="spellStart"/>
      <w:r w:rsidRPr="00F271C2">
        <w:rPr>
          <w:rFonts w:ascii="Arial" w:hAnsi="Arial" w:cs="Arial"/>
          <w:iCs/>
        </w:rPr>
        <w:t>Faecalibacterium</w:t>
      </w:r>
      <w:proofErr w:type="spellEnd"/>
      <w:r w:rsidRPr="00F271C2">
        <w:rPr>
          <w:rFonts w:ascii="Arial" w:hAnsi="Arial" w:cs="Arial"/>
          <w:iCs/>
        </w:rPr>
        <w:t xml:space="preserve"> </w:t>
      </w:r>
      <w:proofErr w:type="spellStart"/>
      <w:r w:rsidRPr="00F271C2">
        <w:rPr>
          <w:rFonts w:ascii="Arial" w:hAnsi="Arial" w:cs="Arial"/>
          <w:iCs/>
        </w:rPr>
        <w:t>Prausnitzii</w:t>
      </w:r>
      <w:proofErr w:type="spellEnd"/>
      <w:r w:rsidRPr="00F271C2">
        <w:rPr>
          <w:rFonts w:ascii="Arial" w:hAnsi="Arial" w:cs="Arial"/>
          <w:iCs/>
        </w:rPr>
        <w:t xml:space="preserve"> and symptoms in the atopic dermatitis infants. </w:t>
      </w:r>
      <w:proofErr w:type="spellStart"/>
      <w:r w:rsidRPr="00F271C2">
        <w:rPr>
          <w:rFonts w:ascii="Arial" w:hAnsi="Arial" w:cs="Arial"/>
          <w:i/>
        </w:rPr>
        <w:t>Pediatr</w:t>
      </w:r>
      <w:proofErr w:type="spellEnd"/>
      <w:r w:rsidRPr="00F271C2">
        <w:rPr>
          <w:rFonts w:ascii="Arial" w:hAnsi="Arial" w:cs="Arial"/>
          <w:i/>
        </w:rPr>
        <w:t xml:space="preserve"> Res</w:t>
      </w:r>
      <w:r w:rsidRPr="00F271C2">
        <w:rPr>
          <w:rFonts w:ascii="Arial" w:hAnsi="Arial" w:cs="Arial"/>
          <w:iCs/>
        </w:rPr>
        <w:t>, 80, 844–851. doi:10.1038/pr.2016.167.</w:t>
      </w:r>
    </w:p>
    <w:p w14:paraId="20328DEB" w14:textId="619EF918" w:rsidR="00DD3561" w:rsidRDefault="00DD3561" w:rsidP="00CB43C2">
      <w:pPr>
        <w:ind w:left="511" w:hangingChars="213" w:hanging="511"/>
        <w:rPr>
          <w:rFonts w:ascii="Arial" w:hAnsi="Arial" w:cs="Arial"/>
          <w:iCs/>
        </w:rPr>
      </w:pPr>
      <w:r w:rsidRPr="00F271C2">
        <w:rPr>
          <w:rFonts w:ascii="Arial" w:hAnsi="Arial" w:cs="Arial"/>
          <w:iCs/>
        </w:rPr>
        <w:t xml:space="preserve">Lee, D., Jo, M. G., Min, K. Y., Choi, M. Y., Kim, Y. M., </w:t>
      </w:r>
      <w:r w:rsidRPr="00F271C2">
        <w:rPr>
          <w:rFonts w:ascii="Arial" w:hAnsi="Arial" w:cs="Arial"/>
          <w:i/>
        </w:rPr>
        <w:t>et al.</w:t>
      </w:r>
      <w:r w:rsidRPr="00F271C2">
        <w:rPr>
          <w:rFonts w:ascii="Arial" w:hAnsi="Arial" w:cs="Arial"/>
          <w:iCs/>
        </w:rPr>
        <w:t xml:space="preserve"> (2024). IL-10+ regulatory B cells mitigate atopic dermatitis by suppressing eosinophil </w:t>
      </w:r>
      <w:r w:rsidRPr="00F271C2">
        <w:rPr>
          <w:rFonts w:ascii="Arial" w:hAnsi="Arial" w:cs="Arial"/>
          <w:iCs/>
        </w:rPr>
        <w:lastRenderedPageBreak/>
        <w:t xml:space="preserve">activation. </w:t>
      </w:r>
      <w:r w:rsidRPr="00F271C2">
        <w:rPr>
          <w:rFonts w:ascii="Arial" w:hAnsi="Arial" w:cs="Arial"/>
          <w:i/>
        </w:rPr>
        <w:t>Scientific Reports</w:t>
      </w:r>
      <w:r w:rsidRPr="00F271C2">
        <w:rPr>
          <w:rFonts w:ascii="Arial" w:hAnsi="Arial" w:cs="Arial"/>
          <w:iCs/>
        </w:rPr>
        <w:t>, 14, 18164. doi:10.1038/s41598-024-68660-9.</w:t>
      </w:r>
    </w:p>
    <w:p w14:paraId="01747651" w14:textId="67CE0FE9" w:rsidR="00DD3561" w:rsidRDefault="00DD3561" w:rsidP="00CB43C2">
      <w:pPr>
        <w:ind w:left="511" w:hangingChars="213" w:hanging="511"/>
        <w:rPr>
          <w:rFonts w:ascii="Arial" w:hAnsi="Arial" w:cs="Arial"/>
          <w:iCs/>
        </w:rPr>
      </w:pPr>
      <w:r w:rsidRPr="00F271C2">
        <w:rPr>
          <w:rFonts w:ascii="Arial" w:hAnsi="Arial" w:cs="Arial"/>
          <w:iCs/>
        </w:rPr>
        <w:t xml:space="preserve">McDonald, D., Jiang, Y., Balaban, M., Cantrell, K., Zhu, Q., </w:t>
      </w:r>
      <w:r w:rsidRPr="00F271C2">
        <w:rPr>
          <w:rFonts w:ascii="Arial" w:hAnsi="Arial" w:cs="Arial"/>
          <w:i/>
        </w:rPr>
        <w:t>et al.</w:t>
      </w:r>
      <w:r w:rsidRPr="00F271C2">
        <w:rPr>
          <w:rFonts w:ascii="Arial" w:hAnsi="Arial" w:cs="Arial"/>
          <w:iCs/>
        </w:rPr>
        <w:t xml:space="preserve"> (2022). Greengenes2 enables a shared data universe for microbiome studies. </w:t>
      </w:r>
      <w:proofErr w:type="spellStart"/>
      <w:r w:rsidRPr="00F271C2">
        <w:rPr>
          <w:rFonts w:ascii="Arial" w:hAnsi="Arial" w:cs="Arial"/>
          <w:i/>
        </w:rPr>
        <w:t>bioRxiv</w:t>
      </w:r>
      <w:proofErr w:type="spellEnd"/>
      <w:r w:rsidRPr="00F271C2">
        <w:rPr>
          <w:rFonts w:ascii="Arial" w:hAnsi="Arial" w:cs="Arial"/>
          <w:i/>
        </w:rPr>
        <w:t>.</w:t>
      </w:r>
      <w:r w:rsidRPr="00F271C2">
        <w:rPr>
          <w:rFonts w:ascii="Arial" w:hAnsi="Arial" w:cs="Arial"/>
          <w:iCs/>
        </w:rPr>
        <w:t xml:space="preserve"> </w:t>
      </w:r>
      <w:proofErr w:type="spellStart"/>
      <w:r w:rsidRPr="00F271C2">
        <w:rPr>
          <w:rFonts w:ascii="Arial" w:hAnsi="Arial" w:cs="Arial"/>
          <w:iCs/>
        </w:rPr>
        <w:t>doi</w:t>
      </w:r>
      <w:proofErr w:type="spellEnd"/>
      <w:r w:rsidRPr="00F271C2">
        <w:rPr>
          <w:rFonts w:ascii="Arial" w:hAnsi="Arial" w:cs="Arial"/>
          <w:iCs/>
        </w:rPr>
        <w:t>: 10.1101/2022.12.19.520774.</w:t>
      </w:r>
    </w:p>
    <w:p w14:paraId="552DA7D0" w14:textId="60F3C319" w:rsidR="00DD3561" w:rsidRDefault="00DD3561" w:rsidP="00CB43C2">
      <w:pPr>
        <w:ind w:left="511" w:hangingChars="213" w:hanging="511"/>
        <w:rPr>
          <w:rFonts w:ascii="Arial" w:hAnsi="Arial" w:cs="Arial"/>
          <w:iCs/>
        </w:rPr>
      </w:pPr>
      <w:r w:rsidRPr="00F271C2">
        <w:rPr>
          <w:rFonts w:ascii="Arial" w:hAnsi="Arial" w:cs="Arial"/>
          <w:iCs/>
        </w:rPr>
        <w:t xml:space="preserve">Mueller, R. S. (2023). A systematic review of allergen immunotherapy, a successful therapy for canine atopic dermatitis and feline atopic skin syndrome. </w:t>
      </w:r>
      <w:r w:rsidRPr="00F271C2">
        <w:rPr>
          <w:rFonts w:ascii="Arial" w:hAnsi="Arial" w:cs="Arial"/>
          <w:i/>
        </w:rPr>
        <w:t>Journal of the American Veterinary Medical Association</w:t>
      </w:r>
      <w:r w:rsidRPr="00F271C2">
        <w:rPr>
          <w:rFonts w:ascii="Arial" w:hAnsi="Arial" w:cs="Arial"/>
          <w:iCs/>
        </w:rPr>
        <w:t>, 261, S30–S35. doi:10.2460/javma.22.12.0576.</w:t>
      </w:r>
    </w:p>
    <w:p w14:paraId="75C043F1" w14:textId="1D9D0621" w:rsidR="00DD3561" w:rsidRDefault="00DD3561" w:rsidP="00CB43C2">
      <w:pPr>
        <w:ind w:left="511" w:hangingChars="213" w:hanging="511"/>
        <w:rPr>
          <w:rFonts w:ascii="Arial" w:hAnsi="Arial" w:cs="Arial"/>
          <w:iCs/>
        </w:rPr>
      </w:pPr>
      <w:r w:rsidRPr="00F271C2">
        <w:rPr>
          <w:rFonts w:ascii="Arial" w:hAnsi="Arial" w:cs="Arial"/>
          <w:iCs/>
        </w:rPr>
        <w:t xml:space="preserve">O’Callaghan, A., van </w:t>
      </w:r>
      <w:proofErr w:type="spellStart"/>
      <w:r w:rsidRPr="00F271C2">
        <w:rPr>
          <w:rFonts w:ascii="Arial" w:hAnsi="Arial" w:cs="Arial"/>
          <w:iCs/>
        </w:rPr>
        <w:t>Sinderen</w:t>
      </w:r>
      <w:proofErr w:type="spellEnd"/>
      <w:r w:rsidRPr="00F271C2">
        <w:rPr>
          <w:rFonts w:ascii="Arial" w:hAnsi="Arial" w:cs="Arial"/>
          <w:iCs/>
        </w:rPr>
        <w:t xml:space="preserve">, D. (2016). Bifidobacteria and their role as members of the human gut microbiota. </w:t>
      </w:r>
      <w:r w:rsidRPr="00F271C2">
        <w:rPr>
          <w:rFonts w:ascii="Arial" w:hAnsi="Arial" w:cs="Arial"/>
          <w:i/>
        </w:rPr>
        <w:t>Frontiers Microbiology</w:t>
      </w:r>
      <w:r w:rsidRPr="00F271C2">
        <w:rPr>
          <w:rFonts w:ascii="Arial" w:hAnsi="Arial" w:cs="Arial"/>
          <w:iCs/>
        </w:rPr>
        <w:t>, 7. doi:10.3389/fmicb.2016.00925.</w:t>
      </w:r>
    </w:p>
    <w:p w14:paraId="3AE23BC0" w14:textId="45FF7B14" w:rsidR="00DD3561" w:rsidRDefault="00DD3561" w:rsidP="00CB43C2">
      <w:pPr>
        <w:ind w:left="511" w:hangingChars="213" w:hanging="511"/>
        <w:rPr>
          <w:rFonts w:ascii="Arial" w:hAnsi="Arial" w:cs="Arial"/>
          <w:iCs/>
        </w:rPr>
      </w:pPr>
      <w:proofErr w:type="spellStart"/>
      <w:r w:rsidRPr="00F271C2">
        <w:rPr>
          <w:rFonts w:ascii="Arial" w:hAnsi="Arial" w:cs="Arial"/>
          <w:iCs/>
        </w:rPr>
        <w:t>Olivry</w:t>
      </w:r>
      <w:proofErr w:type="spellEnd"/>
      <w:r w:rsidRPr="00F271C2">
        <w:rPr>
          <w:rFonts w:ascii="Arial" w:hAnsi="Arial" w:cs="Arial"/>
          <w:iCs/>
        </w:rPr>
        <w:t xml:space="preserve">, T., Foster, A. P., Mueller, R. S., McEwan, N. A., Chesney, C., </w:t>
      </w:r>
      <w:r w:rsidRPr="00F271C2">
        <w:rPr>
          <w:rFonts w:ascii="Arial" w:hAnsi="Arial" w:cs="Arial"/>
          <w:i/>
          <w:iCs/>
        </w:rPr>
        <w:t>et al</w:t>
      </w:r>
      <w:r w:rsidRPr="00F271C2">
        <w:rPr>
          <w:rFonts w:ascii="Arial" w:hAnsi="Arial" w:cs="Arial"/>
        </w:rPr>
        <w:t>.</w:t>
      </w:r>
      <w:r w:rsidRPr="00F271C2">
        <w:rPr>
          <w:rFonts w:ascii="Arial" w:hAnsi="Arial" w:cs="Arial"/>
          <w:i/>
          <w:iCs/>
        </w:rPr>
        <w:t xml:space="preserve"> </w:t>
      </w:r>
      <w:r w:rsidRPr="00F271C2">
        <w:rPr>
          <w:rFonts w:ascii="Arial" w:hAnsi="Arial" w:cs="Arial"/>
          <w:iCs/>
        </w:rPr>
        <w:t>(2010)</w:t>
      </w:r>
      <w:r w:rsidRPr="00F271C2">
        <w:rPr>
          <w:rFonts w:ascii="Arial" w:hAnsi="Arial" w:cs="Arial"/>
          <w:i/>
          <w:iCs/>
        </w:rPr>
        <w:t>.</w:t>
      </w:r>
      <w:r w:rsidRPr="00F271C2">
        <w:rPr>
          <w:rFonts w:ascii="Arial" w:hAnsi="Arial" w:cs="Arial"/>
          <w:i/>
        </w:rPr>
        <w:t xml:space="preserve"> </w:t>
      </w:r>
      <w:r w:rsidRPr="00F271C2">
        <w:rPr>
          <w:rFonts w:ascii="Arial" w:hAnsi="Arial" w:cs="Arial"/>
          <w:iCs/>
        </w:rPr>
        <w:t>Interventions for atopic dermatitis in dogs: a systematic review of randomized controlled trials.</w:t>
      </w:r>
      <w:r w:rsidRPr="00F271C2">
        <w:rPr>
          <w:rFonts w:ascii="Arial" w:hAnsi="Arial" w:cs="Arial"/>
          <w:i/>
        </w:rPr>
        <w:t xml:space="preserve"> </w:t>
      </w:r>
      <w:r w:rsidRPr="00F271C2">
        <w:rPr>
          <w:rFonts w:ascii="Arial" w:hAnsi="Arial" w:cs="Arial"/>
          <w:i/>
          <w:iCs/>
        </w:rPr>
        <w:t>Veterinary Dermatology</w:t>
      </w:r>
      <w:r w:rsidRPr="00F271C2">
        <w:rPr>
          <w:rFonts w:ascii="Arial" w:hAnsi="Arial" w:cs="Arial"/>
        </w:rPr>
        <w:t>,</w:t>
      </w:r>
      <w:r w:rsidRPr="00F271C2">
        <w:rPr>
          <w:rFonts w:ascii="Arial" w:hAnsi="Arial" w:cs="Arial"/>
          <w:i/>
        </w:rPr>
        <w:t xml:space="preserve"> </w:t>
      </w:r>
      <w:r w:rsidRPr="00F271C2">
        <w:rPr>
          <w:rFonts w:ascii="Arial" w:hAnsi="Arial" w:cs="Arial"/>
          <w:iCs/>
        </w:rPr>
        <w:t>21, 4–22. doi:10.1111/j.1365-3164.2009.</w:t>
      </w:r>
      <w:proofErr w:type="gramStart"/>
      <w:r w:rsidRPr="00F271C2">
        <w:rPr>
          <w:rFonts w:ascii="Arial" w:hAnsi="Arial" w:cs="Arial"/>
          <w:iCs/>
        </w:rPr>
        <w:t>00784.x.</w:t>
      </w:r>
      <w:proofErr w:type="gramEnd"/>
    </w:p>
    <w:p w14:paraId="5BFC8BEB" w14:textId="41B20635" w:rsidR="00DD3561" w:rsidRDefault="00DD3561" w:rsidP="00CB43C2">
      <w:pPr>
        <w:ind w:left="511" w:hangingChars="213" w:hanging="511"/>
        <w:rPr>
          <w:rFonts w:ascii="Arial" w:hAnsi="Arial" w:cs="Arial"/>
          <w:iCs/>
        </w:rPr>
      </w:pPr>
      <w:proofErr w:type="spellStart"/>
      <w:r w:rsidRPr="00F271C2">
        <w:rPr>
          <w:rFonts w:ascii="Arial" w:hAnsi="Arial" w:cs="Arial"/>
          <w:iCs/>
        </w:rPr>
        <w:t>Ortalda</w:t>
      </w:r>
      <w:proofErr w:type="spellEnd"/>
      <w:r w:rsidRPr="00F271C2">
        <w:rPr>
          <w:rFonts w:ascii="Arial" w:hAnsi="Arial" w:cs="Arial"/>
          <w:iCs/>
        </w:rPr>
        <w:t xml:space="preserve">, C., Noli, C., Colombo, S., Borio, S. (2015). Oclacitinib in feline </w:t>
      </w:r>
      <w:proofErr w:type="spellStart"/>
      <w:r w:rsidRPr="00F271C2">
        <w:rPr>
          <w:rFonts w:ascii="Arial" w:hAnsi="Arial" w:cs="Arial"/>
          <w:iCs/>
        </w:rPr>
        <w:t>nonflea</w:t>
      </w:r>
      <w:proofErr w:type="spellEnd"/>
      <w:r w:rsidRPr="00F271C2">
        <w:rPr>
          <w:rFonts w:ascii="Arial" w:hAnsi="Arial" w:cs="Arial"/>
          <w:iCs/>
        </w:rPr>
        <w:t>-, nonfood-induced hypersensitivity dermatitis: results of a small prospective pilot study of client-owned cats.</w:t>
      </w:r>
      <w:r w:rsidRPr="00F271C2">
        <w:rPr>
          <w:rFonts w:ascii="Arial" w:hAnsi="Arial" w:cs="Arial"/>
          <w:i/>
        </w:rPr>
        <w:t xml:space="preserve"> </w:t>
      </w:r>
      <w:r w:rsidRPr="00F271C2">
        <w:rPr>
          <w:rFonts w:ascii="Arial" w:hAnsi="Arial" w:cs="Arial"/>
          <w:i/>
          <w:iCs/>
          <w:lang w:val="de-AT"/>
        </w:rPr>
        <w:t>Veterinary Dermatology</w:t>
      </w:r>
      <w:r w:rsidRPr="00F271C2">
        <w:rPr>
          <w:rFonts w:ascii="Arial" w:hAnsi="Arial" w:cs="Arial"/>
          <w:lang w:val="de-AT"/>
        </w:rPr>
        <w:t>,</w:t>
      </w:r>
      <w:r w:rsidRPr="00F271C2">
        <w:rPr>
          <w:rFonts w:ascii="Arial" w:hAnsi="Arial" w:cs="Arial"/>
          <w:i/>
          <w:lang w:val="de-AT"/>
        </w:rPr>
        <w:t xml:space="preserve"> </w:t>
      </w:r>
      <w:r w:rsidRPr="00F271C2">
        <w:rPr>
          <w:rFonts w:ascii="Arial" w:hAnsi="Arial" w:cs="Arial"/>
          <w:iCs/>
          <w:lang w:val="de-AT"/>
        </w:rPr>
        <w:t>26, 235-e52. doi:10.1111/vde.12218.</w:t>
      </w:r>
    </w:p>
    <w:p w14:paraId="05FAC019" w14:textId="36D4C70A" w:rsidR="00DD3561" w:rsidRDefault="00E55297" w:rsidP="00CB43C2">
      <w:pPr>
        <w:ind w:left="511" w:hangingChars="213" w:hanging="511"/>
        <w:rPr>
          <w:rFonts w:ascii="Arial" w:hAnsi="Arial" w:cs="Arial"/>
          <w:iCs/>
        </w:rPr>
      </w:pPr>
      <w:r w:rsidRPr="00F271C2">
        <w:rPr>
          <w:rFonts w:ascii="Arial" w:hAnsi="Arial" w:cs="Arial"/>
          <w:iCs/>
        </w:rPr>
        <w:t>Paller, A. S., Spergel, J. M., Mina-Osorio, P., Irvine, A. D. (2019). The atopic march and atopic multimorbidity: many trajectories, many pathways.</w:t>
      </w:r>
      <w:r w:rsidRPr="00F271C2">
        <w:rPr>
          <w:rFonts w:ascii="Arial" w:hAnsi="Arial" w:cs="Arial"/>
          <w:i/>
        </w:rPr>
        <w:t xml:space="preserve"> </w:t>
      </w:r>
      <w:r w:rsidRPr="00F271C2">
        <w:rPr>
          <w:rFonts w:ascii="Arial" w:hAnsi="Arial" w:cs="Arial"/>
          <w:i/>
          <w:iCs/>
        </w:rPr>
        <w:t>Journal of Allergy and Clinical Immunology</w:t>
      </w:r>
      <w:r w:rsidRPr="00F271C2">
        <w:rPr>
          <w:rFonts w:ascii="Arial" w:hAnsi="Arial" w:cs="Arial"/>
          <w:iCs/>
        </w:rPr>
        <w:t xml:space="preserve">, 143, 46–55. </w:t>
      </w:r>
      <w:proofErr w:type="gramStart"/>
      <w:r w:rsidRPr="00F271C2">
        <w:rPr>
          <w:rFonts w:ascii="Arial" w:hAnsi="Arial" w:cs="Arial"/>
          <w:iCs/>
        </w:rPr>
        <w:t>doi:10.1016/j.jaci</w:t>
      </w:r>
      <w:proofErr w:type="gramEnd"/>
      <w:r w:rsidRPr="00F271C2">
        <w:rPr>
          <w:rFonts w:ascii="Arial" w:hAnsi="Arial" w:cs="Arial"/>
          <w:iCs/>
        </w:rPr>
        <w:t>.2018.11.006.</w:t>
      </w:r>
    </w:p>
    <w:p w14:paraId="233AD18C" w14:textId="2E6B3BF2" w:rsidR="00DD3561" w:rsidRDefault="00E55297" w:rsidP="00CB43C2">
      <w:pPr>
        <w:ind w:left="511" w:hangingChars="213" w:hanging="511"/>
        <w:rPr>
          <w:rFonts w:ascii="Arial" w:hAnsi="Arial" w:cs="Arial"/>
          <w:iCs/>
        </w:rPr>
      </w:pPr>
      <w:r w:rsidRPr="00F271C2">
        <w:rPr>
          <w:rFonts w:ascii="Arial" w:hAnsi="Arial" w:cs="Arial"/>
          <w:iCs/>
        </w:rPr>
        <w:t xml:space="preserve">Paterson, S. (2019). Supplementary therapy in canine atopic dermatitis. </w:t>
      </w:r>
      <w:r w:rsidRPr="00F271C2">
        <w:rPr>
          <w:rFonts w:ascii="Arial" w:hAnsi="Arial" w:cs="Arial"/>
          <w:i/>
        </w:rPr>
        <w:t>Companion Animal</w:t>
      </w:r>
      <w:r w:rsidRPr="00F271C2">
        <w:rPr>
          <w:rFonts w:ascii="Arial" w:hAnsi="Arial" w:cs="Arial"/>
          <w:iCs/>
        </w:rPr>
        <w:t>,</w:t>
      </w:r>
      <w:r w:rsidRPr="00F271C2">
        <w:rPr>
          <w:rFonts w:ascii="Arial" w:hAnsi="Arial" w:cs="Arial"/>
          <w:i/>
        </w:rPr>
        <w:t xml:space="preserve"> </w:t>
      </w:r>
      <w:r w:rsidRPr="00F271C2">
        <w:rPr>
          <w:rFonts w:ascii="Arial" w:hAnsi="Arial" w:cs="Arial"/>
          <w:iCs/>
        </w:rPr>
        <w:t>24, 400–407. doi:10.12968/coan.2019.0028.</w:t>
      </w:r>
    </w:p>
    <w:p w14:paraId="3F2ACFA3" w14:textId="33C98772" w:rsidR="00DD3561" w:rsidRDefault="00642441" w:rsidP="00CB43C2">
      <w:pPr>
        <w:ind w:left="511" w:hangingChars="213" w:hanging="511"/>
        <w:rPr>
          <w:rFonts w:ascii="Arial" w:hAnsi="Arial" w:cs="Arial"/>
          <w:iCs/>
        </w:rPr>
      </w:pPr>
      <w:r w:rsidRPr="00F271C2">
        <w:rPr>
          <w:rFonts w:ascii="Arial" w:hAnsi="Arial" w:cs="Arial"/>
          <w:iCs/>
        </w:rPr>
        <w:t xml:space="preserve">Prins, F. M., </w:t>
      </w:r>
      <w:proofErr w:type="spellStart"/>
      <w:r w:rsidRPr="00F271C2">
        <w:rPr>
          <w:rFonts w:ascii="Arial" w:hAnsi="Arial" w:cs="Arial"/>
          <w:iCs/>
        </w:rPr>
        <w:t>Collij</w:t>
      </w:r>
      <w:proofErr w:type="spellEnd"/>
      <w:r w:rsidRPr="00F271C2">
        <w:rPr>
          <w:rFonts w:ascii="Arial" w:hAnsi="Arial" w:cs="Arial"/>
          <w:iCs/>
        </w:rPr>
        <w:t xml:space="preserve">, V., Groot, H. E., Björk, J. R., Swarte, J. C., </w:t>
      </w:r>
      <w:r w:rsidRPr="00F271C2">
        <w:rPr>
          <w:rFonts w:ascii="Arial" w:hAnsi="Arial" w:cs="Arial"/>
          <w:i/>
        </w:rPr>
        <w:t>et al.</w:t>
      </w:r>
      <w:r w:rsidRPr="00F271C2">
        <w:rPr>
          <w:rFonts w:ascii="Arial" w:hAnsi="Arial" w:cs="Arial"/>
          <w:iCs/>
        </w:rPr>
        <w:t xml:space="preserve"> (2024). The gut microbiome across the cardiovascular risk spectrum. </w:t>
      </w:r>
      <w:r w:rsidRPr="00F271C2">
        <w:rPr>
          <w:rFonts w:ascii="Arial" w:hAnsi="Arial" w:cs="Arial"/>
          <w:i/>
        </w:rPr>
        <w:t>European Journal of Preventive Cardiology</w:t>
      </w:r>
      <w:r w:rsidRPr="00F271C2">
        <w:rPr>
          <w:rFonts w:ascii="Arial" w:hAnsi="Arial" w:cs="Arial"/>
          <w:iCs/>
        </w:rPr>
        <w:t>, 31, 935–944. doi:10.1093/</w:t>
      </w:r>
      <w:proofErr w:type="spellStart"/>
      <w:r w:rsidRPr="00F271C2">
        <w:rPr>
          <w:rFonts w:ascii="Arial" w:hAnsi="Arial" w:cs="Arial"/>
          <w:iCs/>
        </w:rPr>
        <w:t>eurjpc</w:t>
      </w:r>
      <w:proofErr w:type="spellEnd"/>
      <w:r w:rsidRPr="00F271C2">
        <w:rPr>
          <w:rFonts w:ascii="Arial" w:hAnsi="Arial" w:cs="Arial"/>
          <w:iCs/>
        </w:rPr>
        <w:t>/zwad377.</w:t>
      </w:r>
    </w:p>
    <w:p w14:paraId="7DF27A24" w14:textId="6775D36F" w:rsidR="00642441" w:rsidRDefault="00642441" w:rsidP="00CB43C2">
      <w:pPr>
        <w:ind w:left="511" w:hangingChars="213" w:hanging="511"/>
        <w:rPr>
          <w:rFonts w:ascii="Arial" w:hAnsi="Arial" w:cs="Arial"/>
          <w:iCs/>
        </w:rPr>
      </w:pPr>
      <w:r w:rsidRPr="00F271C2">
        <w:rPr>
          <w:rFonts w:ascii="Arial" w:hAnsi="Arial" w:cs="Arial"/>
          <w:iCs/>
          <w:lang w:val="de-AT"/>
        </w:rPr>
        <w:t xml:space="preserve">Roberts, E. S., Speranza, C., Friberg, C., Griffin, C., Steffan, J., </w:t>
      </w:r>
      <w:r w:rsidRPr="00F271C2">
        <w:rPr>
          <w:rFonts w:ascii="Arial" w:hAnsi="Arial" w:cs="Arial"/>
          <w:i/>
          <w:iCs/>
          <w:lang w:val="de-AT"/>
        </w:rPr>
        <w:t>et al.</w:t>
      </w:r>
      <w:r w:rsidRPr="00F271C2">
        <w:rPr>
          <w:rFonts w:ascii="Arial" w:hAnsi="Arial" w:cs="Arial"/>
          <w:iCs/>
          <w:lang w:val="de-AT"/>
        </w:rPr>
        <w:t xml:space="preserve"> (2016). </w:t>
      </w:r>
      <w:r w:rsidRPr="00F271C2">
        <w:rPr>
          <w:rFonts w:ascii="Arial" w:hAnsi="Arial" w:cs="Arial"/>
          <w:iCs/>
        </w:rPr>
        <w:t>Confirmatory field study for the evaluation of ciclosporin at a target dose of 7.0 mg/kg (3.2 mg/</w:t>
      </w:r>
      <w:proofErr w:type="spellStart"/>
      <w:r w:rsidRPr="00F271C2">
        <w:rPr>
          <w:rFonts w:ascii="Arial" w:hAnsi="Arial" w:cs="Arial"/>
          <w:iCs/>
        </w:rPr>
        <w:t>lb</w:t>
      </w:r>
      <w:proofErr w:type="spellEnd"/>
      <w:r w:rsidRPr="00F271C2">
        <w:rPr>
          <w:rFonts w:ascii="Arial" w:hAnsi="Arial" w:cs="Arial"/>
          <w:iCs/>
        </w:rPr>
        <w:t xml:space="preserve">) in the control of feline hypersensitivity dermatitis. </w:t>
      </w:r>
      <w:r w:rsidRPr="00F271C2">
        <w:rPr>
          <w:rFonts w:ascii="Arial" w:hAnsi="Arial" w:cs="Arial"/>
          <w:i/>
          <w:iCs/>
        </w:rPr>
        <w:t>Journal of Feline Medicine and Surgery</w:t>
      </w:r>
      <w:r w:rsidRPr="00F271C2">
        <w:rPr>
          <w:rFonts w:ascii="Arial" w:hAnsi="Arial" w:cs="Arial"/>
          <w:iCs/>
        </w:rPr>
        <w:t>, 18, 889–897. doi:10.1177/1098612X16636660.</w:t>
      </w:r>
    </w:p>
    <w:p w14:paraId="2836E2A5" w14:textId="33607FAC" w:rsidR="00642441" w:rsidRDefault="00222321" w:rsidP="00CB43C2">
      <w:pPr>
        <w:ind w:left="511" w:hangingChars="213" w:hanging="511"/>
        <w:rPr>
          <w:rFonts w:ascii="Arial" w:hAnsi="Arial" w:cs="Arial"/>
          <w:iCs/>
        </w:rPr>
      </w:pPr>
      <w:r w:rsidRPr="00F271C2">
        <w:rPr>
          <w:rFonts w:ascii="Arial" w:hAnsi="Arial" w:cs="Arial"/>
          <w:iCs/>
        </w:rPr>
        <w:t xml:space="preserve">Roosje, P. J., Dean, G. A., Willemse, T., Rutten, V. P. M. G., </w:t>
      </w:r>
      <w:proofErr w:type="spellStart"/>
      <w:r w:rsidRPr="00F271C2">
        <w:rPr>
          <w:rFonts w:ascii="Arial" w:hAnsi="Arial" w:cs="Arial"/>
          <w:iCs/>
        </w:rPr>
        <w:t>Thepen</w:t>
      </w:r>
      <w:proofErr w:type="spellEnd"/>
      <w:r w:rsidRPr="00F271C2">
        <w:rPr>
          <w:rFonts w:ascii="Arial" w:hAnsi="Arial" w:cs="Arial"/>
          <w:iCs/>
        </w:rPr>
        <w:t xml:space="preserve">, T. (2002). Interleukin 4-producing CD4+ T cells in the skin of cats with allergic dermatitis. </w:t>
      </w:r>
      <w:r w:rsidRPr="00F271C2">
        <w:rPr>
          <w:rFonts w:ascii="Arial" w:hAnsi="Arial" w:cs="Arial"/>
          <w:i/>
        </w:rPr>
        <w:t>Veterinary Pathology</w:t>
      </w:r>
      <w:r w:rsidRPr="00F271C2">
        <w:rPr>
          <w:rFonts w:ascii="Arial" w:hAnsi="Arial" w:cs="Arial"/>
          <w:iCs/>
        </w:rPr>
        <w:t>,</w:t>
      </w:r>
      <w:r w:rsidRPr="00F271C2">
        <w:rPr>
          <w:rFonts w:ascii="Arial" w:hAnsi="Arial" w:cs="Arial"/>
          <w:i/>
        </w:rPr>
        <w:t xml:space="preserve"> </w:t>
      </w:r>
      <w:r w:rsidRPr="00F271C2">
        <w:rPr>
          <w:rFonts w:ascii="Arial" w:hAnsi="Arial" w:cs="Arial"/>
          <w:iCs/>
        </w:rPr>
        <w:t>39, 228–233. doi:10.1354/vp.39-2-228.</w:t>
      </w:r>
    </w:p>
    <w:p w14:paraId="13C7CB42" w14:textId="02B8E183" w:rsidR="00642441" w:rsidRDefault="00222321" w:rsidP="00CB43C2">
      <w:pPr>
        <w:ind w:left="511" w:hangingChars="213" w:hanging="511"/>
        <w:rPr>
          <w:rFonts w:ascii="Arial" w:hAnsi="Arial" w:cs="Arial"/>
          <w:iCs/>
        </w:rPr>
      </w:pPr>
      <w:proofErr w:type="spellStart"/>
      <w:r w:rsidRPr="00F271C2">
        <w:rPr>
          <w:rFonts w:ascii="Arial" w:hAnsi="Arial" w:cs="Arial"/>
          <w:iCs/>
        </w:rPr>
        <w:t>Saridomichelakis</w:t>
      </w:r>
      <w:proofErr w:type="spellEnd"/>
      <w:r w:rsidRPr="00F271C2">
        <w:rPr>
          <w:rFonts w:ascii="Arial" w:hAnsi="Arial" w:cs="Arial"/>
          <w:iCs/>
        </w:rPr>
        <w:t xml:space="preserve">, M.N., </w:t>
      </w:r>
      <w:proofErr w:type="spellStart"/>
      <w:r w:rsidRPr="00F271C2">
        <w:rPr>
          <w:rFonts w:ascii="Arial" w:hAnsi="Arial" w:cs="Arial"/>
          <w:iCs/>
        </w:rPr>
        <w:t>Olivry</w:t>
      </w:r>
      <w:proofErr w:type="spellEnd"/>
      <w:r w:rsidRPr="00F271C2">
        <w:rPr>
          <w:rFonts w:ascii="Arial" w:hAnsi="Arial" w:cs="Arial"/>
          <w:iCs/>
        </w:rPr>
        <w:t xml:space="preserve">, T. (2016). An update on the treatment of canine atopic dermatitis. </w:t>
      </w:r>
      <w:r w:rsidRPr="00F271C2">
        <w:rPr>
          <w:rFonts w:ascii="Arial" w:hAnsi="Arial" w:cs="Arial"/>
          <w:i/>
        </w:rPr>
        <w:t>The Veterinary Journal</w:t>
      </w:r>
      <w:r w:rsidRPr="00F271C2">
        <w:rPr>
          <w:rFonts w:ascii="Arial" w:hAnsi="Arial" w:cs="Arial"/>
          <w:iCs/>
        </w:rPr>
        <w:t xml:space="preserve">, 207, 29–37. </w:t>
      </w:r>
      <w:proofErr w:type="gramStart"/>
      <w:r w:rsidRPr="00F271C2">
        <w:rPr>
          <w:rFonts w:ascii="Arial" w:hAnsi="Arial" w:cs="Arial"/>
          <w:iCs/>
        </w:rPr>
        <w:t>doi:10.1016/j.tvjl</w:t>
      </w:r>
      <w:proofErr w:type="gramEnd"/>
      <w:r w:rsidRPr="00F271C2">
        <w:rPr>
          <w:rFonts w:ascii="Arial" w:hAnsi="Arial" w:cs="Arial"/>
          <w:iCs/>
        </w:rPr>
        <w:t>.2015.09.016.</w:t>
      </w:r>
    </w:p>
    <w:p w14:paraId="7C30D052" w14:textId="40F32ABD" w:rsidR="00642441" w:rsidRDefault="00222321" w:rsidP="00CB43C2">
      <w:pPr>
        <w:ind w:left="511" w:hangingChars="213" w:hanging="511"/>
        <w:rPr>
          <w:rFonts w:ascii="Arial" w:hAnsi="Arial" w:cs="Arial"/>
          <w:iCs/>
        </w:rPr>
      </w:pPr>
      <w:r w:rsidRPr="00F271C2">
        <w:rPr>
          <w:rFonts w:ascii="Arial" w:hAnsi="Arial" w:cs="Arial"/>
          <w:iCs/>
        </w:rPr>
        <w:t xml:space="preserve">Santoro, D., </w:t>
      </w:r>
      <w:proofErr w:type="spellStart"/>
      <w:r w:rsidRPr="00F271C2">
        <w:rPr>
          <w:rFonts w:ascii="Arial" w:hAnsi="Arial" w:cs="Arial"/>
          <w:iCs/>
        </w:rPr>
        <w:t>Fagman</w:t>
      </w:r>
      <w:proofErr w:type="spellEnd"/>
      <w:r w:rsidRPr="00F271C2">
        <w:rPr>
          <w:rFonts w:ascii="Arial" w:hAnsi="Arial" w:cs="Arial"/>
          <w:iCs/>
        </w:rPr>
        <w:t xml:space="preserve">, L., Zhang, Y., </w:t>
      </w:r>
      <w:proofErr w:type="spellStart"/>
      <w:r w:rsidRPr="00F271C2">
        <w:rPr>
          <w:rFonts w:ascii="Arial" w:hAnsi="Arial" w:cs="Arial"/>
          <w:iCs/>
        </w:rPr>
        <w:t>Fahong</w:t>
      </w:r>
      <w:proofErr w:type="spellEnd"/>
      <w:r w:rsidRPr="00F271C2">
        <w:rPr>
          <w:rFonts w:ascii="Arial" w:hAnsi="Arial" w:cs="Arial"/>
          <w:iCs/>
        </w:rPr>
        <w:t xml:space="preserve">, Y. (2021). Clinical efficacy of spray-based heat-treated lactobacilli in canine atopic dermatitis: a </w:t>
      </w:r>
      <w:r w:rsidRPr="00F271C2">
        <w:rPr>
          <w:rFonts w:ascii="Arial" w:hAnsi="Arial" w:cs="Arial"/>
          <w:iCs/>
        </w:rPr>
        <w:lastRenderedPageBreak/>
        <w:t xml:space="preserve">preliminary, open-label, uncontrolled study. </w:t>
      </w:r>
      <w:r w:rsidRPr="00F271C2">
        <w:rPr>
          <w:rFonts w:ascii="Arial" w:hAnsi="Arial" w:cs="Arial"/>
          <w:i/>
        </w:rPr>
        <w:t>Veterinary Dermatology</w:t>
      </w:r>
      <w:r w:rsidRPr="00F271C2">
        <w:rPr>
          <w:rFonts w:ascii="Arial" w:hAnsi="Arial" w:cs="Arial"/>
          <w:iCs/>
        </w:rPr>
        <w:t>, 32, 114-e23. doi:10.1111/vde.12915.</w:t>
      </w:r>
    </w:p>
    <w:p w14:paraId="6F01F4A8" w14:textId="7D144998" w:rsidR="00642441" w:rsidRDefault="003049F6" w:rsidP="00CB43C2">
      <w:pPr>
        <w:ind w:left="511" w:hangingChars="213" w:hanging="511"/>
        <w:rPr>
          <w:rFonts w:ascii="Arial" w:hAnsi="Arial" w:cs="Arial"/>
          <w:iCs/>
        </w:rPr>
      </w:pPr>
      <w:r w:rsidRPr="00F271C2">
        <w:rPr>
          <w:rFonts w:ascii="Arial" w:hAnsi="Arial" w:cs="Arial"/>
          <w:iCs/>
        </w:rPr>
        <w:t xml:space="preserve">Shibata, R., Kimura, M., Takahashi, H., Mikami, K., </w:t>
      </w:r>
      <w:proofErr w:type="spellStart"/>
      <w:r w:rsidRPr="00F271C2">
        <w:rPr>
          <w:rFonts w:ascii="Arial" w:hAnsi="Arial" w:cs="Arial"/>
          <w:iCs/>
        </w:rPr>
        <w:t>Aiba</w:t>
      </w:r>
      <w:proofErr w:type="spellEnd"/>
      <w:r w:rsidRPr="00F271C2">
        <w:rPr>
          <w:rFonts w:ascii="Arial" w:hAnsi="Arial" w:cs="Arial"/>
          <w:iCs/>
        </w:rPr>
        <w:t xml:space="preserve">, Y., </w:t>
      </w:r>
      <w:r w:rsidRPr="00F271C2">
        <w:rPr>
          <w:rFonts w:ascii="Arial" w:hAnsi="Arial" w:cs="Arial"/>
          <w:i/>
        </w:rPr>
        <w:t>et al.</w:t>
      </w:r>
      <w:r w:rsidRPr="00F271C2">
        <w:rPr>
          <w:rFonts w:ascii="Arial" w:hAnsi="Arial" w:cs="Arial"/>
          <w:iCs/>
        </w:rPr>
        <w:t xml:space="preserve"> (2009). Clinical effects of </w:t>
      </w:r>
      <w:proofErr w:type="spellStart"/>
      <w:r w:rsidRPr="00F271C2">
        <w:rPr>
          <w:rFonts w:ascii="Arial" w:hAnsi="Arial" w:cs="Arial"/>
          <w:iCs/>
        </w:rPr>
        <w:t>kestose</w:t>
      </w:r>
      <w:proofErr w:type="spellEnd"/>
      <w:r w:rsidRPr="00F271C2">
        <w:rPr>
          <w:rFonts w:ascii="Arial" w:hAnsi="Arial" w:cs="Arial"/>
          <w:iCs/>
        </w:rPr>
        <w:t xml:space="preserve">, a prebiotic oligosaccharide, on the treatment of atopic dermatitis in infants. </w:t>
      </w:r>
      <w:r w:rsidRPr="00F271C2">
        <w:rPr>
          <w:rFonts w:ascii="Arial" w:hAnsi="Arial" w:cs="Arial"/>
          <w:i/>
        </w:rPr>
        <w:t>Clinical &amp; Experimental Allergy</w:t>
      </w:r>
      <w:r w:rsidRPr="00F271C2">
        <w:rPr>
          <w:rFonts w:ascii="Arial" w:hAnsi="Arial" w:cs="Arial"/>
          <w:iCs/>
        </w:rPr>
        <w:t>, 39, 1397–1403. doi:10.1111/j.1365-2222.2009.</w:t>
      </w:r>
      <w:proofErr w:type="gramStart"/>
      <w:r w:rsidRPr="00F271C2">
        <w:rPr>
          <w:rFonts w:ascii="Arial" w:hAnsi="Arial" w:cs="Arial"/>
          <w:iCs/>
        </w:rPr>
        <w:t>03295.x.</w:t>
      </w:r>
      <w:proofErr w:type="gramEnd"/>
    </w:p>
    <w:p w14:paraId="0926B46C" w14:textId="275C1E34" w:rsidR="00DD3561" w:rsidRDefault="003049F6" w:rsidP="00CB43C2">
      <w:pPr>
        <w:ind w:left="511" w:hangingChars="213" w:hanging="511"/>
        <w:rPr>
          <w:rFonts w:ascii="Arial" w:hAnsi="Arial" w:cs="Arial"/>
          <w:iCs/>
        </w:rPr>
      </w:pPr>
      <w:r w:rsidRPr="00F271C2">
        <w:rPr>
          <w:rFonts w:ascii="Arial" w:hAnsi="Arial" w:cs="Arial"/>
          <w:iCs/>
        </w:rPr>
        <w:t xml:space="preserve">Shinohara, M., </w:t>
      </w:r>
      <w:proofErr w:type="spellStart"/>
      <w:r w:rsidRPr="00F271C2">
        <w:rPr>
          <w:rFonts w:ascii="Arial" w:hAnsi="Arial" w:cs="Arial"/>
          <w:iCs/>
        </w:rPr>
        <w:t>Kiyosue</w:t>
      </w:r>
      <w:proofErr w:type="spellEnd"/>
      <w:r w:rsidRPr="00F271C2">
        <w:rPr>
          <w:rFonts w:ascii="Arial" w:hAnsi="Arial" w:cs="Arial"/>
          <w:iCs/>
        </w:rPr>
        <w:t xml:space="preserve">, M., Tochio, T., Kimura, S., Koga, Y. (2020). Activation of butyrate-producing bacteria as well as bifidobacteria in the cat intestinal microbiota by the administration of 1-kestose, the smallest component of fructo-oligosaccharide. </w:t>
      </w:r>
      <w:r w:rsidRPr="00F271C2">
        <w:rPr>
          <w:rFonts w:ascii="Arial" w:hAnsi="Arial" w:cs="Arial"/>
          <w:i/>
        </w:rPr>
        <w:t>Journal of Veterinary Medical Science</w:t>
      </w:r>
      <w:r w:rsidRPr="00F271C2">
        <w:rPr>
          <w:rFonts w:ascii="Arial" w:hAnsi="Arial" w:cs="Arial"/>
          <w:iCs/>
        </w:rPr>
        <w:t>, 82, 866–874. doi:10.1292/jvms.19-0640.</w:t>
      </w:r>
    </w:p>
    <w:p w14:paraId="4D087234" w14:textId="5C8E0247" w:rsidR="00222321" w:rsidRDefault="003049F6" w:rsidP="00CB43C2">
      <w:pPr>
        <w:ind w:left="511" w:hangingChars="213" w:hanging="511"/>
        <w:rPr>
          <w:rFonts w:ascii="Arial" w:hAnsi="Arial" w:cs="Arial"/>
          <w:iCs/>
        </w:rPr>
      </w:pPr>
      <w:r w:rsidRPr="00F271C2">
        <w:rPr>
          <w:rFonts w:ascii="Arial" w:hAnsi="Arial" w:cs="Arial"/>
          <w:iCs/>
        </w:rPr>
        <w:t xml:space="preserve">Siciliano, R. A., Reale, A., Mazzeo, M. F., Morandi, S., Silvetti, T., </w:t>
      </w:r>
      <w:r w:rsidRPr="00F271C2">
        <w:rPr>
          <w:rFonts w:ascii="Arial" w:hAnsi="Arial" w:cs="Arial"/>
          <w:i/>
        </w:rPr>
        <w:t>et al.</w:t>
      </w:r>
      <w:r w:rsidRPr="00F271C2">
        <w:rPr>
          <w:rFonts w:ascii="Arial" w:hAnsi="Arial" w:cs="Arial"/>
          <w:iCs/>
        </w:rPr>
        <w:t xml:space="preserve"> (2021). </w:t>
      </w:r>
      <w:proofErr w:type="spellStart"/>
      <w:r w:rsidRPr="00F271C2">
        <w:rPr>
          <w:rFonts w:ascii="Arial" w:hAnsi="Arial" w:cs="Arial"/>
          <w:iCs/>
        </w:rPr>
        <w:t>Paraprobiotics</w:t>
      </w:r>
      <w:proofErr w:type="spellEnd"/>
      <w:r w:rsidRPr="00F271C2">
        <w:rPr>
          <w:rFonts w:ascii="Arial" w:hAnsi="Arial" w:cs="Arial"/>
          <w:iCs/>
        </w:rPr>
        <w:t xml:space="preserve">: a new perspective for functional foods and nutraceuticals. </w:t>
      </w:r>
      <w:r w:rsidRPr="00F271C2">
        <w:rPr>
          <w:rFonts w:ascii="Arial" w:hAnsi="Arial" w:cs="Arial"/>
          <w:i/>
        </w:rPr>
        <w:t>Nutrients</w:t>
      </w:r>
      <w:r w:rsidRPr="00F271C2">
        <w:rPr>
          <w:rFonts w:ascii="Arial" w:hAnsi="Arial" w:cs="Arial"/>
          <w:iCs/>
        </w:rPr>
        <w:t>, 13, 1225. doi:10.3390/nu13041225.</w:t>
      </w:r>
    </w:p>
    <w:p w14:paraId="48122145" w14:textId="0A45D309" w:rsidR="00222321" w:rsidRDefault="003049F6" w:rsidP="00CB43C2">
      <w:pPr>
        <w:ind w:left="511" w:hangingChars="213" w:hanging="511"/>
        <w:rPr>
          <w:rFonts w:ascii="Arial" w:hAnsi="Arial" w:cs="Arial"/>
          <w:iCs/>
        </w:rPr>
      </w:pPr>
      <w:r w:rsidRPr="00F271C2">
        <w:rPr>
          <w:rFonts w:ascii="Arial" w:hAnsi="Arial" w:cs="Arial"/>
          <w:iCs/>
        </w:rPr>
        <w:t xml:space="preserve">Steffan, J., </w:t>
      </w:r>
      <w:proofErr w:type="spellStart"/>
      <w:r w:rsidRPr="00F271C2">
        <w:rPr>
          <w:rFonts w:ascii="Arial" w:hAnsi="Arial" w:cs="Arial"/>
          <w:iCs/>
        </w:rPr>
        <w:t>Olivry</w:t>
      </w:r>
      <w:proofErr w:type="spellEnd"/>
      <w:r w:rsidRPr="00F271C2">
        <w:rPr>
          <w:rFonts w:ascii="Arial" w:hAnsi="Arial" w:cs="Arial"/>
          <w:iCs/>
        </w:rPr>
        <w:t xml:space="preserve">, T., Forster, S. L., Seewald, W. (2012). Responsiveness and validity of the SCORFAD, an extent and severity scale for feline hypersensitivity dermatitis. </w:t>
      </w:r>
      <w:r w:rsidRPr="00F271C2">
        <w:rPr>
          <w:rFonts w:ascii="Arial" w:hAnsi="Arial" w:cs="Arial"/>
          <w:i/>
          <w:lang w:val="de-AT"/>
        </w:rPr>
        <w:t>Veterinary Dermatology</w:t>
      </w:r>
      <w:r w:rsidRPr="00F271C2">
        <w:rPr>
          <w:rFonts w:ascii="Arial" w:hAnsi="Arial" w:cs="Arial"/>
          <w:iCs/>
          <w:lang w:val="de-AT"/>
        </w:rPr>
        <w:t>, 23, 410-e77. doi:10.1111/j.1365-3164.2012.01071.x.</w:t>
      </w:r>
    </w:p>
    <w:p w14:paraId="5B64730A" w14:textId="1DD29FFA" w:rsidR="00222321" w:rsidRDefault="003049F6" w:rsidP="00CB43C2">
      <w:pPr>
        <w:ind w:left="511" w:hangingChars="213" w:hanging="511"/>
        <w:rPr>
          <w:rFonts w:ascii="Arial" w:hAnsi="Arial" w:cs="Arial"/>
          <w:iCs/>
        </w:rPr>
      </w:pPr>
      <w:r w:rsidRPr="00F271C2">
        <w:rPr>
          <w:rFonts w:ascii="Arial" w:hAnsi="Arial" w:cs="Arial"/>
          <w:iCs/>
        </w:rPr>
        <w:t xml:space="preserve">Takahashi, H., Fujii, T., Yamakawa, S., Yamada, C., Fujiki, K., </w:t>
      </w:r>
      <w:r w:rsidRPr="00F271C2">
        <w:rPr>
          <w:rFonts w:ascii="Arial" w:hAnsi="Arial" w:cs="Arial"/>
          <w:i/>
        </w:rPr>
        <w:t>et al.</w:t>
      </w:r>
      <w:r w:rsidRPr="00F271C2">
        <w:rPr>
          <w:rFonts w:ascii="Arial" w:hAnsi="Arial" w:cs="Arial"/>
          <w:iCs/>
        </w:rPr>
        <w:t xml:space="preserve"> (2023). Combined oral intake of short and long </w:t>
      </w:r>
      <w:proofErr w:type="spellStart"/>
      <w:r w:rsidRPr="00F271C2">
        <w:rPr>
          <w:rFonts w:ascii="Arial" w:hAnsi="Arial" w:cs="Arial"/>
          <w:iCs/>
        </w:rPr>
        <w:t>fructans</w:t>
      </w:r>
      <w:proofErr w:type="spellEnd"/>
      <w:r w:rsidRPr="00F271C2">
        <w:rPr>
          <w:rFonts w:ascii="Arial" w:hAnsi="Arial" w:cs="Arial"/>
          <w:iCs/>
        </w:rPr>
        <w:t xml:space="preserve"> alters the gut microbiota in food allergy model mice and contributes to food allergy prevention. </w:t>
      </w:r>
      <w:r w:rsidRPr="00F271C2">
        <w:rPr>
          <w:rFonts w:ascii="Arial" w:hAnsi="Arial" w:cs="Arial"/>
          <w:i/>
        </w:rPr>
        <w:t>BMC Microbiology</w:t>
      </w:r>
      <w:r w:rsidRPr="00F271C2">
        <w:rPr>
          <w:rFonts w:ascii="Arial" w:hAnsi="Arial" w:cs="Arial"/>
          <w:iCs/>
        </w:rPr>
        <w:t>, 23, 266. doi:10.1186/s12866-023-03021-6.</w:t>
      </w:r>
    </w:p>
    <w:p w14:paraId="671AD581" w14:textId="5B0FC1AF" w:rsidR="00222321" w:rsidRDefault="003049F6" w:rsidP="00CB43C2">
      <w:pPr>
        <w:ind w:left="511" w:hangingChars="213" w:hanging="511"/>
        <w:rPr>
          <w:rFonts w:ascii="Arial" w:hAnsi="Arial" w:cs="Arial"/>
          <w:iCs/>
        </w:rPr>
      </w:pPr>
      <w:proofErr w:type="spellStart"/>
      <w:r w:rsidRPr="00F271C2">
        <w:rPr>
          <w:rFonts w:ascii="Arial" w:hAnsi="Arial" w:cs="Arial"/>
          <w:iCs/>
        </w:rPr>
        <w:t>Tochio</w:t>
      </w:r>
      <w:proofErr w:type="spellEnd"/>
      <w:r w:rsidRPr="00F271C2">
        <w:rPr>
          <w:rFonts w:ascii="Arial" w:hAnsi="Arial" w:cs="Arial"/>
          <w:iCs/>
        </w:rPr>
        <w:t xml:space="preserve">, T., Kadota, Y., Tanaka, T., Koga, Y. (2018). 1-Kestose, the smallest </w:t>
      </w:r>
      <w:proofErr w:type="spellStart"/>
      <w:r w:rsidRPr="00F271C2">
        <w:rPr>
          <w:rFonts w:ascii="Arial" w:hAnsi="Arial" w:cs="Arial"/>
          <w:iCs/>
        </w:rPr>
        <w:t>fructooligosaccharide</w:t>
      </w:r>
      <w:proofErr w:type="spellEnd"/>
      <w:r w:rsidRPr="00F271C2">
        <w:rPr>
          <w:rFonts w:ascii="Arial" w:hAnsi="Arial" w:cs="Arial"/>
          <w:iCs/>
        </w:rPr>
        <w:t xml:space="preserve"> component, which efficiently stimulates </w:t>
      </w:r>
      <w:proofErr w:type="spellStart"/>
      <w:r w:rsidRPr="00F271C2">
        <w:rPr>
          <w:rFonts w:ascii="Arial" w:hAnsi="Arial" w:cs="Arial"/>
          <w:iCs/>
        </w:rPr>
        <w:t>Faecalibacterium</w:t>
      </w:r>
      <w:proofErr w:type="spellEnd"/>
      <w:r w:rsidRPr="00F271C2">
        <w:rPr>
          <w:rFonts w:ascii="Arial" w:hAnsi="Arial" w:cs="Arial"/>
          <w:iCs/>
        </w:rPr>
        <w:t xml:space="preserve"> </w:t>
      </w:r>
      <w:proofErr w:type="spellStart"/>
      <w:r w:rsidRPr="00F271C2">
        <w:rPr>
          <w:rFonts w:ascii="Arial" w:hAnsi="Arial" w:cs="Arial"/>
          <w:iCs/>
        </w:rPr>
        <w:t>Prausnitzii</w:t>
      </w:r>
      <w:proofErr w:type="spellEnd"/>
      <w:r w:rsidRPr="00F271C2">
        <w:rPr>
          <w:rFonts w:ascii="Arial" w:hAnsi="Arial" w:cs="Arial"/>
          <w:iCs/>
        </w:rPr>
        <w:t xml:space="preserve"> as well as Bifidobacteria in humans. </w:t>
      </w:r>
      <w:r w:rsidRPr="00F271C2">
        <w:rPr>
          <w:rFonts w:ascii="Arial" w:hAnsi="Arial" w:cs="Arial"/>
          <w:i/>
        </w:rPr>
        <w:t>Foods</w:t>
      </w:r>
      <w:r w:rsidRPr="00F271C2">
        <w:rPr>
          <w:rFonts w:ascii="Arial" w:hAnsi="Arial" w:cs="Arial"/>
          <w:iCs/>
        </w:rPr>
        <w:t>, 7, 140. doi:10.3390/foods7090140.</w:t>
      </w:r>
    </w:p>
    <w:p w14:paraId="5357235F" w14:textId="1FA5B274" w:rsidR="00222321" w:rsidRDefault="003049F6" w:rsidP="00CB43C2">
      <w:pPr>
        <w:ind w:left="511" w:hangingChars="213" w:hanging="511"/>
        <w:rPr>
          <w:rFonts w:ascii="Arial" w:hAnsi="Arial" w:cs="Arial"/>
          <w:iCs/>
        </w:rPr>
      </w:pPr>
      <w:proofErr w:type="spellStart"/>
      <w:r w:rsidRPr="00F271C2">
        <w:rPr>
          <w:rFonts w:ascii="Arial" w:hAnsi="Arial" w:cs="Arial"/>
          <w:iCs/>
        </w:rPr>
        <w:t>Trompette</w:t>
      </w:r>
      <w:proofErr w:type="spellEnd"/>
      <w:r w:rsidRPr="00F271C2">
        <w:rPr>
          <w:rFonts w:ascii="Arial" w:hAnsi="Arial" w:cs="Arial"/>
          <w:iCs/>
        </w:rPr>
        <w:t xml:space="preserve">, A., Pernot, J., </w:t>
      </w:r>
      <w:proofErr w:type="spellStart"/>
      <w:r w:rsidRPr="00F271C2">
        <w:rPr>
          <w:rFonts w:ascii="Arial" w:hAnsi="Arial" w:cs="Arial"/>
          <w:iCs/>
        </w:rPr>
        <w:t>Perdijk</w:t>
      </w:r>
      <w:proofErr w:type="spellEnd"/>
      <w:r w:rsidRPr="00F271C2">
        <w:rPr>
          <w:rFonts w:ascii="Arial" w:hAnsi="Arial" w:cs="Arial"/>
          <w:iCs/>
        </w:rPr>
        <w:t xml:space="preserve">, O., Alqahtani, R. A. A., Domingo, J. S., </w:t>
      </w:r>
      <w:r w:rsidRPr="00F271C2">
        <w:rPr>
          <w:rFonts w:ascii="Arial" w:hAnsi="Arial" w:cs="Arial"/>
          <w:i/>
        </w:rPr>
        <w:t>et al.</w:t>
      </w:r>
      <w:r w:rsidRPr="00F271C2">
        <w:rPr>
          <w:rFonts w:ascii="Arial" w:hAnsi="Arial" w:cs="Arial"/>
          <w:iCs/>
        </w:rPr>
        <w:t xml:space="preserve"> (2022). Gut-derived short-chain fatty acids modulate skin barrier integrity by promoting keratinocyte metabolism and differentiation. </w:t>
      </w:r>
      <w:r w:rsidRPr="00F271C2">
        <w:rPr>
          <w:rFonts w:ascii="Arial" w:hAnsi="Arial" w:cs="Arial"/>
          <w:i/>
        </w:rPr>
        <w:t>Mucosal Immunol</w:t>
      </w:r>
      <w:r w:rsidRPr="00F271C2">
        <w:rPr>
          <w:rFonts w:ascii="Arial" w:hAnsi="Arial" w:cs="Arial"/>
          <w:iCs/>
        </w:rPr>
        <w:t>ogy, 15, 908–926. doi:10.1038/s41385-022-00524-9.</w:t>
      </w:r>
    </w:p>
    <w:p w14:paraId="061F8BCD" w14:textId="59B02DDF" w:rsidR="00222321" w:rsidRDefault="003049F6" w:rsidP="00CB43C2">
      <w:pPr>
        <w:ind w:left="511" w:hangingChars="213" w:hanging="511"/>
        <w:rPr>
          <w:rFonts w:ascii="Arial" w:hAnsi="Arial" w:cs="Arial"/>
          <w:iCs/>
        </w:rPr>
      </w:pPr>
      <w:r w:rsidRPr="00F271C2">
        <w:rPr>
          <w:rFonts w:ascii="Arial" w:hAnsi="Arial" w:cs="Arial"/>
          <w:iCs/>
        </w:rPr>
        <w:t xml:space="preserve">Verstegen, R. E. M., Kostadinova, A. I., </w:t>
      </w:r>
      <w:proofErr w:type="spellStart"/>
      <w:r w:rsidRPr="00F271C2">
        <w:rPr>
          <w:rFonts w:ascii="Arial" w:hAnsi="Arial" w:cs="Arial"/>
          <w:iCs/>
        </w:rPr>
        <w:t>Merenciana</w:t>
      </w:r>
      <w:proofErr w:type="spellEnd"/>
      <w:r w:rsidRPr="00F271C2">
        <w:rPr>
          <w:rFonts w:ascii="Arial" w:hAnsi="Arial" w:cs="Arial"/>
          <w:iCs/>
        </w:rPr>
        <w:t xml:space="preserve">, Z., </w:t>
      </w:r>
      <w:proofErr w:type="spellStart"/>
      <w:r w:rsidRPr="00F271C2">
        <w:rPr>
          <w:rFonts w:ascii="Arial" w:hAnsi="Arial" w:cs="Arial"/>
          <w:iCs/>
        </w:rPr>
        <w:t>Garssen</w:t>
      </w:r>
      <w:proofErr w:type="spellEnd"/>
      <w:r w:rsidRPr="00F271C2">
        <w:rPr>
          <w:rFonts w:ascii="Arial" w:hAnsi="Arial" w:cs="Arial"/>
          <w:iCs/>
        </w:rPr>
        <w:t xml:space="preserve">, J., Folkerts, G., </w:t>
      </w:r>
      <w:r w:rsidRPr="00F271C2">
        <w:rPr>
          <w:rFonts w:ascii="Arial" w:hAnsi="Arial" w:cs="Arial"/>
          <w:i/>
        </w:rPr>
        <w:t>et al.</w:t>
      </w:r>
      <w:r w:rsidRPr="00F271C2">
        <w:rPr>
          <w:rFonts w:ascii="Arial" w:hAnsi="Arial" w:cs="Arial"/>
          <w:iCs/>
        </w:rPr>
        <w:t xml:space="preserve"> (2021). Dietary fibers: effects, underlying mechanisms and possible role in allergic asthma management. </w:t>
      </w:r>
      <w:r w:rsidRPr="00F271C2">
        <w:rPr>
          <w:rFonts w:ascii="Arial" w:hAnsi="Arial" w:cs="Arial"/>
          <w:i/>
        </w:rPr>
        <w:t>Nutrients</w:t>
      </w:r>
      <w:r w:rsidRPr="00F271C2">
        <w:rPr>
          <w:rFonts w:ascii="Arial" w:hAnsi="Arial" w:cs="Arial"/>
          <w:iCs/>
        </w:rPr>
        <w:t>, 13, 4153. doi:10.3390/nu13114153.</w:t>
      </w:r>
    </w:p>
    <w:p w14:paraId="00708A1F" w14:textId="12D243BD" w:rsidR="003049F6" w:rsidRDefault="003049F6" w:rsidP="00CB43C2">
      <w:pPr>
        <w:ind w:left="511" w:hangingChars="213" w:hanging="511"/>
        <w:rPr>
          <w:rFonts w:ascii="Arial" w:hAnsi="Arial" w:cs="Arial"/>
          <w:iCs/>
        </w:rPr>
      </w:pPr>
      <w:r w:rsidRPr="00F271C2">
        <w:rPr>
          <w:rFonts w:ascii="Arial" w:hAnsi="Arial" w:cs="Arial"/>
          <w:iCs/>
          <w:lang w:val="de-AT"/>
        </w:rPr>
        <w:t xml:space="preserve">Wang, W., Chen, L., Zhou, R., Wang, X., Song, L., </w:t>
      </w:r>
      <w:r w:rsidRPr="00F271C2">
        <w:rPr>
          <w:rFonts w:ascii="Arial" w:hAnsi="Arial" w:cs="Arial"/>
          <w:i/>
          <w:lang w:val="de-AT"/>
        </w:rPr>
        <w:t>et al.</w:t>
      </w:r>
      <w:r w:rsidRPr="00F271C2">
        <w:rPr>
          <w:rFonts w:ascii="Arial" w:hAnsi="Arial" w:cs="Arial"/>
          <w:iCs/>
          <w:lang w:val="de-AT"/>
        </w:rPr>
        <w:t xml:space="preserve"> (2020). </w:t>
      </w:r>
      <w:r w:rsidRPr="00F271C2">
        <w:rPr>
          <w:rFonts w:ascii="Arial" w:hAnsi="Arial" w:cs="Arial"/>
          <w:iCs/>
        </w:rPr>
        <w:t xml:space="preserve">Increased proportions of Bifidobacterium and the Lactobacillus Group and loss of butyrate-producing bacteria in inflammatory bowel disease. </w:t>
      </w:r>
      <w:r w:rsidRPr="00F271C2">
        <w:rPr>
          <w:rFonts w:ascii="Arial" w:hAnsi="Arial" w:cs="Arial"/>
          <w:i/>
        </w:rPr>
        <w:t>Journal of Clinical Microbiology</w:t>
      </w:r>
      <w:r w:rsidRPr="00F271C2">
        <w:rPr>
          <w:rFonts w:ascii="Arial" w:hAnsi="Arial" w:cs="Arial"/>
          <w:iCs/>
        </w:rPr>
        <w:t>, 52, 398–406. doi:10.1128/jcm.01500-13.</w:t>
      </w:r>
    </w:p>
    <w:p w14:paraId="2B190BB2" w14:textId="3917CF7F" w:rsidR="003049F6" w:rsidRDefault="003049F6" w:rsidP="00CB43C2">
      <w:pPr>
        <w:ind w:left="511" w:hangingChars="213" w:hanging="511"/>
        <w:rPr>
          <w:rFonts w:ascii="Arial" w:hAnsi="Arial" w:cs="Arial"/>
          <w:iCs/>
        </w:rPr>
      </w:pPr>
      <w:r w:rsidRPr="00F271C2">
        <w:rPr>
          <w:rFonts w:ascii="Arial" w:hAnsi="Arial" w:cs="Arial"/>
          <w:iCs/>
        </w:rPr>
        <w:t xml:space="preserve">Wu, I.-W., Lin, C.-Y., Chang, L.-C., Lee, C.-C., Chiu, C.-Y., </w:t>
      </w:r>
      <w:r w:rsidRPr="00F271C2">
        <w:rPr>
          <w:rFonts w:ascii="Arial" w:hAnsi="Arial" w:cs="Arial"/>
          <w:i/>
        </w:rPr>
        <w:t xml:space="preserve">et al. </w:t>
      </w:r>
      <w:r w:rsidRPr="00F271C2">
        <w:rPr>
          <w:rFonts w:ascii="Arial" w:hAnsi="Arial" w:cs="Arial"/>
          <w:iCs/>
        </w:rPr>
        <w:t xml:space="preserve">(2020). Gut microbiota as diagnostic tools for mirroring disease progression and circulating nephrotoxin levels in chronic kidney disease: discovery and validation study. </w:t>
      </w:r>
      <w:r w:rsidRPr="00F271C2">
        <w:rPr>
          <w:rFonts w:ascii="Arial" w:hAnsi="Arial" w:cs="Arial"/>
          <w:i/>
        </w:rPr>
        <w:t>International Journal of Biological Sciences</w:t>
      </w:r>
      <w:r w:rsidRPr="00F271C2">
        <w:rPr>
          <w:rFonts w:ascii="Arial" w:hAnsi="Arial" w:cs="Arial"/>
          <w:iCs/>
        </w:rPr>
        <w:t>, 16, 420–434. doi:10.7150/ijbs.37421.</w:t>
      </w:r>
    </w:p>
    <w:p w14:paraId="355F1EA3" w14:textId="1E47DA27" w:rsidR="003049F6" w:rsidRDefault="003049F6" w:rsidP="00CB43C2">
      <w:pPr>
        <w:ind w:left="511" w:hangingChars="213" w:hanging="511"/>
        <w:rPr>
          <w:rFonts w:ascii="Arial" w:hAnsi="Arial" w:cs="Arial"/>
          <w:iCs/>
        </w:rPr>
      </w:pPr>
      <w:r w:rsidRPr="00F271C2">
        <w:rPr>
          <w:rFonts w:ascii="Arial" w:hAnsi="Arial" w:cs="Arial"/>
          <w:iCs/>
        </w:rPr>
        <w:lastRenderedPageBreak/>
        <w:t xml:space="preserve">Xu, H., Huang, W., Hou, Q., Kwok, L.-Y., Laga, W., </w:t>
      </w:r>
      <w:r w:rsidRPr="00F271C2">
        <w:rPr>
          <w:rFonts w:ascii="Arial" w:hAnsi="Arial" w:cs="Arial"/>
          <w:i/>
        </w:rPr>
        <w:t>et al.</w:t>
      </w:r>
      <w:r w:rsidRPr="00F271C2">
        <w:rPr>
          <w:rFonts w:ascii="Arial" w:hAnsi="Arial" w:cs="Arial"/>
          <w:iCs/>
        </w:rPr>
        <w:t xml:space="preserve"> (2019). Oral administration of compound probiotics improved canine feed intake, weight gain, immunity and intestinal microbiota. </w:t>
      </w:r>
      <w:r w:rsidRPr="00F271C2">
        <w:rPr>
          <w:rFonts w:ascii="Arial" w:hAnsi="Arial" w:cs="Arial"/>
          <w:i/>
        </w:rPr>
        <w:t>Frontiers Immunology</w:t>
      </w:r>
      <w:r w:rsidRPr="00F271C2">
        <w:rPr>
          <w:rFonts w:ascii="Arial" w:hAnsi="Arial" w:cs="Arial"/>
          <w:iCs/>
        </w:rPr>
        <w:t>, 10, 666. doi:10.3389/fimmu.2019.00666.</w:t>
      </w:r>
    </w:p>
    <w:p w14:paraId="7AEE5938" w14:textId="77777777" w:rsidR="00441B6F" w:rsidRDefault="00441B6F" w:rsidP="00441B6F">
      <w:pPr>
        <w:pStyle w:val="Body"/>
        <w:spacing w:after="0"/>
        <w:jc w:val="left"/>
      </w:pPr>
    </w:p>
    <w:p w14:paraId="1695528B" w14:textId="77777777" w:rsidR="00790ADA" w:rsidRDefault="00790ADA" w:rsidP="00441B6F">
      <w:pPr>
        <w:pStyle w:val="Body"/>
        <w:spacing w:after="0"/>
        <w:rPr>
          <w:rFonts w:ascii="Arial" w:hAnsi="Arial" w:cs="Arial"/>
        </w:rPr>
      </w:pPr>
    </w:p>
    <w:p w14:paraId="237F261F" w14:textId="1E805F4B" w:rsidR="003F6D3F" w:rsidRPr="004943B3" w:rsidRDefault="003F6D3F" w:rsidP="003F6D3F">
      <w:pPr>
        <w:pStyle w:val="Body"/>
        <w:spacing w:after="0"/>
        <w:rPr>
          <w:rFonts w:ascii="Arial" w:eastAsia="Calibri" w:hAnsi="Arial" w:cs="Arial"/>
          <w:sz w:val="21"/>
          <w:szCs w:val="24"/>
        </w:rPr>
      </w:pPr>
    </w:p>
    <w:p w14:paraId="4EB7A996" w14:textId="77777777" w:rsidR="003F6D3F" w:rsidRDefault="003F6D3F" w:rsidP="00441B6F">
      <w:pPr>
        <w:pStyle w:val="Body"/>
        <w:spacing w:after="0"/>
        <w:rPr>
          <w:rFonts w:ascii="Arial" w:hAnsi="Arial" w:cs="Arial"/>
        </w:rPr>
      </w:pPr>
    </w:p>
    <w:p w14:paraId="798C59C3" w14:textId="77777777" w:rsidR="004D4277" w:rsidRPr="00FB3A86" w:rsidRDefault="00B01FCD" w:rsidP="00441B6F">
      <w:pPr>
        <w:pStyle w:val="Appendix"/>
        <w:spacing w:after="0"/>
        <w:jc w:val="both"/>
        <w:rPr>
          <w:rFonts w:ascii="Arial" w:hAnsi="Arial" w:cs="Arial"/>
          <w:b w:val="0"/>
        </w:rPr>
        <w:sectPr w:rsidR="004D4277" w:rsidRPr="00FB3A86" w:rsidSect="00BE2014">
          <w:headerReference w:type="even" r:id="rId18"/>
          <w:headerReference w:type="default" r:id="rId19"/>
          <w:footerReference w:type="default" r:id="rId20"/>
          <w:headerReference w:type="first" r:id="rId21"/>
          <w:type w:val="continuous"/>
          <w:pgSz w:w="12240" w:h="15840"/>
          <w:pgMar w:top="1440" w:right="2016" w:bottom="2016" w:left="2016" w:header="720" w:footer="1123" w:gutter="0"/>
          <w:cols w:space="720"/>
          <w:docGrid w:linePitch="272"/>
        </w:sectPr>
      </w:pPr>
      <w:r w:rsidRPr="00FB3A86">
        <w:rPr>
          <w:rFonts w:ascii="Arial" w:hAnsi="Arial" w:cs="Arial"/>
        </w:rPr>
        <w:t>APPENDIX</w:t>
      </w:r>
    </w:p>
    <w:p w14:paraId="185C81AF" w14:textId="5AEEDE5F" w:rsidR="00B01FCD" w:rsidRDefault="002C7CF5" w:rsidP="002C7CF5">
      <w:pPr>
        <w:pStyle w:val="Appendix"/>
        <w:spacing w:after="0"/>
        <w:jc w:val="center"/>
        <w:rPr>
          <w:rFonts w:ascii="Arial" w:hAnsi="Arial" w:cs="Arial"/>
          <w:b w:val="0"/>
        </w:rPr>
      </w:pPr>
      <w:r>
        <w:rPr>
          <w:rFonts w:ascii="Arial" w:hAnsi="Arial" w:cs="Arial"/>
          <w:b w:val="0"/>
          <w:noProof/>
        </w:rPr>
        <w:lastRenderedPageBreak/>
        <w:drawing>
          <wp:inline distT="0" distB="0" distL="0" distR="0" wp14:anchorId="097CD151" wp14:editId="39040008">
            <wp:extent cx="5796366" cy="5393842"/>
            <wp:effectExtent l="0" t="0" r="0" b="0"/>
            <wp:docPr id="1920947207" name="図 2" descr="カラフルな光のcg&#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47207" name="図 2" descr="カラフルな光のcg&#10;&#10;AI 生成コンテンツは誤りを含む可能性があります。"/>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820373" cy="5416182"/>
                    </a:xfrm>
                    <a:prstGeom prst="rect">
                      <a:avLst/>
                    </a:prstGeom>
                  </pic:spPr>
                </pic:pic>
              </a:graphicData>
            </a:graphic>
          </wp:inline>
        </w:drawing>
      </w:r>
    </w:p>
    <w:p w14:paraId="763AD126" w14:textId="2498D032" w:rsidR="002C7CF5" w:rsidRPr="002C7CF5" w:rsidRDefault="002C7CF5" w:rsidP="00F271C2">
      <w:pPr>
        <w:pStyle w:val="ReferHead"/>
        <w:spacing w:after="0"/>
        <w:ind w:leftChars="637" w:left="1530" w:rightChars="438" w:right="1051" w:hanging="1"/>
        <w:jc w:val="both"/>
        <w:rPr>
          <w:rFonts w:ascii="Arial" w:hAnsi="Arial" w:cs="Arial"/>
          <w:bCs/>
          <w:caps w:val="0"/>
          <w:sz w:val="20"/>
        </w:rPr>
      </w:pPr>
      <w:r w:rsidRPr="002C7CF5">
        <w:rPr>
          <w:rFonts w:ascii="Arial" w:hAnsi="Arial" w:cs="Arial"/>
          <w:bCs/>
          <w:caps w:val="0"/>
          <w:sz w:val="20"/>
        </w:rPr>
        <w:t xml:space="preserve">Supplementary Fig. 1 Characteristics of the gut microbiome in each group. </w:t>
      </w:r>
    </w:p>
    <w:p w14:paraId="49768DFF" w14:textId="77777777" w:rsidR="002C7CF5" w:rsidRPr="002C7CF5" w:rsidRDefault="002C7CF5" w:rsidP="00F271C2">
      <w:pPr>
        <w:pStyle w:val="ReferHead"/>
        <w:spacing w:after="0"/>
        <w:ind w:leftChars="637" w:left="1530" w:rightChars="438" w:right="1051" w:hanging="1"/>
        <w:jc w:val="both"/>
        <w:rPr>
          <w:rFonts w:ascii="Arial" w:hAnsi="Arial" w:cs="Arial"/>
          <w:b w:val="0"/>
          <w:caps w:val="0"/>
          <w:sz w:val="20"/>
        </w:rPr>
      </w:pPr>
      <w:r w:rsidRPr="002C7CF5">
        <w:rPr>
          <w:rFonts w:ascii="Arial" w:hAnsi="Arial" w:cs="Arial"/>
          <w:b w:val="0"/>
          <w:caps w:val="0"/>
          <w:sz w:val="20"/>
        </w:rPr>
        <w:t xml:space="preserve">A comparison of the genus (a) and species (b) composition of the microbiome in the feces of the Ctrl, baseline, and post-intervention groups is shown. </w:t>
      </w:r>
    </w:p>
    <w:p w14:paraId="64325EC1" w14:textId="77777777" w:rsidR="002C7CF5" w:rsidRPr="002C7CF5" w:rsidRDefault="002C7CF5" w:rsidP="00F271C2">
      <w:pPr>
        <w:pStyle w:val="ReferHead"/>
        <w:spacing w:after="0"/>
        <w:ind w:leftChars="637" w:left="1530" w:rightChars="438" w:right="1051" w:hanging="1"/>
        <w:jc w:val="both"/>
        <w:rPr>
          <w:rFonts w:ascii="Arial" w:hAnsi="Arial" w:cs="Arial"/>
          <w:b w:val="0"/>
          <w:caps w:val="0"/>
          <w:sz w:val="20"/>
        </w:rPr>
      </w:pPr>
      <w:r w:rsidRPr="002C7CF5">
        <w:rPr>
          <w:rFonts w:ascii="Arial" w:hAnsi="Arial" w:cs="Arial"/>
          <w:b w:val="0"/>
          <w:caps w:val="0"/>
          <w:sz w:val="20"/>
        </w:rPr>
        <w:t>"Others" represents taxa that constitute less than 1% of the total microbiome composition.</w:t>
      </w:r>
    </w:p>
    <w:p w14:paraId="1A2942A6" w14:textId="7B69FA43" w:rsidR="002C7CF5" w:rsidRDefault="002C7CF5" w:rsidP="00F271C2">
      <w:pPr>
        <w:pStyle w:val="ReferHead"/>
        <w:spacing w:after="0"/>
        <w:ind w:leftChars="637" w:left="1530" w:rightChars="438" w:right="1051" w:hanging="1"/>
        <w:jc w:val="both"/>
        <w:rPr>
          <w:rFonts w:ascii="Arial" w:hAnsi="Arial" w:cs="Arial"/>
          <w:b w:val="0"/>
          <w:caps w:val="0"/>
          <w:sz w:val="20"/>
        </w:rPr>
      </w:pPr>
      <w:r w:rsidRPr="002C7CF5">
        <w:rPr>
          <w:rFonts w:ascii="Arial" w:hAnsi="Arial" w:cs="Arial"/>
          <w:b w:val="0"/>
          <w:caps w:val="0"/>
          <w:sz w:val="20"/>
        </w:rPr>
        <w:t>Ctrl: healthy control cat group, Baseline: baseline group of feline atopic skin syndrome, Post-intervention: Post-intervention group of feline atopic skin syndrome.</w:t>
      </w:r>
    </w:p>
    <w:p w14:paraId="39F8098F" w14:textId="77777777" w:rsidR="004E6EE3" w:rsidRDefault="004E6EE3" w:rsidP="00F271C2">
      <w:pPr>
        <w:pStyle w:val="ReferHead"/>
        <w:spacing w:after="0"/>
        <w:ind w:leftChars="637" w:left="1530" w:rightChars="438" w:right="1051" w:hanging="1"/>
        <w:jc w:val="both"/>
        <w:rPr>
          <w:rFonts w:ascii="Arial" w:hAnsi="Arial" w:cs="Arial"/>
          <w:b w:val="0"/>
          <w:caps w:val="0"/>
          <w:sz w:val="20"/>
        </w:rPr>
      </w:pPr>
    </w:p>
    <w:p w14:paraId="3B0454B6" w14:textId="560D0F21" w:rsidR="004E6EE3" w:rsidRDefault="004E6EE3" w:rsidP="00F271C2">
      <w:pPr>
        <w:pStyle w:val="ReferHead"/>
        <w:spacing w:after="0"/>
        <w:ind w:leftChars="637" w:left="1530" w:rightChars="438" w:right="1051" w:hanging="1"/>
        <w:jc w:val="both"/>
        <w:rPr>
          <w:rFonts w:ascii="Arial" w:hAnsi="Arial" w:cs="Arial"/>
          <w:bCs/>
          <w:caps w:val="0"/>
          <w:sz w:val="20"/>
          <w:lang w:eastAsia="ja-JP"/>
        </w:rPr>
      </w:pPr>
      <w:r w:rsidRPr="002C7CF5">
        <w:rPr>
          <w:rFonts w:ascii="Arial" w:hAnsi="Arial" w:cs="Arial"/>
          <w:bCs/>
          <w:caps w:val="0"/>
          <w:sz w:val="20"/>
        </w:rPr>
        <w:t xml:space="preserve">Supplementary </w:t>
      </w:r>
      <w:r>
        <w:rPr>
          <w:rFonts w:ascii="Arial" w:hAnsi="Arial" w:cs="Arial"/>
          <w:bCs/>
          <w:caps w:val="0"/>
          <w:sz w:val="20"/>
        </w:rPr>
        <w:t>Table</w:t>
      </w:r>
      <w:r w:rsidRPr="002C7CF5">
        <w:rPr>
          <w:rFonts w:ascii="Arial" w:hAnsi="Arial" w:cs="Arial"/>
          <w:bCs/>
          <w:caps w:val="0"/>
          <w:sz w:val="20"/>
        </w:rPr>
        <w:t>. 1</w:t>
      </w:r>
      <w:r w:rsidR="003407F3">
        <w:rPr>
          <w:rFonts w:ascii="Arial" w:hAnsi="Arial" w:cs="Arial"/>
          <w:bCs/>
          <w:caps w:val="0"/>
          <w:sz w:val="20"/>
        </w:rPr>
        <w:t xml:space="preserve"> </w:t>
      </w:r>
      <w:r w:rsidR="00432DCB" w:rsidRPr="00432DCB">
        <w:rPr>
          <w:rFonts w:ascii="Arial" w:hAnsi="Arial" w:cs="Arial"/>
          <w:bCs/>
          <w:caps w:val="0"/>
          <w:sz w:val="20"/>
        </w:rPr>
        <w:t>Changes in bacterial taxa before and after intervention</w:t>
      </w:r>
      <w:r w:rsidR="00432DCB">
        <w:rPr>
          <w:rFonts w:ascii="Arial" w:hAnsi="Arial" w:cs="Arial"/>
          <w:bCs/>
          <w:caps w:val="0"/>
          <w:sz w:val="20"/>
        </w:rPr>
        <w:t>.</w:t>
      </w:r>
    </w:p>
    <w:p w14:paraId="5DAA86DD" w14:textId="77777777" w:rsidR="003407F3" w:rsidRDefault="003407F3" w:rsidP="00F271C2">
      <w:pPr>
        <w:pStyle w:val="ReferHead"/>
        <w:spacing w:after="0"/>
        <w:ind w:leftChars="637" w:left="1530" w:rightChars="438" w:right="1051" w:hanging="1"/>
        <w:jc w:val="both"/>
        <w:rPr>
          <w:rFonts w:ascii="Arial" w:hAnsi="Arial" w:cs="Arial"/>
          <w:bCs/>
          <w:caps w:val="0"/>
          <w:sz w:val="20"/>
        </w:rPr>
      </w:pPr>
    </w:p>
    <w:tbl>
      <w:tblPr>
        <w:tblW w:w="6720" w:type="dxa"/>
        <w:tblInd w:w="2046" w:type="dxa"/>
        <w:tblCellMar>
          <w:left w:w="99" w:type="dxa"/>
          <w:right w:w="99" w:type="dxa"/>
        </w:tblCellMar>
        <w:tblLook w:val="04A0" w:firstRow="1" w:lastRow="0" w:firstColumn="1" w:lastColumn="0" w:noHBand="0" w:noVBand="1"/>
      </w:tblPr>
      <w:tblGrid>
        <w:gridCol w:w="3240"/>
        <w:gridCol w:w="1628"/>
        <w:gridCol w:w="452"/>
        <w:gridCol w:w="1400"/>
      </w:tblGrid>
      <w:tr w:rsidR="003407F3" w14:paraId="19F8C617" w14:textId="77777777" w:rsidTr="003407F3">
        <w:trPr>
          <w:trHeight w:val="420"/>
        </w:trPr>
        <w:tc>
          <w:tcPr>
            <w:tcW w:w="3240" w:type="dxa"/>
            <w:tcBorders>
              <w:top w:val="single" w:sz="8" w:space="0" w:color="auto"/>
              <w:left w:val="nil"/>
              <w:bottom w:val="single" w:sz="8" w:space="0" w:color="auto"/>
              <w:right w:val="nil"/>
            </w:tcBorders>
            <w:noWrap/>
            <w:vAlign w:val="center"/>
            <w:hideMark/>
          </w:tcPr>
          <w:p w14:paraId="6ABBE4CE" w14:textId="77777777" w:rsidR="003407F3" w:rsidRDefault="003407F3">
            <w:pPr>
              <w:jc w:val="center"/>
              <w:rPr>
                <w:rFonts w:ascii="Calibri" w:eastAsia="Yu Gothic" w:hAnsi="Calibri" w:cs="Calibri"/>
                <w:b/>
                <w:bCs/>
                <w:color w:val="000000"/>
                <w:sz w:val="28"/>
                <w:szCs w:val="28"/>
              </w:rPr>
            </w:pPr>
            <w:r>
              <w:rPr>
                <w:rFonts w:ascii="Calibri" w:eastAsia="Yu Gothic" w:hAnsi="Calibri" w:cs="Calibri"/>
                <w:b/>
                <w:bCs/>
                <w:color w:val="000000"/>
                <w:sz w:val="28"/>
                <w:szCs w:val="28"/>
              </w:rPr>
              <w:t>Taxon</w:t>
            </w:r>
          </w:p>
        </w:tc>
        <w:tc>
          <w:tcPr>
            <w:tcW w:w="3480" w:type="dxa"/>
            <w:gridSpan w:val="3"/>
            <w:tcBorders>
              <w:top w:val="single" w:sz="8" w:space="0" w:color="auto"/>
              <w:left w:val="nil"/>
              <w:bottom w:val="single" w:sz="8" w:space="0" w:color="auto"/>
              <w:right w:val="nil"/>
            </w:tcBorders>
            <w:noWrap/>
            <w:vAlign w:val="center"/>
            <w:hideMark/>
          </w:tcPr>
          <w:p w14:paraId="45459883" w14:textId="77777777" w:rsidR="003407F3" w:rsidRDefault="003407F3">
            <w:pPr>
              <w:jc w:val="center"/>
              <w:rPr>
                <w:rFonts w:ascii="Calibri" w:eastAsia="Yu Gothic" w:hAnsi="Calibri" w:cs="Calibri"/>
                <w:b/>
                <w:bCs/>
                <w:color w:val="000000"/>
                <w:sz w:val="28"/>
                <w:szCs w:val="28"/>
              </w:rPr>
            </w:pPr>
            <w:r>
              <w:rPr>
                <w:rFonts w:ascii="Calibri" w:eastAsia="Yu Gothic" w:hAnsi="Calibri" w:cs="Calibri"/>
                <w:b/>
                <w:bCs/>
                <w:color w:val="000000"/>
                <w:sz w:val="28"/>
                <w:szCs w:val="28"/>
              </w:rPr>
              <w:t>Change (mean ± SEM, %)</w:t>
            </w:r>
          </w:p>
        </w:tc>
      </w:tr>
      <w:tr w:rsidR="003407F3" w14:paraId="5A99ED8B" w14:textId="77777777" w:rsidTr="003407F3">
        <w:trPr>
          <w:trHeight w:val="400"/>
        </w:trPr>
        <w:tc>
          <w:tcPr>
            <w:tcW w:w="3240" w:type="dxa"/>
            <w:tcBorders>
              <w:top w:val="nil"/>
              <w:left w:val="nil"/>
              <w:bottom w:val="nil"/>
              <w:right w:val="nil"/>
            </w:tcBorders>
            <w:noWrap/>
            <w:vAlign w:val="center"/>
            <w:hideMark/>
          </w:tcPr>
          <w:p w14:paraId="77D4146D" w14:textId="77777777" w:rsidR="003407F3" w:rsidRDefault="003407F3">
            <w:pPr>
              <w:jc w:val="center"/>
              <w:rPr>
                <w:rFonts w:ascii="Calibri" w:eastAsia="Yu Gothic" w:hAnsi="Calibri" w:cs="Calibri"/>
                <w:i/>
                <w:iCs/>
                <w:color w:val="000000"/>
                <w:sz w:val="28"/>
                <w:szCs w:val="28"/>
              </w:rPr>
            </w:pPr>
            <w:proofErr w:type="spellStart"/>
            <w:r>
              <w:rPr>
                <w:rFonts w:ascii="Calibri" w:eastAsia="Yu Gothic" w:hAnsi="Calibri" w:cs="Calibri"/>
                <w:i/>
                <w:iCs/>
                <w:color w:val="000000"/>
                <w:sz w:val="28"/>
                <w:szCs w:val="28"/>
              </w:rPr>
              <w:t>Collinsella</w:t>
            </w:r>
            <w:proofErr w:type="spellEnd"/>
            <w:r>
              <w:rPr>
                <w:rFonts w:ascii="Calibri" w:eastAsia="Yu Gothic" w:hAnsi="Calibri" w:cs="Calibri"/>
                <w:i/>
                <w:iCs/>
                <w:color w:val="000000"/>
                <w:sz w:val="28"/>
                <w:szCs w:val="28"/>
              </w:rPr>
              <w:t xml:space="preserve"> </w:t>
            </w:r>
            <w:proofErr w:type="spellStart"/>
            <w:r>
              <w:rPr>
                <w:rFonts w:ascii="Calibri" w:eastAsia="Yu Gothic" w:hAnsi="Calibri" w:cs="Calibri"/>
                <w:i/>
                <w:iCs/>
                <w:color w:val="000000"/>
                <w:sz w:val="28"/>
                <w:szCs w:val="28"/>
              </w:rPr>
              <w:t>stercoris</w:t>
            </w:r>
            <w:proofErr w:type="spellEnd"/>
          </w:p>
        </w:tc>
        <w:tc>
          <w:tcPr>
            <w:tcW w:w="1628" w:type="dxa"/>
            <w:tcBorders>
              <w:top w:val="nil"/>
              <w:left w:val="nil"/>
              <w:bottom w:val="nil"/>
              <w:right w:val="nil"/>
            </w:tcBorders>
            <w:noWrap/>
            <w:vAlign w:val="center"/>
            <w:hideMark/>
          </w:tcPr>
          <w:p w14:paraId="1E20A305"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-0.95</w:t>
            </w:r>
          </w:p>
        </w:tc>
        <w:tc>
          <w:tcPr>
            <w:tcW w:w="452" w:type="dxa"/>
            <w:tcBorders>
              <w:top w:val="nil"/>
              <w:left w:val="nil"/>
              <w:bottom w:val="nil"/>
              <w:right w:val="nil"/>
            </w:tcBorders>
            <w:noWrap/>
            <w:vAlign w:val="center"/>
            <w:hideMark/>
          </w:tcPr>
          <w:p w14:paraId="651AAF3C"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w:t>
            </w:r>
          </w:p>
        </w:tc>
        <w:tc>
          <w:tcPr>
            <w:tcW w:w="1400" w:type="dxa"/>
            <w:tcBorders>
              <w:top w:val="nil"/>
              <w:left w:val="nil"/>
              <w:bottom w:val="nil"/>
              <w:right w:val="nil"/>
            </w:tcBorders>
            <w:noWrap/>
            <w:vAlign w:val="center"/>
            <w:hideMark/>
          </w:tcPr>
          <w:p w14:paraId="4BC18862"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0.51</w:t>
            </w:r>
          </w:p>
        </w:tc>
      </w:tr>
      <w:tr w:rsidR="003407F3" w14:paraId="6237DF7B" w14:textId="77777777" w:rsidTr="003407F3">
        <w:trPr>
          <w:trHeight w:val="400"/>
        </w:trPr>
        <w:tc>
          <w:tcPr>
            <w:tcW w:w="3240" w:type="dxa"/>
            <w:tcBorders>
              <w:top w:val="nil"/>
              <w:left w:val="nil"/>
              <w:bottom w:val="nil"/>
              <w:right w:val="nil"/>
            </w:tcBorders>
            <w:noWrap/>
            <w:vAlign w:val="center"/>
            <w:hideMark/>
          </w:tcPr>
          <w:p w14:paraId="5E3AD472" w14:textId="77777777" w:rsidR="003407F3" w:rsidRDefault="003407F3">
            <w:pPr>
              <w:jc w:val="center"/>
              <w:rPr>
                <w:rFonts w:ascii="Calibri" w:eastAsia="Yu Gothic" w:hAnsi="Calibri" w:cs="Calibri"/>
                <w:i/>
                <w:iCs/>
                <w:color w:val="000000"/>
                <w:sz w:val="28"/>
                <w:szCs w:val="28"/>
              </w:rPr>
            </w:pPr>
            <w:r>
              <w:rPr>
                <w:rFonts w:ascii="Calibri" w:eastAsia="Yu Gothic" w:hAnsi="Calibri" w:cs="Calibri"/>
                <w:i/>
                <w:iCs/>
                <w:color w:val="000000"/>
                <w:sz w:val="28"/>
                <w:szCs w:val="28"/>
              </w:rPr>
              <w:t xml:space="preserve">Parabacteroides </w:t>
            </w:r>
            <w:proofErr w:type="spellStart"/>
            <w:r>
              <w:rPr>
                <w:rFonts w:ascii="Calibri" w:eastAsia="Yu Gothic" w:hAnsi="Calibri" w:cs="Calibri"/>
                <w:i/>
                <w:iCs/>
                <w:color w:val="000000"/>
                <w:sz w:val="28"/>
                <w:szCs w:val="28"/>
              </w:rPr>
              <w:t>merdae</w:t>
            </w:r>
            <w:proofErr w:type="spellEnd"/>
          </w:p>
        </w:tc>
        <w:tc>
          <w:tcPr>
            <w:tcW w:w="1628" w:type="dxa"/>
            <w:tcBorders>
              <w:top w:val="nil"/>
              <w:left w:val="nil"/>
              <w:bottom w:val="nil"/>
              <w:right w:val="nil"/>
            </w:tcBorders>
            <w:noWrap/>
            <w:vAlign w:val="center"/>
            <w:hideMark/>
          </w:tcPr>
          <w:p w14:paraId="11F50949"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-0.26</w:t>
            </w:r>
          </w:p>
        </w:tc>
        <w:tc>
          <w:tcPr>
            <w:tcW w:w="452" w:type="dxa"/>
            <w:tcBorders>
              <w:top w:val="nil"/>
              <w:left w:val="nil"/>
              <w:bottom w:val="nil"/>
              <w:right w:val="nil"/>
            </w:tcBorders>
            <w:noWrap/>
            <w:vAlign w:val="center"/>
            <w:hideMark/>
          </w:tcPr>
          <w:p w14:paraId="0071F044"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w:t>
            </w:r>
          </w:p>
        </w:tc>
        <w:tc>
          <w:tcPr>
            <w:tcW w:w="1400" w:type="dxa"/>
            <w:tcBorders>
              <w:top w:val="nil"/>
              <w:left w:val="nil"/>
              <w:bottom w:val="nil"/>
              <w:right w:val="nil"/>
            </w:tcBorders>
            <w:noWrap/>
            <w:vAlign w:val="center"/>
            <w:hideMark/>
          </w:tcPr>
          <w:p w14:paraId="2E1B23C4"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0.15</w:t>
            </w:r>
          </w:p>
        </w:tc>
      </w:tr>
      <w:tr w:rsidR="003407F3" w14:paraId="0CB6CC1C" w14:textId="77777777" w:rsidTr="003407F3">
        <w:trPr>
          <w:trHeight w:val="400"/>
        </w:trPr>
        <w:tc>
          <w:tcPr>
            <w:tcW w:w="3240" w:type="dxa"/>
            <w:tcBorders>
              <w:top w:val="nil"/>
              <w:left w:val="nil"/>
              <w:bottom w:val="nil"/>
              <w:right w:val="nil"/>
            </w:tcBorders>
            <w:noWrap/>
            <w:vAlign w:val="center"/>
            <w:hideMark/>
          </w:tcPr>
          <w:p w14:paraId="14856FC1" w14:textId="77777777" w:rsidR="003407F3" w:rsidRDefault="003407F3">
            <w:pPr>
              <w:jc w:val="center"/>
              <w:rPr>
                <w:rFonts w:ascii="Calibri" w:eastAsia="Yu Gothic" w:hAnsi="Calibri" w:cs="Calibri"/>
                <w:i/>
                <w:iCs/>
                <w:color w:val="000000"/>
                <w:sz w:val="28"/>
                <w:szCs w:val="28"/>
              </w:rPr>
            </w:pPr>
            <w:proofErr w:type="spellStart"/>
            <w:r>
              <w:rPr>
                <w:rFonts w:ascii="Calibri" w:eastAsia="Yu Gothic" w:hAnsi="Calibri" w:cs="Calibri"/>
                <w:i/>
                <w:iCs/>
                <w:color w:val="000000"/>
                <w:sz w:val="28"/>
                <w:szCs w:val="28"/>
              </w:rPr>
              <w:t>Phocea</w:t>
            </w:r>
            <w:proofErr w:type="spellEnd"/>
            <w:r>
              <w:rPr>
                <w:rFonts w:ascii="Calibri" w:eastAsia="Yu Gothic" w:hAnsi="Calibri" w:cs="Calibri"/>
                <w:i/>
                <w:iCs/>
                <w:color w:val="000000"/>
                <w:sz w:val="28"/>
                <w:szCs w:val="28"/>
              </w:rPr>
              <w:t xml:space="preserve"> unclassified</w:t>
            </w:r>
          </w:p>
        </w:tc>
        <w:tc>
          <w:tcPr>
            <w:tcW w:w="1628" w:type="dxa"/>
            <w:tcBorders>
              <w:top w:val="nil"/>
              <w:left w:val="nil"/>
              <w:bottom w:val="nil"/>
              <w:right w:val="nil"/>
            </w:tcBorders>
            <w:noWrap/>
            <w:vAlign w:val="center"/>
            <w:hideMark/>
          </w:tcPr>
          <w:p w14:paraId="5E1CF6DC"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-0.05</w:t>
            </w:r>
          </w:p>
        </w:tc>
        <w:tc>
          <w:tcPr>
            <w:tcW w:w="452" w:type="dxa"/>
            <w:tcBorders>
              <w:top w:val="nil"/>
              <w:left w:val="nil"/>
              <w:bottom w:val="nil"/>
              <w:right w:val="nil"/>
            </w:tcBorders>
            <w:noWrap/>
            <w:vAlign w:val="center"/>
            <w:hideMark/>
          </w:tcPr>
          <w:p w14:paraId="18373529"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w:t>
            </w:r>
          </w:p>
        </w:tc>
        <w:tc>
          <w:tcPr>
            <w:tcW w:w="1400" w:type="dxa"/>
            <w:tcBorders>
              <w:top w:val="nil"/>
              <w:left w:val="nil"/>
              <w:bottom w:val="nil"/>
              <w:right w:val="nil"/>
            </w:tcBorders>
            <w:noWrap/>
            <w:vAlign w:val="center"/>
            <w:hideMark/>
          </w:tcPr>
          <w:p w14:paraId="18FF1434"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0.03</w:t>
            </w:r>
          </w:p>
        </w:tc>
      </w:tr>
      <w:tr w:rsidR="003407F3" w14:paraId="171CE7DE" w14:textId="77777777" w:rsidTr="003407F3">
        <w:trPr>
          <w:trHeight w:val="420"/>
        </w:trPr>
        <w:tc>
          <w:tcPr>
            <w:tcW w:w="3240" w:type="dxa"/>
            <w:tcBorders>
              <w:top w:val="nil"/>
              <w:left w:val="nil"/>
              <w:bottom w:val="single" w:sz="8" w:space="0" w:color="auto"/>
              <w:right w:val="nil"/>
            </w:tcBorders>
            <w:noWrap/>
            <w:vAlign w:val="center"/>
            <w:hideMark/>
          </w:tcPr>
          <w:p w14:paraId="5BC11102" w14:textId="77777777" w:rsidR="003407F3" w:rsidRDefault="003407F3">
            <w:pPr>
              <w:jc w:val="center"/>
              <w:rPr>
                <w:rFonts w:ascii="Calibri" w:eastAsia="Yu Gothic" w:hAnsi="Calibri" w:cs="Calibri"/>
                <w:i/>
                <w:iCs/>
                <w:color w:val="000000"/>
                <w:sz w:val="28"/>
                <w:szCs w:val="28"/>
              </w:rPr>
            </w:pPr>
            <w:r>
              <w:rPr>
                <w:rFonts w:ascii="Calibri" w:eastAsia="Yu Gothic" w:hAnsi="Calibri" w:cs="Calibri"/>
                <w:i/>
                <w:iCs/>
                <w:color w:val="000000"/>
                <w:sz w:val="28"/>
                <w:szCs w:val="28"/>
              </w:rPr>
              <w:t>Clostridium perfringens</w:t>
            </w:r>
          </w:p>
        </w:tc>
        <w:tc>
          <w:tcPr>
            <w:tcW w:w="1628" w:type="dxa"/>
            <w:tcBorders>
              <w:top w:val="nil"/>
              <w:left w:val="nil"/>
              <w:bottom w:val="single" w:sz="8" w:space="0" w:color="auto"/>
              <w:right w:val="nil"/>
            </w:tcBorders>
            <w:noWrap/>
            <w:vAlign w:val="center"/>
            <w:hideMark/>
          </w:tcPr>
          <w:p w14:paraId="18B65478"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-0.7</w:t>
            </w:r>
          </w:p>
        </w:tc>
        <w:tc>
          <w:tcPr>
            <w:tcW w:w="452" w:type="dxa"/>
            <w:tcBorders>
              <w:top w:val="nil"/>
              <w:left w:val="nil"/>
              <w:bottom w:val="single" w:sz="8" w:space="0" w:color="auto"/>
              <w:right w:val="nil"/>
            </w:tcBorders>
            <w:noWrap/>
            <w:vAlign w:val="center"/>
            <w:hideMark/>
          </w:tcPr>
          <w:p w14:paraId="25D331CC"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w:t>
            </w:r>
          </w:p>
        </w:tc>
        <w:tc>
          <w:tcPr>
            <w:tcW w:w="1400" w:type="dxa"/>
            <w:tcBorders>
              <w:top w:val="nil"/>
              <w:left w:val="nil"/>
              <w:bottom w:val="single" w:sz="8" w:space="0" w:color="auto"/>
              <w:right w:val="nil"/>
            </w:tcBorders>
            <w:noWrap/>
            <w:vAlign w:val="center"/>
            <w:hideMark/>
          </w:tcPr>
          <w:p w14:paraId="322A2D69" w14:textId="77777777" w:rsidR="003407F3" w:rsidRDefault="003407F3">
            <w:pPr>
              <w:jc w:val="center"/>
              <w:rPr>
                <w:rFonts w:ascii="Calibri" w:eastAsia="Yu Gothic" w:hAnsi="Calibri" w:cs="Calibri"/>
                <w:color w:val="000000"/>
                <w:sz w:val="28"/>
                <w:szCs w:val="28"/>
              </w:rPr>
            </w:pPr>
            <w:r>
              <w:rPr>
                <w:rFonts w:ascii="Calibri" w:eastAsia="Yu Gothic" w:hAnsi="Calibri" w:cs="Calibri"/>
                <w:color w:val="000000"/>
                <w:sz w:val="28"/>
                <w:szCs w:val="28"/>
              </w:rPr>
              <w:t>0.67</w:t>
            </w:r>
          </w:p>
        </w:tc>
      </w:tr>
    </w:tbl>
    <w:p w14:paraId="06F57E81" w14:textId="77777777" w:rsidR="003407F3" w:rsidRPr="002C7CF5" w:rsidRDefault="003407F3" w:rsidP="00F271C2">
      <w:pPr>
        <w:pStyle w:val="ReferHead"/>
        <w:spacing w:after="0"/>
        <w:ind w:leftChars="637" w:left="1530" w:rightChars="438" w:right="1051" w:hanging="1"/>
        <w:jc w:val="both"/>
        <w:rPr>
          <w:rFonts w:ascii="Arial" w:hAnsi="Arial" w:cs="Arial"/>
          <w:b w:val="0"/>
        </w:rPr>
      </w:pPr>
    </w:p>
    <w:sectPr w:rsidR="003407F3" w:rsidRPr="002C7CF5" w:rsidSect="00BE20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83C26F" w14:textId="77777777" w:rsidR="00287C27" w:rsidRDefault="00287C27" w:rsidP="00C37E61">
      <w:r>
        <w:separator/>
      </w:r>
    </w:p>
  </w:endnote>
  <w:endnote w:type="continuationSeparator" w:id="0">
    <w:p w14:paraId="3B74A23F" w14:textId="77777777" w:rsidR="00287C27" w:rsidRDefault="00287C2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B1E7AB" w14:textId="77777777" w:rsidR="00BE2014" w:rsidRDefault="00BE20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C9D8A" w14:textId="77777777" w:rsidR="00BE2014" w:rsidRDefault="00BE20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939AC" w14:textId="0968CEE4" w:rsidR="00754C9A" w:rsidRPr="00BE2014" w:rsidRDefault="00754C9A" w:rsidP="00BE2014">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9B7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B5D9D" w14:textId="77777777" w:rsidR="00287C27" w:rsidRDefault="00287C27" w:rsidP="00C37E61">
      <w:r>
        <w:separator/>
      </w:r>
    </w:p>
  </w:footnote>
  <w:footnote w:type="continuationSeparator" w:id="0">
    <w:p w14:paraId="37C4CEC6" w14:textId="77777777" w:rsidR="00287C27" w:rsidRDefault="00287C2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4EFC3" w14:textId="47937C0B" w:rsidR="00BE2014" w:rsidRDefault="00BE2014">
    <w:pPr>
      <w:pStyle w:val="Header"/>
    </w:pPr>
    <w:r>
      <w:rPr>
        <w:noProof/>
      </w:rPr>
      <w:pict w14:anchorId="4D9AD2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2" o:spid="_x0000_s2050" type="#_x0000_t136" style="position:absolute;margin-left:0;margin-top:0;width:514.3pt;height:64.25pt;rotation:315;z-index:-251655168;mso-position-horizontal:center;mso-position-horizontal-relative:margin;mso-position-vertical:center;mso-position-vertical-relative:margin" o:allowincell="f" fillcolor="silver" stroked="f">
          <v:fill opacity=".5"/>
          <v:textpath style="font-family:&quot;MS PGothic&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A6703" w14:textId="5177D51F" w:rsidR="00BE2014" w:rsidRDefault="00BE2014">
    <w:pPr>
      <w:pStyle w:val="Header"/>
    </w:pPr>
    <w:r>
      <w:rPr>
        <w:noProof/>
      </w:rPr>
      <w:pict w14:anchorId="05636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3" o:spid="_x0000_s2051" type="#_x0000_t136" style="position:absolute;margin-left:0;margin-top:0;width:514.3pt;height:64.25pt;rotation:315;z-index:-251653120;mso-position-horizontal:center;mso-position-horizontal-relative:margin;mso-position-vertical:center;mso-position-vertical-relative:margin" o:allowincell="f" fillcolor="silver" stroked="f">
          <v:fill opacity=".5"/>
          <v:textpath style="font-family:&quot;MS PGothic&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2E80A" w14:textId="7D2280E8" w:rsidR="00296529" w:rsidRPr="00296529" w:rsidRDefault="00BE2014" w:rsidP="00296529">
    <w:pPr>
      <w:ind w:left="2160"/>
      <w:jc w:val="center"/>
      <w:rPr>
        <w:rFonts w:ascii="Times New Roman" w:eastAsia="Calibri" w:hAnsi="Times New Roman"/>
        <w:i/>
        <w:sz w:val="18"/>
        <w:szCs w:val="22"/>
      </w:rPr>
    </w:pPr>
    <w:r>
      <w:rPr>
        <w:noProof/>
      </w:rPr>
      <w:pict w14:anchorId="735E2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1" o:spid="_x0000_s2049" type="#_x0000_t136" style="position:absolute;left:0;text-align:left;margin-left:0;margin-top:0;width:514.3pt;height:64.25pt;rotation:315;z-index:-251657216;mso-position-horizontal:center;mso-position-horizontal-relative:margin;mso-position-vertical:center;mso-position-vertical-relative:margin" o:allowincell="f" fillcolor="silver" stroked="f">
          <v:fill opacity=".5"/>
          <v:textpath style="font-family:&quot;MS PGothic&quot;;font-size:1pt" string="UNDER PEER REVIEW"/>
        </v:shape>
      </w:pict>
    </w:r>
  </w:p>
  <w:p w14:paraId="6FCC8E1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572F22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5BF884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FDBA65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88856C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176ED75"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850D9" w14:textId="0A1C9096" w:rsidR="00BE2014" w:rsidRDefault="00BE2014">
    <w:pPr>
      <w:pStyle w:val="Header"/>
    </w:pPr>
    <w:r>
      <w:rPr>
        <w:noProof/>
      </w:rPr>
      <w:pict w14:anchorId="53AF60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5" o:spid="_x0000_s2053" type="#_x0000_t136" style="position:absolute;margin-left:0;margin-top:0;width:514.3pt;height:64.25pt;rotation:315;z-index:-251649024;mso-position-horizontal:center;mso-position-horizontal-relative:margin;mso-position-vertical:center;mso-position-vertical-relative:margin" o:allowincell="f" fillcolor="silver" stroked="f">
          <v:fill opacity=".5"/>
          <v:textpath style="font-family:&quot;MS PGothic&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F5751" w14:textId="341ED35D" w:rsidR="00BE2014" w:rsidRDefault="00BE2014">
    <w:pPr>
      <w:pStyle w:val="Header"/>
    </w:pPr>
    <w:r>
      <w:rPr>
        <w:noProof/>
      </w:rPr>
      <w:pict w14:anchorId="2FADA8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6" o:spid="_x0000_s2054" type="#_x0000_t136" style="position:absolute;margin-left:0;margin-top:0;width:514.3pt;height:64.25pt;rotation:315;z-index:-251646976;mso-position-horizontal:center;mso-position-horizontal-relative:margin;mso-position-vertical:center;mso-position-vertical-relative:margin" o:allowincell="f" fillcolor="silver" stroked="f">
          <v:fill opacity=".5"/>
          <v:textpath style="font-family:&quot;MS PGothic&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2BBE7" w14:textId="1A5F50B5" w:rsidR="00BE2014" w:rsidRDefault="00BE2014">
    <w:pPr>
      <w:pStyle w:val="Header"/>
    </w:pPr>
    <w:r>
      <w:rPr>
        <w:noProof/>
      </w:rPr>
      <w:pict w14:anchorId="57F62E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2921784" o:spid="_x0000_s2052" type="#_x0000_t136" style="position:absolute;margin-left:0;margin-top:0;width:514.3pt;height:64.25pt;rotation:315;z-index:-251651072;mso-position-horizontal:center;mso-position-horizontal-relative:margin;mso-position-vertical:center;mso-position-vertical-relative:margin" o:allowincell="f" fillcolor="silver" stroked="f">
          <v:fill opacity=".5"/>
          <v:textpath style="font-family:&quot;MS PGothic&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v:textbox inset="5.85pt,.7pt,5.85pt,.7pt"/>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5A13"/>
    <w:rsid w:val="00030174"/>
    <w:rsid w:val="00032695"/>
    <w:rsid w:val="0004579C"/>
    <w:rsid w:val="00055BAB"/>
    <w:rsid w:val="000A47FA"/>
    <w:rsid w:val="000A65D3"/>
    <w:rsid w:val="000B1E33"/>
    <w:rsid w:val="000D689F"/>
    <w:rsid w:val="000E7B7B"/>
    <w:rsid w:val="000E7D62"/>
    <w:rsid w:val="00103357"/>
    <w:rsid w:val="00106D81"/>
    <w:rsid w:val="00123C9F"/>
    <w:rsid w:val="00126190"/>
    <w:rsid w:val="00130F17"/>
    <w:rsid w:val="001320BF"/>
    <w:rsid w:val="00163BC4"/>
    <w:rsid w:val="00190A8E"/>
    <w:rsid w:val="00191062"/>
    <w:rsid w:val="00192B72"/>
    <w:rsid w:val="001A29D8"/>
    <w:rsid w:val="001A5CAA"/>
    <w:rsid w:val="001B0427"/>
    <w:rsid w:val="001C1BB9"/>
    <w:rsid w:val="001D3A51"/>
    <w:rsid w:val="001E10D2"/>
    <w:rsid w:val="001E25B4"/>
    <w:rsid w:val="001E44FE"/>
    <w:rsid w:val="00200595"/>
    <w:rsid w:val="00204835"/>
    <w:rsid w:val="00222321"/>
    <w:rsid w:val="002274E3"/>
    <w:rsid w:val="00231920"/>
    <w:rsid w:val="0023195C"/>
    <w:rsid w:val="0024282C"/>
    <w:rsid w:val="002460DC"/>
    <w:rsid w:val="00250985"/>
    <w:rsid w:val="002556F6"/>
    <w:rsid w:val="00275FDD"/>
    <w:rsid w:val="00283105"/>
    <w:rsid w:val="00283428"/>
    <w:rsid w:val="00284C4C"/>
    <w:rsid w:val="00287C27"/>
    <w:rsid w:val="00287E68"/>
    <w:rsid w:val="00296529"/>
    <w:rsid w:val="002A67E5"/>
    <w:rsid w:val="002B27FB"/>
    <w:rsid w:val="002B39F6"/>
    <w:rsid w:val="002B685A"/>
    <w:rsid w:val="002C06F9"/>
    <w:rsid w:val="002C5270"/>
    <w:rsid w:val="002C55F8"/>
    <w:rsid w:val="002C57D2"/>
    <w:rsid w:val="002C7CF5"/>
    <w:rsid w:val="002E0D56"/>
    <w:rsid w:val="003049F6"/>
    <w:rsid w:val="00311B9F"/>
    <w:rsid w:val="00315186"/>
    <w:rsid w:val="0033343E"/>
    <w:rsid w:val="00335878"/>
    <w:rsid w:val="003407F3"/>
    <w:rsid w:val="003512C2"/>
    <w:rsid w:val="00371FB6"/>
    <w:rsid w:val="003763C1"/>
    <w:rsid w:val="00376BBE"/>
    <w:rsid w:val="0039224F"/>
    <w:rsid w:val="003A43A4"/>
    <w:rsid w:val="003A7E18"/>
    <w:rsid w:val="003B4CE4"/>
    <w:rsid w:val="003C11A2"/>
    <w:rsid w:val="003C4C86"/>
    <w:rsid w:val="003C6258"/>
    <w:rsid w:val="003E2904"/>
    <w:rsid w:val="003F4E68"/>
    <w:rsid w:val="003F6D3F"/>
    <w:rsid w:val="00401927"/>
    <w:rsid w:val="0041027F"/>
    <w:rsid w:val="00412475"/>
    <w:rsid w:val="00423789"/>
    <w:rsid w:val="00432DCB"/>
    <w:rsid w:val="00440F43"/>
    <w:rsid w:val="00441B6F"/>
    <w:rsid w:val="00446221"/>
    <w:rsid w:val="00450E62"/>
    <w:rsid w:val="004539DB"/>
    <w:rsid w:val="00454DD0"/>
    <w:rsid w:val="00471A80"/>
    <w:rsid w:val="004943B3"/>
    <w:rsid w:val="004B603D"/>
    <w:rsid w:val="004D305E"/>
    <w:rsid w:val="004D4277"/>
    <w:rsid w:val="004E6EE3"/>
    <w:rsid w:val="00502516"/>
    <w:rsid w:val="00505F06"/>
    <w:rsid w:val="00506828"/>
    <w:rsid w:val="0053056E"/>
    <w:rsid w:val="005341B4"/>
    <w:rsid w:val="00554FDA"/>
    <w:rsid w:val="005C05EB"/>
    <w:rsid w:val="005C784C"/>
    <w:rsid w:val="005D17F6"/>
    <w:rsid w:val="005E1D4E"/>
    <w:rsid w:val="005E5539"/>
    <w:rsid w:val="00602BF5"/>
    <w:rsid w:val="00617FDD"/>
    <w:rsid w:val="00633614"/>
    <w:rsid w:val="00633F68"/>
    <w:rsid w:val="00636EB2"/>
    <w:rsid w:val="006375B8"/>
    <w:rsid w:val="00642441"/>
    <w:rsid w:val="0066510A"/>
    <w:rsid w:val="00673F9F"/>
    <w:rsid w:val="00686953"/>
    <w:rsid w:val="00687DEA"/>
    <w:rsid w:val="00687E67"/>
    <w:rsid w:val="006967F7"/>
    <w:rsid w:val="006A250C"/>
    <w:rsid w:val="006B21D3"/>
    <w:rsid w:val="006B57D0"/>
    <w:rsid w:val="006D30FF"/>
    <w:rsid w:val="006D41E5"/>
    <w:rsid w:val="006D6940"/>
    <w:rsid w:val="006F11EC"/>
    <w:rsid w:val="0070082C"/>
    <w:rsid w:val="00704A8E"/>
    <w:rsid w:val="00734B98"/>
    <w:rsid w:val="007369E6"/>
    <w:rsid w:val="00746E59"/>
    <w:rsid w:val="00754191"/>
    <w:rsid w:val="00754C9A"/>
    <w:rsid w:val="0075599A"/>
    <w:rsid w:val="00761D52"/>
    <w:rsid w:val="007676B1"/>
    <w:rsid w:val="0077749E"/>
    <w:rsid w:val="00790ADA"/>
    <w:rsid w:val="007961B8"/>
    <w:rsid w:val="007D2288"/>
    <w:rsid w:val="007E088F"/>
    <w:rsid w:val="007F7B32"/>
    <w:rsid w:val="00804BC2"/>
    <w:rsid w:val="00812B43"/>
    <w:rsid w:val="0081431A"/>
    <w:rsid w:val="0083216F"/>
    <w:rsid w:val="0083354E"/>
    <w:rsid w:val="00860000"/>
    <w:rsid w:val="00863BD3"/>
    <w:rsid w:val="008641ED"/>
    <w:rsid w:val="00865E73"/>
    <w:rsid w:val="00866D66"/>
    <w:rsid w:val="008671C6"/>
    <w:rsid w:val="00875803"/>
    <w:rsid w:val="008B459E"/>
    <w:rsid w:val="008E13AE"/>
    <w:rsid w:val="008E1506"/>
    <w:rsid w:val="008E710C"/>
    <w:rsid w:val="008F69D6"/>
    <w:rsid w:val="00902823"/>
    <w:rsid w:val="00915CA6"/>
    <w:rsid w:val="00916F20"/>
    <w:rsid w:val="00927834"/>
    <w:rsid w:val="009500A6"/>
    <w:rsid w:val="00957C18"/>
    <w:rsid w:val="009659BA"/>
    <w:rsid w:val="00983040"/>
    <w:rsid w:val="009B3FB9"/>
    <w:rsid w:val="009C0246"/>
    <w:rsid w:val="009C2465"/>
    <w:rsid w:val="009D35A0"/>
    <w:rsid w:val="009D7EB7"/>
    <w:rsid w:val="009E048A"/>
    <w:rsid w:val="009E08E9"/>
    <w:rsid w:val="009E3DB9"/>
    <w:rsid w:val="009E6E35"/>
    <w:rsid w:val="009F0EDA"/>
    <w:rsid w:val="00A03B96"/>
    <w:rsid w:val="00A05B19"/>
    <w:rsid w:val="00A1134E"/>
    <w:rsid w:val="00A1340D"/>
    <w:rsid w:val="00A24E7E"/>
    <w:rsid w:val="00A258C3"/>
    <w:rsid w:val="00A347C0"/>
    <w:rsid w:val="00A453BE"/>
    <w:rsid w:val="00A51431"/>
    <w:rsid w:val="00A539AD"/>
    <w:rsid w:val="00A80383"/>
    <w:rsid w:val="00A94063"/>
    <w:rsid w:val="00AA6219"/>
    <w:rsid w:val="00AA74E0"/>
    <w:rsid w:val="00AB703F"/>
    <w:rsid w:val="00AC3B45"/>
    <w:rsid w:val="00AC6BB8"/>
    <w:rsid w:val="00AE008F"/>
    <w:rsid w:val="00B01FCD"/>
    <w:rsid w:val="00B1776C"/>
    <w:rsid w:val="00B22FED"/>
    <w:rsid w:val="00B52583"/>
    <w:rsid w:val="00B52896"/>
    <w:rsid w:val="00B95236"/>
    <w:rsid w:val="00B96BD9"/>
    <w:rsid w:val="00BA1B01"/>
    <w:rsid w:val="00BA2641"/>
    <w:rsid w:val="00BB37AA"/>
    <w:rsid w:val="00BC53A0"/>
    <w:rsid w:val="00BE2014"/>
    <w:rsid w:val="00BE2B44"/>
    <w:rsid w:val="00BE62AD"/>
    <w:rsid w:val="00BF121F"/>
    <w:rsid w:val="00BF16E1"/>
    <w:rsid w:val="00BF1F80"/>
    <w:rsid w:val="00C04571"/>
    <w:rsid w:val="00C166EF"/>
    <w:rsid w:val="00C17EB0"/>
    <w:rsid w:val="00C27F5F"/>
    <w:rsid w:val="00C30A0F"/>
    <w:rsid w:val="00C32284"/>
    <w:rsid w:val="00C37E61"/>
    <w:rsid w:val="00C70F1B"/>
    <w:rsid w:val="00C71A47"/>
    <w:rsid w:val="00C7464C"/>
    <w:rsid w:val="00C85588"/>
    <w:rsid w:val="00C90A38"/>
    <w:rsid w:val="00C9519D"/>
    <w:rsid w:val="00CB43C2"/>
    <w:rsid w:val="00CD6755"/>
    <w:rsid w:val="00CD6856"/>
    <w:rsid w:val="00CE0089"/>
    <w:rsid w:val="00CE793C"/>
    <w:rsid w:val="00CF193C"/>
    <w:rsid w:val="00D173F1"/>
    <w:rsid w:val="00D74CB0"/>
    <w:rsid w:val="00D8295D"/>
    <w:rsid w:val="00DC2A65"/>
    <w:rsid w:val="00DD3561"/>
    <w:rsid w:val="00DE15F0"/>
    <w:rsid w:val="00DE5663"/>
    <w:rsid w:val="00DE78AA"/>
    <w:rsid w:val="00E053D0"/>
    <w:rsid w:val="00E15994"/>
    <w:rsid w:val="00E3114E"/>
    <w:rsid w:val="00E31A70"/>
    <w:rsid w:val="00E35B02"/>
    <w:rsid w:val="00E5302D"/>
    <w:rsid w:val="00E55297"/>
    <w:rsid w:val="00E615C0"/>
    <w:rsid w:val="00E66496"/>
    <w:rsid w:val="00E66B35"/>
    <w:rsid w:val="00E66E10"/>
    <w:rsid w:val="00E769F6"/>
    <w:rsid w:val="00E8407C"/>
    <w:rsid w:val="00E84F3C"/>
    <w:rsid w:val="00E87BC5"/>
    <w:rsid w:val="00EA012C"/>
    <w:rsid w:val="00EA0BF8"/>
    <w:rsid w:val="00EA7835"/>
    <w:rsid w:val="00EC6A55"/>
    <w:rsid w:val="00ED0288"/>
    <w:rsid w:val="00EE52CB"/>
    <w:rsid w:val="00EF15A8"/>
    <w:rsid w:val="00EF581D"/>
    <w:rsid w:val="00EF7FD8"/>
    <w:rsid w:val="00F06F59"/>
    <w:rsid w:val="00F17988"/>
    <w:rsid w:val="00F271C2"/>
    <w:rsid w:val="00F469F0"/>
    <w:rsid w:val="00F47BAD"/>
    <w:rsid w:val="00F53273"/>
    <w:rsid w:val="00F755E4"/>
    <w:rsid w:val="00F77D02"/>
    <w:rsid w:val="00F95151"/>
    <w:rsid w:val="00FA7BD7"/>
    <w:rsid w:val="00FB268D"/>
    <w:rsid w:val="00FB3A86"/>
    <w:rsid w:val="00FB6036"/>
    <w:rsid w:val="00FD081A"/>
    <w:rsid w:val="00FD36C8"/>
    <w:rsid w:val="00FF11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1"/>
    </o:shapelayout>
  </w:shapeDefaults>
  <w:decimalSymbol w:val="."/>
  <w:listSeparator w:val=","/>
  <w14:docId w14:val="4E65AF54"/>
  <w15:docId w15:val="{D366ECE9-AB76-445F-952F-BF68FA12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407F3"/>
    <w:rPr>
      <w:rFonts w:ascii="MS PGothic" w:eastAsia="MS PGothic" w:hAnsi="MS PGothic" w:cs="MS PGothic"/>
      <w:sz w:val="24"/>
      <w:szCs w:val="24"/>
      <w:lang w:eastAsia="ja-JP"/>
    </w:rPr>
  </w:style>
  <w:style w:type="paragraph" w:styleId="Heading1">
    <w:name w:val="heading 1"/>
    <w:basedOn w:val="Normal"/>
    <w:next w:val="Normal"/>
    <w:qFormat/>
    <w:rsid w:val="00423789"/>
    <w:pPr>
      <w:keepNext/>
      <w:spacing w:before="240" w:after="60"/>
      <w:outlineLvl w:val="0"/>
    </w:pPr>
    <w:rPr>
      <w:rFonts w:ascii="Arial" w:eastAsiaTheme="minorEastAsia" w:hAnsi="Arial" w:cs="Times New Roman"/>
      <w:b/>
      <w:kern w:val="28"/>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rFonts w:ascii="Helvetica" w:eastAsiaTheme="minorEastAsia" w:hAnsi="Helvetica" w:cs="Times New Roman"/>
      <w:b/>
      <w:szCs w:val="20"/>
      <w:lang w:eastAsia="en-US"/>
    </w:rPr>
  </w:style>
  <w:style w:type="paragraph" w:customStyle="1" w:styleId="Affiliation">
    <w:name w:val="Affiliation"/>
    <w:basedOn w:val="Normal"/>
    <w:rsid w:val="00423789"/>
    <w:pPr>
      <w:spacing w:after="240" w:line="240" w:lineRule="exact"/>
      <w:jc w:val="right"/>
    </w:pPr>
    <w:rPr>
      <w:rFonts w:ascii="Helvetica" w:eastAsiaTheme="minorEastAsia" w:hAnsi="Helvetica" w:cs="Times New Roman"/>
      <w:sz w:val="20"/>
      <w:szCs w:val="20"/>
      <w:lang w:eastAsia="en-US"/>
    </w:rPr>
  </w:style>
  <w:style w:type="paragraph" w:customStyle="1" w:styleId="Body">
    <w:name w:val="Body"/>
    <w:basedOn w:val="Normal"/>
    <w:rsid w:val="00423789"/>
    <w:pPr>
      <w:spacing w:after="240"/>
      <w:jc w:val="both"/>
    </w:pPr>
    <w:rPr>
      <w:rFonts w:ascii="Helvetica" w:eastAsiaTheme="minorEastAsia" w:hAnsi="Helvetica" w:cs="Times New Roman"/>
      <w:sz w:val="20"/>
      <w:szCs w:val="20"/>
      <w:lang w:eastAsia="en-US"/>
    </w:r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rFonts w:ascii="Helvetica" w:eastAsiaTheme="minorEastAsia" w:hAnsi="Helvetica" w:cs="Times New Roman"/>
      <w:b/>
      <w:sz w:val="28"/>
      <w:szCs w:val="20"/>
      <w:lang w:eastAsia="en-US"/>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rFonts w:ascii="Helvetica" w:eastAsiaTheme="minorEastAsia" w:hAnsi="Helvetica" w:cs="Times New Roman"/>
      <w:sz w:val="16"/>
      <w:szCs w:val="20"/>
      <w:lang w:eastAsia="en-US"/>
    </w:rPr>
  </w:style>
  <w:style w:type="paragraph" w:styleId="Title">
    <w:name w:val="Title"/>
    <w:basedOn w:val="Normal"/>
    <w:qFormat/>
    <w:rsid w:val="00423789"/>
    <w:pPr>
      <w:spacing w:after="360"/>
      <w:jc w:val="right"/>
    </w:pPr>
    <w:rPr>
      <w:rFonts w:ascii="Helvetica" w:eastAsiaTheme="minorEastAsia" w:hAnsi="Helvetica" w:cs="Times New Roman"/>
      <w:b/>
      <w:kern w:val="28"/>
      <w:sz w:val="36"/>
      <w:szCs w:val="20"/>
      <w:lang w:eastAsia="en-US"/>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rFonts w:ascii="Helvetica" w:eastAsiaTheme="minorEastAsia" w:hAnsi="Helvetica" w:cs="Times New Roman"/>
      <w:caps/>
      <w:sz w:val="20"/>
      <w:szCs w:val="20"/>
      <w:lang w:eastAsia="en-U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rFonts w:ascii="Helvetica" w:eastAsiaTheme="minorEastAsia" w:hAnsi="Helvetica" w:cs="Times New Roman"/>
      <w:b/>
      <w:caps/>
      <w:sz w:val="20"/>
      <w:szCs w:val="20"/>
      <w:lang w:eastAsia="en-U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rPr>
      <w:rFonts w:ascii="Helvetica" w:eastAsiaTheme="minorEastAsia" w:hAnsi="Helvetica" w:cs="Times New Roman"/>
      <w:sz w:val="20"/>
      <w:szCs w:val="20"/>
      <w:lang w:eastAsia="en-US"/>
    </w:r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rPr>
      <w:rFonts w:ascii="Helvetica" w:eastAsiaTheme="minorEastAsia" w:hAnsi="Helvetica" w:cs="Times New Roman"/>
      <w:sz w:val="20"/>
      <w:szCs w:val="20"/>
      <w:lang w:eastAsia="en-US"/>
    </w:rPr>
  </w:style>
  <w:style w:type="paragraph" w:customStyle="1" w:styleId="Paper">
    <w:name w:val="Paper"/>
    <w:basedOn w:val="Normal"/>
    <w:rsid w:val="00423789"/>
    <w:pPr>
      <w:spacing w:after="360" w:line="440" w:lineRule="exact"/>
      <w:jc w:val="right"/>
    </w:pPr>
    <w:rPr>
      <w:rFonts w:ascii="Helvetica" w:eastAsiaTheme="minorEastAsia" w:hAnsi="Helvetica" w:cs="Times New Roman"/>
      <w:b/>
      <w:sz w:val="36"/>
      <w:szCs w:val="20"/>
      <w:lang w:eastAsia="en-US"/>
    </w:rPr>
  </w:style>
  <w:style w:type="paragraph" w:styleId="Signature">
    <w:name w:val="Signature"/>
    <w:basedOn w:val="Normal"/>
    <w:rsid w:val="00423789"/>
    <w:pPr>
      <w:ind w:left="4320"/>
    </w:pPr>
    <w:rPr>
      <w:rFonts w:ascii="Helvetica" w:eastAsiaTheme="minorEastAsia" w:hAnsi="Helvetica" w:cs="Times New Roman"/>
      <w:sz w:val="20"/>
      <w:szCs w:val="20"/>
      <w:lang w:eastAsia="en-US"/>
    </w:r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rPr>
      <w:rFonts w:ascii="Helvetica" w:eastAsiaTheme="minorEastAsia" w:hAnsi="Helvetica" w:cs="Times New Roman"/>
      <w:sz w:val="20"/>
      <w:szCs w:val="20"/>
      <w:lang w:eastAsia="en-US"/>
    </w:r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eastAsiaTheme="minorEastAsia" w:hAnsi="Times New Roman" w:cs="Times New Roman"/>
      <w:sz w:val="20"/>
      <w:szCs w:val="20"/>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eastAsiaTheme="minorEastAsia" w:hAnsi="Tahoma" w:cs="Tahoma"/>
      <w:sz w:val="16"/>
      <w:szCs w:val="16"/>
      <w:lang w:eastAsia="en-US"/>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rFonts w:ascii="Helvetica" w:eastAsiaTheme="minorEastAsia" w:hAnsi="Helvetica" w:cs="Times New Roman"/>
      <w:sz w:val="16"/>
      <w:szCs w:val="16"/>
      <w:lang w:eastAsia="en-US"/>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C04571"/>
    <w:pPr>
      <w:ind w:leftChars="400" w:left="840"/>
    </w:pPr>
    <w:rPr>
      <w:rFonts w:ascii="Helvetica" w:eastAsiaTheme="minorEastAsia" w:hAnsi="Helvetica" w:cs="Times New Roman"/>
      <w:sz w:val="20"/>
      <w:szCs w:val="20"/>
      <w:lang w:eastAsia="en-US"/>
    </w:rPr>
  </w:style>
  <w:style w:type="paragraph" w:styleId="Revision">
    <w:name w:val="Revision"/>
    <w:hidden/>
    <w:uiPriority w:val="99"/>
    <w:semiHidden/>
    <w:rsid w:val="003C11A2"/>
    <w:rPr>
      <w:rFonts w:ascii="Helvetica" w:hAnsi="Helvetica"/>
    </w:rPr>
  </w:style>
  <w:style w:type="paragraph" w:styleId="NormalWeb">
    <w:name w:val="Normal (Web)"/>
    <w:basedOn w:val="Normal"/>
    <w:semiHidden/>
    <w:unhideWhenUsed/>
    <w:rsid w:val="003C11A2"/>
    <w:rPr>
      <w:rFonts w:ascii="Times New Roman" w:eastAsiaTheme="minorEastAsia" w:hAnsi="Times New Roman" w:cs="Times New Roman"/>
      <w:lang w:eastAsia="en-US"/>
    </w:rPr>
  </w:style>
  <w:style w:type="paragraph" w:styleId="CommentSubject">
    <w:name w:val="annotation subject"/>
    <w:basedOn w:val="CommentText"/>
    <w:next w:val="CommentText"/>
    <w:link w:val="CommentSubjectChar"/>
    <w:semiHidden/>
    <w:unhideWhenUsed/>
    <w:rsid w:val="00754191"/>
    <w:rPr>
      <w:rFonts w:ascii="Helvetica" w:hAnsi="Helvetica"/>
      <w:b/>
      <w:bCs/>
      <w:lang w:val="en-US" w:eastAsia="en-US"/>
    </w:rPr>
  </w:style>
  <w:style w:type="character" w:customStyle="1" w:styleId="CommentSubjectChar">
    <w:name w:val="Comment Subject Char"/>
    <w:basedOn w:val="CommentTextChar"/>
    <w:link w:val="CommentSubject"/>
    <w:semiHidden/>
    <w:rsid w:val="0075419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90919-2E45-4724-9B60-1B02F09C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TotalTime>
  <Pages>16</Pages>
  <Words>5102</Words>
  <Characters>29082</Characters>
  <Application>Microsoft Office Word</Application>
  <DocSecurity>0</DocSecurity>
  <Lines>242</Lines>
  <Paragraphs>68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34116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cp:lastModifiedBy>SDI 1084</cp:lastModifiedBy>
  <cp:revision>19</cp:revision>
  <cp:lastPrinted>1999-07-07T03:00:00Z</cp:lastPrinted>
  <dcterms:created xsi:type="dcterms:W3CDTF">2025-09-12T05:22:00Z</dcterms:created>
  <dcterms:modified xsi:type="dcterms:W3CDTF">2025-09-20T14:20:00Z</dcterms:modified>
</cp:coreProperties>
</file>