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A2611" w14:textId="65226213" w:rsidR="007C36BE" w:rsidRPr="00E12FE7" w:rsidRDefault="00B4108E" w:rsidP="00165A49">
      <w:pPr>
        <w:spacing w:line="240" w:lineRule="auto"/>
        <w:jc w:val="right"/>
        <w:rPr>
          <w:rFonts w:ascii="Arial" w:hAnsi="Arial" w:cs="Arial"/>
          <w:b/>
          <w:bCs/>
          <w:sz w:val="36"/>
          <w:szCs w:val="36"/>
        </w:rPr>
      </w:pPr>
      <w:r w:rsidRPr="00E12FE7">
        <w:rPr>
          <w:rFonts w:ascii="Arial" w:hAnsi="Arial" w:cs="Arial"/>
          <w:b/>
          <w:bCs/>
          <w:sz w:val="36"/>
          <w:szCs w:val="36"/>
        </w:rPr>
        <w:t>Growth, Instability</w:t>
      </w:r>
      <w:r w:rsidR="00813976" w:rsidRPr="00E12FE7">
        <w:rPr>
          <w:rFonts w:ascii="Arial" w:hAnsi="Arial" w:cs="Arial"/>
          <w:b/>
          <w:bCs/>
          <w:sz w:val="36"/>
          <w:szCs w:val="36"/>
        </w:rPr>
        <w:t xml:space="preserve"> and structural break</w:t>
      </w:r>
      <w:r w:rsidRPr="00E12FE7">
        <w:rPr>
          <w:rFonts w:ascii="Arial" w:hAnsi="Arial" w:cs="Arial"/>
          <w:b/>
          <w:bCs/>
          <w:sz w:val="36"/>
          <w:szCs w:val="36"/>
        </w:rPr>
        <w:t xml:space="preserve"> in Millet Cultivation in </w:t>
      </w:r>
      <w:r w:rsidR="00EC279F" w:rsidRPr="00E12FE7">
        <w:rPr>
          <w:rFonts w:ascii="Arial" w:hAnsi="Arial" w:cs="Arial"/>
          <w:b/>
          <w:bCs/>
          <w:sz w:val="36"/>
          <w:szCs w:val="36"/>
        </w:rPr>
        <w:t>Telangana</w:t>
      </w:r>
    </w:p>
    <w:p w14:paraId="33AF2123" w14:textId="77777777" w:rsidR="00BB4F1E" w:rsidRDefault="00BB4F1E" w:rsidP="00CB13F2">
      <w:pPr>
        <w:spacing w:line="240" w:lineRule="auto"/>
        <w:rPr>
          <w:rFonts w:ascii="Arial" w:hAnsi="Arial" w:cs="Arial"/>
          <w:b/>
          <w:bCs/>
        </w:rPr>
      </w:pPr>
    </w:p>
    <w:p w14:paraId="0D9E7531" w14:textId="33F406A1" w:rsidR="00EC279F" w:rsidRDefault="00CB13F2" w:rsidP="00CB13F2">
      <w:pPr>
        <w:spacing w:line="240" w:lineRule="auto"/>
        <w:rPr>
          <w:rFonts w:ascii="Arial" w:hAnsi="Arial" w:cs="Arial"/>
          <w:b/>
          <w:bCs/>
        </w:rPr>
      </w:pPr>
      <w:bookmarkStart w:id="0" w:name="_GoBack"/>
      <w:bookmarkEnd w:id="0"/>
      <w:r>
        <w:rPr>
          <w:rFonts w:ascii="Arial" w:hAnsi="Arial" w:cs="Arial"/>
          <w:b/>
          <w:bCs/>
        </w:rPr>
        <w:t>ABSTRACT</w:t>
      </w:r>
    </w:p>
    <w:p w14:paraId="7C5C4DD4" w14:textId="1085F9AE" w:rsidR="00CB13F2" w:rsidRPr="00CB13F2" w:rsidRDefault="00D06C72" w:rsidP="00D06C72">
      <w:pPr>
        <w:spacing w:line="240" w:lineRule="auto"/>
        <w:jc w:val="both"/>
        <w:rPr>
          <w:rFonts w:ascii="Arial" w:hAnsi="Arial" w:cs="Arial"/>
          <w:sz w:val="20"/>
          <w:szCs w:val="20"/>
        </w:rPr>
      </w:pPr>
      <w:r w:rsidRPr="00D06C72">
        <w:rPr>
          <w:rFonts w:ascii="Arial" w:hAnsi="Arial" w:cs="Arial"/>
          <w:sz w:val="20"/>
          <w:szCs w:val="20"/>
        </w:rPr>
        <w:t>Th</w:t>
      </w:r>
      <w:r>
        <w:rPr>
          <w:rFonts w:ascii="Arial" w:hAnsi="Arial" w:cs="Arial"/>
          <w:sz w:val="20"/>
          <w:szCs w:val="20"/>
        </w:rPr>
        <w:t>e</w:t>
      </w:r>
      <w:r w:rsidRPr="00D06C72">
        <w:rPr>
          <w:rFonts w:ascii="Arial" w:hAnsi="Arial" w:cs="Arial"/>
          <w:sz w:val="20"/>
          <w:szCs w:val="20"/>
        </w:rPr>
        <w:t xml:space="preserve"> study analysed the trends, growth, and instability of millet cultivation in Telangana from 2008–09 to 2023–24</w:t>
      </w:r>
      <w:r>
        <w:rPr>
          <w:rFonts w:ascii="Arial" w:hAnsi="Arial" w:cs="Arial"/>
          <w:sz w:val="20"/>
          <w:szCs w:val="20"/>
        </w:rPr>
        <w:t xml:space="preserve">. </w:t>
      </w:r>
      <w:r w:rsidRPr="00D06C72">
        <w:rPr>
          <w:rFonts w:ascii="Arial" w:hAnsi="Arial" w:cs="Arial"/>
          <w:sz w:val="20"/>
          <w:szCs w:val="20"/>
        </w:rPr>
        <w:t>Time-series analyses included CAGR, Coefficient of Variation, Cuddy Della Valle Index, polynomial trend fitting, and Bai–</w:t>
      </w:r>
      <w:proofErr w:type="spellStart"/>
      <w:r w:rsidRPr="00D06C72">
        <w:rPr>
          <w:rFonts w:ascii="Arial" w:hAnsi="Arial" w:cs="Arial"/>
          <w:sz w:val="20"/>
          <w:szCs w:val="20"/>
        </w:rPr>
        <w:t>Perron</w:t>
      </w:r>
      <w:proofErr w:type="spellEnd"/>
      <w:r w:rsidRPr="00D06C72">
        <w:rPr>
          <w:rFonts w:ascii="Arial" w:hAnsi="Arial" w:cs="Arial"/>
          <w:sz w:val="20"/>
          <w:szCs w:val="20"/>
        </w:rPr>
        <w:t xml:space="preserve"> multiple structural break test. The results showed a significant decline in the area under major millets</w:t>
      </w:r>
      <w:r>
        <w:rPr>
          <w:rFonts w:ascii="Arial" w:hAnsi="Arial" w:cs="Arial"/>
          <w:sz w:val="20"/>
          <w:szCs w:val="20"/>
        </w:rPr>
        <w:t xml:space="preserve">; </w:t>
      </w:r>
      <w:r w:rsidRPr="00D06C72">
        <w:rPr>
          <w:rFonts w:ascii="Arial" w:hAnsi="Arial" w:cs="Arial"/>
          <w:sz w:val="20"/>
          <w:szCs w:val="20"/>
        </w:rPr>
        <w:t>sorghum, pearl millet, and finger millet</w:t>
      </w:r>
      <w:r>
        <w:rPr>
          <w:rFonts w:ascii="Arial" w:hAnsi="Arial" w:cs="Arial"/>
          <w:sz w:val="20"/>
          <w:szCs w:val="20"/>
        </w:rPr>
        <w:t xml:space="preserve">, </w:t>
      </w:r>
      <w:r w:rsidRPr="00D06C72">
        <w:rPr>
          <w:rFonts w:ascii="Arial" w:hAnsi="Arial" w:cs="Arial"/>
          <w:sz w:val="20"/>
          <w:szCs w:val="20"/>
        </w:rPr>
        <w:t xml:space="preserve">while improvements in yield, especially after 2017–18, contributed to a production recovery. Sorghum </w:t>
      </w:r>
      <w:r>
        <w:rPr>
          <w:rFonts w:ascii="Arial" w:hAnsi="Arial" w:cs="Arial"/>
          <w:sz w:val="20"/>
          <w:szCs w:val="20"/>
        </w:rPr>
        <w:t>is the major millet crop</w:t>
      </w:r>
      <w:r w:rsidRPr="00D06C72">
        <w:rPr>
          <w:rFonts w:ascii="Arial" w:hAnsi="Arial" w:cs="Arial"/>
          <w:sz w:val="20"/>
          <w:szCs w:val="20"/>
        </w:rPr>
        <w:t>, covering nearly 95</w:t>
      </w:r>
      <w:r>
        <w:rPr>
          <w:rFonts w:ascii="Arial" w:hAnsi="Arial" w:cs="Arial"/>
          <w:sz w:val="20"/>
          <w:szCs w:val="20"/>
        </w:rPr>
        <w:t xml:space="preserve"> percent</w:t>
      </w:r>
      <w:r w:rsidRPr="00D06C72">
        <w:rPr>
          <w:rFonts w:ascii="Arial" w:hAnsi="Arial" w:cs="Arial"/>
          <w:sz w:val="20"/>
          <w:szCs w:val="20"/>
        </w:rPr>
        <w:t xml:space="preserve"> of total millet area and output, whereas minor millets exhibited highly erratic cultivation but showed positive growth in production. Instability in area and production was medium to high, with minor millets being the most unstable. Structural break analysis identified shifts around 2013–14 and 2018–19, which were associated with Telangana’s formation and renewed policy emphasis on millet promotion. The study highlighted that millet trends were largely influenced by policy and institutional factors rather than natural growth trajectories. Strengthening economic incentives, assured markets, irrigation support, and value chains was identified as essential to stabilize area and production, ensuring sustainable expansion, improved food security, and enhanced farm incomes.</w:t>
      </w:r>
    </w:p>
    <w:p w14:paraId="0E4F8A80" w14:textId="1B0F89A6" w:rsidR="00212ADB" w:rsidRPr="00D94E00" w:rsidRDefault="004721D2" w:rsidP="004721D2">
      <w:pPr>
        <w:pStyle w:val="NormalWeb"/>
        <w:rPr>
          <w:rFonts w:ascii="Arial" w:hAnsi="Arial" w:cs="Arial"/>
          <w:b/>
          <w:bCs/>
        </w:rPr>
      </w:pPr>
      <w:r w:rsidRPr="004721D2">
        <w:rPr>
          <w:rFonts w:ascii="Arial" w:hAnsi="Arial" w:cs="Arial"/>
          <w:b/>
          <w:bCs/>
          <w:sz w:val="22"/>
          <w:szCs w:val="22"/>
        </w:rPr>
        <w:t xml:space="preserve">KEYWORDS: </w:t>
      </w:r>
      <w:r w:rsidRPr="004721D2">
        <w:t>Growth and instability analysis, Compound Annual Growth Rate, structural break, millets</w:t>
      </w:r>
      <w:r>
        <w:t>.</w:t>
      </w:r>
    </w:p>
    <w:p w14:paraId="76306799" w14:textId="4438608A" w:rsidR="00B8722E" w:rsidRPr="00D94E00" w:rsidRDefault="00813976" w:rsidP="00165A49">
      <w:pPr>
        <w:spacing w:line="240" w:lineRule="auto"/>
        <w:rPr>
          <w:rFonts w:ascii="Arial" w:hAnsi="Arial" w:cs="Arial"/>
          <w:b/>
          <w:bCs/>
        </w:rPr>
      </w:pPr>
      <w:r w:rsidRPr="00D94E00">
        <w:rPr>
          <w:rFonts w:ascii="Arial" w:hAnsi="Arial" w:cs="Arial"/>
          <w:b/>
          <w:bCs/>
        </w:rPr>
        <w:t xml:space="preserve">1. </w:t>
      </w:r>
      <w:r w:rsidR="00212ADB" w:rsidRPr="00D94E00">
        <w:rPr>
          <w:rFonts w:ascii="Arial" w:hAnsi="Arial" w:cs="Arial"/>
          <w:b/>
          <w:bCs/>
        </w:rPr>
        <w:t xml:space="preserve">INTRODUCTION </w:t>
      </w:r>
    </w:p>
    <w:p w14:paraId="4758726C" w14:textId="620749FE" w:rsidR="00DF394F" w:rsidRPr="00D94E00" w:rsidRDefault="00DF394F" w:rsidP="00165A49">
      <w:pPr>
        <w:spacing w:line="240" w:lineRule="auto"/>
        <w:jc w:val="both"/>
        <w:rPr>
          <w:rFonts w:ascii="Arial" w:hAnsi="Arial" w:cs="Arial"/>
          <w:sz w:val="20"/>
          <w:szCs w:val="20"/>
        </w:rPr>
      </w:pPr>
      <w:r w:rsidRPr="00D94E00">
        <w:rPr>
          <w:rFonts w:ascii="Arial" w:hAnsi="Arial" w:cs="Arial"/>
          <w:sz w:val="20"/>
          <w:szCs w:val="20"/>
        </w:rPr>
        <w:t>Millets, often termed “</w:t>
      </w:r>
      <w:proofErr w:type="spellStart"/>
      <w:r w:rsidRPr="00D94E00">
        <w:rPr>
          <w:rFonts w:ascii="Arial" w:hAnsi="Arial" w:cs="Arial"/>
          <w:sz w:val="20"/>
          <w:szCs w:val="20"/>
        </w:rPr>
        <w:t>nutri</w:t>
      </w:r>
      <w:proofErr w:type="spellEnd"/>
      <w:r w:rsidRPr="00D94E00">
        <w:rPr>
          <w:rFonts w:ascii="Arial" w:hAnsi="Arial" w:cs="Arial"/>
          <w:sz w:val="20"/>
          <w:szCs w:val="20"/>
        </w:rPr>
        <w:t xml:space="preserve">-cereals,” have emerged as a crucial component of sustainable agriculture due to their high nutritional value, resilience to climate variability, and ability to thrive in marginal environments. They are rich in essential nutrients such as dietary </w:t>
      </w:r>
      <w:proofErr w:type="spellStart"/>
      <w:r w:rsidRPr="00D94E00">
        <w:rPr>
          <w:rFonts w:ascii="Arial" w:hAnsi="Arial" w:cs="Arial"/>
          <w:sz w:val="20"/>
          <w:szCs w:val="20"/>
        </w:rPr>
        <w:t>fiber</w:t>
      </w:r>
      <w:proofErr w:type="spellEnd"/>
      <w:r w:rsidRPr="00D94E00">
        <w:rPr>
          <w:rFonts w:ascii="Arial" w:hAnsi="Arial" w:cs="Arial"/>
          <w:sz w:val="20"/>
          <w:szCs w:val="20"/>
        </w:rPr>
        <w:t>, protein, iron, calcium, and various micronutrients, making them an excellent choice for addressing malnutrition and promoting food security (Kumar et al., 2024). Millets are cultivated worldwide and serve both as food and fodder.</w:t>
      </w:r>
      <w:r w:rsidR="00401EBD" w:rsidRPr="00D94E00">
        <w:rPr>
          <w:rFonts w:ascii="Arial" w:hAnsi="Arial" w:cs="Arial"/>
          <w:sz w:val="20"/>
          <w:szCs w:val="20"/>
        </w:rPr>
        <w:t xml:space="preserve"> </w:t>
      </w:r>
      <w:r w:rsidRPr="00D94E00">
        <w:rPr>
          <w:rFonts w:ascii="Arial" w:hAnsi="Arial" w:cs="Arial"/>
          <w:sz w:val="20"/>
          <w:szCs w:val="20"/>
        </w:rPr>
        <w:t>India is the leading producer of millets globally, with a production of 17.5 million tonnes</w:t>
      </w:r>
      <w:r w:rsidR="0052397E" w:rsidRPr="00D94E00">
        <w:rPr>
          <w:rFonts w:ascii="Arial" w:hAnsi="Arial" w:cs="Arial"/>
          <w:sz w:val="20"/>
          <w:szCs w:val="20"/>
        </w:rPr>
        <w:t xml:space="preserve">, </w:t>
      </w:r>
      <w:r w:rsidRPr="00D94E00">
        <w:rPr>
          <w:rFonts w:ascii="Arial" w:hAnsi="Arial" w:cs="Arial"/>
          <w:sz w:val="20"/>
          <w:szCs w:val="20"/>
        </w:rPr>
        <w:t xml:space="preserve">accounting for 43 per cent of global production (IPAD, 2025). In India, millets are primarily grown as kharif crops, requiring minimal water and agricultural inputs compared to other staple grains. Millet cultivation also demands relatively low labour compared to other major crops (Wilson </w:t>
      </w:r>
      <w:r w:rsidR="00214040">
        <w:rPr>
          <w:rFonts w:ascii="Arial" w:hAnsi="Arial" w:cs="Arial"/>
          <w:sz w:val="20"/>
          <w:szCs w:val="20"/>
        </w:rPr>
        <w:t xml:space="preserve">and </w:t>
      </w:r>
      <w:proofErr w:type="spellStart"/>
      <w:r w:rsidR="00214040">
        <w:rPr>
          <w:rFonts w:ascii="Arial" w:hAnsi="Arial" w:cs="Arial"/>
          <w:sz w:val="20"/>
          <w:szCs w:val="20"/>
        </w:rPr>
        <w:t>VanBuren</w:t>
      </w:r>
      <w:proofErr w:type="spellEnd"/>
      <w:r w:rsidRPr="00D94E00">
        <w:rPr>
          <w:rFonts w:ascii="Arial" w:hAnsi="Arial" w:cs="Arial"/>
          <w:sz w:val="20"/>
          <w:szCs w:val="20"/>
        </w:rPr>
        <w:t xml:space="preserve"> 2022). Their significance lies in their potential to create livelihoods, enhance farmers’ incomes, and contribute to global food and nutritional security.</w:t>
      </w:r>
    </w:p>
    <w:p w14:paraId="44312060" w14:textId="01654637" w:rsidR="00B71D12" w:rsidRPr="00D94E00" w:rsidRDefault="00DF394F" w:rsidP="00165A49">
      <w:pPr>
        <w:spacing w:line="240" w:lineRule="auto"/>
        <w:jc w:val="both"/>
        <w:rPr>
          <w:rFonts w:ascii="Arial" w:hAnsi="Arial" w:cs="Arial"/>
          <w:sz w:val="20"/>
          <w:szCs w:val="20"/>
        </w:rPr>
      </w:pPr>
      <w:r w:rsidRPr="00D94E00">
        <w:rPr>
          <w:rFonts w:ascii="Arial" w:hAnsi="Arial" w:cs="Arial"/>
          <w:sz w:val="20"/>
          <w:szCs w:val="20"/>
        </w:rPr>
        <w:t>T</w:t>
      </w:r>
      <w:r w:rsidR="00D469EA" w:rsidRPr="00D94E00">
        <w:rPr>
          <w:rFonts w:ascii="Arial" w:hAnsi="Arial" w:cs="Arial"/>
          <w:sz w:val="20"/>
          <w:szCs w:val="20"/>
        </w:rPr>
        <w:t>he state of Telangana</w:t>
      </w:r>
      <w:r w:rsidRPr="00D94E00">
        <w:rPr>
          <w:rFonts w:ascii="Arial" w:hAnsi="Arial" w:cs="Arial"/>
          <w:sz w:val="20"/>
          <w:szCs w:val="20"/>
        </w:rPr>
        <w:t>, which was bifurcated from the rice-dominant Andhra Pradesh in 2014, has a semi-arid climate and a strong tradition of dryland agriculture, making it an ideal region for millet cultivation. The state has a long history of growing both major and minor millets. Among the major millets, sorghum (</w:t>
      </w:r>
      <w:proofErr w:type="spellStart"/>
      <w:r w:rsidRPr="00D94E00">
        <w:rPr>
          <w:rFonts w:ascii="Arial" w:hAnsi="Arial" w:cs="Arial"/>
          <w:sz w:val="20"/>
          <w:szCs w:val="20"/>
        </w:rPr>
        <w:t>jonnalu</w:t>
      </w:r>
      <w:proofErr w:type="spellEnd"/>
      <w:r w:rsidRPr="00D94E00">
        <w:rPr>
          <w:rFonts w:ascii="Arial" w:hAnsi="Arial" w:cs="Arial"/>
          <w:sz w:val="20"/>
          <w:szCs w:val="20"/>
        </w:rPr>
        <w:t>), pearl millet (</w:t>
      </w:r>
      <w:proofErr w:type="spellStart"/>
      <w:r w:rsidRPr="00D94E00">
        <w:rPr>
          <w:rFonts w:ascii="Arial" w:hAnsi="Arial" w:cs="Arial"/>
          <w:sz w:val="20"/>
          <w:szCs w:val="20"/>
        </w:rPr>
        <w:t>sajjalu</w:t>
      </w:r>
      <w:proofErr w:type="spellEnd"/>
      <w:r w:rsidRPr="00D94E00">
        <w:rPr>
          <w:rFonts w:ascii="Arial" w:hAnsi="Arial" w:cs="Arial"/>
          <w:sz w:val="20"/>
          <w:szCs w:val="20"/>
        </w:rPr>
        <w:t>), and finger millet (</w:t>
      </w:r>
      <w:proofErr w:type="spellStart"/>
      <w:r w:rsidRPr="00D94E00">
        <w:rPr>
          <w:rFonts w:ascii="Arial" w:hAnsi="Arial" w:cs="Arial"/>
          <w:sz w:val="20"/>
          <w:szCs w:val="20"/>
        </w:rPr>
        <w:t>ragulu</w:t>
      </w:r>
      <w:proofErr w:type="spellEnd"/>
      <w:r w:rsidRPr="00D94E00">
        <w:rPr>
          <w:rFonts w:ascii="Arial" w:hAnsi="Arial" w:cs="Arial"/>
          <w:sz w:val="20"/>
          <w:szCs w:val="20"/>
        </w:rPr>
        <w:t>) dominate cultivation, while minor millets such as foxtail millet (</w:t>
      </w:r>
      <w:proofErr w:type="spellStart"/>
      <w:r w:rsidRPr="00D94E00">
        <w:rPr>
          <w:rFonts w:ascii="Arial" w:hAnsi="Arial" w:cs="Arial"/>
          <w:sz w:val="20"/>
          <w:szCs w:val="20"/>
        </w:rPr>
        <w:t>korralu</w:t>
      </w:r>
      <w:proofErr w:type="spellEnd"/>
      <w:r w:rsidRPr="00D94E00">
        <w:rPr>
          <w:rFonts w:ascii="Arial" w:hAnsi="Arial" w:cs="Arial"/>
          <w:sz w:val="20"/>
          <w:szCs w:val="20"/>
        </w:rPr>
        <w:t>), little millet (</w:t>
      </w:r>
      <w:proofErr w:type="spellStart"/>
      <w:r w:rsidRPr="00D94E00">
        <w:rPr>
          <w:rFonts w:ascii="Arial" w:hAnsi="Arial" w:cs="Arial"/>
          <w:sz w:val="20"/>
          <w:szCs w:val="20"/>
        </w:rPr>
        <w:t>samalu</w:t>
      </w:r>
      <w:proofErr w:type="spellEnd"/>
      <w:r w:rsidRPr="00D94E00">
        <w:rPr>
          <w:rFonts w:ascii="Arial" w:hAnsi="Arial" w:cs="Arial"/>
          <w:sz w:val="20"/>
          <w:szCs w:val="20"/>
        </w:rPr>
        <w:t xml:space="preserve">), </w:t>
      </w:r>
      <w:proofErr w:type="spellStart"/>
      <w:r w:rsidRPr="00D94E00">
        <w:rPr>
          <w:rFonts w:ascii="Arial" w:hAnsi="Arial" w:cs="Arial"/>
          <w:sz w:val="20"/>
          <w:szCs w:val="20"/>
        </w:rPr>
        <w:t>kodo</w:t>
      </w:r>
      <w:proofErr w:type="spellEnd"/>
      <w:r w:rsidRPr="00D94E00">
        <w:rPr>
          <w:rFonts w:ascii="Arial" w:hAnsi="Arial" w:cs="Arial"/>
          <w:sz w:val="20"/>
          <w:szCs w:val="20"/>
        </w:rPr>
        <w:t xml:space="preserve"> millet (</w:t>
      </w:r>
      <w:proofErr w:type="spellStart"/>
      <w:r w:rsidRPr="00D94E00">
        <w:rPr>
          <w:rFonts w:ascii="Arial" w:hAnsi="Arial" w:cs="Arial"/>
          <w:sz w:val="20"/>
          <w:szCs w:val="20"/>
        </w:rPr>
        <w:t>arikelu</w:t>
      </w:r>
      <w:proofErr w:type="spellEnd"/>
      <w:r w:rsidRPr="00D94E00">
        <w:rPr>
          <w:rFonts w:ascii="Arial" w:hAnsi="Arial" w:cs="Arial"/>
          <w:sz w:val="20"/>
          <w:szCs w:val="20"/>
        </w:rPr>
        <w:t xml:space="preserve">), and </w:t>
      </w:r>
      <w:proofErr w:type="spellStart"/>
      <w:r w:rsidRPr="00D94E00">
        <w:rPr>
          <w:rFonts w:ascii="Arial" w:hAnsi="Arial" w:cs="Arial"/>
          <w:sz w:val="20"/>
          <w:szCs w:val="20"/>
        </w:rPr>
        <w:t>proso</w:t>
      </w:r>
      <w:proofErr w:type="spellEnd"/>
      <w:r w:rsidRPr="00D94E00">
        <w:rPr>
          <w:rFonts w:ascii="Arial" w:hAnsi="Arial" w:cs="Arial"/>
          <w:sz w:val="20"/>
          <w:szCs w:val="20"/>
        </w:rPr>
        <w:t xml:space="preserve"> millet (</w:t>
      </w:r>
      <w:proofErr w:type="spellStart"/>
      <w:r w:rsidRPr="00D94E00">
        <w:rPr>
          <w:rFonts w:ascii="Arial" w:hAnsi="Arial" w:cs="Arial"/>
          <w:sz w:val="20"/>
          <w:szCs w:val="20"/>
        </w:rPr>
        <w:t>varigulu</w:t>
      </w:r>
      <w:proofErr w:type="spellEnd"/>
      <w:r w:rsidRPr="00D94E00">
        <w:rPr>
          <w:rFonts w:ascii="Arial" w:hAnsi="Arial" w:cs="Arial"/>
          <w:sz w:val="20"/>
          <w:szCs w:val="20"/>
        </w:rPr>
        <w:t>) are predominantly grown in tribal areas. The total production of millets in Telangana was 2.57 lakh tonnes from an area of 1.14 lakh hectares during 2023–2024 (DES, 2024).</w:t>
      </w:r>
    </w:p>
    <w:p w14:paraId="1990408E" w14:textId="61294E8A" w:rsidR="00165A49" w:rsidRPr="00D94E00" w:rsidRDefault="00DF394F" w:rsidP="00165A49">
      <w:pPr>
        <w:spacing w:line="240" w:lineRule="auto"/>
        <w:jc w:val="both"/>
        <w:rPr>
          <w:rFonts w:ascii="Arial" w:hAnsi="Arial" w:cs="Arial"/>
          <w:sz w:val="20"/>
          <w:szCs w:val="20"/>
        </w:rPr>
      </w:pPr>
      <w:r w:rsidRPr="00D94E00">
        <w:rPr>
          <w:rFonts w:ascii="Arial" w:hAnsi="Arial" w:cs="Arial"/>
          <w:sz w:val="20"/>
          <w:szCs w:val="20"/>
        </w:rPr>
        <w:t xml:space="preserve">The Government of Telangana has introduced targeted policies such as the Telangana Millet Mission to support farmers through incentives, research, and market development. The government has also initiated strategies to revive millet consumption and enhance the nutritional content of the </w:t>
      </w:r>
      <w:r w:rsidR="00D469EA" w:rsidRPr="00D94E00">
        <w:rPr>
          <w:rFonts w:ascii="Arial" w:hAnsi="Arial" w:cs="Arial"/>
          <w:sz w:val="20"/>
          <w:szCs w:val="20"/>
        </w:rPr>
        <w:t xml:space="preserve">hot cooked meals </w:t>
      </w:r>
      <w:r w:rsidRPr="00D94E00">
        <w:rPr>
          <w:rFonts w:ascii="Arial" w:hAnsi="Arial" w:cs="Arial"/>
          <w:sz w:val="20"/>
          <w:szCs w:val="20"/>
        </w:rPr>
        <w:t xml:space="preserve">program under the Integrated Child Development Services (ICDS). This initiative aims to reduce stunting, wasting, anaemia, and underweight conditions among children aged 3–6 years, their mothers, and community members. It was implemented by the District Administrations of </w:t>
      </w:r>
      <w:proofErr w:type="spellStart"/>
      <w:r w:rsidRPr="00D94E00">
        <w:rPr>
          <w:rFonts w:ascii="Arial" w:hAnsi="Arial" w:cs="Arial"/>
          <w:sz w:val="20"/>
          <w:szCs w:val="20"/>
        </w:rPr>
        <w:t>Vikarabad</w:t>
      </w:r>
      <w:proofErr w:type="spellEnd"/>
      <w:r w:rsidRPr="00D94E00">
        <w:rPr>
          <w:rFonts w:ascii="Arial" w:hAnsi="Arial" w:cs="Arial"/>
          <w:sz w:val="20"/>
          <w:szCs w:val="20"/>
        </w:rPr>
        <w:t xml:space="preserve"> (2017–19) and Adilabad (2019–20), with technical support from Watershed Support Services and Activities Network</w:t>
      </w:r>
      <w:r w:rsidR="00070792">
        <w:rPr>
          <w:rFonts w:ascii="Arial" w:hAnsi="Arial" w:cs="Arial"/>
          <w:sz w:val="20"/>
          <w:szCs w:val="20"/>
        </w:rPr>
        <w:t xml:space="preserve"> (WASSAN, 2022)</w:t>
      </w:r>
      <w:r w:rsidRPr="00D94E00">
        <w:rPr>
          <w:rFonts w:ascii="Arial" w:hAnsi="Arial" w:cs="Arial"/>
          <w:sz w:val="20"/>
          <w:szCs w:val="20"/>
        </w:rPr>
        <w:t xml:space="preserve">. </w:t>
      </w:r>
      <w:proofErr w:type="spellStart"/>
      <w:r w:rsidR="00E0184F" w:rsidRPr="00D94E00">
        <w:rPr>
          <w:rFonts w:ascii="Arial" w:hAnsi="Arial" w:cs="Arial"/>
          <w:sz w:val="20"/>
          <w:szCs w:val="20"/>
        </w:rPr>
        <w:t>Giri</w:t>
      </w:r>
      <w:proofErr w:type="spellEnd"/>
      <w:r w:rsidR="00E0184F" w:rsidRPr="00D94E00">
        <w:rPr>
          <w:rFonts w:ascii="Arial" w:hAnsi="Arial" w:cs="Arial"/>
          <w:sz w:val="20"/>
          <w:szCs w:val="20"/>
        </w:rPr>
        <w:t xml:space="preserve"> </w:t>
      </w:r>
      <w:proofErr w:type="spellStart"/>
      <w:r w:rsidR="00E0184F" w:rsidRPr="00D94E00">
        <w:rPr>
          <w:rFonts w:ascii="Arial" w:hAnsi="Arial" w:cs="Arial"/>
          <w:sz w:val="20"/>
          <w:szCs w:val="20"/>
        </w:rPr>
        <w:t>Poshana</w:t>
      </w:r>
      <w:proofErr w:type="spellEnd"/>
      <w:r w:rsidR="00E0184F" w:rsidRPr="00D94E00">
        <w:rPr>
          <w:rFonts w:ascii="Arial" w:hAnsi="Arial" w:cs="Arial"/>
          <w:sz w:val="20"/>
          <w:szCs w:val="20"/>
        </w:rPr>
        <w:t xml:space="preserve"> or Nutri-Food Basket (NFB) was introduced for improving dietary diversification in the tribal households of Telangana under integrated tribal development agency areas of </w:t>
      </w:r>
      <w:proofErr w:type="spellStart"/>
      <w:r w:rsidR="00E0184F" w:rsidRPr="00D94E00">
        <w:rPr>
          <w:rFonts w:ascii="Arial" w:hAnsi="Arial" w:cs="Arial"/>
          <w:sz w:val="20"/>
          <w:szCs w:val="20"/>
        </w:rPr>
        <w:t>Utnoor</w:t>
      </w:r>
      <w:proofErr w:type="spellEnd"/>
      <w:r w:rsidR="00E0184F" w:rsidRPr="00D94E00">
        <w:rPr>
          <w:rFonts w:ascii="Arial" w:hAnsi="Arial" w:cs="Arial"/>
          <w:sz w:val="20"/>
          <w:szCs w:val="20"/>
        </w:rPr>
        <w:t xml:space="preserve">, </w:t>
      </w:r>
      <w:proofErr w:type="spellStart"/>
      <w:r w:rsidR="00E0184F" w:rsidRPr="00D94E00">
        <w:rPr>
          <w:rFonts w:ascii="Arial" w:hAnsi="Arial" w:cs="Arial"/>
          <w:sz w:val="20"/>
          <w:szCs w:val="20"/>
        </w:rPr>
        <w:t>Bhadrachalam</w:t>
      </w:r>
      <w:proofErr w:type="spellEnd"/>
      <w:r w:rsidR="00E0184F" w:rsidRPr="00D94E00">
        <w:rPr>
          <w:rFonts w:ascii="Arial" w:hAnsi="Arial" w:cs="Arial"/>
          <w:sz w:val="20"/>
          <w:szCs w:val="20"/>
        </w:rPr>
        <w:t xml:space="preserve"> and </w:t>
      </w:r>
      <w:proofErr w:type="spellStart"/>
      <w:r w:rsidR="00E0184F" w:rsidRPr="00D94E00">
        <w:rPr>
          <w:rFonts w:ascii="Arial" w:hAnsi="Arial" w:cs="Arial"/>
          <w:sz w:val="20"/>
          <w:szCs w:val="20"/>
        </w:rPr>
        <w:t>Eturnagaram</w:t>
      </w:r>
      <w:proofErr w:type="spellEnd"/>
      <w:r w:rsidR="00DD1360">
        <w:rPr>
          <w:rFonts w:ascii="Arial" w:hAnsi="Arial" w:cs="Arial"/>
          <w:sz w:val="20"/>
          <w:szCs w:val="20"/>
        </w:rPr>
        <w:t xml:space="preserve"> (Mazumdar </w:t>
      </w:r>
      <w:r w:rsidR="00DD1360" w:rsidRPr="00DD1360">
        <w:rPr>
          <w:rFonts w:ascii="Arial" w:hAnsi="Arial" w:cs="Arial"/>
          <w:i/>
          <w:iCs/>
          <w:sz w:val="20"/>
          <w:szCs w:val="20"/>
        </w:rPr>
        <w:t>et al</w:t>
      </w:r>
      <w:r w:rsidR="00DD1360">
        <w:rPr>
          <w:rFonts w:ascii="Arial" w:hAnsi="Arial" w:cs="Arial"/>
          <w:sz w:val="20"/>
          <w:szCs w:val="20"/>
        </w:rPr>
        <w:t>., 2023)</w:t>
      </w:r>
      <w:r w:rsidR="00E0184F" w:rsidRPr="00D94E00">
        <w:rPr>
          <w:rFonts w:ascii="Arial" w:hAnsi="Arial" w:cs="Arial"/>
          <w:sz w:val="20"/>
          <w:szCs w:val="20"/>
        </w:rPr>
        <w:t>. Additionally, shifting consumer preferences toward healthier and traditional grains have fuelled a growing demand for millets in both rural and urban markets.</w:t>
      </w:r>
    </w:p>
    <w:p w14:paraId="75C424C8" w14:textId="305C5B4E" w:rsidR="003E7C7C" w:rsidRPr="00D94E00" w:rsidRDefault="003E7C7C" w:rsidP="00165A49">
      <w:pPr>
        <w:spacing w:line="240" w:lineRule="auto"/>
        <w:jc w:val="both"/>
        <w:rPr>
          <w:rFonts w:ascii="Arial" w:hAnsi="Arial" w:cs="Arial"/>
          <w:sz w:val="20"/>
          <w:szCs w:val="20"/>
        </w:rPr>
      </w:pPr>
      <w:r w:rsidRPr="00D94E00">
        <w:rPr>
          <w:rFonts w:ascii="Arial" w:hAnsi="Arial" w:cs="Arial"/>
          <w:sz w:val="20"/>
          <w:szCs w:val="20"/>
        </w:rPr>
        <w:lastRenderedPageBreak/>
        <w:t>Instability and growth in agricultural production play a crucial role in determining market stability and food security</w:t>
      </w:r>
      <w:r w:rsidR="001B6D90">
        <w:rPr>
          <w:rFonts w:ascii="Arial" w:hAnsi="Arial" w:cs="Arial"/>
          <w:sz w:val="20"/>
          <w:szCs w:val="20"/>
        </w:rPr>
        <w:t xml:space="preserve"> (Sharma, 2013)</w:t>
      </w:r>
      <w:r w:rsidRPr="00D94E00">
        <w:rPr>
          <w:rFonts w:ascii="Arial" w:hAnsi="Arial" w:cs="Arial"/>
          <w:sz w:val="20"/>
          <w:szCs w:val="20"/>
        </w:rPr>
        <w:t>. While positive growth indicates technological progress, improved management, and policy support, instability often leads to market fluctuations and price volatility. These fluctuations can adversely affect consumers, who face unpredictable food prices, and farmers, who may misallocate resources due to production uncertainty. Understanding the patterns of both growth and instability is therefore essential for effective agricultural planning and sustainable development. With this context, the present study was conducted to analyse the trends, growth, and instability of millet production in Telangana using secondary data. The study aims to provide a comprehensive analysis to inform policies and strategies for enhancing millet cultivation, ensuring stable growth, and promoting sustainability in India’s millet sector.</w:t>
      </w:r>
    </w:p>
    <w:p w14:paraId="11054FF1" w14:textId="3EA5B2AB" w:rsidR="00B71D12" w:rsidRPr="00D94E00" w:rsidRDefault="00813976" w:rsidP="00165A49">
      <w:pPr>
        <w:spacing w:line="240" w:lineRule="auto"/>
        <w:jc w:val="both"/>
        <w:rPr>
          <w:rFonts w:ascii="Arial" w:hAnsi="Arial" w:cs="Arial"/>
          <w:b/>
          <w:bCs/>
        </w:rPr>
      </w:pPr>
      <w:r w:rsidRPr="00D94E00">
        <w:rPr>
          <w:rFonts w:ascii="Arial" w:hAnsi="Arial" w:cs="Arial"/>
          <w:b/>
          <w:bCs/>
        </w:rPr>
        <w:t xml:space="preserve">2. </w:t>
      </w:r>
      <w:r w:rsidR="00212ADB" w:rsidRPr="00D94E00">
        <w:rPr>
          <w:rFonts w:ascii="Arial" w:hAnsi="Arial" w:cs="Arial"/>
          <w:b/>
          <w:bCs/>
        </w:rPr>
        <w:t xml:space="preserve">METHODOLOGY </w:t>
      </w:r>
    </w:p>
    <w:p w14:paraId="24D2DB37" w14:textId="77777777" w:rsidR="001D4E84" w:rsidRPr="00D94E00" w:rsidRDefault="00D3702F" w:rsidP="00165A49">
      <w:pPr>
        <w:spacing w:line="240" w:lineRule="auto"/>
        <w:jc w:val="both"/>
        <w:rPr>
          <w:rFonts w:ascii="Arial" w:hAnsi="Arial" w:cs="Arial"/>
          <w:sz w:val="20"/>
          <w:szCs w:val="20"/>
        </w:rPr>
      </w:pPr>
      <w:r w:rsidRPr="00D94E00">
        <w:rPr>
          <w:rFonts w:ascii="Arial" w:hAnsi="Arial" w:cs="Arial"/>
          <w:sz w:val="20"/>
          <w:szCs w:val="20"/>
        </w:rPr>
        <w:t xml:space="preserve">Secondary data related to area, production and productivity of </w:t>
      </w:r>
      <w:r w:rsidR="001D4E84" w:rsidRPr="00D94E00">
        <w:rPr>
          <w:rFonts w:ascii="Arial" w:hAnsi="Arial" w:cs="Arial"/>
          <w:sz w:val="20"/>
          <w:szCs w:val="20"/>
        </w:rPr>
        <w:t>sorghum, pearl millet, finger millet and minor millets</w:t>
      </w:r>
      <w:r w:rsidRPr="00D94E00">
        <w:rPr>
          <w:rFonts w:ascii="Arial" w:hAnsi="Arial" w:cs="Arial"/>
          <w:sz w:val="20"/>
          <w:szCs w:val="20"/>
        </w:rPr>
        <w:t xml:space="preserve"> of Telangana </w:t>
      </w:r>
      <w:r w:rsidR="001D4E84" w:rsidRPr="00D94E00">
        <w:rPr>
          <w:rFonts w:ascii="Arial" w:hAnsi="Arial" w:cs="Arial"/>
          <w:sz w:val="20"/>
          <w:szCs w:val="20"/>
        </w:rPr>
        <w:t xml:space="preserve">for the period of </w:t>
      </w:r>
      <w:r w:rsidRPr="00D94E00">
        <w:rPr>
          <w:rFonts w:ascii="Arial" w:hAnsi="Arial" w:cs="Arial"/>
          <w:sz w:val="20"/>
          <w:szCs w:val="20"/>
        </w:rPr>
        <w:t xml:space="preserve">2008-09 to 2023-24 was collected from Directorate of Economics and Statistics, Hyderabad. </w:t>
      </w:r>
    </w:p>
    <w:p w14:paraId="0F4C58F1" w14:textId="2D56D980" w:rsidR="00581537" w:rsidRPr="00640543" w:rsidRDefault="0052397E" w:rsidP="00165A49">
      <w:pPr>
        <w:spacing w:line="240" w:lineRule="auto"/>
        <w:jc w:val="both"/>
        <w:rPr>
          <w:rFonts w:ascii="Arial" w:hAnsi="Arial" w:cs="Arial"/>
          <w:sz w:val="20"/>
          <w:szCs w:val="20"/>
        </w:rPr>
      </w:pPr>
      <w:r w:rsidRPr="00D94E00">
        <w:rPr>
          <w:rFonts w:ascii="Arial" w:hAnsi="Arial" w:cs="Arial"/>
          <w:sz w:val="20"/>
          <w:szCs w:val="20"/>
        </w:rPr>
        <w:t xml:space="preserve">A polynomial trend was fitted to account for the erratic fluctuations observed in the time series data. The growth pattern was </w:t>
      </w:r>
      <w:r w:rsidR="00640543" w:rsidRPr="00D94E00">
        <w:rPr>
          <w:rFonts w:ascii="Arial" w:hAnsi="Arial" w:cs="Arial"/>
          <w:sz w:val="20"/>
          <w:szCs w:val="20"/>
        </w:rPr>
        <w:t>analysed</w:t>
      </w:r>
      <w:r w:rsidRPr="00D94E00">
        <w:rPr>
          <w:rFonts w:ascii="Arial" w:hAnsi="Arial" w:cs="Arial"/>
          <w:sz w:val="20"/>
          <w:szCs w:val="20"/>
        </w:rPr>
        <w:t xml:space="preserve"> using the Compound Annual Growth Rate (CAGR), while instability was assessed through the Coefficient of Variation (CV) and the Cuddy–Della Valle Index (CDVI). In addition, structural breaks in the time series were identified using the Bai–</w:t>
      </w:r>
      <w:proofErr w:type="spellStart"/>
      <w:r w:rsidRPr="00D94E00">
        <w:rPr>
          <w:rFonts w:ascii="Arial" w:hAnsi="Arial" w:cs="Arial"/>
          <w:sz w:val="20"/>
          <w:szCs w:val="20"/>
        </w:rPr>
        <w:t>Perron</w:t>
      </w:r>
      <w:proofErr w:type="spellEnd"/>
      <w:r w:rsidRPr="00D94E00">
        <w:rPr>
          <w:rFonts w:ascii="Arial" w:hAnsi="Arial" w:cs="Arial"/>
          <w:sz w:val="20"/>
          <w:szCs w:val="20"/>
        </w:rPr>
        <w:t xml:space="preserve"> multiple breakpoint test, which helps detect significant shifts in the trend over time.</w:t>
      </w:r>
    </w:p>
    <w:p w14:paraId="6149314F" w14:textId="183DA0BE" w:rsidR="0052397E" w:rsidRPr="00D94E00" w:rsidRDefault="00813976" w:rsidP="00165A49">
      <w:pPr>
        <w:spacing w:line="240" w:lineRule="auto"/>
        <w:jc w:val="both"/>
        <w:rPr>
          <w:rFonts w:ascii="Arial" w:hAnsi="Arial" w:cs="Arial"/>
          <w:b/>
          <w:bCs/>
        </w:rPr>
      </w:pPr>
      <w:r w:rsidRPr="00D94E00">
        <w:rPr>
          <w:rFonts w:ascii="Arial" w:hAnsi="Arial" w:cs="Arial"/>
          <w:b/>
          <w:bCs/>
        </w:rPr>
        <w:t xml:space="preserve">2.1 </w:t>
      </w:r>
      <w:r w:rsidR="0052397E" w:rsidRPr="00D94E00">
        <w:rPr>
          <w:rFonts w:ascii="Arial" w:hAnsi="Arial" w:cs="Arial"/>
          <w:b/>
          <w:bCs/>
        </w:rPr>
        <w:t>Growth rate analysis</w:t>
      </w:r>
    </w:p>
    <w:p w14:paraId="60387433" w14:textId="6B4C13A1" w:rsidR="0052397E" w:rsidRPr="00D94E00" w:rsidRDefault="0052397E" w:rsidP="00165A49">
      <w:pPr>
        <w:spacing w:line="240" w:lineRule="auto"/>
        <w:jc w:val="both"/>
        <w:rPr>
          <w:rFonts w:ascii="Arial" w:hAnsi="Arial" w:cs="Arial"/>
          <w:sz w:val="20"/>
          <w:szCs w:val="20"/>
        </w:rPr>
      </w:pPr>
      <w:r w:rsidRPr="00D94E00">
        <w:rPr>
          <w:rFonts w:ascii="Arial" w:hAnsi="Arial" w:cs="Arial"/>
          <w:sz w:val="20"/>
          <w:szCs w:val="20"/>
        </w:rPr>
        <w:t xml:space="preserve">The </w:t>
      </w:r>
      <w:r w:rsidR="00234BDE" w:rsidRPr="00D94E00">
        <w:rPr>
          <w:rFonts w:ascii="Arial" w:hAnsi="Arial" w:cs="Arial"/>
          <w:sz w:val="20"/>
          <w:szCs w:val="20"/>
        </w:rPr>
        <w:t xml:space="preserve">Compound Annual Growth Rate </w:t>
      </w:r>
      <w:r w:rsidR="006F1798" w:rsidRPr="00D94E00">
        <w:rPr>
          <w:rFonts w:ascii="Arial" w:hAnsi="Arial" w:cs="Arial"/>
          <w:sz w:val="20"/>
          <w:szCs w:val="20"/>
        </w:rPr>
        <w:t>was</w:t>
      </w:r>
      <w:r w:rsidRPr="00D94E00">
        <w:rPr>
          <w:rFonts w:ascii="Arial" w:hAnsi="Arial" w:cs="Arial"/>
          <w:sz w:val="20"/>
          <w:szCs w:val="20"/>
        </w:rPr>
        <w:t xml:space="preserve"> estimated using </w:t>
      </w:r>
      <w:r w:rsidR="00640543">
        <w:rPr>
          <w:rFonts w:ascii="Arial" w:hAnsi="Arial" w:cs="Arial"/>
          <w:sz w:val="20"/>
          <w:szCs w:val="20"/>
        </w:rPr>
        <w:t>exponential</w:t>
      </w:r>
      <w:r w:rsidRPr="00D94E00">
        <w:rPr>
          <w:rFonts w:ascii="Arial" w:hAnsi="Arial" w:cs="Arial"/>
          <w:sz w:val="20"/>
          <w:szCs w:val="20"/>
        </w:rPr>
        <w:t xml:space="preserve"> functions on time series</w:t>
      </w:r>
      <w:r w:rsidR="006F1798" w:rsidRPr="00D94E00">
        <w:rPr>
          <w:rFonts w:ascii="Arial" w:hAnsi="Arial" w:cs="Arial"/>
          <w:sz w:val="20"/>
          <w:szCs w:val="20"/>
        </w:rPr>
        <w:t xml:space="preserve"> </w:t>
      </w:r>
      <w:r w:rsidRPr="00D94E00">
        <w:rPr>
          <w:rFonts w:ascii="Arial" w:hAnsi="Arial" w:cs="Arial"/>
          <w:sz w:val="20"/>
          <w:szCs w:val="20"/>
        </w:rPr>
        <w:t>data on millets' area, production, and</w:t>
      </w:r>
      <w:r w:rsidR="006F1798" w:rsidRPr="00D94E00">
        <w:rPr>
          <w:rFonts w:ascii="Arial" w:hAnsi="Arial" w:cs="Arial"/>
          <w:sz w:val="20"/>
          <w:szCs w:val="20"/>
        </w:rPr>
        <w:t xml:space="preserve"> </w:t>
      </w:r>
      <w:r w:rsidRPr="00D94E00">
        <w:rPr>
          <w:rFonts w:ascii="Arial" w:hAnsi="Arial" w:cs="Arial"/>
          <w:sz w:val="20"/>
          <w:szCs w:val="20"/>
        </w:rPr>
        <w:t>productivity</w:t>
      </w:r>
      <w:r w:rsidR="00640543">
        <w:rPr>
          <w:rFonts w:ascii="Arial" w:hAnsi="Arial" w:cs="Arial"/>
          <w:sz w:val="20"/>
          <w:szCs w:val="20"/>
        </w:rPr>
        <w:t xml:space="preserve"> (Kumar, 2022)</w:t>
      </w:r>
      <w:r w:rsidRPr="00D94E00">
        <w:rPr>
          <w:rFonts w:ascii="Arial" w:hAnsi="Arial" w:cs="Arial"/>
          <w:sz w:val="20"/>
          <w:szCs w:val="20"/>
        </w:rPr>
        <w:t>. The log exponential functional form</w:t>
      </w:r>
      <w:r w:rsidR="006F1798" w:rsidRPr="00D94E00">
        <w:rPr>
          <w:rFonts w:ascii="Arial" w:hAnsi="Arial" w:cs="Arial"/>
          <w:sz w:val="20"/>
          <w:szCs w:val="20"/>
        </w:rPr>
        <w:t xml:space="preserve"> </w:t>
      </w:r>
      <w:r w:rsidRPr="00D94E00">
        <w:rPr>
          <w:rFonts w:ascii="Arial" w:hAnsi="Arial" w:cs="Arial"/>
          <w:sz w:val="20"/>
          <w:szCs w:val="20"/>
        </w:rPr>
        <w:t>was used to determine compound growth rate.</w:t>
      </w:r>
    </w:p>
    <w:p w14:paraId="7F39F003" w14:textId="0A4A4715" w:rsidR="00D05767" w:rsidRPr="006F1798" w:rsidRDefault="006F1798" w:rsidP="00165A49">
      <w:pPr>
        <w:spacing w:line="240" w:lineRule="auto"/>
        <w:ind w:firstLine="720"/>
        <w:jc w:val="both"/>
        <w:rPr>
          <w:rFonts w:ascii="Arial" w:hAnsi="Arial" w:cs="Arial"/>
          <w:bCs/>
          <w:sz w:val="20"/>
          <w:szCs w:val="20"/>
          <w:lang w:val="en-US"/>
        </w:rPr>
      </w:pPr>
      <w:proofErr w:type="spellStart"/>
      <w:r w:rsidRPr="006F1798">
        <w:rPr>
          <w:rFonts w:ascii="Arial" w:hAnsi="Arial" w:cs="Arial"/>
          <w:sz w:val="20"/>
          <w:szCs w:val="20"/>
          <w:lang w:val="en-US"/>
        </w:rPr>
        <w:t>Y</w:t>
      </w:r>
      <w:r w:rsidRPr="006F1798">
        <w:rPr>
          <w:rFonts w:ascii="Arial" w:hAnsi="Arial" w:cs="Arial"/>
          <w:sz w:val="20"/>
          <w:szCs w:val="20"/>
          <w:vertAlign w:val="subscript"/>
          <w:lang w:val="en-US"/>
        </w:rPr>
        <w:t>t</w:t>
      </w:r>
      <w:proofErr w:type="spellEnd"/>
      <w:r w:rsidRPr="006F1798">
        <w:rPr>
          <w:rFonts w:ascii="Arial" w:hAnsi="Arial" w:cs="Arial"/>
          <w:sz w:val="20"/>
          <w:szCs w:val="20"/>
          <w:lang w:val="en-US"/>
        </w:rPr>
        <w:t xml:space="preserve"> = </w:t>
      </w:r>
      <w:proofErr w:type="spellStart"/>
      <w:r w:rsidRPr="006F1798">
        <w:rPr>
          <w:rFonts w:ascii="Arial" w:hAnsi="Arial" w:cs="Arial"/>
          <w:sz w:val="20"/>
          <w:szCs w:val="20"/>
          <w:lang w:val="en-US"/>
        </w:rPr>
        <w:t>ab</w:t>
      </w:r>
      <w:r w:rsidRPr="006F1798">
        <w:rPr>
          <w:rFonts w:ascii="Arial" w:hAnsi="Arial" w:cs="Arial"/>
          <w:sz w:val="20"/>
          <w:szCs w:val="20"/>
          <w:vertAlign w:val="superscript"/>
          <w:lang w:val="en-US"/>
        </w:rPr>
        <w:t>t</w:t>
      </w:r>
      <w:r w:rsidRPr="006F1798">
        <w:rPr>
          <w:rFonts w:ascii="Arial" w:hAnsi="Arial" w:cs="Arial"/>
          <w:sz w:val="20"/>
          <w:szCs w:val="20"/>
          <w:lang w:val="en-US"/>
        </w:rPr>
        <w:t>e</w:t>
      </w:r>
      <w:r w:rsidRPr="006F1798">
        <w:rPr>
          <w:rFonts w:ascii="Arial" w:hAnsi="Arial" w:cs="Arial"/>
          <w:sz w:val="20"/>
          <w:szCs w:val="20"/>
          <w:vertAlign w:val="superscript"/>
          <w:lang w:val="en-US"/>
        </w:rPr>
        <w:t>u</w:t>
      </w:r>
      <w:proofErr w:type="spellEnd"/>
      <w:r w:rsidRPr="006F1798">
        <w:rPr>
          <w:rFonts w:ascii="Arial" w:hAnsi="Arial" w:cs="Arial"/>
          <w:bCs/>
          <w:sz w:val="20"/>
          <w:szCs w:val="20"/>
          <w:lang w:val="en-US"/>
        </w:rPr>
        <w:t xml:space="preserve"> </w:t>
      </w:r>
    </w:p>
    <w:p w14:paraId="0F9ED957" w14:textId="577FFDA9" w:rsidR="006F1798" w:rsidRPr="006F1798" w:rsidRDefault="006F1798" w:rsidP="00165A49">
      <w:pPr>
        <w:spacing w:line="240" w:lineRule="auto"/>
        <w:jc w:val="both"/>
        <w:rPr>
          <w:rFonts w:ascii="Arial" w:hAnsi="Arial" w:cs="Arial"/>
          <w:bCs/>
          <w:sz w:val="20"/>
          <w:szCs w:val="20"/>
          <w:lang w:val="en-US"/>
        </w:rPr>
      </w:pPr>
      <w:r w:rsidRPr="006F1798">
        <w:rPr>
          <w:rFonts w:ascii="Arial" w:hAnsi="Arial" w:cs="Arial"/>
          <w:bCs/>
          <w:sz w:val="20"/>
          <w:szCs w:val="20"/>
          <w:lang w:val="en-US"/>
        </w:rPr>
        <w:t>‘</w:t>
      </w:r>
      <w:proofErr w:type="spellStart"/>
      <w:r w:rsidRPr="006F1798">
        <w:rPr>
          <w:rFonts w:ascii="Arial" w:hAnsi="Arial" w:cs="Arial"/>
          <w:bCs/>
          <w:sz w:val="20"/>
          <w:szCs w:val="20"/>
          <w:lang w:val="en-US"/>
        </w:rPr>
        <w:t>Y</w:t>
      </w:r>
      <w:r w:rsidRPr="006F1798">
        <w:rPr>
          <w:rFonts w:ascii="Arial" w:hAnsi="Arial" w:cs="Arial"/>
          <w:bCs/>
          <w:sz w:val="20"/>
          <w:szCs w:val="20"/>
          <w:vertAlign w:val="subscript"/>
          <w:lang w:val="en-US"/>
        </w:rPr>
        <w:t>t</w:t>
      </w:r>
      <w:proofErr w:type="spellEnd"/>
      <w:r w:rsidRPr="006F1798">
        <w:rPr>
          <w:rFonts w:ascii="Arial" w:hAnsi="Arial" w:cs="Arial"/>
          <w:bCs/>
          <w:sz w:val="20"/>
          <w:szCs w:val="20"/>
          <w:lang w:val="en-US"/>
        </w:rPr>
        <w:t xml:space="preserve">’ is the dependent variable i.e., area or production or productivity at time </w:t>
      </w:r>
      <w:r w:rsidRPr="00D94E00">
        <w:rPr>
          <w:rFonts w:ascii="Arial" w:hAnsi="Arial" w:cs="Arial"/>
          <w:bCs/>
          <w:sz w:val="20"/>
          <w:szCs w:val="20"/>
          <w:lang w:val="en-US"/>
        </w:rPr>
        <w:t>t</w:t>
      </w:r>
    </w:p>
    <w:p w14:paraId="5C049E38" w14:textId="77777777" w:rsidR="006F1798" w:rsidRPr="006F1798" w:rsidRDefault="006F1798" w:rsidP="00165A49">
      <w:pPr>
        <w:spacing w:line="240" w:lineRule="auto"/>
        <w:jc w:val="both"/>
        <w:rPr>
          <w:rFonts w:ascii="Arial" w:hAnsi="Arial" w:cs="Arial"/>
          <w:bCs/>
          <w:sz w:val="20"/>
          <w:szCs w:val="20"/>
          <w:lang w:val="en-US"/>
        </w:rPr>
      </w:pPr>
      <w:r w:rsidRPr="006F1798">
        <w:rPr>
          <w:rFonts w:ascii="Arial" w:hAnsi="Arial" w:cs="Arial"/>
          <w:bCs/>
          <w:sz w:val="20"/>
          <w:szCs w:val="20"/>
          <w:lang w:val="en-US"/>
        </w:rPr>
        <w:t xml:space="preserve">‘t’ is the independent variable, time in years </w:t>
      </w:r>
    </w:p>
    <w:p w14:paraId="3836AC5A" w14:textId="77777777" w:rsidR="006F1798" w:rsidRPr="006F1798" w:rsidRDefault="006F1798" w:rsidP="00165A49">
      <w:pPr>
        <w:spacing w:line="240" w:lineRule="auto"/>
        <w:jc w:val="both"/>
        <w:rPr>
          <w:rFonts w:ascii="Arial" w:hAnsi="Arial" w:cs="Arial"/>
          <w:bCs/>
          <w:sz w:val="20"/>
          <w:szCs w:val="20"/>
          <w:lang w:val="en-US"/>
        </w:rPr>
      </w:pPr>
      <w:r w:rsidRPr="006F1798">
        <w:rPr>
          <w:rFonts w:ascii="Arial" w:hAnsi="Arial" w:cs="Arial"/>
          <w:bCs/>
          <w:sz w:val="20"/>
          <w:szCs w:val="20"/>
          <w:lang w:val="en-US"/>
        </w:rPr>
        <w:t>‘a’ is the intercept</w:t>
      </w:r>
    </w:p>
    <w:p w14:paraId="247EC2A7" w14:textId="77777777" w:rsidR="006F1798" w:rsidRPr="006F1798" w:rsidRDefault="006F1798" w:rsidP="00165A49">
      <w:pPr>
        <w:spacing w:line="240" w:lineRule="auto"/>
        <w:jc w:val="both"/>
        <w:rPr>
          <w:rFonts w:ascii="Arial" w:hAnsi="Arial" w:cs="Arial"/>
          <w:bCs/>
          <w:sz w:val="20"/>
          <w:szCs w:val="20"/>
          <w:lang w:val="en-US"/>
        </w:rPr>
      </w:pPr>
      <w:r w:rsidRPr="006F1798">
        <w:rPr>
          <w:rFonts w:ascii="Arial" w:hAnsi="Arial" w:cs="Arial"/>
          <w:bCs/>
          <w:sz w:val="20"/>
          <w:szCs w:val="20"/>
          <w:lang w:val="en-US"/>
        </w:rPr>
        <w:t xml:space="preserve">b = (1+r), ‘r’ being the growth rate </w:t>
      </w:r>
    </w:p>
    <w:p w14:paraId="2DFE3EDC" w14:textId="77777777" w:rsidR="006F1798" w:rsidRPr="006F1798" w:rsidRDefault="006F1798" w:rsidP="00165A49">
      <w:pPr>
        <w:spacing w:line="240" w:lineRule="auto"/>
        <w:jc w:val="both"/>
        <w:rPr>
          <w:rFonts w:ascii="Arial" w:hAnsi="Arial" w:cs="Arial"/>
          <w:bCs/>
          <w:sz w:val="20"/>
          <w:szCs w:val="20"/>
          <w:lang w:val="en-US"/>
        </w:rPr>
      </w:pPr>
      <w:r w:rsidRPr="006F1798">
        <w:rPr>
          <w:rFonts w:ascii="Arial" w:hAnsi="Arial" w:cs="Arial"/>
          <w:bCs/>
          <w:sz w:val="20"/>
          <w:szCs w:val="20"/>
          <w:lang w:val="en-US"/>
        </w:rPr>
        <w:t xml:space="preserve">‘u’ is the error term </w:t>
      </w:r>
    </w:p>
    <w:p w14:paraId="0DBE4E9F" w14:textId="3D5AE3B2" w:rsidR="006F1798" w:rsidRPr="006F1798" w:rsidRDefault="006F1798" w:rsidP="00165A49">
      <w:pPr>
        <w:spacing w:line="240" w:lineRule="auto"/>
        <w:jc w:val="both"/>
        <w:rPr>
          <w:rFonts w:ascii="Arial" w:hAnsi="Arial" w:cs="Arial"/>
          <w:bCs/>
          <w:sz w:val="20"/>
          <w:szCs w:val="20"/>
          <w:lang w:val="en-US"/>
        </w:rPr>
      </w:pPr>
      <w:bookmarkStart w:id="1" w:name="_Hlk110551735"/>
      <w:r w:rsidRPr="00D94E00">
        <w:rPr>
          <w:rFonts w:ascii="Arial" w:hAnsi="Arial" w:cs="Arial"/>
          <w:sz w:val="20"/>
          <w:szCs w:val="20"/>
        </w:rPr>
        <w:t>Transforming</w:t>
      </w:r>
      <w:r w:rsidRPr="00D94E00">
        <w:rPr>
          <w:rFonts w:ascii="Arial" w:hAnsi="Arial" w:cs="Arial"/>
          <w:sz w:val="20"/>
          <w:szCs w:val="20"/>
          <w:lang w:val="en-US"/>
        </w:rPr>
        <w:t xml:space="preserve"> </w:t>
      </w:r>
      <w:proofErr w:type="spellStart"/>
      <w:r w:rsidRPr="006F1798">
        <w:rPr>
          <w:rFonts w:ascii="Arial" w:hAnsi="Arial" w:cs="Arial"/>
          <w:sz w:val="20"/>
          <w:szCs w:val="20"/>
          <w:lang w:val="en-US"/>
        </w:rPr>
        <w:t>Y</w:t>
      </w:r>
      <w:r w:rsidRPr="006F1798">
        <w:rPr>
          <w:rFonts w:ascii="Arial" w:hAnsi="Arial" w:cs="Arial"/>
          <w:sz w:val="20"/>
          <w:szCs w:val="20"/>
          <w:vertAlign w:val="subscript"/>
          <w:lang w:val="en-US"/>
        </w:rPr>
        <w:t>t</w:t>
      </w:r>
      <w:bookmarkEnd w:id="1"/>
      <w:proofErr w:type="spellEnd"/>
      <w:r w:rsidRPr="006F1798">
        <w:rPr>
          <w:rFonts w:ascii="Arial" w:hAnsi="Arial" w:cs="Arial"/>
          <w:sz w:val="20"/>
          <w:szCs w:val="20"/>
          <w:lang w:val="en-US"/>
        </w:rPr>
        <w:t xml:space="preserve"> </w:t>
      </w:r>
      <w:r w:rsidRPr="00D94E00">
        <w:rPr>
          <w:rFonts w:ascii="Arial" w:hAnsi="Arial" w:cs="Arial"/>
          <w:sz w:val="20"/>
          <w:szCs w:val="20"/>
        </w:rPr>
        <w:t>into to logarithmic form to convert exponential equation into linear form and find growth rate.</w:t>
      </w:r>
    </w:p>
    <w:p w14:paraId="6300F551" w14:textId="77777777" w:rsidR="006F1798" w:rsidRPr="006F1798" w:rsidRDefault="006F1798" w:rsidP="00165A49">
      <w:pPr>
        <w:spacing w:line="240" w:lineRule="auto"/>
        <w:ind w:firstLine="720"/>
        <w:jc w:val="both"/>
        <w:rPr>
          <w:rFonts w:ascii="Arial" w:hAnsi="Arial" w:cs="Arial"/>
          <w:bCs/>
          <w:sz w:val="20"/>
          <w:szCs w:val="20"/>
          <w:lang w:val="en-US"/>
        </w:rPr>
      </w:pPr>
      <w:r w:rsidRPr="006F1798">
        <w:rPr>
          <w:rFonts w:ascii="Arial" w:hAnsi="Arial" w:cs="Arial"/>
          <w:bCs/>
          <w:sz w:val="20"/>
          <w:szCs w:val="20"/>
          <w:lang w:val="en-US"/>
        </w:rPr>
        <w:t>log</w:t>
      </w:r>
      <w:r w:rsidRPr="006F1798">
        <w:rPr>
          <w:rFonts w:ascii="Arial" w:hAnsi="Arial" w:cs="Arial"/>
          <w:sz w:val="20"/>
          <w:szCs w:val="20"/>
          <w:lang w:val="en-US"/>
        </w:rPr>
        <w:t xml:space="preserve"> </w:t>
      </w:r>
      <w:proofErr w:type="spellStart"/>
      <w:r w:rsidRPr="006F1798">
        <w:rPr>
          <w:rFonts w:ascii="Arial" w:hAnsi="Arial" w:cs="Arial"/>
          <w:sz w:val="20"/>
          <w:szCs w:val="20"/>
          <w:lang w:val="en-US"/>
        </w:rPr>
        <w:t>Y</w:t>
      </w:r>
      <w:r w:rsidRPr="006F1798">
        <w:rPr>
          <w:rFonts w:ascii="Arial" w:hAnsi="Arial" w:cs="Arial"/>
          <w:sz w:val="20"/>
          <w:szCs w:val="20"/>
          <w:vertAlign w:val="subscript"/>
          <w:lang w:val="en-US"/>
        </w:rPr>
        <w:t>t</w:t>
      </w:r>
      <w:proofErr w:type="spellEnd"/>
      <w:r w:rsidRPr="006F1798">
        <w:rPr>
          <w:rFonts w:ascii="Arial" w:hAnsi="Arial" w:cs="Arial"/>
          <w:bCs/>
          <w:sz w:val="20"/>
          <w:szCs w:val="20"/>
          <w:lang w:val="en-US"/>
        </w:rPr>
        <w:t xml:space="preserve"> = log a + t log b + u </w:t>
      </w:r>
    </w:p>
    <w:p w14:paraId="36D011AC" w14:textId="61120B97" w:rsidR="006F1798" w:rsidRPr="006F1798" w:rsidRDefault="006F1798" w:rsidP="00165A49">
      <w:pPr>
        <w:spacing w:line="240" w:lineRule="auto"/>
        <w:jc w:val="both"/>
        <w:rPr>
          <w:rFonts w:ascii="Arial" w:hAnsi="Arial" w:cs="Arial"/>
          <w:bCs/>
          <w:sz w:val="20"/>
          <w:szCs w:val="20"/>
          <w:lang w:val="en-US"/>
        </w:rPr>
      </w:pPr>
      <w:r w:rsidRPr="00D94E00">
        <w:rPr>
          <w:rFonts w:ascii="Arial" w:hAnsi="Arial" w:cs="Arial"/>
          <w:bCs/>
          <w:sz w:val="20"/>
          <w:szCs w:val="20"/>
          <w:lang w:val="en-US"/>
        </w:rPr>
        <w:t>the CAGR is</w:t>
      </w:r>
      <w:r w:rsidRPr="006F1798">
        <w:rPr>
          <w:rFonts w:ascii="Arial" w:hAnsi="Arial" w:cs="Arial"/>
          <w:bCs/>
          <w:sz w:val="20"/>
          <w:szCs w:val="20"/>
          <w:lang w:val="en-US"/>
        </w:rPr>
        <w:t xml:space="preserve"> computed as below: </w:t>
      </w:r>
    </w:p>
    <w:p w14:paraId="6742C6E1" w14:textId="6F4BF8E6" w:rsidR="006F1798" w:rsidRPr="00D94E00" w:rsidRDefault="006F1798" w:rsidP="00165A49">
      <w:pPr>
        <w:spacing w:line="240" w:lineRule="auto"/>
        <w:ind w:firstLine="720"/>
        <w:jc w:val="both"/>
        <w:rPr>
          <w:rFonts w:ascii="Arial" w:hAnsi="Arial" w:cs="Arial"/>
          <w:bCs/>
          <w:sz w:val="20"/>
          <w:szCs w:val="20"/>
          <w:lang w:val="en-US"/>
        </w:rPr>
      </w:pPr>
      <w:r w:rsidRPr="00D94E00">
        <w:rPr>
          <w:rFonts w:ascii="Arial" w:hAnsi="Arial" w:cs="Arial"/>
          <w:bCs/>
          <w:sz w:val="20"/>
          <w:szCs w:val="20"/>
          <w:lang w:val="en-US"/>
        </w:rPr>
        <w:t>CAGR</w:t>
      </w:r>
      <w:r w:rsidRPr="006F1798">
        <w:rPr>
          <w:rFonts w:ascii="Arial" w:hAnsi="Arial" w:cs="Arial"/>
          <w:bCs/>
          <w:sz w:val="20"/>
          <w:szCs w:val="20"/>
          <w:lang w:val="en-US"/>
        </w:rPr>
        <w:t xml:space="preserve">= Anti log (b – 1) × 100  </w:t>
      </w:r>
    </w:p>
    <w:p w14:paraId="733613FB" w14:textId="77777777" w:rsidR="001F2544" w:rsidRDefault="001F2544" w:rsidP="00165A49">
      <w:pPr>
        <w:spacing w:line="240" w:lineRule="auto"/>
        <w:jc w:val="both"/>
        <w:rPr>
          <w:rFonts w:ascii="Arial" w:hAnsi="Arial" w:cs="Arial"/>
          <w:b/>
          <w:lang w:val="en-US"/>
        </w:rPr>
      </w:pPr>
    </w:p>
    <w:p w14:paraId="50988A96" w14:textId="5992E3B2" w:rsidR="00813976" w:rsidRPr="00D94E00" w:rsidRDefault="00581537" w:rsidP="00165A49">
      <w:pPr>
        <w:spacing w:line="240" w:lineRule="auto"/>
        <w:jc w:val="both"/>
        <w:rPr>
          <w:rFonts w:ascii="Arial" w:hAnsi="Arial" w:cs="Arial"/>
          <w:b/>
          <w:lang w:val="en-US"/>
        </w:rPr>
      </w:pPr>
      <w:r w:rsidRPr="00D94E00">
        <w:rPr>
          <w:rFonts w:ascii="Arial" w:hAnsi="Arial" w:cs="Arial"/>
          <w:b/>
          <w:lang w:val="en-US"/>
        </w:rPr>
        <w:t>2.1 Instability analysis</w:t>
      </w:r>
    </w:p>
    <w:p w14:paraId="0BB945B2" w14:textId="77777777" w:rsidR="005B2BC3" w:rsidRPr="00D94E00" w:rsidRDefault="00581537" w:rsidP="00165A49">
      <w:pPr>
        <w:spacing w:line="240" w:lineRule="auto"/>
        <w:jc w:val="both"/>
        <w:rPr>
          <w:rFonts w:ascii="Arial" w:hAnsi="Arial" w:cs="Arial"/>
          <w:bCs/>
          <w:sz w:val="20"/>
          <w:szCs w:val="20"/>
        </w:rPr>
      </w:pPr>
      <w:r w:rsidRPr="00D94E00">
        <w:rPr>
          <w:rFonts w:ascii="Arial" w:hAnsi="Arial" w:cs="Arial"/>
          <w:bCs/>
          <w:sz w:val="20"/>
          <w:szCs w:val="20"/>
          <w:lang w:val="en-US"/>
        </w:rPr>
        <w:t xml:space="preserve">The present study applies the coefficient of variation (CV), dispersion, Cuddy Della Valle Index (CDVI), </w:t>
      </w:r>
      <w:r w:rsidR="005B2BC3" w:rsidRPr="00D94E00">
        <w:rPr>
          <w:rFonts w:ascii="Arial" w:hAnsi="Arial" w:cs="Arial"/>
          <w:bCs/>
          <w:sz w:val="20"/>
          <w:szCs w:val="20"/>
        </w:rPr>
        <w:t>The coefficient of variation was computed using the following formula.</w:t>
      </w:r>
    </w:p>
    <w:p w14:paraId="5DB37901" w14:textId="77777777" w:rsidR="005B2BC3" w:rsidRPr="005B2BC3" w:rsidRDefault="005B2BC3" w:rsidP="00165A49">
      <w:pPr>
        <w:spacing w:line="240" w:lineRule="auto"/>
        <w:ind w:left="720"/>
        <w:rPr>
          <w:rFonts w:ascii="Arial" w:hAnsi="Arial" w:cs="Arial"/>
          <w:bCs/>
          <w:iCs/>
          <w:sz w:val="20"/>
          <w:szCs w:val="20"/>
        </w:rPr>
      </w:pPr>
      <m:oMathPara>
        <m:oMathParaPr>
          <m:jc m:val="left"/>
        </m:oMathParaPr>
        <m:oMath>
          <m:r>
            <m:rPr>
              <m:sty m:val="p"/>
            </m:rPr>
            <w:rPr>
              <w:rFonts w:ascii="Cambria Math" w:hAnsi="Cambria Math" w:cs="Arial"/>
              <w:sz w:val="20"/>
              <w:szCs w:val="20"/>
            </w:rPr>
            <m:t>CV=</m:t>
          </m:r>
          <m:f>
            <m:fPr>
              <m:ctrlPr>
                <w:rPr>
                  <w:rFonts w:ascii="Cambria Math" w:hAnsi="Cambria Math" w:cs="Arial"/>
                  <w:bCs/>
                  <w:iCs/>
                  <w:sz w:val="20"/>
                  <w:szCs w:val="20"/>
                </w:rPr>
              </m:ctrlPr>
            </m:fPr>
            <m:num>
              <m:r>
                <m:rPr>
                  <m:sty m:val="p"/>
                </m:rPr>
                <w:rPr>
                  <w:rFonts w:ascii="Cambria Math" w:hAnsi="Cambria Math" w:cs="Arial"/>
                  <w:sz w:val="20"/>
                  <w:szCs w:val="20"/>
                </w:rPr>
                <m:t>Standard deviation</m:t>
              </m:r>
            </m:num>
            <m:den>
              <m:r>
                <m:rPr>
                  <m:sty m:val="p"/>
                </m:rPr>
                <w:rPr>
                  <w:rFonts w:ascii="Cambria Math" w:hAnsi="Cambria Math" w:cs="Arial"/>
                  <w:sz w:val="20"/>
                  <w:szCs w:val="20"/>
                </w:rPr>
                <m:t>mean</m:t>
              </m:r>
            </m:den>
          </m:f>
          <m:r>
            <m:rPr>
              <m:sty m:val="p"/>
            </m:rPr>
            <w:rPr>
              <w:rFonts w:ascii="Cambria Math" w:hAnsi="Cambria Math" w:cs="Arial"/>
              <w:sz w:val="20"/>
              <w:szCs w:val="20"/>
            </w:rPr>
            <m:t xml:space="preserve"> X 100</m:t>
          </m:r>
        </m:oMath>
      </m:oMathPara>
    </w:p>
    <w:p w14:paraId="4936162C" w14:textId="77777777" w:rsidR="005B2BC3" w:rsidRPr="005B2BC3" w:rsidRDefault="005B2BC3" w:rsidP="00165A49">
      <w:pPr>
        <w:spacing w:line="240" w:lineRule="auto"/>
        <w:jc w:val="both"/>
        <w:rPr>
          <w:rFonts w:ascii="Arial" w:hAnsi="Arial" w:cs="Arial"/>
          <w:bCs/>
          <w:sz w:val="20"/>
          <w:szCs w:val="20"/>
        </w:rPr>
      </w:pPr>
      <w:r w:rsidRPr="005B2BC3">
        <w:rPr>
          <w:rFonts w:ascii="Arial" w:hAnsi="Arial" w:cs="Arial"/>
          <w:bCs/>
          <w:sz w:val="20"/>
          <w:szCs w:val="20"/>
        </w:rPr>
        <w:t>The simple coefficient of variation overestimates the level of instability in time-series data whereas the Cuddy-Della Valle index corrects the coefficient of variation for trends present. The instability index suggested by Cuddy and Della (1978) is given as,</w:t>
      </w:r>
    </w:p>
    <w:p w14:paraId="3AFD64A9" w14:textId="77777777" w:rsidR="005B2BC3" w:rsidRPr="005B2BC3" w:rsidRDefault="005B2BC3" w:rsidP="00165A49">
      <w:pPr>
        <w:spacing w:line="240" w:lineRule="auto"/>
        <w:ind w:left="720"/>
        <w:rPr>
          <w:rFonts w:ascii="Arial" w:hAnsi="Arial" w:cs="Arial"/>
          <w:bCs/>
          <w:sz w:val="20"/>
          <w:szCs w:val="20"/>
        </w:rPr>
      </w:pPr>
      <m:oMath>
        <m:r>
          <w:rPr>
            <w:rFonts w:ascii="Cambria Math" w:hAnsi="Cambria Math" w:cs="Arial"/>
            <w:sz w:val="20"/>
            <w:szCs w:val="20"/>
          </w:rPr>
          <m:t xml:space="preserve">CDVI=CV X </m:t>
        </m:r>
        <m:rad>
          <m:radPr>
            <m:degHide m:val="1"/>
            <m:ctrlPr>
              <w:rPr>
                <w:rFonts w:ascii="Cambria Math" w:hAnsi="Cambria Math" w:cs="Arial"/>
                <w:bCs/>
                <w:i/>
                <w:sz w:val="20"/>
                <w:szCs w:val="20"/>
              </w:rPr>
            </m:ctrlPr>
          </m:radPr>
          <m:deg/>
          <m:e>
            <m:r>
              <w:rPr>
                <w:rFonts w:ascii="Cambria Math" w:hAnsi="Cambria Math" w:cs="Arial"/>
                <w:sz w:val="20"/>
                <w:szCs w:val="20"/>
              </w:rPr>
              <m:t>1-</m:t>
            </m:r>
            <m:sSup>
              <m:sSupPr>
                <m:ctrlPr>
                  <w:rPr>
                    <w:rFonts w:ascii="Cambria Math" w:hAnsi="Cambria Math" w:cs="Arial"/>
                    <w:bCs/>
                    <w:i/>
                    <w:sz w:val="20"/>
                    <w:szCs w:val="20"/>
                  </w:rPr>
                </m:ctrlPr>
              </m:sSupPr>
              <m:e>
                <m:acc>
                  <m:accPr>
                    <m:chr m:val="̅"/>
                    <m:ctrlPr>
                      <w:rPr>
                        <w:rFonts w:ascii="Cambria Math" w:hAnsi="Cambria Math" w:cs="Arial"/>
                        <w:bCs/>
                        <w:i/>
                        <w:sz w:val="20"/>
                        <w:szCs w:val="20"/>
                      </w:rPr>
                    </m:ctrlPr>
                  </m:accPr>
                  <m:e>
                    <m:r>
                      <w:rPr>
                        <w:rFonts w:ascii="Cambria Math" w:hAnsi="Cambria Math" w:cs="Arial"/>
                        <w:sz w:val="20"/>
                        <w:szCs w:val="20"/>
                      </w:rPr>
                      <m:t>R</m:t>
                    </m:r>
                  </m:e>
                </m:acc>
              </m:e>
              <m:sup>
                <m:r>
                  <w:rPr>
                    <w:rFonts w:ascii="Cambria Math" w:hAnsi="Cambria Math" w:cs="Arial"/>
                    <w:sz w:val="20"/>
                    <w:szCs w:val="20"/>
                  </w:rPr>
                  <m:t>2</m:t>
                </m:r>
              </m:sup>
            </m:sSup>
          </m:e>
        </m:rad>
      </m:oMath>
      <w:r w:rsidRPr="005B2BC3">
        <w:rPr>
          <w:rFonts w:ascii="Arial" w:eastAsiaTheme="minorEastAsia" w:hAnsi="Arial" w:cs="Arial"/>
          <w:bCs/>
          <w:sz w:val="20"/>
          <w:szCs w:val="20"/>
        </w:rPr>
        <w:t xml:space="preserve">                     ; </w:t>
      </w:r>
      <m:oMath>
        <m:sSup>
          <m:sSupPr>
            <m:ctrlPr>
              <w:rPr>
                <w:rFonts w:ascii="Cambria Math" w:hAnsi="Cambria Math" w:cs="Arial"/>
                <w:bCs/>
                <w:i/>
                <w:sz w:val="20"/>
                <w:szCs w:val="20"/>
              </w:rPr>
            </m:ctrlPr>
          </m:sSupPr>
          <m:e>
            <m:acc>
              <m:accPr>
                <m:chr m:val="̅"/>
                <m:ctrlPr>
                  <w:rPr>
                    <w:rFonts w:ascii="Cambria Math" w:hAnsi="Cambria Math" w:cs="Arial"/>
                    <w:bCs/>
                    <w:i/>
                    <w:sz w:val="20"/>
                    <w:szCs w:val="20"/>
                  </w:rPr>
                </m:ctrlPr>
              </m:accPr>
              <m:e>
                <m:r>
                  <w:rPr>
                    <w:rFonts w:ascii="Cambria Math" w:hAnsi="Cambria Math" w:cs="Arial"/>
                    <w:sz w:val="20"/>
                    <w:szCs w:val="20"/>
                  </w:rPr>
                  <m:t>R</m:t>
                </m:r>
              </m:e>
            </m:acc>
          </m:e>
          <m:sup>
            <m:r>
              <w:rPr>
                <w:rFonts w:ascii="Cambria Math" w:hAnsi="Cambria Math" w:cs="Arial"/>
                <w:sz w:val="20"/>
                <w:szCs w:val="20"/>
              </w:rPr>
              <m:t>2</m:t>
            </m:r>
          </m:sup>
        </m:sSup>
        <m:r>
          <w:rPr>
            <w:rFonts w:ascii="Cambria Math" w:hAnsi="Cambria Math" w:cs="Arial"/>
            <w:sz w:val="20"/>
            <w:szCs w:val="20"/>
          </w:rPr>
          <m:t>&gt;0</m:t>
        </m:r>
      </m:oMath>
      <w:r w:rsidRPr="005B2BC3">
        <w:rPr>
          <w:rFonts w:ascii="Arial" w:eastAsiaTheme="minorEastAsia" w:hAnsi="Arial" w:cs="Arial"/>
          <w:bCs/>
          <w:sz w:val="20"/>
          <w:szCs w:val="20"/>
        </w:rPr>
        <w:t xml:space="preserve">, if </w:t>
      </w:r>
      <m:oMath>
        <m:sSup>
          <m:sSupPr>
            <m:ctrlPr>
              <w:rPr>
                <w:rFonts w:ascii="Cambria Math" w:hAnsi="Cambria Math" w:cs="Arial"/>
                <w:bCs/>
                <w:i/>
                <w:sz w:val="20"/>
                <w:szCs w:val="20"/>
              </w:rPr>
            </m:ctrlPr>
          </m:sSupPr>
          <m:e>
            <m:acc>
              <m:accPr>
                <m:chr m:val="̅"/>
                <m:ctrlPr>
                  <w:rPr>
                    <w:rFonts w:ascii="Cambria Math" w:hAnsi="Cambria Math" w:cs="Arial"/>
                    <w:bCs/>
                    <w:i/>
                    <w:sz w:val="20"/>
                    <w:szCs w:val="20"/>
                  </w:rPr>
                </m:ctrlPr>
              </m:accPr>
              <m:e>
                <m:r>
                  <w:rPr>
                    <w:rFonts w:ascii="Cambria Math" w:hAnsi="Cambria Math" w:cs="Arial"/>
                    <w:sz w:val="20"/>
                    <w:szCs w:val="20"/>
                  </w:rPr>
                  <m:t>R</m:t>
                </m:r>
              </m:e>
            </m:acc>
          </m:e>
          <m:sup>
            <m:r>
              <w:rPr>
                <w:rFonts w:ascii="Cambria Math" w:hAnsi="Cambria Math" w:cs="Arial"/>
                <w:sz w:val="20"/>
                <w:szCs w:val="20"/>
              </w:rPr>
              <m:t>2</m:t>
            </m:r>
          </m:sup>
        </m:sSup>
        <m:r>
          <w:rPr>
            <w:rFonts w:ascii="Cambria Math" w:hAnsi="Cambria Math" w:cs="Arial"/>
            <w:sz w:val="20"/>
            <w:szCs w:val="20"/>
          </w:rPr>
          <m:t>&lt;0</m:t>
        </m:r>
      </m:oMath>
      <w:r w:rsidRPr="005B2BC3">
        <w:rPr>
          <w:rFonts w:ascii="Arial" w:eastAsiaTheme="minorEastAsia" w:hAnsi="Arial" w:cs="Arial"/>
          <w:bCs/>
          <w:sz w:val="20"/>
          <w:szCs w:val="20"/>
        </w:rPr>
        <w:t>, CV = CDVI</w:t>
      </w:r>
    </w:p>
    <w:p w14:paraId="20D17ED6" w14:textId="77777777" w:rsidR="005B2BC3" w:rsidRPr="005B2BC3" w:rsidRDefault="005B2BC3" w:rsidP="00165A49">
      <w:pPr>
        <w:spacing w:line="240" w:lineRule="auto"/>
        <w:rPr>
          <w:rFonts w:ascii="Arial" w:hAnsi="Arial" w:cs="Arial"/>
          <w:bCs/>
          <w:sz w:val="20"/>
          <w:szCs w:val="20"/>
        </w:rPr>
      </w:pPr>
      <w:r w:rsidRPr="005B2BC3">
        <w:rPr>
          <w:rFonts w:ascii="Arial" w:hAnsi="Arial" w:cs="Arial"/>
          <w:bCs/>
          <w:sz w:val="20"/>
          <w:szCs w:val="20"/>
        </w:rPr>
        <w:lastRenderedPageBreak/>
        <w:t xml:space="preserve">‘CV’ is the Coefficient of variation </w:t>
      </w:r>
    </w:p>
    <w:p w14:paraId="1FFB9483" w14:textId="77777777" w:rsidR="005B2BC3" w:rsidRPr="005B2BC3" w:rsidRDefault="005B2BC3" w:rsidP="00165A49">
      <w:pPr>
        <w:spacing w:line="240" w:lineRule="auto"/>
        <w:rPr>
          <w:rFonts w:ascii="Arial" w:hAnsi="Arial" w:cs="Arial"/>
          <w:bCs/>
          <w:sz w:val="20"/>
          <w:szCs w:val="20"/>
        </w:rPr>
      </w:pPr>
      <w:r w:rsidRPr="005B2BC3">
        <w:rPr>
          <w:rFonts w:ascii="Arial" w:hAnsi="Arial" w:cs="Arial"/>
          <w:bCs/>
          <w:iCs/>
          <w:sz w:val="20"/>
          <w:szCs w:val="20"/>
        </w:rPr>
        <w:t xml:space="preserve">‘ </w:t>
      </w:r>
      <m:oMath>
        <m:sSup>
          <m:sSupPr>
            <m:ctrlPr>
              <w:rPr>
                <w:rFonts w:ascii="Cambria Math" w:hAnsi="Cambria Math" w:cs="Arial"/>
                <w:bCs/>
                <w:iCs/>
                <w:sz w:val="20"/>
                <w:szCs w:val="20"/>
              </w:rPr>
            </m:ctrlPr>
          </m:sSupPr>
          <m:e>
            <m:acc>
              <m:accPr>
                <m:chr m:val="̅"/>
                <m:ctrlPr>
                  <w:rPr>
                    <w:rFonts w:ascii="Cambria Math" w:hAnsi="Cambria Math" w:cs="Arial"/>
                    <w:bCs/>
                    <w:iCs/>
                    <w:sz w:val="20"/>
                    <w:szCs w:val="20"/>
                  </w:rPr>
                </m:ctrlPr>
              </m:accPr>
              <m:e>
                <m:r>
                  <m:rPr>
                    <m:sty m:val="p"/>
                  </m:rPr>
                  <w:rPr>
                    <w:rFonts w:ascii="Cambria Math" w:hAnsi="Cambria Math" w:cs="Arial"/>
                    <w:sz w:val="20"/>
                    <w:szCs w:val="20"/>
                  </w:rPr>
                  <m:t>R</m:t>
                </m:r>
              </m:e>
            </m:acc>
          </m:e>
          <m:sup>
            <m:r>
              <m:rPr>
                <m:sty m:val="p"/>
              </m:rPr>
              <w:rPr>
                <w:rFonts w:ascii="Cambria Math" w:hAnsi="Cambria Math" w:cs="Arial"/>
                <w:sz w:val="20"/>
                <w:szCs w:val="20"/>
              </w:rPr>
              <m:t>2</m:t>
            </m:r>
          </m:sup>
        </m:sSup>
      </m:oMath>
      <w:r w:rsidRPr="005B2BC3">
        <w:rPr>
          <w:rFonts w:ascii="Arial" w:eastAsiaTheme="minorEastAsia" w:hAnsi="Arial" w:cs="Arial"/>
          <w:bCs/>
          <w:iCs/>
          <w:sz w:val="20"/>
          <w:szCs w:val="20"/>
        </w:rPr>
        <w:t>’</w:t>
      </w:r>
      <w:r w:rsidRPr="005B2BC3">
        <w:rPr>
          <w:rFonts w:ascii="Arial" w:hAnsi="Arial" w:cs="Arial"/>
          <w:bCs/>
          <w:sz w:val="20"/>
          <w:szCs w:val="20"/>
        </w:rPr>
        <w:t xml:space="preserve"> is the Adjusted coefficient of multiple determination</w:t>
      </w:r>
    </w:p>
    <w:p w14:paraId="117D24FB" w14:textId="659B8784" w:rsidR="005B2BC3" w:rsidRPr="00D94E00" w:rsidRDefault="005B2BC3" w:rsidP="00165A49">
      <w:pPr>
        <w:spacing w:line="240" w:lineRule="auto"/>
        <w:jc w:val="both"/>
        <w:rPr>
          <w:rFonts w:ascii="Arial" w:hAnsi="Arial" w:cs="Arial"/>
          <w:bCs/>
          <w:sz w:val="20"/>
          <w:szCs w:val="20"/>
        </w:rPr>
      </w:pPr>
      <w:r w:rsidRPr="005B2BC3">
        <w:rPr>
          <w:rFonts w:ascii="Arial" w:hAnsi="Arial" w:cs="Arial"/>
          <w:bCs/>
          <w:sz w:val="20"/>
          <w:szCs w:val="20"/>
        </w:rPr>
        <w:t>The Cuddy-Della Valle index can be interpreted as, value of 0-15 percent indicates low instability, 15-30 percent indicate medium instability and a value more than 30 percent indicate high instability (</w:t>
      </w:r>
      <w:proofErr w:type="spellStart"/>
      <w:r w:rsidRPr="005B2BC3">
        <w:rPr>
          <w:rFonts w:ascii="Arial" w:hAnsi="Arial" w:cs="Arial"/>
          <w:bCs/>
          <w:sz w:val="20"/>
          <w:szCs w:val="20"/>
        </w:rPr>
        <w:t>Sihmar</w:t>
      </w:r>
      <w:proofErr w:type="spellEnd"/>
      <w:r w:rsidRPr="005B2BC3">
        <w:rPr>
          <w:rFonts w:ascii="Arial" w:hAnsi="Arial" w:cs="Arial"/>
          <w:bCs/>
          <w:sz w:val="20"/>
          <w:szCs w:val="20"/>
        </w:rPr>
        <w:t xml:space="preserve">, 2014). </w:t>
      </w:r>
    </w:p>
    <w:p w14:paraId="1AAAB509" w14:textId="5FB8CBA8" w:rsidR="00D05767" w:rsidRPr="00D94E00" w:rsidRDefault="00D05767" w:rsidP="00165A49">
      <w:pPr>
        <w:spacing w:line="240" w:lineRule="auto"/>
        <w:jc w:val="both"/>
        <w:rPr>
          <w:rFonts w:ascii="Arial" w:hAnsi="Arial" w:cs="Arial"/>
          <w:b/>
        </w:rPr>
      </w:pPr>
      <w:r w:rsidRPr="00D94E00">
        <w:rPr>
          <w:rFonts w:ascii="Arial" w:hAnsi="Arial" w:cs="Arial"/>
          <w:b/>
        </w:rPr>
        <w:t>2.2 Structural break in time series</w:t>
      </w:r>
    </w:p>
    <w:p w14:paraId="57C51BE0" w14:textId="1300FDFD" w:rsidR="00D05767" w:rsidRPr="00D05767" w:rsidRDefault="00D05767" w:rsidP="00165A49">
      <w:pPr>
        <w:spacing w:line="240" w:lineRule="auto"/>
        <w:ind w:firstLine="720"/>
        <w:jc w:val="both"/>
        <w:rPr>
          <w:rFonts w:ascii="Arial" w:hAnsi="Arial" w:cs="Arial"/>
          <w:bCs/>
          <w:sz w:val="20"/>
          <w:szCs w:val="20"/>
        </w:rPr>
      </w:pPr>
      <w:r w:rsidRPr="00D05767">
        <w:rPr>
          <w:rFonts w:ascii="Arial" w:hAnsi="Arial" w:cs="Arial"/>
          <w:bCs/>
          <w:sz w:val="20"/>
          <w:szCs w:val="20"/>
        </w:rPr>
        <w:t xml:space="preserve">The structural break in the area, yield, and production of millets </w:t>
      </w:r>
      <w:r w:rsidRPr="00D94E00">
        <w:rPr>
          <w:rFonts w:ascii="Arial" w:hAnsi="Arial" w:cs="Arial"/>
          <w:bCs/>
          <w:sz w:val="20"/>
          <w:szCs w:val="20"/>
        </w:rPr>
        <w:t xml:space="preserve">in </w:t>
      </w:r>
      <w:r w:rsidRPr="00D05767">
        <w:rPr>
          <w:rFonts w:ascii="Arial" w:hAnsi="Arial" w:cs="Arial"/>
          <w:bCs/>
          <w:sz w:val="20"/>
          <w:szCs w:val="20"/>
        </w:rPr>
        <w:t>Telangana was examined using the Bai–</w:t>
      </w:r>
      <w:proofErr w:type="spellStart"/>
      <w:r w:rsidRPr="00D05767">
        <w:rPr>
          <w:rFonts w:ascii="Arial" w:hAnsi="Arial" w:cs="Arial"/>
          <w:bCs/>
          <w:sz w:val="20"/>
          <w:szCs w:val="20"/>
        </w:rPr>
        <w:t>Perron</w:t>
      </w:r>
      <w:proofErr w:type="spellEnd"/>
      <w:r w:rsidRPr="00D05767">
        <w:rPr>
          <w:rFonts w:ascii="Arial" w:hAnsi="Arial" w:cs="Arial"/>
          <w:bCs/>
          <w:sz w:val="20"/>
          <w:szCs w:val="20"/>
        </w:rPr>
        <w:t xml:space="preserve"> test, a statistical technique that detects one or more breaks in the underlying data-generating process of a regression model. Unlike methods that assume the timing of change in advance, this approach is particularly useful for identifying unknown shifts in parameters over time. Bai and </w:t>
      </w:r>
      <w:proofErr w:type="spellStart"/>
      <w:r w:rsidRPr="00D05767">
        <w:rPr>
          <w:rFonts w:ascii="Arial" w:hAnsi="Arial" w:cs="Arial"/>
          <w:bCs/>
          <w:sz w:val="20"/>
          <w:szCs w:val="20"/>
        </w:rPr>
        <w:t>Perron</w:t>
      </w:r>
      <w:proofErr w:type="spellEnd"/>
      <w:r w:rsidRPr="00D05767">
        <w:rPr>
          <w:rFonts w:ascii="Arial" w:hAnsi="Arial" w:cs="Arial"/>
          <w:bCs/>
          <w:sz w:val="20"/>
          <w:szCs w:val="20"/>
        </w:rPr>
        <w:t xml:space="preserve"> (1998) provided the standard framework for structural breaks model in which some, but not all, of the model parameters are allowed to break at m possible break points,</w:t>
      </w:r>
    </w:p>
    <w:p w14:paraId="3FCB3F89" w14:textId="77777777" w:rsidR="00D05767" w:rsidRPr="00D05767" w:rsidRDefault="00D05767" w:rsidP="00165A49">
      <w:pPr>
        <w:spacing w:line="240" w:lineRule="auto"/>
        <w:ind w:firstLine="720"/>
        <w:jc w:val="both"/>
        <w:rPr>
          <w:rFonts w:ascii="Arial" w:hAnsi="Arial" w:cs="Arial"/>
          <w:bCs/>
          <w:sz w:val="20"/>
          <w:szCs w:val="20"/>
          <w:vertAlign w:val="subscript"/>
        </w:rPr>
      </w:pPr>
      <w:bookmarkStart w:id="2" w:name="_Hlk208937461"/>
      <w:proofErr w:type="spellStart"/>
      <w:r w:rsidRPr="00D05767">
        <w:rPr>
          <w:rFonts w:ascii="Arial" w:hAnsi="Arial" w:cs="Arial"/>
          <w:bCs/>
          <w:sz w:val="20"/>
          <w:szCs w:val="20"/>
        </w:rPr>
        <w:t>Y</w:t>
      </w:r>
      <w:r w:rsidRPr="00D05767">
        <w:rPr>
          <w:rFonts w:ascii="Arial" w:hAnsi="Arial" w:cs="Arial"/>
          <w:bCs/>
          <w:sz w:val="20"/>
          <w:szCs w:val="20"/>
          <w:vertAlign w:val="subscript"/>
        </w:rPr>
        <w:t>t</w:t>
      </w:r>
      <w:bookmarkEnd w:id="2"/>
      <w:proofErr w:type="spellEnd"/>
      <w:r w:rsidRPr="00D05767">
        <w:rPr>
          <w:rFonts w:ascii="Arial" w:hAnsi="Arial" w:cs="Arial"/>
          <w:bCs/>
          <w:sz w:val="20"/>
          <w:szCs w:val="20"/>
        </w:rPr>
        <w:t xml:space="preserve"> = </w:t>
      </w:r>
      <w:bookmarkStart w:id="3" w:name="_Hlk208937490"/>
      <w:proofErr w:type="spellStart"/>
      <w:r w:rsidRPr="00D05767">
        <w:rPr>
          <w:rFonts w:ascii="Arial" w:hAnsi="Arial" w:cs="Arial"/>
          <w:bCs/>
          <w:sz w:val="20"/>
          <w:szCs w:val="20"/>
        </w:rPr>
        <w:t>x</w:t>
      </w:r>
      <w:r w:rsidRPr="00D05767">
        <w:rPr>
          <w:rFonts w:ascii="Arial" w:hAnsi="Arial" w:cs="Arial"/>
          <w:bCs/>
          <w:sz w:val="20"/>
          <w:szCs w:val="20"/>
          <w:vertAlign w:val="subscript"/>
        </w:rPr>
        <w:t>t</w:t>
      </w:r>
      <w:bookmarkEnd w:id="3"/>
      <w:proofErr w:type="spellEnd"/>
      <w:r w:rsidRPr="00D05767">
        <w:rPr>
          <w:rFonts w:ascii="Arial" w:hAnsi="Arial" w:cs="Arial"/>
          <w:bCs/>
          <w:sz w:val="20"/>
          <w:szCs w:val="20"/>
        </w:rPr>
        <w:t xml:space="preserve">β + </w:t>
      </w:r>
      <w:proofErr w:type="spellStart"/>
      <w:r w:rsidRPr="00D05767">
        <w:rPr>
          <w:rFonts w:ascii="Arial" w:hAnsi="Arial" w:cs="Arial"/>
          <w:bCs/>
          <w:sz w:val="20"/>
          <w:szCs w:val="20"/>
        </w:rPr>
        <w:t>z</w:t>
      </w:r>
      <w:r w:rsidRPr="00D05767">
        <w:rPr>
          <w:rFonts w:ascii="Arial" w:hAnsi="Arial" w:cs="Arial"/>
          <w:bCs/>
          <w:sz w:val="20"/>
          <w:szCs w:val="20"/>
          <w:vertAlign w:val="subscript"/>
        </w:rPr>
        <w:t>t</w:t>
      </w:r>
      <w:r w:rsidRPr="00D05767">
        <w:rPr>
          <w:rFonts w:ascii="Arial" w:hAnsi="Arial" w:cs="Arial"/>
          <w:bCs/>
          <w:sz w:val="20"/>
          <w:szCs w:val="20"/>
        </w:rPr>
        <w:t>δ</w:t>
      </w:r>
      <w:r w:rsidRPr="00D05767">
        <w:rPr>
          <w:rFonts w:ascii="Arial" w:hAnsi="Arial" w:cs="Arial"/>
          <w:bCs/>
          <w:sz w:val="20"/>
          <w:szCs w:val="20"/>
          <w:vertAlign w:val="subscript"/>
        </w:rPr>
        <w:t>j</w:t>
      </w:r>
      <w:proofErr w:type="spellEnd"/>
      <w:r w:rsidRPr="00D05767">
        <w:rPr>
          <w:rFonts w:ascii="Arial" w:hAnsi="Arial" w:cs="Arial"/>
          <w:bCs/>
          <w:sz w:val="20"/>
          <w:szCs w:val="20"/>
          <w:vertAlign w:val="subscript"/>
        </w:rPr>
        <w:t xml:space="preserve"> </w:t>
      </w:r>
      <w:r w:rsidRPr="00D05767">
        <w:rPr>
          <w:rFonts w:ascii="Arial" w:hAnsi="Arial" w:cs="Arial"/>
          <w:bCs/>
          <w:sz w:val="20"/>
          <w:szCs w:val="20"/>
        </w:rPr>
        <w:t xml:space="preserve">+ </w:t>
      </w:r>
      <w:proofErr w:type="spellStart"/>
      <w:r w:rsidRPr="00D05767">
        <w:rPr>
          <w:rFonts w:ascii="Arial" w:hAnsi="Arial" w:cs="Arial"/>
          <w:bCs/>
          <w:sz w:val="20"/>
          <w:szCs w:val="20"/>
        </w:rPr>
        <w:t>u</w:t>
      </w:r>
      <w:r w:rsidRPr="00D05767">
        <w:rPr>
          <w:rFonts w:ascii="Arial" w:hAnsi="Arial" w:cs="Arial"/>
          <w:bCs/>
          <w:sz w:val="20"/>
          <w:szCs w:val="20"/>
          <w:vertAlign w:val="subscript"/>
        </w:rPr>
        <w:t>t</w:t>
      </w:r>
      <w:proofErr w:type="spellEnd"/>
    </w:p>
    <w:p w14:paraId="0DF03B4C" w14:textId="77777777" w:rsidR="00D05767" w:rsidRPr="00D05767" w:rsidRDefault="00D05767" w:rsidP="00165A49">
      <w:pPr>
        <w:spacing w:line="240" w:lineRule="auto"/>
        <w:jc w:val="both"/>
        <w:rPr>
          <w:rFonts w:ascii="Arial" w:hAnsi="Arial" w:cs="Arial"/>
          <w:bCs/>
          <w:sz w:val="20"/>
          <w:szCs w:val="20"/>
        </w:rPr>
      </w:pPr>
      <w:r w:rsidRPr="00D05767">
        <w:rPr>
          <w:rFonts w:ascii="Arial" w:hAnsi="Arial" w:cs="Arial"/>
          <w:bCs/>
          <w:sz w:val="20"/>
          <w:szCs w:val="20"/>
        </w:rPr>
        <w:t>t = T</w:t>
      </w:r>
      <w:r w:rsidRPr="00D05767">
        <w:rPr>
          <w:rFonts w:ascii="Arial" w:hAnsi="Arial" w:cs="Arial"/>
          <w:bCs/>
          <w:sz w:val="20"/>
          <w:szCs w:val="20"/>
          <w:vertAlign w:val="subscript"/>
        </w:rPr>
        <w:t>j-1</w:t>
      </w:r>
      <w:r w:rsidRPr="00D05767">
        <w:rPr>
          <w:rFonts w:ascii="Arial" w:hAnsi="Arial" w:cs="Arial"/>
          <w:bCs/>
          <w:sz w:val="20"/>
          <w:szCs w:val="20"/>
        </w:rPr>
        <w:t>+1, …, T</w:t>
      </w:r>
    </w:p>
    <w:p w14:paraId="541F9512" w14:textId="77777777" w:rsidR="00D05767" w:rsidRPr="00D05767" w:rsidRDefault="00D05767" w:rsidP="00165A49">
      <w:pPr>
        <w:spacing w:line="240" w:lineRule="auto"/>
        <w:jc w:val="both"/>
        <w:rPr>
          <w:rFonts w:ascii="Arial" w:hAnsi="Arial" w:cs="Arial"/>
          <w:bCs/>
          <w:sz w:val="20"/>
          <w:szCs w:val="20"/>
        </w:rPr>
      </w:pPr>
      <w:r w:rsidRPr="00D05767">
        <w:rPr>
          <w:rFonts w:ascii="Arial" w:hAnsi="Arial" w:cs="Arial"/>
          <w:bCs/>
          <w:sz w:val="20"/>
          <w:szCs w:val="20"/>
        </w:rPr>
        <w:t>j = 1, 2, …, m+1</w:t>
      </w:r>
    </w:p>
    <w:p w14:paraId="5AA6B1CC" w14:textId="77777777" w:rsidR="00D05767" w:rsidRPr="00D05767" w:rsidRDefault="00D05767" w:rsidP="00165A49">
      <w:pPr>
        <w:spacing w:line="240" w:lineRule="auto"/>
        <w:jc w:val="both"/>
        <w:rPr>
          <w:rFonts w:ascii="Arial" w:hAnsi="Arial" w:cs="Arial"/>
          <w:bCs/>
          <w:sz w:val="20"/>
          <w:szCs w:val="20"/>
        </w:rPr>
      </w:pPr>
      <w:r w:rsidRPr="00D05767">
        <w:rPr>
          <w:rFonts w:ascii="Arial" w:hAnsi="Arial" w:cs="Arial"/>
          <w:bCs/>
          <w:sz w:val="20"/>
          <w:szCs w:val="20"/>
        </w:rPr>
        <w:t>‘β’ and ‘</w:t>
      </w:r>
      <w:proofErr w:type="spellStart"/>
      <w:r w:rsidRPr="00D05767">
        <w:rPr>
          <w:rFonts w:ascii="Arial" w:hAnsi="Arial" w:cs="Arial"/>
          <w:bCs/>
          <w:sz w:val="20"/>
          <w:szCs w:val="20"/>
        </w:rPr>
        <w:t>δ</w:t>
      </w:r>
      <w:r w:rsidRPr="00D05767">
        <w:rPr>
          <w:rFonts w:ascii="Arial" w:hAnsi="Arial" w:cs="Arial"/>
          <w:bCs/>
          <w:sz w:val="20"/>
          <w:szCs w:val="20"/>
          <w:vertAlign w:val="subscript"/>
        </w:rPr>
        <w:t>j</w:t>
      </w:r>
      <w:proofErr w:type="spellEnd"/>
      <w:r w:rsidRPr="00D05767">
        <w:rPr>
          <w:rFonts w:ascii="Arial" w:hAnsi="Arial" w:cs="Arial"/>
          <w:bCs/>
          <w:sz w:val="20"/>
          <w:szCs w:val="20"/>
        </w:rPr>
        <w:t>’ are coefficients</w:t>
      </w:r>
    </w:p>
    <w:p w14:paraId="47FFCC48" w14:textId="77777777" w:rsidR="00D05767" w:rsidRPr="00D05767" w:rsidRDefault="00D05767" w:rsidP="00165A49">
      <w:pPr>
        <w:spacing w:line="240" w:lineRule="auto"/>
        <w:jc w:val="both"/>
        <w:rPr>
          <w:rFonts w:ascii="Arial" w:hAnsi="Arial" w:cs="Arial"/>
          <w:bCs/>
          <w:sz w:val="20"/>
          <w:szCs w:val="20"/>
        </w:rPr>
      </w:pPr>
      <w:r w:rsidRPr="00D05767">
        <w:rPr>
          <w:rFonts w:ascii="Arial" w:hAnsi="Arial" w:cs="Arial"/>
          <w:bCs/>
          <w:sz w:val="20"/>
          <w:szCs w:val="20"/>
        </w:rPr>
        <w:t>‘</w:t>
      </w:r>
      <w:proofErr w:type="spellStart"/>
      <w:r w:rsidRPr="00D05767">
        <w:rPr>
          <w:rFonts w:ascii="Arial" w:hAnsi="Arial" w:cs="Arial"/>
          <w:bCs/>
          <w:sz w:val="20"/>
          <w:szCs w:val="20"/>
        </w:rPr>
        <w:t>u</w:t>
      </w:r>
      <w:r w:rsidRPr="00D05767">
        <w:rPr>
          <w:rFonts w:ascii="Arial" w:hAnsi="Arial" w:cs="Arial"/>
          <w:bCs/>
          <w:sz w:val="20"/>
          <w:szCs w:val="20"/>
          <w:vertAlign w:val="subscript"/>
        </w:rPr>
        <w:t>t</w:t>
      </w:r>
      <w:proofErr w:type="spellEnd"/>
      <w:r w:rsidRPr="00D05767">
        <w:rPr>
          <w:rFonts w:ascii="Arial" w:hAnsi="Arial" w:cs="Arial"/>
          <w:bCs/>
          <w:sz w:val="20"/>
          <w:szCs w:val="20"/>
        </w:rPr>
        <w:t>’ is the disturbance</w:t>
      </w:r>
    </w:p>
    <w:p w14:paraId="3B4CB295" w14:textId="7B53583B" w:rsidR="00D05767" w:rsidRPr="0048224C" w:rsidRDefault="00D05767" w:rsidP="00165A49">
      <w:pPr>
        <w:spacing w:line="240" w:lineRule="auto"/>
        <w:ind w:firstLine="720"/>
        <w:jc w:val="both"/>
        <w:rPr>
          <w:rFonts w:ascii="Arial" w:hAnsi="Arial" w:cs="Arial"/>
          <w:b/>
          <w:bCs/>
          <w:sz w:val="20"/>
          <w:szCs w:val="20"/>
        </w:rPr>
      </w:pPr>
      <w:r w:rsidRPr="00D05767">
        <w:rPr>
          <w:rFonts w:ascii="Arial" w:hAnsi="Arial" w:cs="Arial"/>
          <w:bCs/>
          <w:sz w:val="20"/>
          <w:szCs w:val="20"/>
        </w:rPr>
        <w:t xml:space="preserve">The dependent variable </w:t>
      </w:r>
      <w:proofErr w:type="spellStart"/>
      <w:r w:rsidRPr="00D05767">
        <w:rPr>
          <w:rFonts w:ascii="Arial" w:hAnsi="Arial" w:cs="Arial"/>
          <w:bCs/>
          <w:sz w:val="20"/>
          <w:szCs w:val="20"/>
        </w:rPr>
        <w:t>Y</w:t>
      </w:r>
      <w:r w:rsidRPr="00D05767">
        <w:rPr>
          <w:rFonts w:ascii="Arial" w:hAnsi="Arial" w:cs="Arial"/>
          <w:bCs/>
          <w:sz w:val="20"/>
          <w:szCs w:val="20"/>
          <w:vertAlign w:val="subscript"/>
        </w:rPr>
        <w:t>t</w:t>
      </w:r>
      <w:proofErr w:type="spellEnd"/>
      <w:r w:rsidRPr="00D05767">
        <w:rPr>
          <w:rFonts w:ascii="Arial" w:hAnsi="Arial" w:cs="Arial"/>
          <w:bCs/>
          <w:sz w:val="20"/>
          <w:szCs w:val="20"/>
        </w:rPr>
        <w:t xml:space="preserve"> is to be modelled as a linear combination of regressors with both time invariant coefficients, </w:t>
      </w:r>
      <w:proofErr w:type="spellStart"/>
      <w:r w:rsidRPr="00D05767">
        <w:rPr>
          <w:rFonts w:ascii="Arial" w:hAnsi="Arial" w:cs="Arial"/>
          <w:bCs/>
          <w:sz w:val="20"/>
          <w:szCs w:val="20"/>
        </w:rPr>
        <w:t>x</w:t>
      </w:r>
      <w:r w:rsidRPr="00D05767">
        <w:rPr>
          <w:rFonts w:ascii="Arial" w:hAnsi="Arial" w:cs="Arial"/>
          <w:bCs/>
          <w:sz w:val="20"/>
          <w:szCs w:val="20"/>
          <w:vertAlign w:val="subscript"/>
        </w:rPr>
        <w:t>t</w:t>
      </w:r>
      <w:proofErr w:type="spellEnd"/>
      <w:r w:rsidRPr="00D05767">
        <w:rPr>
          <w:rFonts w:ascii="Arial" w:hAnsi="Arial" w:cs="Arial"/>
          <w:bCs/>
          <w:sz w:val="20"/>
          <w:szCs w:val="20"/>
          <w:vertAlign w:val="subscript"/>
        </w:rPr>
        <w:t xml:space="preserve"> </w:t>
      </w:r>
      <w:r w:rsidRPr="00D05767">
        <w:rPr>
          <w:rFonts w:ascii="Arial" w:hAnsi="Arial" w:cs="Arial"/>
          <w:bCs/>
          <w:sz w:val="20"/>
          <w:szCs w:val="20"/>
        </w:rPr>
        <w:t xml:space="preserve">  and time variant coefficients, </w:t>
      </w:r>
      <w:proofErr w:type="spellStart"/>
      <w:r w:rsidRPr="00D05767">
        <w:rPr>
          <w:rFonts w:ascii="Arial" w:hAnsi="Arial" w:cs="Arial"/>
          <w:bCs/>
          <w:sz w:val="20"/>
          <w:szCs w:val="20"/>
        </w:rPr>
        <w:t>z</w:t>
      </w:r>
      <w:r w:rsidRPr="00D05767">
        <w:rPr>
          <w:rFonts w:ascii="Arial" w:hAnsi="Arial" w:cs="Arial"/>
          <w:bCs/>
          <w:sz w:val="20"/>
          <w:szCs w:val="20"/>
          <w:vertAlign w:val="subscript"/>
        </w:rPr>
        <w:t>t</w:t>
      </w:r>
      <w:proofErr w:type="spellEnd"/>
      <w:r w:rsidRPr="00D05767">
        <w:rPr>
          <w:rFonts w:ascii="Arial" w:hAnsi="Arial" w:cs="Arial"/>
          <w:bCs/>
          <w:sz w:val="20"/>
          <w:szCs w:val="20"/>
        </w:rPr>
        <w:t>.</w:t>
      </w:r>
      <w:r w:rsidR="0048224C" w:rsidRPr="0048224C">
        <w:rPr>
          <w:rFonts w:ascii="Arial" w:hAnsi="Arial" w:cs="Arial"/>
          <w:bCs/>
          <w:sz w:val="20"/>
          <w:szCs w:val="20"/>
        </w:rPr>
        <w:t xml:space="preserve"> The analysis was carried out </w:t>
      </w:r>
      <w:r w:rsidR="0048224C" w:rsidRPr="0048224C">
        <w:rPr>
          <w:rFonts w:ascii="Arial" w:hAnsi="Arial" w:cs="Arial"/>
          <w:sz w:val="20"/>
          <w:szCs w:val="20"/>
        </w:rPr>
        <w:t xml:space="preserve">using </w:t>
      </w:r>
      <w:r w:rsidR="0048224C" w:rsidRPr="0048224C">
        <w:rPr>
          <w:rStyle w:val="Strong"/>
          <w:rFonts w:ascii="Arial" w:hAnsi="Arial" w:cs="Arial"/>
          <w:b w:val="0"/>
          <w:bCs w:val="0"/>
          <w:sz w:val="20"/>
          <w:szCs w:val="20"/>
        </w:rPr>
        <w:t>Python programming language</w:t>
      </w:r>
      <w:r w:rsidR="0048224C" w:rsidRPr="0048224C">
        <w:rPr>
          <w:rFonts w:ascii="Arial" w:hAnsi="Arial" w:cs="Arial"/>
          <w:b/>
          <w:bCs/>
          <w:sz w:val="20"/>
          <w:szCs w:val="20"/>
        </w:rPr>
        <w:t xml:space="preserve"> </w:t>
      </w:r>
      <w:r w:rsidR="0048224C">
        <w:rPr>
          <w:rFonts w:ascii="Arial" w:hAnsi="Arial" w:cs="Arial"/>
          <w:sz w:val="20"/>
          <w:szCs w:val="20"/>
        </w:rPr>
        <w:t>in a</w:t>
      </w:r>
      <w:r w:rsidR="0048224C" w:rsidRPr="0048224C">
        <w:rPr>
          <w:rFonts w:ascii="Arial" w:hAnsi="Arial" w:cs="Arial"/>
          <w:b/>
          <w:bCs/>
          <w:sz w:val="20"/>
          <w:szCs w:val="20"/>
        </w:rPr>
        <w:t xml:space="preserve"> </w:t>
      </w:r>
      <w:proofErr w:type="spellStart"/>
      <w:r w:rsidR="0048224C" w:rsidRPr="0048224C">
        <w:rPr>
          <w:rStyle w:val="Strong"/>
          <w:rFonts w:ascii="Arial" w:hAnsi="Arial" w:cs="Arial"/>
          <w:b w:val="0"/>
          <w:bCs w:val="0"/>
          <w:sz w:val="20"/>
          <w:szCs w:val="20"/>
        </w:rPr>
        <w:t>Jupyter</w:t>
      </w:r>
      <w:proofErr w:type="spellEnd"/>
      <w:r w:rsidR="0048224C" w:rsidRPr="0048224C">
        <w:rPr>
          <w:rStyle w:val="Strong"/>
          <w:rFonts w:ascii="Arial" w:hAnsi="Arial" w:cs="Arial"/>
          <w:b w:val="0"/>
          <w:bCs w:val="0"/>
          <w:sz w:val="20"/>
          <w:szCs w:val="20"/>
        </w:rPr>
        <w:t xml:space="preserve"> Notebook environment</w:t>
      </w:r>
      <w:r w:rsidR="0048224C" w:rsidRPr="0048224C">
        <w:rPr>
          <w:rFonts w:ascii="Arial" w:hAnsi="Arial" w:cs="Arial"/>
          <w:b/>
          <w:bCs/>
          <w:sz w:val="20"/>
          <w:szCs w:val="20"/>
        </w:rPr>
        <w:t>.</w:t>
      </w:r>
    </w:p>
    <w:p w14:paraId="3C361451" w14:textId="28DF3E03" w:rsidR="002D766E" w:rsidRPr="00D05767" w:rsidRDefault="002D766E" w:rsidP="00165A49">
      <w:pPr>
        <w:spacing w:line="240" w:lineRule="auto"/>
        <w:jc w:val="both"/>
        <w:rPr>
          <w:rFonts w:ascii="Arial" w:hAnsi="Arial" w:cs="Arial"/>
          <w:b/>
        </w:rPr>
      </w:pPr>
      <w:r w:rsidRPr="00D94E00">
        <w:rPr>
          <w:rFonts w:ascii="Arial" w:hAnsi="Arial" w:cs="Arial"/>
          <w:b/>
        </w:rPr>
        <w:t>3</w:t>
      </w:r>
      <w:r w:rsidR="00E00691" w:rsidRPr="00D94E00">
        <w:rPr>
          <w:rFonts w:ascii="Arial" w:hAnsi="Arial" w:cs="Arial"/>
          <w:b/>
        </w:rPr>
        <w:t xml:space="preserve">. </w:t>
      </w:r>
      <w:r w:rsidRPr="00D94E00">
        <w:rPr>
          <w:rFonts w:ascii="Arial" w:hAnsi="Arial" w:cs="Arial"/>
          <w:b/>
        </w:rPr>
        <w:t>RESULTS AND DISCUSSION</w:t>
      </w:r>
    </w:p>
    <w:p w14:paraId="0BD3319B" w14:textId="0DE459BE" w:rsidR="00B71D12" w:rsidRPr="00D94E00" w:rsidRDefault="002D766E" w:rsidP="00165A49">
      <w:pPr>
        <w:spacing w:line="240" w:lineRule="auto"/>
        <w:jc w:val="both"/>
        <w:rPr>
          <w:rFonts w:ascii="Arial" w:hAnsi="Arial" w:cs="Arial"/>
          <w:b/>
          <w:bCs/>
          <w:sz w:val="20"/>
          <w:szCs w:val="20"/>
        </w:rPr>
      </w:pPr>
      <w:r w:rsidRPr="00D94E00">
        <w:rPr>
          <w:rFonts w:ascii="Arial" w:hAnsi="Arial" w:cs="Arial"/>
          <w:b/>
          <w:bCs/>
          <w:sz w:val="20"/>
          <w:szCs w:val="20"/>
        </w:rPr>
        <w:t xml:space="preserve">3.1 </w:t>
      </w:r>
      <w:r w:rsidR="00072FF5" w:rsidRPr="00D94E00">
        <w:rPr>
          <w:rFonts w:ascii="Arial" w:hAnsi="Arial" w:cs="Arial"/>
          <w:b/>
          <w:bCs/>
          <w:sz w:val="20"/>
          <w:szCs w:val="20"/>
        </w:rPr>
        <w:t>Millet scenario of Telangana (2023-24)</w:t>
      </w:r>
    </w:p>
    <w:p w14:paraId="7F904563" w14:textId="0C5388C5" w:rsidR="001F2544" w:rsidRPr="00072FF5" w:rsidRDefault="00072FF5" w:rsidP="00165A49">
      <w:pPr>
        <w:spacing w:line="240" w:lineRule="auto"/>
        <w:jc w:val="both"/>
        <w:rPr>
          <w:rFonts w:ascii="Arial" w:hAnsi="Arial" w:cs="Arial"/>
          <w:sz w:val="20"/>
          <w:szCs w:val="20"/>
        </w:rPr>
      </w:pPr>
      <w:r w:rsidRPr="00072FF5">
        <w:rPr>
          <w:rFonts w:ascii="Arial" w:hAnsi="Arial" w:cs="Arial"/>
          <w:sz w:val="20"/>
          <w:szCs w:val="20"/>
        </w:rPr>
        <w:t xml:space="preserve">Table 1 shows the area, yield, and production of major and minor millets in Telangana during 2023–24. Sorghum </w:t>
      </w:r>
      <w:r w:rsidRPr="00D94E00">
        <w:rPr>
          <w:rFonts w:ascii="Arial" w:hAnsi="Arial" w:cs="Arial"/>
          <w:sz w:val="20"/>
          <w:szCs w:val="20"/>
        </w:rPr>
        <w:t>is</w:t>
      </w:r>
      <w:r w:rsidRPr="00072FF5">
        <w:rPr>
          <w:rFonts w:ascii="Arial" w:hAnsi="Arial" w:cs="Arial"/>
          <w:sz w:val="20"/>
          <w:szCs w:val="20"/>
        </w:rPr>
        <w:t xml:space="preserve"> the dominant millet, accounting for nearly 95 per cent of the total millet area and production. The data indicate that production is significantly higher during the </w:t>
      </w:r>
      <w:proofErr w:type="spellStart"/>
      <w:r w:rsidRPr="00072FF5">
        <w:rPr>
          <w:rFonts w:ascii="Arial" w:hAnsi="Arial" w:cs="Arial"/>
          <w:sz w:val="20"/>
          <w:szCs w:val="20"/>
        </w:rPr>
        <w:t>rabi</w:t>
      </w:r>
      <w:proofErr w:type="spellEnd"/>
      <w:r w:rsidRPr="00072FF5">
        <w:rPr>
          <w:rFonts w:ascii="Arial" w:hAnsi="Arial" w:cs="Arial"/>
          <w:sz w:val="20"/>
          <w:szCs w:val="20"/>
        </w:rPr>
        <w:t xml:space="preserve"> season</w:t>
      </w:r>
      <w:r w:rsidRPr="00D94E00">
        <w:rPr>
          <w:rFonts w:ascii="Arial" w:hAnsi="Arial" w:cs="Arial"/>
          <w:sz w:val="20"/>
          <w:szCs w:val="20"/>
        </w:rPr>
        <w:t>. The yield levels of millets were 2,191 kg/ha for sorghum, 3,439 kg/ha for pearl millet, 806 kg/ha for finger millet, and 1,061 kg/ha for minor millets, with an overall average yield of about 2.24 t/ha.</w:t>
      </w:r>
    </w:p>
    <w:p w14:paraId="3EC85512" w14:textId="77777777" w:rsidR="00801BBE" w:rsidRDefault="00801BBE" w:rsidP="00731201">
      <w:pPr>
        <w:spacing w:before="100" w:beforeAutospacing="1" w:after="120" w:line="240" w:lineRule="auto"/>
        <w:jc w:val="both"/>
        <w:rPr>
          <w:rFonts w:ascii="Arial" w:hAnsi="Arial" w:cs="Arial"/>
          <w:b/>
          <w:bCs/>
          <w:sz w:val="20"/>
          <w:szCs w:val="20"/>
        </w:rPr>
      </w:pPr>
    </w:p>
    <w:p w14:paraId="59338F53" w14:textId="77777777" w:rsidR="00801BBE" w:rsidRDefault="00801BBE" w:rsidP="00731201">
      <w:pPr>
        <w:spacing w:before="100" w:beforeAutospacing="1" w:after="120" w:line="240" w:lineRule="auto"/>
        <w:jc w:val="both"/>
        <w:rPr>
          <w:rFonts w:ascii="Arial" w:hAnsi="Arial" w:cs="Arial"/>
          <w:b/>
          <w:bCs/>
          <w:sz w:val="20"/>
          <w:szCs w:val="20"/>
        </w:rPr>
      </w:pPr>
    </w:p>
    <w:p w14:paraId="03A7BB83" w14:textId="77777777" w:rsidR="00801BBE" w:rsidRDefault="00801BBE" w:rsidP="00731201">
      <w:pPr>
        <w:spacing w:before="100" w:beforeAutospacing="1" w:after="120" w:line="240" w:lineRule="auto"/>
        <w:jc w:val="both"/>
        <w:rPr>
          <w:rFonts w:ascii="Arial" w:hAnsi="Arial" w:cs="Arial"/>
          <w:b/>
          <w:bCs/>
          <w:sz w:val="20"/>
          <w:szCs w:val="20"/>
        </w:rPr>
      </w:pPr>
    </w:p>
    <w:p w14:paraId="7BB70BA3" w14:textId="77777777" w:rsidR="00801BBE" w:rsidRDefault="00801BBE" w:rsidP="00731201">
      <w:pPr>
        <w:spacing w:before="100" w:beforeAutospacing="1" w:after="120" w:line="240" w:lineRule="auto"/>
        <w:jc w:val="both"/>
        <w:rPr>
          <w:rFonts w:ascii="Arial" w:hAnsi="Arial" w:cs="Arial"/>
          <w:b/>
          <w:bCs/>
          <w:sz w:val="20"/>
          <w:szCs w:val="20"/>
        </w:rPr>
      </w:pPr>
    </w:p>
    <w:p w14:paraId="27156A25" w14:textId="77777777" w:rsidR="00801BBE" w:rsidRDefault="00801BBE" w:rsidP="00731201">
      <w:pPr>
        <w:spacing w:before="100" w:beforeAutospacing="1" w:after="120" w:line="240" w:lineRule="auto"/>
        <w:jc w:val="both"/>
        <w:rPr>
          <w:rFonts w:ascii="Arial" w:hAnsi="Arial" w:cs="Arial"/>
          <w:b/>
          <w:bCs/>
          <w:sz w:val="20"/>
          <w:szCs w:val="20"/>
        </w:rPr>
      </w:pPr>
    </w:p>
    <w:p w14:paraId="4B8ED4C1" w14:textId="725AF928" w:rsidR="00731201" w:rsidRPr="00731201" w:rsidRDefault="00401EBD" w:rsidP="00731201">
      <w:pPr>
        <w:spacing w:before="100" w:beforeAutospacing="1" w:after="120" w:line="240" w:lineRule="auto"/>
        <w:jc w:val="both"/>
        <w:rPr>
          <w:rFonts w:ascii="Arial" w:hAnsi="Arial" w:cs="Arial"/>
          <w:b/>
          <w:bCs/>
          <w:sz w:val="20"/>
          <w:szCs w:val="20"/>
        </w:rPr>
      </w:pPr>
      <w:r w:rsidRPr="00731201">
        <w:rPr>
          <w:rFonts w:ascii="Arial" w:hAnsi="Arial" w:cs="Arial"/>
          <w:b/>
          <w:bCs/>
          <w:sz w:val="20"/>
          <w:szCs w:val="20"/>
        </w:rPr>
        <w:t>Table 1. Area, yield and production of millets in Telangana (2023-24)</w:t>
      </w:r>
    </w:p>
    <w:tbl>
      <w:tblPr>
        <w:tblpPr w:leftFromText="180" w:rightFromText="180" w:vertAnchor="text" w:horzAnchor="margin" w:tblpY="-98"/>
        <w:tblW w:w="8945" w:type="dxa"/>
        <w:tblLook w:val="04A0" w:firstRow="1" w:lastRow="0" w:firstColumn="1" w:lastColumn="0" w:noHBand="0" w:noVBand="1"/>
      </w:tblPr>
      <w:tblGrid>
        <w:gridCol w:w="1028"/>
        <w:gridCol w:w="886"/>
        <w:gridCol w:w="912"/>
        <w:gridCol w:w="912"/>
        <w:gridCol w:w="886"/>
        <w:gridCol w:w="716"/>
        <w:gridCol w:w="970"/>
        <w:gridCol w:w="886"/>
        <w:gridCol w:w="912"/>
        <w:gridCol w:w="884"/>
      </w:tblGrid>
      <w:tr w:rsidR="00CE4297" w:rsidRPr="00D94E00" w14:paraId="11DCD265" w14:textId="77777777" w:rsidTr="00CB6E18">
        <w:trPr>
          <w:trHeight w:val="207"/>
        </w:trPr>
        <w:tc>
          <w:tcPr>
            <w:tcW w:w="1001" w:type="dxa"/>
            <w:vMerge w:val="restart"/>
            <w:tcBorders>
              <w:top w:val="single" w:sz="4" w:space="0" w:color="auto"/>
            </w:tcBorders>
            <w:vAlign w:val="center"/>
            <w:hideMark/>
          </w:tcPr>
          <w:p w14:paraId="7C6C02F6" w14:textId="77777777"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Crop</w:t>
            </w:r>
          </w:p>
        </w:tc>
        <w:tc>
          <w:tcPr>
            <w:tcW w:w="2711" w:type="dxa"/>
            <w:gridSpan w:val="3"/>
            <w:tcBorders>
              <w:top w:val="single" w:sz="4" w:space="0" w:color="auto"/>
              <w:bottom w:val="single" w:sz="4" w:space="0" w:color="auto"/>
            </w:tcBorders>
            <w:vAlign w:val="center"/>
            <w:hideMark/>
          </w:tcPr>
          <w:p w14:paraId="56BA8044" w14:textId="5F72B91E"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Area</w:t>
            </w:r>
            <w:r w:rsidR="004744DB" w:rsidRPr="00D94E00">
              <w:rPr>
                <w:rFonts w:ascii="Arial" w:eastAsia="Times New Roman" w:hAnsi="Arial" w:cs="Arial"/>
                <w:b/>
                <w:bCs/>
                <w:sz w:val="20"/>
                <w:szCs w:val="20"/>
                <w:lang w:eastAsia="en-IN"/>
              </w:rPr>
              <w:t xml:space="preserve"> (ha)</w:t>
            </w:r>
          </w:p>
        </w:tc>
        <w:tc>
          <w:tcPr>
            <w:tcW w:w="2573" w:type="dxa"/>
            <w:gridSpan w:val="3"/>
            <w:tcBorders>
              <w:top w:val="single" w:sz="4" w:space="0" w:color="auto"/>
              <w:bottom w:val="single" w:sz="4" w:space="0" w:color="auto"/>
            </w:tcBorders>
            <w:vAlign w:val="center"/>
            <w:hideMark/>
          </w:tcPr>
          <w:p w14:paraId="4BD795EE" w14:textId="7D6D48A6"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Yield</w:t>
            </w:r>
            <w:r w:rsidR="006C025E" w:rsidRPr="00D94E00">
              <w:rPr>
                <w:rFonts w:ascii="Arial" w:eastAsia="Times New Roman" w:hAnsi="Arial" w:cs="Arial"/>
                <w:b/>
                <w:bCs/>
                <w:sz w:val="20"/>
                <w:szCs w:val="20"/>
                <w:lang w:eastAsia="en-IN"/>
              </w:rPr>
              <w:t xml:space="preserve"> (kg/ha)</w:t>
            </w:r>
          </w:p>
        </w:tc>
        <w:tc>
          <w:tcPr>
            <w:tcW w:w="2660" w:type="dxa"/>
            <w:gridSpan w:val="3"/>
            <w:tcBorders>
              <w:top w:val="single" w:sz="4" w:space="0" w:color="auto"/>
              <w:bottom w:val="single" w:sz="4" w:space="0" w:color="auto"/>
            </w:tcBorders>
            <w:vAlign w:val="center"/>
            <w:hideMark/>
          </w:tcPr>
          <w:p w14:paraId="289FB483" w14:textId="0C848D56"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Production</w:t>
            </w:r>
            <w:r w:rsidR="006C025E" w:rsidRPr="00D94E00">
              <w:rPr>
                <w:rFonts w:ascii="Arial" w:eastAsia="Times New Roman" w:hAnsi="Arial" w:cs="Arial"/>
                <w:b/>
                <w:bCs/>
                <w:sz w:val="20"/>
                <w:szCs w:val="20"/>
                <w:lang w:eastAsia="en-IN"/>
              </w:rPr>
              <w:t xml:space="preserve"> (t)</w:t>
            </w:r>
          </w:p>
        </w:tc>
      </w:tr>
      <w:tr w:rsidR="00CB6E18" w:rsidRPr="00D94E00" w14:paraId="41870331" w14:textId="77777777" w:rsidTr="00CB6E18">
        <w:trPr>
          <w:trHeight w:val="270"/>
        </w:trPr>
        <w:tc>
          <w:tcPr>
            <w:tcW w:w="1001" w:type="dxa"/>
            <w:vMerge/>
            <w:tcBorders>
              <w:bottom w:val="single" w:sz="4" w:space="0" w:color="auto"/>
            </w:tcBorders>
            <w:vAlign w:val="center"/>
            <w:hideMark/>
          </w:tcPr>
          <w:p w14:paraId="5F802722" w14:textId="77777777" w:rsidR="00B71D12" w:rsidRPr="00B71D12" w:rsidRDefault="00B71D12" w:rsidP="00165A49">
            <w:pPr>
              <w:spacing w:after="0" w:line="240" w:lineRule="auto"/>
              <w:jc w:val="center"/>
              <w:rPr>
                <w:rFonts w:ascii="Arial" w:eastAsia="Times New Roman" w:hAnsi="Arial" w:cs="Arial"/>
                <w:b/>
                <w:bCs/>
                <w:sz w:val="20"/>
                <w:szCs w:val="20"/>
                <w:lang w:eastAsia="en-IN"/>
              </w:rPr>
            </w:pPr>
          </w:p>
        </w:tc>
        <w:tc>
          <w:tcPr>
            <w:tcW w:w="886" w:type="dxa"/>
            <w:tcBorders>
              <w:top w:val="single" w:sz="4" w:space="0" w:color="auto"/>
              <w:bottom w:val="single" w:sz="4" w:space="0" w:color="auto"/>
            </w:tcBorders>
            <w:vAlign w:val="center"/>
            <w:hideMark/>
          </w:tcPr>
          <w:p w14:paraId="526A3744" w14:textId="77777777"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Kharif</w:t>
            </w:r>
          </w:p>
        </w:tc>
        <w:tc>
          <w:tcPr>
            <w:tcW w:w="912" w:type="dxa"/>
            <w:tcBorders>
              <w:top w:val="single" w:sz="4" w:space="0" w:color="auto"/>
              <w:bottom w:val="single" w:sz="4" w:space="0" w:color="auto"/>
            </w:tcBorders>
            <w:vAlign w:val="center"/>
            <w:hideMark/>
          </w:tcPr>
          <w:p w14:paraId="4FD70577" w14:textId="77777777"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Rabi</w:t>
            </w:r>
          </w:p>
        </w:tc>
        <w:tc>
          <w:tcPr>
            <w:tcW w:w="912" w:type="dxa"/>
            <w:tcBorders>
              <w:top w:val="single" w:sz="4" w:space="0" w:color="auto"/>
              <w:bottom w:val="single" w:sz="4" w:space="0" w:color="auto"/>
            </w:tcBorders>
            <w:vAlign w:val="center"/>
            <w:hideMark/>
          </w:tcPr>
          <w:p w14:paraId="06F9974D" w14:textId="77777777"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Total</w:t>
            </w:r>
          </w:p>
        </w:tc>
        <w:tc>
          <w:tcPr>
            <w:tcW w:w="886" w:type="dxa"/>
            <w:tcBorders>
              <w:top w:val="single" w:sz="4" w:space="0" w:color="auto"/>
              <w:bottom w:val="single" w:sz="4" w:space="0" w:color="auto"/>
            </w:tcBorders>
            <w:vAlign w:val="center"/>
            <w:hideMark/>
          </w:tcPr>
          <w:p w14:paraId="302E1C1F" w14:textId="77777777"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Kharif</w:t>
            </w:r>
          </w:p>
        </w:tc>
        <w:tc>
          <w:tcPr>
            <w:tcW w:w="716" w:type="dxa"/>
            <w:tcBorders>
              <w:top w:val="single" w:sz="4" w:space="0" w:color="auto"/>
              <w:bottom w:val="single" w:sz="4" w:space="0" w:color="auto"/>
            </w:tcBorders>
            <w:vAlign w:val="center"/>
            <w:hideMark/>
          </w:tcPr>
          <w:p w14:paraId="73F99F1C" w14:textId="77777777"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Rabi</w:t>
            </w:r>
          </w:p>
        </w:tc>
        <w:tc>
          <w:tcPr>
            <w:tcW w:w="970" w:type="dxa"/>
            <w:tcBorders>
              <w:top w:val="single" w:sz="4" w:space="0" w:color="auto"/>
              <w:bottom w:val="single" w:sz="4" w:space="0" w:color="auto"/>
            </w:tcBorders>
            <w:vAlign w:val="center"/>
            <w:hideMark/>
          </w:tcPr>
          <w:p w14:paraId="4A59EACF" w14:textId="77777777"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Total</w:t>
            </w:r>
          </w:p>
        </w:tc>
        <w:tc>
          <w:tcPr>
            <w:tcW w:w="886" w:type="dxa"/>
            <w:tcBorders>
              <w:top w:val="single" w:sz="4" w:space="0" w:color="auto"/>
              <w:bottom w:val="single" w:sz="4" w:space="0" w:color="auto"/>
            </w:tcBorders>
            <w:vAlign w:val="center"/>
            <w:hideMark/>
          </w:tcPr>
          <w:p w14:paraId="7691E7EE" w14:textId="77777777"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Kharif</w:t>
            </w:r>
          </w:p>
        </w:tc>
        <w:tc>
          <w:tcPr>
            <w:tcW w:w="912" w:type="dxa"/>
            <w:tcBorders>
              <w:top w:val="single" w:sz="4" w:space="0" w:color="auto"/>
              <w:bottom w:val="single" w:sz="4" w:space="0" w:color="auto"/>
            </w:tcBorders>
            <w:vAlign w:val="center"/>
            <w:hideMark/>
          </w:tcPr>
          <w:p w14:paraId="567B8268" w14:textId="77777777"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Rabi</w:t>
            </w:r>
          </w:p>
        </w:tc>
        <w:tc>
          <w:tcPr>
            <w:tcW w:w="861" w:type="dxa"/>
            <w:tcBorders>
              <w:top w:val="single" w:sz="4" w:space="0" w:color="auto"/>
              <w:bottom w:val="single" w:sz="4" w:space="0" w:color="auto"/>
            </w:tcBorders>
            <w:vAlign w:val="center"/>
            <w:hideMark/>
          </w:tcPr>
          <w:p w14:paraId="5B46ADD1" w14:textId="77777777"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Total</w:t>
            </w:r>
          </w:p>
        </w:tc>
      </w:tr>
      <w:tr w:rsidR="00CB6E18" w:rsidRPr="00D94E00" w14:paraId="4D544432" w14:textId="77777777" w:rsidTr="00CB6E18">
        <w:trPr>
          <w:trHeight w:val="213"/>
        </w:trPr>
        <w:tc>
          <w:tcPr>
            <w:tcW w:w="1001" w:type="dxa"/>
            <w:tcBorders>
              <w:top w:val="single" w:sz="4" w:space="0" w:color="auto"/>
            </w:tcBorders>
            <w:vAlign w:val="center"/>
            <w:hideMark/>
          </w:tcPr>
          <w:p w14:paraId="73924797" w14:textId="77777777" w:rsidR="00B71D12" w:rsidRPr="00B71D12" w:rsidRDefault="00B71D12" w:rsidP="00165A49">
            <w:pPr>
              <w:spacing w:after="0" w:line="240" w:lineRule="auto"/>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Sorghum</w:t>
            </w:r>
          </w:p>
        </w:tc>
        <w:tc>
          <w:tcPr>
            <w:tcW w:w="886" w:type="dxa"/>
            <w:tcBorders>
              <w:top w:val="single" w:sz="4" w:space="0" w:color="auto"/>
            </w:tcBorders>
            <w:vAlign w:val="center"/>
            <w:hideMark/>
          </w:tcPr>
          <w:p w14:paraId="4DD14F0F"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11957</w:t>
            </w:r>
          </w:p>
        </w:tc>
        <w:tc>
          <w:tcPr>
            <w:tcW w:w="912" w:type="dxa"/>
            <w:tcBorders>
              <w:top w:val="single" w:sz="4" w:space="0" w:color="auto"/>
            </w:tcBorders>
            <w:vAlign w:val="center"/>
            <w:hideMark/>
          </w:tcPr>
          <w:p w14:paraId="71D2DF2B"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97092</w:t>
            </w:r>
          </w:p>
        </w:tc>
        <w:tc>
          <w:tcPr>
            <w:tcW w:w="912" w:type="dxa"/>
            <w:tcBorders>
              <w:top w:val="single" w:sz="4" w:space="0" w:color="auto"/>
            </w:tcBorders>
            <w:vAlign w:val="center"/>
            <w:hideMark/>
          </w:tcPr>
          <w:p w14:paraId="41C863F7"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109049</w:t>
            </w:r>
          </w:p>
        </w:tc>
        <w:tc>
          <w:tcPr>
            <w:tcW w:w="886" w:type="dxa"/>
            <w:tcBorders>
              <w:top w:val="single" w:sz="4" w:space="0" w:color="auto"/>
            </w:tcBorders>
            <w:vAlign w:val="center"/>
            <w:hideMark/>
          </w:tcPr>
          <w:p w14:paraId="3FAFD193"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809</w:t>
            </w:r>
          </w:p>
        </w:tc>
        <w:tc>
          <w:tcPr>
            <w:tcW w:w="716" w:type="dxa"/>
            <w:tcBorders>
              <w:top w:val="single" w:sz="4" w:space="0" w:color="auto"/>
            </w:tcBorders>
            <w:vAlign w:val="center"/>
            <w:hideMark/>
          </w:tcPr>
          <w:p w14:paraId="5707BBE2"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2361</w:t>
            </w:r>
          </w:p>
        </w:tc>
        <w:tc>
          <w:tcPr>
            <w:tcW w:w="970" w:type="dxa"/>
            <w:tcBorders>
              <w:top w:val="single" w:sz="4" w:space="0" w:color="auto"/>
            </w:tcBorders>
            <w:vAlign w:val="center"/>
            <w:hideMark/>
          </w:tcPr>
          <w:p w14:paraId="5EBFB1E1"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2191</w:t>
            </w:r>
          </w:p>
        </w:tc>
        <w:tc>
          <w:tcPr>
            <w:tcW w:w="886" w:type="dxa"/>
            <w:tcBorders>
              <w:top w:val="single" w:sz="4" w:space="0" w:color="auto"/>
            </w:tcBorders>
            <w:vAlign w:val="center"/>
            <w:hideMark/>
          </w:tcPr>
          <w:p w14:paraId="7B17EA56"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9670</w:t>
            </w:r>
          </w:p>
        </w:tc>
        <w:tc>
          <w:tcPr>
            <w:tcW w:w="912" w:type="dxa"/>
            <w:tcBorders>
              <w:top w:val="single" w:sz="4" w:space="0" w:color="auto"/>
            </w:tcBorders>
            <w:vAlign w:val="center"/>
            <w:hideMark/>
          </w:tcPr>
          <w:p w14:paraId="5F85F122"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229209</w:t>
            </w:r>
          </w:p>
        </w:tc>
        <w:tc>
          <w:tcPr>
            <w:tcW w:w="861" w:type="dxa"/>
            <w:tcBorders>
              <w:top w:val="single" w:sz="4" w:space="0" w:color="auto"/>
            </w:tcBorders>
            <w:vAlign w:val="center"/>
            <w:hideMark/>
          </w:tcPr>
          <w:p w14:paraId="308083FD"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238879</w:t>
            </w:r>
          </w:p>
        </w:tc>
      </w:tr>
      <w:tr w:rsidR="00CB6E18" w:rsidRPr="00D94E00" w14:paraId="12B8549B" w14:textId="77777777" w:rsidTr="00CB6E18">
        <w:trPr>
          <w:trHeight w:val="428"/>
        </w:trPr>
        <w:tc>
          <w:tcPr>
            <w:tcW w:w="1001" w:type="dxa"/>
            <w:vAlign w:val="center"/>
            <w:hideMark/>
          </w:tcPr>
          <w:p w14:paraId="34C9105A" w14:textId="77777777" w:rsidR="00B71D12" w:rsidRPr="00B71D12" w:rsidRDefault="00B71D12" w:rsidP="00165A49">
            <w:pPr>
              <w:spacing w:after="0" w:line="240" w:lineRule="auto"/>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Pearl millet</w:t>
            </w:r>
          </w:p>
        </w:tc>
        <w:tc>
          <w:tcPr>
            <w:tcW w:w="886" w:type="dxa"/>
            <w:vAlign w:val="center"/>
            <w:hideMark/>
          </w:tcPr>
          <w:p w14:paraId="20850C89"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150</w:t>
            </w:r>
          </w:p>
        </w:tc>
        <w:tc>
          <w:tcPr>
            <w:tcW w:w="912" w:type="dxa"/>
            <w:vAlign w:val="center"/>
            <w:hideMark/>
          </w:tcPr>
          <w:p w14:paraId="2B3EB452"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5151</w:t>
            </w:r>
          </w:p>
        </w:tc>
        <w:tc>
          <w:tcPr>
            <w:tcW w:w="912" w:type="dxa"/>
            <w:vAlign w:val="center"/>
            <w:hideMark/>
          </w:tcPr>
          <w:p w14:paraId="1F986B62"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5301</w:t>
            </w:r>
          </w:p>
        </w:tc>
        <w:tc>
          <w:tcPr>
            <w:tcW w:w="886" w:type="dxa"/>
            <w:vAlign w:val="center"/>
            <w:hideMark/>
          </w:tcPr>
          <w:p w14:paraId="355C4DEB"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908</w:t>
            </w:r>
          </w:p>
        </w:tc>
        <w:tc>
          <w:tcPr>
            <w:tcW w:w="716" w:type="dxa"/>
            <w:vAlign w:val="center"/>
            <w:hideMark/>
          </w:tcPr>
          <w:p w14:paraId="3125F681"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3512</w:t>
            </w:r>
          </w:p>
        </w:tc>
        <w:tc>
          <w:tcPr>
            <w:tcW w:w="970" w:type="dxa"/>
            <w:vAlign w:val="center"/>
            <w:hideMark/>
          </w:tcPr>
          <w:p w14:paraId="186E8D4E"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3439</w:t>
            </w:r>
          </w:p>
        </w:tc>
        <w:tc>
          <w:tcPr>
            <w:tcW w:w="886" w:type="dxa"/>
            <w:vAlign w:val="center"/>
            <w:hideMark/>
          </w:tcPr>
          <w:p w14:paraId="642FA607"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137</w:t>
            </w:r>
          </w:p>
        </w:tc>
        <w:tc>
          <w:tcPr>
            <w:tcW w:w="912" w:type="dxa"/>
            <w:vAlign w:val="center"/>
            <w:hideMark/>
          </w:tcPr>
          <w:p w14:paraId="13013955"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18092</w:t>
            </w:r>
          </w:p>
        </w:tc>
        <w:tc>
          <w:tcPr>
            <w:tcW w:w="861" w:type="dxa"/>
            <w:vAlign w:val="center"/>
            <w:hideMark/>
          </w:tcPr>
          <w:p w14:paraId="31011CBD"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18229</w:t>
            </w:r>
          </w:p>
        </w:tc>
      </w:tr>
      <w:tr w:rsidR="00CB6E18" w:rsidRPr="00D94E00" w14:paraId="043C5983" w14:textId="77777777" w:rsidTr="00CB6E18">
        <w:trPr>
          <w:trHeight w:val="428"/>
        </w:trPr>
        <w:tc>
          <w:tcPr>
            <w:tcW w:w="1001" w:type="dxa"/>
            <w:vAlign w:val="center"/>
            <w:hideMark/>
          </w:tcPr>
          <w:p w14:paraId="44927EE6" w14:textId="77777777" w:rsidR="00B71D12" w:rsidRPr="00B71D12" w:rsidRDefault="00B71D12" w:rsidP="00165A49">
            <w:pPr>
              <w:spacing w:after="0" w:line="240" w:lineRule="auto"/>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Finger millet</w:t>
            </w:r>
          </w:p>
        </w:tc>
        <w:tc>
          <w:tcPr>
            <w:tcW w:w="886" w:type="dxa"/>
            <w:vAlign w:val="center"/>
            <w:hideMark/>
          </w:tcPr>
          <w:p w14:paraId="431B070F"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135</w:t>
            </w:r>
          </w:p>
        </w:tc>
        <w:tc>
          <w:tcPr>
            <w:tcW w:w="912" w:type="dxa"/>
            <w:vAlign w:val="center"/>
            <w:hideMark/>
          </w:tcPr>
          <w:p w14:paraId="7EEAAB8E"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220</w:t>
            </w:r>
          </w:p>
        </w:tc>
        <w:tc>
          <w:tcPr>
            <w:tcW w:w="912" w:type="dxa"/>
            <w:vAlign w:val="center"/>
            <w:hideMark/>
          </w:tcPr>
          <w:p w14:paraId="0BC45003"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355</w:t>
            </w:r>
          </w:p>
        </w:tc>
        <w:tc>
          <w:tcPr>
            <w:tcW w:w="886" w:type="dxa"/>
            <w:vAlign w:val="center"/>
            <w:hideMark/>
          </w:tcPr>
          <w:p w14:paraId="053E4C73"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599</w:t>
            </w:r>
          </w:p>
        </w:tc>
        <w:tc>
          <w:tcPr>
            <w:tcW w:w="716" w:type="dxa"/>
            <w:vAlign w:val="center"/>
            <w:hideMark/>
          </w:tcPr>
          <w:p w14:paraId="42078496"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926</w:t>
            </w:r>
          </w:p>
        </w:tc>
        <w:tc>
          <w:tcPr>
            <w:tcW w:w="970" w:type="dxa"/>
            <w:vAlign w:val="center"/>
            <w:hideMark/>
          </w:tcPr>
          <w:p w14:paraId="357639CC"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806</w:t>
            </w:r>
          </w:p>
        </w:tc>
        <w:tc>
          <w:tcPr>
            <w:tcW w:w="886" w:type="dxa"/>
            <w:vAlign w:val="center"/>
            <w:hideMark/>
          </w:tcPr>
          <w:p w14:paraId="13940FA5"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81</w:t>
            </w:r>
          </w:p>
        </w:tc>
        <w:tc>
          <w:tcPr>
            <w:tcW w:w="912" w:type="dxa"/>
            <w:vAlign w:val="center"/>
            <w:hideMark/>
          </w:tcPr>
          <w:p w14:paraId="3228D9D3"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205</w:t>
            </w:r>
          </w:p>
        </w:tc>
        <w:tc>
          <w:tcPr>
            <w:tcW w:w="861" w:type="dxa"/>
            <w:vAlign w:val="center"/>
            <w:hideMark/>
          </w:tcPr>
          <w:p w14:paraId="643945EC"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286</w:t>
            </w:r>
          </w:p>
        </w:tc>
      </w:tr>
      <w:tr w:rsidR="00CB6E18" w:rsidRPr="00D94E00" w14:paraId="54DB5360" w14:textId="77777777" w:rsidTr="00CB6E18">
        <w:trPr>
          <w:trHeight w:val="428"/>
        </w:trPr>
        <w:tc>
          <w:tcPr>
            <w:tcW w:w="1001" w:type="dxa"/>
            <w:tcBorders>
              <w:bottom w:val="single" w:sz="4" w:space="0" w:color="auto"/>
            </w:tcBorders>
            <w:vAlign w:val="center"/>
            <w:hideMark/>
          </w:tcPr>
          <w:p w14:paraId="1A42A3D9" w14:textId="77777777" w:rsidR="00B71D12" w:rsidRPr="00B71D12" w:rsidRDefault="00B71D12" w:rsidP="00165A49">
            <w:pPr>
              <w:spacing w:after="0" w:line="240" w:lineRule="auto"/>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Minor millets</w:t>
            </w:r>
          </w:p>
        </w:tc>
        <w:tc>
          <w:tcPr>
            <w:tcW w:w="886" w:type="dxa"/>
            <w:tcBorders>
              <w:bottom w:val="single" w:sz="4" w:space="0" w:color="auto"/>
            </w:tcBorders>
            <w:vAlign w:val="center"/>
            <w:hideMark/>
          </w:tcPr>
          <w:p w14:paraId="09948A96"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41</w:t>
            </w:r>
          </w:p>
        </w:tc>
        <w:tc>
          <w:tcPr>
            <w:tcW w:w="912" w:type="dxa"/>
            <w:tcBorders>
              <w:bottom w:val="single" w:sz="4" w:space="0" w:color="auto"/>
            </w:tcBorders>
            <w:vAlign w:val="center"/>
            <w:hideMark/>
          </w:tcPr>
          <w:p w14:paraId="22954C4C"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155</w:t>
            </w:r>
          </w:p>
        </w:tc>
        <w:tc>
          <w:tcPr>
            <w:tcW w:w="912" w:type="dxa"/>
            <w:tcBorders>
              <w:bottom w:val="single" w:sz="4" w:space="0" w:color="auto"/>
            </w:tcBorders>
            <w:vAlign w:val="center"/>
            <w:hideMark/>
          </w:tcPr>
          <w:p w14:paraId="549CD51A"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196</w:t>
            </w:r>
          </w:p>
        </w:tc>
        <w:tc>
          <w:tcPr>
            <w:tcW w:w="886" w:type="dxa"/>
            <w:tcBorders>
              <w:bottom w:val="single" w:sz="4" w:space="0" w:color="auto"/>
            </w:tcBorders>
            <w:vAlign w:val="center"/>
            <w:hideMark/>
          </w:tcPr>
          <w:p w14:paraId="1FA829F4"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867</w:t>
            </w:r>
          </w:p>
        </w:tc>
        <w:tc>
          <w:tcPr>
            <w:tcW w:w="716" w:type="dxa"/>
            <w:tcBorders>
              <w:bottom w:val="single" w:sz="4" w:space="0" w:color="auto"/>
            </w:tcBorders>
            <w:vAlign w:val="center"/>
            <w:hideMark/>
          </w:tcPr>
          <w:p w14:paraId="115E3183"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1105</w:t>
            </w:r>
          </w:p>
        </w:tc>
        <w:tc>
          <w:tcPr>
            <w:tcW w:w="970" w:type="dxa"/>
            <w:tcBorders>
              <w:bottom w:val="single" w:sz="4" w:space="0" w:color="auto"/>
            </w:tcBorders>
            <w:vAlign w:val="center"/>
            <w:hideMark/>
          </w:tcPr>
          <w:p w14:paraId="659E2715"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1061</w:t>
            </w:r>
          </w:p>
        </w:tc>
        <w:tc>
          <w:tcPr>
            <w:tcW w:w="886" w:type="dxa"/>
            <w:tcBorders>
              <w:bottom w:val="single" w:sz="4" w:space="0" w:color="auto"/>
            </w:tcBorders>
            <w:vAlign w:val="center"/>
            <w:hideMark/>
          </w:tcPr>
          <w:p w14:paraId="7F4E4F2E"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37</w:t>
            </w:r>
          </w:p>
        </w:tc>
        <w:tc>
          <w:tcPr>
            <w:tcW w:w="912" w:type="dxa"/>
            <w:tcBorders>
              <w:bottom w:val="single" w:sz="4" w:space="0" w:color="auto"/>
            </w:tcBorders>
            <w:vAlign w:val="center"/>
            <w:hideMark/>
          </w:tcPr>
          <w:p w14:paraId="7A408FE5"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171</w:t>
            </w:r>
          </w:p>
        </w:tc>
        <w:tc>
          <w:tcPr>
            <w:tcW w:w="861" w:type="dxa"/>
            <w:tcBorders>
              <w:bottom w:val="single" w:sz="4" w:space="0" w:color="auto"/>
            </w:tcBorders>
            <w:vAlign w:val="center"/>
            <w:hideMark/>
          </w:tcPr>
          <w:p w14:paraId="19DD2B85"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208</w:t>
            </w:r>
          </w:p>
        </w:tc>
      </w:tr>
      <w:tr w:rsidR="00CB6E18" w:rsidRPr="00D94E00" w14:paraId="1E24EB19" w14:textId="77777777" w:rsidTr="00CB6E18">
        <w:trPr>
          <w:trHeight w:val="213"/>
        </w:trPr>
        <w:tc>
          <w:tcPr>
            <w:tcW w:w="1001" w:type="dxa"/>
            <w:tcBorders>
              <w:top w:val="single" w:sz="4" w:space="0" w:color="auto"/>
              <w:bottom w:val="single" w:sz="4" w:space="0" w:color="auto"/>
            </w:tcBorders>
            <w:vAlign w:val="center"/>
            <w:hideMark/>
          </w:tcPr>
          <w:p w14:paraId="7D1A5D57" w14:textId="77777777" w:rsidR="00B71D12" w:rsidRPr="00B71D12" w:rsidRDefault="00B71D12" w:rsidP="00165A49">
            <w:pPr>
              <w:spacing w:after="0" w:line="240" w:lineRule="auto"/>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Total</w:t>
            </w:r>
          </w:p>
        </w:tc>
        <w:tc>
          <w:tcPr>
            <w:tcW w:w="886" w:type="dxa"/>
            <w:tcBorders>
              <w:top w:val="single" w:sz="4" w:space="0" w:color="auto"/>
              <w:bottom w:val="single" w:sz="4" w:space="0" w:color="auto"/>
            </w:tcBorders>
            <w:noWrap/>
            <w:vAlign w:val="bottom"/>
            <w:hideMark/>
          </w:tcPr>
          <w:p w14:paraId="777BE024"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12283</w:t>
            </w:r>
          </w:p>
        </w:tc>
        <w:tc>
          <w:tcPr>
            <w:tcW w:w="912" w:type="dxa"/>
            <w:tcBorders>
              <w:top w:val="single" w:sz="4" w:space="0" w:color="auto"/>
              <w:bottom w:val="single" w:sz="4" w:space="0" w:color="auto"/>
            </w:tcBorders>
            <w:noWrap/>
            <w:vAlign w:val="bottom"/>
            <w:hideMark/>
          </w:tcPr>
          <w:p w14:paraId="6652C9ED"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102618</w:t>
            </w:r>
          </w:p>
        </w:tc>
        <w:tc>
          <w:tcPr>
            <w:tcW w:w="912" w:type="dxa"/>
            <w:tcBorders>
              <w:top w:val="single" w:sz="4" w:space="0" w:color="auto"/>
              <w:bottom w:val="single" w:sz="4" w:space="0" w:color="auto"/>
            </w:tcBorders>
            <w:noWrap/>
            <w:vAlign w:val="bottom"/>
            <w:hideMark/>
          </w:tcPr>
          <w:p w14:paraId="111964E3"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114901</w:t>
            </w:r>
          </w:p>
        </w:tc>
        <w:tc>
          <w:tcPr>
            <w:tcW w:w="886" w:type="dxa"/>
            <w:tcBorders>
              <w:top w:val="single" w:sz="4" w:space="0" w:color="auto"/>
              <w:bottom w:val="single" w:sz="4" w:space="0" w:color="auto"/>
            </w:tcBorders>
            <w:noWrap/>
            <w:vAlign w:val="bottom"/>
            <w:hideMark/>
          </w:tcPr>
          <w:p w14:paraId="16401F80"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3183</w:t>
            </w:r>
          </w:p>
        </w:tc>
        <w:tc>
          <w:tcPr>
            <w:tcW w:w="716" w:type="dxa"/>
            <w:tcBorders>
              <w:top w:val="single" w:sz="4" w:space="0" w:color="auto"/>
              <w:bottom w:val="single" w:sz="4" w:space="0" w:color="auto"/>
            </w:tcBorders>
            <w:noWrap/>
            <w:vAlign w:val="bottom"/>
            <w:hideMark/>
          </w:tcPr>
          <w:p w14:paraId="35052C78"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7904</w:t>
            </w:r>
          </w:p>
        </w:tc>
        <w:tc>
          <w:tcPr>
            <w:tcW w:w="970" w:type="dxa"/>
            <w:tcBorders>
              <w:top w:val="single" w:sz="4" w:space="0" w:color="auto"/>
              <w:bottom w:val="single" w:sz="4" w:space="0" w:color="auto"/>
            </w:tcBorders>
            <w:noWrap/>
            <w:vAlign w:val="bottom"/>
            <w:hideMark/>
          </w:tcPr>
          <w:p w14:paraId="2287CF90" w14:textId="322ACF6C"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224</w:t>
            </w:r>
            <w:r w:rsidR="004744DB" w:rsidRPr="00D94E00">
              <w:rPr>
                <w:rFonts w:ascii="Arial" w:eastAsia="Times New Roman" w:hAnsi="Arial" w:cs="Arial"/>
                <w:color w:val="000000"/>
                <w:sz w:val="20"/>
                <w:szCs w:val="20"/>
                <w:lang w:eastAsia="en-IN"/>
              </w:rPr>
              <w:t>2</w:t>
            </w:r>
          </w:p>
        </w:tc>
        <w:tc>
          <w:tcPr>
            <w:tcW w:w="886" w:type="dxa"/>
            <w:tcBorders>
              <w:top w:val="single" w:sz="4" w:space="0" w:color="auto"/>
              <w:bottom w:val="single" w:sz="4" w:space="0" w:color="auto"/>
            </w:tcBorders>
            <w:noWrap/>
            <w:vAlign w:val="bottom"/>
            <w:hideMark/>
          </w:tcPr>
          <w:p w14:paraId="4F32843B"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9925</w:t>
            </w:r>
          </w:p>
        </w:tc>
        <w:tc>
          <w:tcPr>
            <w:tcW w:w="912" w:type="dxa"/>
            <w:tcBorders>
              <w:top w:val="single" w:sz="4" w:space="0" w:color="auto"/>
              <w:bottom w:val="single" w:sz="4" w:space="0" w:color="auto"/>
            </w:tcBorders>
            <w:noWrap/>
            <w:vAlign w:val="bottom"/>
            <w:hideMark/>
          </w:tcPr>
          <w:p w14:paraId="600798C2"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247677</w:t>
            </w:r>
          </w:p>
        </w:tc>
        <w:tc>
          <w:tcPr>
            <w:tcW w:w="861" w:type="dxa"/>
            <w:tcBorders>
              <w:top w:val="single" w:sz="4" w:space="0" w:color="auto"/>
              <w:bottom w:val="single" w:sz="4" w:space="0" w:color="auto"/>
            </w:tcBorders>
            <w:noWrap/>
            <w:vAlign w:val="bottom"/>
            <w:hideMark/>
          </w:tcPr>
          <w:p w14:paraId="1E7C35B4"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257602</w:t>
            </w:r>
          </w:p>
        </w:tc>
      </w:tr>
    </w:tbl>
    <w:p w14:paraId="4A671248" w14:textId="47B9F35A" w:rsidR="00B71D12" w:rsidRPr="00D94E00" w:rsidRDefault="00B71D12" w:rsidP="00165A49">
      <w:pPr>
        <w:spacing w:line="240" w:lineRule="auto"/>
        <w:jc w:val="both"/>
        <w:rPr>
          <w:rFonts w:ascii="Arial" w:hAnsi="Arial" w:cs="Arial"/>
          <w:sz w:val="20"/>
          <w:szCs w:val="20"/>
        </w:rPr>
      </w:pPr>
    </w:p>
    <w:p w14:paraId="4441D268" w14:textId="0C87FE2B" w:rsidR="00E0184F" w:rsidRDefault="001F2544" w:rsidP="00165A49">
      <w:pPr>
        <w:spacing w:line="240" w:lineRule="auto"/>
        <w:ind w:firstLine="720"/>
        <w:jc w:val="both"/>
        <w:rPr>
          <w:rFonts w:ascii="Arial" w:hAnsi="Arial" w:cs="Arial"/>
          <w:sz w:val="20"/>
          <w:szCs w:val="20"/>
        </w:rPr>
      </w:pPr>
      <w:r w:rsidRPr="00D94E00">
        <w:rPr>
          <w:rFonts w:ascii="Arial" w:hAnsi="Arial" w:cs="Arial"/>
          <w:noProof/>
        </w:rPr>
        <w:drawing>
          <wp:anchor distT="0" distB="0" distL="114300" distR="114300" simplePos="0" relativeHeight="251677696" behindDoc="0" locked="0" layoutInCell="1" allowOverlap="1" wp14:anchorId="3C92E2BB" wp14:editId="7A1A26B3">
            <wp:simplePos x="0" y="0"/>
            <wp:positionH relativeFrom="column">
              <wp:posOffset>273050</wp:posOffset>
            </wp:positionH>
            <wp:positionV relativeFrom="paragraph">
              <wp:posOffset>1250315</wp:posOffset>
            </wp:positionV>
            <wp:extent cx="5169535" cy="2165350"/>
            <wp:effectExtent l="0" t="0" r="12065" b="6350"/>
            <wp:wrapTopAndBottom/>
            <wp:docPr id="1" name="Chart 1">
              <a:extLst xmlns:a="http://schemas.openxmlformats.org/drawingml/2006/main">
                <a:ext uri="{FF2B5EF4-FFF2-40B4-BE49-F238E27FC236}">
                  <a16:creationId xmlns:a16="http://schemas.microsoft.com/office/drawing/2014/main" id="{1D5D2919-9F07-460A-9BDB-523DB95669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E0184F" w:rsidRPr="00D469EA">
        <w:rPr>
          <w:rFonts w:ascii="Arial" w:hAnsi="Arial" w:cs="Arial"/>
          <w:sz w:val="20"/>
          <w:szCs w:val="20"/>
        </w:rPr>
        <w:t xml:space="preserve">Major millet crop cultivated in Telangana is sorghum, with a production of 2.39 lakh tonnes, from an area of 1.09 lakh ha covering around 95 per cent of the total area under millet cultivation in the state. Bajra is the second most cultivated crop followed by </w:t>
      </w:r>
      <w:proofErr w:type="spellStart"/>
      <w:r w:rsidR="00E0184F" w:rsidRPr="00D469EA">
        <w:rPr>
          <w:rFonts w:ascii="Arial" w:hAnsi="Arial" w:cs="Arial"/>
          <w:sz w:val="20"/>
          <w:szCs w:val="20"/>
        </w:rPr>
        <w:t>ragi</w:t>
      </w:r>
      <w:proofErr w:type="spellEnd"/>
      <w:r w:rsidR="00E0184F" w:rsidRPr="00D469EA">
        <w:rPr>
          <w:rFonts w:ascii="Arial" w:hAnsi="Arial" w:cs="Arial"/>
          <w:sz w:val="20"/>
          <w:szCs w:val="20"/>
        </w:rPr>
        <w:t xml:space="preserve"> and </w:t>
      </w:r>
      <w:proofErr w:type="spellStart"/>
      <w:r w:rsidR="00E0184F" w:rsidRPr="00D469EA">
        <w:rPr>
          <w:rFonts w:ascii="Arial" w:hAnsi="Arial" w:cs="Arial"/>
          <w:sz w:val="20"/>
          <w:szCs w:val="20"/>
        </w:rPr>
        <w:t>kodo</w:t>
      </w:r>
      <w:proofErr w:type="spellEnd"/>
      <w:r w:rsidR="00E0184F" w:rsidRPr="00D469EA">
        <w:rPr>
          <w:rFonts w:ascii="Arial" w:hAnsi="Arial" w:cs="Arial"/>
          <w:sz w:val="20"/>
          <w:szCs w:val="20"/>
        </w:rPr>
        <w:t xml:space="preserve"> millet. </w:t>
      </w:r>
      <w:proofErr w:type="spellStart"/>
      <w:r w:rsidR="00E0184F" w:rsidRPr="00D469EA">
        <w:rPr>
          <w:rFonts w:ascii="Arial" w:hAnsi="Arial" w:cs="Arial"/>
          <w:sz w:val="20"/>
          <w:szCs w:val="20"/>
        </w:rPr>
        <w:t>Sangareddy</w:t>
      </w:r>
      <w:proofErr w:type="spellEnd"/>
      <w:r w:rsidR="00E0184F" w:rsidRPr="00D469EA">
        <w:rPr>
          <w:rFonts w:ascii="Arial" w:hAnsi="Arial" w:cs="Arial"/>
          <w:sz w:val="20"/>
          <w:szCs w:val="20"/>
        </w:rPr>
        <w:t xml:space="preserve"> district emerged as the largest producer of sorghum in 2023-24. Nizamabad was the major producer of bajra, Mahbubnagar district was the major producer of </w:t>
      </w:r>
      <w:proofErr w:type="spellStart"/>
      <w:r w:rsidR="00E0184F" w:rsidRPr="00D469EA">
        <w:rPr>
          <w:rFonts w:ascii="Arial" w:hAnsi="Arial" w:cs="Arial"/>
          <w:sz w:val="20"/>
          <w:szCs w:val="20"/>
        </w:rPr>
        <w:t>ragi</w:t>
      </w:r>
      <w:proofErr w:type="spellEnd"/>
      <w:r w:rsidR="00E0184F" w:rsidRPr="00D469EA">
        <w:rPr>
          <w:rFonts w:ascii="Arial" w:hAnsi="Arial" w:cs="Arial"/>
          <w:sz w:val="20"/>
          <w:szCs w:val="20"/>
        </w:rPr>
        <w:t xml:space="preserve"> and </w:t>
      </w:r>
      <w:proofErr w:type="spellStart"/>
      <w:r w:rsidR="00E0184F" w:rsidRPr="00D469EA">
        <w:rPr>
          <w:rFonts w:ascii="Arial" w:hAnsi="Arial" w:cs="Arial"/>
          <w:sz w:val="20"/>
          <w:szCs w:val="20"/>
        </w:rPr>
        <w:t>Jogulamba</w:t>
      </w:r>
      <w:proofErr w:type="spellEnd"/>
      <w:r w:rsidR="00E0184F" w:rsidRPr="00D469EA">
        <w:rPr>
          <w:rFonts w:ascii="Arial" w:hAnsi="Arial" w:cs="Arial"/>
          <w:sz w:val="20"/>
          <w:szCs w:val="20"/>
        </w:rPr>
        <w:t xml:space="preserve"> district was the major producer of minor millets </w:t>
      </w:r>
      <w:bookmarkStart w:id="4" w:name="_Hlk193291910"/>
      <w:r w:rsidR="00E0184F" w:rsidRPr="00D469EA">
        <w:rPr>
          <w:rFonts w:ascii="Arial" w:hAnsi="Arial" w:cs="Arial"/>
          <w:sz w:val="20"/>
          <w:szCs w:val="20"/>
        </w:rPr>
        <w:t>(DES, 2024)</w:t>
      </w:r>
      <w:bookmarkEnd w:id="4"/>
      <w:r w:rsidR="00E0184F" w:rsidRPr="00D469EA">
        <w:rPr>
          <w:rFonts w:ascii="Arial" w:hAnsi="Arial" w:cs="Arial"/>
          <w:sz w:val="20"/>
          <w:szCs w:val="20"/>
        </w:rPr>
        <w:t xml:space="preserve">. </w:t>
      </w:r>
      <w:r w:rsidR="00CB6E18" w:rsidRPr="00D94E00">
        <w:rPr>
          <w:rFonts w:ascii="Arial" w:hAnsi="Arial" w:cs="Arial"/>
          <w:sz w:val="20"/>
          <w:szCs w:val="20"/>
        </w:rPr>
        <w:t>Figure 1</w:t>
      </w:r>
      <w:r w:rsidR="00C84D89" w:rsidRPr="00D94E00">
        <w:rPr>
          <w:rFonts w:ascii="Arial" w:hAnsi="Arial" w:cs="Arial"/>
          <w:sz w:val="20"/>
          <w:szCs w:val="20"/>
        </w:rPr>
        <w:t xml:space="preserve"> shows the area yield and production of major millet producing districts of Telangana.</w:t>
      </w:r>
    </w:p>
    <w:p w14:paraId="112ED9C5" w14:textId="3376FB4E" w:rsidR="001F2544" w:rsidRPr="00D94E00" w:rsidRDefault="001F2544" w:rsidP="00165A49">
      <w:pPr>
        <w:spacing w:line="240" w:lineRule="auto"/>
        <w:ind w:firstLine="720"/>
        <w:jc w:val="both"/>
        <w:rPr>
          <w:rFonts w:ascii="Arial" w:hAnsi="Arial" w:cs="Arial"/>
          <w:sz w:val="20"/>
          <w:szCs w:val="20"/>
        </w:rPr>
      </w:pPr>
    </w:p>
    <w:p w14:paraId="0CDD4DCD" w14:textId="658C75E7" w:rsidR="00CB6E18" w:rsidRPr="00731201" w:rsidRDefault="00CB6E18" w:rsidP="00E37B56">
      <w:pPr>
        <w:spacing w:line="240" w:lineRule="auto"/>
        <w:rPr>
          <w:rFonts w:ascii="Arial" w:hAnsi="Arial" w:cs="Arial"/>
          <w:b/>
          <w:bCs/>
          <w:sz w:val="20"/>
          <w:szCs w:val="20"/>
        </w:rPr>
      </w:pPr>
      <w:r w:rsidRPr="00731201">
        <w:rPr>
          <w:rFonts w:ascii="Arial" w:hAnsi="Arial" w:cs="Arial"/>
          <w:b/>
          <w:bCs/>
          <w:noProof/>
        </w:rPr>
        <w:t>Fig</w:t>
      </w:r>
      <w:r w:rsidR="00E00691" w:rsidRPr="00731201">
        <w:rPr>
          <w:rFonts w:ascii="Arial" w:hAnsi="Arial" w:cs="Arial"/>
          <w:b/>
          <w:bCs/>
          <w:noProof/>
        </w:rPr>
        <w:t>.</w:t>
      </w:r>
      <w:r w:rsidRPr="00731201">
        <w:rPr>
          <w:rFonts w:ascii="Arial" w:hAnsi="Arial" w:cs="Arial"/>
          <w:b/>
          <w:bCs/>
          <w:noProof/>
        </w:rPr>
        <w:t xml:space="preserve"> 1.</w:t>
      </w:r>
      <w:r w:rsidR="00401EBD" w:rsidRPr="00731201">
        <w:rPr>
          <w:rFonts w:ascii="Arial" w:hAnsi="Arial" w:cs="Arial"/>
          <w:b/>
          <w:bCs/>
          <w:sz w:val="20"/>
          <w:szCs w:val="20"/>
        </w:rPr>
        <w:t xml:space="preserve"> Area yield and production of major millet producing districts of </w:t>
      </w:r>
      <w:r w:rsidRPr="00731201">
        <w:rPr>
          <w:rFonts w:ascii="Arial" w:hAnsi="Arial" w:cs="Arial"/>
          <w:b/>
          <w:bCs/>
          <w:sz w:val="20"/>
          <w:szCs w:val="20"/>
        </w:rPr>
        <w:t>Telangana</w:t>
      </w:r>
    </w:p>
    <w:p w14:paraId="1452707A" w14:textId="77777777" w:rsidR="00C256C5" w:rsidRPr="00731201" w:rsidRDefault="00E37B56" w:rsidP="00C256C5">
      <w:pPr>
        <w:spacing w:line="360" w:lineRule="auto"/>
        <w:jc w:val="both"/>
        <w:rPr>
          <w:rFonts w:ascii="Arial" w:hAnsi="Arial" w:cs="Arial"/>
          <w:b/>
          <w:bCs/>
        </w:rPr>
      </w:pPr>
      <w:r w:rsidRPr="00731201">
        <w:rPr>
          <w:rFonts w:ascii="Arial" w:hAnsi="Arial" w:cs="Arial"/>
          <w:b/>
          <w:bCs/>
        </w:rPr>
        <w:t xml:space="preserve">3.2 </w:t>
      </w:r>
      <w:r w:rsidR="00C256C5" w:rsidRPr="00731201">
        <w:rPr>
          <w:rFonts w:ascii="Arial" w:hAnsi="Arial" w:cs="Arial"/>
          <w:b/>
          <w:bCs/>
        </w:rPr>
        <w:t xml:space="preserve">Trends in area, production and yield of millets in Telangana </w:t>
      </w:r>
    </w:p>
    <w:p w14:paraId="68FA89DC" w14:textId="66B4528C" w:rsidR="00217548" w:rsidRPr="00217548" w:rsidRDefault="00217548" w:rsidP="00524A4B">
      <w:pPr>
        <w:spacing w:line="240" w:lineRule="auto"/>
        <w:jc w:val="both"/>
        <w:rPr>
          <w:rFonts w:ascii="Arial" w:hAnsi="Arial" w:cs="Arial"/>
          <w:b/>
          <w:bCs/>
          <w:sz w:val="20"/>
          <w:szCs w:val="20"/>
        </w:rPr>
      </w:pPr>
      <w:r w:rsidRPr="00217548">
        <w:rPr>
          <w:rFonts w:ascii="Arial" w:hAnsi="Arial" w:cs="Arial"/>
          <w:sz w:val="20"/>
          <w:szCs w:val="20"/>
        </w:rPr>
        <w:t xml:space="preserve">The Polynomial trends fitted </w:t>
      </w:r>
      <w:r w:rsidRPr="00D94E00">
        <w:rPr>
          <w:rFonts w:ascii="Arial" w:hAnsi="Arial" w:cs="Arial"/>
          <w:sz w:val="20"/>
          <w:szCs w:val="20"/>
        </w:rPr>
        <w:t>on</w:t>
      </w:r>
      <w:r w:rsidRPr="00217548">
        <w:rPr>
          <w:rFonts w:ascii="Arial" w:hAnsi="Arial" w:cs="Arial"/>
          <w:sz w:val="20"/>
          <w:szCs w:val="20"/>
        </w:rPr>
        <w:t xml:space="preserve"> area, production and yield of total millets in Telangana during 2008–09 to 2023–24 is given in fig.</w:t>
      </w:r>
      <w:r w:rsidRPr="00D94E00">
        <w:rPr>
          <w:rFonts w:ascii="Arial" w:hAnsi="Arial" w:cs="Arial"/>
          <w:sz w:val="20"/>
          <w:szCs w:val="20"/>
        </w:rPr>
        <w:t xml:space="preserve"> 2</w:t>
      </w:r>
      <w:r w:rsidRPr="00217548">
        <w:rPr>
          <w:rFonts w:ascii="Arial" w:hAnsi="Arial" w:cs="Arial"/>
          <w:sz w:val="20"/>
          <w:szCs w:val="20"/>
        </w:rPr>
        <w:t>. The area revealed a sharp decline up to 2016–17, followed by a marginal recovery in subsequent years. Production also declined during the earlier period, but a distinct improvement is evident from 2018–19 onwards. This upturn in production can be mainly attributed to significant yield improvements, which accelerated after 2017–18 and peaked in 2023–24. The rise in productivity reflects the adoption of improved varieties, better crop management practices, and higher input use efficiency.</w:t>
      </w:r>
      <w:r w:rsidR="007A2E2E">
        <w:rPr>
          <w:rFonts w:ascii="Arial" w:hAnsi="Arial" w:cs="Arial"/>
          <w:sz w:val="20"/>
          <w:szCs w:val="20"/>
        </w:rPr>
        <w:t xml:space="preserve"> Similar results were reported for millets at national level </w:t>
      </w:r>
      <w:r w:rsidR="00BF3472">
        <w:rPr>
          <w:rFonts w:ascii="Arial" w:hAnsi="Arial" w:cs="Arial"/>
          <w:sz w:val="20"/>
          <w:szCs w:val="20"/>
        </w:rPr>
        <w:t xml:space="preserve">by Das, </w:t>
      </w:r>
      <w:r w:rsidR="00BF3472" w:rsidRPr="00BF3472">
        <w:rPr>
          <w:rFonts w:ascii="Arial" w:hAnsi="Arial" w:cs="Arial"/>
          <w:i/>
          <w:iCs/>
          <w:sz w:val="20"/>
          <w:szCs w:val="20"/>
        </w:rPr>
        <w:t>et a</w:t>
      </w:r>
      <w:r w:rsidR="00BF3472">
        <w:rPr>
          <w:rFonts w:ascii="Arial" w:hAnsi="Arial" w:cs="Arial"/>
          <w:sz w:val="20"/>
          <w:szCs w:val="20"/>
        </w:rPr>
        <w:t xml:space="preserve">l., 2019 and </w:t>
      </w:r>
      <w:r w:rsidR="007A2E2E">
        <w:rPr>
          <w:rFonts w:ascii="Arial" w:hAnsi="Arial" w:cs="Arial"/>
          <w:sz w:val="20"/>
          <w:szCs w:val="20"/>
        </w:rPr>
        <w:t>Madhu, 2024</w:t>
      </w:r>
      <w:r w:rsidR="00BF3472">
        <w:rPr>
          <w:rFonts w:ascii="Arial" w:hAnsi="Arial" w:cs="Arial"/>
          <w:sz w:val="20"/>
          <w:szCs w:val="20"/>
        </w:rPr>
        <w:t>.</w:t>
      </w:r>
      <w:r w:rsidRPr="00217548">
        <w:rPr>
          <w:rFonts w:ascii="Arial" w:hAnsi="Arial" w:cs="Arial"/>
          <w:sz w:val="20"/>
          <w:szCs w:val="20"/>
        </w:rPr>
        <w:t xml:space="preserve"> Policy support under the National Food Security Mission and state-level initiatives, coupled with growing consumer awareness of their nutritional benefits, further encouraged cultivation. Favourable rainfall conditions in certain years and a partial recovery in area also contributed to the growth in output. These findings suggest that the recent increase in production was more yield-driven rather than area-led</w:t>
      </w:r>
      <w:r w:rsidRPr="00D94E00">
        <w:rPr>
          <w:rFonts w:ascii="Arial" w:hAnsi="Arial" w:cs="Arial"/>
          <w:sz w:val="20"/>
          <w:szCs w:val="20"/>
        </w:rPr>
        <w:t>.</w:t>
      </w:r>
    </w:p>
    <w:p w14:paraId="6E87BCBF" w14:textId="02D4CA92" w:rsidR="00217548" w:rsidRPr="00217548" w:rsidRDefault="00217548" w:rsidP="00524A4B">
      <w:pPr>
        <w:spacing w:line="240" w:lineRule="auto"/>
        <w:jc w:val="both"/>
        <w:rPr>
          <w:rFonts w:ascii="Arial" w:hAnsi="Arial" w:cs="Arial"/>
          <w:b/>
          <w:bCs/>
          <w:sz w:val="24"/>
          <w:szCs w:val="24"/>
        </w:rPr>
      </w:pPr>
    </w:p>
    <w:p w14:paraId="6860E6F1" w14:textId="3F6F0E58" w:rsidR="00217548" w:rsidRPr="00217548" w:rsidRDefault="00217548" w:rsidP="00524A4B">
      <w:pPr>
        <w:spacing w:line="240" w:lineRule="auto"/>
        <w:jc w:val="both"/>
        <w:rPr>
          <w:rFonts w:ascii="Arial" w:hAnsi="Arial" w:cs="Arial"/>
          <w:b/>
          <w:bCs/>
          <w:sz w:val="24"/>
          <w:szCs w:val="24"/>
        </w:rPr>
      </w:pPr>
    </w:p>
    <w:p w14:paraId="6888999E" w14:textId="22B55CD4" w:rsidR="00217548" w:rsidRPr="00217548" w:rsidRDefault="00217548" w:rsidP="00524A4B">
      <w:pPr>
        <w:spacing w:line="240" w:lineRule="auto"/>
        <w:jc w:val="both"/>
        <w:rPr>
          <w:rFonts w:ascii="Arial" w:hAnsi="Arial" w:cs="Arial"/>
          <w:b/>
          <w:bCs/>
          <w:sz w:val="24"/>
          <w:szCs w:val="24"/>
        </w:rPr>
      </w:pPr>
    </w:p>
    <w:p w14:paraId="50F42CB0" w14:textId="0E05A06C" w:rsidR="00217548" w:rsidRPr="00217548" w:rsidRDefault="001F2544" w:rsidP="00524A4B">
      <w:pPr>
        <w:spacing w:line="240" w:lineRule="auto"/>
        <w:jc w:val="both"/>
        <w:rPr>
          <w:rFonts w:ascii="Arial" w:hAnsi="Arial" w:cs="Arial"/>
          <w:b/>
          <w:bCs/>
          <w:sz w:val="20"/>
          <w:szCs w:val="20"/>
        </w:rPr>
      </w:pPr>
      <w:r w:rsidRPr="00217548">
        <w:rPr>
          <w:rFonts w:ascii="Arial" w:hAnsi="Arial" w:cs="Arial"/>
          <w:noProof/>
        </w:rPr>
        <w:lastRenderedPageBreak/>
        <w:drawing>
          <wp:anchor distT="0" distB="0" distL="114300" distR="114300" simplePos="0" relativeHeight="251679744" behindDoc="0" locked="0" layoutInCell="1" allowOverlap="1" wp14:anchorId="65A3A690" wp14:editId="2A1F87F5">
            <wp:simplePos x="0" y="0"/>
            <wp:positionH relativeFrom="margin">
              <wp:posOffset>82550</wp:posOffset>
            </wp:positionH>
            <wp:positionV relativeFrom="margin">
              <wp:posOffset>-19050</wp:posOffset>
            </wp:positionV>
            <wp:extent cx="5505450" cy="2590800"/>
            <wp:effectExtent l="0" t="0" r="0" b="0"/>
            <wp:wrapTopAndBottom/>
            <wp:docPr id="13" name="Chart 13">
              <a:extLst xmlns:a="http://schemas.openxmlformats.org/drawingml/2006/main">
                <a:ext uri="{FF2B5EF4-FFF2-40B4-BE49-F238E27FC236}">
                  <a16:creationId xmlns:a16="http://schemas.microsoft.com/office/drawing/2014/main" id="{71A5A5EA-F3F7-42A0-9BF9-4761566B0F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217548" w:rsidRPr="00217548">
        <w:rPr>
          <w:rFonts w:ascii="Arial" w:hAnsi="Arial" w:cs="Arial"/>
          <w:b/>
          <w:bCs/>
          <w:sz w:val="20"/>
          <w:szCs w:val="20"/>
        </w:rPr>
        <w:t xml:space="preserve">Fig. </w:t>
      </w:r>
      <w:r w:rsidR="00AA5838" w:rsidRPr="00D94E00">
        <w:rPr>
          <w:rFonts w:ascii="Arial" w:hAnsi="Arial" w:cs="Arial"/>
          <w:b/>
          <w:bCs/>
          <w:sz w:val="20"/>
          <w:szCs w:val="20"/>
        </w:rPr>
        <w:t>2.</w:t>
      </w:r>
      <w:r w:rsidR="00217548" w:rsidRPr="00217548">
        <w:rPr>
          <w:rFonts w:ascii="Arial" w:hAnsi="Arial" w:cs="Arial"/>
          <w:b/>
          <w:bCs/>
          <w:sz w:val="20"/>
          <w:szCs w:val="20"/>
        </w:rPr>
        <w:t xml:space="preserve"> Trends in area, production and yield of millets in Telangana (2008-09 to 2023-24)</w:t>
      </w:r>
    </w:p>
    <w:p w14:paraId="390AF07D" w14:textId="1A75D2A9" w:rsidR="008564C6" w:rsidRDefault="00217548" w:rsidP="00F864CE">
      <w:pPr>
        <w:spacing w:line="240" w:lineRule="auto"/>
        <w:jc w:val="both"/>
        <w:rPr>
          <w:rFonts w:ascii="Arial" w:hAnsi="Arial" w:cs="Arial"/>
          <w:sz w:val="20"/>
          <w:szCs w:val="20"/>
        </w:rPr>
      </w:pPr>
      <w:r w:rsidRPr="00217548">
        <w:rPr>
          <w:rFonts w:ascii="Arial" w:hAnsi="Arial" w:cs="Arial"/>
          <w:sz w:val="20"/>
          <w:szCs w:val="20"/>
        </w:rPr>
        <w:t xml:space="preserve">The </w:t>
      </w:r>
      <w:r w:rsidRPr="00D94E00">
        <w:rPr>
          <w:rFonts w:ascii="Arial" w:hAnsi="Arial" w:cs="Arial"/>
          <w:sz w:val="20"/>
          <w:szCs w:val="20"/>
        </w:rPr>
        <w:t xml:space="preserve">trend in </w:t>
      </w:r>
      <w:r w:rsidRPr="00217548">
        <w:rPr>
          <w:rFonts w:ascii="Arial" w:hAnsi="Arial" w:cs="Arial"/>
          <w:sz w:val="20"/>
          <w:szCs w:val="20"/>
        </w:rPr>
        <w:t xml:space="preserve">area, production and yield of sorghum in Telangana (2008-09 to 2023-24) is depicted in Fig. </w:t>
      </w:r>
      <w:r w:rsidR="00AA5838" w:rsidRPr="00D94E00">
        <w:rPr>
          <w:rFonts w:ascii="Arial" w:hAnsi="Arial" w:cs="Arial"/>
          <w:sz w:val="20"/>
          <w:szCs w:val="20"/>
        </w:rPr>
        <w:t>3</w:t>
      </w:r>
      <w:r w:rsidRPr="00217548">
        <w:rPr>
          <w:rFonts w:ascii="Arial" w:hAnsi="Arial" w:cs="Arial"/>
          <w:sz w:val="20"/>
          <w:szCs w:val="20"/>
        </w:rPr>
        <w:t xml:space="preserve">. The area under sorghum cultivation registered a steep decline over the years, while production exhibited a fluctuating pattern with intermittent rises and falls. In contrast, yield showed a steady and consistent upward trend, particularly after 2017-18, indicating the productivity gains. These contrasting trends highlight the role of improved technology, better crop management practices, and adoption of high-yielding varieties in offsetting the decline in area and sustaining production. </w:t>
      </w:r>
    </w:p>
    <w:p w14:paraId="1F1BC32C" w14:textId="762F40D3" w:rsidR="008719FF" w:rsidRPr="001E4814" w:rsidRDefault="008719FF" w:rsidP="00F864CE">
      <w:pPr>
        <w:spacing w:line="240" w:lineRule="auto"/>
        <w:jc w:val="both"/>
        <w:rPr>
          <w:rFonts w:ascii="Arial" w:hAnsi="Arial" w:cs="Arial"/>
          <w:sz w:val="20"/>
          <w:szCs w:val="20"/>
        </w:rPr>
      </w:pPr>
      <w:r w:rsidRPr="00217548">
        <w:rPr>
          <w:rFonts w:ascii="Arial" w:hAnsi="Arial" w:cs="Arial"/>
          <w:noProof/>
        </w:rPr>
        <w:drawing>
          <wp:inline distT="0" distB="0" distL="0" distR="0" wp14:anchorId="0DD6CD8D" wp14:editId="0498471C">
            <wp:extent cx="5626100" cy="2565400"/>
            <wp:effectExtent l="0" t="0" r="12700" b="6350"/>
            <wp:docPr id="15" name="Chart 15">
              <a:extLst xmlns:a="http://schemas.openxmlformats.org/drawingml/2006/main">
                <a:ext uri="{FF2B5EF4-FFF2-40B4-BE49-F238E27FC236}">
                  <a16:creationId xmlns:a16="http://schemas.microsoft.com/office/drawing/2014/main" id="{C01BAC33-4111-49DF-BA80-C4F0958CB1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91897A" w14:textId="20A1B07F" w:rsidR="00217548" w:rsidRDefault="00217548" w:rsidP="00524A4B">
      <w:pPr>
        <w:spacing w:line="240" w:lineRule="auto"/>
        <w:jc w:val="both"/>
        <w:rPr>
          <w:rFonts w:ascii="Arial" w:hAnsi="Arial" w:cs="Arial"/>
          <w:b/>
          <w:bCs/>
          <w:sz w:val="20"/>
          <w:szCs w:val="20"/>
        </w:rPr>
      </w:pPr>
      <w:r w:rsidRPr="00217548">
        <w:rPr>
          <w:rFonts w:ascii="Arial" w:hAnsi="Arial" w:cs="Arial"/>
          <w:b/>
          <w:bCs/>
          <w:sz w:val="20"/>
          <w:szCs w:val="20"/>
        </w:rPr>
        <w:t>Fig.</w:t>
      </w:r>
      <w:r w:rsidR="00AA5838" w:rsidRPr="00D94E00">
        <w:rPr>
          <w:rFonts w:ascii="Arial" w:hAnsi="Arial" w:cs="Arial"/>
          <w:b/>
          <w:bCs/>
          <w:sz w:val="20"/>
          <w:szCs w:val="20"/>
        </w:rPr>
        <w:t>3.</w:t>
      </w:r>
      <w:r w:rsidRPr="00217548">
        <w:rPr>
          <w:rFonts w:ascii="Arial" w:hAnsi="Arial" w:cs="Arial"/>
          <w:b/>
          <w:bCs/>
          <w:sz w:val="20"/>
          <w:szCs w:val="20"/>
        </w:rPr>
        <w:t xml:space="preserve"> Trends in area, production and yield of sorghum in Telangana (2008-09 to 2023-24)</w:t>
      </w:r>
    </w:p>
    <w:p w14:paraId="7C7B133C" w14:textId="3FB0EA69" w:rsidR="001E4814" w:rsidRPr="00217548" w:rsidRDefault="001E4814" w:rsidP="00F864CE">
      <w:pPr>
        <w:spacing w:line="240" w:lineRule="auto"/>
        <w:jc w:val="both"/>
        <w:rPr>
          <w:rFonts w:ascii="Arial" w:hAnsi="Arial" w:cs="Arial"/>
          <w:sz w:val="20"/>
          <w:szCs w:val="20"/>
        </w:rPr>
      </w:pPr>
      <w:r>
        <w:rPr>
          <w:rFonts w:ascii="Arial" w:hAnsi="Arial" w:cs="Arial"/>
          <w:sz w:val="20"/>
          <w:szCs w:val="20"/>
        </w:rPr>
        <w:t>T</w:t>
      </w:r>
      <w:r w:rsidRPr="00217548">
        <w:rPr>
          <w:rFonts w:ascii="Arial" w:hAnsi="Arial" w:cs="Arial"/>
          <w:sz w:val="20"/>
          <w:szCs w:val="20"/>
        </w:rPr>
        <w:t xml:space="preserve">he </w:t>
      </w:r>
      <w:r w:rsidRPr="00D94E00">
        <w:rPr>
          <w:rFonts w:ascii="Arial" w:hAnsi="Arial" w:cs="Arial"/>
          <w:sz w:val="20"/>
          <w:szCs w:val="20"/>
        </w:rPr>
        <w:t xml:space="preserve">trend in </w:t>
      </w:r>
      <w:r w:rsidRPr="00217548">
        <w:rPr>
          <w:rFonts w:ascii="Arial" w:hAnsi="Arial" w:cs="Arial"/>
          <w:sz w:val="20"/>
          <w:szCs w:val="20"/>
        </w:rPr>
        <w:t>area, production and yield of pearl millet in Telangana (2008-09 to 2023-24) is presented in Fig. 4. The area under pearl millet showed a sharp and continuous decline over the years, with only minor fluctuations. Production also followed a declining and unstable trend, reflecting the contraction in acreage. In contrast, yield exhibited an overall upward trajectory, with significant improvement after 2020-21, peaking in 2023-24. This suggests that despite the drastic reduction in cultivated area, productivity gains helped in partially offsetting the production losses</w:t>
      </w:r>
      <w:r>
        <w:rPr>
          <w:rFonts w:ascii="Arial" w:hAnsi="Arial" w:cs="Arial"/>
          <w:sz w:val="20"/>
          <w:szCs w:val="20"/>
        </w:rPr>
        <w:t>.</w:t>
      </w:r>
      <w:r w:rsidRPr="00217548">
        <w:rPr>
          <w:rFonts w:ascii="Arial" w:hAnsi="Arial" w:cs="Arial"/>
          <w:sz w:val="20"/>
          <w:szCs w:val="20"/>
        </w:rPr>
        <w:t xml:space="preserve"> </w:t>
      </w:r>
    </w:p>
    <w:p w14:paraId="75FCC0BD" w14:textId="77777777" w:rsidR="001E4814" w:rsidRPr="001E4814" w:rsidRDefault="001E4814" w:rsidP="00524A4B">
      <w:pPr>
        <w:spacing w:line="240" w:lineRule="auto"/>
        <w:jc w:val="both"/>
        <w:rPr>
          <w:rFonts w:ascii="Arial" w:hAnsi="Arial" w:cs="Arial"/>
          <w:sz w:val="20"/>
          <w:szCs w:val="20"/>
        </w:rPr>
      </w:pPr>
    </w:p>
    <w:p w14:paraId="63747FC6" w14:textId="758426B5" w:rsidR="00217548" w:rsidRPr="00217548" w:rsidRDefault="001E4814" w:rsidP="001E4814">
      <w:pPr>
        <w:spacing w:line="240" w:lineRule="auto"/>
        <w:jc w:val="both"/>
        <w:rPr>
          <w:rFonts w:ascii="Arial" w:hAnsi="Arial" w:cs="Arial"/>
          <w:b/>
          <w:bCs/>
          <w:sz w:val="20"/>
          <w:szCs w:val="20"/>
        </w:rPr>
      </w:pPr>
      <w:r w:rsidRPr="00217548">
        <w:rPr>
          <w:rFonts w:ascii="Arial" w:hAnsi="Arial" w:cs="Arial"/>
          <w:noProof/>
          <w:sz w:val="18"/>
          <w:szCs w:val="18"/>
        </w:rPr>
        <w:lastRenderedPageBreak/>
        <w:drawing>
          <wp:anchor distT="0" distB="0" distL="114300" distR="114300" simplePos="0" relativeHeight="251667456" behindDoc="0" locked="0" layoutInCell="1" allowOverlap="1" wp14:anchorId="373A03A5" wp14:editId="34A86A0D">
            <wp:simplePos x="0" y="0"/>
            <wp:positionH relativeFrom="column">
              <wp:posOffset>234950</wp:posOffset>
            </wp:positionH>
            <wp:positionV relativeFrom="paragraph">
              <wp:posOffset>0</wp:posOffset>
            </wp:positionV>
            <wp:extent cx="5302250" cy="2432050"/>
            <wp:effectExtent l="0" t="0" r="0" b="0"/>
            <wp:wrapTopAndBottom/>
            <wp:docPr id="25" name="Chart 25">
              <a:extLst xmlns:a="http://schemas.openxmlformats.org/drawingml/2006/main">
                <a:ext uri="{FF2B5EF4-FFF2-40B4-BE49-F238E27FC236}">
                  <a16:creationId xmlns:a16="http://schemas.microsoft.com/office/drawing/2014/main" id="{0F4FE70D-0C19-4994-87CD-21C77F19EE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217548" w:rsidRPr="00217548">
        <w:rPr>
          <w:rFonts w:ascii="Arial" w:hAnsi="Arial" w:cs="Arial"/>
          <w:b/>
          <w:bCs/>
          <w:sz w:val="20"/>
          <w:szCs w:val="20"/>
        </w:rPr>
        <w:t>Fig. 4. Trends in area, production and yield of pearl millet in Telangana (2008-09 to 2023-24)</w:t>
      </w:r>
    </w:p>
    <w:p w14:paraId="0756BB0E" w14:textId="5375FD1B" w:rsidR="00217548" w:rsidRPr="00217548" w:rsidRDefault="00217548" w:rsidP="00F864CE">
      <w:pPr>
        <w:spacing w:line="240" w:lineRule="auto"/>
        <w:jc w:val="both"/>
        <w:rPr>
          <w:rFonts w:ascii="Arial" w:hAnsi="Arial" w:cs="Arial"/>
          <w:sz w:val="20"/>
          <w:szCs w:val="20"/>
        </w:rPr>
      </w:pPr>
      <w:r w:rsidRPr="00217548">
        <w:rPr>
          <w:rFonts w:ascii="Arial" w:hAnsi="Arial" w:cs="Arial"/>
          <w:sz w:val="20"/>
          <w:szCs w:val="20"/>
        </w:rPr>
        <w:t xml:space="preserve">The </w:t>
      </w:r>
      <w:r w:rsidR="008564C6">
        <w:rPr>
          <w:rFonts w:ascii="Arial" w:hAnsi="Arial" w:cs="Arial"/>
          <w:sz w:val="20"/>
          <w:szCs w:val="20"/>
        </w:rPr>
        <w:t xml:space="preserve">polynomial trend fitted to </w:t>
      </w:r>
      <w:r w:rsidRPr="00217548">
        <w:rPr>
          <w:rFonts w:ascii="Arial" w:hAnsi="Arial" w:cs="Arial"/>
          <w:sz w:val="20"/>
          <w:szCs w:val="20"/>
        </w:rPr>
        <w:t xml:space="preserve">area, production and yield of finger millet in Telangana (2008-09 to 2023-24) is shown in Fig. </w:t>
      </w:r>
      <w:r w:rsidR="008564C6">
        <w:rPr>
          <w:rFonts w:ascii="Arial" w:hAnsi="Arial" w:cs="Arial"/>
          <w:sz w:val="20"/>
          <w:szCs w:val="20"/>
        </w:rPr>
        <w:t>5.</w:t>
      </w:r>
      <w:r w:rsidRPr="00217548">
        <w:rPr>
          <w:rFonts w:ascii="Arial" w:hAnsi="Arial" w:cs="Arial"/>
          <w:sz w:val="20"/>
          <w:szCs w:val="20"/>
        </w:rPr>
        <w:t xml:space="preserve"> The area under finger millet witnessed a continuous decline with occasional fluctuations, reflecting its shrinking importance in the cropping pattern. Production too followed a similar declining and unstable pattern, largely influenced by the contraction in acreage. Yield, on the other hand, showed wide fluctuations across the years, with occasional peaks in 2013-14, 2019-20, and 2021-22, but without a consistent upward trend. This indicates that productivity improvements were not stable enough to compensate for the declining area and production. </w:t>
      </w:r>
    </w:p>
    <w:p w14:paraId="2A36FF2F" w14:textId="68FB939D" w:rsidR="008564C6" w:rsidRDefault="00D94E00" w:rsidP="008564C6">
      <w:pPr>
        <w:spacing w:line="240" w:lineRule="auto"/>
        <w:jc w:val="both"/>
        <w:rPr>
          <w:rFonts w:ascii="Arial" w:hAnsi="Arial" w:cs="Arial"/>
          <w:b/>
          <w:bCs/>
          <w:sz w:val="20"/>
          <w:szCs w:val="20"/>
        </w:rPr>
      </w:pPr>
      <w:r w:rsidRPr="00217548">
        <w:rPr>
          <w:rFonts w:ascii="Arial" w:hAnsi="Arial" w:cs="Arial"/>
          <w:noProof/>
        </w:rPr>
        <w:drawing>
          <wp:anchor distT="0" distB="0" distL="114300" distR="114300" simplePos="0" relativeHeight="251665408" behindDoc="0" locked="0" layoutInCell="1" allowOverlap="1" wp14:anchorId="4F548BDE" wp14:editId="6020944B">
            <wp:simplePos x="0" y="0"/>
            <wp:positionH relativeFrom="column">
              <wp:posOffset>456809</wp:posOffset>
            </wp:positionH>
            <wp:positionV relativeFrom="paragraph">
              <wp:posOffset>98</wp:posOffset>
            </wp:positionV>
            <wp:extent cx="4972685" cy="2313940"/>
            <wp:effectExtent l="0" t="0" r="18415" b="10160"/>
            <wp:wrapTopAndBottom/>
            <wp:docPr id="16" name="Chart 16">
              <a:extLst xmlns:a="http://schemas.openxmlformats.org/drawingml/2006/main">
                <a:ext uri="{FF2B5EF4-FFF2-40B4-BE49-F238E27FC236}">
                  <a16:creationId xmlns:a16="http://schemas.microsoft.com/office/drawing/2014/main" id="{F022A223-BD29-475A-83D9-034B7801BD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217548" w:rsidRPr="00217548">
        <w:rPr>
          <w:rFonts w:ascii="Arial" w:hAnsi="Arial" w:cs="Arial"/>
          <w:b/>
          <w:bCs/>
          <w:sz w:val="20"/>
          <w:szCs w:val="20"/>
        </w:rPr>
        <w:t xml:space="preserve">Fig. </w:t>
      </w:r>
      <w:r w:rsidR="008564C6">
        <w:rPr>
          <w:rFonts w:ascii="Arial" w:hAnsi="Arial" w:cs="Arial"/>
          <w:b/>
          <w:bCs/>
          <w:sz w:val="20"/>
          <w:szCs w:val="20"/>
        </w:rPr>
        <w:t>5</w:t>
      </w:r>
      <w:r w:rsidR="00217548" w:rsidRPr="00217548">
        <w:rPr>
          <w:rFonts w:ascii="Arial" w:hAnsi="Arial" w:cs="Arial"/>
          <w:b/>
          <w:bCs/>
          <w:sz w:val="20"/>
          <w:szCs w:val="20"/>
        </w:rPr>
        <w:t xml:space="preserve"> Trends in area, production and yield of finger millet in Telangana (2008-09 to 2023-24)</w:t>
      </w:r>
    </w:p>
    <w:p w14:paraId="4068A091" w14:textId="4B8E9B71" w:rsidR="00217548" w:rsidRDefault="008564C6" w:rsidP="008564C6">
      <w:pPr>
        <w:spacing w:line="240" w:lineRule="auto"/>
        <w:jc w:val="both"/>
        <w:rPr>
          <w:rFonts w:ascii="Arial" w:hAnsi="Arial" w:cs="Arial"/>
          <w:sz w:val="20"/>
          <w:szCs w:val="20"/>
        </w:rPr>
      </w:pPr>
      <w:r w:rsidRPr="00217548">
        <w:rPr>
          <w:rFonts w:ascii="Arial" w:hAnsi="Arial" w:cs="Arial"/>
          <w:sz w:val="20"/>
          <w:szCs w:val="20"/>
        </w:rPr>
        <w:t>The area, production and yield of minor millets in Telangana (2008-09 to 2023-24) is presented in Fig.</w:t>
      </w:r>
      <w:r w:rsidR="008123FB">
        <w:rPr>
          <w:rFonts w:ascii="Arial" w:hAnsi="Arial" w:cs="Arial"/>
          <w:sz w:val="20"/>
          <w:szCs w:val="20"/>
        </w:rPr>
        <w:t xml:space="preserve"> 6</w:t>
      </w:r>
      <w:r w:rsidRPr="00217548">
        <w:rPr>
          <w:rFonts w:ascii="Arial" w:hAnsi="Arial" w:cs="Arial"/>
          <w:sz w:val="20"/>
          <w:szCs w:val="20"/>
        </w:rPr>
        <w:t>. The area under minor millets remained very limited and irregular, with sharp fluctuations across the years, indicating their marginal role in the cropping system. Production too exhibited a highly unstable pattern, moving closely with area changes. Yield, however, showed a relatively better</w:t>
      </w:r>
      <w:r>
        <w:rPr>
          <w:rFonts w:ascii="Arial" w:hAnsi="Arial" w:cs="Arial"/>
          <w:sz w:val="20"/>
          <w:szCs w:val="20"/>
        </w:rPr>
        <w:t xml:space="preserve"> </w:t>
      </w:r>
      <w:r w:rsidRPr="00217548">
        <w:rPr>
          <w:rFonts w:ascii="Arial" w:hAnsi="Arial" w:cs="Arial"/>
          <w:sz w:val="20"/>
          <w:szCs w:val="20"/>
        </w:rPr>
        <w:t>performance</w:t>
      </w:r>
      <w:r w:rsidR="00217548" w:rsidRPr="00217548">
        <w:rPr>
          <w:rFonts w:ascii="Arial" w:hAnsi="Arial" w:cs="Arial"/>
          <w:sz w:val="20"/>
          <w:szCs w:val="20"/>
        </w:rPr>
        <w:t xml:space="preserve">, with a gradual rising trend and notable peaks around 2019-20 and 2023-24. This suggests </w:t>
      </w:r>
      <w:r w:rsidR="008123FB">
        <w:rPr>
          <w:rFonts w:ascii="Arial" w:hAnsi="Arial" w:cs="Arial"/>
          <w:sz w:val="20"/>
          <w:szCs w:val="20"/>
        </w:rPr>
        <w:t>th</w:t>
      </w:r>
      <w:r w:rsidRPr="00217548">
        <w:rPr>
          <w:rFonts w:ascii="Arial" w:hAnsi="Arial" w:cs="Arial"/>
          <w:sz w:val="20"/>
          <w:szCs w:val="20"/>
        </w:rPr>
        <w:t xml:space="preserve">at while area and production remained erratic, productivity improvements helped sustain the crop to some extent. </w:t>
      </w:r>
    </w:p>
    <w:p w14:paraId="4689B92C" w14:textId="38EE2826" w:rsidR="00217548" w:rsidRDefault="001E4814" w:rsidP="00524A4B">
      <w:pPr>
        <w:spacing w:line="240" w:lineRule="auto"/>
        <w:jc w:val="both"/>
        <w:rPr>
          <w:rFonts w:ascii="Arial" w:hAnsi="Arial" w:cs="Arial"/>
          <w:b/>
          <w:bCs/>
          <w:sz w:val="20"/>
          <w:szCs w:val="20"/>
        </w:rPr>
      </w:pPr>
      <w:r w:rsidRPr="00217548">
        <w:rPr>
          <w:rFonts w:ascii="Arial" w:hAnsi="Arial" w:cs="Arial"/>
          <w:noProof/>
          <w:sz w:val="18"/>
          <w:szCs w:val="18"/>
        </w:rPr>
        <w:lastRenderedPageBreak/>
        <w:drawing>
          <wp:anchor distT="0" distB="0" distL="114300" distR="114300" simplePos="0" relativeHeight="251673600" behindDoc="0" locked="0" layoutInCell="1" allowOverlap="1" wp14:anchorId="2C3CD3CF" wp14:editId="2E00AADC">
            <wp:simplePos x="0" y="0"/>
            <wp:positionH relativeFrom="column">
              <wp:posOffset>268605</wp:posOffset>
            </wp:positionH>
            <wp:positionV relativeFrom="paragraph">
              <wp:posOffset>635</wp:posOffset>
            </wp:positionV>
            <wp:extent cx="4916170" cy="2488565"/>
            <wp:effectExtent l="0" t="0" r="17780" b="6985"/>
            <wp:wrapTopAndBottom/>
            <wp:docPr id="27" name="Chart 27">
              <a:extLst xmlns:a="http://schemas.openxmlformats.org/drawingml/2006/main">
                <a:ext uri="{FF2B5EF4-FFF2-40B4-BE49-F238E27FC236}">
                  <a16:creationId xmlns:a16="http://schemas.microsoft.com/office/drawing/2014/main" id="{A3586B6E-E314-443F-B06E-8DA54C7DAB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217548" w:rsidRPr="00217548">
        <w:rPr>
          <w:rFonts w:ascii="Arial" w:hAnsi="Arial" w:cs="Arial"/>
          <w:b/>
          <w:bCs/>
          <w:sz w:val="20"/>
          <w:szCs w:val="20"/>
        </w:rPr>
        <w:t xml:space="preserve">Fig. </w:t>
      </w:r>
      <w:r w:rsidR="008123FB">
        <w:rPr>
          <w:rFonts w:ascii="Arial" w:hAnsi="Arial" w:cs="Arial"/>
          <w:b/>
          <w:bCs/>
          <w:sz w:val="20"/>
          <w:szCs w:val="20"/>
        </w:rPr>
        <w:t>6.</w:t>
      </w:r>
      <w:r w:rsidR="00217548" w:rsidRPr="00217548">
        <w:rPr>
          <w:rFonts w:ascii="Arial" w:hAnsi="Arial" w:cs="Arial"/>
          <w:b/>
          <w:bCs/>
          <w:sz w:val="20"/>
          <w:szCs w:val="20"/>
        </w:rPr>
        <w:t xml:space="preserve"> Trends in area, production and yield of minor millets in Telangana (2008-09 to 2023-24)</w:t>
      </w:r>
    </w:p>
    <w:p w14:paraId="3BEFDAE3" w14:textId="20415721" w:rsidR="008123FB" w:rsidRPr="008123FB" w:rsidRDefault="00731201" w:rsidP="008123FB">
      <w:pPr>
        <w:spacing w:line="240" w:lineRule="auto"/>
        <w:jc w:val="both"/>
        <w:rPr>
          <w:rFonts w:ascii="Arial" w:hAnsi="Arial" w:cs="Arial"/>
          <w:b/>
          <w:bCs/>
        </w:rPr>
      </w:pPr>
      <w:r w:rsidRPr="00731201">
        <w:rPr>
          <w:rFonts w:ascii="Arial" w:hAnsi="Arial" w:cs="Arial"/>
          <w:b/>
          <w:bCs/>
        </w:rPr>
        <w:t xml:space="preserve">3.3 </w:t>
      </w:r>
      <w:r w:rsidR="008123FB" w:rsidRPr="008123FB">
        <w:rPr>
          <w:rFonts w:ascii="Arial" w:hAnsi="Arial" w:cs="Arial"/>
          <w:b/>
          <w:bCs/>
        </w:rPr>
        <w:t xml:space="preserve">Growth rates in area, production and yield of millets in Telangana </w:t>
      </w:r>
      <w:bookmarkStart w:id="5" w:name="_Hlk208943764"/>
    </w:p>
    <w:bookmarkEnd w:id="5"/>
    <w:p w14:paraId="7BACFC98" w14:textId="6A66034A" w:rsidR="008123FB" w:rsidRPr="008123FB" w:rsidRDefault="008123FB" w:rsidP="008123FB">
      <w:pPr>
        <w:spacing w:line="240" w:lineRule="auto"/>
        <w:jc w:val="both"/>
        <w:rPr>
          <w:rFonts w:ascii="Arial" w:hAnsi="Arial" w:cs="Arial"/>
          <w:sz w:val="20"/>
          <w:szCs w:val="20"/>
        </w:rPr>
      </w:pPr>
      <w:r w:rsidRPr="008123FB">
        <w:rPr>
          <w:rFonts w:ascii="Arial" w:hAnsi="Arial" w:cs="Arial"/>
          <w:sz w:val="20"/>
          <w:szCs w:val="20"/>
        </w:rPr>
        <w:t xml:space="preserve">The Compound Annual Growth Rates of area production and yield of millets in Telangana state during 2008-09 to 2023-24 were estimated and the results are shown in table </w:t>
      </w:r>
      <w:r w:rsidR="003F6142">
        <w:rPr>
          <w:rFonts w:ascii="Arial" w:hAnsi="Arial" w:cs="Arial"/>
          <w:sz w:val="20"/>
          <w:szCs w:val="20"/>
        </w:rPr>
        <w:t>2</w:t>
      </w:r>
      <w:r w:rsidRPr="008123FB">
        <w:rPr>
          <w:rFonts w:ascii="Arial" w:hAnsi="Arial" w:cs="Arial"/>
          <w:sz w:val="20"/>
          <w:szCs w:val="20"/>
        </w:rPr>
        <w:t>.</w:t>
      </w:r>
    </w:p>
    <w:p w14:paraId="36635405" w14:textId="501628DD" w:rsidR="008123FB" w:rsidRPr="008123FB" w:rsidRDefault="008123FB" w:rsidP="008123FB">
      <w:pPr>
        <w:spacing w:line="240" w:lineRule="auto"/>
        <w:jc w:val="both"/>
        <w:rPr>
          <w:rFonts w:ascii="Arial" w:hAnsi="Arial" w:cs="Arial"/>
          <w:b/>
          <w:bCs/>
          <w:sz w:val="20"/>
          <w:szCs w:val="20"/>
        </w:rPr>
      </w:pPr>
      <w:r w:rsidRPr="008123FB">
        <w:rPr>
          <w:rFonts w:ascii="Arial" w:hAnsi="Arial" w:cs="Arial"/>
          <w:b/>
          <w:bCs/>
          <w:sz w:val="20"/>
          <w:szCs w:val="20"/>
        </w:rPr>
        <w:t xml:space="preserve">Table </w:t>
      </w:r>
      <w:r w:rsidR="00ED3C0D">
        <w:rPr>
          <w:rFonts w:ascii="Arial" w:hAnsi="Arial" w:cs="Arial"/>
          <w:b/>
          <w:bCs/>
          <w:sz w:val="20"/>
          <w:szCs w:val="20"/>
        </w:rPr>
        <w:t>2</w:t>
      </w:r>
      <w:r w:rsidRPr="008123FB">
        <w:rPr>
          <w:rFonts w:ascii="Arial" w:hAnsi="Arial" w:cs="Arial"/>
          <w:b/>
          <w:bCs/>
          <w:sz w:val="20"/>
          <w:szCs w:val="20"/>
        </w:rPr>
        <w:t xml:space="preserve">. Growth rates in area, production and yield of millets in Telangana </w:t>
      </w:r>
      <w:bookmarkStart w:id="6" w:name="_Hlk208943844"/>
      <w:r w:rsidRPr="008123FB">
        <w:rPr>
          <w:rFonts w:ascii="Arial" w:hAnsi="Arial" w:cs="Arial"/>
          <w:b/>
          <w:bCs/>
          <w:sz w:val="20"/>
          <w:szCs w:val="20"/>
        </w:rPr>
        <w:t>(2008-09 to 2023-24)</w:t>
      </w:r>
      <w:bookmarkEnd w:id="6"/>
    </w:p>
    <w:tbl>
      <w:tblPr>
        <w:tblStyle w:val="TableGrid"/>
        <w:tblW w:w="85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387"/>
        <w:gridCol w:w="1503"/>
        <w:gridCol w:w="1417"/>
        <w:gridCol w:w="1276"/>
        <w:gridCol w:w="1559"/>
      </w:tblGrid>
      <w:tr w:rsidR="008123FB" w:rsidRPr="008123FB" w14:paraId="4C6960AD" w14:textId="77777777" w:rsidTr="00ED3C0D">
        <w:trPr>
          <w:trHeight w:val="267"/>
        </w:trPr>
        <w:tc>
          <w:tcPr>
            <w:tcW w:w="1363" w:type="dxa"/>
            <w:tcBorders>
              <w:top w:val="single" w:sz="4" w:space="0" w:color="auto"/>
              <w:bottom w:val="single" w:sz="4" w:space="0" w:color="auto"/>
            </w:tcBorders>
            <w:noWrap/>
            <w:vAlign w:val="center"/>
            <w:hideMark/>
          </w:tcPr>
          <w:p w14:paraId="1B9B26F3" w14:textId="77777777" w:rsidR="008123FB" w:rsidRPr="008123FB" w:rsidRDefault="008123FB" w:rsidP="008123FB">
            <w:pPr>
              <w:spacing w:after="160"/>
              <w:jc w:val="both"/>
              <w:rPr>
                <w:rFonts w:ascii="Arial" w:hAnsi="Arial" w:cs="Arial"/>
                <w:b/>
                <w:bCs/>
                <w:sz w:val="20"/>
                <w:szCs w:val="20"/>
              </w:rPr>
            </w:pPr>
            <w:r w:rsidRPr="008123FB">
              <w:rPr>
                <w:rFonts w:ascii="Arial" w:hAnsi="Arial" w:cs="Arial"/>
                <w:b/>
                <w:bCs/>
                <w:sz w:val="20"/>
                <w:szCs w:val="20"/>
              </w:rPr>
              <w:t>Parameter</w:t>
            </w:r>
          </w:p>
        </w:tc>
        <w:tc>
          <w:tcPr>
            <w:tcW w:w="1387" w:type="dxa"/>
            <w:tcBorders>
              <w:top w:val="single" w:sz="4" w:space="0" w:color="auto"/>
              <w:bottom w:val="single" w:sz="4" w:space="0" w:color="auto"/>
            </w:tcBorders>
            <w:noWrap/>
            <w:vAlign w:val="center"/>
            <w:hideMark/>
          </w:tcPr>
          <w:p w14:paraId="2A31F7AB" w14:textId="77777777" w:rsidR="008123FB" w:rsidRPr="008123FB" w:rsidRDefault="008123FB" w:rsidP="008123FB">
            <w:pPr>
              <w:spacing w:after="160"/>
              <w:jc w:val="both"/>
              <w:rPr>
                <w:rFonts w:ascii="Arial" w:hAnsi="Arial" w:cs="Arial"/>
                <w:b/>
                <w:bCs/>
                <w:sz w:val="20"/>
                <w:szCs w:val="20"/>
              </w:rPr>
            </w:pPr>
            <w:r w:rsidRPr="008123FB">
              <w:rPr>
                <w:rFonts w:ascii="Arial" w:hAnsi="Arial" w:cs="Arial"/>
                <w:b/>
                <w:bCs/>
                <w:sz w:val="20"/>
                <w:szCs w:val="20"/>
              </w:rPr>
              <w:t>Sorghum</w:t>
            </w:r>
          </w:p>
        </w:tc>
        <w:tc>
          <w:tcPr>
            <w:tcW w:w="1503" w:type="dxa"/>
            <w:tcBorders>
              <w:top w:val="single" w:sz="4" w:space="0" w:color="auto"/>
              <w:bottom w:val="single" w:sz="4" w:space="0" w:color="auto"/>
            </w:tcBorders>
            <w:noWrap/>
            <w:vAlign w:val="center"/>
            <w:hideMark/>
          </w:tcPr>
          <w:p w14:paraId="59F72839" w14:textId="77777777" w:rsidR="008123FB" w:rsidRPr="008123FB" w:rsidRDefault="008123FB" w:rsidP="008123FB">
            <w:pPr>
              <w:spacing w:after="160"/>
              <w:jc w:val="both"/>
              <w:rPr>
                <w:rFonts w:ascii="Arial" w:hAnsi="Arial" w:cs="Arial"/>
                <w:b/>
                <w:bCs/>
                <w:sz w:val="20"/>
                <w:szCs w:val="20"/>
              </w:rPr>
            </w:pPr>
            <w:r w:rsidRPr="008123FB">
              <w:rPr>
                <w:rFonts w:ascii="Arial" w:hAnsi="Arial" w:cs="Arial"/>
                <w:b/>
                <w:bCs/>
                <w:sz w:val="20"/>
                <w:szCs w:val="20"/>
              </w:rPr>
              <w:t>Pearl millet</w:t>
            </w:r>
          </w:p>
        </w:tc>
        <w:tc>
          <w:tcPr>
            <w:tcW w:w="1417" w:type="dxa"/>
            <w:tcBorders>
              <w:top w:val="single" w:sz="4" w:space="0" w:color="auto"/>
              <w:bottom w:val="single" w:sz="4" w:space="0" w:color="auto"/>
            </w:tcBorders>
            <w:noWrap/>
            <w:vAlign w:val="center"/>
            <w:hideMark/>
          </w:tcPr>
          <w:p w14:paraId="79CEE905" w14:textId="77777777" w:rsidR="008123FB" w:rsidRPr="008123FB" w:rsidRDefault="008123FB" w:rsidP="008123FB">
            <w:pPr>
              <w:spacing w:after="160"/>
              <w:jc w:val="both"/>
              <w:rPr>
                <w:rFonts w:ascii="Arial" w:hAnsi="Arial" w:cs="Arial"/>
                <w:b/>
                <w:bCs/>
                <w:sz w:val="20"/>
                <w:szCs w:val="20"/>
              </w:rPr>
            </w:pPr>
            <w:r w:rsidRPr="008123FB">
              <w:rPr>
                <w:rFonts w:ascii="Arial" w:hAnsi="Arial" w:cs="Arial"/>
                <w:b/>
                <w:bCs/>
                <w:sz w:val="20"/>
                <w:szCs w:val="20"/>
              </w:rPr>
              <w:t>Finger millet</w:t>
            </w:r>
          </w:p>
        </w:tc>
        <w:tc>
          <w:tcPr>
            <w:tcW w:w="1276" w:type="dxa"/>
            <w:tcBorders>
              <w:top w:val="single" w:sz="4" w:space="0" w:color="auto"/>
              <w:bottom w:val="single" w:sz="4" w:space="0" w:color="auto"/>
            </w:tcBorders>
            <w:noWrap/>
            <w:vAlign w:val="center"/>
            <w:hideMark/>
          </w:tcPr>
          <w:p w14:paraId="11CE6E9D" w14:textId="77777777" w:rsidR="008123FB" w:rsidRPr="008123FB" w:rsidRDefault="008123FB" w:rsidP="008123FB">
            <w:pPr>
              <w:spacing w:after="160"/>
              <w:jc w:val="both"/>
              <w:rPr>
                <w:rFonts w:ascii="Arial" w:hAnsi="Arial" w:cs="Arial"/>
                <w:b/>
                <w:bCs/>
                <w:sz w:val="20"/>
                <w:szCs w:val="20"/>
              </w:rPr>
            </w:pPr>
            <w:r w:rsidRPr="008123FB">
              <w:rPr>
                <w:rFonts w:ascii="Arial" w:hAnsi="Arial" w:cs="Arial"/>
                <w:b/>
                <w:bCs/>
                <w:sz w:val="20"/>
                <w:szCs w:val="20"/>
              </w:rPr>
              <w:t>Minor millet</w:t>
            </w:r>
          </w:p>
        </w:tc>
        <w:tc>
          <w:tcPr>
            <w:tcW w:w="1559" w:type="dxa"/>
            <w:tcBorders>
              <w:top w:val="single" w:sz="4" w:space="0" w:color="auto"/>
              <w:bottom w:val="single" w:sz="4" w:space="0" w:color="auto"/>
            </w:tcBorders>
            <w:noWrap/>
            <w:vAlign w:val="center"/>
            <w:hideMark/>
          </w:tcPr>
          <w:p w14:paraId="37763203" w14:textId="77777777" w:rsidR="008123FB" w:rsidRPr="008123FB" w:rsidRDefault="008123FB" w:rsidP="008123FB">
            <w:pPr>
              <w:spacing w:after="160"/>
              <w:jc w:val="both"/>
              <w:rPr>
                <w:rFonts w:ascii="Arial" w:hAnsi="Arial" w:cs="Arial"/>
                <w:b/>
                <w:bCs/>
                <w:sz w:val="20"/>
                <w:szCs w:val="20"/>
              </w:rPr>
            </w:pPr>
            <w:r w:rsidRPr="008123FB">
              <w:rPr>
                <w:rFonts w:ascii="Arial" w:hAnsi="Arial" w:cs="Arial"/>
                <w:b/>
                <w:bCs/>
                <w:sz w:val="20"/>
                <w:szCs w:val="20"/>
              </w:rPr>
              <w:t>Total millets</w:t>
            </w:r>
          </w:p>
        </w:tc>
      </w:tr>
      <w:tr w:rsidR="008123FB" w:rsidRPr="008123FB" w14:paraId="1E9EF105" w14:textId="77777777" w:rsidTr="00ED3C0D">
        <w:trPr>
          <w:trHeight w:val="267"/>
        </w:trPr>
        <w:tc>
          <w:tcPr>
            <w:tcW w:w="1363" w:type="dxa"/>
            <w:tcBorders>
              <w:top w:val="single" w:sz="4" w:space="0" w:color="auto"/>
            </w:tcBorders>
            <w:noWrap/>
            <w:vAlign w:val="center"/>
            <w:hideMark/>
          </w:tcPr>
          <w:p w14:paraId="01AEA08C"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Area</w:t>
            </w:r>
          </w:p>
        </w:tc>
        <w:tc>
          <w:tcPr>
            <w:tcW w:w="1387" w:type="dxa"/>
            <w:tcBorders>
              <w:top w:val="single" w:sz="4" w:space="0" w:color="auto"/>
            </w:tcBorders>
            <w:noWrap/>
            <w:vAlign w:val="center"/>
            <w:hideMark/>
          </w:tcPr>
          <w:p w14:paraId="2351CA37"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-5.93***</w:t>
            </w:r>
          </w:p>
        </w:tc>
        <w:tc>
          <w:tcPr>
            <w:tcW w:w="1503" w:type="dxa"/>
            <w:tcBorders>
              <w:top w:val="single" w:sz="4" w:space="0" w:color="auto"/>
            </w:tcBorders>
            <w:noWrap/>
            <w:vAlign w:val="center"/>
            <w:hideMark/>
          </w:tcPr>
          <w:p w14:paraId="13C77208"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-8.84***</w:t>
            </w:r>
          </w:p>
        </w:tc>
        <w:tc>
          <w:tcPr>
            <w:tcW w:w="1417" w:type="dxa"/>
            <w:tcBorders>
              <w:top w:val="single" w:sz="4" w:space="0" w:color="auto"/>
            </w:tcBorders>
            <w:noWrap/>
            <w:vAlign w:val="center"/>
            <w:hideMark/>
          </w:tcPr>
          <w:p w14:paraId="656E6369"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-10.15***</w:t>
            </w:r>
          </w:p>
        </w:tc>
        <w:tc>
          <w:tcPr>
            <w:tcW w:w="1276" w:type="dxa"/>
            <w:tcBorders>
              <w:top w:val="single" w:sz="4" w:space="0" w:color="auto"/>
            </w:tcBorders>
            <w:noWrap/>
            <w:vAlign w:val="center"/>
            <w:hideMark/>
          </w:tcPr>
          <w:p w14:paraId="56E8B06C"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1.65</w:t>
            </w:r>
          </w:p>
        </w:tc>
        <w:tc>
          <w:tcPr>
            <w:tcW w:w="1559" w:type="dxa"/>
            <w:tcBorders>
              <w:top w:val="single" w:sz="4" w:space="0" w:color="auto"/>
            </w:tcBorders>
            <w:noWrap/>
            <w:vAlign w:val="center"/>
            <w:hideMark/>
          </w:tcPr>
          <w:p w14:paraId="37C5140C"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-5.93***</w:t>
            </w:r>
          </w:p>
        </w:tc>
      </w:tr>
      <w:tr w:rsidR="008123FB" w:rsidRPr="008123FB" w14:paraId="5A519897" w14:textId="77777777" w:rsidTr="00ED3C0D">
        <w:trPr>
          <w:trHeight w:val="267"/>
        </w:trPr>
        <w:tc>
          <w:tcPr>
            <w:tcW w:w="1363" w:type="dxa"/>
            <w:noWrap/>
            <w:vAlign w:val="center"/>
            <w:hideMark/>
          </w:tcPr>
          <w:p w14:paraId="52910C6E"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Yield</w:t>
            </w:r>
          </w:p>
        </w:tc>
        <w:tc>
          <w:tcPr>
            <w:tcW w:w="1387" w:type="dxa"/>
            <w:noWrap/>
            <w:vAlign w:val="center"/>
            <w:hideMark/>
          </w:tcPr>
          <w:p w14:paraId="2196B9F8"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4.98***</w:t>
            </w:r>
          </w:p>
        </w:tc>
        <w:tc>
          <w:tcPr>
            <w:tcW w:w="1503" w:type="dxa"/>
            <w:noWrap/>
            <w:vAlign w:val="center"/>
            <w:hideMark/>
          </w:tcPr>
          <w:p w14:paraId="2E69290D"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8.10***</w:t>
            </w:r>
          </w:p>
        </w:tc>
        <w:tc>
          <w:tcPr>
            <w:tcW w:w="1417" w:type="dxa"/>
            <w:noWrap/>
            <w:vAlign w:val="center"/>
            <w:hideMark/>
          </w:tcPr>
          <w:p w14:paraId="135895EB"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-0.42</w:t>
            </w:r>
          </w:p>
        </w:tc>
        <w:tc>
          <w:tcPr>
            <w:tcW w:w="1276" w:type="dxa"/>
            <w:noWrap/>
            <w:vAlign w:val="center"/>
            <w:hideMark/>
          </w:tcPr>
          <w:p w14:paraId="487C02B5"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3.43</w:t>
            </w:r>
          </w:p>
        </w:tc>
        <w:tc>
          <w:tcPr>
            <w:tcW w:w="1559" w:type="dxa"/>
            <w:noWrap/>
            <w:vAlign w:val="center"/>
            <w:hideMark/>
          </w:tcPr>
          <w:p w14:paraId="5880A548"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4.94***</w:t>
            </w:r>
          </w:p>
        </w:tc>
      </w:tr>
      <w:tr w:rsidR="008123FB" w:rsidRPr="008123FB" w14:paraId="59124373" w14:textId="77777777" w:rsidTr="00ED3C0D">
        <w:trPr>
          <w:trHeight w:val="267"/>
        </w:trPr>
        <w:tc>
          <w:tcPr>
            <w:tcW w:w="1363" w:type="dxa"/>
            <w:tcBorders>
              <w:bottom w:val="single" w:sz="4" w:space="0" w:color="auto"/>
            </w:tcBorders>
            <w:noWrap/>
            <w:vAlign w:val="center"/>
            <w:hideMark/>
          </w:tcPr>
          <w:p w14:paraId="0757C61B"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Production</w:t>
            </w:r>
          </w:p>
        </w:tc>
        <w:tc>
          <w:tcPr>
            <w:tcW w:w="1387" w:type="dxa"/>
            <w:tcBorders>
              <w:bottom w:val="single" w:sz="4" w:space="0" w:color="auto"/>
            </w:tcBorders>
            <w:noWrap/>
            <w:vAlign w:val="center"/>
            <w:hideMark/>
          </w:tcPr>
          <w:p w14:paraId="4D57A6D7"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-1.24</w:t>
            </w:r>
          </w:p>
        </w:tc>
        <w:tc>
          <w:tcPr>
            <w:tcW w:w="1503" w:type="dxa"/>
            <w:tcBorders>
              <w:bottom w:val="single" w:sz="4" w:space="0" w:color="auto"/>
            </w:tcBorders>
            <w:noWrap/>
            <w:vAlign w:val="center"/>
            <w:hideMark/>
          </w:tcPr>
          <w:p w14:paraId="36A86650"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-1.46</w:t>
            </w:r>
          </w:p>
        </w:tc>
        <w:tc>
          <w:tcPr>
            <w:tcW w:w="1417" w:type="dxa"/>
            <w:tcBorders>
              <w:bottom w:val="single" w:sz="4" w:space="0" w:color="auto"/>
            </w:tcBorders>
            <w:noWrap/>
            <w:vAlign w:val="center"/>
            <w:hideMark/>
          </w:tcPr>
          <w:p w14:paraId="7569ED97"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-10.53***</w:t>
            </w:r>
          </w:p>
        </w:tc>
        <w:tc>
          <w:tcPr>
            <w:tcW w:w="1276" w:type="dxa"/>
            <w:tcBorders>
              <w:bottom w:val="single" w:sz="4" w:space="0" w:color="auto"/>
            </w:tcBorders>
            <w:noWrap/>
            <w:vAlign w:val="center"/>
            <w:hideMark/>
          </w:tcPr>
          <w:p w14:paraId="7BCCB496"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5.14</w:t>
            </w:r>
          </w:p>
        </w:tc>
        <w:tc>
          <w:tcPr>
            <w:tcW w:w="1559" w:type="dxa"/>
            <w:tcBorders>
              <w:bottom w:val="single" w:sz="4" w:space="0" w:color="auto"/>
            </w:tcBorders>
            <w:noWrap/>
            <w:vAlign w:val="center"/>
            <w:hideMark/>
          </w:tcPr>
          <w:p w14:paraId="7738CCB5"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-1.28</w:t>
            </w:r>
          </w:p>
        </w:tc>
      </w:tr>
    </w:tbl>
    <w:p w14:paraId="2CB26AD2" w14:textId="77777777" w:rsidR="008123FB" w:rsidRPr="008123FB" w:rsidRDefault="008123FB" w:rsidP="008123FB">
      <w:pPr>
        <w:spacing w:line="240" w:lineRule="auto"/>
        <w:jc w:val="both"/>
        <w:rPr>
          <w:rFonts w:ascii="Arial" w:hAnsi="Arial" w:cs="Arial"/>
          <w:sz w:val="20"/>
          <w:szCs w:val="20"/>
        </w:rPr>
      </w:pPr>
      <w:r w:rsidRPr="008123FB">
        <w:rPr>
          <w:rFonts w:ascii="Arial" w:hAnsi="Arial" w:cs="Arial"/>
          <w:sz w:val="20"/>
          <w:szCs w:val="20"/>
          <w:lang w:val="en-US"/>
        </w:rPr>
        <w:t>Note: ***statistically significant at 1 percent.</w:t>
      </w:r>
    </w:p>
    <w:p w14:paraId="53B8BE2C" w14:textId="23F275B2" w:rsidR="008123FB" w:rsidRPr="008123FB" w:rsidRDefault="008123FB" w:rsidP="00AF2EFF">
      <w:pPr>
        <w:spacing w:line="240" w:lineRule="auto"/>
        <w:jc w:val="both"/>
        <w:rPr>
          <w:rFonts w:ascii="Arial" w:hAnsi="Arial" w:cs="Arial"/>
          <w:sz w:val="20"/>
          <w:szCs w:val="20"/>
        </w:rPr>
      </w:pPr>
      <w:r w:rsidRPr="008123FB">
        <w:rPr>
          <w:rFonts w:ascii="Arial" w:hAnsi="Arial" w:cs="Arial"/>
          <w:sz w:val="20"/>
          <w:szCs w:val="20"/>
        </w:rPr>
        <w:t xml:space="preserve">Sorghum, which is the major millet crop cultivated in Telangana, registered a sharp decline in area at –5.93 percent per annum during the study period. Even though the yield improved significantly at 4.98 percent per annum, production showed a decline of 1.24 percent per annum, indicating that area contraction outweighed yield growth. Pearl millet also followed a similar pattern, with area falling drastically at –8.84 percent per annum. However, it recorded the highest yield growth among millets at 8.10 percent per annum, as a result the fall in production was contained at –1.46 percent per </w:t>
      </w:r>
      <w:r w:rsidR="007A2E2E" w:rsidRPr="008123FB">
        <w:rPr>
          <w:rFonts w:ascii="Arial" w:hAnsi="Arial" w:cs="Arial"/>
          <w:sz w:val="20"/>
          <w:szCs w:val="20"/>
        </w:rPr>
        <w:t>annum</w:t>
      </w:r>
      <w:r w:rsidR="007A2E2E">
        <w:rPr>
          <w:rFonts w:ascii="Arial" w:hAnsi="Arial" w:cs="Arial"/>
          <w:sz w:val="20"/>
          <w:szCs w:val="20"/>
        </w:rPr>
        <w:t>.</w:t>
      </w:r>
      <w:r w:rsidRPr="008123FB">
        <w:rPr>
          <w:rFonts w:ascii="Arial" w:hAnsi="Arial" w:cs="Arial"/>
          <w:sz w:val="20"/>
          <w:szCs w:val="20"/>
        </w:rPr>
        <w:t xml:space="preserve"> Finger millet faced the steepest decline, with area shrinking at –10.15 percent and yield almost stagnant (–0.42 percent). As a result, production plummeted by –10.53 percent per annum, highlighting its marginalization in the state’s cropping pattern. On the other hand, minor millets showed a positive trajectory, with area increasing at 1.65 percent and yield at 3.43 percent per annum, together driving a healthy rise in production at 5.14 percent per annum. In case of total millets, the aggregate picture reveals an area contraction of –5.93 percent per annum, only partly compensated by yield growth of 4.94 percent. Consequently, overall millet production in Telangana declined slightly at –1.28 percent per annum over the study period.</w:t>
      </w:r>
    </w:p>
    <w:p w14:paraId="71648D8D" w14:textId="77777777" w:rsidR="008123FB" w:rsidRPr="008123FB" w:rsidRDefault="008123FB" w:rsidP="008123FB">
      <w:pPr>
        <w:spacing w:line="240" w:lineRule="auto"/>
        <w:jc w:val="both"/>
        <w:rPr>
          <w:rFonts w:ascii="Arial" w:hAnsi="Arial" w:cs="Arial"/>
          <w:sz w:val="20"/>
          <w:szCs w:val="20"/>
        </w:rPr>
      </w:pPr>
      <w:r w:rsidRPr="008123FB">
        <w:rPr>
          <w:rFonts w:ascii="Arial" w:hAnsi="Arial" w:cs="Arial"/>
          <w:sz w:val="20"/>
          <w:szCs w:val="20"/>
        </w:rPr>
        <w:t>Overall, the analysis of millets in Telangana from 2008-09 to 2023-24 shows that while productivity has improved for sorghum and pearl millet, the sharp contraction in area under these crops has resulted in an overall decline in millet production. The main reason for this trend lies in the shift of land away from millets towards more remunerative and policy-supported crops such as rice, maize, and cotton, which benefit from assured procurement, higher market demand, and better irrigation support. Millets, have remained largely confined to rainfed and marginal areas, making them less attractive to farmers despite their resilience and nutritional value.</w:t>
      </w:r>
    </w:p>
    <w:p w14:paraId="399745D2" w14:textId="53F54E27" w:rsidR="008123FB" w:rsidRPr="008123FB" w:rsidRDefault="008123FB" w:rsidP="008123FB">
      <w:pPr>
        <w:spacing w:line="240" w:lineRule="auto"/>
        <w:jc w:val="both"/>
        <w:rPr>
          <w:rFonts w:ascii="Arial" w:hAnsi="Arial" w:cs="Arial"/>
          <w:sz w:val="20"/>
          <w:szCs w:val="20"/>
        </w:rPr>
      </w:pPr>
      <w:r w:rsidRPr="008123FB">
        <w:rPr>
          <w:rFonts w:ascii="Arial" w:hAnsi="Arial" w:cs="Arial"/>
          <w:sz w:val="20"/>
          <w:szCs w:val="20"/>
        </w:rPr>
        <w:t xml:space="preserve">In recent years, the Government of Telangana has introduced programs like subsidized seed distribution, promotion of </w:t>
      </w:r>
      <w:proofErr w:type="spellStart"/>
      <w:r w:rsidRPr="008123FB">
        <w:rPr>
          <w:rFonts w:ascii="Arial" w:hAnsi="Arial" w:cs="Arial"/>
          <w:sz w:val="20"/>
          <w:szCs w:val="20"/>
        </w:rPr>
        <w:t>nutri</w:t>
      </w:r>
      <w:proofErr w:type="spellEnd"/>
      <w:r w:rsidRPr="008123FB">
        <w:rPr>
          <w:rFonts w:ascii="Arial" w:hAnsi="Arial" w:cs="Arial"/>
          <w:sz w:val="20"/>
          <w:szCs w:val="20"/>
        </w:rPr>
        <w:t xml:space="preserve">-cereals under the National Food Security Mission (NFSM), and inclusion of millets in nutrition schemes. However, the impact of these policies has been limited so far. The </w:t>
      </w:r>
      <w:r w:rsidRPr="008123FB">
        <w:rPr>
          <w:rFonts w:ascii="Arial" w:hAnsi="Arial" w:cs="Arial"/>
          <w:sz w:val="20"/>
          <w:szCs w:val="20"/>
        </w:rPr>
        <w:lastRenderedPageBreak/>
        <w:t>positive growth of minor millets indicates some success of awareness and promotion efforts, but the continued decline of major millets such as sorghum and finger millet suggest that state policies have not been strong enough to reverse long-term crop shifts driven by market and irrigation incentives. In short, while government initiatives have created visibility for millets, they have not yet translated into significant area revival or production growth at the aggregate level.</w:t>
      </w:r>
    </w:p>
    <w:p w14:paraId="7B5E5CD5" w14:textId="3EB03252" w:rsidR="008123FB" w:rsidRPr="008123FB" w:rsidRDefault="00AF2EFF" w:rsidP="008123FB">
      <w:pPr>
        <w:spacing w:line="240" w:lineRule="auto"/>
        <w:jc w:val="both"/>
        <w:rPr>
          <w:rFonts w:ascii="Arial" w:hAnsi="Arial" w:cs="Arial"/>
          <w:b/>
          <w:bCs/>
        </w:rPr>
      </w:pPr>
      <w:r w:rsidRPr="00AF2EFF">
        <w:rPr>
          <w:rFonts w:ascii="Arial" w:hAnsi="Arial" w:cs="Arial"/>
          <w:b/>
          <w:bCs/>
        </w:rPr>
        <w:t>3.4</w:t>
      </w:r>
      <w:r w:rsidR="008123FB" w:rsidRPr="008123FB">
        <w:rPr>
          <w:rFonts w:ascii="Arial" w:hAnsi="Arial" w:cs="Arial"/>
          <w:b/>
          <w:bCs/>
        </w:rPr>
        <w:t xml:space="preserve"> </w:t>
      </w:r>
      <w:bookmarkStart w:id="7" w:name="_Hlk208917845"/>
      <w:r w:rsidR="008123FB" w:rsidRPr="008123FB">
        <w:rPr>
          <w:rFonts w:ascii="Arial" w:hAnsi="Arial" w:cs="Arial"/>
          <w:b/>
          <w:bCs/>
        </w:rPr>
        <w:t xml:space="preserve">Instability in area, </w:t>
      </w:r>
      <w:bookmarkStart w:id="8" w:name="_Hlk208911154"/>
      <w:r w:rsidR="008123FB" w:rsidRPr="008123FB">
        <w:rPr>
          <w:rFonts w:ascii="Arial" w:hAnsi="Arial" w:cs="Arial"/>
          <w:b/>
          <w:bCs/>
        </w:rPr>
        <w:t xml:space="preserve">yield and production of millets in Telangana </w:t>
      </w:r>
      <w:bookmarkEnd w:id="7"/>
    </w:p>
    <w:bookmarkEnd w:id="8"/>
    <w:p w14:paraId="6E1C4585" w14:textId="6A3166EC" w:rsidR="008123FB" w:rsidRPr="008123FB" w:rsidRDefault="008123FB" w:rsidP="008123FB">
      <w:pPr>
        <w:spacing w:line="240" w:lineRule="auto"/>
        <w:jc w:val="both"/>
        <w:rPr>
          <w:rFonts w:ascii="Arial" w:hAnsi="Arial" w:cs="Arial"/>
          <w:sz w:val="20"/>
          <w:szCs w:val="20"/>
        </w:rPr>
      </w:pPr>
      <w:r w:rsidRPr="008123FB">
        <w:rPr>
          <w:rFonts w:ascii="Arial" w:hAnsi="Arial" w:cs="Arial"/>
          <w:sz w:val="20"/>
          <w:szCs w:val="20"/>
        </w:rPr>
        <w:t xml:space="preserve">The instability in area, yield and production of millets in Telangana from 2008-09 to 2023-24 was estimated using Coefficient of Variation (CV) and Cuddy Della Valle index (CDVI). The results are given in table </w:t>
      </w:r>
      <w:r w:rsidR="00AF2EFF">
        <w:rPr>
          <w:rFonts w:ascii="Arial" w:hAnsi="Arial" w:cs="Arial"/>
          <w:sz w:val="20"/>
          <w:szCs w:val="20"/>
        </w:rPr>
        <w:t>3</w:t>
      </w:r>
      <w:r w:rsidRPr="008123FB">
        <w:rPr>
          <w:rFonts w:ascii="Arial" w:hAnsi="Arial" w:cs="Arial"/>
          <w:sz w:val="20"/>
          <w:szCs w:val="20"/>
        </w:rPr>
        <w:t>.</w:t>
      </w:r>
    </w:p>
    <w:p w14:paraId="4DA4001E" w14:textId="47CB8167" w:rsidR="008123FB" w:rsidRPr="008123FB" w:rsidRDefault="008123FB" w:rsidP="008123FB">
      <w:pPr>
        <w:spacing w:line="240" w:lineRule="auto"/>
        <w:jc w:val="both"/>
        <w:rPr>
          <w:rFonts w:ascii="Arial" w:hAnsi="Arial" w:cs="Arial"/>
          <w:b/>
          <w:bCs/>
          <w:sz w:val="20"/>
          <w:szCs w:val="20"/>
        </w:rPr>
      </w:pPr>
      <w:r w:rsidRPr="008123FB">
        <w:rPr>
          <w:rFonts w:ascii="Arial" w:hAnsi="Arial" w:cs="Arial"/>
          <w:b/>
          <w:bCs/>
          <w:sz w:val="20"/>
          <w:szCs w:val="20"/>
        </w:rPr>
        <w:t xml:space="preserve">Table. </w:t>
      </w:r>
      <w:r w:rsidR="00AF2EFF" w:rsidRPr="00360C08">
        <w:rPr>
          <w:rFonts w:ascii="Arial" w:hAnsi="Arial" w:cs="Arial"/>
          <w:b/>
          <w:bCs/>
          <w:sz w:val="20"/>
          <w:szCs w:val="20"/>
        </w:rPr>
        <w:t>3</w:t>
      </w:r>
      <w:r w:rsidRPr="008123FB">
        <w:rPr>
          <w:rFonts w:ascii="Arial" w:hAnsi="Arial" w:cs="Arial"/>
          <w:b/>
          <w:bCs/>
          <w:sz w:val="20"/>
          <w:szCs w:val="20"/>
        </w:rPr>
        <w:t>. Instability in area, yield and production of millets in Telangana (2008-09 to 2023-24)</w:t>
      </w:r>
    </w:p>
    <w:tbl>
      <w:tblPr>
        <w:tblW w:w="7225" w:type="dxa"/>
        <w:tblInd w:w="567" w:type="dxa"/>
        <w:tblLook w:val="04A0" w:firstRow="1" w:lastRow="0" w:firstColumn="1" w:lastColumn="0" w:noHBand="0" w:noVBand="1"/>
      </w:tblPr>
      <w:tblGrid>
        <w:gridCol w:w="1918"/>
        <w:gridCol w:w="1763"/>
        <w:gridCol w:w="1701"/>
        <w:gridCol w:w="1843"/>
      </w:tblGrid>
      <w:tr w:rsidR="008123FB" w:rsidRPr="008123FB" w14:paraId="690E1DC0" w14:textId="77777777" w:rsidTr="00360C08">
        <w:trPr>
          <w:trHeight w:val="594"/>
        </w:trPr>
        <w:tc>
          <w:tcPr>
            <w:tcW w:w="1918" w:type="dxa"/>
            <w:tcBorders>
              <w:top w:val="single" w:sz="4" w:space="0" w:color="auto"/>
              <w:bottom w:val="single" w:sz="4" w:space="0" w:color="auto"/>
            </w:tcBorders>
            <w:noWrap/>
            <w:vAlign w:val="center"/>
            <w:hideMark/>
          </w:tcPr>
          <w:p w14:paraId="27A56208" w14:textId="77777777" w:rsidR="008123FB" w:rsidRPr="008123FB" w:rsidRDefault="008123FB" w:rsidP="00360C08">
            <w:pPr>
              <w:spacing w:line="240" w:lineRule="auto"/>
              <w:jc w:val="center"/>
              <w:rPr>
                <w:rFonts w:ascii="Arial" w:hAnsi="Arial" w:cs="Arial"/>
                <w:b/>
                <w:bCs/>
                <w:sz w:val="20"/>
                <w:szCs w:val="20"/>
              </w:rPr>
            </w:pPr>
            <w:r w:rsidRPr="008123FB">
              <w:rPr>
                <w:rFonts w:ascii="Arial" w:hAnsi="Arial" w:cs="Arial"/>
                <w:b/>
                <w:bCs/>
                <w:sz w:val="20"/>
                <w:szCs w:val="20"/>
              </w:rPr>
              <w:t>Crop</w:t>
            </w:r>
          </w:p>
        </w:tc>
        <w:tc>
          <w:tcPr>
            <w:tcW w:w="1763" w:type="dxa"/>
            <w:tcBorders>
              <w:top w:val="single" w:sz="4" w:space="0" w:color="auto"/>
              <w:bottom w:val="single" w:sz="4" w:space="0" w:color="auto"/>
            </w:tcBorders>
            <w:noWrap/>
            <w:vAlign w:val="center"/>
            <w:hideMark/>
          </w:tcPr>
          <w:p w14:paraId="0EAE8C4D" w14:textId="77777777" w:rsidR="008123FB" w:rsidRPr="008123FB" w:rsidRDefault="008123FB" w:rsidP="00360C08">
            <w:pPr>
              <w:spacing w:line="240" w:lineRule="auto"/>
              <w:jc w:val="center"/>
              <w:rPr>
                <w:rFonts w:ascii="Arial" w:hAnsi="Arial" w:cs="Arial"/>
                <w:b/>
                <w:bCs/>
                <w:sz w:val="20"/>
                <w:szCs w:val="20"/>
              </w:rPr>
            </w:pPr>
            <w:r w:rsidRPr="008123FB">
              <w:rPr>
                <w:rFonts w:ascii="Arial" w:hAnsi="Arial" w:cs="Arial"/>
                <w:b/>
                <w:bCs/>
                <w:sz w:val="20"/>
                <w:szCs w:val="20"/>
              </w:rPr>
              <w:t>Parameter</w:t>
            </w:r>
          </w:p>
        </w:tc>
        <w:tc>
          <w:tcPr>
            <w:tcW w:w="1701" w:type="dxa"/>
            <w:tcBorders>
              <w:top w:val="single" w:sz="4" w:space="0" w:color="auto"/>
              <w:bottom w:val="single" w:sz="4" w:space="0" w:color="auto"/>
            </w:tcBorders>
            <w:noWrap/>
            <w:vAlign w:val="center"/>
            <w:hideMark/>
          </w:tcPr>
          <w:p w14:paraId="59490CB6" w14:textId="77777777" w:rsidR="008123FB" w:rsidRPr="008123FB" w:rsidRDefault="008123FB" w:rsidP="00360C08">
            <w:pPr>
              <w:spacing w:line="240" w:lineRule="auto"/>
              <w:jc w:val="center"/>
              <w:rPr>
                <w:rFonts w:ascii="Arial" w:hAnsi="Arial" w:cs="Arial"/>
                <w:b/>
                <w:bCs/>
                <w:sz w:val="20"/>
                <w:szCs w:val="20"/>
              </w:rPr>
            </w:pPr>
            <w:r w:rsidRPr="008123FB">
              <w:rPr>
                <w:rFonts w:ascii="Arial" w:hAnsi="Arial" w:cs="Arial"/>
                <w:b/>
                <w:bCs/>
                <w:sz w:val="20"/>
                <w:szCs w:val="20"/>
              </w:rPr>
              <w:t>Coefficient of Variation</w:t>
            </w:r>
          </w:p>
        </w:tc>
        <w:tc>
          <w:tcPr>
            <w:tcW w:w="1843" w:type="dxa"/>
            <w:tcBorders>
              <w:top w:val="single" w:sz="4" w:space="0" w:color="auto"/>
              <w:bottom w:val="single" w:sz="4" w:space="0" w:color="auto"/>
            </w:tcBorders>
            <w:noWrap/>
            <w:vAlign w:val="center"/>
            <w:hideMark/>
          </w:tcPr>
          <w:p w14:paraId="6279786F" w14:textId="77777777" w:rsidR="008123FB" w:rsidRPr="008123FB" w:rsidRDefault="008123FB" w:rsidP="00360C08">
            <w:pPr>
              <w:spacing w:line="240" w:lineRule="auto"/>
              <w:jc w:val="center"/>
              <w:rPr>
                <w:rFonts w:ascii="Arial" w:hAnsi="Arial" w:cs="Arial"/>
                <w:b/>
                <w:bCs/>
                <w:sz w:val="20"/>
                <w:szCs w:val="20"/>
              </w:rPr>
            </w:pPr>
            <w:r w:rsidRPr="008123FB">
              <w:rPr>
                <w:rFonts w:ascii="Arial" w:hAnsi="Arial" w:cs="Arial"/>
                <w:b/>
                <w:bCs/>
                <w:sz w:val="20"/>
                <w:szCs w:val="20"/>
              </w:rPr>
              <w:t>Cuddy Della Valle Index</w:t>
            </w:r>
          </w:p>
        </w:tc>
      </w:tr>
      <w:tr w:rsidR="008123FB" w:rsidRPr="008123FB" w14:paraId="07E0EBEA" w14:textId="77777777" w:rsidTr="00360C08">
        <w:trPr>
          <w:trHeight w:val="343"/>
        </w:trPr>
        <w:tc>
          <w:tcPr>
            <w:tcW w:w="1918" w:type="dxa"/>
            <w:vMerge w:val="restart"/>
            <w:tcBorders>
              <w:top w:val="single" w:sz="4" w:space="0" w:color="auto"/>
            </w:tcBorders>
            <w:noWrap/>
            <w:vAlign w:val="center"/>
            <w:hideMark/>
          </w:tcPr>
          <w:p w14:paraId="5D985060"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Sorghum</w:t>
            </w:r>
          </w:p>
        </w:tc>
        <w:tc>
          <w:tcPr>
            <w:tcW w:w="1763" w:type="dxa"/>
            <w:tcBorders>
              <w:top w:val="single" w:sz="4" w:space="0" w:color="auto"/>
            </w:tcBorders>
            <w:noWrap/>
            <w:vAlign w:val="center"/>
            <w:hideMark/>
          </w:tcPr>
          <w:p w14:paraId="375055DB"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Area </w:t>
            </w:r>
          </w:p>
        </w:tc>
        <w:tc>
          <w:tcPr>
            <w:tcW w:w="1701" w:type="dxa"/>
            <w:tcBorders>
              <w:top w:val="single" w:sz="4" w:space="0" w:color="auto"/>
            </w:tcBorders>
            <w:noWrap/>
            <w:vAlign w:val="center"/>
            <w:hideMark/>
          </w:tcPr>
          <w:p w14:paraId="1FFA8A60"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43.43</w:t>
            </w:r>
          </w:p>
        </w:tc>
        <w:tc>
          <w:tcPr>
            <w:tcW w:w="1843" w:type="dxa"/>
            <w:tcBorders>
              <w:top w:val="single" w:sz="4" w:space="0" w:color="auto"/>
            </w:tcBorders>
            <w:noWrap/>
            <w:vAlign w:val="center"/>
            <w:hideMark/>
          </w:tcPr>
          <w:p w14:paraId="699B5A37"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29.86</w:t>
            </w:r>
          </w:p>
        </w:tc>
      </w:tr>
      <w:tr w:rsidR="008123FB" w:rsidRPr="008123FB" w14:paraId="6929EED9" w14:textId="77777777" w:rsidTr="00360C08">
        <w:trPr>
          <w:trHeight w:val="343"/>
        </w:trPr>
        <w:tc>
          <w:tcPr>
            <w:tcW w:w="1918" w:type="dxa"/>
            <w:vMerge/>
            <w:vAlign w:val="center"/>
            <w:hideMark/>
          </w:tcPr>
          <w:p w14:paraId="5AC7341E" w14:textId="77777777" w:rsidR="008123FB" w:rsidRPr="008123FB" w:rsidRDefault="008123FB" w:rsidP="00360C08">
            <w:pPr>
              <w:spacing w:line="240" w:lineRule="auto"/>
              <w:rPr>
                <w:rFonts w:ascii="Arial" w:hAnsi="Arial" w:cs="Arial"/>
                <w:sz w:val="20"/>
                <w:szCs w:val="20"/>
              </w:rPr>
            </w:pPr>
          </w:p>
        </w:tc>
        <w:tc>
          <w:tcPr>
            <w:tcW w:w="1763" w:type="dxa"/>
            <w:noWrap/>
            <w:vAlign w:val="center"/>
            <w:hideMark/>
          </w:tcPr>
          <w:p w14:paraId="27274103"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Yield </w:t>
            </w:r>
          </w:p>
        </w:tc>
        <w:tc>
          <w:tcPr>
            <w:tcW w:w="1701" w:type="dxa"/>
            <w:noWrap/>
            <w:vAlign w:val="center"/>
            <w:hideMark/>
          </w:tcPr>
          <w:p w14:paraId="27F5C8F6"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30.10</w:t>
            </w:r>
          </w:p>
        </w:tc>
        <w:tc>
          <w:tcPr>
            <w:tcW w:w="1843" w:type="dxa"/>
            <w:noWrap/>
            <w:vAlign w:val="center"/>
            <w:hideMark/>
          </w:tcPr>
          <w:p w14:paraId="1B2B5A0A"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17.21</w:t>
            </w:r>
          </w:p>
        </w:tc>
      </w:tr>
      <w:tr w:rsidR="008123FB" w:rsidRPr="008123FB" w14:paraId="165B99D7" w14:textId="77777777" w:rsidTr="00360C08">
        <w:trPr>
          <w:trHeight w:val="343"/>
        </w:trPr>
        <w:tc>
          <w:tcPr>
            <w:tcW w:w="1918" w:type="dxa"/>
            <w:vMerge/>
            <w:tcBorders>
              <w:bottom w:val="single" w:sz="4" w:space="0" w:color="auto"/>
            </w:tcBorders>
            <w:vAlign w:val="center"/>
            <w:hideMark/>
          </w:tcPr>
          <w:p w14:paraId="08BCE409" w14:textId="77777777" w:rsidR="008123FB" w:rsidRPr="008123FB" w:rsidRDefault="008123FB" w:rsidP="00360C08">
            <w:pPr>
              <w:spacing w:line="240" w:lineRule="auto"/>
              <w:rPr>
                <w:rFonts w:ascii="Arial" w:hAnsi="Arial" w:cs="Arial"/>
                <w:sz w:val="20"/>
                <w:szCs w:val="20"/>
              </w:rPr>
            </w:pPr>
          </w:p>
        </w:tc>
        <w:tc>
          <w:tcPr>
            <w:tcW w:w="1763" w:type="dxa"/>
            <w:tcBorders>
              <w:bottom w:val="single" w:sz="4" w:space="0" w:color="auto"/>
            </w:tcBorders>
            <w:noWrap/>
            <w:vAlign w:val="center"/>
            <w:hideMark/>
          </w:tcPr>
          <w:p w14:paraId="5184E1A5"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Production </w:t>
            </w:r>
          </w:p>
        </w:tc>
        <w:tc>
          <w:tcPr>
            <w:tcW w:w="1701" w:type="dxa"/>
            <w:tcBorders>
              <w:bottom w:val="single" w:sz="4" w:space="0" w:color="auto"/>
            </w:tcBorders>
            <w:noWrap/>
            <w:vAlign w:val="center"/>
            <w:hideMark/>
          </w:tcPr>
          <w:p w14:paraId="71D14F81"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38.06</w:t>
            </w:r>
          </w:p>
        </w:tc>
        <w:tc>
          <w:tcPr>
            <w:tcW w:w="1843" w:type="dxa"/>
            <w:tcBorders>
              <w:bottom w:val="single" w:sz="4" w:space="0" w:color="auto"/>
            </w:tcBorders>
            <w:noWrap/>
            <w:vAlign w:val="center"/>
            <w:hideMark/>
          </w:tcPr>
          <w:p w14:paraId="05E3FC88"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38.06</w:t>
            </w:r>
          </w:p>
        </w:tc>
      </w:tr>
      <w:tr w:rsidR="008123FB" w:rsidRPr="008123FB" w14:paraId="006B0CC5" w14:textId="77777777" w:rsidTr="00360C08">
        <w:trPr>
          <w:trHeight w:val="343"/>
        </w:trPr>
        <w:tc>
          <w:tcPr>
            <w:tcW w:w="1918" w:type="dxa"/>
            <w:vMerge w:val="restart"/>
            <w:tcBorders>
              <w:top w:val="single" w:sz="4" w:space="0" w:color="auto"/>
            </w:tcBorders>
            <w:noWrap/>
            <w:vAlign w:val="center"/>
            <w:hideMark/>
          </w:tcPr>
          <w:p w14:paraId="53299BEE"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Pearl millet</w:t>
            </w:r>
          </w:p>
        </w:tc>
        <w:tc>
          <w:tcPr>
            <w:tcW w:w="1763" w:type="dxa"/>
            <w:tcBorders>
              <w:top w:val="single" w:sz="4" w:space="0" w:color="auto"/>
            </w:tcBorders>
            <w:noWrap/>
            <w:vAlign w:val="center"/>
            <w:hideMark/>
          </w:tcPr>
          <w:p w14:paraId="7E4FD698"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Area </w:t>
            </w:r>
          </w:p>
        </w:tc>
        <w:tc>
          <w:tcPr>
            <w:tcW w:w="1701" w:type="dxa"/>
            <w:tcBorders>
              <w:top w:val="single" w:sz="4" w:space="0" w:color="auto"/>
            </w:tcBorders>
            <w:noWrap/>
            <w:vAlign w:val="center"/>
            <w:hideMark/>
          </w:tcPr>
          <w:p w14:paraId="57E87CF4"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49.49</w:t>
            </w:r>
          </w:p>
        </w:tc>
        <w:tc>
          <w:tcPr>
            <w:tcW w:w="1843" w:type="dxa"/>
            <w:tcBorders>
              <w:top w:val="single" w:sz="4" w:space="0" w:color="auto"/>
            </w:tcBorders>
            <w:noWrap/>
            <w:vAlign w:val="center"/>
            <w:hideMark/>
          </w:tcPr>
          <w:p w14:paraId="0D0E80AC"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29.89</w:t>
            </w:r>
          </w:p>
        </w:tc>
      </w:tr>
      <w:tr w:rsidR="008123FB" w:rsidRPr="008123FB" w14:paraId="46A61D7B" w14:textId="77777777" w:rsidTr="00360C08">
        <w:trPr>
          <w:trHeight w:val="343"/>
        </w:trPr>
        <w:tc>
          <w:tcPr>
            <w:tcW w:w="1918" w:type="dxa"/>
            <w:vMerge/>
            <w:vAlign w:val="center"/>
            <w:hideMark/>
          </w:tcPr>
          <w:p w14:paraId="25D5A395" w14:textId="77777777" w:rsidR="008123FB" w:rsidRPr="008123FB" w:rsidRDefault="008123FB" w:rsidP="00360C08">
            <w:pPr>
              <w:spacing w:line="240" w:lineRule="auto"/>
              <w:rPr>
                <w:rFonts w:ascii="Arial" w:hAnsi="Arial" w:cs="Arial"/>
                <w:sz w:val="20"/>
                <w:szCs w:val="20"/>
              </w:rPr>
            </w:pPr>
          </w:p>
        </w:tc>
        <w:tc>
          <w:tcPr>
            <w:tcW w:w="1763" w:type="dxa"/>
            <w:noWrap/>
            <w:vAlign w:val="center"/>
            <w:hideMark/>
          </w:tcPr>
          <w:p w14:paraId="0FF13F95"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Yield </w:t>
            </w:r>
          </w:p>
        </w:tc>
        <w:tc>
          <w:tcPr>
            <w:tcW w:w="1701" w:type="dxa"/>
            <w:noWrap/>
            <w:vAlign w:val="center"/>
            <w:hideMark/>
          </w:tcPr>
          <w:p w14:paraId="3520FBCD"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72.04</w:t>
            </w:r>
          </w:p>
        </w:tc>
        <w:tc>
          <w:tcPr>
            <w:tcW w:w="1843" w:type="dxa"/>
            <w:noWrap/>
            <w:vAlign w:val="center"/>
            <w:hideMark/>
          </w:tcPr>
          <w:p w14:paraId="4D68C04D"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56.31</w:t>
            </w:r>
          </w:p>
        </w:tc>
      </w:tr>
      <w:tr w:rsidR="008123FB" w:rsidRPr="008123FB" w14:paraId="7AAD9C8B" w14:textId="77777777" w:rsidTr="00360C08">
        <w:trPr>
          <w:trHeight w:val="343"/>
        </w:trPr>
        <w:tc>
          <w:tcPr>
            <w:tcW w:w="1918" w:type="dxa"/>
            <w:vMerge/>
            <w:tcBorders>
              <w:bottom w:val="single" w:sz="4" w:space="0" w:color="auto"/>
            </w:tcBorders>
            <w:vAlign w:val="center"/>
            <w:hideMark/>
          </w:tcPr>
          <w:p w14:paraId="6DC5CF33" w14:textId="77777777" w:rsidR="008123FB" w:rsidRPr="008123FB" w:rsidRDefault="008123FB" w:rsidP="00360C08">
            <w:pPr>
              <w:spacing w:line="240" w:lineRule="auto"/>
              <w:rPr>
                <w:rFonts w:ascii="Arial" w:hAnsi="Arial" w:cs="Arial"/>
                <w:sz w:val="20"/>
                <w:szCs w:val="20"/>
              </w:rPr>
            </w:pPr>
          </w:p>
        </w:tc>
        <w:tc>
          <w:tcPr>
            <w:tcW w:w="1763" w:type="dxa"/>
            <w:tcBorders>
              <w:bottom w:val="single" w:sz="4" w:space="0" w:color="auto"/>
            </w:tcBorders>
            <w:noWrap/>
            <w:vAlign w:val="center"/>
            <w:hideMark/>
          </w:tcPr>
          <w:p w14:paraId="58AAB75C"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Production </w:t>
            </w:r>
          </w:p>
        </w:tc>
        <w:tc>
          <w:tcPr>
            <w:tcW w:w="1701" w:type="dxa"/>
            <w:tcBorders>
              <w:bottom w:val="single" w:sz="4" w:space="0" w:color="auto"/>
            </w:tcBorders>
            <w:noWrap/>
            <w:vAlign w:val="center"/>
            <w:hideMark/>
          </w:tcPr>
          <w:p w14:paraId="28492A8D"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38.20</w:t>
            </w:r>
          </w:p>
        </w:tc>
        <w:tc>
          <w:tcPr>
            <w:tcW w:w="1843" w:type="dxa"/>
            <w:tcBorders>
              <w:bottom w:val="single" w:sz="4" w:space="0" w:color="auto"/>
            </w:tcBorders>
            <w:noWrap/>
            <w:vAlign w:val="center"/>
            <w:hideMark/>
          </w:tcPr>
          <w:p w14:paraId="19F22CCE"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38.20</w:t>
            </w:r>
          </w:p>
        </w:tc>
      </w:tr>
      <w:tr w:rsidR="008123FB" w:rsidRPr="008123FB" w14:paraId="1917872F" w14:textId="77777777" w:rsidTr="00360C08">
        <w:trPr>
          <w:trHeight w:val="343"/>
        </w:trPr>
        <w:tc>
          <w:tcPr>
            <w:tcW w:w="1918" w:type="dxa"/>
            <w:vMerge w:val="restart"/>
            <w:tcBorders>
              <w:top w:val="single" w:sz="4" w:space="0" w:color="auto"/>
            </w:tcBorders>
            <w:noWrap/>
            <w:vAlign w:val="center"/>
            <w:hideMark/>
          </w:tcPr>
          <w:p w14:paraId="715B8C29"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Finger millet</w:t>
            </w:r>
          </w:p>
        </w:tc>
        <w:tc>
          <w:tcPr>
            <w:tcW w:w="1763" w:type="dxa"/>
            <w:tcBorders>
              <w:top w:val="single" w:sz="4" w:space="0" w:color="auto"/>
            </w:tcBorders>
            <w:noWrap/>
            <w:vAlign w:val="center"/>
            <w:hideMark/>
          </w:tcPr>
          <w:p w14:paraId="601CF0E9"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Area </w:t>
            </w:r>
          </w:p>
        </w:tc>
        <w:tc>
          <w:tcPr>
            <w:tcW w:w="1701" w:type="dxa"/>
            <w:tcBorders>
              <w:top w:val="single" w:sz="4" w:space="0" w:color="auto"/>
            </w:tcBorders>
            <w:noWrap/>
            <w:vAlign w:val="center"/>
            <w:hideMark/>
          </w:tcPr>
          <w:p w14:paraId="515309C3"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54.28</w:t>
            </w:r>
          </w:p>
        </w:tc>
        <w:tc>
          <w:tcPr>
            <w:tcW w:w="1843" w:type="dxa"/>
            <w:tcBorders>
              <w:top w:val="single" w:sz="4" w:space="0" w:color="auto"/>
            </w:tcBorders>
            <w:noWrap/>
            <w:vAlign w:val="center"/>
            <w:hideMark/>
          </w:tcPr>
          <w:p w14:paraId="79AA65FD"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31.61</w:t>
            </w:r>
          </w:p>
        </w:tc>
      </w:tr>
      <w:tr w:rsidR="008123FB" w:rsidRPr="008123FB" w14:paraId="05352D43" w14:textId="77777777" w:rsidTr="00360C08">
        <w:trPr>
          <w:trHeight w:val="343"/>
        </w:trPr>
        <w:tc>
          <w:tcPr>
            <w:tcW w:w="1918" w:type="dxa"/>
            <w:vMerge/>
            <w:vAlign w:val="center"/>
            <w:hideMark/>
          </w:tcPr>
          <w:p w14:paraId="36A9DBAF" w14:textId="77777777" w:rsidR="008123FB" w:rsidRPr="008123FB" w:rsidRDefault="008123FB" w:rsidP="00360C08">
            <w:pPr>
              <w:spacing w:line="240" w:lineRule="auto"/>
              <w:rPr>
                <w:rFonts w:ascii="Arial" w:hAnsi="Arial" w:cs="Arial"/>
                <w:sz w:val="20"/>
                <w:szCs w:val="20"/>
              </w:rPr>
            </w:pPr>
          </w:p>
        </w:tc>
        <w:tc>
          <w:tcPr>
            <w:tcW w:w="1763" w:type="dxa"/>
            <w:noWrap/>
            <w:vAlign w:val="center"/>
            <w:hideMark/>
          </w:tcPr>
          <w:p w14:paraId="2D5D9899"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Yield </w:t>
            </w:r>
          </w:p>
        </w:tc>
        <w:tc>
          <w:tcPr>
            <w:tcW w:w="1701" w:type="dxa"/>
            <w:noWrap/>
            <w:vAlign w:val="center"/>
            <w:hideMark/>
          </w:tcPr>
          <w:p w14:paraId="7AB3FF1E"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23.55</w:t>
            </w:r>
          </w:p>
        </w:tc>
        <w:tc>
          <w:tcPr>
            <w:tcW w:w="1843" w:type="dxa"/>
            <w:noWrap/>
            <w:vAlign w:val="center"/>
            <w:hideMark/>
          </w:tcPr>
          <w:p w14:paraId="664F246C"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23.55</w:t>
            </w:r>
          </w:p>
        </w:tc>
      </w:tr>
      <w:tr w:rsidR="008123FB" w:rsidRPr="008123FB" w14:paraId="5D144762" w14:textId="77777777" w:rsidTr="00360C08">
        <w:trPr>
          <w:trHeight w:val="343"/>
        </w:trPr>
        <w:tc>
          <w:tcPr>
            <w:tcW w:w="1918" w:type="dxa"/>
            <w:vMerge/>
            <w:tcBorders>
              <w:bottom w:val="single" w:sz="4" w:space="0" w:color="auto"/>
            </w:tcBorders>
            <w:vAlign w:val="center"/>
            <w:hideMark/>
          </w:tcPr>
          <w:p w14:paraId="641617A3" w14:textId="77777777" w:rsidR="008123FB" w:rsidRPr="008123FB" w:rsidRDefault="008123FB" w:rsidP="00360C08">
            <w:pPr>
              <w:spacing w:line="240" w:lineRule="auto"/>
              <w:rPr>
                <w:rFonts w:ascii="Arial" w:hAnsi="Arial" w:cs="Arial"/>
                <w:sz w:val="20"/>
                <w:szCs w:val="20"/>
              </w:rPr>
            </w:pPr>
          </w:p>
        </w:tc>
        <w:tc>
          <w:tcPr>
            <w:tcW w:w="1763" w:type="dxa"/>
            <w:tcBorders>
              <w:bottom w:val="single" w:sz="4" w:space="0" w:color="auto"/>
            </w:tcBorders>
            <w:noWrap/>
            <w:vAlign w:val="center"/>
            <w:hideMark/>
          </w:tcPr>
          <w:p w14:paraId="3E95C02D"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Production </w:t>
            </w:r>
          </w:p>
        </w:tc>
        <w:tc>
          <w:tcPr>
            <w:tcW w:w="1701" w:type="dxa"/>
            <w:tcBorders>
              <w:bottom w:val="single" w:sz="4" w:space="0" w:color="auto"/>
            </w:tcBorders>
            <w:noWrap/>
            <w:vAlign w:val="center"/>
            <w:hideMark/>
          </w:tcPr>
          <w:p w14:paraId="11FA50C6"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66.27</w:t>
            </w:r>
          </w:p>
        </w:tc>
        <w:tc>
          <w:tcPr>
            <w:tcW w:w="1843" w:type="dxa"/>
            <w:tcBorders>
              <w:bottom w:val="single" w:sz="4" w:space="0" w:color="auto"/>
            </w:tcBorders>
            <w:noWrap/>
            <w:vAlign w:val="center"/>
            <w:hideMark/>
          </w:tcPr>
          <w:p w14:paraId="4AF967EA"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49.92</w:t>
            </w:r>
          </w:p>
        </w:tc>
      </w:tr>
      <w:tr w:rsidR="008123FB" w:rsidRPr="008123FB" w14:paraId="55A05A1B" w14:textId="77777777" w:rsidTr="00360C08">
        <w:trPr>
          <w:trHeight w:val="343"/>
        </w:trPr>
        <w:tc>
          <w:tcPr>
            <w:tcW w:w="1918" w:type="dxa"/>
            <w:vMerge w:val="restart"/>
            <w:tcBorders>
              <w:top w:val="single" w:sz="4" w:space="0" w:color="auto"/>
            </w:tcBorders>
            <w:noWrap/>
            <w:vAlign w:val="center"/>
            <w:hideMark/>
          </w:tcPr>
          <w:p w14:paraId="6E037076"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Minor millet</w:t>
            </w:r>
          </w:p>
        </w:tc>
        <w:tc>
          <w:tcPr>
            <w:tcW w:w="1763" w:type="dxa"/>
            <w:tcBorders>
              <w:top w:val="single" w:sz="4" w:space="0" w:color="auto"/>
            </w:tcBorders>
            <w:noWrap/>
            <w:vAlign w:val="center"/>
            <w:hideMark/>
          </w:tcPr>
          <w:p w14:paraId="14FE545C"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Area </w:t>
            </w:r>
          </w:p>
        </w:tc>
        <w:tc>
          <w:tcPr>
            <w:tcW w:w="1701" w:type="dxa"/>
            <w:tcBorders>
              <w:top w:val="single" w:sz="4" w:space="0" w:color="auto"/>
            </w:tcBorders>
            <w:noWrap/>
            <w:vAlign w:val="center"/>
            <w:hideMark/>
          </w:tcPr>
          <w:p w14:paraId="7BF6F9B3"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69.70</w:t>
            </w:r>
          </w:p>
        </w:tc>
        <w:tc>
          <w:tcPr>
            <w:tcW w:w="1843" w:type="dxa"/>
            <w:tcBorders>
              <w:top w:val="single" w:sz="4" w:space="0" w:color="auto"/>
            </w:tcBorders>
            <w:noWrap/>
            <w:vAlign w:val="center"/>
            <w:hideMark/>
          </w:tcPr>
          <w:p w14:paraId="4CD655A4"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69.70</w:t>
            </w:r>
          </w:p>
        </w:tc>
      </w:tr>
      <w:tr w:rsidR="008123FB" w:rsidRPr="008123FB" w14:paraId="7265E777" w14:textId="77777777" w:rsidTr="00360C08">
        <w:trPr>
          <w:trHeight w:val="343"/>
        </w:trPr>
        <w:tc>
          <w:tcPr>
            <w:tcW w:w="1918" w:type="dxa"/>
            <w:vMerge/>
            <w:vAlign w:val="center"/>
            <w:hideMark/>
          </w:tcPr>
          <w:p w14:paraId="03AD9C5F" w14:textId="77777777" w:rsidR="008123FB" w:rsidRPr="008123FB" w:rsidRDefault="008123FB" w:rsidP="00360C08">
            <w:pPr>
              <w:spacing w:line="240" w:lineRule="auto"/>
              <w:rPr>
                <w:rFonts w:ascii="Arial" w:hAnsi="Arial" w:cs="Arial"/>
                <w:sz w:val="20"/>
                <w:szCs w:val="20"/>
              </w:rPr>
            </w:pPr>
          </w:p>
        </w:tc>
        <w:tc>
          <w:tcPr>
            <w:tcW w:w="1763" w:type="dxa"/>
            <w:noWrap/>
            <w:vAlign w:val="center"/>
            <w:hideMark/>
          </w:tcPr>
          <w:p w14:paraId="3654A4D4"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Yield </w:t>
            </w:r>
          </w:p>
        </w:tc>
        <w:tc>
          <w:tcPr>
            <w:tcW w:w="1701" w:type="dxa"/>
            <w:noWrap/>
            <w:vAlign w:val="center"/>
            <w:hideMark/>
          </w:tcPr>
          <w:p w14:paraId="68443B52"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36.97</w:t>
            </w:r>
          </w:p>
        </w:tc>
        <w:tc>
          <w:tcPr>
            <w:tcW w:w="1843" w:type="dxa"/>
            <w:noWrap/>
            <w:vAlign w:val="center"/>
            <w:hideMark/>
          </w:tcPr>
          <w:p w14:paraId="1CA49E9E"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34.21</w:t>
            </w:r>
          </w:p>
        </w:tc>
      </w:tr>
      <w:tr w:rsidR="008123FB" w:rsidRPr="008123FB" w14:paraId="18F192E3" w14:textId="77777777" w:rsidTr="00360C08">
        <w:trPr>
          <w:trHeight w:val="343"/>
        </w:trPr>
        <w:tc>
          <w:tcPr>
            <w:tcW w:w="1918" w:type="dxa"/>
            <w:vMerge/>
            <w:tcBorders>
              <w:bottom w:val="single" w:sz="4" w:space="0" w:color="auto"/>
            </w:tcBorders>
            <w:vAlign w:val="center"/>
            <w:hideMark/>
          </w:tcPr>
          <w:p w14:paraId="4A6DB8CA" w14:textId="77777777" w:rsidR="008123FB" w:rsidRPr="008123FB" w:rsidRDefault="008123FB" w:rsidP="00360C08">
            <w:pPr>
              <w:spacing w:line="240" w:lineRule="auto"/>
              <w:rPr>
                <w:rFonts w:ascii="Arial" w:hAnsi="Arial" w:cs="Arial"/>
                <w:sz w:val="20"/>
                <w:szCs w:val="20"/>
              </w:rPr>
            </w:pPr>
          </w:p>
        </w:tc>
        <w:tc>
          <w:tcPr>
            <w:tcW w:w="1763" w:type="dxa"/>
            <w:tcBorders>
              <w:bottom w:val="single" w:sz="4" w:space="0" w:color="auto"/>
            </w:tcBorders>
            <w:noWrap/>
            <w:vAlign w:val="center"/>
            <w:hideMark/>
          </w:tcPr>
          <w:p w14:paraId="6E570142"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Production </w:t>
            </w:r>
          </w:p>
        </w:tc>
        <w:tc>
          <w:tcPr>
            <w:tcW w:w="1701" w:type="dxa"/>
            <w:tcBorders>
              <w:bottom w:val="single" w:sz="4" w:space="0" w:color="auto"/>
            </w:tcBorders>
            <w:noWrap/>
            <w:vAlign w:val="center"/>
            <w:hideMark/>
          </w:tcPr>
          <w:p w14:paraId="1AD8460D"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92.52</w:t>
            </w:r>
          </w:p>
        </w:tc>
        <w:tc>
          <w:tcPr>
            <w:tcW w:w="1843" w:type="dxa"/>
            <w:tcBorders>
              <w:bottom w:val="single" w:sz="4" w:space="0" w:color="auto"/>
            </w:tcBorders>
            <w:noWrap/>
            <w:vAlign w:val="center"/>
            <w:hideMark/>
          </w:tcPr>
          <w:p w14:paraId="76042AF9"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92.52</w:t>
            </w:r>
          </w:p>
        </w:tc>
      </w:tr>
      <w:tr w:rsidR="008123FB" w:rsidRPr="008123FB" w14:paraId="5B074EEB" w14:textId="77777777" w:rsidTr="00360C08">
        <w:trPr>
          <w:trHeight w:val="343"/>
        </w:trPr>
        <w:tc>
          <w:tcPr>
            <w:tcW w:w="1918" w:type="dxa"/>
            <w:vMerge w:val="restart"/>
            <w:tcBorders>
              <w:top w:val="single" w:sz="4" w:space="0" w:color="auto"/>
            </w:tcBorders>
            <w:noWrap/>
            <w:vAlign w:val="center"/>
            <w:hideMark/>
          </w:tcPr>
          <w:p w14:paraId="069CCED5"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Total millets</w:t>
            </w:r>
          </w:p>
        </w:tc>
        <w:tc>
          <w:tcPr>
            <w:tcW w:w="1763" w:type="dxa"/>
            <w:tcBorders>
              <w:top w:val="single" w:sz="4" w:space="0" w:color="auto"/>
            </w:tcBorders>
            <w:noWrap/>
            <w:vAlign w:val="center"/>
            <w:hideMark/>
          </w:tcPr>
          <w:p w14:paraId="48B775FA"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Area </w:t>
            </w:r>
          </w:p>
        </w:tc>
        <w:tc>
          <w:tcPr>
            <w:tcW w:w="1701" w:type="dxa"/>
            <w:tcBorders>
              <w:top w:val="single" w:sz="4" w:space="0" w:color="auto"/>
            </w:tcBorders>
            <w:noWrap/>
            <w:vAlign w:val="center"/>
            <w:hideMark/>
          </w:tcPr>
          <w:p w14:paraId="4135E54A"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43.25</w:t>
            </w:r>
          </w:p>
        </w:tc>
        <w:tc>
          <w:tcPr>
            <w:tcW w:w="1843" w:type="dxa"/>
            <w:tcBorders>
              <w:top w:val="single" w:sz="4" w:space="0" w:color="auto"/>
            </w:tcBorders>
            <w:noWrap/>
            <w:vAlign w:val="center"/>
            <w:hideMark/>
          </w:tcPr>
          <w:p w14:paraId="4BAA302F"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29.57</w:t>
            </w:r>
          </w:p>
        </w:tc>
      </w:tr>
      <w:tr w:rsidR="008123FB" w:rsidRPr="008123FB" w14:paraId="06988120" w14:textId="77777777" w:rsidTr="00360C08">
        <w:trPr>
          <w:trHeight w:val="343"/>
        </w:trPr>
        <w:tc>
          <w:tcPr>
            <w:tcW w:w="1918" w:type="dxa"/>
            <w:vMerge/>
            <w:vAlign w:val="center"/>
            <w:hideMark/>
          </w:tcPr>
          <w:p w14:paraId="426B7107" w14:textId="77777777" w:rsidR="008123FB" w:rsidRPr="008123FB" w:rsidRDefault="008123FB" w:rsidP="00360C08">
            <w:pPr>
              <w:spacing w:line="240" w:lineRule="auto"/>
              <w:rPr>
                <w:rFonts w:ascii="Arial" w:hAnsi="Arial" w:cs="Arial"/>
                <w:sz w:val="20"/>
                <w:szCs w:val="20"/>
              </w:rPr>
            </w:pPr>
          </w:p>
        </w:tc>
        <w:tc>
          <w:tcPr>
            <w:tcW w:w="1763" w:type="dxa"/>
            <w:noWrap/>
            <w:vAlign w:val="center"/>
            <w:hideMark/>
          </w:tcPr>
          <w:p w14:paraId="2EDBE359"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Yield </w:t>
            </w:r>
          </w:p>
        </w:tc>
        <w:tc>
          <w:tcPr>
            <w:tcW w:w="1701" w:type="dxa"/>
            <w:noWrap/>
            <w:vAlign w:val="center"/>
            <w:hideMark/>
          </w:tcPr>
          <w:p w14:paraId="44ADA3F3"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29.96</w:t>
            </w:r>
          </w:p>
        </w:tc>
        <w:tc>
          <w:tcPr>
            <w:tcW w:w="1843" w:type="dxa"/>
            <w:noWrap/>
            <w:vAlign w:val="center"/>
            <w:hideMark/>
          </w:tcPr>
          <w:p w14:paraId="54777A37"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17.21</w:t>
            </w:r>
          </w:p>
        </w:tc>
      </w:tr>
      <w:tr w:rsidR="008123FB" w:rsidRPr="008123FB" w14:paraId="19236C53" w14:textId="77777777" w:rsidTr="00360C08">
        <w:trPr>
          <w:trHeight w:val="343"/>
        </w:trPr>
        <w:tc>
          <w:tcPr>
            <w:tcW w:w="1918" w:type="dxa"/>
            <w:vMerge/>
            <w:tcBorders>
              <w:bottom w:val="single" w:sz="4" w:space="0" w:color="auto"/>
            </w:tcBorders>
            <w:vAlign w:val="center"/>
            <w:hideMark/>
          </w:tcPr>
          <w:p w14:paraId="239E66BE" w14:textId="77777777" w:rsidR="008123FB" w:rsidRPr="008123FB" w:rsidRDefault="008123FB" w:rsidP="00360C08">
            <w:pPr>
              <w:spacing w:line="240" w:lineRule="auto"/>
              <w:rPr>
                <w:rFonts w:ascii="Arial" w:hAnsi="Arial" w:cs="Arial"/>
                <w:sz w:val="20"/>
                <w:szCs w:val="20"/>
              </w:rPr>
            </w:pPr>
          </w:p>
        </w:tc>
        <w:tc>
          <w:tcPr>
            <w:tcW w:w="1763" w:type="dxa"/>
            <w:tcBorders>
              <w:bottom w:val="single" w:sz="4" w:space="0" w:color="auto"/>
            </w:tcBorders>
            <w:noWrap/>
            <w:vAlign w:val="center"/>
            <w:hideMark/>
          </w:tcPr>
          <w:p w14:paraId="0ED850C2"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Production </w:t>
            </w:r>
          </w:p>
        </w:tc>
        <w:tc>
          <w:tcPr>
            <w:tcW w:w="1701" w:type="dxa"/>
            <w:tcBorders>
              <w:bottom w:val="single" w:sz="4" w:space="0" w:color="auto"/>
            </w:tcBorders>
            <w:noWrap/>
            <w:vAlign w:val="center"/>
            <w:hideMark/>
          </w:tcPr>
          <w:p w14:paraId="1B9ECBC4"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37.82</w:t>
            </w:r>
          </w:p>
        </w:tc>
        <w:tc>
          <w:tcPr>
            <w:tcW w:w="1843" w:type="dxa"/>
            <w:tcBorders>
              <w:bottom w:val="single" w:sz="4" w:space="0" w:color="auto"/>
            </w:tcBorders>
            <w:noWrap/>
            <w:vAlign w:val="center"/>
            <w:hideMark/>
          </w:tcPr>
          <w:p w14:paraId="35FBD4E7"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37.82</w:t>
            </w:r>
          </w:p>
        </w:tc>
      </w:tr>
    </w:tbl>
    <w:p w14:paraId="7EFF6DC9" w14:textId="15D52A8C" w:rsidR="008123FB" w:rsidRPr="008123FB" w:rsidRDefault="004B3A97" w:rsidP="008123FB">
      <w:pPr>
        <w:spacing w:line="240" w:lineRule="auto"/>
        <w:jc w:val="both"/>
        <w:rPr>
          <w:rFonts w:ascii="Arial" w:hAnsi="Arial" w:cs="Arial"/>
          <w:sz w:val="20"/>
          <w:szCs w:val="20"/>
        </w:rPr>
      </w:pPr>
      <w:r>
        <w:rPr>
          <w:rFonts w:ascii="Arial" w:hAnsi="Arial" w:cs="Arial"/>
          <w:bCs/>
          <w:sz w:val="20"/>
          <w:szCs w:val="20"/>
        </w:rPr>
        <w:t>N</w:t>
      </w:r>
      <w:r w:rsidR="00360C08">
        <w:rPr>
          <w:rFonts w:ascii="Arial" w:hAnsi="Arial" w:cs="Arial"/>
          <w:bCs/>
          <w:sz w:val="20"/>
          <w:szCs w:val="20"/>
        </w:rPr>
        <w:t>ote</w:t>
      </w:r>
      <w:r>
        <w:rPr>
          <w:rFonts w:ascii="Arial" w:hAnsi="Arial" w:cs="Arial"/>
          <w:bCs/>
          <w:sz w:val="20"/>
          <w:szCs w:val="20"/>
        </w:rPr>
        <w:t>:</w:t>
      </w:r>
      <w:r w:rsidRPr="005B2BC3">
        <w:rPr>
          <w:rFonts w:ascii="Arial" w:hAnsi="Arial" w:cs="Arial"/>
          <w:bCs/>
          <w:sz w:val="20"/>
          <w:szCs w:val="20"/>
        </w:rPr>
        <w:t xml:space="preserve"> </w:t>
      </w:r>
      <w:r w:rsidR="0077400E">
        <w:rPr>
          <w:rFonts w:ascii="Arial" w:hAnsi="Arial" w:cs="Arial"/>
          <w:bCs/>
          <w:sz w:val="20"/>
          <w:szCs w:val="20"/>
        </w:rPr>
        <w:t>CDVI</w:t>
      </w:r>
      <w:r>
        <w:rPr>
          <w:rFonts w:ascii="Arial" w:hAnsi="Arial" w:cs="Arial"/>
          <w:bCs/>
          <w:sz w:val="20"/>
          <w:szCs w:val="20"/>
        </w:rPr>
        <w:t>;</w:t>
      </w:r>
      <w:r w:rsidRPr="005B2BC3">
        <w:rPr>
          <w:rFonts w:ascii="Arial" w:hAnsi="Arial" w:cs="Arial"/>
          <w:bCs/>
          <w:sz w:val="20"/>
          <w:szCs w:val="20"/>
        </w:rPr>
        <w:t xml:space="preserve"> 0-15 </w:t>
      </w:r>
      <w:r>
        <w:rPr>
          <w:rFonts w:ascii="Arial" w:hAnsi="Arial" w:cs="Arial"/>
          <w:bCs/>
          <w:sz w:val="20"/>
          <w:szCs w:val="20"/>
        </w:rPr>
        <w:t>-</w:t>
      </w:r>
      <w:r w:rsidRPr="005B2BC3">
        <w:rPr>
          <w:rFonts w:ascii="Arial" w:hAnsi="Arial" w:cs="Arial"/>
          <w:bCs/>
          <w:sz w:val="20"/>
          <w:szCs w:val="20"/>
        </w:rPr>
        <w:t xml:space="preserve"> low instability, 15-30 percent </w:t>
      </w:r>
      <w:r>
        <w:rPr>
          <w:rFonts w:ascii="Arial" w:hAnsi="Arial" w:cs="Arial"/>
          <w:bCs/>
          <w:sz w:val="20"/>
          <w:szCs w:val="20"/>
        </w:rPr>
        <w:t xml:space="preserve">- </w:t>
      </w:r>
      <w:r w:rsidRPr="005B2BC3">
        <w:rPr>
          <w:rFonts w:ascii="Arial" w:hAnsi="Arial" w:cs="Arial"/>
          <w:bCs/>
          <w:sz w:val="20"/>
          <w:szCs w:val="20"/>
        </w:rPr>
        <w:t xml:space="preserve">medium instability and </w:t>
      </w:r>
      <w:r>
        <w:rPr>
          <w:rFonts w:ascii="Arial" w:hAnsi="Arial" w:cs="Arial"/>
          <w:bCs/>
          <w:sz w:val="20"/>
          <w:szCs w:val="20"/>
        </w:rPr>
        <w:t>&gt;</w:t>
      </w:r>
      <w:r w:rsidRPr="005B2BC3">
        <w:rPr>
          <w:rFonts w:ascii="Arial" w:hAnsi="Arial" w:cs="Arial"/>
          <w:bCs/>
          <w:sz w:val="20"/>
          <w:szCs w:val="20"/>
        </w:rPr>
        <w:t xml:space="preserve">30 percent </w:t>
      </w:r>
      <w:r>
        <w:rPr>
          <w:rFonts w:ascii="Arial" w:hAnsi="Arial" w:cs="Arial"/>
          <w:bCs/>
          <w:sz w:val="20"/>
          <w:szCs w:val="20"/>
        </w:rPr>
        <w:t xml:space="preserve">- </w:t>
      </w:r>
      <w:r w:rsidRPr="005B2BC3">
        <w:rPr>
          <w:rFonts w:ascii="Arial" w:hAnsi="Arial" w:cs="Arial"/>
          <w:bCs/>
          <w:sz w:val="20"/>
          <w:szCs w:val="20"/>
        </w:rPr>
        <w:t>high instability</w:t>
      </w:r>
    </w:p>
    <w:p w14:paraId="20ECF7F1" w14:textId="356813D8" w:rsidR="008123FB" w:rsidRPr="008123FB" w:rsidRDefault="008123FB" w:rsidP="008123FB">
      <w:pPr>
        <w:spacing w:line="240" w:lineRule="auto"/>
        <w:jc w:val="both"/>
        <w:rPr>
          <w:rFonts w:ascii="Arial" w:hAnsi="Arial" w:cs="Arial"/>
          <w:sz w:val="20"/>
          <w:szCs w:val="20"/>
        </w:rPr>
      </w:pPr>
      <w:r w:rsidRPr="008123FB">
        <w:rPr>
          <w:rFonts w:ascii="Arial" w:hAnsi="Arial" w:cs="Arial"/>
          <w:sz w:val="20"/>
          <w:szCs w:val="20"/>
        </w:rPr>
        <w:t>For sorghum, the instability in area (CDV</w:t>
      </w:r>
      <w:r w:rsidR="00AF2EFF">
        <w:rPr>
          <w:rFonts w:ascii="Arial" w:hAnsi="Arial" w:cs="Arial"/>
          <w:sz w:val="20"/>
          <w:szCs w:val="20"/>
        </w:rPr>
        <w:t>I</w:t>
      </w:r>
      <w:r w:rsidRPr="008123FB">
        <w:rPr>
          <w:rFonts w:ascii="Arial" w:hAnsi="Arial" w:cs="Arial"/>
          <w:sz w:val="20"/>
          <w:szCs w:val="20"/>
        </w:rPr>
        <w:t xml:space="preserve"> = 29.86 percent) indicates a medium level of fluctuation, reflecting a gradual decline in cultivation. Yield instability is 17.21 percent, which also falls in the medium range, showing that yield improvements have reduced short-run variations. However, production instability is 38.06 percent, signifying a high degree of fluctuation, largely due to short-run shocks in yield and area.</w:t>
      </w:r>
      <w:r w:rsidR="00941888">
        <w:rPr>
          <w:rFonts w:ascii="Arial" w:hAnsi="Arial" w:cs="Arial"/>
          <w:sz w:val="20"/>
          <w:szCs w:val="20"/>
        </w:rPr>
        <w:t xml:space="preserve"> </w:t>
      </w:r>
      <w:r w:rsidRPr="008123FB">
        <w:rPr>
          <w:rFonts w:ascii="Arial" w:hAnsi="Arial" w:cs="Arial"/>
          <w:sz w:val="20"/>
          <w:szCs w:val="20"/>
        </w:rPr>
        <w:t>In the case of pearl millet, area instability is 29.89 percent, suggesting medium fluctuations. Yield instability is 56.31 percent, which is very high and the most unstable among all millet crops, Production instability is also high (38.20 percent), reflecting fluctuations considerably due to sharp changes in the area under cultivation.</w:t>
      </w:r>
      <w:r w:rsidR="00941888">
        <w:rPr>
          <w:rFonts w:ascii="Arial" w:hAnsi="Arial" w:cs="Arial"/>
          <w:sz w:val="20"/>
          <w:szCs w:val="20"/>
        </w:rPr>
        <w:t xml:space="preserve"> </w:t>
      </w:r>
      <w:r w:rsidRPr="008123FB">
        <w:rPr>
          <w:rFonts w:ascii="Arial" w:hAnsi="Arial" w:cs="Arial"/>
          <w:sz w:val="20"/>
          <w:szCs w:val="20"/>
        </w:rPr>
        <w:t>For finger millet, area instability is 31.61 percent, pointing to medium fluctuations. Yield instability is 23.55 percent, also in the medium range, indicating relative yield stability. Production instability, however, is 49.92 percent, which is high, suggesting that instability in production is largely influenced by area variations rather than yield changes.</w:t>
      </w:r>
    </w:p>
    <w:p w14:paraId="51412E51" w14:textId="1EEDB568" w:rsidR="008123FB" w:rsidRPr="008123FB" w:rsidRDefault="008123FB" w:rsidP="008123FB">
      <w:pPr>
        <w:spacing w:line="240" w:lineRule="auto"/>
        <w:jc w:val="both"/>
        <w:rPr>
          <w:rFonts w:ascii="Arial" w:hAnsi="Arial" w:cs="Arial"/>
          <w:sz w:val="20"/>
          <w:szCs w:val="20"/>
        </w:rPr>
      </w:pPr>
      <w:r w:rsidRPr="008123FB">
        <w:rPr>
          <w:rFonts w:ascii="Arial" w:hAnsi="Arial" w:cs="Arial"/>
          <w:sz w:val="20"/>
          <w:szCs w:val="20"/>
        </w:rPr>
        <w:t>Minor millets showed the highest instability across all parameters. Area instability is 69.70 percent, yield instability is 34.21 percent, and production instability is as high as 92.52 percent. These values clearly indicate highly erratic cultivation patterns and productivity, making minor millets the most unstable group.</w:t>
      </w:r>
      <w:r w:rsidR="00941888">
        <w:rPr>
          <w:rFonts w:ascii="Arial" w:hAnsi="Arial" w:cs="Arial"/>
          <w:sz w:val="20"/>
          <w:szCs w:val="20"/>
        </w:rPr>
        <w:t xml:space="preserve"> </w:t>
      </w:r>
      <w:r w:rsidRPr="008123FB">
        <w:rPr>
          <w:rFonts w:ascii="Arial" w:hAnsi="Arial" w:cs="Arial"/>
          <w:sz w:val="20"/>
          <w:szCs w:val="20"/>
        </w:rPr>
        <w:t xml:space="preserve">For total millets, area instability is 29.57 percent, pointing to medium fluctuations. Yield instability is 17.21 percent, also medium but relatively stable compared to individual crops. Production instability </w:t>
      </w:r>
      <w:r w:rsidRPr="008123FB">
        <w:rPr>
          <w:rFonts w:ascii="Arial" w:hAnsi="Arial" w:cs="Arial"/>
          <w:sz w:val="20"/>
          <w:szCs w:val="20"/>
        </w:rPr>
        <w:lastRenderedPageBreak/>
        <w:t>stands at 37.82 percent, which is high, indicating that overall millet production in Telangana is strongly affected by short-run shocks despite gradual changes in area and yield trends.</w:t>
      </w:r>
    </w:p>
    <w:p w14:paraId="66774264" w14:textId="1F5A1B26" w:rsidR="008123FB" w:rsidRPr="008123FB" w:rsidRDefault="008123FB" w:rsidP="008123FB">
      <w:pPr>
        <w:spacing w:line="240" w:lineRule="auto"/>
        <w:jc w:val="both"/>
        <w:rPr>
          <w:rFonts w:ascii="Arial" w:hAnsi="Arial" w:cs="Arial"/>
          <w:sz w:val="20"/>
          <w:szCs w:val="20"/>
        </w:rPr>
      </w:pPr>
      <w:r w:rsidRPr="008123FB">
        <w:rPr>
          <w:rFonts w:ascii="Arial" w:hAnsi="Arial" w:cs="Arial"/>
          <w:sz w:val="20"/>
          <w:szCs w:val="20"/>
        </w:rPr>
        <w:t xml:space="preserve">The analysis shows that millet production and area in Telangana are largely unstable, while yield is comparatively stable except in the case of pearl millet. For sorghum and pearl millet, area instability exceeded production instability, highlighting the influence of declining and fluctuating cultivation. Minor millets remain the most unstable across all parameters. Ensuring stability in area allocation is crucial for achieving consistent millet production in the state. </w:t>
      </w:r>
      <w:proofErr w:type="spellStart"/>
      <w:r w:rsidRPr="008123FB">
        <w:rPr>
          <w:rFonts w:ascii="Arial" w:hAnsi="Arial" w:cs="Arial"/>
          <w:sz w:val="20"/>
          <w:szCs w:val="20"/>
        </w:rPr>
        <w:t>Amarapurkar</w:t>
      </w:r>
      <w:proofErr w:type="spellEnd"/>
      <w:r w:rsidRPr="008123FB">
        <w:rPr>
          <w:rFonts w:ascii="Arial" w:hAnsi="Arial" w:cs="Arial"/>
          <w:sz w:val="20"/>
          <w:szCs w:val="20"/>
        </w:rPr>
        <w:t xml:space="preserve"> and </w:t>
      </w:r>
      <w:proofErr w:type="spellStart"/>
      <w:r w:rsidRPr="008123FB">
        <w:rPr>
          <w:rFonts w:ascii="Arial" w:hAnsi="Arial" w:cs="Arial"/>
          <w:sz w:val="20"/>
          <w:szCs w:val="20"/>
        </w:rPr>
        <w:t>Banakar</w:t>
      </w:r>
      <w:proofErr w:type="spellEnd"/>
      <w:r w:rsidRPr="008123FB">
        <w:rPr>
          <w:rFonts w:ascii="Arial" w:hAnsi="Arial" w:cs="Arial"/>
          <w:sz w:val="20"/>
          <w:szCs w:val="20"/>
        </w:rPr>
        <w:t xml:space="preserve"> (2019) in Karnataka and </w:t>
      </w:r>
      <w:proofErr w:type="spellStart"/>
      <w:r w:rsidRPr="008123FB">
        <w:rPr>
          <w:rFonts w:ascii="Arial" w:hAnsi="Arial" w:cs="Arial"/>
          <w:sz w:val="20"/>
          <w:szCs w:val="20"/>
        </w:rPr>
        <w:t>Aswini</w:t>
      </w:r>
      <w:proofErr w:type="spellEnd"/>
      <w:r w:rsidRPr="008123FB">
        <w:rPr>
          <w:rFonts w:ascii="Arial" w:hAnsi="Arial" w:cs="Arial"/>
          <w:sz w:val="20"/>
          <w:szCs w:val="20"/>
        </w:rPr>
        <w:t xml:space="preserve"> et al. (2019) in Andhra Pradesh reported medium to high instability in millets, which is similar to the present findings for Telangana.</w:t>
      </w:r>
    </w:p>
    <w:p w14:paraId="083AD75D" w14:textId="7E447297" w:rsidR="008123FB" w:rsidRPr="008123FB" w:rsidRDefault="00AF2EFF" w:rsidP="008123FB">
      <w:pPr>
        <w:spacing w:line="240" w:lineRule="auto"/>
        <w:jc w:val="both"/>
        <w:rPr>
          <w:rFonts w:ascii="Arial" w:hAnsi="Arial" w:cs="Arial"/>
          <w:b/>
          <w:bCs/>
        </w:rPr>
      </w:pPr>
      <w:r w:rsidRPr="00AF2EFF">
        <w:rPr>
          <w:rFonts w:ascii="Arial" w:hAnsi="Arial" w:cs="Arial"/>
          <w:b/>
          <w:bCs/>
        </w:rPr>
        <w:t>3.5</w:t>
      </w:r>
      <w:r w:rsidR="008123FB" w:rsidRPr="008123FB">
        <w:rPr>
          <w:rFonts w:ascii="Arial" w:hAnsi="Arial" w:cs="Arial"/>
          <w:b/>
          <w:bCs/>
        </w:rPr>
        <w:t xml:space="preserve"> Structural breaks in area, production and yield of millets in Telangana</w:t>
      </w:r>
    </w:p>
    <w:p w14:paraId="5464C6E0" w14:textId="0B323017" w:rsidR="008123FB" w:rsidRPr="008123FB" w:rsidRDefault="008123FB" w:rsidP="008123FB">
      <w:pPr>
        <w:spacing w:line="240" w:lineRule="auto"/>
        <w:jc w:val="both"/>
        <w:rPr>
          <w:rFonts w:ascii="Arial" w:hAnsi="Arial" w:cs="Arial"/>
          <w:sz w:val="20"/>
          <w:szCs w:val="20"/>
        </w:rPr>
      </w:pPr>
      <w:r w:rsidRPr="008123FB">
        <w:rPr>
          <w:rFonts w:ascii="Arial" w:hAnsi="Arial" w:cs="Arial"/>
          <w:sz w:val="20"/>
          <w:szCs w:val="20"/>
        </w:rPr>
        <w:t>To examine possible shifts in the trend behaviour of millets in Telangana, the Bai–</w:t>
      </w:r>
      <w:proofErr w:type="spellStart"/>
      <w:r w:rsidRPr="008123FB">
        <w:rPr>
          <w:rFonts w:ascii="Arial" w:hAnsi="Arial" w:cs="Arial"/>
          <w:sz w:val="20"/>
          <w:szCs w:val="20"/>
        </w:rPr>
        <w:t>Perron</w:t>
      </w:r>
      <w:proofErr w:type="spellEnd"/>
      <w:r w:rsidRPr="008123FB">
        <w:rPr>
          <w:rFonts w:ascii="Arial" w:hAnsi="Arial" w:cs="Arial"/>
          <w:sz w:val="20"/>
          <w:szCs w:val="20"/>
        </w:rPr>
        <w:t xml:space="preserve"> multiple structural break test was applied to the time series on area, yield, and production of total millets for the period 2008–09 to 2023–24. The Bai–</w:t>
      </w:r>
      <w:proofErr w:type="spellStart"/>
      <w:r w:rsidRPr="008123FB">
        <w:rPr>
          <w:rFonts w:ascii="Arial" w:hAnsi="Arial" w:cs="Arial"/>
          <w:sz w:val="20"/>
          <w:szCs w:val="20"/>
        </w:rPr>
        <w:t>Perron</w:t>
      </w:r>
      <w:proofErr w:type="spellEnd"/>
      <w:r w:rsidRPr="008123FB">
        <w:rPr>
          <w:rFonts w:ascii="Arial" w:hAnsi="Arial" w:cs="Arial"/>
          <w:sz w:val="20"/>
          <w:szCs w:val="20"/>
        </w:rPr>
        <w:t xml:space="preserve"> test is suitable for detecting multiple unknown break points in linear models by partitioning the series into statistically distinct regimes. Given the sample size of 16 years, the test was implemented with caution, and the maximum number of breaks allowed was restricted to two to avoid overfitting. The break years are shown in table 4.</w:t>
      </w:r>
    </w:p>
    <w:p w14:paraId="392E7324" w14:textId="6BF2714F" w:rsidR="008123FB" w:rsidRPr="008123FB" w:rsidRDefault="008123FB" w:rsidP="008123FB">
      <w:pPr>
        <w:spacing w:line="240" w:lineRule="auto"/>
        <w:jc w:val="both"/>
        <w:rPr>
          <w:rFonts w:ascii="Arial" w:hAnsi="Arial" w:cs="Arial"/>
          <w:b/>
          <w:bCs/>
          <w:sz w:val="20"/>
          <w:szCs w:val="20"/>
        </w:rPr>
      </w:pPr>
      <w:r w:rsidRPr="008123FB">
        <w:rPr>
          <w:rFonts w:ascii="Arial" w:hAnsi="Arial" w:cs="Arial"/>
          <w:b/>
          <w:bCs/>
          <w:sz w:val="20"/>
          <w:szCs w:val="20"/>
        </w:rPr>
        <w:t>Table 4</w:t>
      </w:r>
      <w:r w:rsidR="00AF2EFF">
        <w:rPr>
          <w:rFonts w:ascii="Arial" w:hAnsi="Arial" w:cs="Arial"/>
          <w:b/>
          <w:bCs/>
          <w:sz w:val="20"/>
          <w:szCs w:val="20"/>
        </w:rPr>
        <w:t xml:space="preserve">. </w:t>
      </w:r>
      <w:r w:rsidRPr="008123FB">
        <w:rPr>
          <w:rFonts w:ascii="Arial" w:hAnsi="Arial" w:cs="Arial"/>
          <w:b/>
          <w:bCs/>
          <w:sz w:val="20"/>
          <w:szCs w:val="20"/>
        </w:rPr>
        <w:t>Results of the Bai-</w:t>
      </w:r>
      <w:proofErr w:type="spellStart"/>
      <w:r w:rsidRPr="008123FB">
        <w:rPr>
          <w:rFonts w:ascii="Arial" w:hAnsi="Arial" w:cs="Arial"/>
          <w:b/>
          <w:bCs/>
          <w:sz w:val="20"/>
          <w:szCs w:val="20"/>
        </w:rPr>
        <w:t>Perron</w:t>
      </w:r>
      <w:proofErr w:type="spellEnd"/>
      <w:r w:rsidRPr="008123FB">
        <w:rPr>
          <w:rFonts w:ascii="Arial" w:hAnsi="Arial" w:cs="Arial"/>
          <w:b/>
          <w:bCs/>
          <w:sz w:val="20"/>
          <w:szCs w:val="20"/>
        </w:rPr>
        <w:t xml:space="preserve"> multiple structural breakpoints test for Telangana (2008-09 to 2023-24)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1"/>
        <w:gridCol w:w="1596"/>
        <w:gridCol w:w="2673"/>
      </w:tblGrid>
      <w:tr w:rsidR="008123FB" w:rsidRPr="008123FB" w14:paraId="54D35B46" w14:textId="77777777" w:rsidTr="00AF2EFF">
        <w:trPr>
          <w:trHeight w:val="159"/>
          <w:jc w:val="center"/>
        </w:trPr>
        <w:tc>
          <w:tcPr>
            <w:tcW w:w="2111" w:type="dxa"/>
            <w:tcBorders>
              <w:top w:val="single" w:sz="4" w:space="0" w:color="auto"/>
              <w:bottom w:val="single" w:sz="4" w:space="0" w:color="auto"/>
            </w:tcBorders>
            <w:noWrap/>
            <w:vAlign w:val="center"/>
            <w:hideMark/>
          </w:tcPr>
          <w:p w14:paraId="4603F7E8" w14:textId="77777777" w:rsidR="008123FB" w:rsidRPr="008123FB" w:rsidRDefault="008123FB" w:rsidP="008123FB">
            <w:pPr>
              <w:spacing w:after="160"/>
              <w:jc w:val="both"/>
              <w:rPr>
                <w:rFonts w:ascii="Arial" w:hAnsi="Arial" w:cs="Arial"/>
                <w:b/>
                <w:bCs/>
                <w:sz w:val="20"/>
                <w:szCs w:val="20"/>
              </w:rPr>
            </w:pPr>
            <w:r w:rsidRPr="008123FB">
              <w:rPr>
                <w:rFonts w:ascii="Arial" w:hAnsi="Arial" w:cs="Arial"/>
                <w:b/>
                <w:bCs/>
                <w:sz w:val="20"/>
                <w:szCs w:val="20"/>
              </w:rPr>
              <w:t>Parameter</w:t>
            </w:r>
          </w:p>
        </w:tc>
        <w:tc>
          <w:tcPr>
            <w:tcW w:w="1596" w:type="dxa"/>
            <w:tcBorders>
              <w:top w:val="single" w:sz="4" w:space="0" w:color="auto"/>
              <w:bottom w:val="single" w:sz="4" w:space="0" w:color="auto"/>
            </w:tcBorders>
            <w:noWrap/>
            <w:vAlign w:val="center"/>
            <w:hideMark/>
          </w:tcPr>
          <w:p w14:paraId="214A523B" w14:textId="77777777" w:rsidR="008123FB" w:rsidRPr="008123FB" w:rsidRDefault="008123FB" w:rsidP="008123FB">
            <w:pPr>
              <w:spacing w:after="160"/>
              <w:jc w:val="both"/>
              <w:rPr>
                <w:rFonts w:ascii="Arial" w:hAnsi="Arial" w:cs="Arial"/>
                <w:b/>
                <w:bCs/>
                <w:sz w:val="20"/>
                <w:szCs w:val="20"/>
              </w:rPr>
            </w:pPr>
            <w:r w:rsidRPr="008123FB">
              <w:rPr>
                <w:rFonts w:ascii="Arial" w:hAnsi="Arial" w:cs="Arial"/>
                <w:b/>
                <w:bCs/>
                <w:sz w:val="20"/>
                <w:szCs w:val="20"/>
              </w:rPr>
              <w:t>No. of breaks</w:t>
            </w:r>
          </w:p>
        </w:tc>
        <w:tc>
          <w:tcPr>
            <w:tcW w:w="2673" w:type="dxa"/>
            <w:tcBorders>
              <w:top w:val="single" w:sz="4" w:space="0" w:color="auto"/>
              <w:bottom w:val="single" w:sz="4" w:space="0" w:color="auto"/>
            </w:tcBorders>
            <w:noWrap/>
            <w:vAlign w:val="center"/>
            <w:hideMark/>
          </w:tcPr>
          <w:p w14:paraId="3B4157D5" w14:textId="77777777" w:rsidR="008123FB" w:rsidRPr="008123FB" w:rsidRDefault="008123FB" w:rsidP="008123FB">
            <w:pPr>
              <w:spacing w:after="160"/>
              <w:jc w:val="both"/>
              <w:rPr>
                <w:rFonts w:ascii="Arial" w:hAnsi="Arial" w:cs="Arial"/>
                <w:b/>
                <w:bCs/>
                <w:sz w:val="20"/>
                <w:szCs w:val="20"/>
              </w:rPr>
            </w:pPr>
            <w:r w:rsidRPr="008123FB">
              <w:rPr>
                <w:rFonts w:ascii="Arial" w:hAnsi="Arial" w:cs="Arial"/>
                <w:b/>
                <w:bCs/>
                <w:sz w:val="20"/>
                <w:szCs w:val="20"/>
              </w:rPr>
              <w:t>Break year</w:t>
            </w:r>
          </w:p>
        </w:tc>
      </w:tr>
      <w:tr w:rsidR="008123FB" w:rsidRPr="008123FB" w14:paraId="1A24DE37" w14:textId="77777777" w:rsidTr="00AF2EFF">
        <w:trPr>
          <w:trHeight w:val="159"/>
          <w:jc w:val="center"/>
        </w:trPr>
        <w:tc>
          <w:tcPr>
            <w:tcW w:w="2111" w:type="dxa"/>
            <w:tcBorders>
              <w:top w:val="single" w:sz="4" w:space="0" w:color="auto"/>
            </w:tcBorders>
            <w:noWrap/>
            <w:vAlign w:val="center"/>
            <w:hideMark/>
          </w:tcPr>
          <w:p w14:paraId="4B615E8D"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Area</w:t>
            </w:r>
          </w:p>
        </w:tc>
        <w:tc>
          <w:tcPr>
            <w:tcW w:w="1596" w:type="dxa"/>
            <w:tcBorders>
              <w:top w:val="single" w:sz="4" w:space="0" w:color="auto"/>
            </w:tcBorders>
            <w:noWrap/>
            <w:vAlign w:val="center"/>
            <w:hideMark/>
          </w:tcPr>
          <w:p w14:paraId="7175240E"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1</w:t>
            </w:r>
          </w:p>
        </w:tc>
        <w:tc>
          <w:tcPr>
            <w:tcW w:w="2673" w:type="dxa"/>
            <w:tcBorders>
              <w:top w:val="single" w:sz="4" w:space="0" w:color="auto"/>
            </w:tcBorders>
            <w:noWrap/>
            <w:vAlign w:val="center"/>
            <w:hideMark/>
          </w:tcPr>
          <w:p w14:paraId="35F52F50"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2013-14</w:t>
            </w:r>
          </w:p>
        </w:tc>
      </w:tr>
      <w:tr w:rsidR="008123FB" w:rsidRPr="008123FB" w14:paraId="20EFF7BA" w14:textId="77777777" w:rsidTr="00AF2EFF">
        <w:trPr>
          <w:trHeight w:val="159"/>
          <w:jc w:val="center"/>
        </w:trPr>
        <w:tc>
          <w:tcPr>
            <w:tcW w:w="2111" w:type="dxa"/>
            <w:noWrap/>
            <w:vAlign w:val="center"/>
            <w:hideMark/>
          </w:tcPr>
          <w:p w14:paraId="136DA8C5"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Yield</w:t>
            </w:r>
          </w:p>
        </w:tc>
        <w:tc>
          <w:tcPr>
            <w:tcW w:w="1596" w:type="dxa"/>
            <w:noWrap/>
            <w:vAlign w:val="center"/>
            <w:hideMark/>
          </w:tcPr>
          <w:p w14:paraId="70F0374C"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1</w:t>
            </w:r>
          </w:p>
        </w:tc>
        <w:tc>
          <w:tcPr>
            <w:tcW w:w="2673" w:type="dxa"/>
            <w:noWrap/>
            <w:vAlign w:val="center"/>
            <w:hideMark/>
          </w:tcPr>
          <w:p w14:paraId="4A86657B" w14:textId="32D97CD1"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201</w:t>
            </w:r>
            <w:r w:rsidR="00882FE8">
              <w:rPr>
                <w:rFonts w:ascii="Arial" w:hAnsi="Arial" w:cs="Arial"/>
                <w:sz w:val="20"/>
                <w:szCs w:val="20"/>
              </w:rPr>
              <w:t>8</w:t>
            </w:r>
            <w:r w:rsidRPr="008123FB">
              <w:rPr>
                <w:rFonts w:ascii="Arial" w:hAnsi="Arial" w:cs="Arial"/>
                <w:sz w:val="20"/>
                <w:szCs w:val="20"/>
              </w:rPr>
              <w:t>-1</w:t>
            </w:r>
            <w:r w:rsidR="00882FE8">
              <w:rPr>
                <w:rFonts w:ascii="Arial" w:hAnsi="Arial" w:cs="Arial"/>
                <w:sz w:val="20"/>
                <w:szCs w:val="20"/>
              </w:rPr>
              <w:t>9</w:t>
            </w:r>
          </w:p>
        </w:tc>
      </w:tr>
      <w:tr w:rsidR="008123FB" w:rsidRPr="008123FB" w14:paraId="764FBE3D" w14:textId="77777777" w:rsidTr="00AF2EFF">
        <w:trPr>
          <w:trHeight w:val="159"/>
          <w:jc w:val="center"/>
        </w:trPr>
        <w:tc>
          <w:tcPr>
            <w:tcW w:w="2111" w:type="dxa"/>
            <w:tcBorders>
              <w:bottom w:val="single" w:sz="4" w:space="0" w:color="auto"/>
            </w:tcBorders>
            <w:noWrap/>
            <w:vAlign w:val="center"/>
            <w:hideMark/>
          </w:tcPr>
          <w:p w14:paraId="30FF5E75"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Production</w:t>
            </w:r>
          </w:p>
        </w:tc>
        <w:tc>
          <w:tcPr>
            <w:tcW w:w="1596" w:type="dxa"/>
            <w:tcBorders>
              <w:bottom w:val="single" w:sz="4" w:space="0" w:color="auto"/>
            </w:tcBorders>
            <w:noWrap/>
            <w:vAlign w:val="center"/>
            <w:hideMark/>
          </w:tcPr>
          <w:p w14:paraId="4FD777B5"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2</w:t>
            </w:r>
          </w:p>
        </w:tc>
        <w:tc>
          <w:tcPr>
            <w:tcW w:w="2673" w:type="dxa"/>
            <w:tcBorders>
              <w:bottom w:val="single" w:sz="4" w:space="0" w:color="auto"/>
            </w:tcBorders>
            <w:noWrap/>
            <w:vAlign w:val="center"/>
            <w:hideMark/>
          </w:tcPr>
          <w:p w14:paraId="1818465B"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2013-14, 2018-19</w:t>
            </w:r>
          </w:p>
        </w:tc>
      </w:tr>
    </w:tbl>
    <w:p w14:paraId="6C42184D" w14:textId="08C8FCC3" w:rsidR="008123FB" w:rsidRPr="008123FB" w:rsidRDefault="008123FB" w:rsidP="008123FB">
      <w:pPr>
        <w:spacing w:line="240" w:lineRule="auto"/>
        <w:jc w:val="both"/>
        <w:rPr>
          <w:rFonts w:ascii="Arial" w:hAnsi="Arial" w:cs="Arial"/>
          <w:sz w:val="20"/>
          <w:szCs w:val="20"/>
        </w:rPr>
      </w:pPr>
    </w:p>
    <w:p w14:paraId="3EAB42C6" w14:textId="10F2B8CB" w:rsidR="008123FB" w:rsidRPr="008123FB" w:rsidRDefault="0016555D" w:rsidP="008123FB">
      <w:pPr>
        <w:spacing w:line="240" w:lineRule="auto"/>
        <w:jc w:val="both"/>
        <w:rPr>
          <w:rFonts w:ascii="Arial" w:hAnsi="Arial" w:cs="Arial"/>
          <w:sz w:val="20"/>
          <w:szCs w:val="20"/>
        </w:rPr>
      </w:pPr>
      <w:r w:rsidRPr="008123FB">
        <w:rPr>
          <w:rFonts w:ascii="Arial" w:hAnsi="Arial" w:cs="Arial"/>
          <w:sz w:val="20"/>
          <w:szCs w:val="20"/>
        </w:rPr>
        <w:t xml:space="preserve">The pictorial representation of structural break is given in fig. </w:t>
      </w:r>
      <w:r>
        <w:rPr>
          <w:rFonts w:ascii="Arial" w:hAnsi="Arial" w:cs="Arial"/>
          <w:sz w:val="20"/>
          <w:szCs w:val="20"/>
        </w:rPr>
        <w:t>7</w:t>
      </w:r>
      <w:r w:rsidRPr="008123FB">
        <w:rPr>
          <w:rFonts w:ascii="Arial" w:hAnsi="Arial" w:cs="Arial"/>
          <w:sz w:val="20"/>
          <w:szCs w:val="20"/>
        </w:rPr>
        <w:t>.</w:t>
      </w:r>
      <w:r>
        <w:rPr>
          <w:rFonts w:ascii="Arial" w:hAnsi="Arial" w:cs="Arial"/>
          <w:sz w:val="20"/>
          <w:szCs w:val="20"/>
        </w:rPr>
        <w:t xml:space="preserve"> </w:t>
      </w:r>
      <w:r w:rsidR="008123FB" w:rsidRPr="008123FB">
        <w:rPr>
          <w:rFonts w:ascii="Arial" w:hAnsi="Arial" w:cs="Arial"/>
          <w:sz w:val="20"/>
          <w:szCs w:val="20"/>
        </w:rPr>
        <w:t>The break point for the trend in millet area and production was observed during 2013–14. In the case of production, structural breaks occurred in 2013–14 and again in 2018–19. The possible reasons for these shifts could be the bifurcation of Andhra Pradesh leading to the formation of Telangana in 2014, which brought institutional and policy changes, influencing land use and crop priorities. The early statehood period was marked by reorientation of schemes and focus on staple crops, which may have affected the allocation of area to millets</w:t>
      </w:r>
      <w:r w:rsidR="008123FB" w:rsidRPr="00501F81">
        <w:rPr>
          <w:rFonts w:ascii="Arial" w:hAnsi="Arial" w:cs="Arial"/>
        </w:rPr>
        <w:t xml:space="preserve">. </w:t>
      </w:r>
      <w:r w:rsidR="00501F81" w:rsidRPr="00501F81">
        <w:rPr>
          <w:rFonts w:ascii="Arial" w:hAnsi="Arial" w:cs="Arial"/>
        </w:rPr>
        <w:t>The second break around 2018–19 in production is visible in yield also, which may be linked to renewed policy emphasis under programmes such as the NFSM and state-level initiatives promoting millets</w:t>
      </w:r>
      <w:r w:rsidR="008123FB" w:rsidRPr="00501F81">
        <w:rPr>
          <w:rFonts w:ascii="Arial" w:hAnsi="Arial" w:cs="Arial"/>
        </w:rPr>
        <w:t>.</w:t>
      </w:r>
      <w:r w:rsidR="008123FB" w:rsidRPr="008123FB">
        <w:rPr>
          <w:rFonts w:ascii="Arial" w:hAnsi="Arial" w:cs="Arial"/>
          <w:sz w:val="20"/>
          <w:szCs w:val="20"/>
        </w:rPr>
        <w:t xml:space="preserve"> In addition, variability in rainfall patterns and recurring climatic shocks during this phase might also have contributed to fluctuations in yield and production. </w:t>
      </w:r>
      <w:r w:rsidR="00941888">
        <w:rPr>
          <w:rFonts w:ascii="Arial" w:hAnsi="Arial" w:cs="Arial"/>
          <w:sz w:val="20"/>
          <w:szCs w:val="20"/>
        </w:rPr>
        <w:t xml:space="preserve">Similar to these findings, </w:t>
      </w:r>
      <w:proofErr w:type="spellStart"/>
      <w:r w:rsidR="00941888" w:rsidRPr="00941888">
        <w:rPr>
          <w:rFonts w:ascii="Arial" w:hAnsi="Arial" w:cs="Arial"/>
          <w:sz w:val="20"/>
          <w:szCs w:val="20"/>
        </w:rPr>
        <w:t>Anbukkani</w:t>
      </w:r>
      <w:proofErr w:type="spellEnd"/>
      <w:r w:rsidR="00941888" w:rsidRPr="00941888">
        <w:rPr>
          <w:rFonts w:ascii="Arial" w:hAnsi="Arial" w:cs="Arial"/>
          <w:sz w:val="20"/>
          <w:szCs w:val="20"/>
        </w:rPr>
        <w:t xml:space="preserve"> et al. (201</w:t>
      </w:r>
      <w:r w:rsidR="00941888">
        <w:rPr>
          <w:rFonts w:ascii="Arial" w:hAnsi="Arial" w:cs="Arial"/>
          <w:sz w:val="20"/>
          <w:szCs w:val="20"/>
        </w:rPr>
        <w:t>6</w:t>
      </w:r>
      <w:r w:rsidR="00941888" w:rsidRPr="00941888">
        <w:rPr>
          <w:rFonts w:ascii="Arial" w:hAnsi="Arial" w:cs="Arial"/>
          <w:sz w:val="20"/>
          <w:szCs w:val="20"/>
        </w:rPr>
        <w:t>) attributed the structural changes in the area under minor millets to variations in weather conditions.</w:t>
      </w:r>
    </w:p>
    <w:p w14:paraId="4B2D890F" w14:textId="41F1336D" w:rsidR="008123FB" w:rsidRPr="008123FB" w:rsidRDefault="008123FB" w:rsidP="008123FB">
      <w:pPr>
        <w:spacing w:line="240" w:lineRule="auto"/>
        <w:jc w:val="both"/>
        <w:rPr>
          <w:rFonts w:ascii="Arial" w:hAnsi="Arial" w:cs="Arial"/>
          <w:sz w:val="20"/>
          <w:szCs w:val="20"/>
        </w:rPr>
      </w:pPr>
    </w:p>
    <w:p w14:paraId="2CEFEA34" w14:textId="153A2F06" w:rsidR="008123FB" w:rsidRPr="008123FB" w:rsidRDefault="00F864CE" w:rsidP="008123FB">
      <w:pPr>
        <w:spacing w:line="240" w:lineRule="auto"/>
        <w:jc w:val="both"/>
        <w:rPr>
          <w:rFonts w:ascii="Arial" w:hAnsi="Arial" w:cs="Arial"/>
          <w:sz w:val="20"/>
          <w:szCs w:val="20"/>
        </w:rPr>
      </w:pPr>
      <w:r w:rsidRPr="008123FB">
        <w:rPr>
          <w:rFonts w:ascii="Arial" w:hAnsi="Arial" w:cs="Arial"/>
          <w:noProof/>
          <w:sz w:val="20"/>
          <w:szCs w:val="20"/>
        </w:rPr>
        <w:lastRenderedPageBreak/>
        <w:drawing>
          <wp:anchor distT="0" distB="0" distL="114300" distR="114300" simplePos="0" relativeHeight="251675648" behindDoc="0" locked="0" layoutInCell="1" allowOverlap="1" wp14:anchorId="767D8581" wp14:editId="1B387B83">
            <wp:simplePos x="0" y="0"/>
            <wp:positionH relativeFrom="margin">
              <wp:posOffset>1371600</wp:posOffset>
            </wp:positionH>
            <wp:positionV relativeFrom="page">
              <wp:posOffset>876300</wp:posOffset>
            </wp:positionV>
            <wp:extent cx="2921000" cy="539369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1000" cy="5393690"/>
                    </a:xfrm>
                    <a:prstGeom prst="rect">
                      <a:avLst/>
                    </a:prstGeom>
                    <a:noFill/>
                  </pic:spPr>
                </pic:pic>
              </a:graphicData>
            </a:graphic>
            <wp14:sizeRelH relativeFrom="page">
              <wp14:pctWidth>0</wp14:pctWidth>
            </wp14:sizeRelH>
            <wp14:sizeRelV relativeFrom="page">
              <wp14:pctHeight>0</wp14:pctHeight>
            </wp14:sizeRelV>
          </wp:anchor>
        </w:drawing>
      </w:r>
    </w:p>
    <w:p w14:paraId="57EA3349" w14:textId="5FA9EEC7" w:rsidR="008123FB" w:rsidRPr="008123FB" w:rsidRDefault="008123FB" w:rsidP="00C31920">
      <w:pPr>
        <w:spacing w:before="100" w:beforeAutospacing="1" w:line="240" w:lineRule="auto"/>
        <w:jc w:val="both"/>
        <w:rPr>
          <w:rFonts w:ascii="Arial" w:hAnsi="Arial" w:cs="Arial"/>
          <w:b/>
          <w:bCs/>
          <w:sz w:val="20"/>
          <w:szCs w:val="20"/>
        </w:rPr>
      </w:pPr>
      <w:r w:rsidRPr="008123FB">
        <w:rPr>
          <w:rFonts w:ascii="Arial" w:hAnsi="Arial" w:cs="Arial"/>
          <w:b/>
          <w:bCs/>
          <w:sz w:val="20"/>
          <w:szCs w:val="20"/>
        </w:rPr>
        <w:t xml:space="preserve">Fig. </w:t>
      </w:r>
      <w:r w:rsidR="00AF2EFF" w:rsidRPr="00AF2EFF">
        <w:rPr>
          <w:rFonts w:ascii="Arial" w:hAnsi="Arial" w:cs="Arial"/>
          <w:b/>
          <w:bCs/>
          <w:sz w:val="20"/>
          <w:szCs w:val="20"/>
        </w:rPr>
        <w:t>7</w:t>
      </w:r>
      <w:r w:rsidRPr="008123FB">
        <w:rPr>
          <w:rFonts w:ascii="Arial" w:hAnsi="Arial" w:cs="Arial"/>
          <w:b/>
          <w:bCs/>
          <w:sz w:val="20"/>
          <w:szCs w:val="20"/>
        </w:rPr>
        <w:t>. Structural breaks in the time series of total millets in Telangana (2008-09 to 2023-24)</w:t>
      </w:r>
    </w:p>
    <w:p w14:paraId="4EBE52DB" w14:textId="007B2178" w:rsidR="008123FB" w:rsidRDefault="00C31920" w:rsidP="008123FB">
      <w:pPr>
        <w:spacing w:line="240" w:lineRule="auto"/>
        <w:jc w:val="both"/>
        <w:rPr>
          <w:rFonts w:ascii="Arial" w:hAnsi="Arial" w:cs="Arial"/>
          <w:b/>
          <w:bCs/>
        </w:rPr>
      </w:pPr>
      <w:r w:rsidRPr="00C31920">
        <w:rPr>
          <w:rFonts w:ascii="Arial" w:hAnsi="Arial" w:cs="Arial"/>
          <w:b/>
          <w:bCs/>
        </w:rPr>
        <w:t>4. CONCLUSION</w:t>
      </w:r>
    </w:p>
    <w:p w14:paraId="48F2A104" w14:textId="49144D7D" w:rsidR="00C73A72" w:rsidRDefault="00C73A72" w:rsidP="00C73A72">
      <w:pPr>
        <w:pStyle w:val="NormalWeb"/>
        <w:jc w:val="both"/>
        <w:rPr>
          <w:rFonts w:ascii="Arial" w:hAnsi="Arial" w:cs="Arial"/>
          <w:sz w:val="20"/>
          <w:szCs w:val="20"/>
        </w:rPr>
      </w:pPr>
      <w:r w:rsidRPr="00C73A72">
        <w:rPr>
          <w:rFonts w:ascii="Arial" w:hAnsi="Arial" w:cs="Arial"/>
          <w:sz w:val="20"/>
          <w:szCs w:val="20"/>
        </w:rPr>
        <w:t>The analysis of millet cultivation in Telangana from 2008–09 to 2023–24 reveals a clear transformation in cropping dynamics, characterized by declining area but improving productivity. Sorghum continues to dominate, accounting for nearly 95 per cent of the total area and production, while pearl millet and finger millet have seen significant contractions in cultivated area. The recent rise in millet output has been largely yield-driven, reflecting the adoption of improved varieties, better crop management practices,</w:t>
      </w:r>
      <w:r w:rsidR="00C631A7" w:rsidRPr="00C631A7">
        <w:t xml:space="preserve"> </w:t>
      </w:r>
      <w:r w:rsidR="00C631A7" w:rsidRPr="00C631A7">
        <w:rPr>
          <w:rFonts w:ascii="Arial" w:hAnsi="Arial" w:cs="Arial"/>
          <w:sz w:val="20"/>
          <w:szCs w:val="20"/>
        </w:rPr>
        <w:t>ability of millets to withstand abiotic and biotic stress</w:t>
      </w:r>
      <w:r w:rsidRPr="00C73A72">
        <w:rPr>
          <w:rFonts w:ascii="Arial" w:hAnsi="Arial" w:cs="Arial"/>
          <w:sz w:val="20"/>
          <w:szCs w:val="20"/>
        </w:rPr>
        <w:t xml:space="preserve"> and targeted policy interventions such as the National Food Security Mission (NFSM)</w:t>
      </w:r>
      <w:r w:rsidR="007C54D8">
        <w:rPr>
          <w:rFonts w:ascii="Arial" w:hAnsi="Arial" w:cs="Arial"/>
          <w:sz w:val="20"/>
          <w:szCs w:val="20"/>
        </w:rPr>
        <w:t xml:space="preserve">. </w:t>
      </w:r>
      <w:r w:rsidRPr="00C73A72">
        <w:rPr>
          <w:rFonts w:ascii="Arial" w:hAnsi="Arial" w:cs="Arial"/>
          <w:sz w:val="20"/>
          <w:szCs w:val="20"/>
        </w:rPr>
        <w:t>Despite these gains, total millet production has declined marginally due to the progressive shift of land toward more remunerative and policy-supported crops like rice, maize, and cotton, which benefit from assured procurement, higher market demand, and better irrigation support. Yield fluctuations have generally moderated over time, indicating technological improvements, but area and production remain highly unstable, especially for minor millets, highlighting the need for focused cultivation support.</w:t>
      </w:r>
      <w:r w:rsidR="007C54D8">
        <w:rPr>
          <w:rFonts w:ascii="Arial" w:hAnsi="Arial" w:cs="Arial"/>
          <w:sz w:val="20"/>
          <w:szCs w:val="20"/>
        </w:rPr>
        <w:t xml:space="preserve"> </w:t>
      </w:r>
      <w:r w:rsidRPr="00C73A72">
        <w:rPr>
          <w:rFonts w:ascii="Arial" w:hAnsi="Arial" w:cs="Arial"/>
          <w:sz w:val="20"/>
          <w:szCs w:val="20"/>
        </w:rPr>
        <w:t>The Bai–</w:t>
      </w:r>
      <w:proofErr w:type="spellStart"/>
      <w:r w:rsidRPr="00C73A72">
        <w:rPr>
          <w:rFonts w:ascii="Arial" w:hAnsi="Arial" w:cs="Arial"/>
          <w:sz w:val="20"/>
          <w:szCs w:val="20"/>
        </w:rPr>
        <w:t>Perron</w:t>
      </w:r>
      <w:proofErr w:type="spellEnd"/>
      <w:r w:rsidRPr="00C73A72">
        <w:rPr>
          <w:rFonts w:ascii="Arial" w:hAnsi="Arial" w:cs="Arial"/>
          <w:sz w:val="20"/>
          <w:szCs w:val="20"/>
        </w:rPr>
        <w:t xml:space="preserve"> structural break analysis identifies 2013–14 and 2018–19 as critical turning points. The first break coincides with Telangana’s state formation, which led to a reallocation of resources toward high-value crops, while the second reflects a positive policy-induced recovery driven by renewed millet promotion and </w:t>
      </w:r>
      <w:proofErr w:type="spellStart"/>
      <w:r w:rsidRPr="00C73A72">
        <w:rPr>
          <w:rFonts w:ascii="Arial" w:hAnsi="Arial" w:cs="Arial"/>
          <w:sz w:val="20"/>
          <w:szCs w:val="20"/>
        </w:rPr>
        <w:t>favorable</w:t>
      </w:r>
      <w:proofErr w:type="spellEnd"/>
      <w:r w:rsidRPr="00C73A72">
        <w:rPr>
          <w:rFonts w:ascii="Arial" w:hAnsi="Arial" w:cs="Arial"/>
          <w:sz w:val="20"/>
          <w:szCs w:val="20"/>
        </w:rPr>
        <w:t xml:space="preserve"> conditions, resulting in improved yield and production.</w:t>
      </w:r>
    </w:p>
    <w:p w14:paraId="2C91A1CE" w14:textId="49F47A46" w:rsidR="00217548" w:rsidRDefault="00C73A72" w:rsidP="00C73A72">
      <w:pPr>
        <w:pStyle w:val="NormalWeb"/>
        <w:jc w:val="both"/>
        <w:rPr>
          <w:rFonts w:ascii="Arial" w:hAnsi="Arial" w:cs="Arial"/>
          <w:sz w:val="20"/>
          <w:szCs w:val="20"/>
        </w:rPr>
      </w:pPr>
      <w:r w:rsidRPr="00C73A72">
        <w:rPr>
          <w:rFonts w:ascii="Arial" w:hAnsi="Arial" w:cs="Arial"/>
          <w:sz w:val="20"/>
          <w:szCs w:val="20"/>
        </w:rPr>
        <w:lastRenderedPageBreak/>
        <w:t>Overall, the findings underscore that millet trends in Telangana are largely shaped by policy and institutional factors</w:t>
      </w:r>
      <w:r w:rsidR="00801BBE">
        <w:rPr>
          <w:rFonts w:ascii="Arial" w:hAnsi="Arial" w:cs="Arial"/>
          <w:sz w:val="20"/>
          <w:szCs w:val="20"/>
        </w:rPr>
        <w:t xml:space="preserve">. </w:t>
      </w:r>
      <w:r w:rsidRPr="00C73A72">
        <w:rPr>
          <w:rFonts w:ascii="Arial" w:hAnsi="Arial" w:cs="Arial"/>
          <w:sz w:val="20"/>
          <w:szCs w:val="20"/>
        </w:rPr>
        <w:t>To ensure sustainable and balanced expansion of millet cultivation, it is essential to combine productivity-enhancing technologies with economic incentives, assured markets, irrigation support, and value chain development, thereby stabilizing both area and production and strengthening the role of millets in food security and farm incomes.</w:t>
      </w:r>
    </w:p>
    <w:p w14:paraId="71D538DD" w14:textId="2E1564FF" w:rsidR="00C73A72" w:rsidRDefault="00C73A72" w:rsidP="00C73A72">
      <w:pPr>
        <w:pStyle w:val="NormalWeb"/>
        <w:jc w:val="both"/>
        <w:rPr>
          <w:rFonts w:ascii="Arial" w:hAnsi="Arial" w:cs="Arial"/>
          <w:b/>
          <w:bCs/>
          <w:sz w:val="20"/>
          <w:szCs w:val="20"/>
        </w:rPr>
      </w:pPr>
      <w:r w:rsidRPr="00C73A72">
        <w:rPr>
          <w:rFonts w:ascii="Arial" w:hAnsi="Arial" w:cs="Arial"/>
          <w:b/>
          <w:bCs/>
          <w:sz w:val="20"/>
          <w:szCs w:val="20"/>
        </w:rPr>
        <w:t>REFERENCES</w:t>
      </w:r>
    </w:p>
    <w:p w14:paraId="1E3F5663" w14:textId="42C51C61" w:rsidR="00DD1360" w:rsidRPr="00941B5A" w:rsidRDefault="00237A7F" w:rsidP="00237A7F">
      <w:pPr>
        <w:pStyle w:val="ListParagraph"/>
        <w:numPr>
          <w:ilvl w:val="0"/>
          <w:numId w:val="1"/>
        </w:numPr>
        <w:jc w:val="both"/>
        <w:rPr>
          <w:rFonts w:ascii="Arial" w:hAnsi="Arial" w:cs="Arial"/>
          <w:sz w:val="20"/>
          <w:szCs w:val="20"/>
        </w:rPr>
      </w:pPr>
      <w:r w:rsidRPr="00941B5A">
        <w:rPr>
          <w:rFonts w:ascii="Arial" w:hAnsi="Arial" w:cs="Arial"/>
          <w:sz w:val="20"/>
          <w:szCs w:val="20"/>
        </w:rPr>
        <w:t xml:space="preserve">Kumar, S. T., </w:t>
      </w:r>
      <w:proofErr w:type="spellStart"/>
      <w:r w:rsidRPr="00941B5A">
        <w:rPr>
          <w:rFonts w:ascii="Arial" w:hAnsi="Arial" w:cs="Arial"/>
          <w:sz w:val="20"/>
          <w:szCs w:val="20"/>
        </w:rPr>
        <w:t>Nageswari</w:t>
      </w:r>
      <w:proofErr w:type="spellEnd"/>
      <w:r w:rsidRPr="00941B5A">
        <w:rPr>
          <w:rFonts w:ascii="Arial" w:hAnsi="Arial" w:cs="Arial"/>
          <w:sz w:val="20"/>
          <w:szCs w:val="20"/>
        </w:rPr>
        <w:t xml:space="preserve">, R., Somasundaram, S., </w:t>
      </w:r>
      <w:proofErr w:type="spellStart"/>
      <w:r w:rsidRPr="00941B5A">
        <w:rPr>
          <w:rFonts w:ascii="Arial" w:hAnsi="Arial" w:cs="Arial"/>
          <w:sz w:val="20"/>
          <w:szCs w:val="20"/>
        </w:rPr>
        <w:t>Anantharaju</w:t>
      </w:r>
      <w:proofErr w:type="spellEnd"/>
      <w:r w:rsidRPr="00941B5A">
        <w:rPr>
          <w:rFonts w:ascii="Arial" w:hAnsi="Arial" w:cs="Arial"/>
          <w:sz w:val="20"/>
          <w:szCs w:val="20"/>
        </w:rPr>
        <w:t xml:space="preserve">, P., Baskar, M., Ramesh, T., </w:t>
      </w:r>
      <w:proofErr w:type="spellStart"/>
      <w:r w:rsidRPr="00941B5A">
        <w:rPr>
          <w:rFonts w:ascii="Arial" w:hAnsi="Arial" w:cs="Arial"/>
          <w:sz w:val="20"/>
          <w:szCs w:val="20"/>
        </w:rPr>
        <w:t>Rathika</w:t>
      </w:r>
      <w:proofErr w:type="spellEnd"/>
      <w:r w:rsidRPr="00941B5A">
        <w:rPr>
          <w:rFonts w:ascii="Arial" w:hAnsi="Arial" w:cs="Arial"/>
          <w:sz w:val="20"/>
          <w:szCs w:val="20"/>
        </w:rPr>
        <w:t xml:space="preserve">, S., </w:t>
      </w:r>
      <w:proofErr w:type="spellStart"/>
      <w:r w:rsidRPr="00941B5A">
        <w:rPr>
          <w:rFonts w:ascii="Arial" w:hAnsi="Arial" w:cs="Arial"/>
          <w:sz w:val="20"/>
          <w:szCs w:val="20"/>
        </w:rPr>
        <w:t>Vanniarajan</w:t>
      </w:r>
      <w:proofErr w:type="spellEnd"/>
      <w:r w:rsidRPr="00941B5A">
        <w:rPr>
          <w:rFonts w:ascii="Arial" w:hAnsi="Arial" w:cs="Arial"/>
          <w:sz w:val="20"/>
          <w:szCs w:val="20"/>
        </w:rPr>
        <w:t xml:space="preserve">, C. </w:t>
      </w:r>
      <w:r w:rsidR="00E45D00">
        <w:rPr>
          <w:rFonts w:ascii="Arial" w:hAnsi="Arial" w:cs="Arial"/>
          <w:sz w:val="20"/>
          <w:szCs w:val="20"/>
        </w:rPr>
        <w:t>&amp;</w:t>
      </w:r>
      <w:r w:rsidRPr="00941B5A">
        <w:rPr>
          <w:rFonts w:ascii="Arial" w:hAnsi="Arial" w:cs="Arial"/>
          <w:sz w:val="20"/>
          <w:szCs w:val="20"/>
        </w:rPr>
        <w:t xml:space="preserve"> </w:t>
      </w:r>
      <w:proofErr w:type="spellStart"/>
      <w:r w:rsidRPr="00941B5A">
        <w:rPr>
          <w:rFonts w:ascii="Arial" w:hAnsi="Arial" w:cs="Arial"/>
          <w:sz w:val="20"/>
          <w:szCs w:val="20"/>
        </w:rPr>
        <w:t>Subrahmaniyan</w:t>
      </w:r>
      <w:proofErr w:type="spellEnd"/>
      <w:r w:rsidRPr="00941B5A">
        <w:rPr>
          <w:rFonts w:ascii="Arial" w:hAnsi="Arial" w:cs="Arial"/>
          <w:sz w:val="20"/>
          <w:szCs w:val="20"/>
        </w:rPr>
        <w:t>, K. (2024). Significance of millets for food and nutritional security—an overview. Discover Food, 4(1), p.73.</w:t>
      </w:r>
    </w:p>
    <w:p w14:paraId="77B3063A" w14:textId="77777777" w:rsidR="00DD1360" w:rsidRPr="00941B5A" w:rsidRDefault="00237A7F" w:rsidP="00C73A72">
      <w:pPr>
        <w:pStyle w:val="ListParagraph"/>
        <w:numPr>
          <w:ilvl w:val="0"/>
          <w:numId w:val="1"/>
        </w:numPr>
        <w:jc w:val="both"/>
        <w:rPr>
          <w:rStyle w:val="Hyperlink"/>
          <w:rFonts w:ascii="Arial" w:hAnsi="Arial" w:cs="Arial"/>
          <w:color w:val="auto"/>
          <w:sz w:val="20"/>
          <w:szCs w:val="20"/>
          <w:u w:val="none"/>
        </w:rPr>
      </w:pPr>
      <w:r w:rsidRPr="00941B5A">
        <w:rPr>
          <w:rFonts w:ascii="Arial" w:hAnsi="Arial" w:cs="Arial"/>
          <w:sz w:val="20"/>
          <w:szCs w:val="20"/>
        </w:rPr>
        <w:t xml:space="preserve">International Production Assessment Division. 2025. Millet explorer. </w:t>
      </w:r>
      <w:hyperlink r:id="rId14" w:history="1">
        <w:r w:rsidRPr="00941B5A">
          <w:rPr>
            <w:rStyle w:val="Hyperlink"/>
            <w:rFonts w:ascii="Arial" w:hAnsi="Arial" w:cs="Arial"/>
            <w:sz w:val="20"/>
            <w:szCs w:val="20"/>
          </w:rPr>
          <w:t>https://ipad.fas.usda.gov/cropexplorer/cropview/commodityView.aspx?cropid=0459100</w:t>
        </w:r>
      </w:hyperlink>
      <w:r w:rsidR="00214040" w:rsidRPr="00941B5A">
        <w:rPr>
          <w:rStyle w:val="Hyperlink"/>
          <w:rFonts w:ascii="Arial" w:hAnsi="Arial" w:cs="Arial"/>
          <w:sz w:val="20"/>
          <w:szCs w:val="20"/>
        </w:rPr>
        <w:t>.</w:t>
      </w:r>
    </w:p>
    <w:p w14:paraId="0731C45E" w14:textId="5B4C0220" w:rsidR="00DD1360" w:rsidRPr="00941B5A" w:rsidRDefault="00C73A72" w:rsidP="00070792">
      <w:pPr>
        <w:pStyle w:val="ListParagraph"/>
        <w:numPr>
          <w:ilvl w:val="0"/>
          <w:numId w:val="1"/>
        </w:numPr>
        <w:jc w:val="both"/>
        <w:rPr>
          <w:rFonts w:ascii="Arial" w:hAnsi="Arial" w:cs="Arial"/>
          <w:sz w:val="20"/>
          <w:szCs w:val="20"/>
        </w:rPr>
      </w:pPr>
      <w:r w:rsidRPr="00941B5A">
        <w:rPr>
          <w:rFonts w:ascii="Arial" w:hAnsi="Arial" w:cs="Arial"/>
          <w:sz w:val="20"/>
          <w:szCs w:val="20"/>
        </w:rPr>
        <w:t>Wilson</w:t>
      </w:r>
      <w:r w:rsidR="00214040" w:rsidRPr="00941B5A">
        <w:rPr>
          <w:rFonts w:ascii="Arial" w:hAnsi="Arial" w:cs="Arial"/>
          <w:sz w:val="20"/>
          <w:szCs w:val="20"/>
        </w:rPr>
        <w:t xml:space="preserve"> M. L. </w:t>
      </w:r>
      <w:r w:rsidR="00E45D00">
        <w:rPr>
          <w:rFonts w:ascii="Arial" w:hAnsi="Arial" w:cs="Arial"/>
          <w:sz w:val="20"/>
          <w:szCs w:val="20"/>
        </w:rPr>
        <w:t>&amp;</w:t>
      </w:r>
      <w:r w:rsidR="00214040" w:rsidRPr="00941B5A">
        <w:rPr>
          <w:rFonts w:ascii="Arial" w:hAnsi="Arial" w:cs="Arial"/>
          <w:sz w:val="20"/>
          <w:szCs w:val="20"/>
        </w:rPr>
        <w:t xml:space="preserve"> </w:t>
      </w:r>
      <w:proofErr w:type="spellStart"/>
      <w:r w:rsidRPr="00941B5A">
        <w:rPr>
          <w:rFonts w:ascii="Arial" w:hAnsi="Arial" w:cs="Arial"/>
          <w:sz w:val="20"/>
          <w:szCs w:val="20"/>
        </w:rPr>
        <w:t>VanBuren</w:t>
      </w:r>
      <w:proofErr w:type="spellEnd"/>
      <w:r w:rsidR="00214040" w:rsidRPr="00941B5A">
        <w:rPr>
          <w:rFonts w:ascii="Arial" w:hAnsi="Arial" w:cs="Arial"/>
          <w:sz w:val="20"/>
          <w:szCs w:val="20"/>
        </w:rPr>
        <w:t xml:space="preserve"> R. (2022), </w:t>
      </w:r>
      <w:r w:rsidRPr="00941B5A">
        <w:rPr>
          <w:rFonts w:ascii="Arial" w:hAnsi="Arial" w:cs="Arial"/>
          <w:sz w:val="20"/>
          <w:szCs w:val="20"/>
        </w:rPr>
        <w:t xml:space="preserve">Leveraging millets for developing climate resilient agriculture. </w:t>
      </w:r>
      <w:bookmarkStart w:id="9" w:name="_Hlk190963726"/>
      <w:r w:rsidR="00214040" w:rsidRPr="00941B5A">
        <w:rPr>
          <w:rFonts w:ascii="Arial" w:hAnsi="Arial" w:cs="Arial"/>
          <w:sz w:val="20"/>
          <w:szCs w:val="20"/>
        </w:rPr>
        <w:t xml:space="preserve">Current Opinion in Biotechnology, 75. </w:t>
      </w:r>
      <w:hyperlink r:id="rId15" w:tgtFrame="_blank" w:tooltip="Persistent link using digital object identifier" w:history="1">
        <w:r w:rsidR="00214040" w:rsidRPr="00941B5A">
          <w:rPr>
            <w:rStyle w:val="Hyperlink"/>
            <w:rFonts w:ascii="Arial" w:hAnsi="Arial" w:cs="Arial"/>
            <w:sz w:val="20"/>
            <w:szCs w:val="20"/>
          </w:rPr>
          <w:t>https://doi.org/10.1016/j.copbio.2022.102683</w:t>
        </w:r>
      </w:hyperlink>
    </w:p>
    <w:p w14:paraId="0670C07F" w14:textId="54D6A5C2" w:rsidR="00DD1360" w:rsidRPr="00941B5A" w:rsidRDefault="00EF32D2" w:rsidP="00070792">
      <w:pPr>
        <w:pStyle w:val="ListParagraph"/>
        <w:numPr>
          <w:ilvl w:val="0"/>
          <w:numId w:val="1"/>
        </w:numPr>
        <w:jc w:val="both"/>
        <w:rPr>
          <w:rFonts w:ascii="Arial" w:hAnsi="Arial" w:cs="Arial"/>
          <w:sz w:val="20"/>
          <w:szCs w:val="20"/>
        </w:rPr>
      </w:pPr>
      <w:r w:rsidRPr="00941B5A">
        <w:rPr>
          <w:rFonts w:ascii="Arial" w:hAnsi="Arial" w:cs="Arial"/>
          <w:sz w:val="20"/>
          <w:szCs w:val="20"/>
        </w:rPr>
        <w:t>Directorate of Economics and Statistics</w:t>
      </w:r>
      <w:r w:rsidR="001B742A" w:rsidRPr="00941B5A">
        <w:rPr>
          <w:rFonts w:ascii="Arial" w:hAnsi="Arial" w:cs="Arial"/>
          <w:sz w:val="20"/>
          <w:szCs w:val="20"/>
        </w:rPr>
        <w:t>, Telangana</w:t>
      </w:r>
      <w:r w:rsidRPr="00941B5A">
        <w:rPr>
          <w:rFonts w:ascii="Arial" w:hAnsi="Arial" w:cs="Arial"/>
          <w:sz w:val="20"/>
          <w:szCs w:val="20"/>
        </w:rPr>
        <w:t>. 2025. Area, production and yield of major millets</w:t>
      </w:r>
      <w:r w:rsidR="001B742A" w:rsidRPr="00941B5A">
        <w:rPr>
          <w:rFonts w:ascii="Arial" w:hAnsi="Arial" w:cs="Arial"/>
          <w:sz w:val="20"/>
          <w:szCs w:val="20"/>
        </w:rPr>
        <w:t xml:space="preserve">. </w:t>
      </w:r>
    </w:p>
    <w:p w14:paraId="46F47CD1" w14:textId="08B6FABF" w:rsidR="00070792" w:rsidRPr="00941B5A" w:rsidRDefault="00070792" w:rsidP="00070792">
      <w:pPr>
        <w:pStyle w:val="ListParagraph"/>
        <w:numPr>
          <w:ilvl w:val="0"/>
          <w:numId w:val="1"/>
        </w:numPr>
        <w:jc w:val="both"/>
        <w:rPr>
          <w:rFonts w:ascii="Arial" w:hAnsi="Arial" w:cs="Arial"/>
          <w:sz w:val="20"/>
          <w:szCs w:val="20"/>
        </w:rPr>
      </w:pPr>
      <w:r w:rsidRPr="00941B5A">
        <w:rPr>
          <w:rFonts w:ascii="Arial" w:hAnsi="Arial" w:cs="Arial"/>
          <w:sz w:val="20"/>
          <w:szCs w:val="20"/>
        </w:rPr>
        <w:t>Watershed Support Services and Activities Network. (2022) Introducing of nutritious millets into Anganwadi centres.</w:t>
      </w:r>
      <w:r w:rsidR="00DD1360" w:rsidRPr="00941B5A">
        <w:rPr>
          <w:rFonts w:ascii="Arial" w:hAnsi="Arial" w:cs="Arial"/>
          <w:sz w:val="20"/>
          <w:szCs w:val="20"/>
        </w:rPr>
        <w:t xml:space="preserve"> </w:t>
      </w:r>
      <w:proofErr w:type="spellStart"/>
      <w:r w:rsidR="00DD1360" w:rsidRPr="00941B5A">
        <w:rPr>
          <w:rFonts w:ascii="Arial" w:hAnsi="Arial" w:cs="Arial"/>
          <w:sz w:val="20"/>
          <w:szCs w:val="20"/>
        </w:rPr>
        <w:t>Vikarabad</w:t>
      </w:r>
      <w:proofErr w:type="spellEnd"/>
      <w:r w:rsidR="00DD1360" w:rsidRPr="00941B5A">
        <w:rPr>
          <w:rFonts w:ascii="Arial" w:hAnsi="Arial" w:cs="Arial"/>
          <w:sz w:val="20"/>
          <w:szCs w:val="20"/>
        </w:rPr>
        <w:t>, Telangana.</w:t>
      </w:r>
      <w:r w:rsidRPr="00941B5A">
        <w:rPr>
          <w:rFonts w:ascii="Arial" w:hAnsi="Arial" w:cs="Arial"/>
          <w:sz w:val="20"/>
          <w:szCs w:val="20"/>
        </w:rPr>
        <w:t xml:space="preserve"> </w:t>
      </w:r>
      <w:hyperlink r:id="rId16" w:history="1">
        <w:r w:rsidR="00DD1360" w:rsidRPr="00941B5A">
          <w:rPr>
            <w:rStyle w:val="Hyperlink"/>
            <w:rFonts w:ascii="Arial" w:hAnsi="Arial" w:cs="Arial"/>
            <w:sz w:val="20"/>
            <w:szCs w:val="20"/>
          </w:rPr>
          <w:t>https://www.wassan.org/wp-content/uploads/2022/07/WASSAN-Introducing-of-Nutritious-Millets-into-Anganwadi-Centres.pdf</w:t>
        </w:r>
      </w:hyperlink>
      <w:r w:rsidR="00DD1360" w:rsidRPr="00941B5A">
        <w:rPr>
          <w:rFonts w:ascii="Arial" w:hAnsi="Arial" w:cs="Arial"/>
          <w:sz w:val="20"/>
          <w:szCs w:val="20"/>
        </w:rPr>
        <w:t xml:space="preserve">. </w:t>
      </w:r>
    </w:p>
    <w:p w14:paraId="6EBE3977" w14:textId="6227810C" w:rsidR="00DD1360" w:rsidRPr="00941B5A" w:rsidRDefault="00DD1360" w:rsidP="00070792">
      <w:pPr>
        <w:pStyle w:val="ListParagraph"/>
        <w:numPr>
          <w:ilvl w:val="0"/>
          <w:numId w:val="1"/>
        </w:numPr>
        <w:jc w:val="both"/>
        <w:rPr>
          <w:rFonts w:ascii="Arial" w:hAnsi="Arial" w:cs="Arial"/>
          <w:sz w:val="20"/>
          <w:szCs w:val="20"/>
        </w:rPr>
      </w:pPr>
      <w:r w:rsidRPr="00941B5A">
        <w:rPr>
          <w:rFonts w:ascii="Arial" w:hAnsi="Arial" w:cs="Arial"/>
          <w:sz w:val="20"/>
          <w:szCs w:val="20"/>
        </w:rPr>
        <w:t xml:space="preserve">Mazumdar, S. D., Selvaraj, A., </w:t>
      </w:r>
      <w:proofErr w:type="spellStart"/>
      <w:r w:rsidRPr="00941B5A">
        <w:rPr>
          <w:rFonts w:ascii="Arial" w:hAnsi="Arial" w:cs="Arial"/>
          <w:sz w:val="20"/>
          <w:szCs w:val="20"/>
        </w:rPr>
        <w:t>Durgalla</w:t>
      </w:r>
      <w:proofErr w:type="spellEnd"/>
      <w:r w:rsidRPr="00941B5A">
        <w:rPr>
          <w:rFonts w:ascii="Arial" w:hAnsi="Arial" w:cs="Arial"/>
          <w:sz w:val="20"/>
          <w:szCs w:val="20"/>
        </w:rPr>
        <w:t xml:space="preserve">, P., Mane, H., </w:t>
      </w:r>
      <w:proofErr w:type="spellStart"/>
      <w:r w:rsidRPr="00941B5A">
        <w:rPr>
          <w:rFonts w:ascii="Arial" w:hAnsi="Arial" w:cs="Arial"/>
          <w:sz w:val="20"/>
          <w:szCs w:val="20"/>
        </w:rPr>
        <w:t>Nedumaran</w:t>
      </w:r>
      <w:proofErr w:type="spellEnd"/>
      <w:r w:rsidRPr="00941B5A">
        <w:rPr>
          <w:rFonts w:ascii="Arial" w:hAnsi="Arial" w:cs="Arial"/>
          <w:sz w:val="20"/>
          <w:szCs w:val="20"/>
        </w:rPr>
        <w:t xml:space="preserve">, T., Nancy, D., &amp; </w:t>
      </w:r>
      <w:proofErr w:type="spellStart"/>
      <w:r w:rsidRPr="00941B5A">
        <w:rPr>
          <w:rFonts w:ascii="Arial" w:hAnsi="Arial" w:cs="Arial"/>
          <w:sz w:val="20"/>
          <w:szCs w:val="20"/>
        </w:rPr>
        <w:t>Afari-Sefa</w:t>
      </w:r>
      <w:proofErr w:type="spellEnd"/>
      <w:r w:rsidRPr="00941B5A">
        <w:rPr>
          <w:rFonts w:ascii="Arial" w:hAnsi="Arial" w:cs="Arial"/>
          <w:sz w:val="20"/>
          <w:szCs w:val="20"/>
        </w:rPr>
        <w:t>, V. (2023). Transforming tribal communities in Telangana, India, into strategic business enterprises—a paradigm for inclusive growth. A Better World, 9, 54-57.</w:t>
      </w:r>
    </w:p>
    <w:p w14:paraId="208E8EAA" w14:textId="6099E60C" w:rsidR="001B6D90" w:rsidRPr="00941B5A" w:rsidRDefault="001B6D90" w:rsidP="001B742A">
      <w:pPr>
        <w:pStyle w:val="ListParagraph"/>
        <w:numPr>
          <w:ilvl w:val="0"/>
          <w:numId w:val="1"/>
        </w:numPr>
        <w:spacing w:line="240" w:lineRule="auto"/>
        <w:jc w:val="both"/>
        <w:rPr>
          <w:rFonts w:ascii="Arial" w:hAnsi="Arial" w:cs="Arial"/>
          <w:sz w:val="20"/>
          <w:szCs w:val="20"/>
        </w:rPr>
      </w:pPr>
      <w:r w:rsidRPr="00941B5A">
        <w:rPr>
          <w:rFonts w:ascii="Arial" w:hAnsi="Arial" w:cs="Arial"/>
          <w:sz w:val="20"/>
          <w:szCs w:val="20"/>
        </w:rPr>
        <w:t>Sharma A. (2013). Trends in area, production and productivity of food grain crops: An overview. Economic Affairs. 58(1):57- 68.</w:t>
      </w:r>
    </w:p>
    <w:p w14:paraId="0B1B3D31" w14:textId="5BF609D4" w:rsidR="00640543" w:rsidRPr="00941B5A" w:rsidRDefault="00640543" w:rsidP="001B742A">
      <w:pPr>
        <w:pStyle w:val="ListParagraph"/>
        <w:numPr>
          <w:ilvl w:val="0"/>
          <w:numId w:val="1"/>
        </w:numPr>
        <w:spacing w:line="240" w:lineRule="auto"/>
        <w:jc w:val="both"/>
        <w:rPr>
          <w:rFonts w:ascii="Arial" w:hAnsi="Arial" w:cs="Arial"/>
          <w:sz w:val="20"/>
          <w:szCs w:val="20"/>
        </w:rPr>
      </w:pPr>
      <w:r w:rsidRPr="00941B5A">
        <w:rPr>
          <w:rFonts w:ascii="Arial" w:hAnsi="Arial" w:cs="Arial"/>
          <w:sz w:val="20"/>
          <w:szCs w:val="20"/>
        </w:rPr>
        <w:t xml:space="preserve">Sathish Kumar M, Lad YA, </w:t>
      </w:r>
      <w:r w:rsidR="00E45D00">
        <w:rPr>
          <w:rFonts w:ascii="Arial" w:hAnsi="Arial" w:cs="Arial"/>
          <w:sz w:val="20"/>
          <w:szCs w:val="20"/>
        </w:rPr>
        <w:t xml:space="preserve">&amp; </w:t>
      </w:r>
      <w:proofErr w:type="spellStart"/>
      <w:r w:rsidRPr="00941B5A">
        <w:rPr>
          <w:rFonts w:ascii="Arial" w:hAnsi="Arial" w:cs="Arial"/>
          <w:sz w:val="20"/>
          <w:szCs w:val="20"/>
        </w:rPr>
        <w:t>Mahera</w:t>
      </w:r>
      <w:proofErr w:type="spellEnd"/>
      <w:r w:rsidRPr="00941B5A">
        <w:rPr>
          <w:rFonts w:ascii="Arial" w:hAnsi="Arial" w:cs="Arial"/>
          <w:sz w:val="20"/>
          <w:szCs w:val="20"/>
        </w:rPr>
        <w:t xml:space="preserve"> AB. (2022). Trend analysis of area, production and productivity of minor millets in India. In Biological Forum–An International Journal. 14(2):14-18.</w:t>
      </w:r>
    </w:p>
    <w:p w14:paraId="6AAD9415" w14:textId="2BA8C336" w:rsidR="00640543" w:rsidRPr="00941B5A" w:rsidRDefault="001B742A" w:rsidP="001B742A">
      <w:pPr>
        <w:pStyle w:val="ListParagraph"/>
        <w:numPr>
          <w:ilvl w:val="0"/>
          <w:numId w:val="1"/>
        </w:numPr>
        <w:spacing w:line="240" w:lineRule="auto"/>
        <w:jc w:val="both"/>
        <w:rPr>
          <w:rFonts w:ascii="Arial" w:hAnsi="Arial" w:cs="Arial"/>
          <w:sz w:val="20"/>
          <w:szCs w:val="20"/>
        </w:rPr>
      </w:pPr>
      <w:r w:rsidRPr="00941B5A">
        <w:rPr>
          <w:rFonts w:ascii="Arial" w:hAnsi="Arial" w:cs="Arial"/>
          <w:sz w:val="20"/>
          <w:szCs w:val="20"/>
        </w:rPr>
        <w:t xml:space="preserve">Cuddy, J.D.A. </w:t>
      </w:r>
      <w:r w:rsidR="00E45D00">
        <w:rPr>
          <w:rFonts w:ascii="Arial" w:hAnsi="Arial" w:cs="Arial"/>
          <w:sz w:val="20"/>
          <w:szCs w:val="20"/>
        </w:rPr>
        <w:t>&amp;</w:t>
      </w:r>
      <w:r w:rsidRPr="00941B5A">
        <w:rPr>
          <w:rFonts w:ascii="Arial" w:hAnsi="Arial" w:cs="Arial"/>
          <w:sz w:val="20"/>
          <w:szCs w:val="20"/>
        </w:rPr>
        <w:t xml:space="preserve"> Valle, P.A.D. (1978). Measuring the instability of time series data. Oxford Bulletin of Economics and Statistics. 40:53-78.</w:t>
      </w:r>
    </w:p>
    <w:p w14:paraId="03B32F33" w14:textId="77777777" w:rsidR="00941888" w:rsidRPr="00941B5A" w:rsidRDefault="001B742A" w:rsidP="00941888">
      <w:pPr>
        <w:pStyle w:val="ListParagraph"/>
        <w:numPr>
          <w:ilvl w:val="0"/>
          <w:numId w:val="1"/>
        </w:numPr>
        <w:spacing w:line="240" w:lineRule="auto"/>
        <w:jc w:val="both"/>
        <w:rPr>
          <w:rFonts w:ascii="Arial" w:hAnsi="Arial" w:cs="Arial"/>
          <w:sz w:val="20"/>
          <w:szCs w:val="20"/>
          <w:lang w:val="en-US"/>
        </w:rPr>
      </w:pPr>
      <w:proofErr w:type="spellStart"/>
      <w:r w:rsidRPr="00941B5A">
        <w:rPr>
          <w:rFonts w:ascii="Arial" w:hAnsi="Arial" w:cs="Arial"/>
          <w:sz w:val="20"/>
          <w:szCs w:val="20"/>
          <w:lang w:val="en-US"/>
        </w:rPr>
        <w:t>Sihmar</w:t>
      </w:r>
      <w:proofErr w:type="spellEnd"/>
      <w:r w:rsidRPr="00941B5A">
        <w:rPr>
          <w:rFonts w:ascii="Arial" w:hAnsi="Arial" w:cs="Arial"/>
          <w:sz w:val="20"/>
          <w:szCs w:val="20"/>
          <w:lang w:val="en-US"/>
        </w:rPr>
        <w:t>, R. 2014. Growth and instability in agricultural production in Haryana: A district level analysis. International Journal of Scientific and Research Publications. 4(7):1-12.</w:t>
      </w:r>
    </w:p>
    <w:p w14:paraId="319D7A61" w14:textId="0B27596E" w:rsidR="00941888" w:rsidRPr="00941B5A" w:rsidRDefault="001B742A" w:rsidP="00941888">
      <w:pPr>
        <w:pStyle w:val="ListParagraph"/>
        <w:numPr>
          <w:ilvl w:val="0"/>
          <w:numId w:val="1"/>
        </w:numPr>
        <w:spacing w:line="240" w:lineRule="auto"/>
        <w:jc w:val="both"/>
        <w:rPr>
          <w:rFonts w:ascii="Arial" w:hAnsi="Arial" w:cs="Arial"/>
          <w:sz w:val="20"/>
          <w:szCs w:val="20"/>
          <w:lang w:val="en-US"/>
        </w:rPr>
      </w:pPr>
      <w:r w:rsidRPr="00941B5A">
        <w:rPr>
          <w:rFonts w:ascii="Arial" w:hAnsi="Arial" w:cs="Arial"/>
          <w:sz w:val="20"/>
          <w:szCs w:val="20"/>
        </w:rPr>
        <w:t xml:space="preserve">Bai, J., &amp; </w:t>
      </w:r>
      <w:proofErr w:type="spellStart"/>
      <w:r w:rsidRPr="00941B5A">
        <w:rPr>
          <w:rFonts w:ascii="Arial" w:hAnsi="Arial" w:cs="Arial"/>
          <w:sz w:val="20"/>
          <w:szCs w:val="20"/>
        </w:rPr>
        <w:t>Perron</w:t>
      </w:r>
      <w:proofErr w:type="spellEnd"/>
      <w:r w:rsidRPr="00941B5A">
        <w:rPr>
          <w:rFonts w:ascii="Arial" w:hAnsi="Arial" w:cs="Arial"/>
          <w:sz w:val="20"/>
          <w:szCs w:val="20"/>
        </w:rPr>
        <w:t xml:space="preserve">, P.1998. Estimating and testing linear models with multiple structural changes. </w:t>
      </w:r>
      <w:proofErr w:type="spellStart"/>
      <w:r w:rsidRPr="00941B5A">
        <w:rPr>
          <w:rFonts w:ascii="Arial" w:hAnsi="Arial" w:cs="Arial"/>
          <w:sz w:val="20"/>
          <w:szCs w:val="20"/>
        </w:rPr>
        <w:t>Econometrica</w:t>
      </w:r>
      <w:proofErr w:type="spellEnd"/>
      <w:r w:rsidRPr="00941B5A">
        <w:rPr>
          <w:rFonts w:ascii="Arial" w:hAnsi="Arial" w:cs="Arial"/>
          <w:sz w:val="20"/>
          <w:szCs w:val="20"/>
        </w:rPr>
        <w:t>, 66(1): 47–78. https://doi.org/10.2307/2998540.</w:t>
      </w:r>
      <w:r w:rsidR="00941888" w:rsidRPr="00941B5A">
        <w:rPr>
          <w:rFonts w:ascii="Arial" w:hAnsi="Arial" w:cs="Arial"/>
          <w:sz w:val="20"/>
          <w:szCs w:val="20"/>
          <w:lang w:val="en-US"/>
        </w:rPr>
        <w:t xml:space="preserve"> </w:t>
      </w:r>
    </w:p>
    <w:p w14:paraId="7F9E7BD1" w14:textId="486C8BB5" w:rsidR="00941B5A" w:rsidRPr="00941B5A" w:rsidRDefault="00941B5A" w:rsidP="00941888">
      <w:pPr>
        <w:pStyle w:val="ListParagraph"/>
        <w:numPr>
          <w:ilvl w:val="0"/>
          <w:numId w:val="1"/>
        </w:numPr>
        <w:spacing w:line="240" w:lineRule="auto"/>
        <w:jc w:val="both"/>
        <w:rPr>
          <w:rFonts w:ascii="Arial" w:hAnsi="Arial" w:cs="Arial"/>
          <w:sz w:val="20"/>
          <w:szCs w:val="20"/>
          <w:lang w:val="en-US"/>
        </w:rPr>
      </w:pPr>
      <w:r w:rsidRPr="00941B5A">
        <w:rPr>
          <w:rFonts w:ascii="Arial" w:hAnsi="Arial" w:cs="Arial"/>
          <w:sz w:val="20"/>
          <w:szCs w:val="20"/>
        </w:rPr>
        <w:t>Das, B., Singh, P., Sangeetha, V., Bhowmik, A., &amp; Ray, P. (2019). Growth and instability in area, production, productivity and consumption of millets in India: An analysis. Indian Journal of Extension Education, 55(4), 158-161.</w:t>
      </w:r>
    </w:p>
    <w:p w14:paraId="07387FCA" w14:textId="69348AF8" w:rsidR="00941B5A" w:rsidRPr="00941B5A" w:rsidRDefault="00941B5A" w:rsidP="00941888">
      <w:pPr>
        <w:pStyle w:val="ListParagraph"/>
        <w:numPr>
          <w:ilvl w:val="0"/>
          <w:numId w:val="1"/>
        </w:numPr>
        <w:spacing w:line="240" w:lineRule="auto"/>
        <w:jc w:val="both"/>
        <w:rPr>
          <w:rFonts w:ascii="Arial" w:hAnsi="Arial" w:cs="Arial"/>
          <w:sz w:val="20"/>
          <w:szCs w:val="20"/>
          <w:lang w:val="en-US"/>
        </w:rPr>
      </w:pPr>
      <w:r w:rsidRPr="00941B5A">
        <w:rPr>
          <w:rFonts w:ascii="Arial" w:hAnsi="Arial" w:cs="Arial"/>
          <w:sz w:val="20"/>
          <w:szCs w:val="20"/>
          <w:lang w:val="en-US"/>
        </w:rPr>
        <w:t xml:space="preserve">Madhu, D. M, </w:t>
      </w:r>
      <w:proofErr w:type="spellStart"/>
      <w:r w:rsidRPr="00941B5A">
        <w:rPr>
          <w:rFonts w:ascii="Arial" w:hAnsi="Arial" w:cs="Arial"/>
          <w:sz w:val="20"/>
          <w:szCs w:val="20"/>
          <w:lang w:val="en-US"/>
        </w:rPr>
        <w:t>Gali</w:t>
      </w:r>
      <w:proofErr w:type="spellEnd"/>
      <w:r w:rsidRPr="00941B5A">
        <w:rPr>
          <w:rFonts w:ascii="Arial" w:hAnsi="Arial" w:cs="Arial"/>
          <w:sz w:val="20"/>
          <w:szCs w:val="20"/>
          <w:lang w:val="en-US"/>
        </w:rPr>
        <w:t xml:space="preserve">, B., </w:t>
      </w:r>
      <w:proofErr w:type="spellStart"/>
      <w:r w:rsidRPr="00941B5A">
        <w:rPr>
          <w:rFonts w:ascii="Arial" w:hAnsi="Arial" w:cs="Arial"/>
          <w:sz w:val="20"/>
          <w:szCs w:val="20"/>
          <w:lang w:val="en-US"/>
        </w:rPr>
        <w:t>Vithemsetti</w:t>
      </w:r>
      <w:proofErr w:type="spellEnd"/>
      <w:r w:rsidRPr="00941B5A">
        <w:rPr>
          <w:rFonts w:ascii="Arial" w:hAnsi="Arial" w:cs="Arial"/>
          <w:sz w:val="20"/>
          <w:szCs w:val="20"/>
          <w:lang w:val="en-US"/>
        </w:rPr>
        <w:t xml:space="preserve">, M., </w:t>
      </w:r>
      <w:proofErr w:type="spellStart"/>
      <w:r w:rsidRPr="00941B5A">
        <w:rPr>
          <w:rFonts w:ascii="Arial" w:hAnsi="Arial" w:cs="Arial"/>
          <w:sz w:val="20"/>
          <w:szCs w:val="20"/>
          <w:lang w:val="en-US"/>
        </w:rPr>
        <w:t>Hanumanthappa</w:t>
      </w:r>
      <w:proofErr w:type="spellEnd"/>
      <w:r w:rsidRPr="00941B5A">
        <w:rPr>
          <w:rFonts w:ascii="Arial" w:hAnsi="Arial" w:cs="Arial"/>
          <w:sz w:val="20"/>
          <w:szCs w:val="20"/>
          <w:lang w:val="en-US"/>
        </w:rPr>
        <w:t xml:space="preserve">, R. </w:t>
      </w:r>
      <w:r w:rsidR="00E45D00">
        <w:rPr>
          <w:rFonts w:ascii="Arial" w:hAnsi="Arial" w:cs="Arial"/>
          <w:sz w:val="20"/>
          <w:szCs w:val="20"/>
          <w:lang w:val="en-US"/>
        </w:rPr>
        <w:t>&amp;</w:t>
      </w:r>
      <w:r w:rsidRPr="00941B5A">
        <w:rPr>
          <w:rFonts w:ascii="Arial" w:hAnsi="Arial" w:cs="Arial"/>
          <w:sz w:val="20"/>
          <w:szCs w:val="20"/>
          <w:lang w:val="en-US"/>
        </w:rPr>
        <w:t xml:space="preserve"> </w:t>
      </w:r>
      <w:proofErr w:type="spellStart"/>
      <w:r w:rsidRPr="00941B5A">
        <w:rPr>
          <w:rFonts w:ascii="Arial" w:hAnsi="Arial" w:cs="Arial"/>
          <w:sz w:val="20"/>
          <w:szCs w:val="20"/>
          <w:lang w:val="en-US"/>
        </w:rPr>
        <w:t>Moolimane</w:t>
      </w:r>
      <w:proofErr w:type="spellEnd"/>
      <w:r w:rsidRPr="00941B5A">
        <w:rPr>
          <w:rFonts w:ascii="Arial" w:hAnsi="Arial" w:cs="Arial"/>
          <w:sz w:val="20"/>
          <w:szCs w:val="20"/>
          <w:lang w:val="en-US"/>
        </w:rPr>
        <w:t>, C. (2024). An Overview of Millets Production in India: Growth and Instability. Journal of Experimental Agriculture International. 46. 213-225. 10.9734/</w:t>
      </w:r>
      <w:proofErr w:type="spellStart"/>
      <w:r w:rsidRPr="00941B5A">
        <w:rPr>
          <w:rFonts w:ascii="Arial" w:hAnsi="Arial" w:cs="Arial"/>
          <w:sz w:val="20"/>
          <w:szCs w:val="20"/>
          <w:lang w:val="en-US"/>
        </w:rPr>
        <w:t>jeai</w:t>
      </w:r>
      <w:proofErr w:type="spellEnd"/>
      <w:r w:rsidRPr="00941B5A">
        <w:rPr>
          <w:rFonts w:ascii="Arial" w:hAnsi="Arial" w:cs="Arial"/>
          <w:sz w:val="20"/>
          <w:szCs w:val="20"/>
          <w:lang w:val="en-US"/>
        </w:rPr>
        <w:t>/2024/v46i102940.</w:t>
      </w:r>
    </w:p>
    <w:p w14:paraId="76CAC53A" w14:textId="40EC95D9" w:rsidR="00941888" w:rsidRPr="00941B5A" w:rsidRDefault="00A84F57" w:rsidP="00941888">
      <w:pPr>
        <w:pStyle w:val="ListParagraph"/>
        <w:numPr>
          <w:ilvl w:val="0"/>
          <w:numId w:val="1"/>
        </w:numPr>
        <w:spacing w:line="240" w:lineRule="auto"/>
        <w:jc w:val="both"/>
        <w:rPr>
          <w:rFonts w:ascii="Arial" w:hAnsi="Arial" w:cs="Arial"/>
          <w:sz w:val="20"/>
          <w:szCs w:val="20"/>
          <w:lang w:val="en-US"/>
        </w:rPr>
      </w:pPr>
      <w:proofErr w:type="spellStart"/>
      <w:r w:rsidRPr="00941B5A">
        <w:rPr>
          <w:rFonts w:ascii="Arial" w:hAnsi="Arial" w:cs="Arial"/>
          <w:sz w:val="20"/>
          <w:szCs w:val="20"/>
          <w:lang w:val="en-US"/>
        </w:rPr>
        <w:t>Amarapurkar</w:t>
      </w:r>
      <w:proofErr w:type="spellEnd"/>
      <w:r w:rsidRPr="00941B5A">
        <w:rPr>
          <w:rFonts w:ascii="Arial" w:hAnsi="Arial" w:cs="Arial"/>
          <w:sz w:val="20"/>
          <w:szCs w:val="20"/>
          <w:lang w:val="en-US"/>
        </w:rPr>
        <w:t xml:space="preserve">, S. </w:t>
      </w:r>
      <w:r w:rsidR="00E45D00">
        <w:rPr>
          <w:rFonts w:ascii="Arial" w:hAnsi="Arial" w:cs="Arial"/>
          <w:sz w:val="20"/>
          <w:szCs w:val="20"/>
          <w:lang w:val="en-US"/>
        </w:rPr>
        <w:t>&amp;</w:t>
      </w:r>
      <w:r w:rsidRPr="00941B5A">
        <w:rPr>
          <w:rFonts w:ascii="Arial" w:hAnsi="Arial" w:cs="Arial"/>
          <w:sz w:val="20"/>
          <w:szCs w:val="20"/>
          <w:lang w:val="en-US"/>
        </w:rPr>
        <w:t xml:space="preserve"> </w:t>
      </w:r>
      <w:proofErr w:type="spellStart"/>
      <w:r w:rsidRPr="00941B5A">
        <w:rPr>
          <w:rFonts w:ascii="Arial" w:hAnsi="Arial" w:cs="Arial"/>
          <w:sz w:val="20"/>
          <w:szCs w:val="20"/>
          <w:lang w:val="en-US"/>
        </w:rPr>
        <w:t>Banakar</w:t>
      </w:r>
      <w:proofErr w:type="spellEnd"/>
      <w:r w:rsidRPr="00941B5A">
        <w:rPr>
          <w:rFonts w:ascii="Arial" w:hAnsi="Arial" w:cs="Arial"/>
          <w:sz w:val="20"/>
          <w:szCs w:val="20"/>
          <w:lang w:val="en-US"/>
        </w:rPr>
        <w:t xml:space="preserve">, B. </w:t>
      </w:r>
      <w:r w:rsidR="00E45D00">
        <w:rPr>
          <w:rFonts w:ascii="Arial" w:hAnsi="Arial" w:cs="Arial"/>
          <w:sz w:val="20"/>
          <w:szCs w:val="20"/>
          <w:lang w:val="en-US"/>
        </w:rPr>
        <w:t>(</w:t>
      </w:r>
      <w:r w:rsidRPr="00941B5A">
        <w:rPr>
          <w:rFonts w:ascii="Arial" w:hAnsi="Arial" w:cs="Arial"/>
          <w:sz w:val="20"/>
          <w:szCs w:val="20"/>
          <w:lang w:val="en-US"/>
        </w:rPr>
        <w:t>2019</w:t>
      </w:r>
      <w:r w:rsidR="00E45D00">
        <w:rPr>
          <w:rFonts w:ascii="Arial" w:hAnsi="Arial" w:cs="Arial"/>
          <w:sz w:val="20"/>
          <w:szCs w:val="20"/>
          <w:lang w:val="en-US"/>
        </w:rPr>
        <w:t>)</w:t>
      </w:r>
      <w:r w:rsidRPr="00941B5A">
        <w:rPr>
          <w:rFonts w:ascii="Arial" w:hAnsi="Arial" w:cs="Arial"/>
          <w:sz w:val="20"/>
          <w:szCs w:val="20"/>
          <w:lang w:val="en-US"/>
        </w:rPr>
        <w:t>. Growth and instability in area, production and productivity of major and minor millets in Karnataka. International Research Journal of Agricultural Economics and Statistics. 10(1): 149-154.</w:t>
      </w:r>
    </w:p>
    <w:p w14:paraId="1D00B46C" w14:textId="7D5A3DA5" w:rsidR="00A84F57" w:rsidRPr="00941B5A" w:rsidRDefault="00A84F57" w:rsidP="001C3A1A">
      <w:pPr>
        <w:pStyle w:val="ListParagraph"/>
        <w:numPr>
          <w:ilvl w:val="0"/>
          <w:numId w:val="1"/>
        </w:numPr>
        <w:spacing w:line="240" w:lineRule="auto"/>
        <w:jc w:val="both"/>
        <w:rPr>
          <w:rFonts w:ascii="Arial" w:hAnsi="Arial" w:cs="Arial"/>
          <w:sz w:val="20"/>
          <w:szCs w:val="20"/>
          <w:lang w:val="en-US"/>
        </w:rPr>
      </w:pPr>
      <w:r w:rsidRPr="00941B5A">
        <w:rPr>
          <w:rFonts w:ascii="Arial" w:hAnsi="Arial" w:cs="Arial"/>
          <w:sz w:val="20"/>
          <w:szCs w:val="20"/>
          <w:lang w:val="en-US"/>
        </w:rPr>
        <w:t xml:space="preserve">Ashwini, I.B., Aparna, B., Vani, N. </w:t>
      </w:r>
      <w:r w:rsidR="00E45D00">
        <w:rPr>
          <w:rFonts w:ascii="Arial" w:hAnsi="Arial" w:cs="Arial"/>
          <w:sz w:val="20"/>
          <w:szCs w:val="20"/>
          <w:lang w:val="en-US"/>
        </w:rPr>
        <w:t>&amp;</w:t>
      </w:r>
      <w:r w:rsidRPr="00941B5A">
        <w:rPr>
          <w:rFonts w:ascii="Arial" w:hAnsi="Arial" w:cs="Arial"/>
          <w:sz w:val="20"/>
          <w:szCs w:val="20"/>
          <w:lang w:val="en-US"/>
        </w:rPr>
        <w:t xml:space="preserve"> Naidu, G.M., </w:t>
      </w:r>
      <w:r w:rsidR="00E45D00">
        <w:rPr>
          <w:rFonts w:ascii="Arial" w:hAnsi="Arial" w:cs="Arial"/>
          <w:sz w:val="20"/>
          <w:szCs w:val="20"/>
          <w:lang w:val="en-US"/>
        </w:rPr>
        <w:t>(</w:t>
      </w:r>
      <w:r w:rsidRPr="00941B5A">
        <w:rPr>
          <w:rFonts w:ascii="Arial" w:hAnsi="Arial" w:cs="Arial"/>
          <w:sz w:val="20"/>
          <w:szCs w:val="20"/>
          <w:lang w:val="en-US"/>
        </w:rPr>
        <w:t>2019</w:t>
      </w:r>
      <w:r w:rsidR="00E45D00">
        <w:rPr>
          <w:rFonts w:ascii="Arial" w:hAnsi="Arial" w:cs="Arial"/>
          <w:sz w:val="20"/>
          <w:szCs w:val="20"/>
          <w:lang w:val="en-US"/>
        </w:rPr>
        <w:t>)</w:t>
      </w:r>
      <w:r w:rsidRPr="00941B5A">
        <w:rPr>
          <w:rFonts w:ascii="Arial" w:hAnsi="Arial" w:cs="Arial"/>
          <w:sz w:val="20"/>
          <w:szCs w:val="20"/>
          <w:lang w:val="en-US"/>
        </w:rPr>
        <w:t>. Growth and instability of major millets in Andhra Pradesh, India. International Journal of Current Microbiology and Applied Sciences, 8 (7):985-993.</w:t>
      </w:r>
    </w:p>
    <w:p w14:paraId="6C30CB33" w14:textId="1C4376DA" w:rsidR="001B742A" w:rsidRPr="00941B5A" w:rsidRDefault="00941888" w:rsidP="001C3A1A">
      <w:pPr>
        <w:pStyle w:val="ListParagraph"/>
        <w:numPr>
          <w:ilvl w:val="0"/>
          <w:numId w:val="1"/>
        </w:numPr>
        <w:spacing w:line="240" w:lineRule="auto"/>
        <w:jc w:val="both"/>
        <w:rPr>
          <w:rFonts w:ascii="Arial" w:hAnsi="Arial" w:cs="Arial"/>
          <w:sz w:val="20"/>
          <w:szCs w:val="20"/>
          <w:lang w:val="en-US"/>
        </w:rPr>
      </w:pPr>
      <w:proofErr w:type="spellStart"/>
      <w:r w:rsidRPr="00941B5A">
        <w:rPr>
          <w:rFonts w:ascii="Arial" w:hAnsi="Arial" w:cs="Arial"/>
          <w:sz w:val="20"/>
          <w:szCs w:val="20"/>
          <w:lang w:val="en-US"/>
        </w:rPr>
        <w:t>Anbukkani</w:t>
      </w:r>
      <w:proofErr w:type="spellEnd"/>
      <w:r w:rsidRPr="00941B5A">
        <w:rPr>
          <w:rFonts w:ascii="Arial" w:hAnsi="Arial" w:cs="Arial"/>
          <w:sz w:val="20"/>
          <w:szCs w:val="20"/>
          <w:lang w:val="en-US"/>
        </w:rPr>
        <w:t xml:space="preserve"> P, Balaji SJ, </w:t>
      </w:r>
      <w:r w:rsidR="00E45D00">
        <w:rPr>
          <w:rFonts w:ascii="Arial" w:hAnsi="Arial" w:cs="Arial"/>
          <w:sz w:val="20"/>
          <w:szCs w:val="20"/>
          <w:lang w:val="en-US"/>
        </w:rPr>
        <w:t xml:space="preserve">&amp; </w:t>
      </w:r>
      <w:proofErr w:type="spellStart"/>
      <w:r w:rsidRPr="00941B5A">
        <w:rPr>
          <w:rFonts w:ascii="Arial" w:hAnsi="Arial" w:cs="Arial"/>
          <w:sz w:val="20"/>
          <w:szCs w:val="20"/>
          <w:lang w:val="en-US"/>
        </w:rPr>
        <w:t>Nithyashree</w:t>
      </w:r>
      <w:proofErr w:type="spellEnd"/>
      <w:r w:rsidRPr="00941B5A">
        <w:rPr>
          <w:rFonts w:ascii="Arial" w:hAnsi="Arial" w:cs="Arial"/>
          <w:sz w:val="20"/>
          <w:szCs w:val="20"/>
          <w:lang w:val="en-US"/>
        </w:rPr>
        <w:t xml:space="preserve"> ML.</w:t>
      </w:r>
      <w:r w:rsidRPr="00941B5A">
        <w:rPr>
          <w:rFonts w:ascii="Arial" w:hAnsi="Arial" w:cs="Arial"/>
          <w:sz w:val="20"/>
          <w:szCs w:val="20"/>
        </w:rPr>
        <w:t xml:space="preserve"> (2016). </w:t>
      </w:r>
      <w:r w:rsidRPr="00941B5A">
        <w:rPr>
          <w:rFonts w:ascii="Arial" w:hAnsi="Arial" w:cs="Arial"/>
          <w:sz w:val="20"/>
          <w:szCs w:val="20"/>
          <w:lang w:val="en-US"/>
        </w:rPr>
        <w:t>Production and consumption of minor</w:t>
      </w:r>
      <w:r w:rsidR="00B273E2">
        <w:rPr>
          <w:rFonts w:ascii="Arial" w:hAnsi="Arial" w:cs="Arial"/>
          <w:sz w:val="20"/>
          <w:szCs w:val="20"/>
          <w:lang w:val="en-US"/>
        </w:rPr>
        <w:t xml:space="preserve"> </w:t>
      </w:r>
      <w:r w:rsidRPr="00941B5A">
        <w:rPr>
          <w:rFonts w:ascii="Arial" w:hAnsi="Arial" w:cs="Arial"/>
          <w:sz w:val="20"/>
          <w:szCs w:val="20"/>
          <w:lang w:val="en-US"/>
        </w:rPr>
        <w:t>millets in India-A structural break</w:t>
      </w:r>
      <w:r w:rsidRPr="00941B5A">
        <w:rPr>
          <w:rFonts w:ascii="Arial" w:hAnsi="Arial" w:cs="Arial"/>
          <w:sz w:val="20"/>
          <w:szCs w:val="20"/>
        </w:rPr>
        <w:t xml:space="preserve"> analysis. Annals of Agricultural Research. 38(4).</w:t>
      </w:r>
      <w:bookmarkEnd w:id="9"/>
    </w:p>
    <w:sectPr w:rsidR="001B742A" w:rsidRPr="00941B5A" w:rsidSect="003F29E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79EC9" w14:textId="77777777" w:rsidR="00364EE0" w:rsidRDefault="00364EE0" w:rsidP="00907BF0">
      <w:pPr>
        <w:spacing w:after="0" w:line="240" w:lineRule="auto"/>
      </w:pPr>
      <w:r>
        <w:separator/>
      </w:r>
    </w:p>
  </w:endnote>
  <w:endnote w:type="continuationSeparator" w:id="0">
    <w:p w14:paraId="27A38922" w14:textId="77777777" w:rsidR="00364EE0" w:rsidRDefault="00364EE0" w:rsidP="00907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E299F" w14:textId="77777777" w:rsidR="00BB4F1E" w:rsidRDefault="00BB4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AB488" w14:textId="77777777" w:rsidR="00BB4F1E" w:rsidRDefault="00BB4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D5EA" w14:textId="77777777" w:rsidR="003F29E7" w:rsidRDefault="003F2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FEB4E" w14:textId="77777777" w:rsidR="00364EE0" w:rsidRDefault="00364EE0" w:rsidP="00907BF0">
      <w:pPr>
        <w:spacing w:after="0" w:line="240" w:lineRule="auto"/>
      </w:pPr>
      <w:r>
        <w:separator/>
      </w:r>
    </w:p>
  </w:footnote>
  <w:footnote w:type="continuationSeparator" w:id="0">
    <w:p w14:paraId="5489955A" w14:textId="77777777" w:rsidR="00364EE0" w:rsidRDefault="00364EE0" w:rsidP="00907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8553" w14:textId="17361392" w:rsidR="00BB4F1E" w:rsidRDefault="00BB4F1E">
    <w:pPr>
      <w:pStyle w:val="Header"/>
    </w:pPr>
    <w:r>
      <w:rPr>
        <w:noProof/>
      </w:rPr>
      <w:pict w14:anchorId="6AA35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997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D43DA" w14:textId="1D206CF5" w:rsidR="00BB4F1E" w:rsidRDefault="00BB4F1E">
    <w:pPr>
      <w:pStyle w:val="Header"/>
    </w:pPr>
    <w:r>
      <w:rPr>
        <w:noProof/>
      </w:rPr>
      <w:pict w14:anchorId="119BB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997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D80E8" w14:textId="4CB33F8D" w:rsidR="00BB4F1E" w:rsidRDefault="00BB4F1E">
    <w:pPr>
      <w:pStyle w:val="Header"/>
    </w:pPr>
    <w:r>
      <w:rPr>
        <w:noProof/>
      </w:rPr>
      <w:pict w14:anchorId="3C4F6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997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63176"/>
    <w:multiLevelType w:val="hybridMultilevel"/>
    <w:tmpl w:val="52C4B0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89"/>
    <w:rsid w:val="00004E1F"/>
    <w:rsid w:val="00070792"/>
    <w:rsid w:val="00072FF5"/>
    <w:rsid w:val="000B38B5"/>
    <w:rsid w:val="001602D4"/>
    <w:rsid w:val="0016555D"/>
    <w:rsid w:val="00165A49"/>
    <w:rsid w:val="001B6827"/>
    <w:rsid w:val="001B6D90"/>
    <w:rsid w:val="001B742A"/>
    <w:rsid w:val="001D4E84"/>
    <w:rsid w:val="001E4814"/>
    <w:rsid w:val="001F2544"/>
    <w:rsid w:val="00212ADB"/>
    <w:rsid w:val="00214040"/>
    <w:rsid w:val="00217548"/>
    <w:rsid w:val="00224AFF"/>
    <w:rsid w:val="00234BDE"/>
    <w:rsid w:val="00237A7F"/>
    <w:rsid w:val="00246399"/>
    <w:rsid w:val="002D766E"/>
    <w:rsid w:val="00360C08"/>
    <w:rsid w:val="00364EE0"/>
    <w:rsid w:val="00392D18"/>
    <w:rsid w:val="003E7C7C"/>
    <w:rsid w:val="003F29E7"/>
    <w:rsid w:val="003F5A5D"/>
    <w:rsid w:val="003F6142"/>
    <w:rsid w:val="00401EBD"/>
    <w:rsid w:val="00414DA2"/>
    <w:rsid w:val="00433239"/>
    <w:rsid w:val="004721D2"/>
    <w:rsid w:val="004744DB"/>
    <w:rsid w:val="0048224C"/>
    <w:rsid w:val="004B3A97"/>
    <w:rsid w:val="00501F81"/>
    <w:rsid w:val="0052397E"/>
    <w:rsid w:val="00524A4B"/>
    <w:rsid w:val="0057429E"/>
    <w:rsid w:val="00581537"/>
    <w:rsid w:val="005B2BC3"/>
    <w:rsid w:val="00640543"/>
    <w:rsid w:val="0067777D"/>
    <w:rsid w:val="006A4C63"/>
    <w:rsid w:val="006C025E"/>
    <w:rsid w:val="006D453A"/>
    <w:rsid w:val="006F1798"/>
    <w:rsid w:val="00731201"/>
    <w:rsid w:val="0077400E"/>
    <w:rsid w:val="007A2E2E"/>
    <w:rsid w:val="007C360F"/>
    <w:rsid w:val="007C36BE"/>
    <w:rsid w:val="007C54D8"/>
    <w:rsid w:val="00801BBE"/>
    <w:rsid w:val="008123FB"/>
    <w:rsid w:val="00813976"/>
    <w:rsid w:val="00842FF1"/>
    <w:rsid w:val="008564C6"/>
    <w:rsid w:val="008719FF"/>
    <w:rsid w:val="00882FE8"/>
    <w:rsid w:val="00907BF0"/>
    <w:rsid w:val="009105F6"/>
    <w:rsid w:val="0092250E"/>
    <w:rsid w:val="00941888"/>
    <w:rsid w:val="00941B5A"/>
    <w:rsid w:val="009F697A"/>
    <w:rsid w:val="00A51B22"/>
    <w:rsid w:val="00A84F57"/>
    <w:rsid w:val="00AA5838"/>
    <w:rsid w:val="00AF2EFF"/>
    <w:rsid w:val="00B273E2"/>
    <w:rsid w:val="00B4108E"/>
    <w:rsid w:val="00B71D12"/>
    <w:rsid w:val="00B8031B"/>
    <w:rsid w:val="00B8722E"/>
    <w:rsid w:val="00BA0199"/>
    <w:rsid w:val="00BB4F1E"/>
    <w:rsid w:val="00BF3472"/>
    <w:rsid w:val="00C05409"/>
    <w:rsid w:val="00C256C5"/>
    <w:rsid w:val="00C31920"/>
    <w:rsid w:val="00C631A7"/>
    <w:rsid w:val="00C73A72"/>
    <w:rsid w:val="00C84D89"/>
    <w:rsid w:val="00CB13F2"/>
    <w:rsid w:val="00CB6E18"/>
    <w:rsid w:val="00CE4297"/>
    <w:rsid w:val="00D05767"/>
    <w:rsid w:val="00D06C72"/>
    <w:rsid w:val="00D3702F"/>
    <w:rsid w:val="00D469EA"/>
    <w:rsid w:val="00D94E00"/>
    <w:rsid w:val="00DD1360"/>
    <w:rsid w:val="00DF394F"/>
    <w:rsid w:val="00E00691"/>
    <w:rsid w:val="00E0184F"/>
    <w:rsid w:val="00E12FE7"/>
    <w:rsid w:val="00E37B56"/>
    <w:rsid w:val="00E45D00"/>
    <w:rsid w:val="00E50BE4"/>
    <w:rsid w:val="00EC279F"/>
    <w:rsid w:val="00ED3C0D"/>
    <w:rsid w:val="00EE51CD"/>
    <w:rsid w:val="00EE5AB0"/>
    <w:rsid w:val="00EF32D2"/>
    <w:rsid w:val="00F27789"/>
    <w:rsid w:val="00F45224"/>
    <w:rsid w:val="00F4788D"/>
    <w:rsid w:val="00F60879"/>
    <w:rsid w:val="00F864CE"/>
    <w:rsid w:val="00F866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4A75BC"/>
  <w15:chartTrackingRefBased/>
  <w15:docId w15:val="{6B378D9C-6AD8-44A8-8D3C-2DF1BB07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60C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60C08"/>
    <w:rPr>
      <w:b/>
      <w:bCs/>
    </w:rPr>
  </w:style>
  <w:style w:type="character" w:styleId="Hyperlink">
    <w:name w:val="Hyperlink"/>
    <w:basedOn w:val="DefaultParagraphFont"/>
    <w:uiPriority w:val="99"/>
    <w:unhideWhenUsed/>
    <w:rsid w:val="00C73A72"/>
    <w:rPr>
      <w:color w:val="0563C1" w:themeColor="hyperlink"/>
      <w:u w:val="single"/>
    </w:rPr>
  </w:style>
  <w:style w:type="character" w:styleId="UnresolvedMention">
    <w:name w:val="Unresolved Mention"/>
    <w:basedOn w:val="DefaultParagraphFont"/>
    <w:uiPriority w:val="99"/>
    <w:semiHidden/>
    <w:unhideWhenUsed/>
    <w:rsid w:val="00214040"/>
    <w:rPr>
      <w:color w:val="605E5C"/>
      <w:shd w:val="clear" w:color="auto" w:fill="E1DFDD"/>
    </w:rPr>
  </w:style>
  <w:style w:type="paragraph" w:styleId="ListParagraph">
    <w:name w:val="List Paragraph"/>
    <w:basedOn w:val="Normal"/>
    <w:uiPriority w:val="34"/>
    <w:qFormat/>
    <w:rsid w:val="00DD1360"/>
    <w:pPr>
      <w:ind w:left="720"/>
      <w:contextualSpacing/>
    </w:pPr>
  </w:style>
  <w:style w:type="paragraph" w:styleId="Header">
    <w:name w:val="header"/>
    <w:basedOn w:val="Normal"/>
    <w:link w:val="HeaderChar"/>
    <w:uiPriority w:val="99"/>
    <w:unhideWhenUsed/>
    <w:rsid w:val="00907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BF0"/>
  </w:style>
  <w:style w:type="paragraph" w:styleId="Footer">
    <w:name w:val="footer"/>
    <w:basedOn w:val="Normal"/>
    <w:link w:val="FooterChar"/>
    <w:uiPriority w:val="99"/>
    <w:unhideWhenUsed/>
    <w:rsid w:val="00907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4095">
      <w:bodyDiv w:val="1"/>
      <w:marLeft w:val="0"/>
      <w:marRight w:val="0"/>
      <w:marTop w:val="0"/>
      <w:marBottom w:val="0"/>
      <w:divBdr>
        <w:top w:val="none" w:sz="0" w:space="0" w:color="auto"/>
        <w:left w:val="none" w:sz="0" w:space="0" w:color="auto"/>
        <w:bottom w:val="none" w:sz="0" w:space="0" w:color="auto"/>
        <w:right w:val="none" w:sz="0" w:space="0" w:color="auto"/>
      </w:divBdr>
    </w:div>
    <w:div w:id="162938507">
      <w:bodyDiv w:val="1"/>
      <w:marLeft w:val="0"/>
      <w:marRight w:val="0"/>
      <w:marTop w:val="0"/>
      <w:marBottom w:val="0"/>
      <w:divBdr>
        <w:top w:val="none" w:sz="0" w:space="0" w:color="auto"/>
        <w:left w:val="none" w:sz="0" w:space="0" w:color="auto"/>
        <w:bottom w:val="none" w:sz="0" w:space="0" w:color="auto"/>
        <w:right w:val="none" w:sz="0" w:space="0" w:color="auto"/>
      </w:divBdr>
      <w:divsChild>
        <w:div w:id="1783182206">
          <w:marLeft w:val="0"/>
          <w:marRight w:val="0"/>
          <w:marTop w:val="0"/>
          <w:marBottom w:val="0"/>
          <w:divBdr>
            <w:top w:val="none" w:sz="0" w:space="0" w:color="auto"/>
            <w:left w:val="none" w:sz="0" w:space="0" w:color="auto"/>
            <w:bottom w:val="none" w:sz="0" w:space="0" w:color="auto"/>
            <w:right w:val="none" w:sz="0" w:space="0" w:color="auto"/>
          </w:divBdr>
          <w:divsChild>
            <w:div w:id="823397613">
              <w:marLeft w:val="0"/>
              <w:marRight w:val="0"/>
              <w:marTop w:val="0"/>
              <w:marBottom w:val="0"/>
              <w:divBdr>
                <w:top w:val="none" w:sz="0" w:space="0" w:color="auto"/>
                <w:left w:val="none" w:sz="0" w:space="0" w:color="auto"/>
                <w:bottom w:val="none" w:sz="0" w:space="0" w:color="auto"/>
                <w:right w:val="none" w:sz="0" w:space="0" w:color="auto"/>
              </w:divBdr>
              <w:divsChild>
                <w:div w:id="10306092">
                  <w:marLeft w:val="0"/>
                  <w:marRight w:val="0"/>
                  <w:marTop w:val="0"/>
                  <w:marBottom w:val="0"/>
                  <w:divBdr>
                    <w:top w:val="none" w:sz="0" w:space="0" w:color="auto"/>
                    <w:left w:val="none" w:sz="0" w:space="0" w:color="auto"/>
                    <w:bottom w:val="none" w:sz="0" w:space="0" w:color="auto"/>
                    <w:right w:val="none" w:sz="0" w:space="0" w:color="auto"/>
                  </w:divBdr>
                  <w:divsChild>
                    <w:div w:id="9913000">
                      <w:marLeft w:val="0"/>
                      <w:marRight w:val="0"/>
                      <w:marTop w:val="0"/>
                      <w:marBottom w:val="0"/>
                      <w:divBdr>
                        <w:top w:val="none" w:sz="0" w:space="0" w:color="auto"/>
                        <w:left w:val="none" w:sz="0" w:space="0" w:color="auto"/>
                        <w:bottom w:val="none" w:sz="0" w:space="0" w:color="auto"/>
                        <w:right w:val="none" w:sz="0" w:space="0" w:color="auto"/>
                      </w:divBdr>
                    </w:div>
                    <w:div w:id="205071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60924">
      <w:bodyDiv w:val="1"/>
      <w:marLeft w:val="0"/>
      <w:marRight w:val="0"/>
      <w:marTop w:val="0"/>
      <w:marBottom w:val="0"/>
      <w:divBdr>
        <w:top w:val="none" w:sz="0" w:space="0" w:color="auto"/>
        <w:left w:val="none" w:sz="0" w:space="0" w:color="auto"/>
        <w:bottom w:val="none" w:sz="0" w:space="0" w:color="auto"/>
        <w:right w:val="none" w:sz="0" w:space="0" w:color="auto"/>
      </w:divBdr>
    </w:div>
    <w:div w:id="561327733">
      <w:bodyDiv w:val="1"/>
      <w:marLeft w:val="0"/>
      <w:marRight w:val="0"/>
      <w:marTop w:val="0"/>
      <w:marBottom w:val="0"/>
      <w:divBdr>
        <w:top w:val="none" w:sz="0" w:space="0" w:color="auto"/>
        <w:left w:val="none" w:sz="0" w:space="0" w:color="auto"/>
        <w:bottom w:val="none" w:sz="0" w:space="0" w:color="auto"/>
        <w:right w:val="none" w:sz="0" w:space="0" w:color="auto"/>
      </w:divBdr>
    </w:div>
    <w:div w:id="563680857">
      <w:bodyDiv w:val="1"/>
      <w:marLeft w:val="0"/>
      <w:marRight w:val="0"/>
      <w:marTop w:val="0"/>
      <w:marBottom w:val="0"/>
      <w:divBdr>
        <w:top w:val="none" w:sz="0" w:space="0" w:color="auto"/>
        <w:left w:val="none" w:sz="0" w:space="0" w:color="auto"/>
        <w:bottom w:val="none" w:sz="0" w:space="0" w:color="auto"/>
        <w:right w:val="none" w:sz="0" w:space="0" w:color="auto"/>
      </w:divBdr>
    </w:div>
    <w:div w:id="688147178">
      <w:bodyDiv w:val="1"/>
      <w:marLeft w:val="0"/>
      <w:marRight w:val="0"/>
      <w:marTop w:val="0"/>
      <w:marBottom w:val="0"/>
      <w:divBdr>
        <w:top w:val="none" w:sz="0" w:space="0" w:color="auto"/>
        <w:left w:val="none" w:sz="0" w:space="0" w:color="auto"/>
        <w:bottom w:val="none" w:sz="0" w:space="0" w:color="auto"/>
        <w:right w:val="none" w:sz="0" w:space="0" w:color="auto"/>
      </w:divBdr>
    </w:div>
    <w:div w:id="734596033">
      <w:bodyDiv w:val="1"/>
      <w:marLeft w:val="0"/>
      <w:marRight w:val="0"/>
      <w:marTop w:val="0"/>
      <w:marBottom w:val="0"/>
      <w:divBdr>
        <w:top w:val="none" w:sz="0" w:space="0" w:color="auto"/>
        <w:left w:val="none" w:sz="0" w:space="0" w:color="auto"/>
        <w:bottom w:val="none" w:sz="0" w:space="0" w:color="auto"/>
        <w:right w:val="none" w:sz="0" w:space="0" w:color="auto"/>
      </w:divBdr>
    </w:div>
    <w:div w:id="742482723">
      <w:bodyDiv w:val="1"/>
      <w:marLeft w:val="0"/>
      <w:marRight w:val="0"/>
      <w:marTop w:val="0"/>
      <w:marBottom w:val="0"/>
      <w:divBdr>
        <w:top w:val="none" w:sz="0" w:space="0" w:color="auto"/>
        <w:left w:val="none" w:sz="0" w:space="0" w:color="auto"/>
        <w:bottom w:val="none" w:sz="0" w:space="0" w:color="auto"/>
        <w:right w:val="none" w:sz="0" w:space="0" w:color="auto"/>
      </w:divBdr>
      <w:divsChild>
        <w:div w:id="230578410">
          <w:marLeft w:val="0"/>
          <w:marRight w:val="0"/>
          <w:marTop w:val="0"/>
          <w:marBottom w:val="0"/>
          <w:divBdr>
            <w:top w:val="none" w:sz="0" w:space="0" w:color="auto"/>
            <w:left w:val="none" w:sz="0" w:space="0" w:color="auto"/>
            <w:bottom w:val="none" w:sz="0" w:space="0" w:color="auto"/>
            <w:right w:val="none" w:sz="0" w:space="0" w:color="auto"/>
          </w:divBdr>
          <w:divsChild>
            <w:div w:id="1099831111">
              <w:marLeft w:val="0"/>
              <w:marRight w:val="0"/>
              <w:marTop w:val="0"/>
              <w:marBottom w:val="0"/>
              <w:divBdr>
                <w:top w:val="none" w:sz="0" w:space="0" w:color="auto"/>
                <w:left w:val="none" w:sz="0" w:space="0" w:color="auto"/>
                <w:bottom w:val="none" w:sz="0" w:space="0" w:color="auto"/>
                <w:right w:val="none" w:sz="0" w:space="0" w:color="auto"/>
              </w:divBdr>
              <w:divsChild>
                <w:div w:id="136531338">
                  <w:marLeft w:val="0"/>
                  <w:marRight w:val="0"/>
                  <w:marTop w:val="0"/>
                  <w:marBottom w:val="0"/>
                  <w:divBdr>
                    <w:top w:val="none" w:sz="0" w:space="0" w:color="auto"/>
                    <w:left w:val="none" w:sz="0" w:space="0" w:color="auto"/>
                    <w:bottom w:val="none" w:sz="0" w:space="0" w:color="auto"/>
                    <w:right w:val="none" w:sz="0" w:space="0" w:color="auto"/>
                  </w:divBdr>
                  <w:divsChild>
                    <w:div w:id="1792893552">
                      <w:marLeft w:val="0"/>
                      <w:marRight w:val="0"/>
                      <w:marTop w:val="0"/>
                      <w:marBottom w:val="0"/>
                      <w:divBdr>
                        <w:top w:val="none" w:sz="0" w:space="0" w:color="auto"/>
                        <w:left w:val="none" w:sz="0" w:space="0" w:color="auto"/>
                        <w:bottom w:val="none" w:sz="0" w:space="0" w:color="auto"/>
                        <w:right w:val="none" w:sz="0" w:space="0" w:color="auto"/>
                      </w:divBdr>
                      <w:divsChild>
                        <w:div w:id="201333257">
                          <w:marLeft w:val="0"/>
                          <w:marRight w:val="0"/>
                          <w:marTop w:val="0"/>
                          <w:marBottom w:val="0"/>
                          <w:divBdr>
                            <w:top w:val="none" w:sz="0" w:space="0" w:color="auto"/>
                            <w:left w:val="none" w:sz="0" w:space="0" w:color="auto"/>
                            <w:bottom w:val="none" w:sz="0" w:space="0" w:color="auto"/>
                            <w:right w:val="none" w:sz="0" w:space="0" w:color="auto"/>
                          </w:divBdr>
                          <w:divsChild>
                            <w:div w:id="20095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22644">
      <w:bodyDiv w:val="1"/>
      <w:marLeft w:val="0"/>
      <w:marRight w:val="0"/>
      <w:marTop w:val="0"/>
      <w:marBottom w:val="0"/>
      <w:divBdr>
        <w:top w:val="none" w:sz="0" w:space="0" w:color="auto"/>
        <w:left w:val="none" w:sz="0" w:space="0" w:color="auto"/>
        <w:bottom w:val="none" w:sz="0" w:space="0" w:color="auto"/>
        <w:right w:val="none" w:sz="0" w:space="0" w:color="auto"/>
      </w:divBdr>
    </w:div>
    <w:div w:id="1212693581">
      <w:bodyDiv w:val="1"/>
      <w:marLeft w:val="0"/>
      <w:marRight w:val="0"/>
      <w:marTop w:val="0"/>
      <w:marBottom w:val="0"/>
      <w:divBdr>
        <w:top w:val="none" w:sz="0" w:space="0" w:color="auto"/>
        <w:left w:val="none" w:sz="0" w:space="0" w:color="auto"/>
        <w:bottom w:val="none" w:sz="0" w:space="0" w:color="auto"/>
        <w:right w:val="none" w:sz="0" w:space="0" w:color="auto"/>
      </w:divBdr>
    </w:div>
    <w:div w:id="1426414168">
      <w:bodyDiv w:val="1"/>
      <w:marLeft w:val="0"/>
      <w:marRight w:val="0"/>
      <w:marTop w:val="0"/>
      <w:marBottom w:val="0"/>
      <w:divBdr>
        <w:top w:val="none" w:sz="0" w:space="0" w:color="auto"/>
        <w:left w:val="none" w:sz="0" w:space="0" w:color="auto"/>
        <w:bottom w:val="none" w:sz="0" w:space="0" w:color="auto"/>
        <w:right w:val="none" w:sz="0" w:space="0" w:color="auto"/>
      </w:divBdr>
    </w:div>
    <w:div w:id="1553882951">
      <w:bodyDiv w:val="1"/>
      <w:marLeft w:val="0"/>
      <w:marRight w:val="0"/>
      <w:marTop w:val="0"/>
      <w:marBottom w:val="0"/>
      <w:divBdr>
        <w:top w:val="none" w:sz="0" w:space="0" w:color="auto"/>
        <w:left w:val="none" w:sz="0" w:space="0" w:color="auto"/>
        <w:bottom w:val="none" w:sz="0" w:space="0" w:color="auto"/>
        <w:right w:val="none" w:sz="0" w:space="0" w:color="auto"/>
      </w:divBdr>
    </w:div>
    <w:div w:id="1704556021">
      <w:bodyDiv w:val="1"/>
      <w:marLeft w:val="0"/>
      <w:marRight w:val="0"/>
      <w:marTop w:val="0"/>
      <w:marBottom w:val="0"/>
      <w:divBdr>
        <w:top w:val="none" w:sz="0" w:space="0" w:color="auto"/>
        <w:left w:val="none" w:sz="0" w:space="0" w:color="auto"/>
        <w:bottom w:val="none" w:sz="0" w:space="0" w:color="auto"/>
        <w:right w:val="none" w:sz="0" w:space="0" w:color="auto"/>
      </w:divBdr>
      <w:divsChild>
        <w:div w:id="1859537561">
          <w:marLeft w:val="0"/>
          <w:marRight w:val="0"/>
          <w:marTop w:val="0"/>
          <w:marBottom w:val="0"/>
          <w:divBdr>
            <w:top w:val="none" w:sz="0" w:space="0" w:color="auto"/>
            <w:left w:val="none" w:sz="0" w:space="0" w:color="auto"/>
            <w:bottom w:val="none" w:sz="0" w:space="0" w:color="auto"/>
            <w:right w:val="none" w:sz="0" w:space="0" w:color="auto"/>
          </w:divBdr>
          <w:divsChild>
            <w:div w:id="1698502737">
              <w:marLeft w:val="0"/>
              <w:marRight w:val="0"/>
              <w:marTop w:val="0"/>
              <w:marBottom w:val="0"/>
              <w:divBdr>
                <w:top w:val="none" w:sz="0" w:space="0" w:color="auto"/>
                <w:left w:val="none" w:sz="0" w:space="0" w:color="auto"/>
                <w:bottom w:val="none" w:sz="0" w:space="0" w:color="auto"/>
                <w:right w:val="none" w:sz="0" w:space="0" w:color="auto"/>
              </w:divBdr>
              <w:divsChild>
                <w:div w:id="1892156579">
                  <w:marLeft w:val="0"/>
                  <w:marRight w:val="0"/>
                  <w:marTop w:val="0"/>
                  <w:marBottom w:val="0"/>
                  <w:divBdr>
                    <w:top w:val="none" w:sz="0" w:space="0" w:color="auto"/>
                    <w:left w:val="none" w:sz="0" w:space="0" w:color="auto"/>
                    <w:bottom w:val="none" w:sz="0" w:space="0" w:color="auto"/>
                    <w:right w:val="none" w:sz="0" w:space="0" w:color="auto"/>
                  </w:divBdr>
                  <w:divsChild>
                    <w:div w:id="803813180">
                      <w:marLeft w:val="0"/>
                      <w:marRight w:val="0"/>
                      <w:marTop w:val="0"/>
                      <w:marBottom w:val="0"/>
                      <w:divBdr>
                        <w:top w:val="none" w:sz="0" w:space="0" w:color="auto"/>
                        <w:left w:val="none" w:sz="0" w:space="0" w:color="auto"/>
                        <w:bottom w:val="none" w:sz="0" w:space="0" w:color="auto"/>
                        <w:right w:val="none" w:sz="0" w:space="0" w:color="auto"/>
                      </w:divBdr>
                    </w:div>
                    <w:div w:id="30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79296">
      <w:bodyDiv w:val="1"/>
      <w:marLeft w:val="0"/>
      <w:marRight w:val="0"/>
      <w:marTop w:val="0"/>
      <w:marBottom w:val="0"/>
      <w:divBdr>
        <w:top w:val="none" w:sz="0" w:space="0" w:color="auto"/>
        <w:left w:val="none" w:sz="0" w:space="0" w:color="auto"/>
        <w:bottom w:val="none" w:sz="0" w:space="0" w:color="auto"/>
        <w:right w:val="none" w:sz="0" w:space="0" w:color="auto"/>
      </w:divBdr>
    </w:div>
    <w:div w:id="2092585225">
      <w:bodyDiv w:val="1"/>
      <w:marLeft w:val="0"/>
      <w:marRight w:val="0"/>
      <w:marTop w:val="0"/>
      <w:marBottom w:val="0"/>
      <w:divBdr>
        <w:top w:val="none" w:sz="0" w:space="0" w:color="auto"/>
        <w:left w:val="none" w:sz="0" w:space="0" w:color="auto"/>
        <w:bottom w:val="none" w:sz="0" w:space="0" w:color="auto"/>
        <w:right w:val="none" w:sz="0" w:space="0" w:color="auto"/>
      </w:divBdr>
      <w:divsChild>
        <w:div w:id="1160195949">
          <w:marLeft w:val="0"/>
          <w:marRight w:val="0"/>
          <w:marTop w:val="0"/>
          <w:marBottom w:val="0"/>
          <w:divBdr>
            <w:top w:val="none" w:sz="0" w:space="0" w:color="auto"/>
            <w:left w:val="none" w:sz="0" w:space="0" w:color="auto"/>
            <w:bottom w:val="none" w:sz="0" w:space="0" w:color="auto"/>
            <w:right w:val="none" w:sz="0" w:space="0" w:color="auto"/>
          </w:divBdr>
          <w:divsChild>
            <w:div w:id="539704586">
              <w:marLeft w:val="0"/>
              <w:marRight w:val="0"/>
              <w:marTop w:val="0"/>
              <w:marBottom w:val="0"/>
              <w:divBdr>
                <w:top w:val="none" w:sz="0" w:space="0" w:color="auto"/>
                <w:left w:val="none" w:sz="0" w:space="0" w:color="auto"/>
                <w:bottom w:val="none" w:sz="0" w:space="0" w:color="auto"/>
                <w:right w:val="none" w:sz="0" w:space="0" w:color="auto"/>
              </w:divBdr>
              <w:divsChild>
                <w:div w:id="2106881840">
                  <w:marLeft w:val="0"/>
                  <w:marRight w:val="0"/>
                  <w:marTop w:val="0"/>
                  <w:marBottom w:val="0"/>
                  <w:divBdr>
                    <w:top w:val="none" w:sz="0" w:space="0" w:color="auto"/>
                    <w:left w:val="none" w:sz="0" w:space="0" w:color="auto"/>
                    <w:bottom w:val="none" w:sz="0" w:space="0" w:color="auto"/>
                    <w:right w:val="none" w:sz="0" w:space="0" w:color="auto"/>
                  </w:divBdr>
                  <w:divsChild>
                    <w:div w:id="1763067242">
                      <w:marLeft w:val="0"/>
                      <w:marRight w:val="0"/>
                      <w:marTop w:val="0"/>
                      <w:marBottom w:val="0"/>
                      <w:divBdr>
                        <w:top w:val="none" w:sz="0" w:space="0" w:color="auto"/>
                        <w:left w:val="none" w:sz="0" w:space="0" w:color="auto"/>
                        <w:bottom w:val="none" w:sz="0" w:space="0" w:color="auto"/>
                        <w:right w:val="none" w:sz="0" w:space="0" w:color="auto"/>
                      </w:divBdr>
                      <w:divsChild>
                        <w:div w:id="1928801132">
                          <w:marLeft w:val="0"/>
                          <w:marRight w:val="0"/>
                          <w:marTop w:val="0"/>
                          <w:marBottom w:val="0"/>
                          <w:divBdr>
                            <w:top w:val="none" w:sz="0" w:space="0" w:color="auto"/>
                            <w:left w:val="none" w:sz="0" w:space="0" w:color="auto"/>
                            <w:bottom w:val="none" w:sz="0" w:space="0" w:color="auto"/>
                            <w:right w:val="none" w:sz="0" w:space="0" w:color="auto"/>
                          </w:divBdr>
                          <w:divsChild>
                            <w:div w:id="9481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assan.org/wp-content/uploads/2022/07/WASSAN-Introducing-of-Nutritious-Millets-into-Anganwadi-Centres.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copbio.2022.102683" TargetMode="External"/><Relationship Id="rId23"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ipad.fas.usda.gov/cropexplorer/cropview/commodityView.aspx?cropid=0459100"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'article tables'!$H$68</c:f>
              <c:strCache>
                <c:ptCount val="1"/>
                <c:pt idx="0">
                  <c:v>Area (ha)</c:v>
                </c:pt>
              </c:strCache>
            </c:strRef>
          </c:tx>
          <c:spPr>
            <a:solidFill>
              <a:schemeClr val="accent2"/>
            </a:solidFill>
            <a:ln>
              <a:noFill/>
            </a:ln>
            <a:effectLst/>
          </c:spPr>
          <c:invertIfNegative val="0"/>
          <c:cat>
            <c:strRef>
              <c:f>'article tables'!$G$69:$G$78</c:f>
              <c:strCache>
                <c:ptCount val="10"/>
                <c:pt idx="0">
                  <c:v>Sangareddy</c:v>
                </c:pt>
                <c:pt idx="1">
                  <c:v>Kamareddy</c:v>
                </c:pt>
                <c:pt idx="2">
                  <c:v>Adilabad</c:v>
                </c:pt>
                <c:pt idx="3">
                  <c:v>Nizamabad</c:v>
                </c:pt>
                <c:pt idx="4">
                  <c:v>Nirmal</c:v>
                </c:pt>
                <c:pt idx="5">
                  <c:v>Medak</c:v>
                </c:pt>
                <c:pt idx="6">
                  <c:v>Vikarabad</c:v>
                </c:pt>
                <c:pt idx="7">
                  <c:v>Jogulamba</c:v>
                </c:pt>
                <c:pt idx="8">
                  <c:v>Mahabubnagar</c:v>
                </c:pt>
                <c:pt idx="9">
                  <c:v>Jagtial</c:v>
                </c:pt>
              </c:strCache>
            </c:strRef>
          </c:cat>
          <c:val>
            <c:numRef>
              <c:f>'article tables'!$H$69:$H$78</c:f>
              <c:numCache>
                <c:formatCode>General</c:formatCode>
                <c:ptCount val="10"/>
                <c:pt idx="0">
                  <c:v>24031</c:v>
                </c:pt>
                <c:pt idx="1">
                  <c:v>15663</c:v>
                </c:pt>
                <c:pt idx="2">
                  <c:v>30149</c:v>
                </c:pt>
                <c:pt idx="3">
                  <c:v>4390</c:v>
                </c:pt>
                <c:pt idx="4">
                  <c:v>6561</c:v>
                </c:pt>
                <c:pt idx="5">
                  <c:v>3600</c:v>
                </c:pt>
                <c:pt idx="6">
                  <c:v>5049</c:v>
                </c:pt>
                <c:pt idx="7">
                  <c:v>3637</c:v>
                </c:pt>
                <c:pt idx="8">
                  <c:v>5439</c:v>
                </c:pt>
                <c:pt idx="9">
                  <c:v>1080</c:v>
                </c:pt>
              </c:numCache>
            </c:numRef>
          </c:val>
          <c:extLst>
            <c:ext xmlns:c16="http://schemas.microsoft.com/office/drawing/2014/chart" uri="{C3380CC4-5D6E-409C-BE32-E72D297353CC}">
              <c16:uniqueId val="{00000000-1D38-4500-AFBB-AB525C54896D}"/>
            </c:ext>
          </c:extLst>
        </c:ser>
        <c:ser>
          <c:idx val="1"/>
          <c:order val="1"/>
          <c:tx>
            <c:strRef>
              <c:f>'article tables'!$I$68</c:f>
              <c:strCache>
                <c:ptCount val="1"/>
                <c:pt idx="0">
                  <c:v>Yield (kg/ha)</c:v>
                </c:pt>
              </c:strCache>
            </c:strRef>
          </c:tx>
          <c:spPr>
            <a:solidFill>
              <a:schemeClr val="accent4"/>
            </a:solidFill>
            <a:ln>
              <a:noFill/>
            </a:ln>
            <a:effectLst/>
          </c:spPr>
          <c:invertIfNegative val="0"/>
          <c:cat>
            <c:strRef>
              <c:f>'article tables'!$G$69:$G$78</c:f>
              <c:strCache>
                <c:ptCount val="10"/>
                <c:pt idx="0">
                  <c:v>Sangareddy</c:v>
                </c:pt>
                <c:pt idx="1">
                  <c:v>Kamareddy</c:v>
                </c:pt>
                <c:pt idx="2">
                  <c:v>Adilabad</c:v>
                </c:pt>
                <c:pt idx="3">
                  <c:v>Nizamabad</c:v>
                </c:pt>
                <c:pt idx="4">
                  <c:v>Nirmal</c:v>
                </c:pt>
                <c:pt idx="5">
                  <c:v>Medak</c:v>
                </c:pt>
                <c:pt idx="6">
                  <c:v>Vikarabad</c:v>
                </c:pt>
                <c:pt idx="7">
                  <c:v>Jogulamba</c:v>
                </c:pt>
                <c:pt idx="8">
                  <c:v>Mahabubnagar</c:v>
                </c:pt>
                <c:pt idx="9">
                  <c:v>Jagtial</c:v>
                </c:pt>
              </c:strCache>
            </c:strRef>
          </c:cat>
          <c:val>
            <c:numRef>
              <c:f>'article tables'!$I$69:$I$78</c:f>
              <c:numCache>
                <c:formatCode>General</c:formatCode>
                <c:ptCount val="10"/>
                <c:pt idx="0">
                  <c:v>3054.5961466439185</c:v>
                </c:pt>
                <c:pt idx="1">
                  <c:v>3623.1884057971015</c:v>
                </c:pt>
                <c:pt idx="2">
                  <c:v>1674.3175561378487</c:v>
                </c:pt>
                <c:pt idx="3">
                  <c:v>3411.6173120728931</c:v>
                </c:pt>
                <c:pt idx="4">
                  <c:v>1728.3950617283951</c:v>
                </c:pt>
                <c:pt idx="5">
                  <c:v>3081.3888888888887</c:v>
                </c:pt>
                <c:pt idx="6">
                  <c:v>2051.4953456129929</c:v>
                </c:pt>
                <c:pt idx="7">
                  <c:v>1398.9551828430024</c:v>
                </c:pt>
                <c:pt idx="8">
                  <c:v>819.63596249310535</c:v>
                </c:pt>
                <c:pt idx="9">
                  <c:v>3519.4444444444443</c:v>
                </c:pt>
              </c:numCache>
            </c:numRef>
          </c:val>
          <c:extLst>
            <c:ext xmlns:c16="http://schemas.microsoft.com/office/drawing/2014/chart" uri="{C3380CC4-5D6E-409C-BE32-E72D297353CC}">
              <c16:uniqueId val="{00000001-1D38-4500-AFBB-AB525C54896D}"/>
            </c:ext>
          </c:extLst>
        </c:ser>
        <c:ser>
          <c:idx val="2"/>
          <c:order val="2"/>
          <c:tx>
            <c:strRef>
              <c:f>'article tables'!$J$68</c:f>
              <c:strCache>
                <c:ptCount val="1"/>
                <c:pt idx="0">
                  <c:v>Production (t)</c:v>
                </c:pt>
              </c:strCache>
            </c:strRef>
          </c:tx>
          <c:spPr>
            <a:solidFill>
              <a:schemeClr val="accent6"/>
            </a:solidFill>
            <a:ln>
              <a:noFill/>
            </a:ln>
            <a:effectLst/>
          </c:spPr>
          <c:invertIfNegative val="0"/>
          <c:cat>
            <c:strRef>
              <c:f>'article tables'!$G$69:$G$78</c:f>
              <c:strCache>
                <c:ptCount val="10"/>
                <c:pt idx="0">
                  <c:v>Sangareddy</c:v>
                </c:pt>
                <c:pt idx="1">
                  <c:v>Kamareddy</c:v>
                </c:pt>
                <c:pt idx="2">
                  <c:v>Adilabad</c:v>
                </c:pt>
                <c:pt idx="3">
                  <c:v>Nizamabad</c:v>
                </c:pt>
                <c:pt idx="4">
                  <c:v>Nirmal</c:v>
                </c:pt>
                <c:pt idx="5">
                  <c:v>Medak</c:v>
                </c:pt>
                <c:pt idx="6">
                  <c:v>Vikarabad</c:v>
                </c:pt>
                <c:pt idx="7">
                  <c:v>Jogulamba</c:v>
                </c:pt>
                <c:pt idx="8">
                  <c:v>Mahabubnagar</c:v>
                </c:pt>
                <c:pt idx="9">
                  <c:v>Jagtial</c:v>
                </c:pt>
              </c:strCache>
            </c:strRef>
          </c:cat>
          <c:val>
            <c:numRef>
              <c:f>'article tables'!$J$69:$J$78</c:f>
              <c:numCache>
                <c:formatCode>General</c:formatCode>
                <c:ptCount val="10"/>
                <c:pt idx="0">
                  <c:v>73405</c:v>
                </c:pt>
                <c:pt idx="1">
                  <c:v>56750</c:v>
                </c:pt>
                <c:pt idx="2">
                  <c:v>50479</c:v>
                </c:pt>
                <c:pt idx="3">
                  <c:v>14977</c:v>
                </c:pt>
                <c:pt idx="4">
                  <c:v>11340</c:v>
                </c:pt>
                <c:pt idx="5">
                  <c:v>11093</c:v>
                </c:pt>
                <c:pt idx="6">
                  <c:v>10358</c:v>
                </c:pt>
                <c:pt idx="7">
                  <c:v>5088</c:v>
                </c:pt>
                <c:pt idx="8">
                  <c:v>4458</c:v>
                </c:pt>
                <c:pt idx="9">
                  <c:v>3801</c:v>
                </c:pt>
              </c:numCache>
            </c:numRef>
          </c:val>
          <c:extLst>
            <c:ext xmlns:c16="http://schemas.microsoft.com/office/drawing/2014/chart" uri="{C3380CC4-5D6E-409C-BE32-E72D297353CC}">
              <c16:uniqueId val="{00000002-1D38-4500-AFBB-AB525C54896D}"/>
            </c:ext>
          </c:extLst>
        </c:ser>
        <c:dLbls>
          <c:showLegendKey val="0"/>
          <c:showVal val="0"/>
          <c:showCatName val="0"/>
          <c:showSerName val="0"/>
          <c:showPercent val="0"/>
          <c:showBubbleSize val="0"/>
        </c:dLbls>
        <c:gapWidth val="182"/>
        <c:axId val="1223637231"/>
        <c:axId val="1223632655"/>
      </c:barChart>
      <c:catAx>
        <c:axId val="12236372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223632655"/>
        <c:crosses val="autoZero"/>
        <c:auto val="1"/>
        <c:lblAlgn val="ctr"/>
        <c:lblOffset val="100"/>
        <c:noMultiLvlLbl val="0"/>
      </c:catAx>
      <c:valAx>
        <c:axId val="12236326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223637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3175" cap="flat" cmpd="sng" algn="ctr">
      <a:solidFill>
        <a:schemeClr val="tx1"/>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841372855168425"/>
          <c:y val="5.6584362139917695E-2"/>
          <c:w val="0.67193984337522417"/>
          <c:h val="0.3540532549172094"/>
        </c:manualLayout>
      </c:layout>
      <c:lineChart>
        <c:grouping val="standard"/>
        <c:varyColors val="0"/>
        <c:ser>
          <c:idx val="0"/>
          <c:order val="0"/>
          <c:tx>
            <c:strRef>
              <c:f>millet!$B$20</c:f>
              <c:strCache>
                <c:ptCount val="1"/>
                <c:pt idx="0">
                  <c:v>Area (ha)</c:v>
                </c:pt>
              </c:strCache>
            </c:strRef>
          </c:tx>
          <c:spPr>
            <a:ln w="19050" cap="rnd">
              <a:solidFill>
                <a:schemeClr val="accent1"/>
              </a:solidFill>
              <a:round/>
            </a:ln>
            <a:effectLst/>
          </c:spPr>
          <c:marker>
            <c:symbol val="none"/>
          </c:marker>
          <c:trendline>
            <c:spPr>
              <a:ln w="19050" cap="rnd">
                <a:solidFill>
                  <a:schemeClr val="accent1"/>
                </a:solidFill>
                <a:prstDash val="sysDot"/>
              </a:ln>
              <a:effectLst/>
            </c:spPr>
            <c:trendlineType val="poly"/>
            <c:order val="2"/>
            <c:dispRSqr val="0"/>
            <c:dispEq val="0"/>
          </c:trendline>
          <c:cat>
            <c:strRef>
              <c:f>millet!$A$21:$A$36</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millet!$B$21:$B$36</c:f>
              <c:numCache>
                <c:formatCode>General</c:formatCode>
                <c:ptCount val="16"/>
                <c:pt idx="0">
                  <c:v>356881.51642703364</c:v>
                </c:pt>
                <c:pt idx="1">
                  <c:v>450946.12901764474</c:v>
                </c:pt>
                <c:pt idx="2">
                  <c:v>335332.48793427768</c:v>
                </c:pt>
                <c:pt idx="3">
                  <c:v>259225.60811744235</c:v>
                </c:pt>
                <c:pt idx="4">
                  <c:v>248368.1606</c:v>
                </c:pt>
                <c:pt idx="5">
                  <c:v>216882.19143367058</c:v>
                </c:pt>
                <c:pt idx="6">
                  <c:v>159636.14663367055</c:v>
                </c:pt>
                <c:pt idx="7">
                  <c:v>154917.6986</c:v>
                </c:pt>
                <c:pt idx="8">
                  <c:v>181450.15280000001</c:v>
                </c:pt>
                <c:pt idx="9">
                  <c:v>136323.09179999999</c:v>
                </c:pt>
                <c:pt idx="10">
                  <c:v>113454.6952</c:v>
                </c:pt>
                <c:pt idx="11">
                  <c:v>179118.84760000004</c:v>
                </c:pt>
                <c:pt idx="12">
                  <c:v>183155.1372</c:v>
                </c:pt>
                <c:pt idx="13">
                  <c:v>139477</c:v>
                </c:pt>
                <c:pt idx="14">
                  <c:v>135630</c:v>
                </c:pt>
                <c:pt idx="15">
                  <c:v>218649</c:v>
                </c:pt>
              </c:numCache>
            </c:numRef>
          </c:val>
          <c:smooth val="0"/>
          <c:extLst>
            <c:ext xmlns:c16="http://schemas.microsoft.com/office/drawing/2014/chart" uri="{C3380CC4-5D6E-409C-BE32-E72D297353CC}">
              <c16:uniqueId val="{00000001-79DA-435D-8C8B-DFBC1E39B666}"/>
            </c:ext>
          </c:extLst>
        </c:ser>
        <c:ser>
          <c:idx val="1"/>
          <c:order val="1"/>
          <c:tx>
            <c:strRef>
              <c:f>millet!$C$20</c:f>
              <c:strCache>
                <c:ptCount val="1"/>
                <c:pt idx="0">
                  <c:v>Production (t)</c:v>
                </c:pt>
              </c:strCache>
            </c:strRef>
          </c:tx>
          <c:spPr>
            <a:ln w="15875" cap="rnd">
              <a:solidFill>
                <a:schemeClr val="accent2"/>
              </a:solidFill>
              <a:round/>
            </a:ln>
            <a:effectLst/>
          </c:spPr>
          <c:marker>
            <c:symbol val="none"/>
          </c:marker>
          <c:trendline>
            <c:spPr>
              <a:ln w="19050" cap="rnd">
                <a:solidFill>
                  <a:schemeClr val="accent2"/>
                </a:solidFill>
                <a:prstDash val="sysDot"/>
              </a:ln>
              <a:effectLst/>
            </c:spPr>
            <c:trendlineType val="poly"/>
            <c:order val="2"/>
            <c:dispRSqr val="0"/>
            <c:dispEq val="0"/>
          </c:trendline>
          <c:cat>
            <c:strRef>
              <c:f>millet!$A$21:$A$36</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millet!$C$21:$C$36</c:f>
              <c:numCache>
                <c:formatCode>General</c:formatCode>
                <c:ptCount val="16"/>
                <c:pt idx="0">
                  <c:v>398296</c:v>
                </c:pt>
                <c:pt idx="1">
                  <c:v>395766</c:v>
                </c:pt>
                <c:pt idx="2">
                  <c:v>306843</c:v>
                </c:pt>
                <c:pt idx="3">
                  <c:v>291271</c:v>
                </c:pt>
                <c:pt idx="4">
                  <c:v>272249</c:v>
                </c:pt>
                <c:pt idx="5">
                  <c:v>220956</c:v>
                </c:pt>
                <c:pt idx="6">
                  <c:v>168367</c:v>
                </c:pt>
                <c:pt idx="7">
                  <c:v>152990</c:v>
                </c:pt>
                <c:pt idx="8">
                  <c:v>177514</c:v>
                </c:pt>
                <c:pt idx="9">
                  <c:v>148827</c:v>
                </c:pt>
                <c:pt idx="10">
                  <c:v>136327</c:v>
                </c:pt>
                <c:pt idx="11">
                  <c:v>271969</c:v>
                </c:pt>
                <c:pt idx="12">
                  <c:v>313028</c:v>
                </c:pt>
                <c:pt idx="13">
                  <c:v>235182</c:v>
                </c:pt>
                <c:pt idx="14">
                  <c:v>238235</c:v>
                </c:pt>
                <c:pt idx="15">
                  <c:v>478252</c:v>
                </c:pt>
              </c:numCache>
            </c:numRef>
          </c:val>
          <c:smooth val="0"/>
          <c:extLst>
            <c:ext xmlns:c16="http://schemas.microsoft.com/office/drawing/2014/chart" uri="{C3380CC4-5D6E-409C-BE32-E72D297353CC}">
              <c16:uniqueId val="{00000003-79DA-435D-8C8B-DFBC1E39B666}"/>
            </c:ext>
          </c:extLst>
        </c:ser>
        <c:dLbls>
          <c:showLegendKey val="0"/>
          <c:showVal val="0"/>
          <c:showCatName val="0"/>
          <c:showSerName val="0"/>
          <c:showPercent val="0"/>
          <c:showBubbleSize val="0"/>
        </c:dLbls>
        <c:marker val="1"/>
        <c:smooth val="0"/>
        <c:axId val="1888793407"/>
        <c:axId val="1888806719"/>
      </c:lineChart>
      <c:lineChart>
        <c:grouping val="standard"/>
        <c:varyColors val="0"/>
        <c:ser>
          <c:idx val="2"/>
          <c:order val="2"/>
          <c:tx>
            <c:strRef>
              <c:f>millet!$D$20</c:f>
              <c:strCache>
                <c:ptCount val="1"/>
                <c:pt idx="0">
                  <c:v>Yield (Kg/ha)</c:v>
                </c:pt>
              </c:strCache>
            </c:strRef>
          </c:tx>
          <c:spPr>
            <a:ln w="22225" cap="rnd">
              <a:solidFill>
                <a:schemeClr val="accent6">
                  <a:lumMod val="75000"/>
                </a:schemeClr>
              </a:solidFill>
              <a:round/>
            </a:ln>
            <a:effectLst/>
          </c:spPr>
          <c:marker>
            <c:symbol val="none"/>
          </c:marker>
          <c:trendline>
            <c:spPr>
              <a:ln w="19050" cap="rnd">
                <a:solidFill>
                  <a:schemeClr val="accent3"/>
                </a:solidFill>
                <a:prstDash val="sysDot"/>
              </a:ln>
              <a:effectLst/>
            </c:spPr>
            <c:trendlineType val="poly"/>
            <c:order val="2"/>
            <c:dispRSqr val="0"/>
            <c:dispEq val="0"/>
          </c:trendline>
          <c:cat>
            <c:strRef>
              <c:f>millet!$A$21:$A$36</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millet!$D$21:$D$36</c:f>
              <c:numCache>
                <c:formatCode>General</c:formatCode>
                <c:ptCount val="16"/>
                <c:pt idx="0">
                  <c:v>1116.045470742203</c:v>
                </c:pt>
                <c:pt idx="1">
                  <c:v>877.63476507082817</c:v>
                </c:pt>
                <c:pt idx="2">
                  <c:v>915.04107427890676</c:v>
                </c:pt>
                <c:pt idx="3">
                  <c:v>1123.6196999026404</c:v>
                </c:pt>
                <c:pt idx="4">
                  <c:v>1096.1509693606033</c:v>
                </c:pt>
                <c:pt idx="5">
                  <c:v>1018.7835088690318</c:v>
                </c:pt>
                <c:pt idx="6">
                  <c:v>1054.6922081899459</c:v>
                </c:pt>
                <c:pt idx="7">
                  <c:v>987.55662769702417</c:v>
                </c:pt>
                <c:pt idx="8">
                  <c:v>978.30725001186102</c:v>
                </c:pt>
                <c:pt idx="9">
                  <c:v>1091.722598386666</c:v>
                </c:pt>
                <c:pt idx="10">
                  <c:v>1201.5985743003432</c:v>
                </c:pt>
                <c:pt idx="11">
                  <c:v>1518.3717606722696</c:v>
                </c:pt>
                <c:pt idx="12">
                  <c:v>1709.086650723767</c:v>
                </c:pt>
                <c:pt idx="13">
                  <c:v>1686.1704797206708</c:v>
                </c:pt>
                <c:pt idx="14">
                  <c:v>1756.5066725650668</c:v>
                </c:pt>
                <c:pt idx="15">
                  <c:v>2187.3047670009923</c:v>
                </c:pt>
              </c:numCache>
            </c:numRef>
          </c:val>
          <c:smooth val="0"/>
          <c:extLst>
            <c:ext xmlns:c16="http://schemas.microsoft.com/office/drawing/2014/chart" uri="{C3380CC4-5D6E-409C-BE32-E72D297353CC}">
              <c16:uniqueId val="{00000005-79DA-435D-8C8B-DFBC1E39B666}"/>
            </c:ext>
          </c:extLst>
        </c:ser>
        <c:dLbls>
          <c:showLegendKey val="0"/>
          <c:showVal val="0"/>
          <c:showCatName val="0"/>
          <c:showSerName val="0"/>
          <c:showPercent val="0"/>
          <c:showBubbleSize val="0"/>
        </c:dLbls>
        <c:marker val="1"/>
        <c:smooth val="0"/>
        <c:axId val="1997603391"/>
        <c:axId val="1997620863"/>
      </c:lineChart>
      <c:catAx>
        <c:axId val="188879340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a:t>Year</a:t>
                </a:r>
              </a:p>
            </c:rich>
          </c:tx>
          <c:layout>
            <c:manualLayout>
              <c:xMode val="edge"/>
              <c:yMode val="edge"/>
              <c:x val="0.44175695461200593"/>
              <c:y val="0.6181571140816700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88806719"/>
        <c:crosses val="autoZero"/>
        <c:auto val="1"/>
        <c:lblAlgn val="ctr"/>
        <c:lblOffset val="100"/>
        <c:noMultiLvlLbl val="0"/>
      </c:catAx>
      <c:valAx>
        <c:axId val="18888067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a:t>Area and production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88793407"/>
        <c:crosses val="autoZero"/>
        <c:crossBetween val="between"/>
      </c:valAx>
      <c:valAx>
        <c:axId val="1997620863"/>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a:t>Yield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97603391"/>
        <c:crosses val="max"/>
        <c:crossBetween val="between"/>
      </c:valAx>
      <c:catAx>
        <c:axId val="1997603391"/>
        <c:scaling>
          <c:orientation val="minMax"/>
        </c:scaling>
        <c:delete val="1"/>
        <c:axPos val="b"/>
        <c:numFmt formatCode="General" sourceLinked="1"/>
        <c:majorTickMark val="out"/>
        <c:minorTickMark val="none"/>
        <c:tickLblPos val="nextTo"/>
        <c:crossAx val="199762086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3175" cap="flat" cmpd="sng" algn="ctr">
      <a:solidFill>
        <a:sysClr val="windowText" lastClr="000000"/>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247917923448889"/>
          <c:y val="5.0539857569492301E-2"/>
          <c:w val="0.67365517666456076"/>
          <c:h val="0.38578130606586714"/>
        </c:manualLayout>
      </c:layout>
      <c:lineChart>
        <c:grouping val="standard"/>
        <c:varyColors val="0"/>
        <c:ser>
          <c:idx val="0"/>
          <c:order val="0"/>
          <c:tx>
            <c:strRef>
              <c:f>SORGHUM!$B$1</c:f>
              <c:strCache>
                <c:ptCount val="1"/>
                <c:pt idx="0">
                  <c:v>Area (ha)</c:v>
                </c:pt>
              </c:strCache>
            </c:strRef>
          </c:tx>
          <c:spPr>
            <a:ln w="19050" cap="rnd">
              <a:solidFill>
                <a:schemeClr val="accent1"/>
              </a:solidFill>
              <a:round/>
            </a:ln>
            <a:effectLst/>
          </c:spPr>
          <c:marker>
            <c:symbol val="none"/>
          </c:marker>
          <c:trendline>
            <c:spPr>
              <a:ln w="19050" cap="rnd">
                <a:solidFill>
                  <a:schemeClr val="accent1"/>
                </a:solidFill>
                <a:prstDash val="sysDot"/>
              </a:ln>
              <a:effectLst/>
            </c:spPr>
            <c:trendlineType val="poly"/>
            <c:order val="2"/>
            <c:dispRSqr val="0"/>
            <c:dispEq val="0"/>
          </c:trendline>
          <c:cat>
            <c:strRef>
              <c:f>SORGHUM!$A$2:$A$17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SORGHUM!$B$2:$B$17</c:f>
              <c:numCache>
                <c:formatCode>General</c:formatCode>
                <c:ptCount val="16"/>
                <c:pt idx="0">
                  <c:v>176219.07940000002</c:v>
                </c:pt>
                <c:pt idx="1">
                  <c:v>224257.23740000001</c:v>
                </c:pt>
                <c:pt idx="2">
                  <c:v>166082.63560000001</c:v>
                </c:pt>
                <c:pt idx="3">
                  <c:v>128415.58940000001</c:v>
                </c:pt>
                <c:pt idx="4">
                  <c:v>122681.59820000001</c:v>
                </c:pt>
                <c:pt idx="5">
                  <c:v>107142.5306</c:v>
                </c:pt>
                <c:pt idx="6">
                  <c:v>78981.966</c:v>
                </c:pt>
                <c:pt idx="7">
                  <c:v>76344.378599999996</c:v>
                </c:pt>
                <c:pt idx="8">
                  <c:v>89732.188000000009</c:v>
                </c:pt>
                <c:pt idx="9">
                  <c:v>67291.048999999999</c:v>
                </c:pt>
                <c:pt idx="10">
                  <c:v>56062.589800000002</c:v>
                </c:pt>
                <c:pt idx="11">
                  <c:v>88193.89880000001</c:v>
                </c:pt>
                <c:pt idx="12">
                  <c:v>90637.278200000001</c:v>
                </c:pt>
                <c:pt idx="13">
                  <c:v>68895</c:v>
                </c:pt>
                <c:pt idx="14">
                  <c:v>67247</c:v>
                </c:pt>
                <c:pt idx="15">
                  <c:v>109049</c:v>
                </c:pt>
              </c:numCache>
            </c:numRef>
          </c:val>
          <c:smooth val="0"/>
          <c:extLst>
            <c:ext xmlns:c16="http://schemas.microsoft.com/office/drawing/2014/chart" uri="{C3380CC4-5D6E-409C-BE32-E72D297353CC}">
              <c16:uniqueId val="{00000001-9EA6-46A2-BBD8-E87C24DC84A4}"/>
            </c:ext>
          </c:extLst>
        </c:ser>
        <c:ser>
          <c:idx val="2"/>
          <c:order val="2"/>
          <c:tx>
            <c:strRef>
              <c:f>SORGHUM!$D$1</c:f>
              <c:strCache>
                <c:ptCount val="1"/>
                <c:pt idx="0">
                  <c:v>Production (t)</c:v>
                </c:pt>
              </c:strCache>
            </c:strRef>
          </c:tx>
          <c:spPr>
            <a:ln w="22225" cap="rnd">
              <a:solidFill>
                <a:schemeClr val="accent6">
                  <a:lumMod val="75000"/>
                </a:schemeClr>
              </a:solidFill>
              <a:round/>
            </a:ln>
            <a:effectLst/>
          </c:spPr>
          <c:marker>
            <c:symbol val="none"/>
          </c:marker>
          <c:trendline>
            <c:spPr>
              <a:ln w="19050" cap="rnd">
                <a:solidFill>
                  <a:schemeClr val="accent3"/>
                </a:solidFill>
                <a:prstDash val="sysDot"/>
              </a:ln>
              <a:effectLst/>
            </c:spPr>
            <c:trendlineType val="poly"/>
            <c:order val="2"/>
            <c:dispRSqr val="0"/>
            <c:dispEq val="0"/>
          </c:trendline>
          <c:cat>
            <c:strRef>
              <c:f>SORGHUM!$A$2:$A$17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SORGHUM!$D$2:$D$17</c:f>
              <c:numCache>
                <c:formatCode>General</c:formatCode>
                <c:ptCount val="16"/>
                <c:pt idx="0">
                  <c:v>195962</c:v>
                </c:pt>
                <c:pt idx="1">
                  <c:v>196715</c:v>
                </c:pt>
                <c:pt idx="2">
                  <c:v>151620</c:v>
                </c:pt>
                <c:pt idx="3">
                  <c:v>144171</c:v>
                </c:pt>
                <c:pt idx="4">
                  <c:v>134254</c:v>
                </c:pt>
                <c:pt idx="5">
                  <c:v>108885</c:v>
                </c:pt>
                <c:pt idx="6">
                  <c:v>83267</c:v>
                </c:pt>
                <c:pt idx="7">
                  <c:v>75703</c:v>
                </c:pt>
                <c:pt idx="8">
                  <c:v>87701</c:v>
                </c:pt>
                <c:pt idx="9">
                  <c:v>73395</c:v>
                </c:pt>
                <c:pt idx="10">
                  <c:v>67511</c:v>
                </c:pt>
                <c:pt idx="11">
                  <c:v>133756</c:v>
                </c:pt>
                <c:pt idx="12">
                  <c:v>155498</c:v>
                </c:pt>
                <c:pt idx="13">
                  <c:v>116359</c:v>
                </c:pt>
                <c:pt idx="14">
                  <c:v>118465</c:v>
                </c:pt>
                <c:pt idx="15">
                  <c:v>238879</c:v>
                </c:pt>
              </c:numCache>
            </c:numRef>
          </c:val>
          <c:smooth val="0"/>
          <c:extLst>
            <c:ext xmlns:c16="http://schemas.microsoft.com/office/drawing/2014/chart" uri="{C3380CC4-5D6E-409C-BE32-E72D297353CC}">
              <c16:uniqueId val="{00000003-9EA6-46A2-BBD8-E87C24DC84A4}"/>
            </c:ext>
          </c:extLst>
        </c:ser>
        <c:dLbls>
          <c:showLegendKey val="0"/>
          <c:showVal val="0"/>
          <c:showCatName val="0"/>
          <c:showSerName val="0"/>
          <c:showPercent val="0"/>
          <c:showBubbleSize val="0"/>
        </c:dLbls>
        <c:marker val="1"/>
        <c:smooth val="0"/>
        <c:axId val="1888793407"/>
        <c:axId val="1888806719"/>
      </c:lineChart>
      <c:lineChart>
        <c:grouping val="standard"/>
        <c:varyColors val="0"/>
        <c:ser>
          <c:idx val="1"/>
          <c:order val="1"/>
          <c:tx>
            <c:strRef>
              <c:f>SORGHUM!$C$1</c:f>
              <c:strCache>
                <c:ptCount val="1"/>
                <c:pt idx="0">
                  <c:v>Yield (Kg/ha)</c:v>
                </c:pt>
              </c:strCache>
            </c:strRef>
          </c:tx>
          <c:spPr>
            <a:ln w="15875" cap="rnd">
              <a:solidFill>
                <a:schemeClr val="accent2"/>
              </a:solidFill>
              <a:round/>
            </a:ln>
            <a:effectLst/>
          </c:spPr>
          <c:marker>
            <c:symbol val="none"/>
          </c:marker>
          <c:trendline>
            <c:spPr>
              <a:ln w="19050" cap="rnd">
                <a:solidFill>
                  <a:schemeClr val="accent2"/>
                </a:solidFill>
                <a:prstDash val="sysDot"/>
              </a:ln>
              <a:effectLst/>
            </c:spPr>
            <c:trendlineType val="poly"/>
            <c:order val="2"/>
            <c:dispRSqr val="0"/>
            <c:dispEq val="0"/>
          </c:trendline>
          <c:cat>
            <c:strRef>
              <c:f>SORGHUM!$A$2:$A$17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SORGHUM!$C$2:$C$17</c:f>
              <c:numCache>
                <c:formatCode>General</c:formatCode>
                <c:ptCount val="16"/>
                <c:pt idx="0">
                  <c:v>1112.0362259706594</c:v>
                </c:pt>
                <c:pt idx="1">
                  <c:v>877.18462191312085</c:v>
                </c:pt>
                <c:pt idx="2">
                  <c:v>912.91903847893889</c:v>
                </c:pt>
                <c:pt idx="3">
                  <c:v>1122.6907938017064</c:v>
                </c:pt>
                <c:pt idx="4">
                  <c:v>1094.3287499493954</c:v>
                </c:pt>
                <c:pt idx="5">
                  <c:v>1016.263097298917</c:v>
                </c:pt>
                <c:pt idx="6">
                  <c:v>1054.2533215746996</c:v>
                </c:pt>
                <c:pt idx="7">
                  <c:v>991.598875886325</c:v>
                </c:pt>
                <c:pt idx="8">
                  <c:v>977.36388641275516</c:v>
                </c:pt>
                <c:pt idx="9">
                  <c:v>1090.7097019694254</c:v>
                </c:pt>
                <c:pt idx="10">
                  <c:v>1204.207658633708</c:v>
                </c:pt>
                <c:pt idx="11">
                  <c:v>1516.6128475998385</c:v>
                </c:pt>
                <c:pt idx="12">
                  <c:v>1715.6075633347957</c:v>
                </c:pt>
                <c:pt idx="13">
                  <c:v>1688.932433413165</c:v>
                </c:pt>
                <c:pt idx="14">
                  <c:v>1761.6399244575966</c:v>
                </c:pt>
                <c:pt idx="15">
                  <c:v>2190.5657089932047</c:v>
                </c:pt>
              </c:numCache>
            </c:numRef>
          </c:val>
          <c:smooth val="0"/>
          <c:extLst>
            <c:ext xmlns:c16="http://schemas.microsoft.com/office/drawing/2014/chart" uri="{C3380CC4-5D6E-409C-BE32-E72D297353CC}">
              <c16:uniqueId val="{00000005-9EA6-46A2-BBD8-E87C24DC84A4}"/>
            </c:ext>
          </c:extLst>
        </c:ser>
        <c:dLbls>
          <c:showLegendKey val="0"/>
          <c:showVal val="0"/>
          <c:showCatName val="0"/>
          <c:showSerName val="0"/>
          <c:showPercent val="0"/>
          <c:showBubbleSize val="0"/>
        </c:dLbls>
        <c:marker val="1"/>
        <c:smooth val="0"/>
        <c:axId val="390296496"/>
        <c:axId val="390295248"/>
      </c:lineChart>
      <c:catAx>
        <c:axId val="188879340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8806719"/>
        <c:crosses val="autoZero"/>
        <c:auto val="1"/>
        <c:lblAlgn val="ctr"/>
        <c:lblOffset val="100"/>
        <c:noMultiLvlLbl val="0"/>
      </c:catAx>
      <c:valAx>
        <c:axId val="18888067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Area and production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8793407"/>
        <c:crosses val="autoZero"/>
        <c:crossBetween val="between"/>
      </c:valAx>
      <c:valAx>
        <c:axId val="390295248"/>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Yield</a:t>
                </a:r>
              </a:p>
            </c:rich>
          </c:tx>
          <c:layout>
            <c:manualLayout>
              <c:xMode val="edge"/>
              <c:yMode val="edge"/>
              <c:x val="0.93036111111111108"/>
              <c:y val="0.1270647419072615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90296496"/>
        <c:crosses val="max"/>
        <c:crossBetween val="between"/>
      </c:valAx>
      <c:catAx>
        <c:axId val="390296496"/>
        <c:scaling>
          <c:orientation val="minMax"/>
        </c:scaling>
        <c:delete val="1"/>
        <c:axPos val="b"/>
        <c:numFmt formatCode="General" sourceLinked="1"/>
        <c:majorTickMark val="out"/>
        <c:minorTickMark val="none"/>
        <c:tickLblPos val="nextTo"/>
        <c:crossAx val="3902952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3175" cap="flat" cmpd="sng" algn="ctr">
      <a:solidFill>
        <a:sysClr val="windowText" lastClr="000000"/>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BAJRA!$B$1</c:f>
              <c:strCache>
                <c:ptCount val="1"/>
                <c:pt idx="0">
                  <c:v>Area (ha)</c:v>
                </c:pt>
              </c:strCache>
            </c:strRef>
          </c:tx>
          <c:spPr>
            <a:ln w="19050" cap="rnd">
              <a:solidFill>
                <a:schemeClr val="accent1"/>
              </a:solidFill>
              <a:round/>
            </a:ln>
            <a:effectLst/>
          </c:spPr>
          <c:marker>
            <c:symbol val="none"/>
          </c:marker>
          <c:trendline>
            <c:spPr>
              <a:ln w="19050" cap="rnd">
                <a:solidFill>
                  <a:schemeClr val="accent1"/>
                </a:solidFill>
                <a:prstDash val="sysDot"/>
              </a:ln>
              <a:effectLst/>
            </c:spPr>
            <c:trendlineType val="poly"/>
            <c:order val="2"/>
            <c:dispRSqr val="0"/>
            <c:dispEq val="0"/>
          </c:trendline>
          <c:cat>
            <c:strRef>
              <c:f>BAJRA!$A$2:$A$17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BAJRA!$B$2:$B$17</c:f>
              <c:numCache>
                <c:formatCode>0</c:formatCode>
                <c:ptCount val="16"/>
                <c:pt idx="0">
                  <c:v>21848.804599999999</c:v>
                </c:pt>
                <c:pt idx="1">
                  <c:v>16739.920399999999</c:v>
                </c:pt>
                <c:pt idx="2">
                  <c:v>19110.067200000001</c:v>
                </c:pt>
                <c:pt idx="3">
                  <c:v>11340.5334</c:v>
                </c:pt>
                <c:pt idx="4">
                  <c:v>9816.4052000000011</c:v>
                </c:pt>
                <c:pt idx="5">
                  <c:v>13215.0452</c:v>
                </c:pt>
                <c:pt idx="6">
                  <c:v>11214.702800000001</c:v>
                </c:pt>
                <c:pt idx="7">
                  <c:v>5899.4726000000001</c:v>
                </c:pt>
                <c:pt idx="8">
                  <c:v>16693.3914</c:v>
                </c:pt>
                <c:pt idx="9">
                  <c:v>8758.3762000000006</c:v>
                </c:pt>
                <c:pt idx="10">
                  <c:v>7975.4751999999999</c:v>
                </c:pt>
                <c:pt idx="11">
                  <c:v>9069.9182000000001</c:v>
                </c:pt>
                <c:pt idx="12">
                  <c:v>10017.491400000001</c:v>
                </c:pt>
                <c:pt idx="13">
                  <c:v>4455</c:v>
                </c:pt>
                <c:pt idx="14">
                  <c:v>3127</c:v>
                </c:pt>
                <c:pt idx="15">
                  <c:v>5301</c:v>
                </c:pt>
              </c:numCache>
            </c:numRef>
          </c:val>
          <c:smooth val="0"/>
          <c:extLst>
            <c:ext xmlns:c16="http://schemas.microsoft.com/office/drawing/2014/chart" uri="{C3380CC4-5D6E-409C-BE32-E72D297353CC}">
              <c16:uniqueId val="{00000001-E7AD-4D6B-B869-EBC260B4C25E}"/>
            </c:ext>
          </c:extLst>
        </c:ser>
        <c:ser>
          <c:idx val="1"/>
          <c:order val="1"/>
          <c:tx>
            <c:strRef>
              <c:f>BAJRA!$D$1</c:f>
              <c:strCache>
                <c:ptCount val="1"/>
                <c:pt idx="0">
                  <c:v>Production (t)</c:v>
                </c:pt>
              </c:strCache>
            </c:strRef>
          </c:tx>
          <c:spPr>
            <a:ln w="15875" cap="rnd">
              <a:solidFill>
                <a:schemeClr val="accent2"/>
              </a:solidFill>
              <a:round/>
            </a:ln>
            <a:effectLst/>
          </c:spPr>
          <c:marker>
            <c:symbol val="none"/>
          </c:marker>
          <c:trendline>
            <c:spPr>
              <a:ln w="19050" cap="rnd">
                <a:solidFill>
                  <a:schemeClr val="accent2"/>
                </a:solidFill>
                <a:prstDash val="sysDot"/>
              </a:ln>
              <a:effectLst/>
            </c:spPr>
            <c:trendlineType val="poly"/>
            <c:order val="2"/>
            <c:dispRSqr val="0"/>
            <c:dispEq val="0"/>
          </c:trendline>
          <c:cat>
            <c:strRef>
              <c:f>BAJRA!$A$2:$A$17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BAJRA!$D$2:$D$17</c:f>
              <c:numCache>
                <c:formatCode>0</c:formatCode>
                <c:ptCount val="16"/>
                <c:pt idx="0">
                  <c:v>13853</c:v>
                </c:pt>
                <c:pt idx="1">
                  <c:v>8106</c:v>
                </c:pt>
                <c:pt idx="2">
                  <c:v>13856</c:v>
                </c:pt>
                <c:pt idx="3">
                  <c:v>7100</c:v>
                </c:pt>
                <c:pt idx="4">
                  <c:v>12110</c:v>
                </c:pt>
                <c:pt idx="5">
                  <c:v>12452</c:v>
                </c:pt>
                <c:pt idx="6">
                  <c:v>10510</c:v>
                </c:pt>
                <c:pt idx="7">
                  <c:v>5534</c:v>
                </c:pt>
                <c:pt idx="8">
                  <c:v>14514</c:v>
                </c:pt>
                <c:pt idx="9">
                  <c:v>9259</c:v>
                </c:pt>
                <c:pt idx="10">
                  <c:v>3964</c:v>
                </c:pt>
                <c:pt idx="11">
                  <c:v>10723</c:v>
                </c:pt>
                <c:pt idx="12">
                  <c:v>9309</c:v>
                </c:pt>
                <c:pt idx="13">
                  <c:v>4554</c:v>
                </c:pt>
                <c:pt idx="14">
                  <c:v>9232</c:v>
                </c:pt>
                <c:pt idx="15">
                  <c:v>18229</c:v>
                </c:pt>
              </c:numCache>
            </c:numRef>
          </c:val>
          <c:smooth val="0"/>
          <c:extLst>
            <c:ext xmlns:c16="http://schemas.microsoft.com/office/drawing/2014/chart" uri="{C3380CC4-5D6E-409C-BE32-E72D297353CC}">
              <c16:uniqueId val="{00000003-E7AD-4D6B-B869-EBC260B4C25E}"/>
            </c:ext>
          </c:extLst>
        </c:ser>
        <c:dLbls>
          <c:showLegendKey val="0"/>
          <c:showVal val="0"/>
          <c:showCatName val="0"/>
          <c:showSerName val="0"/>
          <c:showPercent val="0"/>
          <c:showBubbleSize val="0"/>
        </c:dLbls>
        <c:marker val="1"/>
        <c:smooth val="0"/>
        <c:axId val="1888793407"/>
        <c:axId val="1888806719"/>
      </c:lineChart>
      <c:lineChart>
        <c:grouping val="standard"/>
        <c:varyColors val="0"/>
        <c:ser>
          <c:idx val="2"/>
          <c:order val="2"/>
          <c:tx>
            <c:strRef>
              <c:f>BAJRA!$C$1</c:f>
              <c:strCache>
                <c:ptCount val="1"/>
                <c:pt idx="0">
                  <c:v>Yield (Kg/ha)</c:v>
                </c:pt>
              </c:strCache>
            </c:strRef>
          </c:tx>
          <c:spPr>
            <a:ln w="22225" cap="rnd">
              <a:solidFill>
                <a:schemeClr val="accent6">
                  <a:lumMod val="75000"/>
                </a:schemeClr>
              </a:solidFill>
              <a:round/>
            </a:ln>
            <a:effectLst/>
          </c:spPr>
          <c:marker>
            <c:symbol val="none"/>
          </c:marker>
          <c:trendline>
            <c:spPr>
              <a:ln w="19050" cap="rnd">
                <a:solidFill>
                  <a:schemeClr val="accent3"/>
                </a:solidFill>
                <a:prstDash val="sysDot"/>
              </a:ln>
              <a:effectLst/>
            </c:spPr>
            <c:trendlineType val="poly"/>
            <c:order val="2"/>
            <c:dispRSqr val="0"/>
            <c:dispEq val="0"/>
          </c:trendline>
          <c:cat>
            <c:strRef>
              <c:f>BAJRA!$A$2:$A$17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BAJRA!$C$2:$C$17</c:f>
              <c:numCache>
                <c:formatCode>0</c:formatCode>
                <c:ptCount val="16"/>
                <c:pt idx="0">
                  <c:v>634.0392645554623</c:v>
                </c:pt>
                <c:pt idx="1">
                  <c:v>484.2316932403096</c:v>
                </c:pt>
                <c:pt idx="2">
                  <c:v>725.06286110809697</c:v>
                </c:pt>
                <c:pt idx="3">
                  <c:v>626.07284415740094</c:v>
                </c:pt>
                <c:pt idx="4">
                  <c:v>1233.649157025425</c:v>
                </c:pt>
                <c:pt idx="5">
                  <c:v>942.259357538936</c:v>
                </c:pt>
                <c:pt idx="6">
                  <c:v>937.16259694371922</c:v>
                </c:pt>
                <c:pt idx="7">
                  <c:v>938.04995382129584</c:v>
                </c:pt>
                <c:pt idx="8">
                  <c:v>869.44585747866665</c:v>
                </c:pt>
                <c:pt idx="9">
                  <c:v>1057.1594309913291</c:v>
                </c:pt>
                <c:pt idx="10">
                  <c:v>497.02367578047262</c:v>
                </c:pt>
                <c:pt idx="11">
                  <c:v>1182.2598355958712</c:v>
                </c:pt>
                <c:pt idx="12">
                  <c:v>929.27456868093736</c:v>
                </c:pt>
                <c:pt idx="13">
                  <c:v>1022</c:v>
                </c:pt>
                <c:pt idx="14">
                  <c:v>2952</c:v>
                </c:pt>
                <c:pt idx="15">
                  <c:v>3439</c:v>
                </c:pt>
              </c:numCache>
            </c:numRef>
          </c:val>
          <c:smooth val="0"/>
          <c:extLst>
            <c:ext xmlns:c16="http://schemas.microsoft.com/office/drawing/2014/chart" uri="{C3380CC4-5D6E-409C-BE32-E72D297353CC}">
              <c16:uniqueId val="{00000005-E7AD-4D6B-B869-EBC260B4C25E}"/>
            </c:ext>
          </c:extLst>
        </c:ser>
        <c:dLbls>
          <c:showLegendKey val="0"/>
          <c:showVal val="0"/>
          <c:showCatName val="0"/>
          <c:showSerName val="0"/>
          <c:showPercent val="0"/>
          <c:showBubbleSize val="0"/>
        </c:dLbls>
        <c:marker val="1"/>
        <c:smooth val="0"/>
        <c:axId val="1997603391"/>
        <c:axId val="1997620863"/>
      </c:lineChart>
      <c:catAx>
        <c:axId val="188879340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8806719"/>
        <c:crosses val="autoZero"/>
        <c:auto val="1"/>
        <c:lblAlgn val="ctr"/>
        <c:lblOffset val="100"/>
        <c:noMultiLvlLbl val="0"/>
      </c:catAx>
      <c:valAx>
        <c:axId val="18888067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Area and production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8793407"/>
        <c:crosses val="autoZero"/>
        <c:crossBetween val="between"/>
      </c:valAx>
      <c:valAx>
        <c:axId val="1997620863"/>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Yield</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97603391"/>
        <c:crosses val="max"/>
        <c:crossBetween val="between"/>
      </c:valAx>
      <c:catAx>
        <c:axId val="1997603391"/>
        <c:scaling>
          <c:orientation val="minMax"/>
        </c:scaling>
        <c:delete val="1"/>
        <c:axPos val="b"/>
        <c:numFmt formatCode="General" sourceLinked="1"/>
        <c:majorTickMark val="out"/>
        <c:minorTickMark val="none"/>
        <c:tickLblPos val="nextTo"/>
        <c:crossAx val="199762086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3175" cap="flat" cmpd="sng" algn="ctr">
      <a:solidFill>
        <a:sysClr val="windowText" lastClr="000000"/>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8262223036074"/>
          <c:y val="5.6862238304471437E-2"/>
          <c:w val="0.69434755539278525"/>
          <c:h val="0.34438897515685957"/>
        </c:manualLayout>
      </c:layout>
      <c:lineChart>
        <c:grouping val="standard"/>
        <c:varyColors val="0"/>
        <c:ser>
          <c:idx val="0"/>
          <c:order val="0"/>
          <c:tx>
            <c:strRef>
              <c:f>RAGI!$B$1</c:f>
              <c:strCache>
                <c:ptCount val="1"/>
                <c:pt idx="0">
                  <c:v>Area (ha)</c:v>
                </c:pt>
              </c:strCache>
            </c:strRef>
          </c:tx>
          <c:spPr>
            <a:ln w="19050" cap="rnd">
              <a:solidFill>
                <a:schemeClr val="accent1"/>
              </a:solidFill>
              <a:round/>
            </a:ln>
            <a:effectLst/>
          </c:spPr>
          <c:marker>
            <c:symbol val="none"/>
          </c:marker>
          <c:trendline>
            <c:spPr>
              <a:ln w="19050" cap="rnd">
                <a:solidFill>
                  <a:schemeClr val="accent1"/>
                </a:solidFill>
                <a:prstDash val="sysDot"/>
              </a:ln>
              <a:effectLst/>
            </c:spPr>
            <c:trendlineType val="poly"/>
            <c:order val="2"/>
            <c:dispRSqr val="0"/>
            <c:dispEq val="0"/>
          </c:trendline>
          <c:cat>
            <c:strRef>
              <c:f>RAGI!$A$2:$A$17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RAGI!$B$2:$B$17</c:f>
              <c:numCache>
                <c:formatCode>0.0</c:formatCode>
                <c:ptCount val="16"/>
                <c:pt idx="0">
                  <c:v>4032.2436000000002</c:v>
                </c:pt>
                <c:pt idx="1">
                  <c:v>2120.9132</c:v>
                </c:pt>
                <c:pt idx="2">
                  <c:v>2697.8728000000001</c:v>
                </c:pt>
                <c:pt idx="3">
                  <c:v>2195.7642000000001</c:v>
                </c:pt>
                <c:pt idx="4">
                  <c:v>2235.8196000000003</c:v>
                </c:pt>
                <c:pt idx="5">
                  <c:v>1715.0994000000001</c:v>
                </c:pt>
                <c:pt idx="6">
                  <c:v>1526.5558000000001</c:v>
                </c:pt>
                <c:pt idx="7">
                  <c:v>919.25120000000004</c:v>
                </c:pt>
                <c:pt idx="8">
                  <c:v>1133.2846</c:v>
                </c:pt>
                <c:pt idx="9">
                  <c:v>1453.3232</c:v>
                </c:pt>
                <c:pt idx="10">
                  <c:v>1209.3494000000001</c:v>
                </c:pt>
                <c:pt idx="11">
                  <c:v>1743.826</c:v>
                </c:pt>
                <c:pt idx="12">
                  <c:v>1316.5684000000001</c:v>
                </c:pt>
                <c:pt idx="13">
                  <c:v>1344</c:v>
                </c:pt>
                <c:pt idx="14">
                  <c:v>433</c:v>
                </c:pt>
                <c:pt idx="15">
                  <c:v>355</c:v>
                </c:pt>
              </c:numCache>
            </c:numRef>
          </c:val>
          <c:smooth val="0"/>
          <c:extLst>
            <c:ext xmlns:c16="http://schemas.microsoft.com/office/drawing/2014/chart" uri="{C3380CC4-5D6E-409C-BE32-E72D297353CC}">
              <c16:uniqueId val="{00000001-84B5-4A89-AE0B-C1BA275A75E2}"/>
            </c:ext>
          </c:extLst>
        </c:ser>
        <c:ser>
          <c:idx val="1"/>
          <c:order val="1"/>
          <c:tx>
            <c:strRef>
              <c:f>RAGI!$D$1</c:f>
              <c:strCache>
                <c:ptCount val="1"/>
                <c:pt idx="0">
                  <c:v>Production (t)</c:v>
                </c:pt>
              </c:strCache>
            </c:strRef>
          </c:tx>
          <c:spPr>
            <a:ln w="15875" cap="rnd">
              <a:solidFill>
                <a:schemeClr val="accent2"/>
              </a:solidFill>
              <a:round/>
            </a:ln>
            <a:effectLst/>
          </c:spPr>
          <c:marker>
            <c:symbol val="none"/>
          </c:marker>
          <c:trendline>
            <c:spPr>
              <a:ln w="19050" cap="rnd">
                <a:solidFill>
                  <a:schemeClr val="accent2"/>
                </a:solidFill>
                <a:prstDash val="sysDot"/>
              </a:ln>
              <a:effectLst/>
            </c:spPr>
            <c:trendlineType val="poly"/>
            <c:order val="2"/>
            <c:dispRSqr val="0"/>
            <c:dispEq val="0"/>
          </c:trendline>
          <c:cat>
            <c:strRef>
              <c:f>RAGI!$A$2:$A$17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RAGI!$D$2:$D$17</c:f>
              <c:numCache>
                <c:formatCode>0.0</c:formatCode>
                <c:ptCount val="16"/>
                <c:pt idx="0">
                  <c:v>6100</c:v>
                </c:pt>
                <c:pt idx="1">
                  <c:v>2131</c:v>
                </c:pt>
                <c:pt idx="2">
                  <c:v>3394</c:v>
                </c:pt>
                <c:pt idx="3">
                  <c:v>2798</c:v>
                </c:pt>
                <c:pt idx="4">
                  <c:v>3037</c:v>
                </c:pt>
                <c:pt idx="5">
                  <c:v>2521</c:v>
                </c:pt>
                <c:pt idx="6">
                  <c:v>1748</c:v>
                </c:pt>
                <c:pt idx="7">
                  <c:v>514</c:v>
                </c:pt>
                <c:pt idx="8">
                  <c:v>1312</c:v>
                </c:pt>
                <c:pt idx="9">
                  <c:v>1655</c:v>
                </c:pt>
                <c:pt idx="10">
                  <c:v>1184</c:v>
                </c:pt>
                <c:pt idx="11">
                  <c:v>2772</c:v>
                </c:pt>
                <c:pt idx="12">
                  <c:v>1756</c:v>
                </c:pt>
                <c:pt idx="13">
                  <c:v>2214</c:v>
                </c:pt>
                <c:pt idx="14">
                  <c:v>568</c:v>
                </c:pt>
                <c:pt idx="15">
                  <c:v>286</c:v>
                </c:pt>
              </c:numCache>
            </c:numRef>
          </c:val>
          <c:smooth val="0"/>
          <c:extLst>
            <c:ext xmlns:c16="http://schemas.microsoft.com/office/drawing/2014/chart" uri="{C3380CC4-5D6E-409C-BE32-E72D297353CC}">
              <c16:uniqueId val="{00000003-84B5-4A89-AE0B-C1BA275A75E2}"/>
            </c:ext>
          </c:extLst>
        </c:ser>
        <c:dLbls>
          <c:showLegendKey val="0"/>
          <c:showVal val="0"/>
          <c:showCatName val="0"/>
          <c:showSerName val="0"/>
          <c:showPercent val="0"/>
          <c:showBubbleSize val="0"/>
        </c:dLbls>
        <c:marker val="1"/>
        <c:smooth val="0"/>
        <c:axId val="1888793407"/>
        <c:axId val="1888806719"/>
      </c:lineChart>
      <c:lineChart>
        <c:grouping val="standard"/>
        <c:varyColors val="0"/>
        <c:ser>
          <c:idx val="2"/>
          <c:order val="2"/>
          <c:tx>
            <c:strRef>
              <c:f>RAGI!$C$1</c:f>
              <c:strCache>
                <c:ptCount val="1"/>
                <c:pt idx="0">
                  <c:v>Yield (Kg/ha)</c:v>
                </c:pt>
              </c:strCache>
            </c:strRef>
          </c:tx>
          <c:spPr>
            <a:ln w="22225" cap="rnd">
              <a:solidFill>
                <a:schemeClr val="accent6">
                  <a:lumMod val="75000"/>
                </a:schemeClr>
              </a:solidFill>
              <a:round/>
            </a:ln>
            <a:effectLst/>
          </c:spPr>
          <c:marker>
            <c:symbol val="none"/>
          </c:marker>
          <c:trendline>
            <c:spPr>
              <a:ln w="19050" cap="rnd">
                <a:solidFill>
                  <a:schemeClr val="accent3"/>
                </a:solidFill>
                <a:prstDash val="sysDot"/>
              </a:ln>
              <a:effectLst/>
            </c:spPr>
            <c:trendlineType val="poly"/>
            <c:order val="2"/>
            <c:dispRSqr val="0"/>
            <c:dispEq val="0"/>
          </c:trendline>
          <c:cat>
            <c:strRef>
              <c:f>RAGI!$A$2:$A$17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RAGI!$C$2:$C$17</c:f>
              <c:numCache>
                <c:formatCode>0.0</c:formatCode>
                <c:ptCount val="16"/>
                <c:pt idx="0">
                  <c:v>1512.8054267356267</c:v>
                </c:pt>
                <c:pt idx="1">
                  <c:v>1004.7558759123193</c:v>
                </c:pt>
                <c:pt idx="2">
                  <c:v>1258.0281768658626</c:v>
                </c:pt>
                <c:pt idx="3">
                  <c:v>1274.2716180544339</c:v>
                </c:pt>
                <c:pt idx="4">
                  <c:v>1358.3385707863013</c:v>
                </c:pt>
                <c:pt idx="5">
                  <c:v>1469.88565210856</c:v>
                </c:pt>
                <c:pt idx="6">
                  <c:v>1145.0613203919568</c:v>
                </c:pt>
                <c:pt idx="7">
                  <c:v>559.15075226445174</c:v>
                </c:pt>
                <c:pt idx="8">
                  <c:v>1157.6968397876403</c:v>
                </c:pt>
                <c:pt idx="9">
                  <c:v>1138.7694079334865</c:v>
                </c:pt>
                <c:pt idx="10">
                  <c:v>979.03881210839472</c:v>
                </c:pt>
                <c:pt idx="11">
                  <c:v>1589.6081375091321</c:v>
                </c:pt>
                <c:pt idx="12">
                  <c:v>1333.7704292462131</c:v>
                </c:pt>
                <c:pt idx="13">
                  <c:v>1647.3214285714287</c:v>
                </c:pt>
                <c:pt idx="14">
                  <c:v>1311.7782909930716</c:v>
                </c:pt>
                <c:pt idx="15">
                  <c:v>805.63380281690138</c:v>
                </c:pt>
              </c:numCache>
            </c:numRef>
          </c:val>
          <c:smooth val="0"/>
          <c:extLst>
            <c:ext xmlns:c16="http://schemas.microsoft.com/office/drawing/2014/chart" uri="{C3380CC4-5D6E-409C-BE32-E72D297353CC}">
              <c16:uniqueId val="{00000005-84B5-4A89-AE0B-C1BA275A75E2}"/>
            </c:ext>
          </c:extLst>
        </c:ser>
        <c:dLbls>
          <c:showLegendKey val="0"/>
          <c:showVal val="0"/>
          <c:showCatName val="0"/>
          <c:showSerName val="0"/>
          <c:showPercent val="0"/>
          <c:showBubbleSize val="0"/>
        </c:dLbls>
        <c:marker val="1"/>
        <c:smooth val="0"/>
        <c:axId val="1997603391"/>
        <c:axId val="1997620863"/>
      </c:lineChart>
      <c:catAx>
        <c:axId val="188879340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8806719"/>
        <c:crosses val="autoZero"/>
        <c:auto val="1"/>
        <c:lblAlgn val="ctr"/>
        <c:lblOffset val="100"/>
        <c:noMultiLvlLbl val="0"/>
      </c:catAx>
      <c:valAx>
        <c:axId val="18888067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Area and production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8793407"/>
        <c:crosses val="autoZero"/>
        <c:crossBetween val="between"/>
      </c:valAx>
      <c:valAx>
        <c:axId val="1997620863"/>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Yield</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97603391"/>
        <c:crosses val="max"/>
        <c:crossBetween val="between"/>
      </c:valAx>
      <c:catAx>
        <c:axId val="1997603391"/>
        <c:scaling>
          <c:orientation val="minMax"/>
        </c:scaling>
        <c:delete val="1"/>
        <c:axPos val="b"/>
        <c:numFmt formatCode="General" sourceLinked="1"/>
        <c:majorTickMark val="out"/>
        <c:minorTickMark val="none"/>
        <c:tickLblPos val="nextTo"/>
        <c:crossAx val="199762086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3175" cap="flat" cmpd="sng" algn="ctr">
      <a:solidFill>
        <a:sysClr val="windowText" lastClr="000000"/>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KORRA!$B$1</c:f>
              <c:strCache>
                <c:ptCount val="1"/>
                <c:pt idx="0">
                  <c:v>Area (ha)</c:v>
                </c:pt>
              </c:strCache>
            </c:strRef>
          </c:tx>
          <c:spPr>
            <a:ln w="19050" cap="rnd">
              <a:solidFill>
                <a:schemeClr val="accent1"/>
              </a:solidFill>
              <a:round/>
            </a:ln>
            <a:effectLst/>
          </c:spPr>
          <c:marker>
            <c:symbol val="none"/>
          </c:marker>
          <c:trendline>
            <c:spPr>
              <a:ln w="19050" cap="rnd">
                <a:solidFill>
                  <a:schemeClr val="accent1"/>
                </a:solidFill>
                <a:prstDash val="sysDot"/>
              </a:ln>
              <a:effectLst/>
            </c:spPr>
            <c:trendlineType val="poly"/>
            <c:order val="2"/>
            <c:dispRSqr val="0"/>
            <c:dispEq val="0"/>
          </c:trendline>
          <c:cat>
            <c:strRef>
              <c:f>KORRA!$A$2:$A$17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KORRA!$B$2:$B$17</c:f>
              <c:numCache>
                <c:formatCode>0.0</c:formatCode>
                <c:ptCount val="16"/>
                <c:pt idx="0">
                  <c:v>237.90480000000002</c:v>
                </c:pt>
                <c:pt idx="1">
                  <c:v>275.5326</c:v>
                </c:pt>
                <c:pt idx="2">
                  <c:v>435.34960000000001</c:v>
                </c:pt>
                <c:pt idx="3">
                  <c:v>170.74120000000002</c:v>
                </c:pt>
                <c:pt idx="4">
                  <c:v>769.14460000000008</c:v>
                </c:pt>
                <c:pt idx="5">
                  <c:v>869.89</c:v>
                </c:pt>
                <c:pt idx="6">
                  <c:v>133.518</c:v>
                </c:pt>
                <c:pt idx="7">
                  <c:v>1309.6902</c:v>
                </c:pt>
                <c:pt idx="8">
                  <c:v>852.49220000000003</c:v>
                </c:pt>
                <c:pt idx="9">
                  <c:v>287.67060000000004</c:v>
                </c:pt>
                <c:pt idx="10">
                  <c:v>120.1662</c:v>
                </c:pt>
                <c:pt idx="11">
                  <c:v>987.22400000000005</c:v>
                </c:pt>
                <c:pt idx="12">
                  <c:v>564.01240000000007</c:v>
                </c:pt>
                <c:pt idx="13">
                  <c:v>343</c:v>
                </c:pt>
                <c:pt idx="14">
                  <c:v>703</c:v>
                </c:pt>
                <c:pt idx="15">
                  <c:v>196</c:v>
                </c:pt>
              </c:numCache>
            </c:numRef>
          </c:val>
          <c:smooth val="0"/>
          <c:extLst>
            <c:ext xmlns:c16="http://schemas.microsoft.com/office/drawing/2014/chart" uri="{C3380CC4-5D6E-409C-BE32-E72D297353CC}">
              <c16:uniqueId val="{00000001-7B5C-425C-B978-F2E62642132C}"/>
            </c:ext>
          </c:extLst>
        </c:ser>
        <c:ser>
          <c:idx val="1"/>
          <c:order val="1"/>
          <c:tx>
            <c:strRef>
              <c:f>KORRA!$D$1</c:f>
              <c:strCache>
                <c:ptCount val="1"/>
                <c:pt idx="0">
                  <c:v>Production (t)</c:v>
                </c:pt>
              </c:strCache>
            </c:strRef>
          </c:tx>
          <c:spPr>
            <a:ln w="15875" cap="rnd">
              <a:solidFill>
                <a:schemeClr val="accent2"/>
              </a:solidFill>
              <a:round/>
            </a:ln>
            <a:effectLst/>
          </c:spPr>
          <c:marker>
            <c:symbol val="none"/>
          </c:marker>
          <c:trendline>
            <c:spPr>
              <a:ln w="19050" cap="rnd">
                <a:solidFill>
                  <a:schemeClr val="accent2"/>
                </a:solidFill>
                <a:prstDash val="sysDot"/>
              </a:ln>
              <a:effectLst/>
            </c:spPr>
            <c:trendlineType val="poly"/>
            <c:order val="2"/>
            <c:dispRSqr val="0"/>
            <c:dispEq val="0"/>
          </c:trendline>
          <c:cat>
            <c:strRef>
              <c:f>KORRA!$A$2:$A$17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KORRA!$D$2:$D$17</c:f>
              <c:numCache>
                <c:formatCode>0.0</c:formatCode>
                <c:ptCount val="16"/>
                <c:pt idx="0">
                  <c:v>177</c:v>
                </c:pt>
                <c:pt idx="1">
                  <c:v>186</c:v>
                </c:pt>
                <c:pt idx="2">
                  <c:v>175</c:v>
                </c:pt>
                <c:pt idx="3">
                  <c:v>114</c:v>
                </c:pt>
                <c:pt idx="4">
                  <c:v>704</c:v>
                </c:pt>
                <c:pt idx="5">
                  <c:v>659</c:v>
                </c:pt>
                <c:pt idx="6">
                  <c:v>85</c:v>
                </c:pt>
                <c:pt idx="7">
                  <c:v>1070</c:v>
                </c:pt>
                <c:pt idx="8">
                  <c:v>800</c:v>
                </c:pt>
                <c:pt idx="9">
                  <c:v>382</c:v>
                </c:pt>
                <c:pt idx="10">
                  <c:v>121</c:v>
                </c:pt>
                <c:pt idx="11">
                  <c:v>1685</c:v>
                </c:pt>
                <c:pt idx="12">
                  <c:v>276</c:v>
                </c:pt>
                <c:pt idx="13">
                  <c:v>250</c:v>
                </c:pt>
                <c:pt idx="14">
                  <c:v>737</c:v>
                </c:pt>
                <c:pt idx="15">
                  <c:v>208</c:v>
                </c:pt>
              </c:numCache>
            </c:numRef>
          </c:val>
          <c:smooth val="0"/>
          <c:extLst>
            <c:ext xmlns:c16="http://schemas.microsoft.com/office/drawing/2014/chart" uri="{C3380CC4-5D6E-409C-BE32-E72D297353CC}">
              <c16:uniqueId val="{00000003-7B5C-425C-B978-F2E62642132C}"/>
            </c:ext>
          </c:extLst>
        </c:ser>
        <c:dLbls>
          <c:showLegendKey val="0"/>
          <c:showVal val="0"/>
          <c:showCatName val="0"/>
          <c:showSerName val="0"/>
          <c:showPercent val="0"/>
          <c:showBubbleSize val="0"/>
        </c:dLbls>
        <c:marker val="1"/>
        <c:smooth val="0"/>
        <c:axId val="1888793407"/>
        <c:axId val="1888806719"/>
      </c:lineChart>
      <c:lineChart>
        <c:grouping val="standard"/>
        <c:varyColors val="0"/>
        <c:ser>
          <c:idx val="2"/>
          <c:order val="2"/>
          <c:tx>
            <c:strRef>
              <c:f>KORRA!$C$1</c:f>
              <c:strCache>
                <c:ptCount val="1"/>
                <c:pt idx="0">
                  <c:v>Yield (Kg/ha)</c:v>
                </c:pt>
              </c:strCache>
            </c:strRef>
          </c:tx>
          <c:spPr>
            <a:ln w="22225" cap="rnd">
              <a:solidFill>
                <a:schemeClr val="accent6">
                  <a:lumMod val="75000"/>
                </a:schemeClr>
              </a:solidFill>
              <a:round/>
            </a:ln>
            <a:effectLst/>
          </c:spPr>
          <c:marker>
            <c:symbol val="none"/>
          </c:marker>
          <c:trendline>
            <c:spPr>
              <a:ln w="19050" cap="rnd">
                <a:solidFill>
                  <a:schemeClr val="accent3"/>
                </a:solidFill>
                <a:prstDash val="sysDot"/>
              </a:ln>
              <a:effectLst/>
            </c:spPr>
            <c:trendlineType val="poly"/>
            <c:order val="2"/>
            <c:dispRSqr val="0"/>
            <c:dispEq val="0"/>
          </c:trendline>
          <c:cat>
            <c:strRef>
              <c:f>KORRA!$A$2:$A$17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KORRA!$C$2:$C$17</c:f>
              <c:numCache>
                <c:formatCode>0.0</c:formatCode>
                <c:ptCount val="16"/>
                <c:pt idx="0">
                  <c:v>743.99507702240555</c:v>
                </c:pt>
                <c:pt idx="1">
                  <c:v>675.05623653970531</c:v>
                </c:pt>
                <c:pt idx="2">
                  <c:v>401.9757914099381</c:v>
                </c:pt>
                <c:pt idx="3">
                  <c:v>667.67716286403038</c:v>
                </c:pt>
                <c:pt idx="4">
                  <c:v>915.30253218965584</c:v>
                </c:pt>
                <c:pt idx="5">
                  <c:v>757.56704870730778</c:v>
                </c:pt>
                <c:pt idx="6">
                  <c:v>636.61828367710723</c:v>
                </c:pt>
                <c:pt idx="7">
                  <c:v>816.98710122439638</c:v>
                </c:pt>
                <c:pt idx="8">
                  <c:v>938.42500846342057</c:v>
                </c:pt>
                <c:pt idx="9">
                  <c:v>1327.907683301665</c:v>
                </c:pt>
                <c:pt idx="10">
                  <c:v>1006.938723201699</c:v>
                </c:pt>
                <c:pt idx="11">
                  <c:v>1706.806155441926</c:v>
                </c:pt>
                <c:pt idx="12">
                  <c:v>489.35094334805399</c:v>
                </c:pt>
                <c:pt idx="13">
                  <c:v>729</c:v>
                </c:pt>
                <c:pt idx="14">
                  <c:v>1048</c:v>
                </c:pt>
                <c:pt idx="15">
                  <c:v>1061</c:v>
                </c:pt>
              </c:numCache>
            </c:numRef>
          </c:val>
          <c:smooth val="0"/>
          <c:extLst>
            <c:ext xmlns:c16="http://schemas.microsoft.com/office/drawing/2014/chart" uri="{C3380CC4-5D6E-409C-BE32-E72D297353CC}">
              <c16:uniqueId val="{00000005-7B5C-425C-B978-F2E62642132C}"/>
            </c:ext>
          </c:extLst>
        </c:ser>
        <c:dLbls>
          <c:showLegendKey val="0"/>
          <c:showVal val="0"/>
          <c:showCatName val="0"/>
          <c:showSerName val="0"/>
          <c:showPercent val="0"/>
          <c:showBubbleSize val="0"/>
        </c:dLbls>
        <c:marker val="1"/>
        <c:smooth val="0"/>
        <c:axId val="1997603391"/>
        <c:axId val="1997620863"/>
      </c:lineChart>
      <c:catAx>
        <c:axId val="188879340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8806719"/>
        <c:crosses val="autoZero"/>
        <c:auto val="1"/>
        <c:lblAlgn val="ctr"/>
        <c:lblOffset val="100"/>
        <c:noMultiLvlLbl val="0"/>
      </c:catAx>
      <c:valAx>
        <c:axId val="18888067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Area and production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8793407"/>
        <c:crosses val="autoZero"/>
        <c:crossBetween val="between"/>
      </c:valAx>
      <c:valAx>
        <c:axId val="1997620863"/>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Yield</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97603391"/>
        <c:crosses val="max"/>
        <c:crossBetween val="between"/>
      </c:valAx>
      <c:catAx>
        <c:axId val="1997603391"/>
        <c:scaling>
          <c:orientation val="minMax"/>
        </c:scaling>
        <c:delete val="1"/>
        <c:axPos val="b"/>
        <c:numFmt formatCode="General" sourceLinked="1"/>
        <c:majorTickMark val="out"/>
        <c:minorTickMark val="none"/>
        <c:tickLblPos val="nextTo"/>
        <c:crossAx val="199762086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3175" cap="flat" cmpd="sng" algn="ctr">
      <a:solidFill>
        <a:sysClr val="windowText" lastClr="000000"/>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1508</TotalTime>
  <Pages>11</Pages>
  <Words>4327</Words>
  <Characters>24668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shanaayyoob@gmail.com</dc:creator>
  <cp:keywords/>
  <dc:description/>
  <cp:lastModifiedBy>SDI 1084</cp:lastModifiedBy>
  <cp:revision>39</cp:revision>
  <dcterms:created xsi:type="dcterms:W3CDTF">2025-10-05T07:30:00Z</dcterms:created>
  <dcterms:modified xsi:type="dcterms:W3CDTF">2025-10-10T09:54:00Z</dcterms:modified>
</cp:coreProperties>
</file>