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E99" w:rsidRDefault="00637F50" w:rsidP="00637F50">
      <w:pPr>
        <w:spacing w:after="0" w:line="360" w:lineRule="auto"/>
        <w:jc w:val="center"/>
        <w:rPr>
          <w:rFonts w:ascii="Times New Roman" w:eastAsia="Calibri" w:hAnsi="Times New Roman" w:cs="Times New Roman"/>
          <w:b/>
          <w:bCs/>
          <w:sz w:val="24"/>
          <w:szCs w:val="24"/>
          <w:lang w:val="en-GB" w:bidi="ar-SA"/>
        </w:rPr>
      </w:pPr>
      <w:r w:rsidRPr="00637F50">
        <w:rPr>
          <w:rFonts w:ascii="Times New Roman" w:eastAsia="Calibri" w:hAnsi="Times New Roman" w:cs="Times New Roman"/>
          <w:b/>
          <w:bCs/>
          <w:sz w:val="24"/>
          <w:szCs w:val="24"/>
          <w:lang w:val="en-GB" w:bidi="ar-SA"/>
        </w:rPr>
        <w:t>Extent of Market Integration and Price Discovery in Major Castor Markets of India</w:t>
      </w:r>
    </w:p>
    <w:p w:rsidR="00DF2E99" w:rsidRDefault="00DF2E99" w:rsidP="00637F50">
      <w:pPr>
        <w:spacing w:after="0" w:line="360" w:lineRule="auto"/>
        <w:jc w:val="center"/>
        <w:rPr>
          <w:rFonts w:ascii="Times New Roman" w:eastAsia="Calibri" w:hAnsi="Times New Roman" w:cs="Times New Roman"/>
          <w:b/>
          <w:bCs/>
          <w:sz w:val="24"/>
          <w:szCs w:val="24"/>
          <w:lang w:val="en-GB" w:bidi="ar-SA"/>
        </w:rPr>
      </w:pPr>
    </w:p>
    <w:p w:rsidR="00DE311C" w:rsidRPr="00637F50" w:rsidRDefault="00DE311C" w:rsidP="00A869B1">
      <w:pPr>
        <w:spacing w:after="120" w:line="240" w:lineRule="auto"/>
        <w:jc w:val="center"/>
        <w:rPr>
          <w:rFonts w:ascii="Times New Roman" w:eastAsia="Calibri" w:hAnsi="Times New Roman" w:cs="Times New Roman"/>
          <w:b/>
          <w:sz w:val="24"/>
          <w:szCs w:val="24"/>
          <w:lang w:bidi="ar-SA"/>
        </w:rPr>
      </w:pPr>
    </w:p>
    <w:p w:rsidR="00F52852" w:rsidRPr="00637F50" w:rsidRDefault="00F52852" w:rsidP="00637F50">
      <w:pPr>
        <w:spacing w:after="0" w:line="360" w:lineRule="auto"/>
        <w:jc w:val="center"/>
        <w:rPr>
          <w:rFonts w:ascii="Times New Roman" w:hAnsi="Times New Roman" w:cs="Times New Roman"/>
          <w:b/>
          <w:bCs/>
          <w:sz w:val="24"/>
          <w:szCs w:val="24"/>
          <w:u w:val="single"/>
        </w:rPr>
      </w:pPr>
      <w:r w:rsidRPr="00637F50">
        <w:rPr>
          <w:rFonts w:ascii="Times New Roman" w:hAnsi="Times New Roman" w:cs="Times New Roman"/>
          <w:b/>
          <w:bCs/>
          <w:sz w:val="24"/>
          <w:szCs w:val="24"/>
          <w:u w:val="single"/>
        </w:rPr>
        <w:t>ABSTRACT</w:t>
      </w:r>
    </w:p>
    <w:p w:rsidR="00F52852" w:rsidRPr="00F52852" w:rsidRDefault="00F52852" w:rsidP="00F52852">
      <w:pPr>
        <w:spacing w:line="360" w:lineRule="auto"/>
        <w:rPr>
          <w:rFonts w:ascii="Times New Roman" w:hAnsi="Times New Roman" w:cs="Times New Roman"/>
          <w:sz w:val="24"/>
          <w:szCs w:val="24"/>
        </w:rPr>
      </w:pPr>
      <w:r w:rsidRPr="00F52852">
        <w:rPr>
          <w:rFonts w:ascii="Times New Roman" w:hAnsi="Times New Roman" w:cs="Times New Roman"/>
          <w:sz w:val="24"/>
          <w:szCs w:val="24"/>
        </w:rPr>
        <w:t xml:space="preserve">This study explored the integration and price discovery processes within India's castor market, a critical factor for enhancing marketing efficiency and providing reliable price signals. This attempt focuses on five major castor wholesale markets, viz: Kurnool, </w:t>
      </w:r>
      <w:proofErr w:type="spellStart"/>
      <w:r w:rsidRPr="00F52852">
        <w:rPr>
          <w:rFonts w:ascii="Times New Roman" w:hAnsi="Times New Roman" w:cs="Times New Roman"/>
          <w:sz w:val="24"/>
          <w:szCs w:val="24"/>
        </w:rPr>
        <w:t>Thara</w:t>
      </w:r>
      <w:proofErr w:type="spellEnd"/>
      <w:r w:rsidRPr="00F52852">
        <w:rPr>
          <w:rFonts w:ascii="Times New Roman" w:hAnsi="Times New Roman" w:cs="Times New Roman"/>
          <w:sz w:val="24"/>
          <w:szCs w:val="24"/>
        </w:rPr>
        <w:t xml:space="preserve">, </w:t>
      </w:r>
      <w:proofErr w:type="spellStart"/>
      <w:r w:rsidRPr="00F52852">
        <w:rPr>
          <w:rFonts w:ascii="Times New Roman" w:hAnsi="Times New Roman" w:cs="Times New Roman"/>
          <w:sz w:val="24"/>
          <w:szCs w:val="24"/>
        </w:rPr>
        <w:t>Patan</w:t>
      </w:r>
      <w:proofErr w:type="spellEnd"/>
      <w:r w:rsidRPr="00F52852">
        <w:rPr>
          <w:rFonts w:ascii="Times New Roman" w:hAnsi="Times New Roman" w:cs="Times New Roman"/>
          <w:sz w:val="24"/>
          <w:szCs w:val="24"/>
        </w:rPr>
        <w:t xml:space="preserve">, </w:t>
      </w:r>
      <w:proofErr w:type="spellStart"/>
      <w:r w:rsidRPr="00F52852">
        <w:rPr>
          <w:rFonts w:ascii="Times New Roman" w:hAnsi="Times New Roman" w:cs="Times New Roman"/>
          <w:sz w:val="24"/>
          <w:szCs w:val="24"/>
        </w:rPr>
        <w:t>Sumerpur</w:t>
      </w:r>
      <w:proofErr w:type="spellEnd"/>
      <w:r w:rsidRPr="00F52852">
        <w:rPr>
          <w:rFonts w:ascii="Times New Roman" w:hAnsi="Times New Roman" w:cs="Times New Roman"/>
          <w:sz w:val="24"/>
          <w:szCs w:val="24"/>
        </w:rPr>
        <w:t>, and Adoni, alongside national spot and futures markets.  The daily prices data pertained to considered markets were sourced from AGMARKNET and NCDEX, spanning from April 2015 to March 2024 and for the analysis the daily data converted to average monthly prices. To examine the relationship among these markets, series of econometric techniques including Augmented</w:t>
      </w:r>
      <w:bookmarkStart w:id="0" w:name="_GoBack"/>
      <w:bookmarkEnd w:id="0"/>
      <w:r w:rsidRPr="00F52852">
        <w:rPr>
          <w:rFonts w:ascii="Times New Roman" w:hAnsi="Times New Roman" w:cs="Times New Roman"/>
          <w:sz w:val="24"/>
          <w:szCs w:val="24"/>
        </w:rPr>
        <w:t xml:space="preserve"> Dickey-Fuller (ADF) test, Johansen cointegration, Vector Error Correction Model (VECM), and Granger causality tests were employed. The outcome of study strongly supported the presences of integration among the spatially separated castor markets. It is also revealed that all the markets demonstrated short-run deviations are self-correcting, with prices consistently reverting to their long-run equilibrium in all the major markets, Thara and Adoni plays a promising role of price leader, on other hand Kurnool market emerged as price taker.  </w:t>
      </w:r>
    </w:p>
    <w:p w:rsidR="00F52852" w:rsidRPr="00F52852" w:rsidRDefault="00F52852" w:rsidP="00F52852">
      <w:pPr>
        <w:spacing w:line="360" w:lineRule="auto"/>
        <w:rPr>
          <w:rFonts w:ascii="Times New Roman" w:hAnsi="Times New Roman" w:cs="Times New Roman"/>
          <w:sz w:val="24"/>
          <w:szCs w:val="24"/>
        </w:rPr>
      </w:pPr>
      <w:r w:rsidRPr="00F52852">
        <w:rPr>
          <w:rFonts w:ascii="Times New Roman" w:hAnsi="Times New Roman" w:cs="Times New Roman"/>
          <w:b/>
          <w:bCs/>
          <w:sz w:val="24"/>
          <w:szCs w:val="24"/>
        </w:rPr>
        <w:t>Keywords:</w:t>
      </w:r>
      <w:r w:rsidRPr="00F52852">
        <w:rPr>
          <w:rFonts w:ascii="Times New Roman" w:hAnsi="Times New Roman" w:cs="Times New Roman"/>
          <w:sz w:val="24"/>
          <w:szCs w:val="24"/>
        </w:rPr>
        <w:t xml:space="preserve"> Castor, Market Integration, Price Discovery, Vector Error Correction model, Equilibrium</w:t>
      </w:r>
    </w:p>
    <w:p w:rsidR="00F52852" w:rsidRPr="00F52852" w:rsidRDefault="00F52852" w:rsidP="00F52852">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Introduction</w:t>
      </w:r>
    </w:p>
    <w:p w:rsidR="00F52852" w:rsidRDefault="00F52852" w:rsidP="00637F50">
      <w:pPr>
        <w:spacing w:after="0"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Castor (</w:t>
      </w:r>
      <w:r w:rsidRPr="00C212DB">
        <w:rPr>
          <w:rFonts w:ascii="Times New Roman" w:hAnsi="Times New Roman" w:cs="Times New Roman"/>
          <w:i/>
          <w:iCs/>
          <w:sz w:val="24"/>
          <w:szCs w:val="24"/>
        </w:rPr>
        <w:t xml:space="preserve">Ricinus </w:t>
      </w:r>
      <w:proofErr w:type="spellStart"/>
      <w:r w:rsidRPr="00C212DB">
        <w:rPr>
          <w:rFonts w:ascii="Times New Roman" w:hAnsi="Times New Roman" w:cs="Times New Roman"/>
          <w:i/>
          <w:iCs/>
          <w:sz w:val="24"/>
          <w:szCs w:val="24"/>
        </w:rPr>
        <w:t>communis</w:t>
      </w:r>
      <w:proofErr w:type="spellEnd"/>
      <w:r w:rsidRPr="00C212DB">
        <w:rPr>
          <w:rFonts w:ascii="Times New Roman" w:hAnsi="Times New Roman" w:cs="Times New Roman"/>
          <w:i/>
          <w:iCs/>
          <w:sz w:val="24"/>
          <w:szCs w:val="24"/>
        </w:rPr>
        <w:t xml:space="preserve"> L.)</w:t>
      </w:r>
      <w:r w:rsidRPr="00F52852">
        <w:rPr>
          <w:rFonts w:ascii="Times New Roman" w:hAnsi="Times New Roman" w:cs="Times New Roman"/>
          <w:sz w:val="24"/>
          <w:szCs w:val="24"/>
        </w:rPr>
        <w:t xml:space="preserve"> is a vital non-edible oilseed crop, distinguished by its unique industrial value. The seed's oil is remarka</w:t>
      </w:r>
      <w:r w:rsidR="002355EA">
        <w:rPr>
          <w:rFonts w:ascii="Times New Roman" w:hAnsi="Times New Roman" w:cs="Times New Roman"/>
          <w:sz w:val="24"/>
          <w:szCs w:val="24"/>
        </w:rPr>
        <w:t xml:space="preserve">bly rich in </w:t>
      </w:r>
      <w:proofErr w:type="spellStart"/>
      <w:r w:rsidR="002355EA">
        <w:rPr>
          <w:rFonts w:ascii="Times New Roman" w:hAnsi="Times New Roman" w:cs="Times New Roman"/>
          <w:sz w:val="24"/>
          <w:szCs w:val="24"/>
        </w:rPr>
        <w:t>ricinoleic</w:t>
      </w:r>
      <w:proofErr w:type="spellEnd"/>
      <w:r w:rsidR="002355EA">
        <w:rPr>
          <w:rFonts w:ascii="Times New Roman" w:hAnsi="Times New Roman" w:cs="Times New Roman"/>
          <w:sz w:val="24"/>
          <w:szCs w:val="24"/>
        </w:rPr>
        <w:t xml:space="preserve"> acid (85-</w:t>
      </w:r>
      <w:r w:rsidRPr="00F52852">
        <w:rPr>
          <w:rFonts w:ascii="Times New Roman" w:hAnsi="Times New Roman" w:cs="Times New Roman"/>
          <w:sz w:val="24"/>
          <w:szCs w:val="24"/>
        </w:rPr>
        <w:t xml:space="preserve">90%), a property that makes it an indispensable raw material for a diverse array of sectors. Its derivatives are crucial in manufacturing high-performance lubricants, durable polymers, pharmaceuticals, cosmetics, and a growing portfolio of biodegradable, eco-friendly chemical products. This alignment with the global pivot towards sustainable and renewable resources has driven a significant increase in the worldwide demand for castor oil. The total area in country was </w:t>
      </w:r>
      <w:r w:rsidR="002826B7">
        <w:rPr>
          <w:rFonts w:ascii="Times New Roman" w:hAnsi="Times New Roman" w:cs="Times New Roman"/>
          <w:sz w:val="24"/>
          <w:szCs w:val="24"/>
        </w:rPr>
        <w:t>8.</w:t>
      </w:r>
      <w:r w:rsidR="00A869B1">
        <w:rPr>
          <w:rFonts w:ascii="Times New Roman" w:hAnsi="Times New Roman" w:cs="Times New Roman"/>
          <w:sz w:val="24"/>
          <w:szCs w:val="24"/>
        </w:rPr>
        <w:t>20</w:t>
      </w:r>
      <w:r w:rsidRPr="00F52852">
        <w:rPr>
          <w:rFonts w:ascii="Times New Roman" w:hAnsi="Times New Roman" w:cs="Times New Roman"/>
          <w:sz w:val="24"/>
          <w:szCs w:val="24"/>
        </w:rPr>
        <w:t xml:space="preserve"> lakh hectares under castor cultivation, yielding a production of </w:t>
      </w:r>
      <w:r w:rsidR="002826B7">
        <w:rPr>
          <w:rFonts w:ascii="Times New Roman" w:hAnsi="Times New Roman" w:cs="Times New Roman"/>
          <w:sz w:val="24"/>
          <w:szCs w:val="24"/>
        </w:rPr>
        <w:t>15.53</w:t>
      </w:r>
      <w:r w:rsidRPr="00F52852">
        <w:rPr>
          <w:rFonts w:ascii="Times New Roman" w:hAnsi="Times New Roman" w:cs="Times New Roman"/>
          <w:sz w:val="24"/>
          <w:szCs w:val="24"/>
        </w:rPr>
        <w:t xml:space="preserve"> lakh tonnes (DES, 2025). </w:t>
      </w:r>
      <w:r w:rsidRPr="00CB4BC4">
        <w:rPr>
          <w:rFonts w:ascii="Times New Roman" w:hAnsi="Times New Roman" w:cs="Times New Roman"/>
          <w:sz w:val="24"/>
          <w:szCs w:val="24"/>
        </w:rPr>
        <w:t>This production</w:t>
      </w:r>
      <w:r w:rsidRPr="00F52852">
        <w:rPr>
          <w:rFonts w:ascii="Times New Roman" w:hAnsi="Times New Roman" w:cs="Times New Roman"/>
          <w:sz w:val="24"/>
          <w:szCs w:val="24"/>
        </w:rPr>
        <w:t xml:space="preserve"> is highly concentrated, with the state of Gujarat leading as the largest producer (cultivating </w:t>
      </w:r>
      <w:r w:rsidR="00012350">
        <w:rPr>
          <w:rFonts w:ascii="Times New Roman" w:hAnsi="Times New Roman" w:cs="Times New Roman"/>
          <w:sz w:val="24"/>
          <w:szCs w:val="24"/>
        </w:rPr>
        <w:t>6.46</w:t>
      </w:r>
      <w:r w:rsidRPr="00F52852">
        <w:rPr>
          <w:rFonts w:ascii="Times New Roman" w:hAnsi="Times New Roman" w:cs="Times New Roman"/>
          <w:sz w:val="24"/>
          <w:szCs w:val="24"/>
        </w:rPr>
        <w:t xml:space="preserve"> l</w:t>
      </w:r>
      <w:r w:rsidR="00012350">
        <w:rPr>
          <w:rFonts w:ascii="Times New Roman" w:hAnsi="Times New Roman" w:cs="Times New Roman"/>
          <w:sz w:val="24"/>
          <w:szCs w:val="24"/>
        </w:rPr>
        <w:t>akh hectares and producing 14.03</w:t>
      </w:r>
      <w:r w:rsidRPr="00F52852">
        <w:rPr>
          <w:rFonts w:ascii="Times New Roman" w:hAnsi="Times New Roman" w:cs="Times New Roman"/>
          <w:sz w:val="24"/>
          <w:szCs w:val="24"/>
        </w:rPr>
        <w:t xml:space="preserve"> lakh tonnes), followed significantly by Rajasthan. Andhra Pradesh and Telangana also contribute substantially to the national output, collectively forming the core of India's castor belt (</w:t>
      </w:r>
      <w:proofErr w:type="spellStart"/>
      <w:r w:rsidRPr="00F52852">
        <w:rPr>
          <w:rFonts w:ascii="Times New Roman" w:hAnsi="Times New Roman" w:cs="Times New Roman"/>
          <w:sz w:val="24"/>
          <w:szCs w:val="24"/>
        </w:rPr>
        <w:t>DoA</w:t>
      </w:r>
      <w:proofErr w:type="spellEnd"/>
      <w:r w:rsidRPr="00F52852">
        <w:rPr>
          <w:rFonts w:ascii="Times New Roman" w:hAnsi="Times New Roman" w:cs="Times New Roman"/>
          <w:sz w:val="24"/>
          <w:szCs w:val="24"/>
        </w:rPr>
        <w:t xml:space="preserve">, </w:t>
      </w:r>
      <w:r w:rsidRPr="00F52852">
        <w:rPr>
          <w:rFonts w:ascii="Times New Roman" w:hAnsi="Times New Roman" w:cs="Times New Roman"/>
          <w:sz w:val="24"/>
          <w:szCs w:val="24"/>
        </w:rPr>
        <w:lastRenderedPageBreak/>
        <w:t>2025). Supporting this robust production is a refined marketing structure in our country. A key development was the introduction of castor seed futures contracts on the National Commodity and Derivatives Exchange (NCDEX) in 2007. With a standard trading lot of 10 tonnes, castor seed has emerged as one of the most actively traded oilseed commodities on the exchange. The scale of this trading activity is demonstrated by the FY 2023–24 figures, which recorded a substantial traded volume of 2,401,200 metric tonnes, valued at ₹14,339.86 crores (NCDEX, 2024). This active futures market underscores the commodity's economic importance and sets the stage for analysing how well it facilitates price discovery and integrates regional markets.</w:t>
      </w:r>
    </w:p>
    <w:p w:rsidR="00F52852" w:rsidRPr="00F52852" w:rsidRDefault="00F52852" w:rsidP="00F52852">
      <w:pPr>
        <w:spacing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Understanding market integration and price discovery is crucial for building an efficient marketing system that benefits Indian castor farmers. Market integration refers to how closely connected different regional markets are. When markets are well-integrated, a price change in one area is quickly reflected in others, a</w:t>
      </w:r>
      <w:r w:rsidR="00066756">
        <w:rPr>
          <w:rFonts w:ascii="Times New Roman" w:hAnsi="Times New Roman" w:cs="Times New Roman"/>
          <w:sz w:val="24"/>
          <w:szCs w:val="24"/>
        </w:rPr>
        <w:t xml:space="preserve">s observed in key castor hubs </w:t>
      </w:r>
      <w:r w:rsidR="00066756" w:rsidRPr="00F52852">
        <w:rPr>
          <w:rFonts w:ascii="Times New Roman" w:hAnsi="Times New Roman" w:cs="Times New Roman"/>
          <w:sz w:val="24"/>
          <w:szCs w:val="24"/>
        </w:rPr>
        <w:t>(</w:t>
      </w:r>
      <w:proofErr w:type="spellStart"/>
      <w:r w:rsidRPr="00F52852">
        <w:rPr>
          <w:rFonts w:ascii="Times New Roman" w:hAnsi="Times New Roman" w:cs="Times New Roman"/>
          <w:sz w:val="24"/>
          <w:szCs w:val="24"/>
        </w:rPr>
        <w:t>Palanichamy</w:t>
      </w:r>
      <w:proofErr w:type="spellEnd"/>
      <w:r w:rsidRPr="00F52852">
        <w:rPr>
          <w:rFonts w:ascii="Times New Roman" w:hAnsi="Times New Roman" w:cs="Times New Roman"/>
          <w:sz w:val="24"/>
          <w:szCs w:val="24"/>
        </w:rPr>
        <w:t xml:space="preserve"> </w:t>
      </w:r>
      <w:r w:rsidRPr="00F52852">
        <w:rPr>
          <w:rFonts w:ascii="Times New Roman" w:hAnsi="Times New Roman" w:cs="Times New Roman"/>
          <w:i/>
          <w:iCs/>
          <w:sz w:val="24"/>
          <w:szCs w:val="24"/>
        </w:rPr>
        <w:t>et al.</w:t>
      </w:r>
      <w:r w:rsidRPr="00F52852">
        <w:rPr>
          <w:rFonts w:ascii="Times New Roman" w:hAnsi="Times New Roman" w:cs="Times New Roman"/>
          <w:sz w:val="24"/>
          <w:szCs w:val="24"/>
        </w:rPr>
        <w:t xml:space="preserve">, 2024). This reduces large regional price </w:t>
      </w:r>
      <w:r w:rsidR="00066756" w:rsidRPr="00F52852">
        <w:rPr>
          <w:rFonts w:ascii="Times New Roman" w:hAnsi="Times New Roman" w:cs="Times New Roman"/>
          <w:sz w:val="24"/>
          <w:szCs w:val="24"/>
        </w:rPr>
        <w:t>disparities;</w:t>
      </w:r>
      <w:r w:rsidRPr="00F52852">
        <w:rPr>
          <w:rFonts w:ascii="Times New Roman" w:hAnsi="Times New Roman" w:cs="Times New Roman"/>
          <w:sz w:val="24"/>
          <w:szCs w:val="24"/>
        </w:rPr>
        <w:t xml:space="preserve"> ensuring farmers in different states receive fair and similar value for their pr</w:t>
      </w:r>
      <w:r w:rsidR="00066756">
        <w:rPr>
          <w:rFonts w:ascii="Times New Roman" w:hAnsi="Times New Roman" w:cs="Times New Roman"/>
          <w:sz w:val="24"/>
          <w:szCs w:val="24"/>
        </w:rPr>
        <w:t>oduce (</w:t>
      </w:r>
      <w:proofErr w:type="spellStart"/>
      <w:r w:rsidR="00066756">
        <w:rPr>
          <w:rFonts w:ascii="Times New Roman" w:hAnsi="Times New Roman" w:cs="Times New Roman"/>
          <w:sz w:val="24"/>
          <w:szCs w:val="24"/>
        </w:rPr>
        <w:t>Venkannanavara</w:t>
      </w:r>
      <w:proofErr w:type="spellEnd"/>
      <w:r w:rsidR="00066756">
        <w:rPr>
          <w:rFonts w:ascii="Times New Roman" w:hAnsi="Times New Roman" w:cs="Times New Roman"/>
          <w:sz w:val="24"/>
          <w:szCs w:val="24"/>
        </w:rPr>
        <w:t xml:space="preserve"> and </w:t>
      </w:r>
      <w:proofErr w:type="spellStart"/>
      <w:r w:rsidR="00066756">
        <w:rPr>
          <w:rFonts w:ascii="Times New Roman" w:hAnsi="Times New Roman" w:cs="Times New Roman"/>
          <w:sz w:val="24"/>
          <w:szCs w:val="24"/>
        </w:rPr>
        <w:t>Kerur</w:t>
      </w:r>
      <w:proofErr w:type="spellEnd"/>
      <w:r w:rsidR="00066756">
        <w:rPr>
          <w:rFonts w:ascii="Times New Roman" w:hAnsi="Times New Roman" w:cs="Times New Roman"/>
          <w:sz w:val="24"/>
          <w:szCs w:val="24"/>
        </w:rPr>
        <w:t>, 2021</w:t>
      </w:r>
      <w:r w:rsidRPr="00F52852">
        <w:rPr>
          <w:rFonts w:ascii="Times New Roman" w:hAnsi="Times New Roman" w:cs="Times New Roman"/>
          <w:sz w:val="24"/>
          <w:szCs w:val="24"/>
        </w:rPr>
        <w:t xml:space="preserve">). Meanwhile, price discovery is the process by which the true market price of a commodity is determined, often through the interaction of buyers and sellers on platforms like the NCDEX. Futures trading play a vital role in </w:t>
      </w:r>
      <w:r w:rsidR="0040487C">
        <w:rPr>
          <w:rFonts w:ascii="Times New Roman" w:hAnsi="Times New Roman" w:cs="Times New Roman"/>
          <w:sz w:val="24"/>
          <w:szCs w:val="24"/>
        </w:rPr>
        <w:t>price discovery</w:t>
      </w:r>
      <w:r w:rsidRPr="00F52852">
        <w:rPr>
          <w:rFonts w:ascii="Times New Roman" w:hAnsi="Times New Roman" w:cs="Times New Roman"/>
          <w:sz w:val="24"/>
          <w:szCs w:val="24"/>
        </w:rPr>
        <w:t xml:space="preserve"> (Garg </w:t>
      </w:r>
      <w:r w:rsidRPr="00F52852">
        <w:rPr>
          <w:rFonts w:ascii="Times New Roman" w:hAnsi="Times New Roman" w:cs="Times New Roman"/>
          <w:i/>
          <w:iCs/>
          <w:sz w:val="24"/>
          <w:szCs w:val="24"/>
        </w:rPr>
        <w:t>et al</w:t>
      </w:r>
      <w:r w:rsidRPr="00F52852">
        <w:rPr>
          <w:rFonts w:ascii="Times New Roman" w:hAnsi="Times New Roman" w:cs="Times New Roman"/>
          <w:sz w:val="24"/>
          <w:szCs w:val="24"/>
        </w:rPr>
        <w:t>., 2023). For farmers, effective price discovery provides transparent and timely signals about future price trends. This allows them to make informed decisions on when and where to sell their harvest, negotiate better prices with local traders, and ultimately capture a greater share of the value their crop generates, strengthening their income and livelihood security.</w:t>
      </w:r>
    </w:p>
    <w:p w:rsidR="00F52852" w:rsidRPr="00F52852" w:rsidRDefault="00F52852" w:rsidP="00C212DB">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Methodology </w:t>
      </w:r>
    </w:p>
    <w:p w:rsidR="00F52852" w:rsidRPr="00F52852" w:rsidRDefault="00F52852" w:rsidP="00F52852">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Data and data source</w:t>
      </w:r>
    </w:p>
    <w:p w:rsidR="00F52852" w:rsidRPr="00F52852" w:rsidRDefault="00F52852" w:rsidP="00F52852">
      <w:pPr>
        <w:spacing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 xml:space="preserve">The present study is based on secondary time series data comprising monthly price information collected over a nine-year period, from March 2015 to April 2024. Market-specific data were sourced from two primary databases: AGMARKNET, which provides spot market prices and the National Commodity and Derivatives Exchange (NCDEX), which provides spot and futures prices for castor. For the analysis, five major national markets were purposively selected on the basis of their highest arrivals, namely Thara and Patan in Gujarat, Kurnool and Adoni in Andhra Pradesh, and Sumerpur in Rajasthan. To create a clean and consistent monthly price series, the study calculated the average of the daily modal prices. Bringing together data from these regional markets and the national exchange allows us to </w:t>
      </w:r>
      <w:r w:rsidRPr="00F52852">
        <w:rPr>
          <w:rFonts w:ascii="Times New Roman" w:hAnsi="Times New Roman" w:cs="Times New Roman"/>
          <w:sz w:val="24"/>
          <w:szCs w:val="24"/>
        </w:rPr>
        <w:lastRenderedPageBreak/>
        <w:t>thoroughly examine the links between physical and financial markets, offering a holistic view of how prices are discovered and transmitted across the country for castor farmers.</w:t>
      </w:r>
      <w:r>
        <w:rPr>
          <w:rFonts w:ascii="Times New Roman" w:hAnsi="Times New Roman" w:cs="Times New Roman"/>
          <w:sz w:val="24"/>
          <w:szCs w:val="24"/>
        </w:rPr>
        <w:t xml:space="preserve"> </w:t>
      </w:r>
      <w:r w:rsidRPr="00F52852">
        <w:rPr>
          <w:rFonts w:ascii="Times New Roman" w:hAnsi="Times New Roman" w:cs="Times New Roman"/>
          <w:sz w:val="24"/>
          <w:szCs w:val="24"/>
        </w:rPr>
        <w:t>The different analytical tools that have been used for analysis are explained in following section.</w:t>
      </w:r>
    </w:p>
    <w:p w:rsidR="00F52852" w:rsidRPr="00F52852" w:rsidRDefault="00F52852" w:rsidP="00F52852">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Market Integration </w:t>
      </w:r>
    </w:p>
    <w:p w:rsidR="00F52852" w:rsidRPr="00F52852" w:rsidRDefault="00F52852" w:rsidP="00F52852">
      <w:pPr>
        <w:spacing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 xml:space="preserve">Market integration describes how closely prices in different markets move together. For market information to flow freely and efficiently, a well-connected marketing system is essential. This happens when a price change in one market is accurately and fully reflected in other linked markets, as reported by </w:t>
      </w:r>
      <w:r w:rsidR="002826B7">
        <w:rPr>
          <w:rFonts w:ascii="Times New Roman" w:hAnsi="Times New Roman" w:cs="Times New Roman"/>
          <w:sz w:val="24"/>
          <w:szCs w:val="24"/>
        </w:rPr>
        <w:t>Aishwarya and Swaminathan (2025</w:t>
      </w:r>
      <w:r w:rsidRPr="00F52852">
        <w:rPr>
          <w:rFonts w:ascii="Times New Roman" w:hAnsi="Times New Roman" w:cs="Times New Roman"/>
          <w:sz w:val="24"/>
          <w:szCs w:val="24"/>
        </w:rPr>
        <w:t>). When markets are properly integrated, clear and reliable price signals travel through marketing channels, providing valuable information that benefits farmers</w:t>
      </w:r>
      <w:r w:rsidR="00756DE8">
        <w:rPr>
          <w:rFonts w:ascii="Times New Roman" w:hAnsi="Times New Roman" w:cs="Times New Roman"/>
          <w:sz w:val="24"/>
          <w:szCs w:val="24"/>
        </w:rPr>
        <w:t xml:space="preserve">, a point also supported by </w:t>
      </w:r>
      <w:proofErr w:type="spellStart"/>
      <w:r w:rsidR="00756DE8">
        <w:rPr>
          <w:rFonts w:ascii="Times New Roman" w:hAnsi="Times New Roman" w:cs="Times New Roman"/>
          <w:sz w:val="24"/>
          <w:szCs w:val="24"/>
        </w:rPr>
        <w:t>Mohalle</w:t>
      </w:r>
      <w:proofErr w:type="spellEnd"/>
      <w:r w:rsidRPr="00F52852">
        <w:rPr>
          <w:rFonts w:ascii="Times New Roman" w:hAnsi="Times New Roman" w:cs="Times New Roman"/>
          <w:sz w:val="24"/>
          <w:szCs w:val="24"/>
        </w:rPr>
        <w:t xml:space="preserve"> </w:t>
      </w:r>
      <w:r w:rsidRPr="00C212DB">
        <w:rPr>
          <w:rFonts w:ascii="Times New Roman" w:hAnsi="Times New Roman" w:cs="Times New Roman"/>
          <w:i/>
          <w:iCs/>
          <w:sz w:val="24"/>
          <w:szCs w:val="24"/>
        </w:rPr>
        <w:t>et al.</w:t>
      </w:r>
      <w:r w:rsidRPr="00F52852">
        <w:rPr>
          <w:rFonts w:ascii="Times New Roman" w:hAnsi="Times New Roman" w:cs="Times New Roman"/>
          <w:sz w:val="24"/>
          <w:szCs w:val="24"/>
        </w:rPr>
        <w:t xml:space="preserve"> (2015). In this study, we applied a set of established analytical methods to examine the extent of market integration and how prices are discovered in the castor market, as follow:</w:t>
      </w:r>
    </w:p>
    <w:p w:rsidR="00F52852" w:rsidRPr="00F52852" w:rsidRDefault="00F52852" w:rsidP="00F52852">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Unit root test</w:t>
      </w:r>
    </w:p>
    <w:p w:rsidR="00F52852" w:rsidRPr="00F52852" w:rsidRDefault="00F52852" w:rsidP="00F52852">
      <w:pPr>
        <w:spacing w:after="0" w:line="360" w:lineRule="auto"/>
        <w:rPr>
          <w:rFonts w:ascii="Times New Roman" w:hAnsi="Times New Roman" w:cs="Times New Roman"/>
          <w:sz w:val="24"/>
          <w:szCs w:val="24"/>
        </w:rPr>
      </w:pPr>
      <w:r w:rsidRPr="00F52852">
        <w:rPr>
          <w:rFonts w:ascii="Times New Roman" w:hAnsi="Times New Roman" w:cs="Times New Roman"/>
          <w:sz w:val="24"/>
          <w:szCs w:val="24"/>
        </w:rPr>
        <w:tab/>
        <w:t>Before establishing a long-run relationship among the markets, the price series need to be confirmed for stationarity and the same order of integration. The stationary of time series data is fundamental requirement for time series analysis because using non stationary data can misleading the results, often recognized as “spurious regression”. Such analysis produces unauthentic results without any substantial inferences. For the present study, Augmented Dickey-Fuller (ADF) was used to check the order of integration for price series. The working model of ADF test to be conducted for determining the stationarity of the data series is as follows:</w:t>
      </w:r>
    </w:p>
    <w:p w:rsidR="00F52852" w:rsidRPr="00016E2A" w:rsidRDefault="00F52852" w:rsidP="00F52852">
      <w:pPr>
        <w:widowControl w:val="0"/>
        <w:spacing w:after="0" w:line="360" w:lineRule="auto"/>
        <w:ind w:firstLine="720"/>
        <w:jc w:val="center"/>
        <w:rPr>
          <w:rFonts w:ascii="Times New Roman" w:eastAsia="Times New Roman" w:hAnsi="Times New Roman" w:cs="Times New Roman"/>
          <w:bCs/>
          <w:color w:val="000000"/>
          <w:sz w:val="24"/>
          <w:szCs w:val="24"/>
          <w:lang w:bidi="ar-SA"/>
        </w:rPr>
      </w:pPr>
      <w:r w:rsidRPr="00016E2A">
        <w:rPr>
          <w:rFonts w:ascii="Cambria Math" w:eastAsia="Times New Roman" w:hAnsi="Cambria Math" w:cs="Cambria Math"/>
          <w:bCs/>
          <w:color w:val="000000"/>
          <w:sz w:val="24"/>
          <w:szCs w:val="24"/>
          <w:lang w:bidi="ar-SA"/>
        </w:rPr>
        <w:t>𝒀</w:t>
      </w:r>
      <w:r w:rsidRPr="00016E2A">
        <w:rPr>
          <w:rFonts w:ascii="Cambria Math" w:eastAsia="Times New Roman" w:hAnsi="Cambria Math" w:cs="Cambria Math"/>
          <w:bCs/>
          <w:color w:val="000000"/>
          <w:sz w:val="24"/>
          <w:szCs w:val="24"/>
          <w:vertAlign w:val="subscript"/>
          <w:lang w:bidi="ar-SA"/>
        </w:rPr>
        <w:t>𝒊𝒕</w:t>
      </w:r>
      <w:r w:rsidRPr="00016E2A">
        <w:rPr>
          <w:rFonts w:ascii="Times New Roman" w:eastAsia="Times New Roman" w:hAnsi="Times New Roman" w:cs="Times New Roman"/>
          <w:bCs/>
          <w:color w:val="000000"/>
          <w:sz w:val="24"/>
          <w:szCs w:val="24"/>
          <w:lang w:bidi="ar-SA"/>
        </w:rPr>
        <w:t xml:space="preserve"> = </w:t>
      </w:r>
      <w:r w:rsidRPr="00016E2A">
        <w:rPr>
          <w:rFonts w:ascii="Cambria Math" w:eastAsia="Times New Roman" w:hAnsi="Cambria Math" w:cs="Cambria Math"/>
          <w:bCs/>
          <w:color w:val="000000"/>
          <w:sz w:val="24"/>
          <w:szCs w:val="24"/>
          <w:lang w:bidi="ar-SA"/>
        </w:rPr>
        <w:t>𝜶</w:t>
      </w:r>
      <w:r w:rsidRPr="00016E2A">
        <w:rPr>
          <w:rFonts w:ascii="Times New Roman" w:eastAsia="Times New Roman" w:hAnsi="Times New Roman" w:cs="Times New Roman"/>
          <w:bCs/>
          <w:color w:val="000000"/>
          <w:sz w:val="24"/>
          <w:szCs w:val="24"/>
          <w:lang w:bidi="ar-SA"/>
        </w:rPr>
        <w:t xml:space="preserve"> + </w:t>
      </w:r>
      <w:r w:rsidRPr="00016E2A">
        <w:rPr>
          <w:rFonts w:ascii="Cambria Math" w:eastAsia="Times New Roman" w:hAnsi="Cambria Math" w:cs="Cambria Math"/>
          <w:bCs/>
          <w:color w:val="000000"/>
          <w:sz w:val="24"/>
          <w:szCs w:val="24"/>
          <w:lang w:bidi="ar-SA"/>
        </w:rPr>
        <w:t>𝜷</w:t>
      </w:r>
      <w:r w:rsidRPr="00016E2A">
        <w:rPr>
          <w:rFonts w:ascii="Cambria Math" w:eastAsia="Times New Roman" w:hAnsi="Cambria Math" w:cs="Cambria Math"/>
          <w:bCs/>
          <w:color w:val="000000"/>
          <w:sz w:val="24"/>
          <w:szCs w:val="24"/>
          <w:vertAlign w:val="subscript"/>
          <w:lang w:bidi="ar-SA"/>
        </w:rPr>
        <w:t>𝒊</w:t>
      </w:r>
      <w:r w:rsidRPr="00016E2A">
        <w:rPr>
          <w:rFonts w:ascii="Cambria Math" w:eastAsia="Times New Roman" w:hAnsi="Cambria Math" w:cs="Cambria Math"/>
          <w:bCs/>
          <w:color w:val="000000"/>
          <w:sz w:val="24"/>
          <w:szCs w:val="24"/>
          <w:lang w:bidi="ar-SA"/>
        </w:rPr>
        <w:t>𝑻</w:t>
      </w:r>
      <w:r w:rsidRPr="00016E2A">
        <w:rPr>
          <w:rFonts w:ascii="Times New Roman" w:eastAsia="Times New Roman" w:hAnsi="Times New Roman" w:cs="Times New Roman"/>
          <w:bCs/>
          <w:color w:val="000000"/>
          <w:sz w:val="24"/>
          <w:szCs w:val="24"/>
          <w:lang w:bidi="ar-SA"/>
        </w:rPr>
        <w:t xml:space="preserve"> + </w:t>
      </w:r>
      <w:r w:rsidRPr="00016E2A">
        <w:rPr>
          <w:rFonts w:ascii="Cambria Math" w:eastAsia="Times New Roman" w:hAnsi="Cambria Math" w:cs="Cambria Math"/>
          <w:bCs/>
          <w:color w:val="000000"/>
          <w:sz w:val="24"/>
          <w:szCs w:val="24"/>
          <w:lang w:bidi="ar-SA"/>
        </w:rPr>
        <w:t>𝜹</w:t>
      </w:r>
      <w:r w:rsidRPr="00016E2A">
        <w:rPr>
          <w:rFonts w:ascii="Cambria Math" w:eastAsia="Times New Roman" w:hAnsi="Cambria Math" w:cs="Cambria Math"/>
          <w:bCs/>
          <w:color w:val="000000"/>
          <w:sz w:val="24"/>
          <w:szCs w:val="24"/>
          <w:vertAlign w:val="subscript"/>
          <w:lang w:bidi="ar-SA"/>
        </w:rPr>
        <w:t>𝒊</w:t>
      </w:r>
      <w:r w:rsidRPr="00016E2A">
        <w:rPr>
          <w:rFonts w:ascii="Cambria Math" w:eastAsia="Times New Roman" w:hAnsi="Cambria Math" w:cs="Cambria Math"/>
          <w:bCs/>
          <w:color w:val="000000"/>
          <w:sz w:val="24"/>
          <w:szCs w:val="24"/>
          <w:lang w:bidi="ar-SA"/>
        </w:rPr>
        <w:t>𝒀</w:t>
      </w:r>
      <w:r w:rsidRPr="00016E2A">
        <w:rPr>
          <w:rFonts w:ascii="Cambria Math" w:eastAsia="Times New Roman" w:hAnsi="Cambria Math" w:cs="Cambria Math"/>
          <w:bCs/>
          <w:color w:val="000000"/>
          <w:sz w:val="24"/>
          <w:szCs w:val="24"/>
          <w:vertAlign w:val="subscript"/>
          <w:lang w:bidi="ar-SA"/>
        </w:rPr>
        <w:t>𝒊𝒕</w:t>
      </w:r>
      <w:r w:rsidRPr="00016E2A">
        <w:rPr>
          <w:rFonts w:ascii="Times New Roman" w:eastAsia="Times New Roman" w:hAnsi="Times New Roman" w:cs="Times New Roman"/>
          <w:bCs/>
          <w:color w:val="000000"/>
          <w:sz w:val="24"/>
          <w:szCs w:val="24"/>
          <w:vertAlign w:val="subscript"/>
          <w:lang w:bidi="ar-SA"/>
        </w:rPr>
        <w:t>−</w:t>
      </w:r>
      <w:r w:rsidRPr="00016E2A">
        <w:rPr>
          <w:rFonts w:ascii="Cambria Math" w:eastAsia="Times New Roman" w:hAnsi="Cambria Math" w:cs="Cambria Math"/>
          <w:bCs/>
          <w:color w:val="000000"/>
          <w:sz w:val="24"/>
          <w:szCs w:val="24"/>
          <w:vertAlign w:val="subscript"/>
          <w:lang w:bidi="ar-SA"/>
        </w:rPr>
        <w:t>𝟏</w:t>
      </w:r>
      <w:r>
        <w:rPr>
          <w:rFonts w:ascii="Cambria Math" w:eastAsia="Times New Roman" w:hAnsi="Cambria Math" w:cs="Cambria Math"/>
          <w:bCs/>
          <w:color w:val="000000"/>
          <w:sz w:val="24"/>
          <w:szCs w:val="24"/>
          <w:vertAlign w:val="subscript"/>
          <w:lang w:bidi="ar-SA"/>
        </w:rPr>
        <w:t xml:space="preserve"> </w:t>
      </w:r>
      <w:r w:rsidRPr="00016E2A">
        <w:rPr>
          <w:rFonts w:ascii="Times New Roman" w:eastAsia="Times New Roman" w:hAnsi="Times New Roman" w:cs="Times New Roman"/>
          <w:bCs/>
          <w:color w:val="000000"/>
          <w:sz w:val="24"/>
          <w:szCs w:val="24"/>
          <w:lang w:bidi="ar-SA"/>
        </w:rPr>
        <w:t xml:space="preserve">+ </w:t>
      </w:r>
      <w:r w:rsidRPr="00016E2A">
        <w:rPr>
          <w:rFonts w:ascii="Cambria Math" w:eastAsia="Times New Roman" w:hAnsi="Cambria Math" w:cs="Cambria Math"/>
          <w:bCs/>
          <w:color w:val="000000"/>
          <w:sz w:val="24"/>
          <w:szCs w:val="24"/>
          <w:lang w:bidi="ar-SA"/>
        </w:rPr>
        <w:t>𝒃</w:t>
      </w:r>
      <w:r w:rsidRPr="00016E2A">
        <w:rPr>
          <w:rFonts w:ascii="Cambria Math" w:eastAsia="Times New Roman" w:hAnsi="Cambria Math" w:cs="Cambria Math"/>
          <w:bCs/>
          <w:color w:val="000000"/>
          <w:sz w:val="24"/>
          <w:szCs w:val="24"/>
          <w:vertAlign w:val="subscript"/>
          <w:lang w:bidi="ar-SA"/>
        </w:rPr>
        <w:t>𝒊</w:t>
      </w:r>
      <m:oMath>
        <m:nary>
          <m:naryPr>
            <m:chr m:val="∑"/>
            <m:ctrlPr>
              <w:rPr>
                <w:rFonts w:ascii="Cambria Math" w:eastAsia="Times New Roman" w:hAnsi="Cambria Math" w:cs="Times New Roman"/>
                <w:b/>
                <w:color w:val="000000"/>
                <w:sz w:val="24"/>
                <w:szCs w:val="24"/>
                <w:lang w:val="en-US" w:bidi="ar-SA"/>
              </w:rPr>
            </m:ctrlPr>
          </m:naryPr>
          <m:sub>
            <m:r>
              <m:rPr>
                <m:sty m:val="b"/>
              </m:rPr>
              <w:rPr>
                <w:rFonts w:ascii="Cambria Math" w:eastAsia="Times New Roman" w:hAnsi="Cambria Math" w:cs="Times New Roman"/>
                <w:color w:val="000000"/>
                <w:sz w:val="24"/>
                <w:szCs w:val="24"/>
                <w:lang w:val="en-US" w:bidi="ar-SA"/>
              </w:rPr>
              <m:t>i=1</m:t>
            </m:r>
          </m:sub>
          <m:sup>
            <m:r>
              <m:rPr>
                <m:sty m:val="b"/>
              </m:rPr>
              <w:rPr>
                <w:rFonts w:ascii="Cambria Math" w:eastAsia="Times New Roman" w:hAnsi="Cambria Math" w:cs="Times New Roman"/>
                <w:color w:val="000000"/>
                <w:sz w:val="24"/>
                <w:szCs w:val="24"/>
                <w:lang w:val="en-US" w:bidi="ar-SA"/>
              </w:rPr>
              <m:t>p</m:t>
            </m:r>
          </m:sup>
          <m:e>
            <m:sSub>
              <m:sSubPr>
                <m:ctrlPr>
                  <w:rPr>
                    <w:rFonts w:ascii="Cambria Math" w:eastAsia="Times New Roman" w:hAnsi="Cambria Math" w:cs="Times New Roman"/>
                    <w:b/>
                    <w:color w:val="000000"/>
                    <w:sz w:val="24"/>
                    <w:szCs w:val="24"/>
                    <w:lang w:val="en-US" w:bidi="ar-SA"/>
                  </w:rPr>
                </m:ctrlPr>
              </m:sSubPr>
              <m:e>
                <m:r>
                  <m:rPr>
                    <m:sty m:val="b"/>
                  </m:rPr>
                  <w:rPr>
                    <w:rFonts w:ascii="Cambria Math" w:eastAsia="Times New Roman" w:hAnsi="Cambria Math" w:cs="Times New Roman"/>
                    <w:color w:val="000000"/>
                    <w:sz w:val="24"/>
                    <w:szCs w:val="24"/>
                    <w:lang w:val="en-US" w:bidi="ar-SA"/>
                  </w:rPr>
                  <m:t>∆Y</m:t>
                </m:r>
              </m:e>
              <m:sub>
                <m:r>
                  <m:rPr>
                    <m:sty m:val="b"/>
                  </m:rPr>
                  <w:rPr>
                    <w:rFonts w:ascii="Cambria Math" w:eastAsia="Times New Roman" w:hAnsi="Cambria Math" w:cs="Times New Roman"/>
                    <w:color w:val="000000"/>
                    <w:sz w:val="24"/>
                    <w:szCs w:val="24"/>
                    <w:lang w:val="en-US" w:bidi="ar-SA"/>
                  </w:rPr>
                  <m:t>it-n</m:t>
                </m:r>
              </m:sub>
            </m:sSub>
          </m:e>
        </m:nary>
        <m:r>
          <m:rPr>
            <m:sty m:val="bi"/>
          </m:rPr>
          <w:rPr>
            <w:rFonts w:ascii="Cambria Math" w:eastAsia="Times New Roman" w:hAnsi="Cambria Math" w:cs="Times New Roman"/>
            <w:color w:val="000000"/>
            <w:sz w:val="24"/>
            <w:szCs w:val="24"/>
            <w:lang w:val="en-US" w:bidi="ar-SA"/>
          </w:rPr>
          <m:t xml:space="preserve"> </m:t>
        </m:r>
      </m:oMath>
      <w:r w:rsidRPr="00BE0AA2">
        <w:rPr>
          <w:rFonts w:ascii="Times New Roman" w:eastAsia="Times New Roman" w:hAnsi="Times New Roman" w:cs="Times New Roman"/>
          <w:b/>
          <w:color w:val="000000"/>
          <w:sz w:val="24"/>
          <w:szCs w:val="24"/>
          <w:lang w:bidi="ar-SA"/>
        </w:rPr>
        <w:t xml:space="preserve">+ </w:t>
      </w:r>
      <w:r w:rsidRPr="00BE0AA2">
        <w:rPr>
          <w:rFonts w:ascii="Cambria Math" w:eastAsia="Times New Roman" w:hAnsi="Cambria Math" w:cs="Cambria Math"/>
          <w:b/>
          <w:color w:val="000000"/>
          <w:sz w:val="24"/>
          <w:szCs w:val="24"/>
          <w:lang w:bidi="ar-SA"/>
        </w:rPr>
        <w:t>𝜀</w:t>
      </w:r>
      <w:r w:rsidRPr="00BE0AA2">
        <w:rPr>
          <w:rFonts w:ascii="Cambria Math" w:eastAsia="Times New Roman" w:hAnsi="Cambria Math" w:cs="Cambria Math"/>
          <w:b/>
          <w:color w:val="000000"/>
          <w:sz w:val="24"/>
          <w:szCs w:val="24"/>
          <w:vertAlign w:val="subscript"/>
          <w:lang w:bidi="ar-SA"/>
        </w:rPr>
        <w:t>𝒕</w:t>
      </w:r>
    </w:p>
    <w:p w:rsidR="00F52852" w:rsidRPr="00F52852" w:rsidRDefault="00F52852" w:rsidP="00F52852">
      <w:pPr>
        <w:widowControl w:val="0"/>
        <w:spacing w:after="0" w:line="360" w:lineRule="auto"/>
        <w:ind w:firstLine="720"/>
        <w:rPr>
          <w:rFonts w:ascii="Times New Roman" w:eastAsia="Times New Roman" w:hAnsi="Times New Roman" w:cs="Times New Roman"/>
          <w:color w:val="000000"/>
          <w:sz w:val="24"/>
          <w:szCs w:val="24"/>
          <w:lang w:bidi="ar-SA"/>
        </w:rPr>
      </w:pPr>
      <w:r w:rsidRPr="00D86110">
        <w:rPr>
          <w:rFonts w:ascii="Times New Roman" w:eastAsia="Times New Roman" w:hAnsi="Times New Roman" w:cs="Times New Roman"/>
          <w:color w:val="000000"/>
          <w:sz w:val="24"/>
          <w:szCs w:val="24"/>
          <w:lang w:bidi="ar-SA"/>
        </w:rPr>
        <w:t>Where:</w:t>
      </w:r>
      <w:r>
        <w:rPr>
          <w:rFonts w:ascii="Times New Roman" w:eastAsia="Times New Roman" w:hAnsi="Times New Roman" w:cs="Times New Roman"/>
          <w:color w:val="000000"/>
          <w:sz w:val="24"/>
          <w:szCs w:val="24"/>
          <w:lang w:bidi="ar-SA"/>
        </w:rPr>
        <w:t xml:space="preserve"> </w:t>
      </w:r>
      <w:r w:rsidRPr="007358A7">
        <w:rPr>
          <w:rFonts w:ascii="Cambria Math" w:eastAsia="Times New Roman" w:hAnsi="Cambria Math" w:cs="Cambria Math"/>
          <w:color w:val="000000"/>
          <w:sz w:val="24"/>
          <w:szCs w:val="24"/>
          <w:lang w:bidi="ar-SA"/>
        </w:rPr>
        <w:t>𝒀</w:t>
      </w:r>
      <w:r w:rsidRPr="00D86110">
        <w:rPr>
          <w:rFonts w:ascii="Cambria Math" w:eastAsia="Times New Roman" w:hAnsi="Cambria Math" w:cs="Cambria Math"/>
          <w:color w:val="000000"/>
          <w:sz w:val="24"/>
          <w:szCs w:val="24"/>
          <w:vertAlign w:val="subscript"/>
          <w:lang w:bidi="ar-SA"/>
        </w:rPr>
        <w:t>𝒊𝒕</w:t>
      </w:r>
      <w:r>
        <w:rPr>
          <w:rFonts w:ascii="Cambria Math" w:eastAsia="Times New Roman" w:hAnsi="Cambria Math" w:cs="Cambria Math"/>
          <w:color w:val="000000"/>
          <w:sz w:val="24"/>
          <w:szCs w:val="24"/>
          <w:vertAlign w:val="subscript"/>
          <w:lang w:bidi="ar-SA"/>
        </w:rPr>
        <w:t xml:space="preserve"> </w:t>
      </w:r>
      <w:r w:rsidRPr="00D86110">
        <w:rPr>
          <w:rFonts w:ascii="Times New Roman" w:eastAsia="Times New Roman" w:hAnsi="Times New Roman" w:cs="Times New Roman"/>
          <w:color w:val="000000"/>
          <w:sz w:val="24"/>
          <w:szCs w:val="24"/>
          <w:lang w:val="en-US" w:bidi="ar-SA"/>
        </w:rPr>
        <w:t>is the price of commodity ‘i’ at time ‘t’;</w:t>
      </w:r>
      <m:oMath>
        <m:sSub>
          <m:sSubPr>
            <m:ctrlPr>
              <w:rPr>
                <w:rFonts w:ascii="Cambria Math" w:eastAsia="Times New Roman" w:hAnsi="Cambria Math" w:cs="Times New Roman"/>
                <w:iCs/>
                <w:color w:val="000000"/>
                <w:sz w:val="24"/>
                <w:szCs w:val="24"/>
                <w:lang w:val="en-US" w:bidi="ar-SA"/>
              </w:rPr>
            </m:ctrlPr>
          </m:sSubPr>
          <m:e>
            <m:r>
              <m:rPr>
                <m:sty m:val="p"/>
              </m:rPr>
              <w:rPr>
                <w:rFonts w:ascii="Cambria Math" w:eastAsia="Times New Roman" w:hAnsi="Cambria Math" w:cs="Times New Roman"/>
                <w:color w:val="000000"/>
                <w:sz w:val="24"/>
                <w:szCs w:val="24"/>
                <w:lang w:val="en-US" w:bidi="ar-SA"/>
              </w:rPr>
              <m:t xml:space="preserve"> ∆</m:t>
            </m:r>
            <m:r>
              <m:rPr>
                <m:sty m:val="p"/>
              </m:rPr>
              <w:rPr>
                <w:rFonts w:ascii="Cambria Math" w:eastAsia="Times New Roman" w:hAnsi="Cambria Math" w:cs="Times New Roman"/>
                <w:color w:val="000000"/>
                <w:sz w:val="24"/>
                <w:szCs w:val="24"/>
                <w:vertAlign w:val="subscript"/>
                <w:lang w:bidi="ar-SA"/>
              </w:rPr>
              <m:t>Y</m:t>
            </m:r>
          </m:e>
          <m:sub>
            <m:r>
              <m:rPr>
                <m:sty m:val="p"/>
              </m:rPr>
              <w:rPr>
                <w:rFonts w:ascii="Cambria Math" w:eastAsia="Times New Roman" w:hAnsi="Cambria Math" w:cs="Times New Roman"/>
                <w:color w:val="000000"/>
                <w:sz w:val="24"/>
                <w:szCs w:val="24"/>
                <w:vertAlign w:val="subscript"/>
                <w:lang w:bidi="ar-SA"/>
              </w:rPr>
              <m:t>it-n</m:t>
            </m:r>
          </m:sub>
        </m:sSub>
      </m:oMath>
      <w:r w:rsidRPr="00D86110">
        <w:rPr>
          <w:rFonts w:ascii="Times New Roman" w:eastAsia="Times New Roman" w:hAnsi="Times New Roman" w:cs="Times New Roman"/>
          <w:color w:val="000000"/>
          <w:sz w:val="24"/>
          <w:szCs w:val="24"/>
          <w:lang w:val="en-US" w:bidi="ar-SA"/>
        </w:rPr>
        <w:t xml:space="preserve"> = </w:t>
      </w:r>
      <w:r w:rsidRPr="00016E2A">
        <w:rPr>
          <w:rFonts w:ascii="Cambria Math" w:eastAsia="Times New Roman" w:hAnsi="Cambria Math" w:cs="Cambria Math"/>
          <w:color w:val="000000"/>
          <w:sz w:val="24"/>
          <w:szCs w:val="24"/>
          <w:lang w:bidi="ar-SA"/>
        </w:rPr>
        <w:t>𝒀</w:t>
      </w:r>
      <w:r w:rsidRPr="00D86110">
        <w:rPr>
          <w:rFonts w:ascii="Cambria Math" w:eastAsia="Times New Roman" w:hAnsi="Cambria Math" w:cs="Cambria Math"/>
          <w:color w:val="000000"/>
          <w:sz w:val="24"/>
          <w:szCs w:val="24"/>
          <w:vertAlign w:val="subscript"/>
          <w:lang w:bidi="ar-SA"/>
        </w:rPr>
        <w:t>𝒊𝒕</w:t>
      </w:r>
      <w:r w:rsidRPr="00D86110">
        <w:rPr>
          <w:rFonts w:ascii="Times New Roman" w:eastAsia="Times New Roman" w:hAnsi="Times New Roman" w:cs="Times New Roman"/>
          <w:color w:val="000000"/>
          <w:sz w:val="24"/>
          <w:szCs w:val="24"/>
          <w:vertAlign w:val="subscript"/>
          <w:lang w:bidi="ar-SA"/>
        </w:rPr>
        <w:t>-1</w:t>
      </w:r>
      <w:r w:rsidRPr="00D86110">
        <w:rPr>
          <w:rFonts w:ascii="Times New Roman" w:eastAsia="Times New Roman" w:hAnsi="Times New Roman" w:cs="Times New Roman"/>
          <w:color w:val="000000"/>
          <w:sz w:val="24"/>
          <w:szCs w:val="24"/>
          <w:lang w:val="en-US" w:bidi="ar-SA"/>
        </w:rPr>
        <w:t xml:space="preserve">- </w:t>
      </w:r>
      <w:r w:rsidRPr="00D86110">
        <w:rPr>
          <w:rFonts w:ascii="Cambria Math" w:eastAsia="Times New Roman" w:hAnsi="Cambria Math" w:cs="Cambria Math"/>
          <w:color w:val="000000"/>
          <w:sz w:val="24"/>
          <w:szCs w:val="24"/>
          <w:lang w:val="en-US" w:bidi="ar-SA"/>
        </w:rPr>
        <w:t>𝒀</w:t>
      </w:r>
      <w:r w:rsidRPr="00D86110">
        <w:rPr>
          <w:rFonts w:ascii="Cambria Math" w:eastAsia="Times New Roman" w:hAnsi="Cambria Math" w:cs="Cambria Math"/>
          <w:color w:val="000000"/>
          <w:sz w:val="24"/>
          <w:szCs w:val="24"/>
          <w:vertAlign w:val="subscript"/>
          <w:lang w:val="en-US" w:bidi="ar-SA"/>
        </w:rPr>
        <w:t>𝒊𝒕</w:t>
      </w:r>
      <w:r w:rsidRPr="00D86110">
        <w:rPr>
          <w:rFonts w:ascii="Times New Roman" w:eastAsia="Times New Roman" w:hAnsi="Times New Roman" w:cs="Times New Roman"/>
          <w:color w:val="000000"/>
          <w:sz w:val="24"/>
          <w:szCs w:val="24"/>
          <w:vertAlign w:val="subscript"/>
          <w:lang w:val="en-US" w:bidi="ar-SA"/>
        </w:rPr>
        <w:t>-2</w:t>
      </w:r>
      <w:r w:rsidRPr="00D86110">
        <w:rPr>
          <w:rFonts w:ascii="Times New Roman" w:eastAsia="Times New Roman" w:hAnsi="Times New Roman" w:cs="Times New Roman"/>
          <w:color w:val="000000"/>
          <w:sz w:val="24"/>
          <w:szCs w:val="24"/>
          <w:lang w:val="en-US" w:bidi="ar-SA"/>
        </w:rPr>
        <w:t xml:space="preserve"> in which ‘it-n’ refers to lagged series; ‘Δ’ refers to difference; </w:t>
      </w:r>
      <w:r w:rsidRPr="00D86110">
        <w:rPr>
          <w:rFonts w:ascii="Times New Roman" w:eastAsia="Times New Roman" w:hAnsi="Times New Roman" w:cs="Times New Roman"/>
          <w:color w:val="000000"/>
          <w:sz w:val="24"/>
          <w:szCs w:val="24"/>
          <w:lang w:bidi="ar-SA"/>
        </w:rPr>
        <w:t>‘</w:t>
      </w:r>
      <w:r w:rsidRPr="00D86110">
        <w:rPr>
          <w:rFonts w:ascii="Times New Roman" w:eastAsia="Times New Roman" w:hAnsi="Times New Roman" w:cs="Times New Roman"/>
          <w:color w:val="000000"/>
          <w:sz w:val="24"/>
          <w:szCs w:val="24"/>
          <w:lang w:eastAsia="en-IN" w:bidi="ar-SA"/>
        </w:rPr>
        <w:t>T’ refers to the time trend;</w:t>
      </w:r>
      <w:r w:rsidRPr="00D86110">
        <w:rPr>
          <w:rFonts w:ascii="Times New Roman" w:eastAsia="Times New Roman" w:hAnsi="Times New Roman" w:cs="Times New Roman"/>
          <w:color w:val="000000"/>
          <w:sz w:val="24"/>
          <w:szCs w:val="24"/>
          <w:lang w:bidi="ar-SA"/>
        </w:rPr>
        <w:t xml:space="preserve"> ‘</w:t>
      </w:r>
      <w:r w:rsidRPr="00D86110">
        <w:rPr>
          <w:rFonts w:ascii="Times New Roman" w:eastAsia="Times New Roman" w:hAnsi="Times New Roman" w:cs="Times New Roman"/>
          <w:color w:val="000000"/>
          <w:sz w:val="24"/>
          <w:szCs w:val="24"/>
          <w:lang w:val="en-US" w:bidi="ar-SA"/>
        </w:rPr>
        <w:t>α’ is the drift (constant) parameter;</w:t>
      </w:r>
      <w:r w:rsidRPr="00D86110">
        <w:rPr>
          <w:rFonts w:ascii="Times New Roman" w:eastAsia="Times New Roman" w:hAnsi="Times New Roman" w:cs="Times New Roman"/>
          <w:color w:val="000000"/>
          <w:sz w:val="24"/>
          <w:szCs w:val="24"/>
          <w:lang w:bidi="ar-SA"/>
        </w:rPr>
        <w:t>‘</w:t>
      </w:r>
      <w:proofErr w:type="spellStart"/>
      <w:r w:rsidRPr="00D86110">
        <w:rPr>
          <w:rFonts w:ascii="Cambria Math" w:eastAsia="Times New Roman" w:hAnsi="Cambria Math"/>
          <w:color w:val="000000"/>
          <w:sz w:val="24"/>
          <w:szCs w:val="24"/>
          <w:lang w:val="en-US" w:bidi="ar-SA"/>
        </w:rPr>
        <w:t>δ</w:t>
      </w:r>
      <w:r w:rsidRPr="00D86110">
        <w:rPr>
          <w:rFonts w:ascii="Cambria Math" w:eastAsia="Times New Roman" w:hAnsi="Cambria Math"/>
          <w:color w:val="000000"/>
          <w:sz w:val="24"/>
          <w:szCs w:val="24"/>
          <w:vertAlign w:val="subscript"/>
          <w:lang w:val="en-US" w:bidi="ar-SA"/>
        </w:rPr>
        <w:t>i</w:t>
      </w:r>
      <w:proofErr w:type="spellEnd"/>
      <w:r w:rsidRPr="00D86110">
        <w:rPr>
          <w:rFonts w:ascii="Cambria Math" w:eastAsia="Times New Roman" w:hAnsi="Cambria Math"/>
          <w:color w:val="000000"/>
          <w:sz w:val="24"/>
          <w:szCs w:val="24"/>
          <w:lang w:val="en-US" w:bidi="ar-SA"/>
        </w:rPr>
        <w:t>, β</w:t>
      </w:r>
      <w:proofErr w:type="spellStart"/>
      <w:r w:rsidRPr="00D86110">
        <w:rPr>
          <w:rFonts w:ascii="Cambria Math" w:eastAsia="Times New Roman" w:hAnsi="Cambria Math"/>
          <w:color w:val="000000"/>
          <w:sz w:val="24"/>
          <w:szCs w:val="24"/>
          <w:vertAlign w:val="subscript"/>
          <w:lang w:val="en-US" w:bidi="ar-SA"/>
        </w:rPr>
        <w:t>i</w:t>
      </w:r>
      <w:proofErr w:type="spellEnd"/>
      <w:r w:rsidRPr="00D86110">
        <w:rPr>
          <w:rFonts w:ascii="Cambria Math" w:eastAsia="Times New Roman" w:hAnsi="Cambria Math"/>
          <w:color w:val="000000"/>
          <w:sz w:val="24"/>
          <w:szCs w:val="24"/>
          <w:lang w:val="en-US" w:bidi="ar-SA"/>
        </w:rPr>
        <w:t>, b</w:t>
      </w:r>
      <w:r w:rsidRPr="00D86110">
        <w:rPr>
          <w:rFonts w:ascii="Cambria Math" w:eastAsia="Times New Roman" w:hAnsi="Cambria Math"/>
          <w:color w:val="000000"/>
          <w:sz w:val="24"/>
          <w:szCs w:val="24"/>
          <w:vertAlign w:val="subscript"/>
          <w:lang w:val="en-US" w:bidi="ar-SA"/>
        </w:rPr>
        <w:t>i</w:t>
      </w:r>
      <w:r w:rsidRPr="00D86110">
        <w:rPr>
          <w:rFonts w:ascii="Cambria Math" w:eastAsia="Times New Roman" w:hAnsi="Cambria Math"/>
          <w:color w:val="000000"/>
          <w:sz w:val="24"/>
          <w:szCs w:val="24"/>
          <w:lang w:val="en-US" w:bidi="ar-SA"/>
        </w:rPr>
        <w:t xml:space="preserve">’ </w:t>
      </w:r>
      <w:r w:rsidRPr="00BE0AA2">
        <w:rPr>
          <w:rFonts w:ascii="Times New Roman" w:eastAsia="Times New Roman" w:hAnsi="Times New Roman" w:cs="Times New Roman"/>
          <w:color w:val="000000"/>
          <w:sz w:val="24"/>
          <w:szCs w:val="24"/>
          <w:lang w:val="en-US" w:bidi="ar-SA"/>
        </w:rPr>
        <w:t>are</w:t>
      </w:r>
      <w:r w:rsidRPr="00D86110">
        <w:rPr>
          <w:rFonts w:ascii="Cambria Math" w:eastAsia="Times New Roman" w:hAnsi="Cambria Math"/>
          <w:color w:val="000000"/>
          <w:sz w:val="24"/>
          <w:szCs w:val="24"/>
          <w:lang w:val="en-US" w:bidi="ar-SA"/>
        </w:rPr>
        <w:t xml:space="preserve"> the </w:t>
      </w:r>
      <w:r w:rsidRPr="00D86110">
        <w:rPr>
          <w:rFonts w:ascii="Times New Roman" w:eastAsia="Times New Roman" w:hAnsi="Times New Roman" w:cs="Times New Roman"/>
          <w:color w:val="000000"/>
          <w:sz w:val="24"/>
          <w:szCs w:val="24"/>
          <w:lang w:val="en-US" w:bidi="ar-SA"/>
        </w:rPr>
        <w:t>parametric coefficients to be estimated</w:t>
      </w:r>
      <w:r w:rsidRPr="00D86110">
        <w:rPr>
          <w:rFonts w:ascii="Cambria Math" w:eastAsia="Times New Roman" w:hAnsi="Cambria Math"/>
          <w:color w:val="000000"/>
          <w:sz w:val="24"/>
          <w:szCs w:val="24"/>
          <w:lang w:val="en-US" w:bidi="ar-SA"/>
        </w:rPr>
        <w:t>;</w:t>
      </w:r>
      <w:r w:rsidRPr="00D86110">
        <w:rPr>
          <w:rFonts w:ascii="Cambria Math" w:eastAsia="Times New Roman" w:hAnsi="Cambria Math" w:cs="Cambria Math"/>
          <w:color w:val="000000"/>
          <w:sz w:val="26"/>
          <w:szCs w:val="26"/>
          <w:lang w:eastAsia="en-IN" w:bidi="ar-SA"/>
        </w:rPr>
        <w:t>‘𝜀</w:t>
      </w:r>
      <w:r w:rsidRPr="00D86110">
        <w:rPr>
          <w:rFonts w:ascii="Cambria Math" w:eastAsia="Times New Roman" w:hAnsi="Cambria Math" w:cs="Cambria Math"/>
          <w:color w:val="000000"/>
          <w:sz w:val="26"/>
          <w:szCs w:val="26"/>
          <w:vertAlign w:val="subscript"/>
          <w:lang w:eastAsia="en-IN" w:bidi="ar-SA"/>
        </w:rPr>
        <w:t>𝒕</w:t>
      </w:r>
      <w:r w:rsidRPr="00D86110">
        <w:rPr>
          <w:rFonts w:ascii="Cambria Math" w:eastAsia="Times New Roman" w:hAnsi="Cambria Math" w:cs="Cambria Math"/>
          <w:color w:val="000000"/>
          <w:sz w:val="26"/>
          <w:szCs w:val="26"/>
          <w:lang w:eastAsia="en-IN" w:bidi="ar-SA"/>
        </w:rPr>
        <w:t>’</w:t>
      </w:r>
      <w:r w:rsidRPr="00D86110">
        <w:rPr>
          <w:rFonts w:ascii="Times New Roman" w:eastAsia="Times New Roman" w:hAnsi="Times New Roman" w:cs="Times New Roman"/>
          <w:color w:val="000000"/>
          <w:sz w:val="24"/>
          <w:szCs w:val="24"/>
          <w:lang w:eastAsia="en-IN" w:bidi="ar-SA"/>
        </w:rPr>
        <w:t>is the pure white noise error-term; and</w:t>
      </w:r>
      <w:r w:rsidRPr="00D86110">
        <w:rPr>
          <w:rFonts w:ascii="Times New Roman" w:eastAsia="Times New Roman" w:hAnsi="Times New Roman" w:cs="Times New Roman"/>
          <w:color w:val="000000"/>
          <w:sz w:val="24"/>
          <w:szCs w:val="24"/>
          <w:lang w:bidi="ar-SA"/>
        </w:rPr>
        <w:t xml:space="preserve"> ‘p’ refers to the n</w:t>
      </w:r>
      <w:r w:rsidRPr="00D86110">
        <w:rPr>
          <w:rFonts w:ascii="Times New Roman" w:eastAsia="Times New Roman" w:hAnsi="Times New Roman" w:cs="Times New Roman"/>
          <w:color w:val="000000"/>
          <w:sz w:val="24"/>
          <w:szCs w:val="24"/>
          <w:lang w:eastAsia="en-IN" w:bidi="ar-SA"/>
        </w:rPr>
        <w:t xml:space="preserve">umber of lags necessary to obtain white noise or to remove serial correlation in residuals. </w:t>
      </w:r>
      <w:r w:rsidRPr="00D86110">
        <w:rPr>
          <w:rFonts w:ascii="Times New Roman" w:eastAsia="Times New Roman" w:hAnsi="Times New Roman" w:cs="Times New Roman"/>
          <w:color w:val="000000"/>
          <w:sz w:val="24"/>
          <w:szCs w:val="24"/>
          <w:lang w:bidi="ar-SA"/>
        </w:rPr>
        <w:t xml:space="preserve">This model tests the null hypothesis that the price series </w:t>
      </w:r>
      <w:r w:rsidRPr="00D86110">
        <w:rPr>
          <w:rFonts w:ascii="Cambria Math" w:eastAsia="Times New Roman" w:hAnsi="Cambria Math" w:cs="Cambria Math"/>
          <w:color w:val="000000"/>
          <w:sz w:val="24"/>
          <w:szCs w:val="24"/>
          <w:lang w:bidi="ar-SA"/>
        </w:rPr>
        <w:t>𝑌</w:t>
      </w:r>
      <w:r w:rsidRPr="00D86110">
        <w:rPr>
          <w:rFonts w:ascii="Cambria Math" w:eastAsia="Times New Roman" w:hAnsi="Cambria Math" w:cs="Cambria Math"/>
          <w:color w:val="000000"/>
          <w:sz w:val="24"/>
          <w:szCs w:val="24"/>
          <w:vertAlign w:val="subscript"/>
          <w:lang w:bidi="ar-SA"/>
        </w:rPr>
        <w:t>𝑡</w:t>
      </w:r>
      <w:r>
        <w:rPr>
          <w:rFonts w:ascii="Cambria Math" w:eastAsia="Times New Roman" w:hAnsi="Cambria Math" w:cs="Cambria Math"/>
          <w:color w:val="000000"/>
          <w:sz w:val="24"/>
          <w:szCs w:val="24"/>
          <w:vertAlign w:val="subscript"/>
          <w:lang w:bidi="ar-SA"/>
        </w:rPr>
        <w:t xml:space="preserve"> </w:t>
      </w:r>
      <w:r w:rsidRPr="00D86110">
        <w:rPr>
          <w:rFonts w:ascii="Times New Roman" w:eastAsia="Times New Roman" w:hAnsi="Times New Roman" w:cs="Times New Roman"/>
          <w:color w:val="000000"/>
          <w:sz w:val="24"/>
          <w:szCs w:val="24"/>
          <w:lang w:bidi="ar-SA"/>
        </w:rPr>
        <w:t xml:space="preserve">has a unit root and whether it is stationary or not. This is done by calculating t-statistics for </w:t>
      </w:r>
      <w:r w:rsidRPr="00D86110">
        <w:rPr>
          <w:rFonts w:ascii="Cambria Math" w:eastAsia="Times New Roman" w:hAnsi="Cambria Math" w:cs="Cambria Math"/>
          <w:color w:val="000000"/>
          <w:sz w:val="24"/>
          <w:szCs w:val="24"/>
          <w:lang w:bidi="ar-SA"/>
        </w:rPr>
        <w:t>𝛿</w:t>
      </w:r>
      <w:r w:rsidRPr="00D86110">
        <w:rPr>
          <w:rFonts w:ascii="Cambria Math" w:eastAsia="Times New Roman" w:hAnsi="Cambria Math" w:cs="Cambria Math"/>
          <w:color w:val="000000"/>
          <w:sz w:val="24"/>
          <w:szCs w:val="24"/>
          <w:vertAlign w:val="subscript"/>
          <w:lang w:bidi="ar-SA"/>
        </w:rPr>
        <w:t>𝑖</w:t>
      </w:r>
      <w:r w:rsidRPr="00D86110">
        <w:rPr>
          <w:rFonts w:ascii="Times New Roman" w:eastAsia="Times New Roman" w:hAnsi="Times New Roman" w:cs="Times New Roman"/>
          <w:color w:val="000000"/>
          <w:sz w:val="24"/>
          <w:szCs w:val="24"/>
          <w:lang w:bidi="ar-SA"/>
        </w:rPr>
        <w:t xml:space="preserve"> = 0. If the coefficient </w:t>
      </w:r>
      <w:r w:rsidRPr="00D86110">
        <w:rPr>
          <w:rFonts w:ascii="Cambria Math" w:eastAsia="Times New Roman" w:hAnsi="Cambria Math" w:cs="Cambria Math"/>
          <w:color w:val="000000"/>
          <w:sz w:val="24"/>
          <w:szCs w:val="24"/>
          <w:lang w:bidi="ar-SA"/>
        </w:rPr>
        <w:t>𝛿</w:t>
      </w:r>
      <w:r w:rsidRPr="00D86110">
        <w:rPr>
          <w:rFonts w:ascii="Times New Roman" w:eastAsia="Times New Roman" w:hAnsi="Times New Roman" w:cs="Times New Roman"/>
          <w:color w:val="000000"/>
          <w:sz w:val="24"/>
          <w:szCs w:val="24"/>
          <w:lang w:bidi="ar-SA"/>
        </w:rPr>
        <w:t xml:space="preserve"> is not statistically different from zero, it implies that the series has a unit root, and, therefore, the series is non-stationary</w:t>
      </w:r>
      <w:r>
        <w:rPr>
          <w:rFonts w:ascii="Times New Roman" w:eastAsia="Times New Roman" w:hAnsi="Times New Roman" w:cs="Times New Roman"/>
          <w:color w:val="000000"/>
          <w:sz w:val="24"/>
          <w:szCs w:val="24"/>
          <w:lang w:bidi="ar-SA"/>
        </w:rPr>
        <w:t>.</w:t>
      </w:r>
    </w:p>
    <w:p w:rsidR="00F52852" w:rsidRPr="00F52852" w:rsidRDefault="00F52852" w:rsidP="00F52852">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Optimum Lag selection </w:t>
      </w:r>
    </w:p>
    <w:p w:rsidR="00F52852" w:rsidRPr="00F52852" w:rsidRDefault="00F52852" w:rsidP="00F52852">
      <w:pPr>
        <w:spacing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 xml:space="preserve">Prior to conducting the time series analysis, it was essential to determine the appropriate lag length for the price series, as lags indicate the extent to which past </w:t>
      </w:r>
      <w:r w:rsidRPr="00F52852">
        <w:rPr>
          <w:rFonts w:ascii="Times New Roman" w:hAnsi="Times New Roman" w:cs="Times New Roman"/>
          <w:sz w:val="24"/>
          <w:szCs w:val="24"/>
        </w:rPr>
        <w:lastRenderedPageBreak/>
        <w:t xml:space="preserve">observations influence the current values. The optimal lag length was identified using three standard criteria: the Akaike Information Criterion (AIC), the Schwarz Bayesian Information Criterion (SBIC), and the Hannan–Quinn Information Criterion (HQIC). The lag order corresponding to the minimum value of these measures was selected for the analysis. </w:t>
      </w:r>
    </w:p>
    <w:p w:rsidR="00F52852" w:rsidRPr="00F52852" w:rsidRDefault="00F52852" w:rsidP="00F52852">
      <w:pPr>
        <w:spacing w:line="360" w:lineRule="auto"/>
        <w:rPr>
          <w:rFonts w:ascii="Times New Roman" w:hAnsi="Times New Roman" w:cs="Times New Roman"/>
          <w:b/>
          <w:bCs/>
          <w:sz w:val="24"/>
          <w:szCs w:val="24"/>
        </w:rPr>
      </w:pPr>
      <w:r w:rsidRPr="00F52852">
        <w:rPr>
          <w:rFonts w:ascii="Times New Roman" w:hAnsi="Times New Roman" w:cs="Times New Roman"/>
          <w:sz w:val="24"/>
          <w:szCs w:val="24"/>
        </w:rPr>
        <w:tab/>
      </w:r>
      <w:r w:rsidRPr="00F52852">
        <w:rPr>
          <w:rFonts w:ascii="Times New Roman" w:hAnsi="Times New Roman" w:cs="Times New Roman"/>
          <w:sz w:val="24"/>
          <w:szCs w:val="24"/>
        </w:rPr>
        <w:tab/>
      </w:r>
      <w:r w:rsidRPr="00F52852">
        <w:rPr>
          <w:rFonts w:ascii="Times New Roman" w:hAnsi="Times New Roman" w:cs="Times New Roman"/>
          <w:b/>
          <w:bCs/>
          <w:sz w:val="24"/>
          <w:szCs w:val="24"/>
        </w:rPr>
        <w:t xml:space="preserve">AIC = T ln (sum of squared residuals) + 2n    </w:t>
      </w:r>
    </w:p>
    <w:p w:rsidR="00F52852" w:rsidRPr="00F52852" w:rsidRDefault="00F52852" w:rsidP="00F52852">
      <w:pPr>
        <w:spacing w:line="360" w:lineRule="auto"/>
        <w:rPr>
          <w:rFonts w:ascii="Times New Roman" w:hAnsi="Times New Roman" w:cs="Times New Roman"/>
          <w:b/>
          <w:bCs/>
          <w:sz w:val="24"/>
          <w:szCs w:val="24"/>
        </w:rPr>
      </w:pPr>
      <w:r w:rsidRPr="00F52852">
        <w:rPr>
          <w:rFonts w:ascii="Times New Roman" w:hAnsi="Times New Roman" w:cs="Times New Roman"/>
          <w:b/>
          <w:bCs/>
          <w:sz w:val="24"/>
          <w:szCs w:val="24"/>
        </w:rPr>
        <w:tab/>
      </w:r>
      <w:r w:rsidRPr="00F52852">
        <w:rPr>
          <w:rFonts w:ascii="Times New Roman" w:hAnsi="Times New Roman" w:cs="Times New Roman"/>
          <w:b/>
          <w:bCs/>
          <w:sz w:val="24"/>
          <w:szCs w:val="24"/>
        </w:rPr>
        <w:tab/>
        <w:t xml:space="preserve">SBIC = T ln (Sum of squared residuals) + n ln (T)    </w:t>
      </w:r>
    </w:p>
    <w:p w:rsidR="00F52852" w:rsidRPr="00F52852" w:rsidRDefault="00F52852" w:rsidP="00C212DB">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ab/>
      </w:r>
      <w:r w:rsidRPr="00F52852">
        <w:rPr>
          <w:rFonts w:ascii="Times New Roman" w:hAnsi="Times New Roman" w:cs="Times New Roman"/>
          <w:b/>
          <w:bCs/>
          <w:sz w:val="24"/>
          <w:szCs w:val="24"/>
        </w:rPr>
        <w:tab/>
      </w:r>
      <w:r w:rsidRPr="00BE0AA2">
        <w:rPr>
          <w:rFonts w:ascii="Times New Roman" w:eastAsia="Times New Roman" w:hAnsi="Times New Roman" w:cs="Times New Roman"/>
          <w:b/>
          <w:bCs/>
          <w:color w:val="000000"/>
          <w:sz w:val="24"/>
          <w:szCs w:val="24"/>
          <w:lang w:eastAsia="en-IN" w:bidi="ar-SA"/>
        </w:rPr>
        <w:t xml:space="preserve">HQIC = T ln </w:t>
      </w:r>
      <m:oMath>
        <m:d>
          <m:dPr>
            <m:ctrlPr>
              <w:rPr>
                <w:rFonts w:ascii="Cambria Math" w:eastAsia="Times New Roman" w:hAnsi="Cambria Math" w:cs="Times New Roman"/>
                <w:b/>
                <w:bCs/>
                <w:i/>
                <w:color w:val="000000"/>
                <w:sz w:val="24"/>
                <w:szCs w:val="24"/>
                <w:lang w:eastAsia="en-IN" w:bidi="ar-SA"/>
              </w:rPr>
            </m:ctrlPr>
          </m:dPr>
          <m:e>
            <m:f>
              <m:fPr>
                <m:ctrlPr>
                  <w:rPr>
                    <w:rFonts w:ascii="Cambria Math" w:eastAsia="Times New Roman" w:hAnsi="Cambria Math" w:cs="Times New Roman"/>
                    <w:b/>
                    <w:bCs/>
                    <w:iCs/>
                    <w:color w:val="000000"/>
                    <w:sz w:val="28"/>
                    <w:szCs w:val="28"/>
                    <w:lang w:eastAsia="en-IN" w:bidi="ar-SA"/>
                  </w:rPr>
                </m:ctrlPr>
              </m:fPr>
              <m:num>
                <m:r>
                  <m:rPr>
                    <m:sty m:val="b"/>
                  </m:rPr>
                  <w:rPr>
                    <w:rFonts w:ascii="Cambria Math" w:eastAsia="Times New Roman" w:hAnsi="Cambria Math" w:cs="Times New Roman"/>
                    <w:color w:val="000000"/>
                    <w:sz w:val="28"/>
                    <w:szCs w:val="28"/>
                    <w:lang w:eastAsia="en-IN" w:bidi="ar-SA"/>
                  </w:rPr>
                  <m:t>Sum of squared residuals</m:t>
                </m:r>
              </m:num>
              <m:den>
                <m:r>
                  <m:rPr>
                    <m:sty m:val="b"/>
                  </m:rPr>
                  <w:rPr>
                    <w:rFonts w:ascii="Cambria Math" w:eastAsia="Times New Roman" w:hAnsi="Cambria Math" w:cs="Times New Roman"/>
                    <w:color w:val="000000"/>
                    <w:sz w:val="28"/>
                    <w:szCs w:val="28"/>
                    <w:lang w:eastAsia="en-IN" w:bidi="ar-SA"/>
                  </w:rPr>
                  <m:t>T</m:t>
                </m:r>
              </m:den>
            </m:f>
          </m:e>
        </m:d>
      </m:oMath>
      <w:r w:rsidRPr="00BE0AA2">
        <w:rPr>
          <w:rFonts w:ascii="Times New Roman" w:eastAsia="Times New Roman" w:hAnsi="Times New Roman" w:cs="Times New Roman"/>
          <w:b/>
          <w:bCs/>
          <w:color w:val="000000"/>
          <w:sz w:val="28"/>
          <w:szCs w:val="28"/>
          <w:lang w:eastAsia="en-IN" w:bidi="ar-SA"/>
        </w:rPr>
        <w:t xml:space="preserve"> +</w:t>
      </w:r>
      <w:r w:rsidRPr="00BE0AA2">
        <w:rPr>
          <w:rFonts w:ascii="Times New Roman" w:eastAsia="Times New Roman" w:hAnsi="Times New Roman" w:cs="Times New Roman"/>
          <w:b/>
          <w:bCs/>
          <w:color w:val="000000"/>
          <w:sz w:val="24"/>
          <w:szCs w:val="24"/>
          <w:lang w:eastAsia="en-IN" w:bidi="ar-SA"/>
        </w:rPr>
        <w:t xml:space="preserve"> 2n. Ln (ln (T))                      </w:t>
      </w:r>
    </w:p>
    <w:p w:rsidR="00F52852" w:rsidRPr="00F52852" w:rsidRDefault="00F52852" w:rsidP="00F52852">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Where: </w:t>
      </w:r>
    </w:p>
    <w:p w:rsidR="00F52852" w:rsidRPr="00F52852" w:rsidRDefault="00F52852" w:rsidP="00C64C28">
      <w:pPr>
        <w:spacing w:after="0"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n = number of parameters estimated</w:t>
      </w:r>
    </w:p>
    <w:p w:rsidR="00F52852" w:rsidRPr="00F52852" w:rsidRDefault="00F52852" w:rsidP="00C64C28">
      <w:pPr>
        <w:spacing w:after="0"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T = number of usable observations</w:t>
      </w:r>
    </w:p>
    <w:p w:rsidR="00F52852" w:rsidRPr="00F52852" w:rsidRDefault="00F52852" w:rsidP="00C64C28">
      <w:pPr>
        <w:spacing w:after="0" w:line="360" w:lineRule="auto"/>
        <w:rPr>
          <w:rFonts w:ascii="Times New Roman" w:hAnsi="Times New Roman" w:cs="Times New Roman"/>
          <w:sz w:val="24"/>
          <w:szCs w:val="24"/>
        </w:rPr>
      </w:pPr>
      <w:r w:rsidRPr="00F52852">
        <w:rPr>
          <w:rFonts w:ascii="Times New Roman" w:hAnsi="Times New Roman" w:cs="Times New Roman"/>
          <w:sz w:val="24"/>
          <w:szCs w:val="24"/>
        </w:rPr>
        <w:t xml:space="preserve">AIC was the preferred choice for measuring appropriate lag length in case of any contradicting results (Gujarati </w:t>
      </w:r>
      <w:r w:rsidRPr="00F52852">
        <w:rPr>
          <w:rFonts w:ascii="Times New Roman" w:hAnsi="Times New Roman" w:cs="Times New Roman"/>
          <w:i/>
          <w:iCs/>
          <w:sz w:val="24"/>
          <w:szCs w:val="24"/>
        </w:rPr>
        <w:t>et al.,</w:t>
      </w:r>
      <w:r w:rsidRPr="00F52852">
        <w:rPr>
          <w:rFonts w:ascii="Times New Roman" w:hAnsi="Times New Roman" w:cs="Times New Roman"/>
          <w:sz w:val="24"/>
          <w:szCs w:val="24"/>
        </w:rPr>
        <w:t xml:space="preserve"> 2012). </w:t>
      </w:r>
    </w:p>
    <w:p w:rsidR="00F52852" w:rsidRPr="00F52852" w:rsidRDefault="00F52852" w:rsidP="00C64C28">
      <w:pPr>
        <w:spacing w:before="120"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Johansen Co-integration test </w:t>
      </w:r>
    </w:p>
    <w:p w:rsidR="00F52852" w:rsidRDefault="00F52852" w:rsidP="00C212DB">
      <w:pPr>
        <w:spacing w:after="0"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 xml:space="preserve">After confirming stationarity, integration between considered price series was tested using Johansen’s co-integration analysis. The co-integration test was first introduced by Engle and Granger (1987) and then developed and modified by Johansen and </w:t>
      </w:r>
      <w:proofErr w:type="spellStart"/>
      <w:r w:rsidRPr="00F52852">
        <w:rPr>
          <w:rFonts w:ascii="Times New Roman" w:hAnsi="Times New Roman" w:cs="Times New Roman"/>
          <w:sz w:val="24"/>
          <w:szCs w:val="24"/>
        </w:rPr>
        <w:t>Juselius</w:t>
      </w:r>
      <w:proofErr w:type="spellEnd"/>
      <w:r w:rsidRPr="00F52852">
        <w:rPr>
          <w:rFonts w:ascii="Times New Roman" w:hAnsi="Times New Roman" w:cs="Times New Roman"/>
          <w:sz w:val="24"/>
          <w:szCs w:val="24"/>
        </w:rPr>
        <w:t xml:space="preserve"> (1990) to test the long run relationship among the price series. The number of co-integrating vectors was detected by applying Trace test likelihood ratio tests: </w:t>
      </w:r>
    </w:p>
    <w:p w:rsidR="00F52852" w:rsidRPr="00F52852" w:rsidRDefault="00C953B7" w:rsidP="00F52852">
      <w:pPr>
        <w:widowControl w:val="0"/>
        <w:spacing w:after="0" w:line="360" w:lineRule="auto"/>
        <w:rPr>
          <w:rFonts w:ascii="Times New Roman" w:eastAsia="Times New Roman" w:hAnsi="Times New Roman" w:cs="Times New Roman"/>
          <w:b/>
          <w:color w:val="000000"/>
          <w:sz w:val="24"/>
          <w:szCs w:val="24"/>
          <w:lang w:val="en-US" w:bidi="ar-SA"/>
        </w:rPr>
      </w:pPr>
      <m:oMathPara>
        <m:oMath>
          <m:sSub>
            <m:sSubPr>
              <m:ctrlPr>
                <w:rPr>
                  <w:rFonts w:ascii="Cambria Math" w:eastAsia="Times New Roman" w:hAnsi="Cambria Math" w:cs="Times New Roman"/>
                  <w:b/>
                  <w:i/>
                  <w:color w:val="000000"/>
                  <w:sz w:val="24"/>
                  <w:szCs w:val="24"/>
                  <w:lang w:val="en-US" w:bidi="ar-SA"/>
                </w:rPr>
              </m:ctrlPr>
            </m:sSubPr>
            <m:e>
              <m:r>
                <m:rPr>
                  <m:sty m:val="bi"/>
                </m:rPr>
                <w:rPr>
                  <w:rFonts w:ascii="Cambria Math" w:eastAsia="Times New Roman" w:hAnsi="Cambria Math" w:cs="Times New Roman"/>
                  <w:color w:val="000000"/>
                  <w:sz w:val="24"/>
                  <w:szCs w:val="24"/>
                  <w:lang w:val="en-US" w:bidi="ar-SA"/>
                </w:rPr>
                <m:t>Y</m:t>
              </m:r>
            </m:e>
            <m:sub>
              <m:r>
                <m:rPr>
                  <m:sty m:val="bi"/>
                </m:rPr>
                <w:rPr>
                  <w:rFonts w:ascii="Cambria Math" w:eastAsia="Times New Roman" w:hAnsi="Cambria Math" w:cs="Times New Roman"/>
                  <w:color w:val="000000"/>
                  <w:sz w:val="24"/>
                  <w:szCs w:val="24"/>
                  <w:lang w:val="en-US" w:bidi="ar-SA"/>
                </w:rPr>
                <m:t>t</m:t>
              </m:r>
            </m:sub>
          </m:sSub>
          <m:r>
            <m:rPr>
              <m:sty m:val="bi"/>
            </m:rPr>
            <w:rPr>
              <w:rFonts w:ascii="Cambria Math" w:eastAsia="Times New Roman" w:hAnsi="Cambria Math" w:cs="Times New Roman"/>
              <w:color w:val="000000"/>
              <w:sz w:val="24"/>
              <w:szCs w:val="24"/>
              <w:lang w:val="en-US" w:bidi="ar-SA"/>
            </w:rPr>
            <m:t>= μ+</m:t>
          </m:r>
          <m:nary>
            <m:naryPr>
              <m:chr m:val="∑"/>
              <m:limLoc m:val="subSup"/>
              <m:ctrlPr>
                <w:rPr>
                  <w:rFonts w:ascii="Cambria Math" w:eastAsia="Times New Roman" w:hAnsi="Cambria Math" w:cs="Times New Roman"/>
                  <w:b/>
                  <w:color w:val="000000"/>
                  <w:sz w:val="24"/>
                  <w:szCs w:val="24"/>
                  <w:lang w:val="en-US" w:bidi="ar-SA"/>
                </w:rPr>
              </m:ctrlPr>
            </m:naryPr>
            <m:sub>
              <m:r>
                <m:rPr>
                  <m:sty m:val="b"/>
                </m:rPr>
                <w:rPr>
                  <w:rFonts w:ascii="Cambria Math" w:eastAsia="Times New Roman" w:hAnsi="Cambria Math" w:cs="Times New Roman"/>
                  <w:color w:val="000000"/>
                  <w:sz w:val="24"/>
                  <w:szCs w:val="24"/>
                  <w:lang w:val="en-US" w:bidi="ar-SA"/>
                </w:rPr>
                <m:t>l=1</m:t>
              </m:r>
            </m:sub>
            <m:sup>
              <m:r>
                <m:rPr>
                  <m:sty m:val="b"/>
                </m:rPr>
                <w:rPr>
                  <w:rFonts w:ascii="Cambria Math" w:eastAsia="Times New Roman" w:hAnsi="Cambria Math" w:cs="Times New Roman"/>
                  <w:color w:val="000000"/>
                  <w:sz w:val="24"/>
                  <w:szCs w:val="24"/>
                  <w:lang w:val="en-US" w:bidi="ar-SA"/>
                </w:rPr>
                <m:t>p-1</m:t>
              </m:r>
            </m:sup>
            <m:e>
              <m:sSub>
                <m:sSubPr>
                  <m:ctrlPr>
                    <w:rPr>
                      <w:rFonts w:ascii="Cambria Math" w:eastAsia="Times New Roman" w:hAnsi="Cambria Math" w:cs="Times New Roman"/>
                      <w:b/>
                      <w:color w:val="000000"/>
                      <w:sz w:val="24"/>
                      <w:szCs w:val="24"/>
                      <w:lang w:val="en-US" w:bidi="ar-SA"/>
                    </w:rPr>
                  </m:ctrlPr>
                </m:sSubPr>
                <m:e>
                  <m:r>
                    <m:rPr>
                      <m:sty m:val="b"/>
                    </m:rPr>
                    <w:rPr>
                      <w:rFonts w:ascii="Cambria Math" w:eastAsia="Times New Roman" w:hAnsi="Cambria Math" w:cs="Times New Roman"/>
                      <w:color w:val="000000"/>
                      <w:sz w:val="24"/>
                      <w:szCs w:val="24"/>
                      <w:lang w:val="en-US" w:bidi="ar-SA"/>
                    </w:rPr>
                    <m:t>Γ</m:t>
                  </m:r>
                </m:e>
                <m:sub>
                  <m:r>
                    <m:rPr>
                      <m:sty m:val="b"/>
                    </m:rPr>
                    <w:rPr>
                      <w:rFonts w:ascii="Cambria Math" w:eastAsia="Times New Roman" w:hAnsi="Cambria Math" w:cs="Times New Roman"/>
                      <w:color w:val="000000"/>
                      <w:sz w:val="24"/>
                      <w:szCs w:val="24"/>
                      <w:lang w:val="en-US" w:bidi="ar-SA"/>
                    </w:rPr>
                    <m:t xml:space="preserve">i </m:t>
                  </m:r>
                </m:sub>
              </m:sSub>
              <m:sSub>
                <m:sSubPr>
                  <m:ctrlPr>
                    <w:rPr>
                      <w:rFonts w:ascii="Cambria Math" w:eastAsia="Times New Roman" w:hAnsi="Cambria Math" w:cs="Times New Roman"/>
                      <w:b/>
                      <w:color w:val="000000"/>
                      <w:sz w:val="24"/>
                      <w:szCs w:val="24"/>
                      <w:lang w:val="en-US" w:bidi="ar-SA"/>
                    </w:rPr>
                  </m:ctrlPr>
                </m:sSubPr>
                <m:e>
                  <m:r>
                    <m:rPr>
                      <m:sty m:val="b"/>
                    </m:rPr>
                    <w:rPr>
                      <w:rFonts w:ascii="Cambria Math" w:eastAsia="Times New Roman" w:hAnsi="Cambria Math" w:cs="Times New Roman"/>
                      <w:color w:val="000000"/>
                      <w:sz w:val="24"/>
                      <w:szCs w:val="24"/>
                      <w:lang w:bidi="ar-SA"/>
                    </w:rPr>
                    <m:t>Δ</m:t>
                  </m:r>
                  <m:r>
                    <m:rPr>
                      <m:sty m:val="b"/>
                    </m:rPr>
                    <w:rPr>
                      <w:rFonts w:ascii="Cambria Math" w:eastAsia="Times New Roman" w:hAnsi="Cambria Math" w:cs="Times New Roman"/>
                      <w:color w:val="000000"/>
                      <w:sz w:val="24"/>
                      <w:szCs w:val="24"/>
                      <w:lang w:val="en-US" w:bidi="ar-SA"/>
                    </w:rPr>
                    <m:t>Y</m:t>
                  </m:r>
                </m:e>
                <m:sub>
                  <m:r>
                    <m:rPr>
                      <m:sty m:val="b"/>
                    </m:rPr>
                    <w:rPr>
                      <w:rFonts w:ascii="Cambria Math" w:eastAsia="Times New Roman" w:hAnsi="Cambria Math" w:cs="Times New Roman"/>
                      <w:color w:val="000000"/>
                      <w:sz w:val="24"/>
                      <w:szCs w:val="24"/>
                      <w:lang w:val="en-US" w:bidi="ar-SA"/>
                    </w:rPr>
                    <m:t>t-1</m:t>
                  </m:r>
                </m:sub>
              </m:sSub>
              <m:r>
                <m:rPr>
                  <m:sty m:val="b"/>
                </m:rPr>
                <w:rPr>
                  <w:rFonts w:ascii="Cambria Math" w:eastAsia="Times New Roman" w:hAnsi="Cambria Math" w:cs="Times New Roman"/>
                  <w:color w:val="000000"/>
                  <w:sz w:val="24"/>
                  <w:szCs w:val="24"/>
                  <w:lang w:val="en-US" w:bidi="ar-SA"/>
                </w:rPr>
                <m:t>+ Π</m:t>
              </m:r>
            </m:e>
          </m:nary>
          <m:sSub>
            <m:sSubPr>
              <m:ctrlPr>
                <w:rPr>
                  <w:rFonts w:ascii="Cambria Math" w:eastAsia="Times New Roman" w:hAnsi="Cambria Math" w:cs="Times New Roman"/>
                  <w:b/>
                  <w:i/>
                  <w:color w:val="000000"/>
                  <w:sz w:val="24"/>
                  <w:szCs w:val="24"/>
                  <w:lang w:val="en-US" w:bidi="ar-SA"/>
                </w:rPr>
              </m:ctrlPr>
            </m:sSubPr>
            <m:e>
              <m:r>
                <m:rPr>
                  <m:sty m:val="bi"/>
                </m:rPr>
                <w:rPr>
                  <w:rFonts w:ascii="Cambria Math" w:eastAsia="Times New Roman" w:hAnsi="Cambria Math" w:cs="Times New Roman"/>
                  <w:color w:val="000000"/>
                  <w:sz w:val="24"/>
                  <w:szCs w:val="24"/>
                  <w:lang w:val="en-US" w:bidi="ar-SA"/>
                </w:rPr>
                <m:t>Y</m:t>
              </m:r>
            </m:e>
            <m:sub>
              <m:r>
                <m:rPr>
                  <m:sty m:val="bi"/>
                </m:rPr>
                <w:rPr>
                  <w:rFonts w:ascii="Cambria Math" w:eastAsia="Times New Roman" w:hAnsi="Cambria Math" w:cs="Times New Roman"/>
                  <w:color w:val="000000"/>
                  <w:sz w:val="24"/>
                  <w:szCs w:val="24"/>
                  <w:lang w:val="en-US" w:bidi="ar-SA"/>
                </w:rPr>
                <m:t>t-1</m:t>
              </m:r>
            </m:sub>
          </m:sSub>
          <m:r>
            <m:rPr>
              <m:sty m:val="bi"/>
            </m:rPr>
            <w:rPr>
              <w:rFonts w:ascii="Cambria Math" w:eastAsia="Times New Roman" w:hAnsi="Cambria Math" w:cs="Times New Roman"/>
              <w:color w:val="000000"/>
              <w:sz w:val="24"/>
              <w:szCs w:val="24"/>
              <w:lang w:val="en-US" w:bidi="ar-SA"/>
            </w:rPr>
            <m:t>+</m:t>
          </m:r>
          <m:sSub>
            <m:sSubPr>
              <m:ctrlPr>
                <w:rPr>
                  <w:rFonts w:ascii="Cambria Math" w:eastAsia="Times New Roman" w:hAnsi="Cambria Math" w:cs="Times New Roman"/>
                  <w:b/>
                  <w:i/>
                  <w:color w:val="000000"/>
                  <w:sz w:val="24"/>
                  <w:szCs w:val="24"/>
                  <w:lang w:val="en-US" w:bidi="ar-SA"/>
                </w:rPr>
              </m:ctrlPr>
            </m:sSubPr>
            <m:e>
              <m:r>
                <m:rPr>
                  <m:sty m:val="bi"/>
                </m:rPr>
                <w:rPr>
                  <w:rFonts w:ascii="Cambria Math" w:eastAsia="Times New Roman" w:hAnsi="Cambria Math" w:cs="Times New Roman"/>
                  <w:color w:val="000000"/>
                  <w:sz w:val="24"/>
                  <w:szCs w:val="24"/>
                  <w:lang w:val="en-US" w:bidi="ar-SA"/>
                </w:rPr>
                <m:t>ε</m:t>
              </m:r>
            </m:e>
            <m:sub>
              <m:r>
                <m:rPr>
                  <m:sty m:val="bi"/>
                </m:rPr>
                <w:rPr>
                  <w:rFonts w:ascii="Cambria Math" w:eastAsia="Times New Roman" w:hAnsi="Cambria Math" w:cs="Times New Roman"/>
                  <w:color w:val="000000"/>
                  <w:sz w:val="24"/>
                  <w:szCs w:val="24"/>
                  <w:lang w:val="en-US" w:bidi="ar-SA"/>
                </w:rPr>
                <m:t>t</m:t>
              </m:r>
            </m:sub>
          </m:sSub>
        </m:oMath>
      </m:oMathPara>
    </w:p>
    <w:p w:rsidR="00F52852" w:rsidRPr="00F52852" w:rsidRDefault="00F52852" w:rsidP="00C212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Where: </w:t>
      </w:r>
      <w:proofErr w:type="spellStart"/>
      <w:r>
        <w:rPr>
          <w:rFonts w:ascii="Times New Roman" w:hAnsi="Times New Roman" w:cs="Times New Roman"/>
          <w:sz w:val="24"/>
          <w:szCs w:val="24"/>
        </w:rPr>
        <w:t>Y</w:t>
      </w:r>
      <w:r w:rsidRPr="00F52852">
        <w:rPr>
          <w:rFonts w:ascii="Times New Roman" w:hAnsi="Times New Roman" w:cs="Times New Roman"/>
          <w:sz w:val="24"/>
          <w:szCs w:val="24"/>
          <w:vertAlign w:val="subscript"/>
        </w:rPr>
        <w:t>t</w:t>
      </w:r>
      <w:proofErr w:type="spellEnd"/>
      <w:r w:rsidRPr="00F52852">
        <w:rPr>
          <w:rFonts w:ascii="Times New Roman" w:hAnsi="Times New Roman" w:cs="Times New Roman"/>
          <w:sz w:val="24"/>
          <w:szCs w:val="24"/>
        </w:rPr>
        <w:t xml:space="preserve">  refers to price series of spot and futures markets; </w:t>
      </w:r>
      <w:proofErr w:type="spellStart"/>
      <w:r w:rsidRPr="00F52852">
        <w:rPr>
          <w:rFonts w:ascii="Times New Roman" w:hAnsi="Times New Roman" w:cs="Times New Roman"/>
          <w:sz w:val="24"/>
          <w:szCs w:val="24"/>
        </w:rPr>
        <w:t>ΔY</w:t>
      </w:r>
      <w:r w:rsidRPr="00F52852">
        <w:rPr>
          <w:rFonts w:ascii="Times New Roman" w:hAnsi="Times New Roman" w:cs="Times New Roman"/>
          <w:sz w:val="24"/>
          <w:szCs w:val="24"/>
          <w:vertAlign w:val="subscript"/>
        </w:rPr>
        <w:t>t</w:t>
      </w:r>
      <w:proofErr w:type="spellEnd"/>
      <w:r w:rsidRPr="00F52852">
        <w:rPr>
          <w:rFonts w:ascii="Times New Roman" w:hAnsi="Times New Roman" w:cs="Times New Roman"/>
          <w:sz w:val="24"/>
          <w:szCs w:val="24"/>
        </w:rPr>
        <w:t xml:space="preserve"> is the first difference opera</w:t>
      </w:r>
      <w:r>
        <w:rPr>
          <w:rFonts w:ascii="Times New Roman" w:hAnsi="Times New Roman" w:cs="Times New Roman"/>
          <w:sz w:val="24"/>
          <w:szCs w:val="24"/>
        </w:rPr>
        <w:t>tor (</w:t>
      </w:r>
      <w:proofErr w:type="spellStart"/>
      <w:r>
        <w:rPr>
          <w:rFonts w:ascii="Times New Roman" w:hAnsi="Times New Roman" w:cs="Times New Roman"/>
          <w:sz w:val="24"/>
          <w:szCs w:val="24"/>
        </w:rPr>
        <w:t>Y</w:t>
      </w:r>
      <w:r w:rsidRPr="00F52852">
        <w:rPr>
          <w:rFonts w:ascii="Times New Roman" w:hAnsi="Times New Roman" w:cs="Times New Roman"/>
          <w:sz w:val="24"/>
          <w:szCs w:val="24"/>
          <w:vertAlign w:val="subscript"/>
        </w:rPr>
        <w:t>t</w:t>
      </w:r>
      <w:proofErr w:type="spellEnd"/>
      <w:r>
        <w:rPr>
          <w:rFonts w:ascii="Times New Roman" w:hAnsi="Times New Roman" w:cs="Times New Roman"/>
          <w:sz w:val="24"/>
          <w:szCs w:val="24"/>
        </w:rPr>
        <w:t xml:space="preserve"> - Y</w:t>
      </w:r>
      <w:r w:rsidRPr="00F52852">
        <w:rPr>
          <w:rFonts w:ascii="Times New Roman" w:hAnsi="Times New Roman" w:cs="Times New Roman"/>
          <w:sz w:val="24"/>
          <w:szCs w:val="24"/>
          <w:vertAlign w:val="subscript"/>
        </w:rPr>
        <w:t>(t-1)</w:t>
      </w:r>
      <w:r w:rsidRPr="00F52852">
        <w:rPr>
          <w:rFonts w:ascii="Times New Roman" w:hAnsi="Times New Roman" w:cs="Times New Roman"/>
          <w:sz w:val="24"/>
          <w:szCs w:val="24"/>
        </w:rPr>
        <w:t>); ‘μ’ is the constant term; ‘Γ’ and ‘Π’ are the matrices of parameters; p denote the number of lags; and ‘</w:t>
      </w:r>
      <w:proofErr w:type="spellStart"/>
      <w:r w:rsidRPr="00F52852">
        <w:rPr>
          <w:rFonts w:ascii="Times New Roman" w:hAnsi="Times New Roman" w:cs="Times New Roman"/>
          <w:sz w:val="24"/>
          <w:szCs w:val="24"/>
        </w:rPr>
        <w:t>ε</w:t>
      </w:r>
      <w:r w:rsidRPr="00F52852">
        <w:rPr>
          <w:rFonts w:ascii="Times New Roman" w:hAnsi="Times New Roman" w:cs="Times New Roman"/>
          <w:sz w:val="24"/>
          <w:szCs w:val="24"/>
          <w:vertAlign w:val="subscript"/>
        </w:rPr>
        <w:t>t</w:t>
      </w:r>
      <w:proofErr w:type="spellEnd"/>
      <w:r w:rsidRPr="00F52852">
        <w:rPr>
          <w:rFonts w:ascii="Times New Roman" w:hAnsi="Times New Roman" w:cs="Times New Roman"/>
          <w:sz w:val="24"/>
          <w:szCs w:val="24"/>
        </w:rPr>
        <w:t xml:space="preserve">’ is the white-noise error term.  In this study, the null hypothesis of ‘at most r’ co-integrating vectors against a general alternative hypothesis of ‘more than r’ co-integrating vectors was tested by the Trace- statistic as used by </w:t>
      </w:r>
      <w:proofErr w:type="spellStart"/>
      <w:r w:rsidRPr="00F52852">
        <w:rPr>
          <w:rFonts w:ascii="Times New Roman" w:hAnsi="Times New Roman" w:cs="Times New Roman"/>
          <w:sz w:val="24"/>
          <w:szCs w:val="24"/>
        </w:rPr>
        <w:t>Venujayakanth</w:t>
      </w:r>
      <w:proofErr w:type="spellEnd"/>
      <w:r w:rsidRPr="00F52852">
        <w:rPr>
          <w:rFonts w:ascii="Times New Roman" w:hAnsi="Times New Roman" w:cs="Times New Roman"/>
          <w:sz w:val="24"/>
          <w:szCs w:val="24"/>
        </w:rPr>
        <w:t xml:space="preserve"> </w:t>
      </w:r>
      <w:r w:rsidRPr="00F52852">
        <w:rPr>
          <w:rFonts w:ascii="Times New Roman" w:hAnsi="Times New Roman" w:cs="Times New Roman"/>
          <w:i/>
          <w:iCs/>
          <w:sz w:val="24"/>
          <w:szCs w:val="24"/>
        </w:rPr>
        <w:t>et al.</w:t>
      </w:r>
      <w:r w:rsidRPr="00F52852">
        <w:rPr>
          <w:rFonts w:ascii="Times New Roman" w:hAnsi="Times New Roman" w:cs="Times New Roman"/>
          <w:sz w:val="24"/>
          <w:szCs w:val="24"/>
        </w:rPr>
        <w:t xml:space="preserve"> (2017). The presence of at least one co-integrating relationship is necessary for the analysis of long-run movement of variables. The trace test was used as per the following equations.</w:t>
      </w:r>
    </w:p>
    <w:p w:rsidR="00F52852" w:rsidRPr="00163949" w:rsidRDefault="00C953B7" w:rsidP="00F52852">
      <w:pPr>
        <w:widowControl w:val="0"/>
        <w:spacing w:after="0" w:line="360" w:lineRule="auto"/>
        <w:rPr>
          <w:rFonts w:ascii="Times New Roman" w:eastAsia="Times New Roman" w:hAnsi="Times New Roman" w:cs="Times New Roman"/>
          <w:color w:val="000000"/>
          <w:sz w:val="24"/>
          <w:szCs w:val="24"/>
          <w:lang w:val="en-US" w:bidi="ar-SA"/>
        </w:rPr>
      </w:pPr>
      <m:oMathPara>
        <m:oMath>
          <m:sSub>
            <m:sSubPr>
              <m:ctrlPr>
                <w:rPr>
                  <w:rFonts w:ascii="Cambria Math" w:eastAsia="Times New Roman" w:hAnsi="Cambria Math" w:cs="Times New Roman"/>
                  <w:b/>
                  <w:i/>
                  <w:color w:val="000000"/>
                  <w:sz w:val="24"/>
                  <w:szCs w:val="24"/>
                  <w:lang w:val="en-US" w:bidi="ar-SA"/>
                </w:rPr>
              </m:ctrlPr>
            </m:sSubPr>
            <m:e>
              <m:r>
                <m:rPr>
                  <m:sty m:val="bi"/>
                </m:rPr>
                <w:rPr>
                  <w:rFonts w:ascii="Cambria Math" w:eastAsia="Times New Roman" w:hAnsi="Cambria Math" w:cs="Times New Roman"/>
                  <w:color w:val="000000"/>
                  <w:sz w:val="24"/>
                  <w:szCs w:val="24"/>
                  <w:lang w:val="en-US" w:bidi="ar-SA"/>
                </w:rPr>
                <m:t>J</m:t>
              </m:r>
            </m:e>
            <m:sub>
              <m:r>
                <m:rPr>
                  <m:sty m:val="bi"/>
                </m:rPr>
                <w:rPr>
                  <w:rFonts w:ascii="Cambria Math" w:eastAsia="Times New Roman" w:hAnsi="Cambria Math" w:cs="Times New Roman"/>
                  <w:color w:val="000000"/>
                  <w:sz w:val="24"/>
                  <w:szCs w:val="24"/>
                  <w:lang w:val="en-US" w:bidi="ar-SA"/>
                </w:rPr>
                <m:t>trace</m:t>
              </m:r>
            </m:sub>
          </m:sSub>
          <m:r>
            <m:rPr>
              <m:sty m:val="bi"/>
            </m:rPr>
            <w:rPr>
              <w:rFonts w:ascii="Cambria Math" w:eastAsia="Times New Roman" w:hAnsi="Cambria Math" w:cs="Times New Roman"/>
              <w:color w:val="000000"/>
              <w:sz w:val="24"/>
              <w:szCs w:val="24"/>
              <w:lang w:val="en-US" w:bidi="ar-SA"/>
            </w:rPr>
            <m:t xml:space="preserve">  = -T</m:t>
          </m:r>
          <m:nary>
            <m:naryPr>
              <m:chr m:val="∑"/>
              <m:limLoc m:val="subSup"/>
              <m:ctrlPr>
                <w:rPr>
                  <w:rFonts w:ascii="Cambria Math" w:eastAsia="Times New Roman" w:hAnsi="Cambria Math" w:cs="Times New Roman"/>
                  <w:b/>
                  <w:i/>
                  <w:color w:val="000000"/>
                  <w:sz w:val="24"/>
                  <w:szCs w:val="24"/>
                  <w:lang w:val="en-US" w:bidi="ar-SA"/>
                </w:rPr>
              </m:ctrlPr>
            </m:naryPr>
            <m:sub>
              <m:r>
                <m:rPr>
                  <m:sty m:val="bi"/>
                </m:rPr>
                <w:rPr>
                  <w:rFonts w:ascii="Cambria Math" w:eastAsia="Times New Roman" w:hAnsi="Cambria Math" w:cs="Times New Roman"/>
                  <w:color w:val="000000"/>
                  <w:sz w:val="24"/>
                  <w:szCs w:val="24"/>
                  <w:lang w:val="en-US" w:bidi="ar-SA"/>
                </w:rPr>
                <m:t>i=r+1</m:t>
              </m:r>
            </m:sub>
            <m:sup>
              <m:r>
                <m:rPr>
                  <m:sty m:val="bi"/>
                </m:rPr>
                <w:rPr>
                  <w:rFonts w:ascii="Cambria Math" w:eastAsia="Times New Roman" w:hAnsi="Cambria Math" w:cs="Times New Roman"/>
                  <w:color w:val="000000"/>
                  <w:sz w:val="24"/>
                  <w:szCs w:val="24"/>
                  <w:lang w:val="en-US" w:bidi="ar-SA"/>
                </w:rPr>
                <m:t>n</m:t>
              </m:r>
            </m:sup>
            <m:e>
              <m:r>
                <m:rPr>
                  <m:sty m:val="b"/>
                </m:rPr>
                <w:rPr>
                  <w:rFonts w:ascii="Cambria Math" w:eastAsia="Times New Roman" w:hAnsi="Cambria Math" w:cs="Times New Roman"/>
                  <w:color w:val="000000"/>
                  <w:sz w:val="24"/>
                  <w:szCs w:val="24"/>
                  <w:lang w:val="en-US" w:bidi="ar-SA"/>
                </w:rPr>
                <m:t>ln⁡</m:t>
              </m:r>
              <m:r>
                <m:rPr>
                  <m:sty m:val="bi"/>
                </m:rPr>
                <w:rPr>
                  <w:rFonts w:ascii="Cambria Math" w:eastAsia="Times New Roman" w:hAnsi="Cambria Math" w:cs="Times New Roman"/>
                  <w:color w:val="000000"/>
                  <w:sz w:val="24"/>
                  <w:szCs w:val="24"/>
                  <w:lang w:val="en-US" w:bidi="ar-SA"/>
                </w:rPr>
                <m:t>(1-</m:t>
              </m:r>
              <m:sSub>
                <m:sSubPr>
                  <m:ctrlPr>
                    <w:rPr>
                      <w:rFonts w:ascii="Cambria Math" w:eastAsia="Times New Roman" w:hAnsi="Cambria Math" w:cs="Times New Roman"/>
                      <w:b/>
                      <w:i/>
                      <w:color w:val="000000"/>
                      <w:sz w:val="24"/>
                      <w:szCs w:val="24"/>
                      <w:lang w:val="en-US" w:bidi="ar-SA"/>
                    </w:rPr>
                  </m:ctrlPr>
                </m:sSubPr>
                <m:e>
                  <m:r>
                    <m:rPr>
                      <m:sty m:val="bi"/>
                    </m:rPr>
                    <w:rPr>
                      <w:rFonts w:ascii="Cambria Math" w:eastAsia="Times New Roman" w:hAnsi="Cambria Math" w:cs="Times New Roman"/>
                      <w:color w:val="000000"/>
                      <w:sz w:val="24"/>
                      <w:szCs w:val="24"/>
                      <w:lang w:val="en-US" w:bidi="ar-SA"/>
                    </w:rPr>
                    <m:t>λ</m:t>
                  </m:r>
                </m:e>
                <m:sub>
                  <m:r>
                    <m:rPr>
                      <m:sty m:val="bi"/>
                    </m:rPr>
                    <w:rPr>
                      <w:rFonts w:ascii="Cambria Math" w:eastAsia="Times New Roman" w:hAnsi="Cambria Math" w:cs="Times New Roman"/>
                      <w:color w:val="000000"/>
                      <w:sz w:val="24"/>
                      <w:szCs w:val="24"/>
                      <w:lang w:val="en-US" w:bidi="ar-SA"/>
                    </w:rPr>
                    <m:t>i</m:t>
                  </m:r>
                </m:sub>
              </m:sSub>
              <m:r>
                <m:rPr>
                  <m:sty m:val="bi"/>
                </m:rPr>
                <w:rPr>
                  <w:rFonts w:ascii="Cambria Math" w:eastAsia="Times New Roman" w:hAnsi="Cambria Math" w:cs="Times New Roman"/>
                  <w:color w:val="000000"/>
                  <w:sz w:val="24"/>
                  <w:szCs w:val="24"/>
                  <w:lang w:val="en-US" w:bidi="ar-SA"/>
                </w:rPr>
                <m:t>)</m:t>
              </m:r>
            </m:e>
          </m:nary>
        </m:oMath>
      </m:oMathPara>
    </w:p>
    <w:p w:rsidR="00F52852" w:rsidRPr="00F52852" w:rsidRDefault="00F52852" w:rsidP="00F52852">
      <w:pPr>
        <w:spacing w:after="0" w:line="360" w:lineRule="auto"/>
        <w:rPr>
          <w:rFonts w:ascii="Times New Roman" w:hAnsi="Times New Roman" w:cs="Times New Roman"/>
          <w:sz w:val="24"/>
          <w:szCs w:val="24"/>
        </w:rPr>
      </w:pPr>
      <w:r w:rsidRPr="00F52852">
        <w:rPr>
          <w:rFonts w:ascii="Times New Roman" w:hAnsi="Times New Roman" w:cs="Times New Roman"/>
          <w:sz w:val="24"/>
          <w:szCs w:val="24"/>
        </w:rPr>
        <w:lastRenderedPageBreak/>
        <w:t>Wh</w:t>
      </w:r>
      <w:r>
        <w:rPr>
          <w:rFonts w:ascii="Times New Roman" w:hAnsi="Times New Roman" w:cs="Times New Roman"/>
          <w:sz w:val="24"/>
          <w:szCs w:val="24"/>
        </w:rPr>
        <w:t xml:space="preserve">ere: T is the sample size and </w:t>
      </w:r>
      <w:proofErr w:type="spellStart"/>
      <w:r>
        <w:rPr>
          <w:rFonts w:ascii="Times New Roman" w:hAnsi="Times New Roman" w:cs="Times New Roman"/>
          <w:sz w:val="24"/>
          <w:szCs w:val="24"/>
        </w:rPr>
        <w:t>λ</w:t>
      </w:r>
      <w:r w:rsidRPr="00F52852">
        <w:rPr>
          <w:rFonts w:ascii="Times New Roman" w:hAnsi="Times New Roman" w:cs="Times New Roman"/>
          <w:sz w:val="24"/>
          <w:szCs w:val="24"/>
          <w:vertAlign w:val="subscript"/>
        </w:rPr>
        <w:t>i</w:t>
      </w:r>
      <w:proofErr w:type="spellEnd"/>
      <w:r w:rsidRPr="00F52852">
        <w:rPr>
          <w:rFonts w:ascii="Times New Roman" w:hAnsi="Times New Roman" w:cs="Times New Roman"/>
          <w:sz w:val="24"/>
          <w:szCs w:val="24"/>
        </w:rPr>
        <w:t xml:space="preserve"> is the </w:t>
      </w:r>
      <w:proofErr w:type="spellStart"/>
      <w:r w:rsidRPr="00F52852">
        <w:rPr>
          <w:rFonts w:ascii="Times New Roman" w:hAnsi="Times New Roman" w:cs="Times New Roman"/>
          <w:sz w:val="24"/>
          <w:szCs w:val="24"/>
        </w:rPr>
        <w:t>i</w:t>
      </w:r>
      <w:r w:rsidRPr="00F52852">
        <w:rPr>
          <w:rFonts w:ascii="Times New Roman" w:hAnsi="Times New Roman" w:cs="Times New Roman"/>
          <w:sz w:val="24"/>
          <w:szCs w:val="24"/>
          <w:vertAlign w:val="superscript"/>
        </w:rPr>
        <w:t>th</w:t>
      </w:r>
      <w:proofErr w:type="spellEnd"/>
      <w:r w:rsidRPr="00F52852">
        <w:rPr>
          <w:rFonts w:ascii="Times New Roman" w:hAnsi="Times New Roman" w:cs="Times New Roman"/>
          <w:sz w:val="24"/>
          <w:szCs w:val="24"/>
        </w:rPr>
        <w:t xml:space="preserve"> highest canonical correlation. The trace test of Johansen co-integration tested the null hypothesis that there are r co-integrating vectors against the alternative hypothesis of n co-integrating vectors. </w:t>
      </w:r>
    </w:p>
    <w:p w:rsidR="00F52852" w:rsidRPr="00F52852" w:rsidRDefault="00F52852" w:rsidP="00F52852">
      <w:pPr>
        <w:spacing w:after="0" w:line="360" w:lineRule="auto"/>
        <w:rPr>
          <w:rFonts w:ascii="Times New Roman" w:hAnsi="Times New Roman" w:cs="Times New Roman"/>
          <w:b/>
          <w:bCs/>
          <w:sz w:val="24"/>
          <w:szCs w:val="24"/>
        </w:rPr>
      </w:pPr>
      <w:r w:rsidRPr="00F52852">
        <w:rPr>
          <w:rFonts w:ascii="Times New Roman" w:hAnsi="Times New Roman" w:cs="Times New Roman"/>
          <w:b/>
          <w:bCs/>
          <w:sz w:val="24"/>
          <w:szCs w:val="24"/>
        </w:rPr>
        <w:t xml:space="preserve">Vector Error Correction Model </w:t>
      </w:r>
    </w:p>
    <w:p w:rsidR="00F52852" w:rsidRPr="00F52852" w:rsidRDefault="00F52852" w:rsidP="00C212DB">
      <w:pPr>
        <w:spacing w:after="0"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After confirming the long-term equilibrium among the spot and futures price series there is a possibility of short-run disequilibrium in which the price change in one market may not get transmitted immediately to the other market and takes some time or lag for such transmission to take place. To understand this, vector error correction model (VECM) was used as follows:</w:t>
      </w:r>
    </w:p>
    <w:p w:rsidR="00F52852" w:rsidRPr="00F52852" w:rsidRDefault="00C64C28" w:rsidP="00C64C28">
      <w:pPr>
        <w:spacing w:line="360" w:lineRule="auto"/>
        <w:jc w:val="center"/>
        <w:rPr>
          <w:rFonts w:ascii="Times New Roman" w:hAnsi="Times New Roman" w:cs="Times New Roman"/>
          <w:sz w:val="24"/>
          <w:szCs w:val="24"/>
        </w:rPr>
      </w:pPr>
      <w:r w:rsidRPr="00827D4E">
        <w:rPr>
          <w:rFonts w:ascii="Times New Roman" w:eastAsia="Times New Roman" w:hAnsi="Times New Roman" w:cs="Times New Roman"/>
          <w:noProof/>
          <w:color w:val="000000"/>
          <w:sz w:val="28"/>
          <w:szCs w:val="28"/>
          <w:lang w:eastAsia="en-IN"/>
        </w:rPr>
        <w:drawing>
          <wp:inline distT="0" distB="0" distL="0" distR="0" wp14:anchorId="4AD1AC03" wp14:editId="68C0D1B1">
            <wp:extent cx="3558476" cy="7239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65651" cy="725360"/>
                    </a:xfrm>
                    <a:prstGeom prst="rect">
                      <a:avLst/>
                    </a:prstGeom>
                    <a:noFill/>
                  </pic:spPr>
                </pic:pic>
              </a:graphicData>
            </a:graphic>
          </wp:inline>
        </w:drawing>
      </w:r>
    </w:p>
    <w:p w:rsidR="00C64C28" w:rsidRDefault="00F52852" w:rsidP="00C64C28">
      <w:pPr>
        <w:spacing w:after="0" w:line="360" w:lineRule="auto"/>
        <w:rPr>
          <w:rFonts w:ascii="Times New Roman" w:hAnsi="Times New Roman" w:cs="Times New Roman"/>
          <w:sz w:val="24"/>
          <w:szCs w:val="24"/>
        </w:rPr>
      </w:pPr>
      <w:r w:rsidRPr="00F52852">
        <w:rPr>
          <w:rFonts w:ascii="Times New Roman" w:hAnsi="Times New Roman" w:cs="Times New Roman"/>
          <w:sz w:val="24"/>
          <w:szCs w:val="24"/>
        </w:rPr>
        <w:t xml:space="preserve">Where: ∆ represents the first difference operator; </w:t>
      </w:r>
      <w:proofErr w:type="spellStart"/>
      <w:r w:rsidRPr="00F52852">
        <w:rPr>
          <w:rFonts w:ascii="Times New Roman" w:hAnsi="Times New Roman" w:cs="Times New Roman"/>
          <w:sz w:val="24"/>
          <w:szCs w:val="24"/>
        </w:rPr>
        <w:t>X</w:t>
      </w:r>
      <w:r w:rsidRPr="00F52852">
        <w:rPr>
          <w:rFonts w:ascii="Times New Roman" w:hAnsi="Times New Roman" w:cs="Times New Roman"/>
          <w:sz w:val="24"/>
          <w:szCs w:val="24"/>
          <w:vertAlign w:val="subscript"/>
        </w:rPr>
        <w:t>t</w:t>
      </w:r>
      <w:proofErr w:type="spellEnd"/>
      <w:r w:rsidRPr="00F52852">
        <w:rPr>
          <w:rFonts w:ascii="Times New Roman" w:hAnsi="Times New Roman" w:cs="Times New Roman"/>
          <w:sz w:val="24"/>
          <w:szCs w:val="24"/>
        </w:rPr>
        <w:t xml:space="preserve">  and </w:t>
      </w:r>
      <w:proofErr w:type="spellStart"/>
      <w:r w:rsidRPr="00F52852">
        <w:rPr>
          <w:rFonts w:ascii="Times New Roman" w:hAnsi="Times New Roman" w:cs="Times New Roman"/>
          <w:sz w:val="24"/>
          <w:szCs w:val="24"/>
        </w:rPr>
        <w:t>Y</w:t>
      </w:r>
      <w:r w:rsidRPr="00F52852">
        <w:rPr>
          <w:rFonts w:ascii="Times New Roman" w:hAnsi="Times New Roman" w:cs="Times New Roman"/>
          <w:sz w:val="24"/>
          <w:szCs w:val="24"/>
          <w:vertAlign w:val="subscript"/>
        </w:rPr>
        <w:t>t</w:t>
      </w:r>
      <w:proofErr w:type="spellEnd"/>
      <w:r w:rsidRPr="00F52852">
        <w:rPr>
          <w:rFonts w:ascii="Times New Roman" w:hAnsi="Times New Roman" w:cs="Times New Roman"/>
          <w:sz w:val="24"/>
          <w:szCs w:val="24"/>
        </w:rPr>
        <w:t xml:space="preserve"> represent price series in two different markets; α</w:t>
      </w:r>
      <w:r w:rsidRPr="00F52852">
        <w:rPr>
          <w:rFonts w:ascii="Times New Roman" w:hAnsi="Times New Roman" w:cs="Times New Roman"/>
          <w:sz w:val="24"/>
          <w:szCs w:val="24"/>
          <w:vertAlign w:val="subscript"/>
        </w:rPr>
        <w:t>0</w:t>
      </w:r>
      <w:r w:rsidRPr="00F52852">
        <w:rPr>
          <w:rFonts w:ascii="Times New Roman" w:hAnsi="Times New Roman" w:cs="Times New Roman"/>
          <w:sz w:val="24"/>
          <w:szCs w:val="24"/>
        </w:rPr>
        <w:t xml:space="preserve"> and β</w:t>
      </w:r>
      <w:r w:rsidRPr="00F52852">
        <w:rPr>
          <w:rFonts w:ascii="Times New Roman" w:hAnsi="Times New Roman" w:cs="Times New Roman"/>
          <w:sz w:val="24"/>
          <w:szCs w:val="24"/>
          <w:vertAlign w:val="subscript"/>
        </w:rPr>
        <w:t>0</w:t>
      </w:r>
      <w:r w:rsidRPr="00F52852">
        <w:rPr>
          <w:rFonts w:ascii="Times New Roman" w:hAnsi="Times New Roman" w:cs="Times New Roman"/>
          <w:sz w:val="24"/>
          <w:szCs w:val="24"/>
        </w:rPr>
        <w:t xml:space="preserve"> are the intercept terms; γ is the error correction Coefficient. [ECT](t-1) represents the one-period lagged value of the error term from the co-integrating regression.</w:t>
      </w:r>
      <w:r>
        <w:rPr>
          <w:rFonts w:ascii="Times New Roman" w:hAnsi="Times New Roman" w:cs="Times New Roman"/>
          <w:sz w:val="24"/>
          <w:szCs w:val="24"/>
        </w:rPr>
        <w:t xml:space="preserve"> </w:t>
      </w:r>
      <w:r w:rsidRPr="00F52852">
        <w:rPr>
          <w:rFonts w:ascii="Times New Roman" w:hAnsi="Times New Roman" w:cs="Times New Roman"/>
          <w:sz w:val="24"/>
          <w:szCs w:val="24"/>
        </w:rPr>
        <w:t>The magnitude of α</w:t>
      </w:r>
      <w:r w:rsidRPr="00F52852">
        <w:rPr>
          <w:rFonts w:ascii="Times New Roman" w:hAnsi="Times New Roman" w:cs="Times New Roman"/>
          <w:sz w:val="24"/>
          <w:szCs w:val="24"/>
          <w:vertAlign w:val="subscript"/>
        </w:rPr>
        <w:t>2</w:t>
      </w:r>
      <w:r w:rsidRPr="00F52852">
        <w:rPr>
          <w:rFonts w:ascii="Times New Roman" w:hAnsi="Times New Roman" w:cs="Times New Roman"/>
          <w:sz w:val="24"/>
          <w:szCs w:val="24"/>
        </w:rPr>
        <w:t xml:space="preserve"> explains the speed at which the price approaches equilibrium and it is expected to be negative, so that the equilibriu</w:t>
      </w:r>
      <w:r w:rsidR="00C64C28">
        <w:rPr>
          <w:rFonts w:ascii="Times New Roman" w:hAnsi="Times New Roman" w:cs="Times New Roman"/>
          <w:sz w:val="24"/>
          <w:szCs w:val="24"/>
        </w:rPr>
        <w:t>m is restored in the long-run.</w:t>
      </w:r>
    </w:p>
    <w:p w:rsidR="00F52852" w:rsidRPr="00F52852" w:rsidRDefault="00F52852" w:rsidP="00F52852">
      <w:pPr>
        <w:spacing w:line="360" w:lineRule="auto"/>
        <w:rPr>
          <w:rFonts w:ascii="Times New Roman" w:hAnsi="Times New Roman" w:cs="Times New Roman"/>
          <w:sz w:val="24"/>
          <w:szCs w:val="24"/>
        </w:rPr>
      </w:pPr>
      <w:r w:rsidRPr="00F52852">
        <w:rPr>
          <w:rFonts w:ascii="Times New Roman" w:hAnsi="Times New Roman" w:cs="Times New Roman"/>
          <w:sz w:val="24"/>
          <w:szCs w:val="24"/>
        </w:rPr>
        <w:t xml:space="preserve">A negative and statistically significant error correction term confirms that a particular market corrects any disequilibrium and converges toward equilibrium in subsequent periods. The magnitude of these coefficients directly indicates the speed of adjustment; the values closer to zero suggest slower convergence, while values further from zero indicate faster correction. </w:t>
      </w:r>
    </w:p>
    <w:p w:rsidR="00F52852" w:rsidRPr="00C64C28" w:rsidRDefault="00F52852" w:rsidP="00C64C28">
      <w:pPr>
        <w:spacing w:after="0" w:line="360" w:lineRule="auto"/>
        <w:rPr>
          <w:rFonts w:ascii="Times New Roman" w:hAnsi="Times New Roman" w:cs="Times New Roman"/>
          <w:b/>
          <w:bCs/>
          <w:sz w:val="24"/>
          <w:szCs w:val="24"/>
        </w:rPr>
      </w:pPr>
      <w:r w:rsidRPr="00C64C28">
        <w:rPr>
          <w:rFonts w:ascii="Times New Roman" w:hAnsi="Times New Roman" w:cs="Times New Roman"/>
          <w:b/>
          <w:bCs/>
          <w:sz w:val="24"/>
          <w:szCs w:val="24"/>
        </w:rPr>
        <w:t>Granger Causality Test</w:t>
      </w:r>
    </w:p>
    <w:p w:rsidR="00F52852" w:rsidRPr="00F52852" w:rsidRDefault="00F52852" w:rsidP="00C212DB">
      <w:pPr>
        <w:spacing w:after="0" w:line="360" w:lineRule="auto"/>
        <w:ind w:firstLine="720"/>
        <w:rPr>
          <w:rFonts w:ascii="Times New Roman" w:hAnsi="Times New Roman" w:cs="Times New Roman"/>
          <w:sz w:val="24"/>
          <w:szCs w:val="24"/>
        </w:rPr>
      </w:pPr>
      <w:r w:rsidRPr="00F52852">
        <w:rPr>
          <w:rFonts w:ascii="Times New Roman" w:hAnsi="Times New Roman" w:cs="Times New Roman"/>
          <w:sz w:val="24"/>
          <w:szCs w:val="24"/>
        </w:rPr>
        <w:t>The Granger causality test was used to determine the causality direction between the chosen markets. This technique helps determine whether price movements in one market can be used to forecast changes in another, indicating the presence of market leadership and potential arbitrage opportunities through the physical movement of castor across regions (</w:t>
      </w:r>
      <w:proofErr w:type="spellStart"/>
      <w:r w:rsidRPr="00F52852">
        <w:rPr>
          <w:rFonts w:ascii="Times New Roman" w:hAnsi="Times New Roman" w:cs="Times New Roman"/>
          <w:sz w:val="24"/>
          <w:szCs w:val="24"/>
        </w:rPr>
        <w:t>Gafoor</w:t>
      </w:r>
      <w:proofErr w:type="spellEnd"/>
      <w:r w:rsidRPr="00F52852">
        <w:rPr>
          <w:rFonts w:ascii="Times New Roman" w:hAnsi="Times New Roman" w:cs="Times New Roman"/>
          <w:sz w:val="24"/>
          <w:szCs w:val="24"/>
        </w:rPr>
        <w:t xml:space="preserve"> </w:t>
      </w:r>
      <w:r w:rsidRPr="00C64C28">
        <w:rPr>
          <w:rFonts w:ascii="Times New Roman" w:hAnsi="Times New Roman" w:cs="Times New Roman"/>
          <w:i/>
          <w:iCs/>
          <w:sz w:val="24"/>
          <w:szCs w:val="24"/>
        </w:rPr>
        <w:t xml:space="preserve">et al., </w:t>
      </w:r>
      <w:r w:rsidR="00ED455A">
        <w:rPr>
          <w:rFonts w:ascii="Times New Roman" w:hAnsi="Times New Roman" w:cs="Times New Roman"/>
          <w:sz w:val="24"/>
          <w:szCs w:val="24"/>
        </w:rPr>
        <w:t>2009; Ali and Gupta, 2011</w:t>
      </w:r>
      <w:r w:rsidRPr="00F52852">
        <w:rPr>
          <w:rFonts w:ascii="Times New Roman" w:hAnsi="Times New Roman" w:cs="Times New Roman"/>
          <w:sz w:val="24"/>
          <w:szCs w:val="24"/>
        </w:rPr>
        <w:t>). It allows for prediction of prices of a given market (M</w:t>
      </w:r>
      <w:r w:rsidRPr="00C64C28">
        <w:rPr>
          <w:rFonts w:ascii="Times New Roman" w:hAnsi="Times New Roman" w:cs="Times New Roman"/>
          <w:sz w:val="24"/>
          <w:szCs w:val="24"/>
          <w:vertAlign w:val="subscript"/>
        </w:rPr>
        <w:t>1</w:t>
      </w:r>
      <w:r w:rsidRPr="00F52852">
        <w:rPr>
          <w:rFonts w:ascii="Times New Roman" w:hAnsi="Times New Roman" w:cs="Times New Roman"/>
          <w:sz w:val="24"/>
          <w:szCs w:val="24"/>
        </w:rPr>
        <w:t>) using information from another related market (M</w:t>
      </w:r>
      <w:r w:rsidRPr="00C64C28">
        <w:rPr>
          <w:rFonts w:ascii="Times New Roman" w:hAnsi="Times New Roman" w:cs="Times New Roman"/>
          <w:sz w:val="24"/>
          <w:szCs w:val="24"/>
          <w:vertAlign w:val="subscript"/>
        </w:rPr>
        <w:t>2</w:t>
      </w:r>
      <w:r w:rsidRPr="00F52852">
        <w:rPr>
          <w:rFonts w:ascii="Times New Roman" w:hAnsi="Times New Roman" w:cs="Times New Roman"/>
          <w:sz w:val="24"/>
          <w:szCs w:val="24"/>
        </w:rPr>
        <w:t>), if M</w:t>
      </w:r>
      <w:r w:rsidRPr="00C64C28">
        <w:rPr>
          <w:rFonts w:ascii="Times New Roman" w:hAnsi="Times New Roman" w:cs="Times New Roman"/>
          <w:sz w:val="24"/>
          <w:szCs w:val="24"/>
          <w:vertAlign w:val="subscript"/>
        </w:rPr>
        <w:t>1</w:t>
      </w:r>
      <w:r w:rsidRPr="00F52852">
        <w:rPr>
          <w:rFonts w:ascii="Times New Roman" w:hAnsi="Times New Roman" w:cs="Times New Roman"/>
          <w:sz w:val="24"/>
          <w:szCs w:val="24"/>
        </w:rPr>
        <w:t>causes M</w:t>
      </w:r>
      <w:r w:rsidRPr="00C64C28">
        <w:rPr>
          <w:rFonts w:ascii="Times New Roman" w:hAnsi="Times New Roman" w:cs="Times New Roman"/>
          <w:sz w:val="24"/>
          <w:szCs w:val="24"/>
          <w:vertAlign w:val="subscript"/>
        </w:rPr>
        <w:t>2</w:t>
      </w:r>
      <w:r w:rsidRPr="00F52852">
        <w:rPr>
          <w:rFonts w:ascii="Times New Roman" w:hAnsi="Times New Roman" w:cs="Times New Roman"/>
          <w:sz w:val="24"/>
          <w:szCs w:val="24"/>
        </w:rPr>
        <w:t>. Granger causation between prices of two markets is expressed as:</w:t>
      </w:r>
    </w:p>
    <w:p w:rsidR="00C64C28" w:rsidRDefault="00C953B7" w:rsidP="00C64C28">
      <w:pPr>
        <w:widowControl w:val="0"/>
        <w:spacing w:after="0" w:line="360" w:lineRule="auto"/>
        <w:jc w:val="center"/>
        <w:rPr>
          <w:rFonts w:ascii="Times New Roman" w:eastAsia="Times New Roman" w:hAnsi="Times New Roman"/>
          <w:iCs/>
          <w:color w:val="000000"/>
          <w:sz w:val="24"/>
          <w:szCs w:val="24"/>
          <w:lang w:bidi="ar-SA"/>
        </w:rPr>
      </w:pP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1</m:t>
            </m:r>
            <m:r>
              <m:rPr>
                <m:sty m:val="bi"/>
              </m:rPr>
              <w:rPr>
                <w:rFonts w:ascii="Cambria Math" w:eastAsia="Times New Roman" w:hAnsi="Cambria Math"/>
                <w:color w:val="000000"/>
                <w:sz w:val="24"/>
                <w:szCs w:val="24"/>
                <w:lang w:bidi="ar-SA"/>
              </w:rPr>
              <m:t>t</m:t>
            </m:r>
          </m:sub>
        </m:sSub>
      </m:oMath>
      <w:r w:rsidR="00C64C28" w:rsidRPr="00163949">
        <w:rPr>
          <w:rFonts w:ascii="Times New Roman" w:eastAsia="Times New Roman" w:hAnsi="Times New Roman"/>
          <w:color w:val="000000"/>
          <w:sz w:val="24"/>
          <w:szCs w:val="24"/>
          <w:lang w:bidi="ar-SA"/>
        </w:rPr>
        <w:t xml:space="preserve"> = </w:t>
      </w: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a</m:t>
            </m:r>
          </m:e>
          <m:sub>
            <m:r>
              <m:rPr>
                <m:sty m:val="bi"/>
              </m:rPr>
              <w:rPr>
                <w:rFonts w:ascii="Cambria Math" w:eastAsia="Times New Roman" w:hAnsi="Cambria Math"/>
                <w:color w:val="000000"/>
                <w:sz w:val="24"/>
                <w:szCs w:val="24"/>
                <w:lang w:bidi="ar-SA"/>
              </w:rPr>
              <m:t>0</m:t>
            </m:r>
          </m:sub>
        </m:sSub>
      </m:oMath>
      <w:r w:rsidR="00C64C28" w:rsidRPr="00163949">
        <w:rPr>
          <w:rFonts w:ascii="Times New Roman" w:eastAsia="Times New Roman" w:hAnsi="Times New Roman"/>
          <w:color w:val="000000"/>
          <w:sz w:val="24"/>
          <w:szCs w:val="24"/>
          <w:lang w:bidi="ar-SA"/>
        </w:rPr>
        <w:t xml:space="preserve"> + </w:t>
      </w:r>
      <m:oMath>
        <m:nary>
          <m:naryPr>
            <m:chr m:val="∑"/>
            <m:ctrlPr>
              <w:rPr>
                <w:rFonts w:ascii="Cambria Math" w:eastAsia="Times New Roman" w:hAnsi="Cambria Math"/>
                <w:i/>
                <w:iCs/>
                <w:color w:val="000000"/>
                <w:sz w:val="24"/>
                <w:szCs w:val="24"/>
                <w:lang w:bidi="ar-SA"/>
              </w:rPr>
            </m:ctrlPr>
          </m:naryPr>
          <m:sub>
            <m:r>
              <m:rPr>
                <m:sty m:val="bi"/>
              </m:rPr>
              <w:rPr>
                <w:rFonts w:ascii="Cambria Math" w:eastAsia="Times New Roman" w:hAnsi="Cambria Math"/>
                <w:color w:val="000000"/>
                <w:sz w:val="24"/>
                <w:szCs w:val="24"/>
                <w:lang w:bidi="ar-SA"/>
              </w:rPr>
              <m:t>i</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1</m:t>
            </m:r>
          </m:sub>
          <m:sup>
            <m:r>
              <m:rPr>
                <m:sty m:val="bi"/>
              </m:rPr>
              <w:rPr>
                <w:rFonts w:ascii="Cambria Math" w:eastAsia="Times New Roman" w:hAnsi="Cambria Math"/>
                <w:color w:val="000000"/>
                <w:sz w:val="24"/>
                <w:szCs w:val="24"/>
                <w:lang w:bidi="ar-SA"/>
              </w:rPr>
              <m:t>m</m:t>
            </m:r>
          </m:sup>
          <m:e>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α</m:t>
                </m:r>
              </m:e>
              <m:sub>
                <m:r>
                  <m:rPr>
                    <m:sty m:val="bi"/>
                  </m:rPr>
                  <w:rPr>
                    <w:rFonts w:ascii="Cambria Math" w:eastAsia="Times New Roman" w:hAnsi="Cambria Math"/>
                    <w:color w:val="000000"/>
                    <w:sz w:val="24"/>
                    <w:szCs w:val="24"/>
                    <w:lang w:bidi="ar-SA"/>
                  </w:rPr>
                  <m:t>i</m:t>
                </m:r>
              </m:sub>
            </m:sSub>
          </m:e>
        </m:nary>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1</m:t>
            </m:r>
            <m:r>
              <m:rPr>
                <m:sty m:val="bi"/>
              </m:rPr>
              <w:rPr>
                <w:rFonts w:ascii="Cambria Math" w:eastAsia="Times New Roman" w:hAnsi="Cambria Math"/>
                <w:color w:val="000000"/>
                <w:sz w:val="24"/>
                <w:szCs w:val="24"/>
                <w:lang w:bidi="ar-SA"/>
              </w:rPr>
              <m:t>t</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i</m:t>
            </m:r>
          </m:sub>
        </m:sSub>
      </m:oMath>
      <w:r w:rsidR="00C64C28" w:rsidRPr="00163949">
        <w:rPr>
          <w:rFonts w:ascii="Times New Roman" w:eastAsia="Times New Roman" w:hAnsi="Times New Roman"/>
          <w:color w:val="000000"/>
          <w:sz w:val="24"/>
          <w:szCs w:val="24"/>
          <w:lang w:bidi="ar-SA"/>
        </w:rPr>
        <w:t xml:space="preserve"> + </w:t>
      </w:r>
      <m:oMath>
        <m:nary>
          <m:naryPr>
            <m:chr m:val="∑"/>
            <m:ctrlPr>
              <w:rPr>
                <w:rFonts w:ascii="Cambria Math" w:eastAsia="Times New Roman" w:hAnsi="Cambria Math"/>
                <w:i/>
                <w:iCs/>
                <w:color w:val="000000"/>
                <w:sz w:val="24"/>
                <w:szCs w:val="24"/>
                <w:lang w:bidi="ar-SA"/>
              </w:rPr>
            </m:ctrlPr>
          </m:naryPr>
          <m:sub>
            <m:r>
              <m:rPr>
                <m:sty m:val="bi"/>
              </m:rPr>
              <w:rPr>
                <w:rFonts w:ascii="Cambria Math" w:eastAsia="Times New Roman" w:hAnsi="Cambria Math"/>
                <w:color w:val="000000"/>
                <w:sz w:val="24"/>
                <w:szCs w:val="24"/>
                <w:lang w:bidi="ar-SA"/>
              </w:rPr>
              <m:t>i</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1</m:t>
            </m:r>
          </m:sub>
          <m:sup>
            <m:r>
              <m:rPr>
                <m:sty m:val="bi"/>
              </m:rPr>
              <w:rPr>
                <w:rFonts w:ascii="Cambria Math" w:eastAsia="Times New Roman" w:hAnsi="Cambria Math"/>
                <w:color w:val="000000"/>
                <w:sz w:val="24"/>
                <w:szCs w:val="24"/>
                <w:lang w:bidi="ar-SA"/>
              </w:rPr>
              <m:t>m</m:t>
            </m:r>
          </m:sup>
          <m:e>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val="el-GR" w:bidi="ar-SA"/>
                  </w:rPr>
                  <m:t>β</m:t>
                </m:r>
              </m:e>
              <m:sub>
                <m:r>
                  <m:rPr>
                    <m:sty m:val="bi"/>
                  </m:rPr>
                  <w:rPr>
                    <w:rFonts w:ascii="Cambria Math" w:eastAsia="Times New Roman" w:hAnsi="Cambria Math"/>
                    <w:color w:val="000000"/>
                    <w:sz w:val="24"/>
                    <w:szCs w:val="24"/>
                    <w:lang w:bidi="ar-SA"/>
                  </w:rPr>
                  <m:t>1</m:t>
                </m:r>
              </m:sub>
            </m:sSub>
          </m:e>
        </m:nary>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2</m:t>
            </m:r>
            <m:r>
              <m:rPr>
                <m:sty m:val="bi"/>
              </m:rPr>
              <w:rPr>
                <w:rFonts w:ascii="Cambria Math" w:eastAsia="Times New Roman" w:hAnsi="Cambria Math"/>
                <w:color w:val="000000"/>
                <w:sz w:val="24"/>
                <w:szCs w:val="24"/>
                <w:lang w:bidi="ar-SA"/>
              </w:rPr>
              <m:t>t</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j</m:t>
            </m:r>
          </m:sub>
        </m:sSub>
      </m:oMath>
      <w:r w:rsidR="00C64C28" w:rsidRPr="00163949">
        <w:rPr>
          <w:rFonts w:ascii="Times New Roman" w:eastAsia="Times New Roman" w:hAnsi="Times New Roman"/>
          <w:color w:val="000000"/>
          <w:sz w:val="24"/>
          <w:szCs w:val="24"/>
          <w:lang w:bidi="ar-SA"/>
        </w:rPr>
        <w:t xml:space="preserve"> + </w:t>
      </w: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ε</m:t>
            </m:r>
          </m:e>
          <m:sub>
            <m:r>
              <m:rPr>
                <m:sty m:val="bi"/>
              </m:rPr>
              <w:rPr>
                <w:rFonts w:ascii="Cambria Math" w:eastAsia="Times New Roman" w:hAnsi="Cambria Math"/>
                <w:color w:val="000000"/>
                <w:sz w:val="24"/>
                <w:szCs w:val="24"/>
                <w:lang w:bidi="ar-SA"/>
              </w:rPr>
              <m:t>1</m:t>
            </m:r>
            <m:r>
              <m:rPr>
                <m:sty m:val="bi"/>
              </m:rPr>
              <w:rPr>
                <w:rFonts w:ascii="Cambria Math" w:eastAsia="Times New Roman" w:hAnsi="Cambria Math"/>
                <w:color w:val="000000"/>
                <w:sz w:val="24"/>
                <w:szCs w:val="24"/>
                <w:lang w:bidi="ar-SA"/>
              </w:rPr>
              <m:t>t</m:t>
            </m:r>
          </m:sub>
        </m:sSub>
      </m:oMath>
    </w:p>
    <w:p w:rsidR="00C64C28" w:rsidRDefault="00C953B7" w:rsidP="00C64C28">
      <w:pPr>
        <w:widowControl w:val="0"/>
        <w:spacing w:after="0" w:line="360" w:lineRule="auto"/>
        <w:jc w:val="center"/>
        <w:rPr>
          <w:rFonts w:ascii="Times New Roman" w:eastAsia="Times New Roman" w:hAnsi="Times New Roman"/>
          <w:iCs/>
          <w:color w:val="000000"/>
          <w:sz w:val="24"/>
          <w:szCs w:val="24"/>
          <w:lang w:bidi="ar-SA"/>
        </w:rPr>
      </w:pP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2</m:t>
            </m:r>
            <m:r>
              <m:rPr>
                <m:sty m:val="bi"/>
              </m:rPr>
              <w:rPr>
                <w:rFonts w:ascii="Cambria Math" w:eastAsia="Times New Roman" w:hAnsi="Cambria Math"/>
                <w:color w:val="000000"/>
                <w:sz w:val="24"/>
                <w:szCs w:val="24"/>
                <w:lang w:bidi="ar-SA"/>
              </w:rPr>
              <m:t>t</m:t>
            </m:r>
          </m:sub>
        </m:sSub>
      </m:oMath>
      <w:r w:rsidR="00C64C28" w:rsidRPr="00163949">
        <w:rPr>
          <w:rFonts w:ascii="Times New Roman" w:eastAsia="Times New Roman" w:hAnsi="Times New Roman"/>
          <w:color w:val="000000"/>
          <w:sz w:val="24"/>
          <w:szCs w:val="24"/>
          <w:lang w:bidi="ar-SA"/>
        </w:rPr>
        <w:t xml:space="preserve"> = </w:t>
      </w: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a</m:t>
            </m:r>
          </m:e>
          <m:sub>
            <m:r>
              <m:rPr>
                <m:sty m:val="bi"/>
              </m:rPr>
              <w:rPr>
                <w:rFonts w:ascii="Cambria Math" w:eastAsia="Times New Roman" w:hAnsi="Cambria Math"/>
                <w:color w:val="000000"/>
                <w:sz w:val="24"/>
                <w:szCs w:val="24"/>
                <w:lang w:bidi="ar-SA"/>
              </w:rPr>
              <m:t>0</m:t>
            </m:r>
          </m:sub>
        </m:sSub>
      </m:oMath>
      <w:r w:rsidR="00C64C28" w:rsidRPr="00163949">
        <w:rPr>
          <w:rFonts w:ascii="Times New Roman" w:eastAsia="Times New Roman" w:hAnsi="Times New Roman"/>
          <w:color w:val="000000"/>
          <w:sz w:val="24"/>
          <w:szCs w:val="24"/>
          <w:lang w:bidi="ar-SA"/>
        </w:rPr>
        <w:t xml:space="preserve"> + </w:t>
      </w:r>
      <m:oMath>
        <m:nary>
          <m:naryPr>
            <m:chr m:val="∑"/>
            <m:ctrlPr>
              <w:rPr>
                <w:rFonts w:ascii="Cambria Math" w:eastAsia="Times New Roman" w:hAnsi="Cambria Math"/>
                <w:i/>
                <w:iCs/>
                <w:color w:val="000000"/>
                <w:sz w:val="24"/>
                <w:szCs w:val="24"/>
                <w:lang w:bidi="ar-SA"/>
              </w:rPr>
            </m:ctrlPr>
          </m:naryPr>
          <m:sub>
            <m:r>
              <m:rPr>
                <m:sty m:val="bi"/>
              </m:rPr>
              <w:rPr>
                <w:rFonts w:ascii="Cambria Math" w:eastAsia="Times New Roman" w:hAnsi="Cambria Math"/>
                <w:color w:val="000000"/>
                <w:sz w:val="24"/>
                <w:szCs w:val="24"/>
                <w:lang w:bidi="ar-SA"/>
              </w:rPr>
              <m:t>i</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1</m:t>
            </m:r>
          </m:sub>
          <m:sup>
            <m:r>
              <m:rPr>
                <m:sty m:val="bi"/>
              </m:rPr>
              <w:rPr>
                <w:rFonts w:ascii="Cambria Math" w:eastAsia="Times New Roman" w:hAnsi="Cambria Math"/>
                <w:color w:val="000000"/>
                <w:sz w:val="24"/>
                <w:szCs w:val="24"/>
                <w:lang w:bidi="ar-SA"/>
              </w:rPr>
              <m:t>m</m:t>
            </m:r>
          </m:sup>
          <m:e>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γ</m:t>
                </m:r>
              </m:e>
              <m:sub>
                <m:r>
                  <m:rPr>
                    <m:sty m:val="bi"/>
                  </m:rPr>
                  <w:rPr>
                    <w:rFonts w:ascii="Cambria Math" w:eastAsia="Times New Roman" w:hAnsi="Cambria Math"/>
                    <w:color w:val="000000"/>
                    <w:sz w:val="24"/>
                    <w:szCs w:val="24"/>
                    <w:lang w:bidi="ar-SA"/>
                  </w:rPr>
                  <m:t>i</m:t>
                </m:r>
              </m:sub>
            </m:sSub>
          </m:e>
        </m:nary>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2</m:t>
            </m:r>
            <m:r>
              <m:rPr>
                <m:sty m:val="bi"/>
              </m:rPr>
              <w:rPr>
                <w:rFonts w:ascii="Cambria Math" w:eastAsia="Times New Roman" w:hAnsi="Cambria Math"/>
                <w:color w:val="000000"/>
                <w:sz w:val="24"/>
                <w:szCs w:val="24"/>
                <w:lang w:bidi="ar-SA"/>
              </w:rPr>
              <m:t>t</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i</m:t>
            </m:r>
          </m:sub>
        </m:sSub>
      </m:oMath>
      <w:r w:rsidR="00C64C28" w:rsidRPr="00163949">
        <w:rPr>
          <w:rFonts w:ascii="Times New Roman" w:eastAsia="Times New Roman" w:hAnsi="Times New Roman"/>
          <w:color w:val="000000"/>
          <w:sz w:val="24"/>
          <w:szCs w:val="24"/>
          <w:lang w:bidi="ar-SA"/>
        </w:rPr>
        <w:t xml:space="preserve"> + </w:t>
      </w:r>
      <m:oMath>
        <m:nary>
          <m:naryPr>
            <m:chr m:val="∑"/>
            <m:ctrlPr>
              <w:rPr>
                <w:rFonts w:ascii="Cambria Math" w:eastAsia="Times New Roman" w:hAnsi="Cambria Math"/>
                <w:i/>
                <w:iCs/>
                <w:color w:val="000000"/>
                <w:sz w:val="24"/>
                <w:szCs w:val="24"/>
                <w:lang w:bidi="ar-SA"/>
              </w:rPr>
            </m:ctrlPr>
          </m:naryPr>
          <m:sub>
            <m:r>
              <m:rPr>
                <m:sty m:val="bi"/>
              </m:rPr>
              <w:rPr>
                <w:rFonts w:ascii="Cambria Math" w:eastAsia="Times New Roman" w:hAnsi="Cambria Math"/>
                <w:color w:val="000000"/>
                <w:sz w:val="24"/>
                <w:szCs w:val="24"/>
                <w:lang w:bidi="ar-SA"/>
              </w:rPr>
              <m:t>i</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1</m:t>
            </m:r>
          </m:sub>
          <m:sup>
            <m:r>
              <m:rPr>
                <m:sty m:val="bi"/>
              </m:rPr>
              <w:rPr>
                <w:rFonts w:ascii="Cambria Math" w:eastAsia="Times New Roman" w:hAnsi="Cambria Math"/>
                <w:color w:val="000000"/>
                <w:sz w:val="24"/>
                <w:szCs w:val="24"/>
                <w:lang w:bidi="ar-SA"/>
              </w:rPr>
              <m:t>m</m:t>
            </m:r>
          </m:sup>
          <m:e>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val="el-GR" w:bidi="ar-SA"/>
                  </w:rPr>
                  <m:t>θ</m:t>
                </m:r>
              </m:e>
              <m:sub>
                <m:r>
                  <m:rPr>
                    <m:sty m:val="bi"/>
                  </m:rPr>
                  <w:rPr>
                    <w:rFonts w:ascii="Cambria Math" w:eastAsia="Times New Roman" w:hAnsi="Cambria Math"/>
                    <w:color w:val="000000"/>
                    <w:sz w:val="24"/>
                    <w:szCs w:val="24"/>
                    <w:lang w:bidi="ar-SA"/>
                  </w:rPr>
                  <m:t>i</m:t>
                </m:r>
              </m:sub>
            </m:sSub>
          </m:e>
        </m:nary>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M</m:t>
            </m:r>
          </m:e>
          <m:sub>
            <m:r>
              <m:rPr>
                <m:sty m:val="bi"/>
              </m:rPr>
              <w:rPr>
                <w:rFonts w:ascii="Cambria Math" w:eastAsia="Times New Roman" w:hAnsi="Cambria Math"/>
                <w:color w:val="000000"/>
                <w:sz w:val="24"/>
                <w:szCs w:val="24"/>
                <w:lang w:bidi="ar-SA"/>
              </w:rPr>
              <m:t>1</m:t>
            </m:r>
            <m:r>
              <m:rPr>
                <m:sty m:val="bi"/>
              </m:rPr>
              <w:rPr>
                <w:rFonts w:ascii="Cambria Math" w:eastAsia="Times New Roman" w:hAnsi="Cambria Math"/>
                <w:color w:val="000000"/>
                <w:sz w:val="24"/>
                <w:szCs w:val="24"/>
                <w:lang w:bidi="ar-SA"/>
              </w:rPr>
              <m:t>t</m:t>
            </m:r>
            <m:r>
              <w:rPr>
                <w:rFonts w:ascii="Cambria Math" w:eastAsia="Times New Roman" w:hAnsi="Cambria Math"/>
                <w:color w:val="000000"/>
                <w:sz w:val="24"/>
                <w:szCs w:val="24"/>
                <w:lang w:bidi="ar-SA"/>
              </w:rPr>
              <m:t>-</m:t>
            </m:r>
            <m:r>
              <m:rPr>
                <m:sty m:val="bi"/>
              </m:rPr>
              <w:rPr>
                <w:rFonts w:ascii="Cambria Math" w:eastAsia="Times New Roman" w:hAnsi="Cambria Math"/>
                <w:color w:val="000000"/>
                <w:sz w:val="24"/>
                <w:szCs w:val="24"/>
                <w:lang w:bidi="ar-SA"/>
              </w:rPr>
              <m:t>j</m:t>
            </m:r>
          </m:sub>
        </m:sSub>
      </m:oMath>
      <w:r w:rsidR="00C64C28" w:rsidRPr="00163949">
        <w:rPr>
          <w:rFonts w:ascii="Times New Roman" w:eastAsia="Times New Roman" w:hAnsi="Times New Roman"/>
          <w:color w:val="000000"/>
          <w:sz w:val="24"/>
          <w:szCs w:val="24"/>
          <w:lang w:bidi="ar-SA"/>
        </w:rPr>
        <w:t xml:space="preserve"> + </w:t>
      </w:r>
      <m:oMath>
        <m:sSub>
          <m:sSubPr>
            <m:ctrlPr>
              <w:rPr>
                <w:rFonts w:ascii="Cambria Math" w:eastAsia="Times New Roman" w:hAnsi="Cambria Math"/>
                <w:i/>
                <w:iCs/>
                <w:color w:val="000000"/>
                <w:sz w:val="24"/>
                <w:szCs w:val="24"/>
                <w:lang w:bidi="ar-SA"/>
              </w:rPr>
            </m:ctrlPr>
          </m:sSubPr>
          <m:e>
            <m:r>
              <m:rPr>
                <m:sty m:val="bi"/>
              </m:rPr>
              <w:rPr>
                <w:rFonts w:ascii="Cambria Math" w:eastAsia="Times New Roman" w:hAnsi="Cambria Math"/>
                <w:color w:val="000000"/>
                <w:sz w:val="24"/>
                <w:szCs w:val="24"/>
                <w:lang w:bidi="ar-SA"/>
              </w:rPr>
              <m:t>ε</m:t>
            </m:r>
          </m:e>
          <m:sub>
            <m:r>
              <m:rPr>
                <m:sty m:val="bi"/>
              </m:rPr>
              <w:rPr>
                <w:rFonts w:ascii="Cambria Math" w:eastAsia="Times New Roman" w:hAnsi="Cambria Math"/>
                <w:color w:val="000000"/>
                <w:sz w:val="24"/>
                <w:szCs w:val="24"/>
                <w:lang w:bidi="ar-SA"/>
              </w:rPr>
              <m:t>2</m:t>
            </m:r>
            <m:r>
              <m:rPr>
                <m:sty m:val="bi"/>
              </m:rPr>
              <w:rPr>
                <w:rFonts w:ascii="Cambria Math" w:eastAsia="Times New Roman" w:hAnsi="Cambria Math"/>
                <w:color w:val="000000"/>
                <w:sz w:val="24"/>
                <w:szCs w:val="24"/>
                <w:lang w:bidi="ar-SA"/>
              </w:rPr>
              <m:t>t</m:t>
            </m:r>
          </m:sub>
        </m:sSub>
      </m:oMath>
    </w:p>
    <w:p w:rsidR="00C64C28" w:rsidRPr="00163949" w:rsidRDefault="00C64C28" w:rsidP="00C212DB">
      <w:pPr>
        <w:widowControl w:val="0"/>
        <w:spacing w:line="360" w:lineRule="auto"/>
        <w:rPr>
          <w:rFonts w:ascii="Times New Roman" w:eastAsia="Times New Roman" w:hAnsi="Times New Roman"/>
          <w:color w:val="000000"/>
          <w:sz w:val="24"/>
          <w:szCs w:val="24"/>
          <w:lang w:bidi="ar-SA"/>
        </w:rPr>
      </w:pPr>
      <w:r w:rsidRPr="00163949">
        <w:rPr>
          <w:rFonts w:ascii="Times New Roman" w:eastAsia="Times New Roman" w:hAnsi="Times New Roman"/>
          <w:color w:val="000000"/>
          <w:sz w:val="24"/>
          <w:szCs w:val="24"/>
          <w:lang w:bidi="ar-SA"/>
        </w:rPr>
        <w:t>Where:</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 xml:space="preserve"> M</m:t>
            </m:r>
          </m:e>
          <m:sub>
            <m:r>
              <w:rPr>
                <w:rFonts w:ascii="Cambria Math" w:eastAsia="Times New Roman" w:hAnsi="Cambria Math"/>
                <w:color w:val="000000"/>
                <w:sz w:val="24"/>
                <w:szCs w:val="24"/>
                <w:lang w:bidi="ar-SA"/>
              </w:rPr>
              <m:t>1t</m:t>
            </m:r>
          </m:sub>
        </m:sSub>
        <m:r>
          <w:rPr>
            <w:rFonts w:ascii="Cambria Math" w:eastAsia="Times New Roman" w:hAnsi="Cambria Math"/>
            <w:color w:val="000000"/>
            <w:sz w:val="24"/>
            <w:szCs w:val="24"/>
            <w:lang w:bidi="ar-SA"/>
          </w:rPr>
          <m:t> </m:t>
        </m:r>
      </m:oMath>
      <w:r w:rsidRPr="00163949">
        <w:rPr>
          <w:rFonts w:ascii="Times New Roman" w:eastAsia="Times New Roman" w:hAnsi="Times New Roman"/>
          <w:color w:val="000000"/>
          <w:sz w:val="24"/>
          <w:szCs w:val="24"/>
          <w:lang w:bidi="ar-SA"/>
        </w:rPr>
        <w:t xml:space="preserve">and </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M</m:t>
            </m:r>
          </m:e>
          <m:sub>
            <m:r>
              <w:rPr>
                <w:rFonts w:ascii="Cambria Math" w:eastAsia="Times New Roman" w:hAnsi="Cambria Math"/>
                <w:color w:val="000000"/>
                <w:sz w:val="24"/>
                <w:szCs w:val="24"/>
                <w:lang w:bidi="ar-SA"/>
              </w:rPr>
              <m:t>2t</m:t>
            </m:r>
          </m:sub>
        </m:sSub>
      </m:oMath>
      <w:r w:rsidRPr="00163949">
        <w:rPr>
          <w:rFonts w:ascii="Times New Roman" w:eastAsia="Times New Roman" w:hAnsi="Times New Roman"/>
          <w:color w:val="000000"/>
          <w:sz w:val="24"/>
          <w:szCs w:val="24"/>
          <w:lang w:bidi="ar-SA"/>
        </w:rPr>
        <w:t xml:space="preserve"> represent price series of two </w:t>
      </w:r>
      <w:r>
        <w:rPr>
          <w:rFonts w:ascii="Times New Roman" w:eastAsia="Times New Roman" w:hAnsi="Times New Roman"/>
          <w:color w:val="000000"/>
          <w:sz w:val="24"/>
          <w:szCs w:val="24"/>
          <w:lang w:bidi="ar-SA"/>
        </w:rPr>
        <w:t xml:space="preserve">markets </w:t>
      </w:r>
      <w:r w:rsidRPr="00163949">
        <w:rPr>
          <w:rFonts w:ascii="Times New Roman" w:eastAsia="Times New Roman" w:hAnsi="Times New Roman"/>
          <w:color w:val="000000"/>
          <w:sz w:val="24"/>
          <w:szCs w:val="24"/>
          <w:lang w:bidi="ar-SA"/>
        </w:rPr>
        <w:t>at time period ‘t’;</w:t>
      </w:r>
      <w:r>
        <w:rPr>
          <w:rFonts w:ascii="Times New Roman" w:eastAsia="Times New Roman" w:hAnsi="Times New Roman"/>
          <w:color w:val="000000"/>
          <w:sz w:val="24"/>
          <w:szCs w:val="24"/>
          <w:lang w:bidi="ar-SA"/>
        </w:rPr>
        <w:t xml:space="preserve"> </w:t>
      </w:r>
      <w:r w:rsidRPr="00163949">
        <w:rPr>
          <w:rFonts w:ascii="Times New Roman" w:eastAsia="Times New Roman" w:hAnsi="Times New Roman"/>
          <w:color w:val="000000"/>
          <w:sz w:val="24"/>
          <w:szCs w:val="24"/>
          <w:lang w:bidi="ar-SA"/>
        </w:rPr>
        <w:t xml:space="preserve">‘m’ is the </w:t>
      </w:r>
      <w:r w:rsidRPr="00163949">
        <w:rPr>
          <w:rFonts w:ascii="Times New Roman" w:eastAsia="Times New Roman" w:hAnsi="Times New Roman"/>
          <w:color w:val="000000"/>
          <w:sz w:val="24"/>
          <w:szCs w:val="24"/>
          <w:lang w:bidi="ar-SA"/>
        </w:rPr>
        <w:lastRenderedPageBreak/>
        <w:t>maximum number of lagged prices allowed;</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a</m:t>
            </m:r>
          </m:e>
          <m:sub>
            <m:r>
              <w:rPr>
                <w:rFonts w:ascii="Cambria Math" w:eastAsia="Times New Roman" w:hAnsi="Cambria Math"/>
                <w:color w:val="000000"/>
                <w:sz w:val="24"/>
                <w:szCs w:val="24"/>
                <w:lang w:bidi="ar-SA"/>
              </w:rPr>
              <m:t>0</m:t>
            </m:r>
          </m:sub>
        </m:sSub>
      </m:oMath>
      <w:r w:rsidRPr="00163949">
        <w:rPr>
          <w:rFonts w:ascii="Times New Roman" w:eastAsia="Times New Roman" w:hAnsi="Times New Roman"/>
          <w:iCs/>
          <w:color w:val="000000"/>
          <w:sz w:val="24"/>
          <w:szCs w:val="24"/>
          <w:lang w:bidi="ar-SA"/>
        </w:rPr>
        <w:t xml:space="preserve"> is constant term; </w:t>
      </w:r>
      <m:oMath>
        <m:r>
          <w:rPr>
            <w:rFonts w:ascii="Cambria Math" w:eastAsia="Times New Roman" w:hAnsi="Cambria Math"/>
            <w:color w:val="000000"/>
            <w:sz w:val="24"/>
            <w:szCs w:val="24"/>
            <w:lang w:bidi="ar-SA"/>
          </w:rPr>
          <m:t>ε</m:t>
        </m:r>
      </m:oMath>
      <w:r w:rsidRPr="00163949">
        <w:rPr>
          <w:rFonts w:ascii="Times New Roman" w:eastAsia="Times New Roman" w:hAnsi="Times New Roman"/>
          <w:color w:val="000000"/>
          <w:sz w:val="24"/>
          <w:szCs w:val="24"/>
          <w:lang w:bidi="ar-SA"/>
        </w:rPr>
        <w:t xml:space="preserve"> is the error term; while α, β, γ, and θ are the parameters of the model to be estimated. When </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M</m:t>
            </m:r>
          </m:e>
          <m:sub>
            <m:r>
              <w:rPr>
                <w:rFonts w:ascii="Cambria Math" w:eastAsia="Times New Roman" w:hAnsi="Cambria Math"/>
                <w:color w:val="000000"/>
                <w:sz w:val="24"/>
                <w:szCs w:val="24"/>
                <w:lang w:bidi="ar-SA"/>
              </w:rPr>
              <m:t>1t</m:t>
            </m:r>
          </m:sub>
        </m:sSub>
        <m:r>
          <w:rPr>
            <w:rFonts w:ascii="Cambria Math" w:eastAsia="Times New Roman" w:hAnsi="Cambria Math"/>
            <w:color w:val="000000"/>
            <w:sz w:val="24"/>
            <w:szCs w:val="24"/>
            <w:lang w:bidi="ar-SA"/>
          </w:rPr>
          <m:t> </m:t>
        </m:r>
      </m:oMath>
      <w:r w:rsidRPr="00163949">
        <w:rPr>
          <w:rFonts w:ascii="Times New Roman" w:eastAsia="Times New Roman" w:hAnsi="Times New Roman"/>
          <w:color w:val="000000"/>
          <w:sz w:val="24"/>
          <w:szCs w:val="24"/>
          <w:lang w:bidi="ar-SA"/>
        </w:rPr>
        <w:t xml:space="preserve">Granger causes </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M</m:t>
            </m:r>
          </m:e>
          <m:sub>
            <m:r>
              <w:rPr>
                <w:rFonts w:ascii="Cambria Math" w:eastAsia="Times New Roman" w:hAnsi="Cambria Math"/>
                <w:color w:val="000000"/>
                <w:sz w:val="24"/>
                <w:szCs w:val="24"/>
                <w:lang w:bidi="ar-SA"/>
              </w:rPr>
              <m:t>2t</m:t>
            </m:r>
          </m:sub>
        </m:sSub>
        <m:r>
          <w:rPr>
            <w:rFonts w:ascii="Cambria Math" w:eastAsia="Times New Roman" w:hAnsi="Cambria Math"/>
            <w:color w:val="000000"/>
            <w:sz w:val="24"/>
            <w:szCs w:val="24"/>
            <w:lang w:bidi="ar-SA"/>
          </w:rPr>
          <m:t> </m:t>
        </m:r>
      </m:oMath>
      <w:r w:rsidRPr="00163949">
        <w:rPr>
          <w:rFonts w:ascii="Times New Roman" w:eastAsia="Times New Roman" w:hAnsi="Times New Roman"/>
          <w:color w:val="000000"/>
          <w:sz w:val="24"/>
          <w:szCs w:val="24"/>
          <w:lang w:bidi="ar-SA"/>
        </w:rPr>
        <w:t xml:space="preserve"> and </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M</m:t>
            </m:r>
          </m:e>
          <m:sub>
            <m:r>
              <w:rPr>
                <w:rFonts w:ascii="Cambria Math" w:eastAsia="Times New Roman" w:hAnsi="Cambria Math"/>
                <w:color w:val="000000"/>
                <w:sz w:val="24"/>
                <w:szCs w:val="24"/>
                <w:lang w:bidi="ar-SA"/>
              </w:rPr>
              <m:t>2t</m:t>
            </m:r>
          </m:sub>
        </m:sSub>
        <m:r>
          <w:rPr>
            <w:rFonts w:ascii="Cambria Math" w:eastAsia="Times New Roman" w:hAnsi="Cambria Math"/>
            <w:color w:val="000000"/>
            <w:sz w:val="24"/>
            <w:szCs w:val="24"/>
            <w:lang w:bidi="ar-SA"/>
          </w:rPr>
          <m:t> </m:t>
        </m:r>
      </m:oMath>
      <w:r w:rsidRPr="00163949">
        <w:rPr>
          <w:rFonts w:ascii="Times New Roman" w:eastAsia="Times New Roman" w:hAnsi="Times New Roman"/>
          <w:color w:val="000000"/>
          <w:sz w:val="24"/>
          <w:szCs w:val="24"/>
          <w:lang w:bidi="ar-SA"/>
        </w:rPr>
        <w:t>Granger causes</w:t>
      </w:r>
      <m:oMath>
        <m:sSub>
          <m:sSubPr>
            <m:ctrlPr>
              <w:rPr>
                <w:rFonts w:ascii="Cambria Math" w:eastAsia="Times New Roman" w:hAnsi="Cambria Math"/>
                <w:i/>
                <w:iCs/>
                <w:color w:val="000000"/>
                <w:sz w:val="24"/>
                <w:szCs w:val="24"/>
                <w:lang w:bidi="ar-SA"/>
              </w:rPr>
            </m:ctrlPr>
          </m:sSubPr>
          <m:e>
            <m:r>
              <w:rPr>
                <w:rFonts w:ascii="Cambria Math" w:eastAsia="Times New Roman" w:hAnsi="Cambria Math"/>
                <w:color w:val="000000"/>
                <w:sz w:val="24"/>
                <w:szCs w:val="24"/>
                <w:lang w:bidi="ar-SA"/>
              </w:rPr>
              <m:t xml:space="preserve"> M</m:t>
            </m:r>
          </m:e>
          <m:sub>
            <m:r>
              <w:rPr>
                <w:rFonts w:ascii="Cambria Math" w:eastAsia="Times New Roman" w:hAnsi="Cambria Math"/>
                <w:color w:val="000000"/>
                <w:sz w:val="24"/>
                <w:szCs w:val="24"/>
                <w:lang w:bidi="ar-SA"/>
              </w:rPr>
              <m:t>1t</m:t>
            </m:r>
          </m:sub>
        </m:sSub>
        <m:r>
          <w:rPr>
            <w:rFonts w:ascii="Cambria Math" w:eastAsia="Times New Roman" w:hAnsi="Cambria Math"/>
            <w:color w:val="000000"/>
            <w:sz w:val="24"/>
            <w:szCs w:val="24"/>
            <w:lang w:bidi="ar-SA"/>
          </w:rPr>
          <m:t> </m:t>
        </m:r>
      </m:oMath>
      <w:r w:rsidRPr="00163949">
        <w:rPr>
          <w:rFonts w:ascii="Times New Roman" w:eastAsia="Times New Roman" w:hAnsi="Times New Roman"/>
          <w:color w:val="000000"/>
          <w:sz w:val="24"/>
          <w:szCs w:val="24"/>
          <w:lang w:bidi="ar-SA"/>
        </w:rPr>
        <w:t xml:space="preserve">, it </w:t>
      </w:r>
      <w:r>
        <w:rPr>
          <w:rFonts w:ascii="Times New Roman" w:eastAsia="Times New Roman" w:hAnsi="Times New Roman"/>
          <w:color w:val="000000"/>
          <w:sz w:val="24"/>
          <w:szCs w:val="24"/>
          <w:lang w:bidi="ar-SA"/>
        </w:rPr>
        <w:t>was</w:t>
      </w:r>
      <w:r w:rsidRPr="00163949">
        <w:rPr>
          <w:rFonts w:ascii="Times New Roman" w:eastAsia="Times New Roman" w:hAnsi="Times New Roman"/>
          <w:color w:val="000000"/>
          <w:sz w:val="24"/>
          <w:szCs w:val="24"/>
          <w:lang w:bidi="ar-SA"/>
        </w:rPr>
        <w:t xml:space="preserve"> referred to as bi-directional causality. If only one direction exists, it </w:t>
      </w:r>
      <w:r>
        <w:rPr>
          <w:rFonts w:ascii="Times New Roman" w:eastAsia="Times New Roman" w:hAnsi="Times New Roman"/>
          <w:color w:val="000000"/>
          <w:sz w:val="24"/>
          <w:szCs w:val="24"/>
          <w:lang w:bidi="ar-SA"/>
        </w:rPr>
        <w:t>was</w:t>
      </w:r>
      <w:r w:rsidRPr="00163949">
        <w:rPr>
          <w:rFonts w:ascii="Times New Roman" w:eastAsia="Times New Roman" w:hAnsi="Times New Roman"/>
          <w:color w:val="000000"/>
          <w:sz w:val="24"/>
          <w:szCs w:val="24"/>
          <w:lang w:bidi="ar-SA"/>
        </w:rPr>
        <w:t xml:space="preserve"> considered as unidirectional c</w:t>
      </w:r>
      <w:r>
        <w:rPr>
          <w:rFonts w:ascii="Times New Roman" w:eastAsia="Times New Roman" w:hAnsi="Times New Roman"/>
          <w:color w:val="000000"/>
          <w:sz w:val="24"/>
          <w:szCs w:val="24"/>
          <w:lang w:bidi="ar-SA"/>
        </w:rPr>
        <w:t xml:space="preserve">ausality. If neither exists, it </w:t>
      </w:r>
      <w:r w:rsidRPr="00163949">
        <w:rPr>
          <w:rFonts w:ascii="Times New Roman" w:eastAsia="Times New Roman" w:hAnsi="Times New Roman"/>
          <w:color w:val="000000"/>
          <w:sz w:val="24"/>
          <w:szCs w:val="24"/>
          <w:lang w:bidi="ar-SA"/>
        </w:rPr>
        <w:t>indicate</w:t>
      </w:r>
      <w:r>
        <w:rPr>
          <w:rFonts w:ascii="Times New Roman" w:eastAsia="Times New Roman" w:hAnsi="Times New Roman"/>
          <w:color w:val="000000"/>
          <w:sz w:val="24"/>
          <w:szCs w:val="24"/>
          <w:lang w:bidi="ar-SA"/>
        </w:rPr>
        <w:t>d</w:t>
      </w:r>
      <w:r w:rsidRPr="00163949">
        <w:rPr>
          <w:rFonts w:ascii="Times New Roman" w:eastAsia="Times New Roman" w:hAnsi="Times New Roman"/>
          <w:color w:val="000000"/>
          <w:sz w:val="24"/>
          <w:szCs w:val="24"/>
          <w:lang w:bidi="ar-SA"/>
        </w:rPr>
        <w:t xml:space="preserve"> no causal relationship between the market pairs. In this manner, the existence of causal relationships </w:t>
      </w:r>
      <w:r>
        <w:rPr>
          <w:rFonts w:ascii="Times New Roman" w:eastAsia="Times New Roman" w:hAnsi="Times New Roman"/>
          <w:color w:val="000000"/>
          <w:sz w:val="24"/>
          <w:szCs w:val="24"/>
          <w:lang w:bidi="ar-SA"/>
        </w:rPr>
        <w:t>was</w:t>
      </w:r>
      <w:r w:rsidRPr="00163949">
        <w:rPr>
          <w:rFonts w:ascii="Times New Roman" w:eastAsia="Times New Roman" w:hAnsi="Times New Roman"/>
          <w:color w:val="000000"/>
          <w:sz w:val="24"/>
          <w:szCs w:val="24"/>
          <w:lang w:bidi="ar-SA"/>
        </w:rPr>
        <w:t xml:space="preserve"> studied among all spot and futures prices of NCDEX and APMC markets.</w:t>
      </w:r>
    </w:p>
    <w:p w:rsidR="00F52852" w:rsidRPr="00C64C28" w:rsidRDefault="00F52852" w:rsidP="00FA1903">
      <w:pPr>
        <w:spacing w:after="0" w:line="360" w:lineRule="auto"/>
        <w:rPr>
          <w:rFonts w:ascii="Times New Roman" w:hAnsi="Times New Roman" w:cs="Times New Roman"/>
          <w:b/>
          <w:bCs/>
          <w:sz w:val="24"/>
          <w:szCs w:val="24"/>
        </w:rPr>
      </w:pPr>
      <w:r w:rsidRPr="00C64C28">
        <w:rPr>
          <w:rFonts w:ascii="Times New Roman" w:hAnsi="Times New Roman" w:cs="Times New Roman"/>
          <w:b/>
          <w:bCs/>
          <w:sz w:val="24"/>
          <w:szCs w:val="24"/>
        </w:rPr>
        <w:t xml:space="preserve">Results and Discussion </w:t>
      </w:r>
    </w:p>
    <w:p w:rsidR="00F52852" w:rsidRPr="00C64C28" w:rsidRDefault="00F52852" w:rsidP="00C64C28">
      <w:pPr>
        <w:spacing w:after="0" w:line="360" w:lineRule="auto"/>
        <w:rPr>
          <w:rFonts w:ascii="Times New Roman" w:hAnsi="Times New Roman" w:cs="Times New Roman"/>
          <w:b/>
          <w:bCs/>
          <w:sz w:val="24"/>
          <w:szCs w:val="24"/>
        </w:rPr>
      </w:pPr>
      <w:r w:rsidRPr="00C64C28">
        <w:rPr>
          <w:rFonts w:ascii="Times New Roman" w:hAnsi="Times New Roman" w:cs="Times New Roman"/>
          <w:b/>
          <w:bCs/>
          <w:sz w:val="24"/>
          <w:szCs w:val="24"/>
        </w:rPr>
        <w:t>Descriptive statistics</w:t>
      </w:r>
    </w:p>
    <w:p w:rsidR="00C212DB" w:rsidRDefault="00F52852" w:rsidP="00C212DB">
      <w:pPr>
        <w:spacing w:after="0" w:line="360" w:lineRule="auto"/>
        <w:ind w:firstLine="720"/>
        <w:rPr>
          <w:rFonts w:ascii="Times New Roman" w:hAnsi="Times New Roman" w:cs="Times New Roman"/>
          <w:b/>
          <w:bCs/>
          <w:sz w:val="24"/>
          <w:szCs w:val="24"/>
        </w:rPr>
      </w:pPr>
      <w:r w:rsidRPr="00F52852">
        <w:rPr>
          <w:rFonts w:ascii="Times New Roman" w:hAnsi="Times New Roman" w:cs="Times New Roman"/>
          <w:sz w:val="24"/>
          <w:szCs w:val="24"/>
        </w:rPr>
        <w:t xml:space="preserve">The descriptive statistics of monthly castor prices from April 2015 to March 2024 across selected spot and the futures market have been presented in Table 1. As per table, the lowest average monthly price was observed in Kurnool (₹4,366.85/q), followed by Adoni (₹4,641.95/q) while the highest were found in the national spot (₹5,081.52/q) and futures (₹5,055.65/q) markets. It clears that the trading of castor in future markets fetches the higher prices than the wholesale markets. Basic measure of variability, coefficient of variation indicates that the prices are higher volatile (25.07 % in case of Thara) than the future (22.99 %) and spot markets. The skewness values are positive but below 1, indicating that price distributions are moderately right-skewed, while kurtosis values below 3 suggest a platykurtic distribution, indicating lighter tails than a normal distribution. These findings imply that castor markets during the study period experienced relatively stable pricing patterns with limited extreme price fluctuations. Overall, the descriptive statistics reveal connected but not perfectly identical price behaviour across castor markets in India. The findings of our results are in line with study conducted by </w:t>
      </w:r>
      <w:proofErr w:type="spellStart"/>
      <w:r w:rsidR="0047000D">
        <w:rPr>
          <w:rFonts w:ascii="Times New Roman" w:hAnsi="Times New Roman" w:cs="Times New Roman"/>
          <w:sz w:val="24"/>
          <w:szCs w:val="24"/>
        </w:rPr>
        <w:t>Bannor</w:t>
      </w:r>
      <w:proofErr w:type="spellEnd"/>
      <w:r w:rsidR="0047000D">
        <w:rPr>
          <w:rFonts w:ascii="Times New Roman" w:hAnsi="Times New Roman" w:cs="Times New Roman"/>
          <w:sz w:val="24"/>
          <w:szCs w:val="24"/>
        </w:rPr>
        <w:t xml:space="preserve"> and Mathur (2015) </w:t>
      </w:r>
      <w:r w:rsidRPr="00F52852">
        <w:rPr>
          <w:rFonts w:ascii="Times New Roman" w:hAnsi="Times New Roman" w:cs="Times New Roman"/>
          <w:sz w:val="24"/>
          <w:szCs w:val="24"/>
        </w:rPr>
        <w:t>in mustard prices, indicating that such distributions are common in Indian oilseed markets.</w:t>
      </w:r>
    </w:p>
    <w:p w:rsidR="00C64C28" w:rsidRPr="00C64C28" w:rsidRDefault="00C64C28" w:rsidP="00C64C28">
      <w:pPr>
        <w:spacing w:after="0" w:line="240" w:lineRule="auto"/>
        <w:rPr>
          <w:rFonts w:ascii="Times New Roman" w:hAnsi="Times New Roman" w:cs="Times New Roman"/>
          <w:b/>
          <w:bCs/>
          <w:sz w:val="24"/>
          <w:szCs w:val="24"/>
        </w:rPr>
      </w:pPr>
      <w:r w:rsidRPr="00C64C28">
        <w:rPr>
          <w:rFonts w:ascii="Times New Roman" w:hAnsi="Times New Roman" w:cs="Times New Roman"/>
          <w:b/>
          <w:bCs/>
          <w:sz w:val="24"/>
          <w:szCs w:val="24"/>
        </w:rPr>
        <w:t>Table 1</w:t>
      </w:r>
      <w:r w:rsidR="00FA1903">
        <w:rPr>
          <w:rFonts w:ascii="Times New Roman" w:hAnsi="Times New Roman" w:cs="Times New Roman"/>
          <w:b/>
          <w:bCs/>
          <w:sz w:val="24"/>
          <w:szCs w:val="24"/>
        </w:rPr>
        <w:t>:</w:t>
      </w:r>
      <w:r w:rsidRPr="00C64C28">
        <w:rPr>
          <w:rFonts w:ascii="Times New Roman" w:hAnsi="Times New Roman" w:cs="Times New Roman"/>
          <w:b/>
          <w:bCs/>
          <w:sz w:val="24"/>
          <w:szCs w:val="24"/>
        </w:rPr>
        <w:t xml:space="preserve"> Descriptive statistics for monthly price of castor spot and futures markets in India, April 2015 to March 2024</w:t>
      </w:r>
    </w:p>
    <w:tbl>
      <w:tblPr>
        <w:tblW w:w="5000" w:type="pct"/>
        <w:jc w:val="center"/>
        <w:tblLook w:val="04A0" w:firstRow="1" w:lastRow="0" w:firstColumn="1" w:lastColumn="0" w:noHBand="0" w:noVBand="1"/>
      </w:tblPr>
      <w:tblGrid>
        <w:gridCol w:w="1385"/>
        <w:gridCol w:w="1985"/>
        <w:gridCol w:w="2519"/>
        <w:gridCol w:w="2000"/>
        <w:gridCol w:w="1353"/>
      </w:tblGrid>
      <w:tr w:rsidR="00C64C28" w:rsidRPr="00B95124" w:rsidTr="00C64C28">
        <w:trPr>
          <w:trHeight w:val="288"/>
          <w:jc w:val="center"/>
        </w:trPr>
        <w:tc>
          <w:tcPr>
            <w:tcW w:w="7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Market</w:t>
            </w:r>
          </w:p>
        </w:tc>
        <w:tc>
          <w:tcPr>
            <w:tcW w:w="1074" w:type="pct"/>
            <w:tcBorders>
              <w:top w:val="single" w:sz="4" w:space="0" w:color="auto"/>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Mean</w:t>
            </w:r>
          </w:p>
        </w:tc>
        <w:tc>
          <w:tcPr>
            <w:tcW w:w="1363" w:type="pct"/>
            <w:tcBorders>
              <w:top w:val="single" w:sz="4" w:space="0" w:color="auto"/>
              <w:left w:val="nil"/>
              <w:bottom w:val="single" w:sz="4" w:space="0" w:color="auto"/>
              <w:right w:val="single" w:sz="4" w:space="0" w:color="auto"/>
            </w:tcBorders>
            <w:shd w:val="clear" w:color="auto" w:fill="auto"/>
            <w:vAlign w:val="center"/>
            <w:hideMark/>
          </w:tcPr>
          <w:p w:rsidR="00C64C28" w:rsidRPr="00180508" w:rsidRDefault="00C64C28"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C772A">
              <w:rPr>
                <w:rFonts w:ascii="Times New Roman" w:eastAsia="Times New Roman" w:hAnsi="Times New Roman" w:cs="Times New Roman"/>
                <w:b/>
                <w:bCs/>
                <w:color w:val="000000"/>
                <w:sz w:val="24"/>
                <w:szCs w:val="24"/>
                <w:lang w:eastAsia="en-IN" w:bidi="ar-SA"/>
              </w:rPr>
              <w:t xml:space="preserve"> </w:t>
            </w:r>
            <w:r w:rsidRPr="00180508">
              <w:rPr>
                <w:rFonts w:ascii="Times New Roman" w:eastAsia="Times New Roman" w:hAnsi="Times New Roman" w:cs="Times New Roman"/>
                <w:b/>
                <w:bCs/>
                <w:color w:val="000000"/>
                <w:sz w:val="24"/>
                <w:szCs w:val="24"/>
                <w:lang w:eastAsia="en-IN" w:bidi="ar-SA"/>
              </w:rPr>
              <w:t>Coefficient of Variation (%)</w:t>
            </w:r>
          </w:p>
        </w:tc>
        <w:tc>
          <w:tcPr>
            <w:tcW w:w="1082" w:type="pct"/>
            <w:tcBorders>
              <w:top w:val="single" w:sz="4" w:space="0" w:color="auto"/>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Skewness</w:t>
            </w:r>
          </w:p>
        </w:tc>
        <w:tc>
          <w:tcPr>
            <w:tcW w:w="732" w:type="pct"/>
            <w:tcBorders>
              <w:top w:val="single" w:sz="4" w:space="0" w:color="auto"/>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Kurtosis</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Thara</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4870.05</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25.07</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0.564</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2.22</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Patan</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4840.5</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25.05</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0.565</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2.25</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Adoni</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4641.95</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24.30</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0.368</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1.87</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Kurnool</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4366.85</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23.28</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0.652</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2.39</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Sumerpur</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4746.51</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24.64</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0.576</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2.34</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Futures</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5055.65</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22.99</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0.589</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2.18</w:t>
            </w:r>
          </w:p>
        </w:tc>
      </w:tr>
      <w:tr w:rsidR="00C64C28" w:rsidRPr="00B95124" w:rsidTr="00C64C28">
        <w:trPr>
          <w:trHeight w:val="288"/>
          <w:jc w:val="center"/>
        </w:trPr>
        <w:tc>
          <w:tcPr>
            <w:tcW w:w="749" w:type="pct"/>
            <w:tcBorders>
              <w:top w:val="nil"/>
              <w:left w:val="single" w:sz="4" w:space="0" w:color="auto"/>
              <w:bottom w:val="single" w:sz="4" w:space="0" w:color="auto"/>
              <w:right w:val="single" w:sz="4" w:space="0" w:color="auto"/>
            </w:tcBorders>
            <w:shd w:val="clear" w:color="auto" w:fill="auto"/>
            <w:vAlign w:val="center"/>
            <w:hideMark/>
          </w:tcPr>
          <w:p w:rsidR="00C64C28" w:rsidRPr="00C212DB" w:rsidRDefault="00C64C28" w:rsidP="000E608E">
            <w:pPr>
              <w:spacing w:after="0" w:line="240" w:lineRule="auto"/>
              <w:rPr>
                <w:rFonts w:ascii="Times New Roman" w:eastAsia="Times New Roman" w:hAnsi="Times New Roman" w:cs="Times New Roman"/>
                <w:b/>
                <w:bCs/>
                <w:color w:val="000000"/>
                <w:sz w:val="24"/>
                <w:szCs w:val="24"/>
                <w:lang w:eastAsia="en-IN" w:bidi="ar-SA"/>
              </w:rPr>
            </w:pPr>
            <w:r w:rsidRPr="00C212DB">
              <w:rPr>
                <w:rFonts w:ascii="Times New Roman" w:eastAsia="Times New Roman" w:hAnsi="Times New Roman" w:cs="Times New Roman"/>
                <w:b/>
                <w:bCs/>
                <w:color w:val="000000"/>
                <w:sz w:val="24"/>
                <w:szCs w:val="24"/>
                <w:lang w:eastAsia="en-IN" w:bidi="ar-SA"/>
              </w:rPr>
              <w:t>Spot</w:t>
            </w:r>
          </w:p>
        </w:tc>
        <w:tc>
          <w:tcPr>
            <w:tcW w:w="1074"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5081.52</w:t>
            </w:r>
          </w:p>
        </w:tc>
        <w:tc>
          <w:tcPr>
            <w:tcW w:w="1363" w:type="pct"/>
            <w:tcBorders>
              <w:top w:val="nil"/>
              <w:left w:val="nil"/>
              <w:bottom w:val="single" w:sz="4" w:space="0" w:color="auto"/>
              <w:right w:val="single" w:sz="4" w:space="0" w:color="auto"/>
            </w:tcBorders>
            <w:shd w:val="clear" w:color="auto" w:fill="auto"/>
            <w:vAlign w:val="bottom"/>
            <w:hideMark/>
          </w:tcPr>
          <w:p w:rsidR="00C64C28" w:rsidRPr="00BC772A"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624263">
              <w:rPr>
                <w:rFonts w:ascii="Times New Roman" w:hAnsi="Times New Roman" w:cs="Times New Roman"/>
                <w:color w:val="000000"/>
                <w:sz w:val="24"/>
                <w:szCs w:val="24"/>
              </w:rPr>
              <w:t>23.17</w:t>
            </w:r>
          </w:p>
        </w:tc>
        <w:tc>
          <w:tcPr>
            <w:tcW w:w="108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0.63</w:t>
            </w:r>
          </w:p>
        </w:tc>
        <w:tc>
          <w:tcPr>
            <w:tcW w:w="732" w:type="pct"/>
            <w:tcBorders>
              <w:top w:val="nil"/>
              <w:left w:val="nil"/>
              <w:bottom w:val="single" w:sz="4" w:space="0" w:color="auto"/>
              <w:right w:val="single" w:sz="4" w:space="0" w:color="auto"/>
            </w:tcBorders>
            <w:shd w:val="clear" w:color="auto" w:fill="auto"/>
            <w:vAlign w:val="center"/>
            <w:hideMark/>
          </w:tcPr>
          <w:p w:rsidR="00C64C28" w:rsidRPr="00B95124" w:rsidRDefault="00C64C28"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2.26</w:t>
            </w:r>
          </w:p>
        </w:tc>
      </w:tr>
    </w:tbl>
    <w:p w:rsidR="00C64C28" w:rsidRDefault="00C64C28" w:rsidP="00C212DB">
      <w:pPr>
        <w:spacing w:before="240" w:after="0" w:line="360" w:lineRule="auto"/>
        <w:ind w:firstLine="720"/>
        <w:rPr>
          <w:rFonts w:ascii="Times New Roman" w:hAnsi="Times New Roman" w:cs="Times New Roman"/>
          <w:sz w:val="24"/>
          <w:szCs w:val="24"/>
        </w:rPr>
      </w:pPr>
      <w:r w:rsidRPr="00C64C28">
        <w:rPr>
          <w:rFonts w:ascii="Times New Roman" w:hAnsi="Times New Roman" w:cs="Times New Roman"/>
          <w:sz w:val="24"/>
          <w:szCs w:val="24"/>
        </w:rPr>
        <w:t xml:space="preserve">Apart from the above table, box plot (Figure 1) illustrates that interquartile range (IQR) was widest in Patan, Futures, and Spot markets, reflecting greater within-market price </w:t>
      </w:r>
      <w:r w:rsidRPr="00C64C28">
        <w:rPr>
          <w:rFonts w:ascii="Times New Roman" w:hAnsi="Times New Roman" w:cs="Times New Roman"/>
          <w:sz w:val="24"/>
          <w:szCs w:val="24"/>
        </w:rPr>
        <w:lastRenderedPageBreak/>
        <w:t>variation. The presence of upper-end outliers, particularly in Patan and Spot, implies occasional price surges, while the lower-end outliers in Thara and Futures indicate sporadic price declines. Such variability reflects market-specific supply-demand dynamics and seasonal shocks.</w:t>
      </w:r>
    </w:p>
    <w:p w:rsidR="00C64C28" w:rsidRPr="00C64C28" w:rsidRDefault="00C64C28" w:rsidP="00BF43A8">
      <w:pPr>
        <w:spacing w:after="0" w:line="360" w:lineRule="auto"/>
        <w:jc w:val="center"/>
        <w:rPr>
          <w:rFonts w:ascii="Times New Roman" w:hAnsi="Times New Roman" w:cs="Times New Roman"/>
          <w:sz w:val="24"/>
          <w:szCs w:val="24"/>
        </w:rPr>
      </w:pPr>
      <w:r w:rsidRPr="00B95124">
        <w:rPr>
          <w:noProof/>
          <w:lang w:eastAsia="en-IN"/>
        </w:rPr>
        <w:drawing>
          <wp:inline distT="0" distB="0" distL="0" distR="0" wp14:anchorId="4431E9FE" wp14:editId="49EA92EF">
            <wp:extent cx="5707413" cy="2967487"/>
            <wp:effectExtent l="0" t="0" r="7620" b="4445"/>
            <wp:docPr id="4" name="Picture 4" descr="C:\Users\DELL\Downloads\box pl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0" name="Picture 4" descr="C:\Users\DELL\Downloads\box plot.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786" t="2291" r="4086" b="15360"/>
                    <a:stretch/>
                  </pic:blipFill>
                  <pic:spPr bwMode="auto">
                    <a:xfrm>
                      <a:off x="0" y="0"/>
                      <a:ext cx="5707413" cy="2967487"/>
                    </a:xfrm>
                    <a:prstGeom prst="rect">
                      <a:avLst/>
                    </a:prstGeom>
                    <a:noFill/>
                    <a:extLst/>
                  </pic:spPr>
                </pic:pic>
              </a:graphicData>
            </a:graphic>
          </wp:inline>
        </w:drawing>
      </w:r>
    </w:p>
    <w:p w:rsidR="00C64C28" w:rsidRDefault="00C64C28" w:rsidP="00F8020D">
      <w:pPr>
        <w:spacing w:after="0" w:line="360" w:lineRule="auto"/>
        <w:jc w:val="center"/>
        <w:rPr>
          <w:rFonts w:ascii="Times New Roman" w:hAnsi="Times New Roman" w:cs="Times New Roman"/>
          <w:b/>
          <w:bCs/>
          <w:sz w:val="24"/>
          <w:szCs w:val="24"/>
        </w:rPr>
      </w:pPr>
      <w:r w:rsidRPr="00F8020D">
        <w:rPr>
          <w:rFonts w:ascii="Times New Roman" w:hAnsi="Times New Roman" w:cs="Times New Roman"/>
          <w:b/>
          <w:bCs/>
          <w:sz w:val="24"/>
          <w:szCs w:val="24"/>
        </w:rPr>
        <w:t>Figure 1: Monthly price distributions across castor spot and futures markets</w:t>
      </w:r>
    </w:p>
    <w:p w:rsidR="00CA78EF" w:rsidRDefault="00CA78EF" w:rsidP="00FA1903">
      <w:pPr>
        <w:spacing w:after="0" w:line="360" w:lineRule="auto"/>
        <w:ind w:firstLine="720"/>
        <w:rPr>
          <w:rFonts w:ascii="Times New Roman" w:hAnsi="Times New Roman" w:cs="Times New Roman"/>
          <w:b/>
          <w:bCs/>
          <w:sz w:val="24"/>
          <w:szCs w:val="24"/>
        </w:rPr>
      </w:pPr>
      <w:r>
        <w:rPr>
          <w:rFonts w:ascii="Times New Roman" w:eastAsia="Calibri" w:hAnsi="Times New Roman" w:cs="Times New Roman"/>
          <w:kern w:val="2"/>
          <w:sz w:val="24"/>
          <w:szCs w:val="24"/>
          <w:lang w:bidi="ar-SA"/>
        </w:rPr>
        <w:t>A figure 2 clearly provides a primary information of integration of spatially separated castor markets as parallel price movement was observed across the all markets.</w:t>
      </w:r>
      <w:r w:rsidRPr="00B95124">
        <w:rPr>
          <w:rFonts w:ascii="Times New Roman" w:eastAsia="Calibri" w:hAnsi="Times New Roman" w:cs="Times New Roman"/>
          <w:kern w:val="2"/>
          <w:sz w:val="24"/>
          <w:szCs w:val="24"/>
          <w:lang w:bidi="ar-SA"/>
        </w:rPr>
        <w:t xml:space="preserve"> </w:t>
      </w:r>
    </w:p>
    <w:p w:rsidR="00F8020D" w:rsidRDefault="00783A1A" w:rsidP="006F6129">
      <w:pPr>
        <w:spacing w:after="0" w:line="360" w:lineRule="auto"/>
        <w:jc w:val="center"/>
        <w:rPr>
          <w:rFonts w:ascii="Times New Roman" w:eastAsia="Calibri" w:hAnsi="Times New Roman" w:cs="Times New Roman"/>
          <w:kern w:val="2"/>
          <w:sz w:val="24"/>
          <w:szCs w:val="24"/>
          <w:lang w:bidi="ar-SA"/>
        </w:rPr>
      </w:pPr>
      <w:r>
        <w:rPr>
          <w:noProof/>
          <w:lang w:eastAsia="en-IN"/>
        </w:rPr>
        <w:drawing>
          <wp:inline distT="0" distB="0" distL="0" distR="0" wp14:anchorId="4A78CF38" wp14:editId="358A1447">
            <wp:extent cx="5719313" cy="3027872"/>
            <wp:effectExtent l="0" t="0" r="0" b="127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725" cy="3030737"/>
                    </a:xfrm>
                    <a:prstGeom prst="rect">
                      <a:avLst/>
                    </a:prstGeom>
                    <a:noFill/>
                    <a:ln>
                      <a:noFill/>
                    </a:ln>
                  </pic:spPr>
                </pic:pic>
              </a:graphicData>
            </a:graphic>
          </wp:inline>
        </w:drawing>
      </w:r>
    </w:p>
    <w:p w:rsidR="00BF43A8" w:rsidRPr="00B95124" w:rsidRDefault="00BF43A8" w:rsidP="00BF43A8">
      <w:pPr>
        <w:spacing w:after="0" w:line="36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 xml:space="preserve">Figure 2: </w:t>
      </w:r>
      <w:r w:rsidR="00783A1A" w:rsidRPr="00783A1A">
        <w:rPr>
          <w:rFonts w:ascii="Times New Roman" w:eastAsia="Times New Roman" w:hAnsi="Times New Roman" w:cs="Times New Roman"/>
          <w:b/>
          <w:bCs/>
          <w:color w:val="000000"/>
          <w:sz w:val="24"/>
          <w:szCs w:val="24"/>
          <w:lang w:eastAsia="en-IN" w:bidi="ar-SA"/>
        </w:rPr>
        <w:t>Time plot of monthl</w:t>
      </w:r>
      <w:r w:rsidR="000E608E">
        <w:rPr>
          <w:rFonts w:ascii="Times New Roman" w:eastAsia="Times New Roman" w:hAnsi="Times New Roman" w:cs="Times New Roman"/>
          <w:b/>
          <w:bCs/>
          <w:color w:val="000000"/>
          <w:sz w:val="24"/>
          <w:szCs w:val="24"/>
          <w:lang w:eastAsia="en-IN" w:bidi="ar-SA"/>
        </w:rPr>
        <w:t>y castor prices in major markets</w:t>
      </w:r>
    </w:p>
    <w:p w:rsidR="00FA1903" w:rsidRDefault="00FA1903" w:rsidP="00FA1903">
      <w:pPr>
        <w:spacing w:line="360" w:lineRule="auto"/>
        <w:ind w:firstLine="720"/>
        <w:rPr>
          <w:rFonts w:ascii="Times New Roman" w:hAnsi="Times New Roman" w:cs="Times New Roman"/>
          <w:b/>
          <w:bCs/>
          <w:sz w:val="24"/>
          <w:szCs w:val="24"/>
        </w:rPr>
      </w:pPr>
      <w:r>
        <w:rPr>
          <w:rFonts w:ascii="Times New Roman" w:eastAsia="Calibri" w:hAnsi="Times New Roman" w:cs="Times New Roman"/>
          <w:kern w:val="2"/>
          <w:sz w:val="24"/>
          <w:szCs w:val="24"/>
          <w:lang w:bidi="ar-SA"/>
        </w:rPr>
        <w:t>Also a</w:t>
      </w:r>
      <w:r w:rsidRPr="00B95124">
        <w:rPr>
          <w:rFonts w:ascii="Times New Roman" w:eastAsia="Calibri" w:hAnsi="Times New Roman" w:cs="Times New Roman"/>
          <w:kern w:val="2"/>
          <w:sz w:val="24"/>
          <w:szCs w:val="24"/>
          <w:lang w:bidi="ar-SA"/>
        </w:rPr>
        <w:t xml:space="preserve"> linear trend lines indicate a modest but discernible upward trend in most market prices, particularly in the futures segment, suggesting increasing price expectations </w:t>
      </w:r>
      <w:r w:rsidRPr="00B95124">
        <w:rPr>
          <w:rFonts w:ascii="Times New Roman" w:eastAsia="Calibri" w:hAnsi="Times New Roman" w:cs="Times New Roman"/>
          <w:kern w:val="2"/>
          <w:sz w:val="24"/>
          <w:szCs w:val="24"/>
          <w:lang w:bidi="ar-SA"/>
        </w:rPr>
        <w:lastRenderedPageBreak/>
        <w:t xml:space="preserve">over time. While physical markets broadly mirror the futures and spot price dynamics, notable short-term divergences reflect localized market conditions and temporal inefficiencies in price transmission. </w:t>
      </w:r>
    </w:p>
    <w:p w:rsidR="00BF43A8" w:rsidRPr="00B95124" w:rsidRDefault="00BF43A8" w:rsidP="00FA1903">
      <w:pPr>
        <w:spacing w:after="0" w:line="360" w:lineRule="auto"/>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Market integration</w:t>
      </w:r>
    </w:p>
    <w:p w:rsidR="00BF43A8" w:rsidRPr="00B95124" w:rsidRDefault="00BF43A8" w:rsidP="00BF43A8">
      <w:pPr>
        <w:spacing w:after="0" w:line="360" w:lineRule="auto"/>
        <w:ind w:firstLine="720"/>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Market integration refers to the smooth movement of prices across different markets, where changes in one market are reflected in others due to improved connectivity, trade, and information flow (</w:t>
      </w:r>
      <w:proofErr w:type="spellStart"/>
      <w:r w:rsidRPr="00B95124">
        <w:rPr>
          <w:rFonts w:ascii="Times New Roman" w:eastAsia="Times New Roman" w:hAnsi="Times New Roman" w:cs="Times New Roman"/>
          <w:color w:val="000000"/>
          <w:sz w:val="24"/>
          <w:szCs w:val="24"/>
          <w:lang w:eastAsia="en-IN" w:bidi="ar-SA"/>
        </w:rPr>
        <w:t>Sendhil</w:t>
      </w:r>
      <w:proofErr w:type="spellEnd"/>
      <w:r w:rsidRPr="00B95124">
        <w:rPr>
          <w:rFonts w:ascii="Times New Roman" w:eastAsia="Times New Roman" w:hAnsi="Times New Roman" w:cs="Times New Roman"/>
          <w:color w:val="000000"/>
          <w:sz w:val="24"/>
          <w:szCs w:val="24"/>
          <w:lang w:eastAsia="en-IN" w:bidi="ar-SA"/>
        </w:rPr>
        <w:t xml:space="preserve"> </w:t>
      </w:r>
      <w:r w:rsidRPr="00B95124">
        <w:rPr>
          <w:rFonts w:ascii="Times New Roman" w:eastAsia="Times New Roman" w:hAnsi="Times New Roman" w:cs="Times New Roman"/>
          <w:i/>
          <w:iCs/>
          <w:color w:val="000000"/>
          <w:sz w:val="24"/>
          <w:szCs w:val="24"/>
          <w:lang w:eastAsia="en-IN" w:bidi="ar-SA"/>
        </w:rPr>
        <w:t>et al.,</w:t>
      </w:r>
      <w:r w:rsidRPr="00B95124">
        <w:rPr>
          <w:rFonts w:ascii="Times New Roman" w:eastAsia="Times New Roman" w:hAnsi="Times New Roman" w:cs="Times New Roman"/>
          <w:color w:val="000000"/>
          <w:sz w:val="24"/>
          <w:szCs w:val="24"/>
          <w:lang w:eastAsia="en-IN" w:bidi="ar-SA"/>
        </w:rPr>
        <w:t xml:space="preserve"> 2019). When prices in various markets move in a coordinated way, it indicates that these markets are integrated. This integration can occur naturally through market forces like supply and demand or can be influenced by policy decisions. For instance, a sudden shortage or surplus in one region can affect prices in other connected markets du</w:t>
      </w:r>
      <w:r w:rsidR="00D17636">
        <w:rPr>
          <w:rFonts w:ascii="Times New Roman" w:eastAsia="Times New Roman" w:hAnsi="Times New Roman" w:cs="Times New Roman"/>
          <w:color w:val="000000"/>
          <w:sz w:val="24"/>
          <w:szCs w:val="24"/>
          <w:lang w:eastAsia="en-IN" w:bidi="ar-SA"/>
        </w:rPr>
        <w:t>e to spill over effects (Saxena</w:t>
      </w:r>
      <w:r w:rsidRPr="00B95124">
        <w:rPr>
          <w:rFonts w:ascii="Times New Roman" w:eastAsia="Times New Roman" w:hAnsi="Times New Roman" w:cs="Times New Roman"/>
          <w:color w:val="000000"/>
          <w:sz w:val="24"/>
          <w:szCs w:val="24"/>
          <w:lang w:eastAsia="en-IN" w:bidi="ar-SA"/>
        </w:rPr>
        <w:t xml:space="preserve"> </w:t>
      </w:r>
      <w:r w:rsidRPr="00B95124">
        <w:rPr>
          <w:rFonts w:ascii="Times New Roman" w:eastAsia="Times New Roman" w:hAnsi="Times New Roman" w:cs="Times New Roman"/>
          <w:i/>
          <w:iCs/>
          <w:color w:val="000000"/>
          <w:sz w:val="24"/>
          <w:szCs w:val="24"/>
          <w:lang w:eastAsia="en-IN" w:bidi="ar-SA"/>
        </w:rPr>
        <w:t xml:space="preserve">et al., </w:t>
      </w:r>
      <w:r w:rsidR="00D17636">
        <w:rPr>
          <w:rFonts w:ascii="Times New Roman" w:eastAsia="Times New Roman" w:hAnsi="Times New Roman" w:cs="Times New Roman"/>
          <w:color w:val="000000"/>
          <w:sz w:val="24"/>
          <w:szCs w:val="24"/>
          <w:lang w:eastAsia="en-IN" w:bidi="ar-SA"/>
        </w:rPr>
        <w:t>2023</w:t>
      </w:r>
      <w:r w:rsidRPr="00B95124">
        <w:rPr>
          <w:rFonts w:ascii="Times New Roman" w:eastAsia="Times New Roman" w:hAnsi="Times New Roman" w:cs="Times New Roman"/>
          <w:color w:val="000000"/>
          <w:sz w:val="24"/>
          <w:szCs w:val="24"/>
          <w:lang w:eastAsia="en-IN" w:bidi="ar-SA"/>
        </w:rPr>
        <w:t>).</w:t>
      </w:r>
      <w:r>
        <w:rPr>
          <w:rFonts w:ascii="Times New Roman" w:eastAsia="Times New Roman" w:hAnsi="Times New Roman" w:cs="Times New Roman"/>
          <w:color w:val="000000"/>
          <w:sz w:val="24"/>
          <w:szCs w:val="24"/>
          <w:lang w:eastAsia="en-IN" w:bidi="ar-SA"/>
        </w:rPr>
        <w:t xml:space="preserve"> This section undergoes series of analysis starting from unit root test,  optimal lag selection, Johansen co-integration t</w:t>
      </w:r>
      <w:r w:rsidRPr="00D274B3">
        <w:rPr>
          <w:rFonts w:ascii="Times New Roman" w:eastAsia="Times New Roman" w:hAnsi="Times New Roman" w:cs="Times New Roman"/>
          <w:color w:val="000000"/>
          <w:sz w:val="24"/>
          <w:szCs w:val="24"/>
          <w:lang w:eastAsia="en-IN" w:bidi="ar-SA"/>
        </w:rPr>
        <w:t>est</w:t>
      </w:r>
      <w:r>
        <w:rPr>
          <w:rFonts w:ascii="Times New Roman" w:eastAsia="Times New Roman" w:hAnsi="Times New Roman" w:cs="Times New Roman"/>
          <w:color w:val="000000"/>
          <w:sz w:val="24"/>
          <w:szCs w:val="24"/>
          <w:lang w:eastAsia="en-IN" w:bidi="ar-SA"/>
        </w:rPr>
        <w:t>, Vector error correction m</w:t>
      </w:r>
      <w:r w:rsidRPr="00D274B3">
        <w:rPr>
          <w:rFonts w:ascii="Times New Roman" w:eastAsia="Times New Roman" w:hAnsi="Times New Roman" w:cs="Times New Roman"/>
          <w:color w:val="000000"/>
          <w:sz w:val="24"/>
          <w:szCs w:val="24"/>
          <w:lang w:eastAsia="en-IN" w:bidi="ar-SA"/>
        </w:rPr>
        <w:t>odel</w:t>
      </w:r>
      <w:r>
        <w:rPr>
          <w:rFonts w:ascii="Times New Roman" w:eastAsia="Times New Roman" w:hAnsi="Times New Roman" w:cs="Times New Roman"/>
          <w:color w:val="000000"/>
          <w:sz w:val="24"/>
          <w:szCs w:val="24"/>
          <w:lang w:eastAsia="en-IN" w:bidi="ar-SA"/>
        </w:rPr>
        <w:t xml:space="preserve"> (VECM) flowed by Granger causality test. </w:t>
      </w:r>
      <w:r w:rsidRPr="00B95124">
        <w:rPr>
          <w:rFonts w:ascii="Times New Roman" w:eastAsia="Times New Roman" w:hAnsi="Times New Roman" w:cs="Times New Roman"/>
          <w:color w:val="000000"/>
          <w:sz w:val="24"/>
          <w:szCs w:val="24"/>
          <w:lang w:eastAsia="en-IN" w:bidi="ar-SA"/>
        </w:rPr>
        <w:t>Together, these tools provide a comprehensive picture of how well the markets are</w:t>
      </w:r>
      <w:r w:rsidRPr="00B95124">
        <w:t xml:space="preserve"> </w:t>
      </w:r>
      <w:r w:rsidRPr="00B95124">
        <w:rPr>
          <w:rFonts w:ascii="Times New Roman" w:eastAsia="Times New Roman" w:hAnsi="Times New Roman" w:cs="Times New Roman"/>
          <w:color w:val="000000"/>
          <w:sz w:val="24"/>
          <w:szCs w:val="24"/>
          <w:lang w:eastAsia="en-IN" w:bidi="ar-SA"/>
        </w:rPr>
        <w:t>integrated, how they respond to temporary disruptions, and how price information flows between them.</w:t>
      </w:r>
    </w:p>
    <w:p w:rsidR="00BF43A8" w:rsidRPr="00B95124" w:rsidRDefault="00BF43A8" w:rsidP="00C212DB">
      <w:pPr>
        <w:spacing w:after="0"/>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Unit root test</w:t>
      </w:r>
    </w:p>
    <w:p w:rsidR="006F6129" w:rsidRDefault="00BF43A8" w:rsidP="00BF43A8">
      <w:pPr>
        <w:spacing w:after="0" w:line="360" w:lineRule="auto"/>
        <w:ind w:firstLine="720"/>
        <w:rPr>
          <w:rFonts w:ascii="Times New Roman" w:eastAsia="Calibri" w:hAnsi="Times New Roman" w:cs="Times New Roman"/>
          <w:kern w:val="2"/>
          <w:sz w:val="24"/>
          <w:szCs w:val="24"/>
          <w:lang w:bidi="ar-SA"/>
        </w:rPr>
      </w:pPr>
      <w:r>
        <w:rPr>
          <w:rFonts w:ascii="Times New Roman" w:hAnsi="Times New Roman" w:cs="Times New Roman"/>
          <w:sz w:val="24"/>
          <w:szCs w:val="24"/>
        </w:rPr>
        <w:t>The visualization time plot of prices reflects that there is increasing and decreasing trend at some points, it clears that there is fluctuation in prices at level data implying non consistency of mean over the time. This non consistency of mean and variance over the time is sign of non-stationarity nature of data.</w:t>
      </w:r>
      <w:r w:rsidRPr="00B95124">
        <w:rPr>
          <w:rFonts w:ascii="Times New Roman" w:hAnsi="Times New Roman" w:cs="Times New Roman"/>
          <w:sz w:val="24"/>
          <w:szCs w:val="24"/>
        </w:rPr>
        <w:t xml:space="preserve"> To examine the stationarity of castor prices across selected Indian markets, the Augmented Dickey-Fuller (ADF) unit</w:t>
      </w:r>
      <w:r w:rsidR="00FA1903">
        <w:rPr>
          <w:rFonts w:ascii="Times New Roman" w:hAnsi="Times New Roman" w:cs="Times New Roman"/>
          <w:sz w:val="24"/>
          <w:szCs w:val="24"/>
        </w:rPr>
        <w:t xml:space="preserve"> root test was employed (Table 2</w:t>
      </w:r>
      <w:r w:rsidRPr="00B95124">
        <w:rPr>
          <w:rFonts w:ascii="Times New Roman" w:hAnsi="Times New Roman" w:cs="Times New Roman"/>
          <w:sz w:val="24"/>
          <w:szCs w:val="24"/>
        </w:rPr>
        <w:t xml:space="preserve">). This test is done to avoid spurious and no- sense regression. The results revealed that the price series for all markets were </w:t>
      </w:r>
      <w:r>
        <w:rPr>
          <w:rFonts w:ascii="Times New Roman" w:hAnsi="Times New Roman" w:cs="Times New Roman"/>
          <w:sz w:val="24"/>
          <w:szCs w:val="24"/>
        </w:rPr>
        <w:t xml:space="preserve">found </w:t>
      </w:r>
      <w:r w:rsidRPr="00B95124">
        <w:rPr>
          <w:rFonts w:ascii="Times New Roman" w:hAnsi="Times New Roman" w:cs="Times New Roman"/>
          <w:sz w:val="24"/>
          <w:szCs w:val="24"/>
        </w:rPr>
        <w:t xml:space="preserve">non-stationary at </w:t>
      </w:r>
      <w:r w:rsidRPr="00FA1903">
        <w:rPr>
          <w:rFonts w:ascii="Times New Roman" w:hAnsi="Times New Roman" w:cs="Times New Roman"/>
          <w:sz w:val="24"/>
          <w:szCs w:val="24"/>
        </w:rPr>
        <w:t>level;</w:t>
      </w:r>
      <w:r w:rsidRPr="00B95124">
        <w:rPr>
          <w:rFonts w:ascii="Times New Roman" w:hAnsi="Times New Roman" w:cs="Times New Roman"/>
          <w:b/>
          <w:bCs/>
          <w:sz w:val="24"/>
          <w:szCs w:val="24"/>
        </w:rPr>
        <w:t xml:space="preserve"> </w:t>
      </w:r>
      <w:r>
        <w:rPr>
          <w:rFonts w:ascii="Times New Roman" w:hAnsi="Times New Roman" w:cs="Times New Roman"/>
          <w:sz w:val="24"/>
          <w:szCs w:val="24"/>
        </w:rPr>
        <w:t>this allowed going for first differencing</w:t>
      </w:r>
      <w:r w:rsidRPr="00B95124">
        <w:rPr>
          <w:rFonts w:ascii="Times New Roman" w:hAnsi="Times New Roman" w:cs="Times New Roman"/>
          <w:sz w:val="24"/>
          <w:szCs w:val="24"/>
        </w:rPr>
        <w:t xml:space="preserve">. </w:t>
      </w:r>
      <w:r>
        <w:rPr>
          <w:rFonts w:ascii="Times New Roman" w:hAnsi="Times New Roman" w:cs="Times New Roman"/>
          <w:sz w:val="24"/>
          <w:szCs w:val="24"/>
        </w:rPr>
        <w:t>After differencing</w:t>
      </w:r>
      <w:r w:rsidRPr="00B95124">
        <w:rPr>
          <w:rFonts w:ascii="Times New Roman" w:hAnsi="Times New Roman" w:cs="Times New Roman"/>
          <w:sz w:val="24"/>
          <w:szCs w:val="24"/>
        </w:rPr>
        <w:t xml:space="preserve">, all </w:t>
      </w:r>
      <w:r>
        <w:rPr>
          <w:rFonts w:ascii="Times New Roman" w:hAnsi="Times New Roman" w:cs="Times New Roman"/>
          <w:sz w:val="24"/>
          <w:szCs w:val="24"/>
        </w:rPr>
        <w:t xml:space="preserve">the prices </w:t>
      </w:r>
      <w:r w:rsidRPr="00B95124">
        <w:rPr>
          <w:rFonts w:ascii="Times New Roman" w:hAnsi="Times New Roman" w:cs="Times New Roman"/>
          <w:sz w:val="24"/>
          <w:szCs w:val="24"/>
        </w:rPr>
        <w:t xml:space="preserve">series </w:t>
      </w:r>
      <w:r>
        <w:rPr>
          <w:rFonts w:ascii="Times New Roman" w:hAnsi="Times New Roman" w:cs="Times New Roman"/>
          <w:sz w:val="24"/>
          <w:szCs w:val="24"/>
        </w:rPr>
        <w:t>reported</w:t>
      </w:r>
      <w:r w:rsidRPr="00B95124">
        <w:rPr>
          <w:rFonts w:ascii="Times New Roman" w:hAnsi="Times New Roman" w:cs="Times New Roman"/>
          <w:sz w:val="24"/>
          <w:szCs w:val="24"/>
        </w:rPr>
        <w:t xml:space="preserve"> stationary at </w:t>
      </w:r>
      <w:r>
        <w:rPr>
          <w:rFonts w:ascii="Times New Roman" w:hAnsi="Times New Roman" w:cs="Times New Roman"/>
          <w:sz w:val="24"/>
          <w:szCs w:val="24"/>
        </w:rPr>
        <w:t>level one</w:t>
      </w:r>
      <w:r w:rsidRPr="00B95124">
        <w:rPr>
          <w:rFonts w:ascii="Times New Roman" w:hAnsi="Times New Roman" w:cs="Times New Roman"/>
          <w:sz w:val="24"/>
          <w:szCs w:val="24"/>
        </w:rPr>
        <w:t>, confirming that they are integrated of order one, i.e., I(1). This outcome satisfies the necessary condition for proceeding with cointegration analysis, as cointegration techniques require that the variables be integrated of the same order (Johansen, 1988).</w:t>
      </w:r>
    </w:p>
    <w:p w:rsidR="00FA1903" w:rsidRPr="00B95124" w:rsidRDefault="00FA1903" w:rsidP="00FA1903">
      <w:pPr>
        <w:spacing w:after="0" w:line="360" w:lineRule="auto"/>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Table 2:</w:t>
      </w:r>
      <w:r w:rsidRPr="00B95124">
        <w:rPr>
          <w:rFonts w:ascii="Times New Roman" w:eastAsia="Times New Roman" w:hAnsi="Times New Roman" w:cs="Times New Roman"/>
          <w:b/>
          <w:bCs/>
          <w:color w:val="000000"/>
          <w:sz w:val="24"/>
          <w:szCs w:val="24"/>
          <w:lang w:eastAsia="en-IN" w:bidi="ar-SA"/>
        </w:rPr>
        <w:t xml:space="preserve"> ADF unit root test for prices of castor indifferent markets </w:t>
      </w:r>
    </w:p>
    <w:tbl>
      <w:tblPr>
        <w:tblStyle w:val="TableGrid"/>
        <w:tblW w:w="0" w:type="auto"/>
        <w:tblLook w:val="04A0" w:firstRow="1" w:lastRow="0" w:firstColumn="1" w:lastColumn="0" w:noHBand="0" w:noVBand="1"/>
      </w:tblPr>
      <w:tblGrid>
        <w:gridCol w:w="1848"/>
        <w:gridCol w:w="1848"/>
        <w:gridCol w:w="1848"/>
        <w:gridCol w:w="1849"/>
        <w:gridCol w:w="1849"/>
      </w:tblGrid>
      <w:tr w:rsidR="00FA1903" w:rsidRPr="00B95124" w:rsidTr="000E608E">
        <w:tc>
          <w:tcPr>
            <w:tcW w:w="1848" w:type="dxa"/>
            <w:vMerge w:val="restart"/>
          </w:tcPr>
          <w:p w:rsidR="00FA1903" w:rsidRPr="00B95124" w:rsidRDefault="00FA1903" w:rsidP="000E608E">
            <w:pPr>
              <w:spacing w:line="259"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Markets</w:t>
            </w:r>
          </w:p>
        </w:tc>
        <w:tc>
          <w:tcPr>
            <w:tcW w:w="3696" w:type="dxa"/>
            <w:gridSpan w:val="2"/>
          </w:tcPr>
          <w:p w:rsidR="00FA1903" w:rsidRPr="00B95124" w:rsidRDefault="00FA1903" w:rsidP="000E608E">
            <w:pPr>
              <w:tabs>
                <w:tab w:val="left" w:pos="1170"/>
              </w:tabs>
              <w:spacing w:line="259"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Level</w:t>
            </w:r>
          </w:p>
        </w:tc>
        <w:tc>
          <w:tcPr>
            <w:tcW w:w="3698" w:type="dxa"/>
            <w:gridSpan w:val="2"/>
          </w:tcPr>
          <w:p w:rsidR="00FA1903" w:rsidRPr="00B95124" w:rsidRDefault="00FA1903" w:rsidP="000E608E">
            <w:pPr>
              <w:spacing w:line="259"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First Difference</w:t>
            </w:r>
          </w:p>
        </w:tc>
      </w:tr>
      <w:tr w:rsidR="00FA1903" w:rsidRPr="00B95124" w:rsidTr="000E608E">
        <w:tc>
          <w:tcPr>
            <w:tcW w:w="1848" w:type="dxa"/>
            <w:vMerge/>
          </w:tcPr>
          <w:p w:rsidR="00FA1903" w:rsidRPr="00B95124" w:rsidRDefault="00FA1903" w:rsidP="000E608E">
            <w:pPr>
              <w:spacing w:line="259" w:lineRule="auto"/>
              <w:rPr>
                <w:rFonts w:ascii="Times New Roman" w:eastAsia="Times New Roman" w:hAnsi="Times New Roman" w:cs="Times New Roman"/>
                <w:b/>
                <w:bCs/>
                <w:color w:val="000000"/>
                <w:sz w:val="24"/>
                <w:szCs w:val="24"/>
                <w:lang w:eastAsia="en-IN" w:bidi="ar-SA"/>
              </w:rPr>
            </w:pPr>
          </w:p>
        </w:tc>
        <w:tc>
          <w:tcPr>
            <w:tcW w:w="1848" w:type="dxa"/>
          </w:tcPr>
          <w:p w:rsidR="00FA1903" w:rsidRPr="00B95124" w:rsidRDefault="00FA1903" w:rsidP="000E608E">
            <w:pPr>
              <w:spacing w:line="259"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t- Statistic</w:t>
            </w:r>
          </w:p>
        </w:tc>
        <w:tc>
          <w:tcPr>
            <w:tcW w:w="1848" w:type="dxa"/>
          </w:tcPr>
          <w:p w:rsidR="00FA1903" w:rsidRPr="00B95124" w:rsidRDefault="00FA1903" w:rsidP="000E608E">
            <w:pPr>
              <w:spacing w:line="259"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Probability*</w:t>
            </w:r>
          </w:p>
        </w:tc>
        <w:tc>
          <w:tcPr>
            <w:tcW w:w="1849" w:type="dxa"/>
          </w:tcPr>
          <w:p w:rsidR="00FA1903" w:rsidRPr="00B95124" w:rsidRDefault="00FA1903" w:rsidP="000E608E">
            <w:pPr>
              <w:spacing w:line="259"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t- Statistic</w:t>
            </w:r>
          </w:p>
        </w:tc>
        <w:tc>
          <w:tcPr>
            <w:tcW w:w="1849" w:type="dxa"/>
          </w:tcPr>
          <w:p w:rsidR="00FA1903" w:rsidRPr="00B95124" w:rsidRDefault="00FA1903" w:rsidP="000E608E">
            <w:pPr>
              <w:spacing w:line="259"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Probability</w:t>
            </w:r>
          </w:p>
        </w:tc>
      </w:tr>
      <w:tr w:rsidR="00FA1903" w:rsidRPr="00B95124" w:rsidTr="000E608E">
        <w:tc>
          <w:tcPr>
            <w:tcW w:w="1848" w:type="dxa"/>
          </w:tcPr>
          <w:p w:rsidR="00FA1903" w:rsidRPr="00B95124" w:rsidRDefault="00FA1903" w:rsidP="000E608E">
            <w:pPr>
              <w:spacing w:line="259" w:lineRule="auto"/>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Thara</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-2.369</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0.3962</w:t>
            </w:r>
          </w:p>
        </w:tc>
        <w:tc>
          <w:tcPr>
            <w:tcW w:w="1849"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-6.452</w:t>
            </w:r>
          </w:p>
        </w:tc>
        <w:tc>
          <w:tcPr>
            <w:tcW w:w="1849"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0.0000</w:t>
            </w:r>
          </w:p>
        </w:tc>
      </w:tr>
      <w:tr w:rsidR="00FA1903" w:rsidRPr="00B95124" w:rsidTr="000E608E">
        <w:tc>
          <w:tcPr>
            <w:tcW w:w="1848" w:type="dxa"/>
          </w:tcPr>
          <w:p w:rsidR="00FA1903" w:rsidRPr="00B95124" w:rsidRDefault="00FA1903" w:rsidP="000E608E">
            <w:pPr>
              <w:spacing w:line="259"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Patan</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-2.445</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0.3559</w:t>
            </w:r>
          </w:p>
        </w:tc>
        <w:tc>
          <w:tcPr>
            <w:tcW w:w="1849"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-6.519</w:t>
            </w:r>
          </w:p>
        </w:tc>
        <w:tc>
          <w:tcPr>
            <w:tcW w:w="1849" w:type="dxa"/>
          </w:tcPr>
          <w:p w:rsidR="00FA1903" w:rsidRPr="00B95124" w:rsidRDefault="00FA1903" w:rsidP="000E608E">
            <w:pPr>
              <w:jc w:val="center"/>
            </w:pPr>
            <w:r w:rsidRPr="00B95124">
              <w:rPr>
                <w:rFonts w:ascii="Times New Roman" w:eastAsia="Times New Roman" w:hAnsi="Times New Roman" w:cs="Times New Roman"/>
                <w:color w:val="000000"/>
                <w:sz w:val="24"/>
                <w:szCs w:val="24"/>
                <w:lang w:eastAsia="en-IN" w:bidi="ar-SA"/>
              </w:rPr>
              <w:t>0.0000</w:t>
            </w:r>
          </w:p>
        </w:tc>
      </w:tr>
      <w:tr w:rsidR="00FA1903" w:rsidRPr="00B95124" w:rsidTr="000E608E">
        <w:tc>
          <w:tcPr>
            <w:tcW w:w="1848" w:type="dxa"/>
          </w:tcPr>
          <w:p w:rsidR="00FA1903" w:rsidRPr="00B95124" w:rsidRDefault="00FA1903" w:rsidP="000E608E">
            <w:pPr>
              <w:spacing w:line="259"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Adoni</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-2.648</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0.2585</w:t>
            </w:r>
          </w:p>
        </w:tc>
        <w:tc>
          <w:tcPr>
            <w:tcW w:w="1849"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-8.505</w:t>
            </w:r>
          </w:p>
        </w:tc>
        <w:tc>
          <w:tcPr>
            <w:tcW w:w="1849" w:type="dxa"/>
          </w:tcPr>
          <w:p w:rsidR="00FA1903" w:rsidRPr="00B95124" w:rsidRDefault="00FA1903" w:rsidP="000E608E">
            <w:pPr>
              <w:jc w:val="center"/>
            </w:pPr>
            <w:r w:rsidRPr="00B95124">
              <w:rPr>
                <w:rFonts w:ascii="Times New Roman" w:eastAsia="Times New Roman" w:hAnsi="Times New Roman" w:cs="Times New Roman"/>
                <w:color w:val="000000"/>
                <w:sz w:val="24"/>
                <w:szCs w:val="24"/>
                <w:lang w:eastAsia="en-IN" w:bidi="ar-SA"/>
              </w:rPr>
              <w:t>0.0000</w:t>
            </w:r>
          </w:p>
        </w:tc>
      </w:tr>
      <w:tr w:rsidR="00FA1903" w:rsidRPr="00B95124" w:rsidTr="000E608E">
        <w:tc>
          <w:tcPr>
            <w:tcW w:w="1848" w:type="dxa"/>
          </w:tcPr>
          <w:p w:rsidR="00FA1903" w:rsidRPr="00B95124" w:rsidRDefault="00FA1903" w:rsidP="000E608E">
            <w:pPr>
              <w:spacing w:line="259"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Kurnool</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-2.664</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0.2513</w:t>
            </w:r>
          </w:p>
        </w:tc>
        <w:tc>
          <w:tcPr>
            <w:tcW w:w="1849"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-8.727</w:t>
            </w:r>
          </w:p>
        </w:tc>
        <w:tc>
          <w:tcPr>
            <w:tcW w:w="1849" w:type="dxa"/>
          </w:tcPr>
          <w:p w:rsidR="00FA1903" w:rsidRPr="00B95124" w:rsidRDefault="00FA1903" w:rsidP="000E608E">
            <w:pPr>
              <w:jc w:val="center"/>
            </w:pPr>
            <w:r w:rsidRPr="00B95124">
              <w:rPr>
                <w:rFonts w:ascii="Times New Roman" w:eastAsia="Times New Roman" w:hAnsi="Times New Roman" w:cs="Times New Roman"/>
                <w:color w:val="000000"/>
                <w:sz w:val="24"/>
                <w:szCs w:val="24"/>
                <w:lang w:eastAsia="en-IN" w:bidi="ar-SA"/>
              </w:rPr>
              <w:t>0.0000</w:t>
            </w:r>
          </w:p>
        </w:tc>
      </w:tr>
      <w:tr w:rsidR="00FA1903" w:rsidRPr="00B95124" w:rsidTr="000E608E">
        <w:tc>
          <w:tcPr>
            <w:tcW w:w="1848" w:type="dxa"/>
          </w:tcPr>
          <w:p w:rsidR="00FA1903" w:rsidRPr="00B95124" w:rsidRDefault="00FA1903" w:rsidP="000E608E">
            <w:pPr>
              <w:spacing w:line="259"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Sumerpur</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-2.143</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0.5222</w:t>
            </w:r>
          </w:p>
        </w:tc>
        <w:tc>
          <w:tcPr>
            <w:tcW w:w="1849"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-6.324</w:t>
            </w:r>
          </w:p>
        </w:tc>
        <w:tc>
          <w:tcPr>
            <w:tcW w:w="1849" w:type="dxa"/>
          </w:tcPr>
          <w:p w:rsidR="00FA1903" w:rsidRPr="00B95124" w:rsidRDefault="00FA1903" w:rsidP="000E608E">
            <w:pPr>
              <w:jc w:val="center"/>
            </w:pPr>
            <w:r w:rsidRPr="00B95124">
              <w:rPr>
                <w:rFonts w:ascii="Times New Roman" w:eastAsia="Times New Roman" w:hAnsi="Times New Roman" w:cs="Times New Roman"/>
                <w:color w:val="000000"/>
                <w:sz w:val="24"/>
                <w:szCs w:val="24"/>
                <w:lang w:eastAsia="en-IN" w:bidi="ar-SA"/>
              </w:rPr>
              <w:t>0.0000</w:t>
            </w:r>
          </w:p>
        </w:tc>
      </w:tr>
      <w:tr w:rsidR="00FA1903" w:rsidRPr="00B95124" w:rsidTr="000E608E">
        <w:tc>
          <w:tcPr>
            <w:tcW w:w="1848" w:type="dxa"/>
          </w:tcPr>
          <w:p w:rsidR="00FA1903" w:rsidRPr="00B95124" w:rsidRDefault="00FA1903" w:rsidP="000E608E">
            <w:pPr>
              <w:spacing w:line="259"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lastRenderedPageBreak/>
              <w:t>Futures</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-2.209</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0.4847</w:t>
            </w:r>
          </w:p>
        </w:tc>
        <w:tc>
          <w:tcPr>
            <w:tcW w:w="1849"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-6.919</w:t>
            </w:r>
          </w:p>
        </w:tc>
        <w:tc>
          <w:tcPr>
            <w:tcW w:w="1849" w:type="dxa"/>
          </w:tcPr>
          <w:p w:rsidR="00FA1903" w:rsidRPr="00B95124" w:rsidRDefault="00FA1903" w:rsidP="000E608E">
            <w:pPr>
              <w:jc w:val="center"/>
            </w:pPr>
            <w:r w:rsidRPr="00B95124">
              <w:rPr>
                <w:rFonts w:ascii="Times New Roman" w:eastAsia="Times New Roman" w:hAnsi="Times New Roman" w:cs="Times New Roman"/>
                <w:color w:val="000000"/>
                <w:sz w:val="24"/>
                <w:szCs w:val="24"/>
                <w:lang w:eastAsia="en-IN" w:bidi="ar-SA"/>
              </w:rPr>
              <w:t>0.0000</w:t>
            </w:r>
          </w:p>
        </w:tc>
      </w:tr>
      <w:tr w:rsidR="00FA1903" w:rsidRPr="00B95124" w:rsidTr="000E608E">
        <w:tc>
          <w:tcPr>
            <w:tcW w:w="1848" w:type="dxa"/>
          </w:tcPr>
          <w:p w:rsidR="00FA1903" w:rsidRPr="00B95124" w:rsidRDefault="00FA1903" w:rsidP="000E608E">
            <w:pPr>
              <w:spacing w:line="259"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Spot</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-2.289</w:t>
            </w:r>
          </w:p>
        </w:tc>
        <w:tc>
          <w:tcPr>
            <w:tcW w:w="1848"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0.4401</w:t>
            </w:r>
          </w:p>
        </w:tc>
        <w:tc>
          <w:tcPr>
            <w:tcW w:w="1849" w:type="dxa"/>
          </w:tcPr>
          <w:p w:rsidR="00FA1903" w:rsidRPr="00B95124" w:rsidRDefault="00FA1903" w:rsidP="000E608E">
            <w:pPr>
              <w:spacing w:line="259"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-6.984</w:t>
            </w:r>
          </w:p>
        </w:tc>
        <w:tc>
          <w:tcPr>
            <w:tcW w:w="1849" w:type="dxa"/>
          </w:tcPr>
          <w:p w:rsidR="00FA1903" w:rsidRPr="00B95124" w:rsidRDefault="00FA1903" w:rsidP="000E608E">
            <w:pPr>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0.0000</w:t>
            </w:r>
          </w:p>
        </w:tc>
      </w:tr>
    </w:tbl>
    <w:p w:rsidR="00FA1903" w:rsidRPr="00C212DB" w:rsidRDefault="00C212DB" w:rsidP="00FA1903">
      <w:pPr>
        <w:rPr>
          <w:rFonts w:ascii="Times New Roman" w:eastAsia="Times New Roman" w:hAnsi="Times New Roman" w:cs="Times New Roman"/>
          <w:color w:val="000000"/>
          <w:sz w:val="24"/>
          <w:szCs w:val="24"/>
          <w:lang w:eastAsia="en-IN" w:bidi="ar-SA"/>
        </w:rPr>
      </w:pPr>
      <w:r w:rsidRPr="00C212DB">
        <w:rPr>
          <w:rFonts w:ascii="Times New Roman" w:eastAsia="Times New Roman" w:hAnsi="Times New Roman" w:cs="Times New Roman"/>
          <w:color w:val="000000"/>
          <w:sz w:val="20"/>
          <w:szCs w:val="20"/>
          <w:lang w:eastAsia="en-IN" w:bidi="ar-SA"/>
        </w:rPr>
        <w:t xml:space="preserve">Note: </w:t>
      </w:r>
      <w:r w:rsidR="00FA1903" w:rsidRPr="00C212DB">
        <w:rPr>
          <w:rFonts w:ascii="Times New Roman" w:eastAsia="Times New Roman" w:hAnsi="Times New Roman" w:cs="Times New Roman"/>
          <w:color w:val="000000"/>
          <w:sz w:val="20"/>
          <w:szCs w:val="20"/>
          <w:lang w:eastAsia="en-IN" w:bidi="ar-SA"/>
        </w:rPr>
        <w:t>* Mackinnon (1996) on sided p- values (probability)</w:t>
      </w:r>
    </w:p>
    <w:p w:rsidR="00FA1903" w:rsidRPr="00FA1903" w:rsidRDefault="00FA1903" w:rsidP="00FA1903">
      <w:pPr>
        <w:spacing w:after="0" w:line="360" w:lineRule="auto"/>
        <w:rPr>
          <w:rFonts w:ascii="Times New Roman" w:eastAsia="Calibri" w:hAnsi="Times New Roman" w:cs="Times New Roman"/>
          <w:b/>
          <w:bCs/>
          <w:kern w:val="2"/>
          <w:sz w:val="24"/>
          <w:szCs w:val="24"/>
          <w:lang w:bidi="ar-SA"/>
        </w:rPr>
      </w:pPr>
      <w:r w:rsidRPr="00FA1903">
        <w:rPr>
          <w:rFonts w:ascii="Times New Roman" w:eastAsia="Calibri" w:hAnsi="Times New Roman" w:cs="Times New Roman"/>
          <w:b/>
          <w:bCs/>
          <w:kern w:val="2"/>
          <w:sz w:val="24"/>
          <w:szCs w:val="24"/>
          <w:lang w:bidi="ar-SA"/>
        </w:rPr>
        <w:t>Optimum lag selection</w:t>
      </w:r>
    </w:p>
    <w:p w:rsidR="00FA1903" w:rsidRDefault="00FA1903" w:rsidP="00FA1903">
      <w:pPr>
        <w:spacing w:after="0" w:line="360" w:lineRule="auto"/>
        <w:ind w:firstLine="720"/>
        <w:rPr>
          <w:rFonts w:ascii="Times New Roman" w:eastAsia="Calibri" w:hAnsi="Times New Roman" w:cs="Times New Roman"/>
          <w:kern w:val="2"/>
          <w:sz w:val="24"/>
          <w:szCs w:val="24"/>
          <w:lang w:bidi="ar-SA"/>
        </w:rPr>
      </w:pPr>
      <w:r w:rsidRPr="00FA1903">
        <w:rPr>
          <w:rFonts w:ascii="Times New Roman" w:eastAsia="Calibri" w:hAnsi="Times New Roman" w:cs="Times New Roman"/>
          <w:kern w:val="2"/>
          <w:sz w:val="24"/>
          <w:szCs w:val="24"/>
          <w:lang w:bidi="ar-SA"/>
        </w:rPr>
        <w:t>A stationary data series may lack a visible trend, yet autocorrelation can still be present; hence, identifying the appropriate lag length is critical to ensure reliable model specification. The Akaike Information Criterion (AIC) was employed to determine the optimal lag length for castor seed prices in spot and futures markets, and the results revealed that lag 1 found optimal with  lowest AIC value (-28.9698), making it the optimal choi</w:t>
      </w:r>
      <w:r>
        <w:rPr>
          <w:rFonts w:ascii="Times New Roman" w:eastAsia="Calibri" w:hAnsi="Times New Roman" w:cs="Times New Roman"/>
          <w:kern w:val="2"/>
          <w:sz w:val="24"/>
          <w:szCs w:val="24"/>
          <w:lang w:bidi="ar-SA"/>
        </w:rPr>
        <w:t>ce for further analysis (Table 3</w:t>
      </w:r>
      <w:r w:rsidRPr="00FA1903">
        <w:rPr>
          <w:rFonts w:ascii="Times New Roman" w:eastAsia="Calibri" w:hAnsi="Times New Roman" w:cs="Times New Roman"/>
          <w:kern w:val="2"/>
          <w:sz w:val="24"/>
          <w:szCs w:val="24"/>
          <w:lang w:bidi="ar-SA"/>
        </w:rPr>
        <w:t>).</w:t>
      </w:r>
    </w:p>
    <w:p w:rsidR="00FA1903" w:rsidRPr="00B95124" w:rsidRDefault="00FA1903" w:rsidP="00FA1903">
      <w:pPr>
        <w:spacing w:after="0"/>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Table 3:</w:t>
      </w:r>
      <w:r w:rsidRPr="00B95124">
        <w:rPr>
          <w:rFonts w:ascii="Times New Roman" w:eastAsia="Times New Roman" w:hAnsi="Times New Roman" w:cs="Times New Roman"/>
          <w:b/>
          <w:bCs/>
          <w:color w:val="000000"/>
          <w:sz w:val="24"/>
          <w:szCs w:val="24"/>
          <w:lang w:eastAsia="en-IN" w:bidi="ar-SA"/>
        </w:rPr>
        <w:t xml:space="preserve"> Lag length selection criteria for castor in spot and futures markets </w:t>
      </w:r>
    </w:p>
    <w:tbl>
      <w:tblPr>
        <w:tblW w:w="4904" w:type="pct"/>
        <w:jc w:val="center"/>
        <w:tblLook w:val="04A0" w:firstRow="1" w:lastRow="0" w:firstColumn="1" w:lastColumn="0" w:noHBand="0" w:noVBand="1"/>
      </w:tblPr>
      <w:tblGrid>
        <w:gridCol w:w="750"/>
        <w:gridCol w:w="1242"/>
        <w:gridCol w:w="1242"/>
        <w:gridCol w:w="1372"/>
        <w:gridCol w:w="1487"/>
        <w:gridCol w:w="1487"/>
        <w:gridCol w:w="1485"/>
      </w:tblGrid>
      <w:tr w:rsidR="00FA1903" w:rsidRPr="00B95124" w:rsidTr="000E608E">
        <w:trPr>
          <w:trHeight w:val="320"/>
          <w:jc w:val="center"/>
        </w:trPr>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lag</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LL</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LR</w:t>
            </w:r>
          </w:p>
        </w:tc>
        <w:tc>
          <w:tcPr>
            <w:tcW w:w="757"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FPE</w:t>
            </w:r>
          </w:p>
        </w:tc>
        <w:tc>
          <w:tcPr>
            <w:tcW w:w="820"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AIC</w:t>
            </w:r>
          </w:p>
        </w:tc>
        <w:tc>
          <w:tcPr>
            <w:tcW w:w="820"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HQIC</w:t>
            </w:r>
          </w:p>
        </w:tc>
        <w:tc>
          <w:tcPr>
            <w:tcW w:w="819"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SBIC</w:t>
            </w:r>
          </w:p>
        </w:tc>
      </w:tr>
      <w:tr w:rsidR="00FA1903" w:rsidRPr="00B95124" w:rsidTr="000E608E">
        <w:trPr>
          <w:trHeight w:val="295"/>
          <w:jc w:val="center"/>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1239.64</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 </w:t>
            </w:r>
          </w:p>
        </w:tc>
        <w:tc>
          <w:tcPr>
            <w:tcW w:w="75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1.20E-19</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-23.7047</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-23.6326</w:t>
            </w:r>
          </w:p>
        </w:tc>
        <w:tc>
          <w:tcPr>
            <w:tcW w:w="819"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-23.5267</w:t>
            </w:r>
          </w:p>
        </w:tc>
      </w:tr>
      <w:tr w:rsidR="00FA1903" w:rsidRPr="00B95124" w:rsidTr="000E608E">
        <w:trPr>
          <w:trHeight w:val="295"/>
          <w:jc w:val="center"/>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1562.43</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645.57</w:t>
            </w:r>
          </w:p>
        </w:tc>
        <w:tc>
          <w:tcPr>
            <w:tcW w:w="75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6.2e-22*</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-28.9698*</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-28.3929*</w:t>
            </w:r>
          </w:p>
        </w:tc>
        <w:tc>
          <w:tcPr>
            <w:tcW w:w="819"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-27.5459*</w:t>
            </w:r>
          </w:p>
        </w:tc>
      </w:tr>
      <w:tr w:rsidR="00FA1903" w:rsidRPr="00B95124" w:rsidTr="000E608E">
        <w:trPr>
          <w:trHeight w:val="295"/>
          <w:jc w:val="center"/>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1606.74</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88.624</w:t>
            </w:r>
          </w:p>
        </w:tc>
        <w:tc>
          <w:tcPr>
            <w:tcW w:w="75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6.90E-22</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-28.8796</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-27.798</w:t>
            </w:r>
          </w:p>
        </w:tc>
        <w:tc>
          <w:tcPr>
            <w:tcW w:w="819"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-26.2098</w:t>
            </w:r>
          </w:p>
        </w:tc>
      </w:tr>
      <w:tr w:rsidR="00FA1903" w:rsidRPr="00B95124" w:rsidTr="000E608E">
        <w:trPr>
          <w:trHeight w:val="295"/>
          <w:jc w:val="center"/>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3</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1645.84</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78.207*</w:t>
            </w:r>
          </w:p>
        </w:tc>
        <w:tc>
          <w:tcPr>
            <w:tcW w:w="75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8.60E-22</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-28.6893</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-27.1029</w:t>
            </w:r>
          </w:p>
        </w:tc>
        <w:tc>
          <w:tcPr>
            <w:tcW w:w="819"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-24.7736</w:t>
            </w:r>
          </w:p>
        </w:tc>
      </w:tr>
      <w:tr w:rsidR="00FA1903" w:rsidRPr="00B95124" w:rsidTr="000E608E">
        <w:trPr>
          <w:trHeight w:val="295"/>
          <w:jc w:val="center"/>
        </w:trPr>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1677.92</w:t>
            </w:r>
          </w:p>
        </w:tc>
        <w:tc>
          <w:tcPr>
            <w:tcW w:w="685"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64.146</w:t>
            </w:r>
          </w:p>
        </w:tc>
        <w:tc>
          <w:tcPr>
            <w:tcW w:w="75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1.30E-21</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-28.3638</w:t>
            </w:r>
          </w:p>
        </w:tc>
        <w:tc>
          <w:tcPr>
            <w:tcW w:w="82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-26.2727</w:t>
            </w:r>
          </w:p>
        </w:tc>
        <w:tc>
          <w:tcPr>
            <w:tcW w:w="819"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-23.2022</w:t>
            </w:r>
          </w:p>
        </w:tc>
      </w:tr>
    </w:tbl>
    <w:p w:rsidR="00FA1903" w:rsidRPr="00B95124" w:rsidRDefault="00FA1903" w:rsidP="00FA1903">
      <w:pPr>
        <w:rPr>
          <w:rFonts w:ascii="Times New Roman" w:eastAsia="Times New Roman" w:hAnsi="Times New Roman" w:cs="Times New Roman"/>
          <w:color w:val="000000"/>
          <w:sz w:val="24"/>
          <w:szCs w:val="24"/>
          <w:lang w:eastAsia="en-IN" w:bidi="ar-SA"/>
        </w:rPr>
      </w:pPr>
      <w:r w:rsidRPr="00C212DB">
        <w:rPr>
          <w:rFonts w:ascii="Times New Roman" w:eastAsia="Times New Roman" w:hAnsi="Times New Roman" w:cs="Times New Roman"/>
          <w:color w:val="000000"/>
          <w:sz w:val="20"/>
          <w:szCs w:val="20"/>
          <w:lang w:eastAsia="en-IN" w:bidi="ar-SA"/>
        </w:rPr>
        <w:t>Note: *- Denote lag length selected by a criterion</w:t>
      </w:r>
    </w:p>
    <w:p w:rsidR="00FA1903" w:rsidRPr="00B95124" w:rsidRDefault="00FA1903" w:rsidP="00FA1903">
      <w:pPr>
        <w:spacing w:after="0" w:line="360"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 xml:space="preserve">Johansen Co-integration Test </w:t>
      </w:r>
    </w:p>
    <w:p w:rsidR="00FA1903" w:rsidRDefault="00FA1903" w:rsidP="00FA1903">
      <w:pPr>
        <w:spacing w:after="0" w:line="360" w:lineRule="auto"/>
        <w:ind w:firstLine="720"/>
        <w:rPr>
          <w:rFonts w:ascii="Times New Roman" w:eastAsia="Times New Roman" w:hAnsi="Times New Roman" w:cs="Times New Roman"/>
          <w:color w:val="000000"/>
          <w:sz w:val="24"/>
          <w:szCs w:val="24"/>
          <w:lang w:eastAsia="en-IN" w:bidi="ar-SA"/>
        </w:rPr>
      </w:pPr>
      <w:r>
        <w:rPr>
          <w:rFonts w:ascii="Times New Roman" w:eastAsia="Times New Roman" w:hAnsi="Times New Roman" w:cs="Times New Roman"/>
          <w:color w:val="000000"/>
          <w:sz w:val="24"/>
          <w:szCs w:val="24"/>
          <w:lang w:eastAsia="en-IN" w:bidi="ar-SA"/>
        </w:rPr>
        <w:t xml:space="preserve">In next step, presence of integration among the </w:t>
      </w:r>
      <w:r w:rsidRPr="00B95124">
        <w:rPr>
          <w:rFonts w:ascii="Times New Roman" w:eastAsia="Times New Roman" w:hAnsi="Times New Roman" w:cs="Times New Roman"/>
          <w:color w:val="000000"/>
          <w:sz w:val="24"/>
          <w:szCs w:val="24"/>
          <w:lang w:eastAsia="en-IN" w:bidi="ar-SA"/>
        </w:rPr>
        <w:t>spatially separated castor markets</w:t>
      </w:r>
      <w:r>
        <w:rPr>
          <w:rFonts w:ascii="Times New Roman" w:eastAsia="Times New Roman" w:hAnsi="Times New Roman" w:cs="Times New Roman"/>
          <w:color w:val="000000"/>
          <w:sz w:val="24"/>
          <w:szCs w:val="24"/>
          <w:lang w:eastAsia="en-IN" w:bidi="ar-SA"/>
        </w:rPr>
        <w:t xml:space="preserve"> was tested by using </w:t>
      </w:r>
      <w:r w:rsidRPr="00B95124">
        <w:rPr>
          <w:rFonts w:ascii="Times New Roman" w:eastAsia="Times New Roman" w:hAnsi="Times New Roman" w:cs="Times New Roman"/>
          <w:color w:val="000000"/>
          <w:sz w:val="24"/>
          <w:szCs w:val="24"/>
          <w:lang w:eastAsia="en-IN" w:bidi="ar-SA"/>
        </w:rPr>
        <w:t>Johansen co-integration test</w:t>
      </w:r>
      <w:r>
        <w:rPr>
          <w:rFonts w:ascii="Times New Roman" w:eastAsia="Times New Roman" w:hAnsi="Times New Roman" w:cs="Times New Roman"/>
          <w:color w:val="000000"/>
          <w:sz w:val="24"/>
          <w:szCs w:val="24"/>
          <w:lang w:eastAsia="en-IN" w:bidi="ar-SA"/>
        </w:rPr>
        <w:t xml:space="preserve">. The results of Johnson cointegration have been presented in Table 4. A perusal of table shows that, null hypothesis of five co-integration vector failed to reject, it means </w:t>
      </w:r>
      <w:r w:rsidRPr="00B95124">
        <w:rPr>
          <w:rFonts w:ascii="Times New Roman" w:eastAsia="Times New Roman" w:hAnsi="Times New Roman" w:cs="Times New Roman"/>
          <w:color w:val="000000"/>
          <w:sz w:val="24"/>
          <w:szCs w:val="24"/>
          <w:lang w:eastAsia="en-IN" w:bidi="ar-SA"/>
        </w:rPr>
        <w:t>presence of five co-integrating vectors among the seven price series.</w:t>
      </w:r>
      <w:r>
        <w:rPr>
          <w:rFonts w:ascii="Times New Roman" w:eastAsia="Times New Roman" w:hAnsi="Times New Roman" w:cs="Times New Roman"/>
          <w:color w:val="000000"/>
          <w:sz w:val="24"/>
          <w:szCs w:val="24"/>
          <w:lang w:eastAsia="en-IN" w:bidi="ar-SA"/>
        </w:rPr>
        <w:t xml:space="preserve"> As per rule, at least one co-integrating equation is necessary to show the presence of long run relationship among the time series variable. So, the presence of five cointegrating equation implies that presence of strong long relation among the prices of selected castor seed markets. </w:t>
      </w:r>
      <w:r w:rsidRPr="00B95124">
        <w:rPr>
          <w:rFonts w:ascii="Times New Roman" w:eastAsia="Times New Roman" w:hAnsi="Times New Roman" w:cs="Times New Roman"/>
          <w:color w:val="000000"/>
          <w:sz w:val="24"/>
          <w:szCs w:val="24"/>
          <w:lang w:eastAsia="en-IN" w:bidi="ar-SA"/>
        </w:rPr>
        <w:t xml:space="preserve">These findings suggest that castor prices in major markets such as Patan, </w:t>
      </w:r>
      <w:r>
        <w:rPr>
          <w:rFonts w:ascii="Times New Roman" w:eastAsia="Times New Roman" w:hAnsi="Times New Roman" w:cs="Times New Roman"/>
          <w:color w:val="000000"/>
          <w:sz w:val="24"/>
          <w:szCs w:val="24"/>
          <w:lang w:eastAsia="en-IN" w:bidi="ar-SA"/>
        </w:rPr>
        <w:t>Thara</w:t>
      </w:r>
      <w:r w:rsidRPr="00B95124">
        <w:rPr>
          <w:rFonts w:ascii="Times New Roman" w:eastAsia="Times New Roman" w:hAnsi="Times New Roman" w:cs="Times New Roman"/>
          <w:color w:val="000000"/>
          <w:sz w:val="24"/>
          <w:szCs w:val="24"/>
          <w:lang w:eastAsia="en-IN" w:bidi="ar-SA"/>
        </w:rPr>
        <w:t>, Adoni, Kurnool, Sumerpur, and the national spot and futures markets exhibit strong price linkages, indicating that traders and policymakers can rely on these markets for coordinated price signals.</w:t>
      </w:r>
      <w:r>
        <w:rPr>
          <w:rFonts w:ascii="Times New Roman" w:eastAsia="Times New Roman" w:hAnsi="Times New Roman" w:cs="Times New Roman"/>
          <w:color w:val="000000"/>
          <w:sz w:val="24"/>
          <w:szCs w:val="24"/>
          <w:lang w:eastAsia="en-IN" w:bidi="ar-SA"/>
        </w:rPr>
        <w:t xml:space="preserve"> </w:t>
      </w:r>
      <w:r w:rsidRPr="00B95124">
        <w:rPr>
          <w:rFonts w:ascii="Times New Roman" w:eastAsia="Times New Roman" w:hAnsi="Times New Roman" w:cs="Times New Roman"/>
          <w:color w:val="000000"/>
          <w:sz w:val="24"/>
          <w:szCs w:val="24"/>
          <w:lang w:eastAsia="en-IN" w:bidi="ar-SA"/>
        </w:rPr>
        <w:t>The observed long-term equilibrium in castor markets can be attributed to improved market infrastructure, timely flow of market information, and increasing participation in futures trading, all of which enhance market efficiency</w:t>
      </w:r>
      <w:r>
        <w:rPr>
          <w:rFonts w:ascii="Times New Roman" w:eastAsia="Times New Roman" w:hAnsi="Times New Roman" w:cs="Times New Roman"/>
          <w:color w:val="000000"/>
          <w:sz w:val="24"/>
          <w:szCs w:val="24"/>
          <w:lang w:eastAsia="en-IN" w:bidi="ar-SA"/>
        </w:rPr>
        <w:t xml:space="preserve"> and spatial price transmission.</w:t>
      </w:r>
    </w:p>
    <w:p w:rsidR="00ED0CE3" w:rsidRPr="00FA1903" w:rsidRDefault="00ED0CE3" w:rsidP="00FA1903">
      <w:pPr>
        <w:spacing w:after="0" w:line="360" w:lineRule="auto"/>
        <w:ind w:firstLine="720"/>
        <w:rPr>
          <w:rFonts w:ascii="Times New Roman" w:eastAsia="Times New Roman" w:hAnsi="Times New Roman" w:cs="Times New Roman"/>
          <w:color w:val="000000"/>
          <w:sz w:val="24"/>
          <w:szCs w:val="24"/>
          <w:lang w:eastAsia="en-IN" w:bidi="ar-SA"/>
        </w:rPr>
      </w:pPr>
    </w:p>
    <w:p w:rsidR="00FA1903" w:rsidRPr="00B95124" w:rsidRDefault="00FA1903" w:rsidP="00FA1903">
      <w:pPr>
        <w:spacing w:after="0"/>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Table 4</w:t>
      </w:r>
      <w:r w:rsidR="00ED0CE3">
        <w:rPr>
          <w:rFonts w:ascii="Times New Roman" w:eastAsia="Times New Roman" w:hAnsi="Times New Roman" w:cs="Times New Roman"/>
          <w:b/>
          <w:bCs/>
          <w:color w:val="000000"/>
          <w:sz w:val="24"/>
          <w:szCs w:val="24"/>
          <w:lang w:eastAsia="en-IN" w:bidi="ar-SA"/>
        </w:rPr>
        <w:t>:</w:t>
      </w:r>
      <w:r w:rsidRPr="00B95124">
        <w:rPr>
          <w:rFonts w:ascii="Times New Roman" w:eastAsia="Times New Roman" w:hAnsi="Times New Roman" w:cs="Times New Roman"/>
          <w:b/>
          <w:bCs/>
          <w:color w:val="000000"/>
          <w:sz w:val="24"/>
          <w:szCs w:val="24"/>
          <w:lang w:eastAsia="en-IN" w:bidi="ar-SA"/>
        </w:rPr>
        <w:t xml:space="preserve"> J</w:t>
      </w:r>
      <w:r w:rsidR="00ED0CE3">
        <w:rPr>
          <w:rFonts w:ascii="Times New Roman" w:eastAsia="Times New Roman" w:hAnsi="Times New Roman" w:cs="Times New Roman"/>
          <w:b/>
          <w:bCs/>
          <w:color w:val="000000"/>
          <w:sz w:val="24"/>
          <w:szCs w:val="24"/>
          <w:lang w:eastAsia="en-IN" w:bidi="ar-SA"/>
        </w:rPr>
        <w:t xml:space="preserve">ohansen co-integration test results and decision making </w:t>
      </w:r>
      <w:r w:rsidRPr="00B95124">
        <w:rPr>
          <w:rFonts w:ascii="Times New Roman" w:eastAsia="Times New Roman" w:hAnsi="Times New Roman" w:cs="Times New Roman"/>
          <w:b/>
          <w:bCs/>
          <w:color w:val="000000"/>
          <w:sz w:val="24"/>
          <w:szCs w:val="24"/>
          <w:lang w:eastAsia="en-IN" w:bidi="ar-SA"/>
        </w:rPr>
        <w:t>using trace test</w:t>
      </w:r>
    </w:p>
    <w:tbl>
      <w:tblPr>
        <w:tblW w:w="5000" w:type="pct"/>
        <w:tblLayout w:type="fixed"/>
        <w:tblLook w:val="04A0" w:firstRow="1" w:lastRow="0" w:firstColumn="1" w:lastColumn="0" w:noHBand="0" w:noVBand="1"/>
      </w:tblPr>
      <w:tblGrid>
        <w:gridCol w:w="1809"/>
        <w:gridCol w:w="1418"/>
        <w:gridCol w:w="1275"/>
        <w:gridCol w:w="1418"/>
        <w:gridCol w:w="3322"/>
      </w:tblGrid>
      <w:tr w:rsidR="00FA1903" w:rsidRPr="00B95124" w:rsidTr="000E608E">
        <w:trPr>
          <w:trHeight w:val="288"/>
        </w:trPr>
        <w:tc>
          <w:tcPr>
            <w:tcW w:w="979" w:type="pct"/>
            <w:tcBorders>
              <w:top w:val="single" w:sz="4" w:space="0" w:color="auto"/>
              <w:left w:val="single" w:sz="4" w:space="0" w:color="auto"/>
              <w:bottom w:val="single" w:sz="4" w:space="0" w:color="auto"/>
              <w:right w:val="single" w:sz="4" w:space="0" w:color="auto"/>
            </w:tcBorders>
            <w:shd w:val="clear" w:color="auto" w:fill="auto"/>
            <w:noWrap/>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 xml:space="preserve">Hypothesized </w:t>
            </w:r>
            <w:r w:rsidRPr="00B95124">
              <w:rPr>
                <w:rFonts w:ascii="Times New Roman" w:eastAsia="Times New Roman" w:hAnsi="Times New Roman" w:cs="Times New Roman"/>
                <w:b/>
                <w:bCs/>
                <w:color w:val="000000"/>
                <w:sz w:val="24"/>
                <w:szCs w:val="24"/>
                <w:lang w:eastAsia="en-IN" w:bidi="ar-SA"/>
              </w:rPr>
              <w:lastRenderedPageBreak/>
              <w:t>No. of CE(s)</w:t>
            </w:r>
          </w:p>
        </w:tc>
        <w:tc>
          <w:tcPr>
            <w:tcW w:w="767" w:type="pct"/>
            <w:tcBorders>
              <w:top w:val="single" w:sz="4" w:space="0" w:color="auto"/>
              <w:left w:val="nil"/>
              <w:bottom w:val="single" w:sz="4" w:space="0" w:color="auto"/>
              <w:right w:val="single" w:sz="4" w:space="0" w:color="auto"/>
            </w:tcBorders>
            <w:shd w:val="clear" w:color="auto" w:fill="auto"/>
            <w:noWrap/>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lastRenderedPageBreak/>
              <w:t>Eigen value</w:t>
            </w:r>
          </w:p>
        </w:tc>
        <w:tc>
          <w:tcPr>
            <w:tcW w:w="690" w:type="pct"/>
            <w:tcBorders>
              <w:top w:val="single" w:sz="4" w:space="0" w:color="auto"/>
              <w:left w:val="nil"/>
              <w:bottom w:val="single" w:sz="4" w:space="0" w:color="auto"/>
              <w:right w:val="single" w:sz="4" w:space="0" w:color="auto"/>
            </w:tcBorders>
            <w:shd w:val="clear" w:color="auto" w:fill="auto"/>
            <w:noWrap/>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Trace</w:t>
            </w:r>
          </w:p>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lastRenderedPageBreak/>
              <w:t>statistic</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lastRenderedPageBreak/>
              <w:t>5% critical</w:t>
            </w:r>
          </w:p>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lastRenderedPageBreak/>
              <w:t>value</w:t>
            </w:r>
          </w:p>
        </w:tc>
        <w:tc>
          <w:tcPr>
            <w:tcW w:w="1797" w:type="pct"/>
            <w:tcBorders>
              <w:top w:val="single" w:sz="4" w:space="0" w:color="auto"/>
              <w:left w:val="nil"/>
              <w:bottom w:val="single" w:sz="4" w:space="0" w:color="auto"/>
              <w:right w:val="single" w:sz="4" w:space="0" w:color="auto"/>
            </w:tcBorders>
          </w:tcPr>
          <w:p w:rsidR="00FA1903" w:rsidRPr="00B95124" w:rsidRDefault="00FA1903" w:rsidP="000E608E">
            <w:pPr>
              <w:spacing w:after="0" w:line="240" w:lineRule="auto"/>
              <w:jc w:val="center"/>
              <w:rPr>
                <w:rFonts w:ascii="Times New Roman" w:eastAsia="Times New Roman" w:hAnsi="Times New Roman" w:cs="Times New Roman"/>
                <w:b/>
                <w:bCs/>
                <w:color w:val="000000"/>
                <w:sz w:val="24"/>
                <w:szCs w:val="24"/>
                <w:lang w:eastAsia="en-IN" w:bidi="ar-SA"/>
              </w:rPr>
            </w:pPr>
            <w:r w:rsidRPr="00B95124">
              <w:rPr>
                <w:rFonts w:ascii="Times New Roman" w:eastAsia="Calibri" w:hAnsi="Times New Roman" w:cs="Times New Roman"/>
                <w:b/>
                <w:bCs/>
                <w:color w:val="000000"/>
                <w:kern w:val="2"/>
                <w:sz w:val="24"/>
                <w:szCs w:val="24"/>
                <w:lang w:bidi="ar-SA"/>
              </w:rPr>
              <w:lastRenderedPageBreak/>
              <w:t>Decision</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None 0</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0.49659</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227.2411</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124.24</w:t>
            </w:r>
          </w:p>
        </w:tc>
        <w:tc>
          <w:tcPr>
            <w:tcW w:w="1797" w:type="pct"/>
            <w:tcBorders>
              <w:top w:val="nil"/>
              <w:left w:val="nil"/>
              <w:bottom w:val="single" w:sz="4" w:space="0" w:color="auto"/>
              <w:right w:val="single" w:sz="4" w:space="0" w:color="auto"/>
            </w:tcBorders>
            <w:vAlign w:val="center"/>
          </w:tcPr>
          <w:p w:rsidR="00FA1903" w:rsidRPr="00B95124" w:rsidRDefault="00FA1903" w:rsidP="000E608E">
            <w:pPr>
              <w:spacing w:after="0" w:line="240" w:lineRule="auto"/>
              <w:rPr>
                <w:rFonts w:ascii="Times New Roman" w:eastAsia="Times New Roman" w:hAnsi="Times New Roman" w:cs="Times New Roman"/>
                <w:color w:val="000000"/>
                <w:sz w:val="24"/>
                <w:szCs w:val="24"/>
                <w:lang w:eastAsia="en-IN" w:bidi="ar-SA"/>
              </w:rPr>
            </w:pPr>
            <w:r w:rsidRPr="00B95124">
              <w:rPr>
                <w:rFonts w:ascii="Times New Roman" w:eastAsia="Calibri" w:hAnsi="Times New Roman" w:cs="Times New Roman"/>
                <w:color w:val="000000"/>
                <w:kern w:val="2"/>
                <w:sz w:val="24"/>
                <w:szCs w:val="24"/>
                <w:lang w:bidi="ar-SA"/>
              </w:rPr>
              <w:t>Reject H₀ (no cointegration)</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At most 1</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0.4237</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153.802</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94.15</w:t>
            </w:r>
          </w:p>
        </w:tc>
        <w:tc>
          <w:tcPr>
            <w:tcW w:w="1797" w:type="pct"/>
            <w:tcBorders>
              <w:top w:val="nil"/>
              <w:left w:val="nil"/>
              <w:bottom w:val="single" w:sz="4" w:space="0" w:color="auto"/>
              <w:right w:val="single" w:sz="4" w:space="0" w:color="auto"/>
            </w:tcBorders>
            <w:vAlign w:val="center"/>
          </w:tcPr>
          <w:p w:rsidR="00FA1903" w:rsidRPr="00B95124" w:rsidRDefault="00FA1903" w:rsidP="000E608E">
            <w:pPr>
              <w:spacing w:after="0" w:line="240" w:lineRule="auto"/>
              <w:rPr>
                <w:rFonts w:ascii="Times New Roman" w:eastAsia="Times New Roman" w:hAnsi="Times New Roman" w:cs="Times New Roman"/>
                <w:color w:val="000000"/>
                <w:sz w:val="24"/>
                <w:szCs w:val="24"/>
                <w:lang w:eastAsia="en-IN" w:bidi="ar-SA"/>
              </w:rPr>
            </w:pPr>
            <w:r w:rsidRPr="00B95124">
              <w:rPr>
                <w:rFonts w:ascii="Times New Roman" w:eastAsia="Calibri" w:hAnsi="Times New Roman" w:cs="Times New Roman"/>
                <w:color w:val="000000"/>
                <w:kern w:val="2"/>
                <w:sz w:val="24"/>
                <w:szCs w:val="24"/>
                <w:lang w:bidi="ar-SA"/>
              </w:rPr>
              <w:t>Reject H₀ (≤1)</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0.28078</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94.8311</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68.52</w:t>
            </w:r>
          </w:p>
        </w:tc>
        <w:tc>
          <w:tcPr>
            <w:tcW w:w="1797" w:type="pct"/>
            <w:tcBorders>
              <w:top w:val="nil"/>
              <w:left w:val="nil"/>
              <w:bottom w:val="single" w:sz="4" w:space="0" w:color="auto"/>
              <w:right w:val="single" w:sz="4" w:space="0" w:color="auto"/>
            </w:tcBorders>
            <w:vAlign w:val="center"/>
          </w:tcPr>
          <w:p w:rsidR="00FA1903" w:rsidRPr="00B95124" w:rsidRDefault="00FA1903" w:rsidP="000E608E">
            <w:pPr>
              <w:spacing w:after="0" w:line="240" w:lineRule="auto"/>
              <w:rPr>
                <w:rFonts w:ascii="Times New Roman" w:eastAsia="Times New Roman" w:hAnsi="Times New Roman" w:cs="Times New Roman"/>
                <w:color w:val="000000"/>
                <w:sz w:val="24"/>
                <w:szCs w:val="24"/>
                <w:lang w:eastAsia="en-IN" w:bidi="ar-SA"/>
              </w:rPr>
            </w:pPr>
            <w:r w:rsidRPr="00B95124">
              <w:rPr>
                <w:rFonts w:ascii="Times New Roman" w:eastAsia="Calibri" w:hAnsi="Times New Roman" w:cs="Times New Roman"/>
                <w:color w:val="000000"/>
                <w:kern w:val="2"/>
                <w:sz w:val="24"/>
                <w:szCs w:val="24"/>
                <w:lang w:bidi="ar-SA"/>
              </w:rPr>
              <w:t>Reject H₀ (≤2)</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3</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0.23886</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59.5657</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47.21</w:t>
            </w:r>
          </w:p>
        </w:tc>
        <w:tc>
          <w:tcPr>
            <w:tcW w:w="1797" w:type="pct"/>
            <w:tcBorders>
              <w:top w:val="nil"/>
              <w:left w:val="nil"/>
              <w:bottom w:val="single" w:sz="4" w:space="0" w:color="auto"/>
              <w:right w:val="single" w:sz="4" w:space="0" w:color="auto"/>
            </w:tcBorders>
            <w:vAlign w:val="center"/>
          </w:tcPr>
          <w:p w:rsidR="00FA1903" w:rsidRPr="00B95124" w:rsidRDefault="00FA1903" w:rsidP="000E608E">
            <w:pPr>
              <w:spacing w:after="0" w:line="240" w:lineRule="auto"/>
              <w:rPr>
                <w:rFonts w:ascii="Times New Roman" w:eastAsia="Times New Roman" w:hAnsi="Times New Roman" w:cs="Times New Roman"/>
                <w:color w:val="000000"/>
                <w:sz w:val="24"/>
                <w:szCs w:val="24"/>
                <w:lang w:eastAsia="en-IN" w:bidi="ar-SA"/>
              </w:rPr>
            </w:pPr>
            <w:r w:rsidRPr="00B95124">
              <w:rPr>
                <w:rFonts w:ascii="Times New Roman" w:eastAsia="Calibri" w:hAnsi="Times New Roman" w:cs="Times New Roman"/>
                <w:color w:val="000000"/>
                <w:kern w:val="2"/>
                <w:sz w:val="24"/>
                <w:szCs w:val="24"/>
                <w:lang w:bidi="ar-SA"/>
              </w:rPr>
              <w:t>Reject H₀ (≤3)</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4</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0.13712</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30.3617</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29.68</w:t>
            </w:r>
          </w:p>
        </w:tc>
        <w:tc>
          <w:tcPr>
            <w:tcW w:w="1797" w:type="pct"/>
            <w:tcBorders>
              <w:top w:val="nil"/>
              <w:left w:val="nil"/>
              <w:bottom w:val="single" w:sz="4" w:space="0" w:color="auto"/>
              <w:right w:val="single" w:sz="4" w:space="0" w:color="auto"/>
            </w:tcBorders>
            <w:vAlign w:val="center"/>
          </w:tcPr>
          <w:p w:rsidR="00FA1903" w:rsidRPr="00B95124" w:rsidRDefault="00FA1903" w:rsidP="000E608E">
            <w:pPr>
              <w:spacing w:after="0" w:line="240" w:lineRule="auto"/>
              <w:rPr>
                <w:rFonts w:ascii="Times New Roman" w:eastAsia="Times New Roman" w:hAnsi="Times New Roman" w:cs="Times New Roman"/>
                <w:color w:val="000000"/>
                <w:sz w:val="24"/>
                <w:szCs w:val="24"/>
                <w:lang w:eastAsia="en-IN" w:bidi="ar-SA"/>
              </w:rPr>
            </w:pPr>
            <w:r w:rsidRPr="00B95124">
              <w:rPr>
                <w:rFonts w:ascii="Times New Roman" w:eastAsia="Calibri" w:hAnsi="Times New Roman" w:cs="Times New Roman"/>
                <w:color w:val="000000"/>
                <w:kern w:val="2"/>
                <w:sz w:val="24"/>
                <w:szCs w:val="24"/>
                <w:lang w:bidi="ar-SA"/>
              </w:rPr>
              <w:t>Reject H₀ (≤4)</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5</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0.11466</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9625AE"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9625AE">
              <w:rPr>
                <w:rFonts w:ascii="Times New Roman" w:eastAsia="Times New Roman" w:hAnsi="Times New Roman" w:cs="Times New Roman"/>
                <w:color w:val="000000"/>
                <w:sz w:val="24"/>
                <w:szCs w:val="24"/>
                <w:lang w:eastAsia="en-IN" w:bidi="ar-SA"/>
              </w:rPr>
              <w:t>14.5813*</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15.41</w:t>
            </w:r>
          </w:p>
        </w:tc>
        <w:tc>
          <w:tcPr>
            <w:tcW w:w="1797" w:type="pct"/>
            <w:tcBorders>
              <w:top w:val="nil"/>
              <w:left w:val="nil"/>
              <w:bottom w:val="single" w:sz="4" w:space="0" w:color="auto"/>
              <w:right w:val="single" w:sz="4" w:space="0" w:color="auto"/>
            </w:tcBorders>
            <w:vAlign w:val="center"/>
          </w:tcPr>
          <w:p w:rsidR="00FA1903" w:rsidRPr="00FA1903" w:rsidRDefault="00FA1903" w:rsidP="000E608E">
            <w:pPr>
              <w:spacing w:after="0" w:line="240" w:lineRule="auto"/>
              <w:rPr>
                <w:rFonts w:ascii="Times New Roman" w:eastAsia="Times New Roman" w:hAnsi="Times New Roman" w:cs="Times New Roman"/>
                <w:color w:val="000000"/>
                <w:sz w:val="24"/>
                <w:szCs w:val="24"/>
                <w:lang w:eastAsia="en-IN" w:bidi="ar-SA"/>
              </w:rPr>
            </w:pPr>
            <w:r w:rsidRPr="00FA1903">
              <w:rPr>
                <w:rFonts w:ascii="Times New Roman" w:eastAsia="Calibri" w:hAnsi="Times New Roman" w:cs="Times New Roman"/>
                <w:color w:val="000000"/>
                <w:kern w:val="2"/>
                <w:sz w:val="24"/>
                <w:szCs w:val="24"/>
                <w:lang w:bidi="ar-SA"/>
              </w:rPr>
              <w:t>Fail to reject H₀ (≤5)</w:t>
            </w:r>
          </w:p>
        </w:tc>
      </w:tr>
      <w:tr w:rsidR="00FA1903" w:rsidRPr="00B95124" w:rsidTr="000E608E">
        <w:trPr>
          <w:trHeight w:val="288"/>
        </w:trPr>
        <w:tc>
          <w:tcPr>
            <w:tcW w:w="979" w:type="pct"/>
            <w:tcBorders>
              <w:top w:val="nil"/>
              <w:left w:val="single" w:sz="4" w:space="0" w:color="auto"/>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6</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0.01438</w:t>
            </w:r>
          </w:p>
        </w:tc>
        <w:tc>
          <w:tcPr>
            <w:tcW w:w="690"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1.5501</w:t>
            </w:r>
          </w:p>
        </w:tc>
        <w:tc>
          <w:tcPr>
            <w:tcW w:w="767" w:type="pct"/>
            <w:tcBorders>
              <w:top w:val="nil"/>
              <w:left w:val="nil"/>
              <w:bottom w:val="single" w:sz="4" w:space="0" w:color="auto"/>
              <w:right w:val="single" w:sz="4" w:space="0" w:color="auto"/>
            </w:tcBorders>
            <w:shd w:val="clear" w:color="auto" w:fill="auto"/>
            <w:noWrap/>
            <w:vAlign w:val="bottom"/>
            <w:hideMark/>
          </w:tcPr>
          <w:p w:rsidR="00FA1903" w:rsidRPr="00B95124" w:rsidRDefault="00FA1903" w:rsidP="000E608E">
            <w:pPr>
              <w:spacing w:after="0" w:line="240" w:lineRule="auto"/>
              <w:jc w:val="center"/>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3.76</w:t>
            </w:r>
          </w:p>
        </w:tc>
        <w:tc>
          <w:tcPr>
            <w:tcW w:w="1797" w:type="pct"/>
            <w:tcBorders>
              <w:top w:val="nil"/>
              <w:left w:val="nil"/>
              <w:bottom w:val="single" w:sz="4" w:space="0" w:color="auto"/>
              <w:right w:val="single" w:sz="4" w:space="0" w:color="auto"/>
            </w:tcBorders>
            <w:vAlign w:val="center"/>
          </w:tcPr>
          <w:p w:rsidR="00FA1903" w:rsidRPr="00FA1903" w:rsidRDefault="00FA1903" w:rsidP="000E608E">
            <w:pPr>
              <w:spacing w:after="0" w:line="240" w:lineRule="auto"/>
              <w:rPr>
                <w:rFonts w:ascii="Times New Roman" w:eastAsia="Times New Roman" w:hAnsi="Times New Roman" w:cs="Times New Roman"/>
                <w:color w:val="000000"/>
                <w:sz w:val="24"/>
                <w:szCs w:val="24"/>
                <w:lang w:eastAsia="en-IN" w:bidi="ar-SA"/>
              </w:rPr>
            </w:pPr>
            <w:r w:rsidRPr="00FA1903">
              <w:rPr>
                <w:rFonts w:ascii="Times New Roman" w:eastAsia="Calibri" w:hAnsi="Times New Roman" w:cs="Times New Roman"/>
                <w:color w:val="000000"/>
                <w:kern w:val="2"/>
                <w:sz w:val="24"/>
                <w:szCs w:val="24"/>
                <w:lang w:bidi="ar-SA"/>
              </w:rPr>
              <w:t>Decision</w:t>
            </w:r>
          </w:p>
        </w:tc>
      </w:tr>
    </w:tbl>
    <w:p w:rsidR="00FA1903" w:rsidRPr="00ED0CE3" w:rsidRDefault="00FA1903" w:rsidP="00ED0CE3">
      <w:pPr>
        <w:ind w:left="567" w:hanging="567"/>
        <w:rPr>
          <w:rFonts w:ascii="Times New Roman" w:eastAsia="Times New Roman" w:hAnsi="Times New Roman" w:cs="Times New Roman"/>
          <w:color w:val="000000"/>
          <w:sz w:val="20"/>
          <w:szCs w:val="20"/>
          <w:lang w:eastAsia="en-IN" w:bidi="ar-SA"/>
        </w:rPr>
      </w:pPr>
      <w:r w:rsidRPr="00ED0CE3">
        <w:rPr>
          <w:rFonts w:ascii="Times New Roman" w:eastAsia="Times New Roman" w:hAnsi="Times New Roman" w:cs="Times New Roman"/>
          <w:color w:val="000000"/>
          <w:sz w:val="20"/>
          <w:szCs w:val="20"/>
          <w:lang w:eastAsia="en-IN" w:bidi="ar-SA"/>
        </w:rPr>
        <w:t>Note: Trace test indicates 5 co-integrating equations (CEs), including the rejection of r=0 leading to the existence of at least one CE.</w:t>
      </w:r>
    </w:p>
    <w:p w:rsidR="00FA1903" w:rsidRPr="00B95124" w:rsidRDefault="00FA1903" w:rsidP="00FA1903">
      <w:pPr>
        <w:spacing w:after="0" w:line="360" w:lineRule="auto"/>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 xml:space="preserve">Vector Error Correction Model </w:t>
      </w:r>
    </w:p>
    <w:p w:rsidR="00FA1903" w:rsidRPr="00B95124" w:rsidRDefault="00FA1903" w:rsidP="00FA1903">
      <w:pPr>
        <w:spacing w:after="0" w:line="360" w:lineRule="auto"/>
        <w:ind w:firstLine="720"/>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sz w:val="24"/>
          <w:szCs w:val="24"/>
          <w:lang w:eastAsia="en-IN"/>
        </w:rPr>
        <w:t>The cointegration analysis confirmed the existence of a long-run equilibrium relationship among the selected castor markets in India. However, in the short run, these markets may deviate from this equilibrium due to local shocks or temporal inefficiencies. To capture these dynamics, the Vector Error Correction Model (VECM) was employed. The coefficients of the error correction terms</w:t>
      </w:r>
      <w:r>
        <w:rPr>
          <w:rFonts w:ascii="Times New Roman" w:eastAsia="Times New Roman" w:hAnsi="Times New Roman" w:cs="Times New Roman"/>
          <w:sz w:val="24"/>
          <w:szCs w:val="24"/>
          <w:lang w:eastAsia="en-IN"/>
        </w:rPr>
        <w:t xml:space="preserve"> (ECT)</w:t>
      </w:r>
      <w:r w:rsidRPr="00B95124">
        <w:rPr>
          <w:rFonts w:ascii="Times New Roman" w:eastAsia="Times New Roman" w:hAnsi="Times New Roman" w:cs="Times New Roman"/>
          <w:sz w:val="24"/>
          <w:szCs w:val="24"/>
          <w:lang w:eastAsia="en-IN"/>
        </w:rPr>
        <w:t xml:space="preserve"> in the VECM</w:t>
      </w:r>
      <w:r>
        <w:rPr>
          <w:rFonts w:ascii="Times New Roman" w:eastAsia="Times New Roman" w:hAnsi="Times New Roman" w:cs="Times New Roman"/>
          <w:sz w:val="24"/>
          <w:szCs w:val="24"/>
          <w:lang w:eastAsia="en-IN"/>
        </w:rPr>
        <w:t xml:space="preserve"> measure the speed of adjustment which</w:t>
      </w:r>
      <w:r w:rsidRPr="00B95124">
        <w:rPr>
          <w:rFonts w:ascii="Times New Roman" w:eastAsia="Times New Roman" w:hAnsi="Times New Roman" w:cs="Times New Roman"/>
          <w:sz w:val="24"/>
          <w:szCs w:val="24"/>
          <w:lang w:eastAsia="en-IN"/>
        </w:rPr>
        <w:t xml:space="preserve"> reflect the short-run deviations from the long-run path and indicate how quickly the prices adjust to correct these deviations (</w:t>
      </w:r>
      <w:r w:rsidR="00D17636">
        <w:rPr>
          <w:rFonts w:ascii="Times New Roman" w:eastAsia="Times New Roman" w:hAnsi="Times New Roman" w:cs="Times New Roman"/>
          <w:sz w:val="24"/>
          <w:szCs w:val="24"/>
          <w:lang w:eastAsia="en-IN"/>
        </w:rPr>
        <w:t>Kumar</w:t>
      </w:r>
      <w:r w:rsidR="002355EA">
        <w:rPr>
          <w:rFonts w:ascii="Times New Roman" w:eastAsia="Times New Roman" w:hAnsi="Times New Roman" w:cs="Times New Roman"/>
          <w:sz w:val="24"/>
          <w:szCs w:val="24"/>
          <w:lang w:eastAsia="en-IN"/>
        </w:rPr>
        <w:t xml:space="preserve"> </w:t>
      </w:r>
      <w:r w:rsidR="002355EA" w:rsidRPr="002355EA">
        <w:rPr>
          <w:rFonts w:ascii="Times New Roman" w:eastAsia="Times New Roman" w:hAnsi="Times New Roman" w:cs="Times New Roman"/>
          <w:i/>
          <w:iCs/>
          <w:sz w:val="24"/>
          <w:szCs w:val="24"/>
          <w:lang w:eastAsia="en-IN"/>
        </w:rPr>
        <w:t>et al.</w:t>
      </w:r>
      <w:r w:rsidR="002355EA" w:rsidRPr="002355EA">
        <w:rPr>
          <w:rFonts w:ascii="Times New Roman" w:eastAsia="Times New Roman" w:hAnsi="Times New Roman" w:cs="Times New Roman"/>
          <w:sz w:val="24"/>
          <w:szCs w:val="24"/>
          <w:lang w:eastAsia="en-IN"/>
        </w:rPr>
        <w:t>,</w:t>
      </w:r>
      <w:r w:rsidR="002355EA">
        <w:rPr>
          <w:rFonts w:ascii="Times New Roman" w:eastAsia="Times New Roman" w:hAnsi="Times New Roman" w:cs="Times New Roman"/>
          <w:sz w:val="24"/>
          <w:szCs w:val="24"/>
          <w:lang w:eastAsia="en-IN"/>
        </w:rPr>
        <w:t xml:space="preserve"> 2023</w:t>
      </w:r>
      <w:r w:rsidRPr="00B95124">
        <w:rPr>
          <w:rFonts w:ascii="Times New Roman" w:eastAsia="Times New Roman" w:hAnsi="Times New Roman" w:cs="Times New Roman"/>
          <w:sz w:val="24"/>
          <w:szCs w:val="24"/>
          <w:lang w:eastAsia="en-IN"/>
        </w:rPr>
        <w:t xml:space="preserve">). </w:t>
      </w:r>
    </w:p>
    <w:p w:rsidR="00FA1903" w:rsidRDefault="00FA1903" w:rsidP="00FA1903">
      <w:pPr>
        <w:spacing w:after="0" w:line="360" w:lineRule="auto"/>
        <w:ind w:firstLine="720"/>
        <w:rPr>
          <w:rFonts w:ascii="Times New Roman" w:eastAsia="Times New Roman" w:hAnsi="Times New Roman" w:cs="Times New Roman"/>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 xml:space="preserve">The results </w:t>
      </w:r>
      <w:r>
        <w:rPr>
          <w:rFonts w:ascii="Times New Roman" w:eastAsia="Times New Roman" w:hAnsi="Times New Roman" w:cs="Times New Roman"/>
          <w:color w:val="000000"/>
          <w:sz w:val="24"/>
          <w:szCs w:val="24"/>
          <w:lang w:eastAsia="en-IN" w:bidi="ar-SA"/>
        </w:rPr>
        <w:t>of the same</w:t>
      </w:r>
      <w:r w:rsidRPr="00B95124">
        <w:rPr>
          <w:rFonts w:ascii="Times New Roman" w:eastAsia="Times New Roman" w:hAnsi="Times New Roman" w:cs="Times New Roman"/>
          <w:color w:val="000000"/>
          <w:sz w:val="24"/>
          <w:szCs w:val="24"/>
          <w:lang w:eastAsia="en-IN" w:bidi="ar-SA"/>
        </w:rPr>
        <w:t xml:space="preserve"> </w:t>
      </w:r>
      <w:r>
        <w:rPr>
          <w:rFonts w:ascii="Times New Roman" w:eastAsia="Times New Roman" w:hAnsi="Times New Roman" w:cs="Times New Roman"/>
          <w:color w:val="000000"/>
          <w:sz w:val="24"/>
          <w:szCs w:val="24"/>
          <w:lang w:eastAsia="en-IN" w:bidi="ar-SA"/>
        </w:rPr>
        <w:t>are presented</w:t>
      </w:r>
      <w:r w:rsidR="00783A1A">
        <w:rPr>
          <w:rFonts w:ascii="Times New Roman" w:eastAsia="Times New Roman" w:hAnsi="Times New Roman" w:cs="Times New Roman"/>
          <w:color w:val="000000"/>
          <w:sz w:val="24"/>
          <w:szCs w:val="24"/>
          <w:lang w:eastAsia="en-IN" w:bidi="ar-SA"/>
        </w:rPr>
        <w:t xml:space="preserve"> in Table 5</w:t>
      </w:r>
      <w:r w:rsidRPr="00B95124">
        <w:rPr>
          <w:rFonts w:ascii="Times New Roman" w:eastAsia="Times New Roman" w:hAnsi="Times New Roman" w:cs="Times New Roman"/>
          <w:color w:val="000000"/>
          <w:sz w:val="24"/>
          <w:szCs w:val="24"/>
          <w:lang w:eastAsia="en-IN" w:bidi="ar-SA"/>
        </w:rPr>
        <w:t xml:space="preserve">. </w:t>
      </w:r>
      <w:r>
        <w:rPr>
          <w:rFonts w:ascii="Times New Roman" w:eastAsia="Times New Roman" w:hAnsi="Times New Roman" w:cs="Times New Roman"/>
          <w:color w:val="000000"/>
          <w:sz w:val="24"/>
          <w:szCs w:val="24"/>
          <w:lang w:eastAsia="en-IN" w:bidi="ar-SA"/>
        </w:rPr>
        <w:t>A perusal of table show that,</w:t>
      </w:r>
      <w:r w:rsidRPr="00B95124">
        <w:rPr>
          <w:rFonts w:ascii="Times New Roman" w:eastAsia="Times New Roman" w:hAnsi="Times New Roman" w:cs="Times New Roman"/>
          <w:color w:val="000000"/>
          <w:sz w:val="24"/>
          <w:szCs w:val="24"/>
          <w:lang w:eastAsia="en-IN" w:bidi="ar-SA"/>
        </w:rPr>
        <w:t xml:space="preserve"> error correction term (ECT) coefficients were found to be negative for </w:t>
      </w:r>
      <w:r>
        <w:rPr>
          <w:rFonts w:ascii="Times New Roman" w:eastAsia="Times New Roman" w:hAnsi="Times New Roman" w:cs="Times New Roman"/>
          <w:color w:val="000000"/>
          <w:sz w:val="24"/>
          <w:szCs w:val="24"/>
          <w:lang w:eastAsia="en-IN" w:bidi="ar-SA"/>
        </w:rPr>
        <w:t>all the considered</w:t>
      </w:r>
      <w:r w:rsidRPr="00B95124">
        <w:rPr>
          <w:rFonts w:ascii="Times New Roman" w:eastAsia="Times New Roman" w:hAnsi="Times New Roman" w:cs="Times New Roman"/>
          <w:color w:val="000000"/>
          <w:sz w:val="24"/>
          <w:szCs w:val="24"/>
          <w:lang w:eastAsia="en-IN" w:bidi="ar-SA"/>
        </w:rPr>
        <w:t xml:space="preserve"> markets, suggesting that short-run deviations in these markets are self-correcting and prices revert toward long-run equilibrium</w:t>
      </w:r>
      <w:r>
        <w:rPr>
          <w:rFonts w:ascii="Times New Roman" w:eastAsia="Times New Roman" w:hAnsi="Times New Roman" w:cs="Times New Roman"/>
          <w:color w:val="000000"/>
          <w:sz w:val="24"/>
          <w:szCs w:val="24"/>
          <w:lang w:eastAsia="en-IN" w:bidi="ar-SA"/>
        </w:rPr>
        <w:t xml:space="preserve"> at one month lag</w:t>
      </w:r>
      <w:r w:rsidRPr="00B95124">
        <w:rPr>
          <w:rFonts w:ascii="Times New Roman" w:eastAsia="Times New Roman" w:hAnsi="Times New Roman" w:cs="Times New Roman"/>
          <w:color w:val="000000"/>
          <w:sz w:val="24"/>
          <w:szCs w:val="24"/>
          <w:lang w:eastAsia="en-IN" w:bidi="ar-SA"/>
        </w:rPr>
        <w:t>. Among these, the Kurnool market exhibited a relatively faster speed</w:t>
      </w:r>
      <w:r>
        <w:rPr>
          <w:rFonts w:ascii="Times New Roman" w:eastAsia="Times New Roman" w:hAnsi="Times New Roman" w:cs="Times New Roman"/>
          <w:color w:val="000000"/>
          <w:sz w:val="24"/>
          <w:szCs w:val="24"/>
          <w:lang w:eastAsia="en-IN" w:bidi="ar-SA"/>
        </w:rPr>
        <w:t xml:space="preserve"> of adjustment</w:t>
      </w:r>
      <w:r w:rsidRPr="00B95124">
        <w:rPr>
          <w:rFonts w:ascii="Times New Roman" w:eastAsia="Times New Roman" w:hAnsi="Times New Roman" w:cs="Times New Roman"/>
          <w:color w:val="000000"/>
          <w:sz w:val="24"/>
          <w:szCs w:val="24"/>
          <w:lang w:eastAsia="en-IN" w:bidi="ar-SA"/>
        </w:rPr>
        <w:t xml:space="preserve">, correcting 40.84 </w:t>
      </w:r>
      <w:r w:rsidR="00783A1A" w:rsidRPr="00B95124">
        <w:rPr>
          <w:rFonts w:ascii="Times New Roman" w:eastAsia="Times New Roman" w:hAnsi="Times New Roman" w:cs="Times New Roman"/>
          <w:color w:val="000000"/>
          <w:sz w:val="24"/>
          <w:szCs w:val="24"/>
          <w:lang w:eastAsia="en-IN" w:bidi="ar-SA"/>
        </w:rPr>
        <w:t>per cent</w:t>
      </w:r>
      <w:r w:rsidRPr="00B95124">
        <w:rPr>
          <w:rFonts w:ascii="Times New Roman" w:eastAsia="Times New Roman" w:hAnsi="Times New Roman" w:cs="Times New Roman"/>
          <w:color w:val="000000"/>
          <w:sz w:val="24"/>
          <w:szCs w:val="24"/>
          <w:lang w:eastAsia="en-IN" w:bidi="ar-SA"/>
        </w:rPr>
        <w:t xml:space="preserve"> of its disequilibrium within a month</w:t>
      </w:r>
      <w:r>
        <w:rPr>
          <w:rFonts w:ascii="Times New Roman" w:eastAsia="Times New Roman" w:hAnsi="Times New Roman" w:cs="Times New Roman"/>
          <w:color w:val="000000"/>
          <w:sz w:val="24"/>
          <w:szCs w:val="24"/>
          <w:lang w:eastAsia="en-IN" w:bidi="ar-SA"/>
        </w:rPr>
        <w:t xml:space="preserve"> followed by Spot market (12.69 %) and Adoni (12.66 %)</w:t>
      </w:r>
      <w:r w:rsidRPr="00B95124">
        <w:rPr>
          <w:rFonts w:ascii="Times New Roman" w:eastAsia="Times New Roman" w:hAnsi="Times New Roman" w:cs="Times New Roman"/>
          <w:color w:val="000000"/>
          <w:sz w:val="24"/>
          <w:szCs w:val="24"/>
          <w:lang w:eastAsia="en-IN" w:bidi="ar-SA"/>
        </w:rPr>
        <w:t xml:space="preserve">. Conversely, the Futures market prices showed the slowest adjustment, with a coefficient of </w:t>
      </w:r>
      <w:r w:rsidR="00ED0CE3">
        <w:rPr>
          <w:rFonts w:ascii="Times New Roman" w:eastAsia="Times New Roman" w:hAnsi="Times New Roman" w:cs="Times New Roman"/>
          <w:color w:val="000000"/>
          <w:sz w:val="24"/>
          <w:szCs w:val="24"/>
          <w:lang w:eastAsia="en-IN" w:bidi="ar-SA"/>
        </w:rPr>
        <w:t>-</w:t>
      </w:r>
      <w:r w:rsidRPr="00B95124">
        <w:rPr>
          <w:rFonts w:ascii="Times New Roman" w:eastAsia="Times New Roman" w:hAnsi="Times New Roman" w:cs="Times New Roman"/>
          <w:color w:val="000000"/>
          <w:sz w:val="24"/>
          <w:szCs w:val="24"/>
          <w:lang w:eastAsia="en-IN" w:bidi="ar-SA"/>
        </w:rPr>
        <w:t>0.0183, indicating weak short-run responsiveness likely due to poor integration with other markets.</w:t>
      </w:r>
    </w:p>
    <w:p w:rsidR="00637F50" w:rsidRPr="00B95124" w:rsidRDefault="00637F50" w:rsidP="00637F50">
      <w:pPr>
        <w:spacing w:line="360" w:lineRule="auto"/>
        <w:contextualSpacing/>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b/>
          <w:bCs/>
          <w:color w:val="000000"/>
          <w:sz w:val="24"/>
          <w:szCs w:val="24"/>
          <w:lang w:eastAsia="en-IN" w:bidi="ar-SA"/>
        </w:rPr>
        <w:t>Granger causality test</w:t>
      </w:r>
    </w:p>
    <w:p w:rsidR="000E608E" w:rsidRDefault="00637F50" w:rsidP="00637F50">
      <w:pPr>
        <w:spacing w:line="360" w:lineRule="auto"/>
        <w:ind w:firstLine="720"/>
        <w:rPr>
          <w:rFonts w:ascii="Times New Roman" w:eastAsia="Times New Roman" w:hAnsi="Times New Roman" w:cs="Times New Roman"/>
          <w:b/>
          <w:bCs/>
          <w:color w:val="000000"/>
          <w:sz w:val="24"/>
          <w:szCs w:val="24"/>
          <w:lang w:eastAsia="en-IN" w:bidi="ar-SA"/>
        </w:rPr>
      </w:pPr>
      <w:r w:rsidRPr="00B95124">
        <w:rPr>
          <w:rFonts w:ascii="Times New Roman" w:eastAsia="Times New Roman" w:hAnsi="Times New Roman" w:cs="Times New Roman"/>
          <w:color w:val="000000"/>
          <w:sz w:val="24"/>
          <w:szCs w:val="24"/>
          <w:lang w:eastAsia="en-IN" w:bidi="ar-SA"/>
        </w:rPr>
        <w:t>After establishing the presence of long-run co-integration among the selected castor markets in India, the Granger causality test was conducted to examine the direction of price transmission between market pairs.</w:t>
      </w:r>
      <w:r>
        <w:rPr>
          <w:rFonts w:ascii="Times New Roman" w:eastAsia="Times New Roman" w:hAnsi="Times New Roman" w:cs="Times New Roman"/>
          <w:color w:val="000000"/>
          <w:sz w:val="24"/>
          <w:szCs w:val="24"/>
          <w:lang w:eastAsia="en-IN" w:bidi="ar-SA"/>
        </w:rPr>
        <w:t xml:space="preserve"> This relationship can be bidirectional, means price in one market get influenced by price change in another market and vice-versa. It can be unidirectional, means price changes in one market influenced the prices in other but not vice-versa. </w:t>
      </w:r>
      <w:r w:rsidRPr="00B95124">
        <w:rPr>
          <w:rFonts w:ascii="Times New Roman" w:eastAsia="Times New Roman" w:hAnsi="Times New Roman" w:cs="Times New Roman"/>
          <w:color w:val="000000"/>
          <w:sz w:val="24"/>
          <w:szCs w:val="24"/>
          <w:lang w:eastAsia="en-IN" w:bidi="ar-SA"/>
        </w:rPr>
        <w:t>The results reveal nuanced and asymmetric patterns of causality across the markets</w:t>
      </w:r>
      <w:r>
        <w:rPr>
          <w:rFonts w:ascii="Times New Roman" w:eastAsia="Times New Roman" w:hAnsi="Times New Roman" w:cs="Times New Roman"/>
          <w:color w:val="000000"/>
          <w:sz w:val="24"/>
          <w:szCs w:val="24"/>
          <w:lang w:eastAsia="en-IN" w:bidi="ar-SA"/>
        </w:rPr>
        <w:t xml:space="preserve"> (Table 6)</w:t>
      </w:r>
      <w:r w:rsidRPr="00B95124">
        <w:rPr>
          <w:rFonts w:ascii="Times New Roman" w:eastAsia="Times New Roman" w:hAnsi="Times New Roman" w:cs="Times New Roman"/>
          <w:color w:val="000000"/>
          <w:sz w:val="24"/>
          <w:szCs w:val="24"/>
          <w:lang w:eastAsia="en-IN" w:bidi="ar-SA"/>
        </w:rPr>
        <w:t>.</w:t>
      </w:r>
      <w:r>
        <w:rPr>
          <w:rFonts w:ascii="Times New Roman" w:eastAsia="Times New Roman" w:hAnsi="Times New Roman" w:cs="Times New Roman"/>
          <w:color w:val="000000"/>
          <w:sz w:val="24"/>
          <w:szCs w:val="24"/>
          <w:lang w:eastAsia="en-IN" w:bidi="ar-SA"/>
        </w:rPr>
        <w:t xml:space="preserve"> The unidirectional relationship observed between Kurnool and other three markets (Patan, Thara and Adoni).</w:t>
      </w:r>
    </w:p>
    <w:p w:rsidR="00783A1A" w:rsidRDefault="00783A1A" w:rsidP="000E608E">
      <w:pPr>
        <w:spacing w:after="0"/>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Table 5</w:t>
      </w:r>
      <w:r w:rsidRPr="00B95124">
        <w:rPr>
          <w:rFonts w:ascii="Times New Roman" w:eastAsia="Times New Roman" w:hAnsi="Times New Roman" w:cs="Times New Roman"/>
          <w:b/>
          <w:bCs/>
          <w:color w:val="000000"/>
          <w:sz w:val="24"/>
          <w:szCs w:val="24"/>
          <w:lang w:eastAsia="en-IN" w:bidi="ar-SA"/>
        </w:rPr>
        <w:t xml:space="preserve"> Estimates of vector error correction model</w:t>
      </w:r>
      <w:r>
        <w:rPr>
          <w:rFonts w:ascii="Times New Roman" w:eastAsia="Times New Roman" w:hAnsi="Times New Roman" w:cs="Times New Roman"/>
          <w:b/>
          <w:bCs/>
          <w:color w:val="000000"/>
          <w:sz w:val="24"/>
          <w:szCs w:val="24"/>
          <w:lang w:eastAsia="en-IN" w:bidi="ar-SA"/>
        </w:rPr>
        <w:t xml:space="preserve"> for major castor markets </w:t>
      </w:r>
    </w:p>
    <w:tbl>
      <w:tblPr>
        <w:tblW w:w="5091" w:type="pct"/>
        <w:jc w:val="center"/>
        <w:tblCellMar>
          <w:left w:w="0" w:type="dxa"/>
          <w:right w:w="0" w:type="dxa"/>
        </w:tblCellMar>
        <w:tblLook w:val="04A0" w:firstRow="1" w:lastRow="0" w:firstColumn="1" w:lastColumn="0" w:noHBand="0" w:noVBand="1"/>
      </w:tblPr>
      <w:tblGrid>
        <w:gridCol w:w="1138"/>
        <w:gridCol w:w="1209"/>
        <w:gridCol w:w="1020"/>
        <w:gridCol w:w="1151"/>
        <w:gridCol w:w="1151"/>
        <w:gridCol w:w="1457"/>
        <w:gridCol w:w="1161"/>
        <w:gridCol w:w="1087"/>
      </w:tblGrid>
      <w:tr w:rsidR="000E608E" w:rsidRPr="000E608E" w:rsidTr="00112AEC">
        <w:trPr>
          <w:trHeight w:val="34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lastRenderedPageBreak/>
              <w:t xml:space="preserve">Castor markets </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Kurnool</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Patan</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Thara</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Adoni</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Sumerpur</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Spot</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Futures</w:t>
            </w:r>
          </w:p>
        </w:tc>
      </w:tr>
      <w:tr w:rsidR="000E608E" w:rsidRPr="000E608E" w:rsidTr="00112AEC">
        <w:trPr>
          <w:trHeight w:val="86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left"/>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ECT</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-0.4080***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(0.0700)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[-5.8300]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-0.0711</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(0.0576)</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[-1.2300]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-0.0243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(0.0580)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[-0.4200]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-0.1270*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(0.0700)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[-1.8000]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-0.0457</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(0.0600)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[-0.7600]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-0.1269*</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(0.0665)</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[-1.9100]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-0.0183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(0.0592)</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[-0.3100]</w:t>
            </w:r>
          </w:p>
        </w:tc>
      </w:tr>
      <w:tr w:rsidR="000E608E"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Kurnool</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-0.1024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(0.1164)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[-0.8800]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0.0685</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(0.0908)</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[0.7500]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0.0478</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(0.0936)</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[0.5100]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0.1415</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(0.1123)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[1.2600]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0.0204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(0.0942)</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[0.2200]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0.0566</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(0.1038)</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[0.5500]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0.0295</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(0.0924)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[0.3200]</w:t>
            </w:r>
          </w:p>
        </w:tc>
      </w:tr>
      <w:tr w:rsidR="000E608E"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Patan</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-0.1977</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(1.0632)</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-0.8053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(0.8299)</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[-0.9700]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-0.8174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(0.8554)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[-0.9600]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0.0727</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(1.0262)</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[0.0700]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-0.6417</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(0.8606)</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[-0.7500]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-1.5586*</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(0.9480)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[-1.6400]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-2.0213**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(0.8440)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[-2.3900]</w:t>
            </w:r>
          </w:p>
        </w:tc>
      </w:tr>
      <w:tr w:rsidR="000E608E"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hideMark/>
          </w:tcPr>
          <w:p w:rsidR="000E608E" w:rsidRPr="000E608E" w:rsidRDefault="000E608E" w:rsidP="000E608E">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Thara</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0.1441</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(1.0085)</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0.7077</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(0.7873)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[0.9000]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0.6739</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(0.8114)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[0.8300]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-0.0699</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(0.9734)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[-0.0700]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0.8109</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(0.8164)</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[0.9900]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1.9890**</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(0.8993)</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[2.2100]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hideMark/>
          </w:tcPr>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1.8079**</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(0.8006)</w:t>
            </w:r>
          </w:p>
          <w:p w:rsidR="000E608E" w:rsidRPr="000E608E" w:rsidRDefault="000E608E" w:rsidP="000E608E">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[2.2600]</w:t>
            </w:r>
          </w:p>
        </w:tc>
      </w:tr>
      <w:tr w:rsidR="00050763"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tcPr>
          <w:p w:rsidR="00050763" w:rsidRPr="000E608E" w:rsidRDefault="00050763" w:rsidP="00050763">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Sumerpur</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-0.0298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(0.2039)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[-0.1500]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0.1760</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(0.1591)</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[1.1100]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0.1603</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(0.1640)</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[0.9800]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0.1734</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(0.1968)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[0.8800]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-0.2247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(0.1650)</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[-1.3600]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0.0339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(0.1818)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b/>
                <w:bCs/>
                <w:kern w:val="24"/>
                <w:lang w:eastAsia="en-IN"/>
              </w:rPr>
              <w:t>0.2577*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(0.1618)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[1.5900]</w:t>
            </w:r>
          </w:p>
        </w:tc>
      </w:tr>
      <w:tr w:rsidR="00050763"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tcPr>
          <w:p w:rsidR="00050763" w:rsidRPr="000E608E" w:rsidRDefault="00050763" w:rsidP="00050763">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Spot</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0.1117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(0.1813)</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[0.6200]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0.0663</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(0.1415)</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[0.4700]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0.0474</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(0.1458)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[0.3300]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-0.0676</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(0.1749)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[-0.3900]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0.1956</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(0.1467)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[1.3300]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-0.1437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(0.1616)</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[-0.8900]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-0.0818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(0.1439)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[-0.5700]</w:t>
            </w:r>
          </w:p>
        </w:tc>
      </w:tr>
      <w:tr w:rsidR="00050763"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tcPr>
          <w:p w:rsidR="00050763" w:rsidRPr="000E608E" w:rsidRDefault="00050763" w:rsidP="00050763">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Futures</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-0.0237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(0.2724)</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[-0.0900]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0.0802</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(0.2126)</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[0.3800]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0.1129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(0.2191)</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[0.5200]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0.1377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(0.2629)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[0.5200]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0.1048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(0.2205)</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[0.4800]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-0.1974</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(0.2429)</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[-0.8100]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0.1111</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(0.2162)</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[0.5100]</w:t>
            </w:r>
          </w:p>
        </w:tc>
      </w:tr>
      <w:tr w:rsidR="00050763" w:rsidRPr="000E608E" w:rsidTr="00112AEC">
        <w:trPr>
          <w:trHeight w:val="870"/>
          <w:jc w:val="center"/>
        </w:trPr>
        <w:tc>
          <w:tcPr>
            <w:tcW w:w="60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vAlign w:val="center"/>
          </w:tcPr>
          <w:p w:rsidR="00050763" w:rsidRPr="000E608E" w:rsidRDefault="00050763" w:rsidP="00050763">
            <w:pPr>
              <w:spacing w:after="0" w:line="276" w:lineRule="auto"/>
              <w:jc w:val="left"/>
              <w:rPr>
                <w:rFonts w:ascii="Times New Roman" w:eastAsia="Times New Roman" w:hAnsi="Times New Roman" w:cs="Times New Roman"/>
                <w:lang w:eastAsia="en-IN"/>
              </w:rPr>
            </w:pPr>
            <w:r w:rsidRPr="000E608E">
              <w:rPr>
                <w:rFonts w:ascii="Times New Roman" w:eastAsia="Calibri" w:hAnsi="Times New Roman" w:cs="Times New Roman"/>
                <w:kern w:val="24"/>
                <w:lang w:eastAsia="en-IN"/>
              </w:rPr>
              <w:t>Constant</w:t>
            </w:r>
          </w:p>
        </w:tc>
        <w:tc>
          <w:tcPr>
            <w:tcW w:w="645"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0.0013</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(0.0064)</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[0.2000]</w:t>
            </w:r>
          </w:p>
        </w:tc>
        <w:tc>
          <w:tcPr>
            <w:tcW w:w="54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0.0025</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(0.0050)</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[0.5200]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0.0033</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(0.0051)</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[0.6500]</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0.0017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(0.0062)</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[0.2900]</w:t>
            </w:r>
          </w:p>
        </w:tc>
        <w:tc>
          <w:tcPr>
            <w:tcW w:w="777"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0.0038</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(0.0052)</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[0.7400]</w:t>
            </w:r>
          </w:p>
        </w:tc>
        <w:tc>
          <w:tcPr>
            <w:tcW w:w="619"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0.0027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(0.0057)</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[0.4700]</w:t>
            </w:r>
          </w:p>
        </w:tc>
        <w:tc>
          <w:tcPr>
            <w:tcW w:w="580" w:type="pct"/>
            <w:tcBorders>
              <w:top w:val="single" w:sz="8" w:space="0" w:color="000000"/>
              <w:left w:val="single" w:sz="8" w:space="0" w:color="000000"/>
              <w:bottom w:val="single" w:sz="8" w:space="0" w:color="000000"/>
              <w:right w:val="single" w:sz="8" w:space="0" w:color="000000"/>
            </w:tcBorders>
            <w:shd w:val="clear" w:color="auto" w:fill="auto"/>
            <w:tcMar>
              <w:top w:w="15" w:type="dxa"/>
              <w:left w:w="90" w:type="dxa"/>
              <w:bottom w:w="0" w:type="dxa"/>
              <w:right w:w="90" w:type="dxa"/>
            </w:tcMar>
          </w:tcPr>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0.0032</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(0.0051)</w:t>
            </w:r>
          </w:p>
          <w:p w:rsidR="00050763" w:rsidRPr="000E608E" w:rsidRDefault="00050763" w:rsidP="00050763">
            <w:pPr>
              <w:spacing w:after="0" w:line="276" w:lineRule="auto"/>
              <w:jc w:val="center"/>
              <w:rPr>
                <w:rFonts w:ascii="Times New Roman" w:eastAsia="Times New Roman" w:hAnsi="Times New Roman" w:cs="Times New Roman"/>
                <w:lang w:eastAsia="en-IN"/>
              </w:rPr>
            </w:pPr>
            <w:r w:rsidRPr="000E608E">
              <w:rPr>
                <w:rFonts w:ascii="Times New Roman" w:eastAsia="Times New Roman" w:hAnsi="Times New Roman" w:cs="Times New Roman"/>
                <w:kern w:val="24"/>
                <w:lang w:eastAsia="en-IN"/>
              </w:rPr>
              <w:t>[0.6300]</w:t>
            </w:r>
          </w:p>
        </w:tc>
      </w:tr>
    </w:tbl>
    <w:p w:rsidR="000E608E" w:rsidRPr="000E608E" w:rsidRDefault="000E608E" w:rsidP="000E608E">
      <w:pPr>
        <w:spacing w:after="0" w:line="360" w:lineRule="auto"/>
        <w:jc w:val="left"/>
        <w:rPr>
          <w:rFonts w:ascii="Times New Roman" w:eastAsia="Times New Roman" w:hAnsi="Times New Roman" w:cs="Times New Roman"/>
          <w:color w:val="000000"/>
          <w:sz w:val="20"/>
          <w:szCs w:val="20"/>
          <w:lang w:eastAsia="en-IN" w:bidi="ar-SA"/>
        </w:rPr>
      </w:pPr>
      <w:r w:rsidRPr="000E608E">
        <w:rPr>
          <w:rFonts w:ascii="Times New Roman" w:eastAsia="Times New Roman" w:hAnsi="Times New Roman" w:cs="Times New Roman"/>
          <w:color w:val="000000"/>
          <w:sz w:val="20"/>
          <w:szCs w:val="20"/>
          <w:lang w:eastAsia="en-IN" w:bidi="ar-SA"/>
        </w:rPr>
        <w:t>Note: 1. Standard error in parentheses ( ), t statistics in square brackets [ ]</w:t>
      </w:r>
    </w:p>
    <w:p w:rsidR="00783A1A" w:rsidRPr="00B95124" w:rsidRDefault="000E608E" w:rsidP="000E608E">
      <w:pPr>
        <w:spacing w:line="360" w:lineRule="auto"/>
        <w:rPr>
          <w:rFonts w:ascii="Times New Roman" w:eastAsia="Times New Roman" w:hAnsi="Times New Roman" w:cs="Times New Roman"/>
          <w:color w:val="000000"/>
          <w:sz w:val="24"/>
          <w:szCs w:val="24"/>
          <w:lang w:eastAsia="en-IN" w:bidi="ar-SA"/>
        </w:rPr>
      </w:pPr>
      <w:r w:rsidRPr="000E608E">
        <w:rPr>
          <w:rFonts w:ascii="Times New Roman" w:eastAsia="Times New Roman" w:hAnsi="Times New Roman" w:cs="Times New Roman"/>
          <w:color w:val="000000"/>
          <w:sz w:val="20"/>
          <w:szCs w:val="20"/>
          <w:lang w:eastAsia="en-IN" w:bidi="ar-SA"/>
        </w:rPr>
        <w:t xml:space="preserve">          2. ***, **, * indicate significance at 1%, 5%, and 10% probability levels, respectively.</w:t>
      </w:r>
    </w:p>
    <w:p w:rsidR="00F8020D" w:rsidRDefault="000E608E" w:rsidP="00637F50">
      <w:pPr>
        <w:spacing w:after="0" w:line="360" w:lineRule="auto"/>
        <w:ind w:firstLine="720"/>
        <w:rPr>
          <w:rFonts w:ascii="Times New Roman" w:eastAsia="Times New Roman" w:hAnsi="Times New Roman" w:cs="Times New Roman"/>
          <w:color w:val="000000"/>
          <w:sz w:val="24"/>
          <w:szCs w:val="24"/>
          <w:lang w:eastAsia="en-IN" w:bidi="ar-SA"/>
        </w:rPr>
      </w:pPr>
      <w:r>
        <w:rPr>
          <w:rFonts w:ascii="Times New Roman" w:eastAsia="Times New Roman" w:hAnsi="Times New Roman" w:cs="Times New Roman"/>
          <w:color w:val="000000"/>
          <w:sz w:val="24"/>
          <w:szCs w:val="24"/>
          <w:lang w:eastAsia="en-IN" w:bidi="ar-SA"/>
        </w:rPr>
        <w:t xml:space="preserve">It clears that, castor prices in </w:t>
      </w:r>
      <w:r w:rsidRPr="00B95124">
        <w:rPr>
          <w:rFonts w:ascii="Times New Roman" w:eastAsia="Times New Roman" w:hAnsi="Times New Roman" w:cs="Times New Roman"/>
          <w:color w:val="000000"/>
          <w:sz w:val="24"/>
          <w:szCs w:val="24"/>
          <w:lang w:eastAsia="en-IN" w:bidi="ar-SA"/>
        </w:rPr>
        <w:t>Kurnool</w:t>
      </w:r>
      <w:r>
        <w:rPr>
          <w:rFonts w:ascii="Times New Roman" w:eastAsia="Times New Roman" w:hAnsi="Times New Roman" w:cs="Times New Roman"/>
          <w:color w:val="000000"/>
          <w:sz w:val="24"/>
          <w:szCs w:val="24"/>
          <w:lang w:eastAsia="en-IN" w:bidi="ar-SA"/>
        </w:rPr>
        <w:t xml:space="preserve"> market found to be influenced by the price change in </w:t>
      </w:r>
      <w:r w:rsidRPr="00B95124">
        <w:rPr>
          <w:rFonts w:ascii="Times New Roman" w:eastAsia="Times New Roman" w:hAnsi="Times New Roman" w:cs="Times New Roman"/>
          <w:color w:val="000000"/>
          <w:sz w:val="24"/>
          <w:szCs w:val="24"/>
          <w:lang w:eastAsia="en-IN" w:bidi="ar-SA"/>
        </w:rPr>
        <w:t xml:space="preserve">Patan, </w:t>
      </w:r>
      <w:r>
        <w:rPr>
          <w:rFonts w:ascii="Times New Roman" w:eastAsia="Times New Roman" w:hAnsi="Times New Roman" w:cs="Times New Roman"/>
          <w:color w:val="000000"/>
          <w:sz w:val="24"/>
          <w:szCs w:val="24"/>
          <w:lang w:eastAsia="en-IN" w:bidi="ar-SA"/>
        </w:rPr>
        <w:t>Thara</w:t>
      </w:r>
      <w:r w:rsidRPr="00B95124">
        <w:rPr>
          <w:rFonts w:ascii="Times New Roman" w:eastAsia="Times New Roman" w:hAnsi="Times New Roman" w:cs="Times New Roman"/>
          <w:color w:val="000000"/>
          <w:sz w:val="24"/>
          <w:szCs w:val="24"/>
          <w:lang w:eastAsia="en-IN" w:bidi="ar-SA"/>
        </w:rPr>
        <w:t xml:space="preserve">, and Adoni, suggesting these markets play a prominent role in transmitting price information to Kurnool. Interestingly, </w:t>
      </w:r>
      <w:r>
        <w:rPr>
          <w:rFonts w:ascii="Times New Roman" w:eastAsia="Times New Roman" w:hAnsi="Times New Roman" w:cs="Times New Roman"/>
          <w:color w:val="000000"/>
          <w:sz w:val="24"/>
          <w:szCs w:val="24"/>
          <w:lang w:eastAsia="en-IN" w:bidi="ar-SA"/>
        </w:rPr>
        <w:t xml:space="preserve">prices in both the markets (future and spot) found to be affected by price signals transmitted from the Patan and Thara markets in unidirectional way. It can be clear from above discussion that, in castor market industry Thara </w:t>
      </w:r>
      <w:r w:rsidRPr="00B95124">
        <w:rPr>
          <w:rFonts w:ascii="Times New Roman" w:eastAsia="Times New Roman" w:hAnsi="Times New Roman" w:cs="Times New Roman"/>
          <w:color w:val="000000"/>
          <w:sz w:val="24"/>
          <w:szCs w:val="24"/>
          <w:lang w:eastAsia="en-IN" w:bidi="ar-SA"/>
        </w:rPr>
        <w:t>and Adoni</w:t>
      </w:r>
      <w:r>
        <w:rPr>
          <w:rFonts w:ascii="Times New Roman" w:eastAsia="Times New Roman" w:hAnsi="Times New Roman" w:cs="Times New Roman"/>
          <w:color w:val="000000"/>
          <w:sz w:val="24"/>
          <w:szCs w:val="24"/>
          <w:lang w:eastAsia="en-IN" w:bidi="ar-SA"/>
        </w:rPr>
        <w:t xml:space="preserve"> plays a promising role of price leader as price changes in these two markets influenced the price formation in other</w:t>
      </w:r>
      <w:r w:rsidRPr="00B95124">
        <w:rPr>
          <w:rFonts w:ascii="Times New Roman" w:eastAsia="Times New Roman" w:hAnsi="Times New Roman" w:cs="Times New Roman"/>
          <w:color w:val="000000"/>
          <w:sz w:val="24"/>
          <w:szCs w:val="24"/>
          <w:lang w:eastAsia="en-IN" w:bidi="ar-SA"/>
        </w:rPr>
        <w:t xml:space="preserve"> </w:t>
      </w:r>
      <w:r>
        <w:rPr>
          <w:rFonts w:ascii="Times New Roman" w:eastAsia="Times New Roman" w:hAnsi="Times New Roman" w:cs="Times New Roman"/>
          <w:color w:val="000000"/>
          <w:sz w:val="24"/>
          <w:szCs w:val="24"/>
          <w:lang w:eastAsia="en-IN" w:bidi="ar-SA"/>
        </w:rPr>
        <w:t xml:space="preserve">and on other hand </w:t>
      </w:r>
      <w:r w:rsidRPr="00B95124">
        <w:rPr>
          <w:rFonts w:ascii="Times New Roman" w:eastAsia="Times New Roman" w:hAnsi="Times New Roman" w:cs="Times New Roman"/>
          <w:color w:val="000000"/>
          <w:sz w:val="24"/>
          <w:szCs w:val="24"/>
          <w:lang w:eastAsia="en-IN" w:bidi="ar-SA"/>
        </w:rPr>
        <w:t xml:space="preserve">themselves did not </w:t>
      </w:r>
      <w:r>
        <w:rPr>
          <w:rFonts w:ascii="Times New Roman" w:eastAsia="Times New Roman" w:hAnsi="Times New Roman" w:cs="Times New Roman"/>
          <w:color w:val="000000"/>
          <w:sz w:val="24"/>
          <w:szCs w:val="24"/>
          <w:lang w:eastAsia="en-IN" w:bidi="ar-SA"/>
        </w:rPr>
        <w:t xml:space="preserve">get affected by </w:t>
      </w:r>
      <w:r w:rsidRPr="00B95124">
        <w:rPr>
          <w:rFonts w:ascii="Times New Roman" w:eastAsia="Times New Roman" w:hAnsi="Times New Roman" w:cs="Times New Roman"/>
          <w:color w:val="000000"/>
          <w:sz w:val="24"/>
          <w:szCs w:val="24"/>
          <w:lang w:eastAsia="en-IN" w:bidi="ar-SA"/>
        </w:rPr>
        <w:t xml:space="preserve">from </w:t>
      </w:r>
      <w:r>
        <w:rPr>
          <w:rFonts w:ascii="Times New Roman" w:eastAsia="Times New Roman" w:hAnsi="Times New Roman" w:cs="Times New Roman"/>
          <w:color w:val="000000"/>
          <w:sz w:val="24"/>
          <w:szCs w:val="24"/>
          <w:lang w:eastAsia="en-IN" w:bidi="ar-SA"/>
        </w:rPr>
        <w:t xml:space="preserve">any </w:t>
      </w:r>
      <w:r w:rsidRPr="00B95124">
        <w:rPr>
          <w:rFonts w:ascii="Times New Roman" w:eastAsia="Times New Roman" w:hAnsi="Times New Roman" w:cs="Times New Roman"/>
          <w:color w:val="000000"/>
          <w:sz w:val="24"/>
          <w:szCs w:val="24"/>
          <w:lang w:eastAsia="en-IN" w:bidi="ar-SA"/>
        </w:rPr>
        <w:t>other markets</w:t>
      </w:r>
      <w:r>
        <w:rPr>
          <w:rFonts w:ascii="Times New Roman" w:eastAsia="Times New Roman" w:hAnsi="Times New Roman" w:cs="Times New Roman"/>
          <w:color w:val="000000"/>
          <w:sz w:val="24"/>
          <w:szCs w:val="24"/>
          <w:lang w:eastAsia="en-IN" w:bidi="ar-SA"/>
        </w:rPr>
        <w:t>. However, Kurnool market emerged as price taker markets as price formation in this market get influenced by prices changes in other.</w:t>
      </w:r>
      <w:r w:rsidRPr="00A83C9A">
        <w:rPr>
          <w:rFonts w:ascii="Times New Roman" w:eastAsia="Times New Roman" w:hAnsi="Times New Roman" w:cs="Times New Roman"/>
          <w:color w:val="000000"/>
          <w:sz w:val="24"/>
          <w:szCs w:val="24"/>
          <w:lang w:eastAsia="en-IN" w:bidi="ar-SA"/>
        </w:rPr>
        <w:t xml:space="preserve"> </w:t>
      </w:r>
      <w:r>
        <w:rPr>
          <w:rFonts w:ascii="Times New Roman" w:eastAsia="Times New Roman" w:hAnsi="Times New Roman" w:cs="Times New Roman"/>
          <w:color w:val="000000"/>
          <w:sz w:val="24"/>
          <w:szCs w:val="24"/>
          <w:lang w:eastAsia="en-IN" w:bidi="ar-SA"/>
        </w:rPr>
        <w:t>However</w:t>
      </w:r>
      <w:r w:rsidRPr="00B95124">
        <w:rPr>
          <w:rFonts w:ascii="Times New Roman" w:eastAsia="Times New Roman" w:hAnsi="Times New Roman" w:cs="Times New Roman"/>
          <w:color w:val="000000"/>
          <w:sz w:val="24"/>
          <w:szCs w:val="24"/>
          <w:lang w:eastAsia="en-IN" w:bidi="ar-SA"/>
        </w:rPr>
        <w:t>, Sumerpur remained largely disconnected, showing no statistically significant causal links either as a source or recipient of price information. This isolation suggests a limited role in the short-run price discovery mechanism across the analysed markets.</w:t>
      </w:r>
    </w:p>
    <w:p w:rsidR="00050763" w:rsidRPr="00E346F0" w:rsidRDefault="00637F50" w:rsidP="00637F50">
      <w:pPr>
        <w:spacing w:after="0" w:line="240" w:lineRule="auto"/>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lastRenderedPageBreak/>
        <w:t>Table 6</w:t>
      </w:r>
      <w:r w:rsidR="00E346F0" w:rsidRPr="00E346F0">
        <w:rPr>
          <w:rFonts w:ascii="Times New Roman" w:eastAsia="Times New Roman" w:hAnsi="Times New Roman" w:cs="Times New Roman"/>
          <w:b/>
          <w:bCs/>
          <w:color w:val="000000"/>
          <w:sz w:val="24"/>
          <w:szCs w:val="24"/>
          <w:lang w:eastAsia="en-IN" w:bidi="ar-SA"/>
        </w:rPr>
        <w:t xml:space="preserve">: Results of pair-wise Granger causality in selected castor markets </w:t>
      </w:r>
    </w:p>
    <w:tbl>
      <w:tblPr>
        <w:tblW w:w="5000" w:type="pct"/>
        <w:tblCellMar>
          <w:left w:w="0" w:type="dxa"/>
          <w:right w:w="0" w:type="dxa"/>
        </w:tblCellMar>
        <w:tblLook w:val="04A0" w:firstRow="1" w:lastRow="0" w:firstColumn="1" w:lastColumn="0" w:noHBand="0" w:noVBand="1"/>
      </w:tblPr>
      <w:tblGrid>
        <w:gridCol w:w="4452"/>
        <w:gridCol w:w="1017"/>
        <w:gridCol w:w="1001"/>
        <w:gridCol w:w="1143"/>
        <w:gridCol w:w="1487"/>
      </w:tblGrid>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b/>
                <w:bCs/>
                <w:sz w:val="24"/>
                <w:szCs w:val="24"/>
                <w:lang w:eastAsia="en-IN"/>
              </w:rPr>
            </w:pPr>
            <w:r w:rsidRPr="00E346F0">
              <w:rPr>
                <w:rFonts w:ascii="Times New Roman" w:hAnsi="Times New Roman" w:cs="Times New Roman"/>
                <w:b/>
                <w:bCs/>
                <w:sz w:val="24"/>
                <w:szCs w:val="24"/>
                <w:lang w:eastAsia="en-IN"/>
              </w:rPr>
              <w:t>Null Hypothesis (n = 106)</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b/>
                <w:bCs/>
                <w:lang w:eastAsia="en-IN"/>
              </w:rPr>
            </w:pPr>
            <w:r w:rsidRPr="00E346F0">
              <w:rPr>
                <w:rFonts w:ascii="Times New Roman" w:hAnsi="Times New Roman" w:cs="Times New Roman"/>
                <w:b/>
                <w:bCs/>
                <w:lang w:eastAsia="en-IN"/>
              </w:rPr>
              <w:t>χ² - statistics</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b/>
                <w:bCs/>
                <w:lang w:eastAsia="en-IN"/>
              </w:rPr>
            </w:pPr>
            <w:r w:rsidRPr="00E346F0">
              <w:rPr>
                <w:rFonts w:ascii="Times New Roman" w:hAnsi="Times New Roman" w:cs="Times New Roman"/>
                <w:b/>
                <w:bCs/>
                <w:lang w:eastAsia="en-IN"/>
              </w:rPr>
              <w:t>P- value</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b/>
                <w:bCs/>
                <w:lang w:eastAsia="en-IN"/>
              </w:rPr>
            </w:pPr>
            <w:r w:rsidRPr="00E346F0">
              <w:rPr>
                <w:rFonts w:ascii="Times New Roman" w:hAnsi="Times New Roman" w:cs="Times New Roman"/>
                <w:b/>
                <w:bCs/>
                <w:lang w:eastAsia="en-IN"/>
              </w:rPr>
              <w:t>Decision</w:t>
            </w:r>
          </w:p>
        </w:tc>
        <w:tc>
          <w:tcPr>
            <w:tcW w:w="817"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b/>
                <w:bCs/>
                <w:lang w:eastAsia="en-IN"/>
              </w:rPr>
            </w:pPr>
            <w:r w:rsidRPr="00E346F0">
              <w:rPr>
                <w:rFonts w:ascii="Times New Roman" w:hAnsi="Times New Roman" w:cs="Times New Roman"/>
                <w:b/>
                <w:bCs/>
                <w:lang w:eastAsia="en-IN"/>
              </w:rPr>
              <w:t>Direction</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Futures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0.053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0.818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lang w:eastAsia="en-IN"/>
              </w:rPr>
              <w:t>H</w:t>
            </w:r>
            <w:r w:rsidR="00EF161B" w:rsidRPr="00E346F0">
              <w:rPr>
                <w:rFonts w:ascii="Times New Roman" w:hAnsi="Times New Roman" w:cs="Times New Roman"/>
                <w:vertAlign w:val="subscript"/>
                <w:lang w:eastAsia="en-IN"/>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None</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0.517</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0.472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Patan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8.989***</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0.003</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Reject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Unidirectional</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0.578</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0.447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Spot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1.6552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0.198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None</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0.285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0.593</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Thara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8.409***</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0.004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Reject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Unidirectional</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0.432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0.511</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Adoni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4.093**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0.043</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Reject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Unidirectional</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0.78</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0.377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Sumerpur does not Granger cause Kurnool</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0.01462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0.904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None</w:t>
            </w:r>
          </w:p>
        </w:tc>
      </w:tr>
      <w:tr w:rsidR="00E346F0" w:rsidRPr="00E346F0" w:rsidTr="00637F50">
        <w:trPr>
          <w:trHeight w:val="3"/>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ind w:left="142" w:right="77"/>
              <w:rPr>
                <w:rFonts w:ascii="Times New Roman" w:hAnsi="Times New Roman" w:cs="Times New Roman"/>
                <w:sz w:val="24"/>
                <w:szCs w:val="24"/>
                <w:lang w:eastAsia="en-IN"/>
              </w:rPr>
            </w:pPr>
            <w:r w:rsidRPr="00E346F0">
              <w:rPr>
                <w:rFonts w:ascii="Times New Roman" w:hAnsi="Times New Roman" w:cs="Times New Roman"/>
                <w:sz w:val="24"/>
                <w:szCs w:val="24"/>
                <w:lang w:eastAsia="en-IN"/>
              </w:rPr>
              <w:t>Kurnool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0.342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eastAsia="Calibri" w:hAnsi="Times New Roman" w:cs="Times New Roman"/>
                <w:lang w:eastAsia="en-IN"/>
              </w:rPr>
              <w:t>0.559</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r w:rsidRPr="00E346F0">
              <w:rPr>
                <w:rFonts w:ascii="Times New Roman" w:hAnsi="Times New Roman" w:cs="Times New Roman"/>
                <w:lang w:eastAsia="en-IN"/>
              </w:rPr>
              <w:t xml:space="preserve">Accept </w:t>
            </w:r>
            <w:r w:rsidR="00EF161B" w:rsidRPr="00E346F0">
              <w:rPr>
                <w:rFonts w:ascii="Times New Roman" w:hAnsi="Times New Roman" w:cs="Times New Roman"/>
              </w:rPr>
              <w:t>H</w:t>
            </w:r>
            <w:r w:rsidR="00EF161B" w:rsidRPr="00E346F0">
              <w:rPr>
                <w:rFonts w:ascii="Times New Roman" w:hAnsi="Times New Roman" w:cs="Times New Roman"/>
                <w:vertAlign w:val="subscript"/>
              </w:rPr>
              <w:t>0</w:t>
            </w:r>
          </w:p>
        </w:tc>
        <w:tc>
          <w:tcPr>
            <w:tcW w:w="817" w:type="pct"/>
            <w:vMerge/>
            <w:tcBorders>
              <w:top w:val="single" w:sz="8" w:space="0" w:color="000000"/>
              <w:left w:val="single" w:sz="8" w:space="0" w:color="000000"/>
              <w:bottom w:val="single" w:sz="8" w:space="0" w:color="000000"/>
              <w:right w:val="single" w:sz="8" w:space="0" w:color="000000"/>
            </w:tcBorders>
            <w:vAlign w:val="center"/>
            <w:hideMark/>
          </w:tcPr>
          <w:p w:rsidR="000E608E" w:rsidRPr="00E346F0" w:rsidRDefault="000E608E" w:rsidP="00637F50">
            <w:pPr>
              <w:pStyle w:val="NoSpacing"/>
              <w:spacing w:line="360" w:lineRule="auto"/>
              <w:jc w:val="center"/>
              <w:rPr>
                <w:rFonts w:ascii="Times New Roman" w:hAnsi="Times New Roman" w:cs="Times New Roman"/>
                <w:lang w:eastAsia="en-I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Patan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4.264**</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0.039</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Reject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Unidirectional</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Futures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0.173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0.678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Spot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0.758</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0.384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Futures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0.695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0.404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Thara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3.542**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0.060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Reject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Unidirectional</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Futures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0.255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0.614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Adoni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1.830</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0.176</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Futures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0.490</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0.484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Sumerpur does not Granger cause Futures</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2.391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0.122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Futures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0.141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0.707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Spot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0.291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0.589</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Unidirectional</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Patan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5.644**</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0.018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Reject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Thara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1.862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0.172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Patan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0.938</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0.333</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Adoni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0.271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0.603</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Patan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1.641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0.200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lastRenderedPageBreak/>
              <w:t>Sumerpur does not Granger cause Patan</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1.382</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0.240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Patan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0.003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0.958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Thara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9.715***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0.002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Reject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Unidirectional</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Spot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0.073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0.787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Adoni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0.243</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0.622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Spot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0.005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0.941</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Sumerpur does not Granger cause Spot</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0.045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0.832</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Spot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1.336</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0.248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Adoni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0.419</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0.517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Thara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1.585</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0.208</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Sumerpur does not Granger cause Thara</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0.987</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0.320</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Thara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0.081</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0.776</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Sumerpur does not Granger cause Adoni</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1.089</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0.297</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val="restart"/>
            <w:tcBorders>
              <w:top w:val="single" w:sz="8" w:space="0" w:color="000000"/>
              <w:left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None</w:t>
            </w:r>
          </w:p>
        </w:tc>
      </w:tr>
      <w:tr w:rsidR="00E346F0" w:rsidRPr="00E346F0" w:rsidTr="00637F50">
        <w:trPr>
          <w:trHeight w:val="6"/>
        </w:trPr>
        <w:tc>
          <w:tcPr>
            <w:tcW w:w="2446"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ind w:left="142" w:right="77"/>
              <w:rPr>
                <w:rFonts w:ascii="Times New Roman" w:hAnsi="Times New Roman" w:cs="Times New Roman"/>
                <w:sz w:val="24"/>
                <w:szCs w:val="24"/>
              </w:rPr>
            </w:pPr>
            <w:r w:rsidRPr="00E346F0">
              <w:rPr>
                <w:rFonts w:ascii="Times New Roman" w:hAnsi="Times New Roman" w:cs="Times New Roman"/>
                <w:sz w:val="24"/>
                <w:szCs w:val="24"/>
              </w:rPr>
              <w:t>Adoni does not Granger cause  Sumerpur</w:t>
            </w:r>
          </w:p>
        </w:tc>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0.068</w:t>
            </w:r>
          </w:p>
        </w:tc>
        <w:tc>
          <w:tcPr>
            <w:tcW w:w="550"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0.794</w:t>
            </w:r>
          </w:p>
        </w:tc>
        <w:tc>
          <w:tcPr>
            <w:tcW w:w="628" w:type="pct"/>
            <w:tcBorders>
              <w:top w:val="single" w:sz="8" w:space="0" w:color="000000"/>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r w:rsidRPr="00E346F0">
              <w:rPr>
                <w:rFonts w:ascii="Times New Roman" w:hAnsi="Times New Roman" w:cs="Times New Roman"/>
              </w:rPr>
              <w:t>Accept H</w:t>
            </w:r>
            <w:r w:rsidRPr="00E346F0">
              <w:rPr>
                <w:rFonts w:ascii="Times New Roman" w:hAnsi="Times New Roman" w:cs="Times New Roman"/>
                <w:vertAlign w:val="subscript"/>
              </w:rPr>
              <w:t>0</w:t>
            </w:r>
          </w:p>
        </w:tc>
        <w:tc>
          <w:tcPr>
            <w:tcW w:w="817" w:type="pct"/>
            <w:vMerge/>
            <w:tcBorders>
              <w:left w:val="single" w:sz="8" w:space="0" w:color="000000"/>
              <w:bottom w:val="single" w:sz="8" w:space="0" w:color="000000"/>
              <w:right w:val="single" w:sz="8" w:space="0" w:color="000000"/>
            </w:tcBorders>
            <w:shd w:val="clear" w:color="auto" w:fill="auto"/>
            <w:tcMar>
              <w:top w:w="15" w:type="dxa"/>
              <w:left w:w="37" w:type="dxa"/>
              <w:bottom w:w="0" w:type="dxa"/>
              <w:right w:w="37" w:type="dxa"/>
            </w:tcMar>
            <w:vAlign w:val="center"/>
            <w:hideMark/>
          </w:tcPr>
          <w:p w:rsidR="00E346F0" w:rsidRPr="00E346F0" w:rsidRDefault="00E346F0" w:rsidP="00637F50">
            <w:pPr>
              <w:pStyle w:val="NoSpacing"/>
              <w:spacing w:line="360" w:lineRule="auto"/>
              <w:jc w:val="center"/>
              <w:rPr>
                <w:rFonts w:ascii="Times New Roman" w:hAnsi="Times New Roman" w:cs="Times New Roman"/>
              </w:rPr>
            </w:pPr>
          </w:p>
        </w:tc>
      </w:tr>
    </w:tbl>
    <w:p w:rsidR="00637F50" w:rsidRDefault="00637F50" w:rsidP="00637F50">
      <w:pPr>
        <w:spacing w:line="360" w:lineRule="auto"/>
        <w:rPr>
          <w:rFonts w:ascii="Times New Roman" w:eastAsia="Times New Roman" w:hAnsi="Times New Roman" w:cs="Times New Roman"/>
          <w:color w:val="000000"/>
          <w:sz w:val="20"/>
          <w:szCs w:val="20"/>
          <w:lang w:eastAsia="en-IN" w:bidi="ar-SA"/>
        </w:rPr>
      </w:pPr>
      <w:r>
        <w:rPr>
          <w:rFonts w:ascii="Times New Roman" w:eastAsia="Times New Roman" w:hAnsi="Times New Roman" w:cs="Times New Roman"/>
          <w:color w:val="000000"/>
          <w:sz w:val="20"/>
          <w:szCs w:val="20"/>
          <w:lang w:eastAsia="en-IN" w:bidi="ar-SA"/>
        </w:rPr>
        <w:t xml:space="preserve">Note: </w:t>
      </w:r>
      <w:r w:rsidRPr="000E608E">
        <w:rPr>
          <w:rFonts w:ascii="Times New Roman" w:eastAsia="Times New Roman" w:hAnsi="Times New Roman" w:cs="Times New Roman"/>
          <w:color w:val="000000"/>
          <w:sz w:val="20"/>
          <w:szCs w:val="20"/>
          <w:lang w:eastAsia="en-IN" w:bidi="ar-SA"/>
        </w:rPr>
        <w:t>***, **, * indicate significance at 1%, 5%, and 10% probability levels, respectively.</w:t>
      </w:r>
    </w:p>
    <w:p w:rsidR="00637F50" w:rsidRDefault="00637F50" w:rsidP="00637F50">
      <w:pPr>
        <w:spacing w:after="0" w:line="360" w:lineRule="auto"/>
        <w:rPr>
          <w:rFonts w:ascii="Times New Roman" w:eastAsia="Times New Roman" w:hAnsi="Times New Roman" w:cs="Times New Roman"/>
          <w:b/>
          <w:bCs/>
          <w:color w:val="000000"/>
          <w:sz w:val="24"/>
          <w:szCs w:val="24"/>
          <w:lang w:eastAsia="en-IN" w:bidi="ar-SA"/>
        </w:rPr>
      </w:pPr>
      <w:r>
        <w:rPr>
          <w:rFonts w:ascii="Times New Roman" w:eastAsia="Times New Roman" w:hAnsi="Times New Roman" w:cs="Times New Roman"/>
          <w:b/>
          <w:bCs/>
          <w:color w:val="000000"/>
          <w:sz w:val="24"/>
          <w:szCs w:val="24"/>
          <w:lang w:eastAsia="en-IN" w:bidi="ar-SA"/>
        </w:rPr>
        <w:t>Conclusion</w:t>
      </w:r>
    </w:p>
    <w:p w:rsidR="00FE7AB9" w:rsidRDefault="00112AEC" w:rsidP="00112AEC">
      <w:pPr>
        <w:spacing w:after="0" w:line="360" w:lineRule="auto"/>
        <w:ind w:firstLine="709"/>
        <w:rPr>
          <w:rFonts w:ascii="Times New Roman" w:hAnsi="Times New Roman" w:cs="Times New Roman"/>
          <w:spacing w:val="1"/>
          <w:sz w:val="24"/>
          <w:szCs w:val="24"/>
        </w:rPr>
      </w:pPr>
      <w:r w:rsidRPr="00112AEC">
        <w:rPr>
          <w:rFonts w:ascii="Times New Roman" w:hAnsi="Times New Roman" w:cs="Times New Roman"/>
          <w:sz w:val="24"/>
          <w:szCs w:val="24"/>
        </w:rPr>
        <w:t xml:space="preserve">Market integration and price discovery are essential for efficient marketing systems as they reflect co-movement across markets and the transmission of price signals. The present study analysed castor APMC markets along with NCDEX spot and futures prices. The ADF test confirmed non-stationarity at levels but stationarity after first differencing, while lag selection indicated one lag as optimal. Johansen’s test revealed five cointegrating equations, confirming long-run equilibrium. </w:t>
      </w:r>
      <w:r>
        <w:rPr>
          <w:rFonts w:ascii="Times New Roman" w:hAnsi="Times New Roman" w:cs="Times New Roman"/>
          <w:sz w:val="24"/>
          <w:szCs w:val="24"/>
        </w:rPr>
        <w:t xml:space="preserve">The </w:t>
      </w:r>
      <w:r w:rsidRPr="00112AEC">
        <w:rPr>
          <w:rFonts w:ascii="Times New Roman" w:hAnsi="Times New Roman" w:cs="Times New Roman"/>
          <w:sz w:val="24"/>
          <w:szCs w:val="24"/>
        </w:rPr>
        <w:t xml:space="preserve">VECM </w:t>
      </w:r>
      <w:r>
        <w:rPr>
          <w:rFonts w:ascii="Times New Roman" w:hAnsi="Times New Roman" w:cs="Times New Roman"/>
          <w:sz w:val="24"/>
          <w:szCs w:val="24"/>
        </w:rPr>
        <w:t>test revealed</w:t>
      </w:r>
      <w:r w:rsidRPr="00112AEC">
        <w:rPr>
          <w:rFonts w:ascii="Times New Roman" w:hAnsi="Times New Roman" w:cs="Times New Roman"/>
          <w:sz w:val="24"/>
          <w:szCs w:val="24"/>
        </w:rPr>
        <w:t xml:space="preserve"> short-run divergence with adjustments back to equilibrium within a month, led by the Kurnool market with the fastest speed of adjustment. Granger causality indicated unidirectional linkages without bidirectional causality, suggesting asymmetric price transmission. Price discovery analysis </w:t>
      </w:r>
      <w:r>
        <w:rPr>
          <w:rFonts w:ascii="Times New Roman" w:hAnsi="Times New Roman" w:cs="Times New Roman"/>
          <w:sz w:val="24"/>
          <w:szCs w:val="24"/>
        </w:rPr>
        <w:t xml:space="preserve">found </w:t>
      </w:r>
      <w:r w:rsidRPr="00112AEC">
        <w:rPr>
          <w:rFonts w:ascii="Times New Roman" w:hAnsi="Times New Roman" w:cs="Times New Roman"/>
          <w:sz w:val="24"/>
          <w:szCs w:val="24"/>
        </w:rPr>
        <w:t>Thara and Adoni as price leaders and Kurnool as a price taker. The presence of only unidirectional causality may be due to regional market dominance and limited information flow across markets. These findings imply that strengthening linkages and infrastructure in leader markets can improve price signals and overall market efficiency. Furthermore, greater use of commodity trading platforms can enhance transparency, widen participation, and strengthen price discovery, thereby improving overall market efficiency.</w:t>
      </w:r>
    </w:p>
    <w:p w:rsidR="00112AEC" w:rsidRDefault="00112AEC" w:rsidP="00C97D6D">
      <w:pPr>
        <w:spacing w:after="0" w:line="360" w:lineRule="auto"/>
        <w:ind w:left="709" w:hanging="709"/>
        <w:rPr>
          <w:rFonts w:ascii="Times New Roman" w:hAnsi="Times New Roman" w:cs="Times New Roman"/>
          <w:b/>
          <w:bCs/>
          <w:spacing w:val="1"/>
          <w:sz w:val="24"/>
          <w:szCs w:val="24"/>
        </w:rPr>
      </w:pPr>
    </w:p>
    <w:p w:rsidR="00FE7AB9" w:rsidRPr="00FE7AB9" w:rsidRDefault="00FE7AB9" w:rsidP="00C97D6D">
      <w:pPr>
        <w:spacing w:after="0" w:line="360" w:lineRule="auto"/>
        <w:ind w:left="709" w:hanging="709"/>
        <w:rPr>
          <w:rFonts w:ascii="Times New Roman" w:hAnsi="Times New Roman" w:cs="Times New Roman"/>
          <w:b/>
          <w:bCs/>
          <w:spacing w:val="1"/>
          <w:sz w:val="24"/>
          <w:szCs w:val="24"/>
        </w:rPr>
      </w:pPr>
      <w:r>
        <w:rPr>
          <w:rFonts w:ascii="Times New Roman" w:hAnsi="Times New Roman" w:cs="Times New Roman"/>
          <w:b/>
          <w:bCs/>
          <w:spacing w:val="1"/>
          <w:sz w:val="24"/>
          <w:szCs w:val="24"/>
        </w:rPr>
        <w:lastRenderedPageBreak/>
        <w:t>References</w:t>
      </w:r>
    </w:p>
    <w:p w:rsidR="00282DB0" w:rsidRDefault="00623BC9" w:rsidP="00C97D6D">
      <w:pPr>
        <w:spacing w:after="0" w:line="360" w:lineRule="auto"/>
        <w:ind w:left="709" w:hanging="709"/>
        <w:rPr>
          <w:rFonts w:ascii="Times New Roman" w:hAnsi="Times New Roman" w:cs="Times New Roman"/>
          <w:spacing w:val="1"/>
          <w:sz w:val="24"/>
          <w:szCs w:val="24"/>
        </w:rPr>
      </w:pPr>
      <w:proofErr w:type="spellStart"/>
      <w:r w:rsidRPr="00C97D6D">
        <w:rPr>
          <w:rFonts w:ascii="Times New Roman" w:hAnsi="Times New Roman" w:cs="Times New Roman"/>
          <w:spacing w:val="1"/>
          <w:sz w:val="24"/>
          <w:szCs w:val="24"/>
        </w:rPr>
        <w:t>Aiswarya</w:t>
      </w:r>
      <w:proofErr w:type="spellEnd"/>
      <w:r w:rsidRPr="00C97D6D">
        <w:rPr>
          <w:rFonts w:ascii="Times New Roman" w:hAnsi="Times New Roman" w:cs="Times New Roman"/>
          <w:spacing w:val="1"/>
          <w:sz w:val="24"/>
          <w:szCs w:val="24"/>
        </w:rPr>
        <w:t xml:space="preserve">, S., and Swaminathan, B. (2025). Market integration of spot and futures prices for major cotton commodities in India. </w:t>
      </w:r>
      <w:r w:rsidRPr="00C97D6D">
        <w:rPr>
          <w:rFonts w:ascii="Times New Roman" w:hAnsi="Times New Roman" w:cs="Times New Roman"/>
          <w:i/>
          <w:iCs/>
          <w:spacing w:val="1"/>
          <w:sz w:val="24"/>
          <w:szCs w:val="24"/>
        </w:rPr>
        <w:t xml:space="preserve">EPRA International Journal of Agriculture and Rural Economic Research (ARER), </w:t>
      </w:r>
      <w:r w:rsidRPr="00C97D6D">
        <w:rPr>
          <w:rFonts w:ascii="Times New Roman" w:hAnsi="Times New Roman" w:cs="Times New Roman"/>
          <w:b/>
          <w:bCs/>
          <w:spacing w:val="1"/>
          <w:sz w:val="24"/>
          <w:szCs w:val="24"/>
        </w:rPr>
        <w:t>13</w:t>
      </w:r>
      <w:r w:rsidRPr="00C97D6D">
        <w:rPr>
          <w:rFonts w:ascii="Times New Roman" w:hAnsi="Times New Roman" w:cs="Times New Roman"/>
          <w:spacing w:val="1"/>
          <w:sz w:val="24"/>
          <w:szCs w:val="24"/>
        </w:rPr>
        <w:t xml:space="preserve">(5): </w:t>
      </w:r>
      <w:r w:rsidR="0002598E" w:rsidRPr="00C97D6D">
        <w:rPr>
          <w:rFonts w:ascii="Times New Roman" w:hAnsi="Times New Roman" w:cs="Times New Roman"/>
          <w:spacing w:val="1"/>
          <w:sz w:val="24"/>
          <w:szCs w:val="24"/>
        </w:rPr>
        <w:t>53-61.</w:t>
      </w:r>
    </w:p>
    <w:p w:rsidR="00C97D6D" w:rsidRPr="00C97D6D" w:rsidRDefault="00C97D6D" w:rsidP="00C97D6D">
      <w:pPr>
        <w:spacing w:after="0" w:line="360" w:lineRule="auto"/>
        <w:ind w:left="720" w:hanging="720"/>
        <w:rPr>
          <w:rFonts w:ascii="Times New Roman" w:hAnsi="Times New Roman" w:cs="Times New Roman"/>
          <w:sz w:val="24"/>
          <w:szCs w:val="24"/>
        </w:rPr>
      </w:pPr>
      <w:proofErr w:type="spellStart"/>
      <w:r w:rsidRPr="00C97D6D">
        <w:rPr>
          <w:rFonts w:ascii="Times New Roman" w:hAnsi="Times New Roman" w:cs="Times New Roman"/>
          <w:sz w:val="24"/>
          <w:szCs w:val="24"/>
        </w:rPr>
        <w:t>Bannor</w:t>
      </w:r>
      <w:proofErr w:type="spellEnd"/>
      <w:r w:rsidRPr="00C97D6D">
        <w:rPr>
          <w:rFonts w:ascii="Times New Roman" w:hAnsi="Times New Roman" w:cs="Times New Roman"/>
          <w:sz w:val="24"/>
          <w:szCs w:val="24"/>
        </w:rPr>
        <w:t xml:space="preserve">, R. K., and Mathur, S. (2015). Integration of mustard markets in Rajasthan State of India. </w:t>
      </w:r>
      <w:r w:rsidRPr="00C97D6D">
        <w:rPr>
          <w:rStyle w:val="Emphasis"/>
          <w:rFonts w:ascii="Times New Roman" w:hAnsi="Times New Roman" w:cs="Times New Roman"/>
          <w:sz w:val="24"/>
          <w:szCs w:val="24"/>
        </w:rPr>
        <w:t xml:space="preserve">Journal of Oilseeds Research, </w:t>
      </w:r>
      <w:r w:rsidRPr="00C97D6D">
        <w:rPr>
          <w:rStyle w:val="Strong"/>
          <w:rFonts w:ascii="Times New Roman" w:hAnsi="Times New Roman" w:cs="Times New Roman"/>
          <w:sz w:val="24"/>
          <w:szCs w:val="24"/>
        </w:rPr>
        <w:t>32</w:t>
      </w:r>
      <w:r w:rsidRPr="00C97D6D">
        <w:rPr>
          <w:rStyle w:val="Emphasis"/>
          <w:rFonts w:ascii="Times New Roman" w:hAnsi="Times New Roman" w:cs="Times New Roman"/>
          <w:i w:val="0"/>
          <w:iCs w:val="0"/>
          <w:sz w:val="24"/>
          <w:szCs w:val="24"/>
        </w:rPr>
        <w:t>(2):</w:t>
      </w:r>
      <w:r w:rsidRPr="00C97D6D">
        <w:rPr>
          <w:rFonts w:ascii="Times New Roman" w:hAnsi="Times New Roman" w:cs="Times New Roman"/>
          <w:sz w:val="24"/>
          <w:szCs w:val="24"/>
        </w:rPr>
        <w:t xml:space="preserve"> 1–10.</w:t>
      </w:r>
    </w:p>
    <w:p w:rsidR="00C97D6D" w:rsidRPr="00C97D6D" w:rsidRDefault="00C97D6D" w:rsidP="00C97D6D">
      <w:pPr>
        <w:spacing w:after="0" w:line="360" w:lineRule="auto"/>
        <w:ind w:left="709" w:hanging="709"/>
        <w:rPr>
          <w:rFonts w:ascii="Times New Roman" w:hAnsi="Times New Roman" w:cs="Times New Roman"/>
          <w:spacing w:val="1"/>
          <w:sz w:val="24"/>
          <w:szCs w:val="24"/>
        </w:rPr>
      </w:pPr>
      <w:r w:rsidRPr="00C97D6D">
        <w:rPr>
          <w:rFonts w:ascii="Times New Roman" w:hAnsi="Times New Roman" w:cs="Times New Roman"/>
          <w:spacing w:val="1"/>
          <w:sz w:val="24"/>
          <w:szCs w:val="24"/>
        </w:rPr>
        <w:t xml:space="preserve">DES, 2025. Directorate of Economics and Statistics, Ministry of Agriculture and Farmers Welfare, Government of India. </w:t>
      </w:r>
    </w:p>
    <w:p w:rsidR="00C97D6D" w:rsidRDefault="00C97D6D" w:rsidP="00C97D6D">
      <w:pPr>
        <w:spacing w:after="0" w:line="360" w:lineRule="auto"/>
        <w:ind w:left="720" w:hanging="720"/>
        <w:rPr>
          <w:rFonts w:ascii="Times New Roman" w:eastAsia="MS Mincho" w:hAnsi="Times New Roman" w:cs="Times New Roman"/>
          <w:sz w:val="24"/>
          <w:szCs w:val="24"/>
          <w:lang w:bidi="ar-SA"/>
        </w:rPr>
      </w:pPr>
      <w:proofErr w:type="spellStart"/>
      <w:r w:rsidRPr="00282DB0">
        <w:rPr>
          <w:rFonts w:ascii="Times New Roman" w:eastAsia="MS Mincho" w:hAnsi="Times New Roman" w:cs="Times New Roman"/>
          <w:sz w:val="24"/>
          <w:szCs w:val="24"/>
          <w:lang w:val="en-US" w:bidi="ar-SA"/>
        </w:rPr>
        <w:t>DoA</w:t>
      </w:r>
      <w:proofErr w:type="spellEnd"/>
      <w:r w:rsidRPr="00282DB0">
        <w:rPr>
          <w:rFonts w:ascii="Times New Roman" w:eastAsia="MS Mincho" w:hAnsi="Times New Roman" w:cs="Times New Roman"/>
          <w:sz w:val="24"/>
          <w:szCs w:val="24"/>
          <w:lang w:val="en-US" w:bidi="ar-SA"/>
        </w:rPr>
        <w:t xml:space="preserve">, Gujarat. (2025). District-wise area, production and yield of important food &amp; non-food crops in Gujarat state: 2024–25 (Third advance estimates), Government of Gujarat. Available at </w:t>
      </w:r>
      <w:hyperlink r:id="rId10" w:history="1">
        <w:r w:rsidRPr="00C97D6D">
          <w:rPr>
            <w:rFonts w:ascii="Times New Roman" w:eastAsia="MS Mincho" w:hAnsi="Times New Roman" w:cs="Times New Roman"/>
            <w:color w:val="0000FF"/>
            <w:sz w:val="24"/>
            <w:szCs w:val="24"/>
            <w:u w:val="single"/>
            <w:lang w:val="en-US" w:bidi="ar-SA"/>
          </w:rPr>
          <w:t>https://dag.gujarat.gov.in/Home/AreaProductionAndYield</w:t>
        </w:r>
      </w:hyperlink>
      <w:r w:rsidRPr="00282DB0">
        <w:rPr>
          <w:rFonts w:ascii="Times New Roman" w:eastAsia="MS Mincho" w:hAnsi="Times New Roman" w:cs="Times New Roman"/>
          <w:sz w:val="24"/>
          <w:szCs w:val="24"/>
          <w:lang w:val="en-US" w:bidi="ar-SA"/>
        </w:rPr>
        <w:t xml:space="preserve">, </w:t>
      </w:r>
      <w:r w:rsidRPr="00282DB0">
        <w:rPr>
          <w:rFonts w:ascii="Times New Roman" w:eastAsia="MS Mincho" w:hAnsi="Times New Roman" w:cs="Times New Roman"/>
          <w:sz w:val="24"/>
          <w:szCs w:val="24"/>
          <w:lang w:bidi="ar-SA"/>
        </w:rPr>
        <w:t>Accessed on 10</w:t>
      </w:r>
      <w:r w:rsidRPr="00282DB0">
        <w:rPr>
          <w:rFonts w:ascii="Times New Roman" w:eastAsia="MS Mincho" w:hAnsi="Times New Roman" w:cs="Times New Roman"/>
          <w:sz w:val="24"/>
          <w:szCs w:val="24"/>
          <w:vertAlign w:val="superscript"/>
          <w:lang w:bidi="ar-SA"/>
        </w:rPr>
        <w:t>th</w:t>
      </w:r>
      <w:r w:rsidRPr="00282DB0">
        <w:rPr>
          <w:rFonts w:ascii="Times New Roman" w:eastAsia="MS Mincho" w:hAnsi="Times New Roman" w:cs="Times New Roman"/>
          <w:sz w:val="24"/>
          <w:szCs w:val="24"/>
          <w:lang w:bidi="ar-SA"/>
        </w:rPr>
        <w:t xml:space="preserve"> May 2025.</w:t>
      </w:r>
    </w:p>
    <w:p w:rsidR="00C97D6D" w:rsidRPr="00C97D6D" w:rsidRDefault="00C97D6D" w:rsidP="00C97D6D">
      <w:pPr>
        <w:spacing w:after="0" w:line="360" w:lineRule="auto"/>
        <w:ind w:left="709" w:hanging="709"/>
        <w:rPr>
          <w:rFonts w:ascii="Times New Roman" w:hAnsi="Times New Roman" w:cs="Times New Roman"/>
          <w:spacing w:val="1"/>
          <w:sz w:val="24"/>
          <w:szCs w:val="24"/>
        </w:rPr>
      </w:pPr>
      <w:r w:rsidRPr="00C97D6D">
        <w:rPr>
          <w:rFonts w:ascii="Times New Roman" w:hAnsi="Times New Roman" w:cs="Times New Roman"/>
          <w:spacing w:val="1"/>
          <w:sz w:val="24"/>
          <w:szCs w:val="24"/>
        </w:rPr>
        <w:t xml:space="preserve">Engle, R. F., and Granger, C. W. J. (1987). Cointegration and error correction: Representation, estimation, and testing. </w:t>
      </w:r>
      <w:proofErr w:type="spellStart"/>
      <w:r w:rsidRPr="00C97D6D">
        <w:rPr>
          <w:rFonts w:ascii="Times New Roman" w:hAnsi="Times New Roman" w:cs="Times New Roman"/>
          <w:i/>
          <w:iCs/>
          <w:spacing w:val="1"/>
          <w:sz w:val="24"/>
          <w:szCs w:val="24"/>
        </w:rPr>
        <w:t>Econometrica</w:t>
      </w:r>
      <w:proofErr w:type="spellEnd"/>
      <w:r w:rsidRPr="00C97D6D">
        <w:rPr>
          <w:rFonts w:ascii="Times New Roman" w:hAnsi="Times New Roman" w:cs="Times New Roman"/>
          <w:i/>
          <w:iCs/>
          <w:spacing w:val="1"/>
          <w:sz w:val="24"/>
          <w:szCs w:val="24"/>
        </w:rPr>
        <w:t xml:space="preserve">, </w:t>
      </w:r>
      <w:r w:rsidRPr="00C97D6D">
        <w:rPr>
          <w:rFonts w:ascii="Times New Roman" w:hAnsi="Times New Roman" w:cs="Times New Roman"/>
          <w:b/>
          <w:bCs/>
          <w:spacing w:val="1"/>
          <w:sz w:val="24"/>
          <w:szCs w:val="24"/>
        </w:rPr>
        <w:t>55</w:t>
      </w:r>
      <w:r w:rsidRPr="00C97D6D">
        <w:rPr>
          <w:rFonts w:ascii="Times New Roman" w:hAnsi="Times New Roman" w:cs="Times New Roman"/>
          <w:spacing w:val="1"/>
          <w:sz w:val="24"/>
          <w:szCs w:val="24"/>
        </w:rPr>
        <w:t>(2): 251–276.</w:t>
      </w:r>
    </w:p>
    <w:p w:rsidR="00C97D6D" w:rsidRDefault="00C97D6D" w:rsidP="00C97D6D">
      <w:pPr>
        <w:spacing w:after="0" w:line="360" w:lineRule="auto"/>
        <w:ind w:left="709" w:hanging="709"/>
        <w:rPr>
          <w:rFonts w:ascii="Times New Roman" w:hAnsi="Times New Roman" w:cs="Times New Roman"/>
          <w:spacing w:val="1"/>
          <w:sz w:val="24"/>
          <w:szCs w:val="24"/>
        </w:rPr>
      </w:pPr>
      <w:r w:rsidRPr="00C97D6D">
        <w:rPr>
          <w:rFonts w:ascii="Times New Roman" w:hAnsi="Times New Roman" w:cs="Times New Roman"/>
          <w:spacing w:val="1"/>
          <w:sz w:val="24"/>
          <w:szCs w:val="24"/>
        </w:rPr>
        <w:t xml:space="preserve">Garg, M., Singhal, S., </w:t>
      </w:r>
      <w:proofErr w:type="spellStart"/>
      <w:r w:rsidRPr="00C97D6D">
        <w:rPr>
          <w:rFonts w:ascii="Times New Roman" w:hAnsi="Times New Roman" w:cs="Times New Roman"/>
          <w:spacing w:val="1"/>
          <w:sz w:val="24"/>
          <w:szCs w:val="24"/>
        </w:rPr>
        <w:t>Sood</w:t>
      </w:r>
      <w:proofErr w:type="spellEnd"/>
      <w:r w:rsidRPr="00C97D6D">
        <w:rPr>
          <w:rFonts w:ascii="Times New Roman" w:hAnsi="Times New Roman" w:cs="Times New Roman"/>
          <w:spacing w:val="1"/>
          <w:sz w:val="24"/>
          <w:szCs w:val="24"/>
        </w:rPr>
        <w:t xml:space="preserve">, K., </w:t>
      </w:r>
      <w:proofErr w:type="spellStart"/>
      <w:r w:rsidRPr="00C97D6D">
        <w:rPr>
          <w:rFonts w:ascii="Times New Roman" w:hAnsi="Times New Roman" w:cs="Times New Roman"/>
          <w:spacing w:val="1"/>
          <w:sz w:val="24"/>
          <w:szCs w:val="24"/>
        </w:rPr>
        <w:t>Rupeika-Apoga</w:t>
      </w:r>
      <w:proofErr w:type="spellEnd"/>
      <w:r w:rsidRPr="00C97D6D">
        <w:rPr>
          <w:rFonts w:ascii="Times New Roman" w:hAnsi="Times New Roman" w:cs="Times New Roman"/>
          <w:spacing w:val="1"/>
          <w:sz w:val="24"/>
          <w:szCs w:val="24"/>
        </w:rPr>
        <w:t xml:space="preserve">, R., and </w:t>
      </w:r>
      <w:proofErr w:type="spellStart"/>
      <w:r w:rsidRPr="00C97D6D">
        <w:rPr>
          <w:rFonts w:ascii="Times New Roman" w:hAnsi="Times New Roman" w:cs="Times New Roman"/>
          <w:spacing w:val="1"/>
          <w:sz w:val="24"/>
          <w:szCs w:val="24"/>
        </w:rPr>
        <w:t>Grima</w:t>
      </w:r>
      <w:proofErr w:type="spellEnd"/>
      <w:r w:rsidRPr="00C97D6D">
        <w:rPr>
          <w:rFonts w:ascii="Times New Roman" w:hAnsi="Times New Roman" w:cs="Times New Roman"/>
          <w:spacing w:val="1"/>
          <w:sz w:val="24"/>
          <w:szCs w:val="24"/>
        </w:rPr>
        <w:t xml:space="preserve">, S. (2023). Price discovery mechanism and volatility </w:t>
      </w:r>
      <w:proofErr w:type="spellStart"/>
      <w:r w:rsidRPr="00C97D6D">
        <w:rPr>
          <w:rFonts w:ascii="Times New Roman" w:hAnsi="Times New Roman" w:cs="Times New Roman"/>
          <w:spacing w:val="1"/>
          <w:sz w:val="24"/>
          <w:szCs w:val="24"/>
        </w:rPr>
        <w:t>spillover</w:t>
      </w:r>
      <w:proofErr w:type="spellEnd"/>
      <w:r w:rsidRPr="00C97D6D">
        <w:rPr>
          <w:rFonts w:ascii="Times New Roman" w:hAnsi="Times New Roman" w:cs="Times New Roman"/>
          <w:spacing w:val="1"/>
          <w:sz w:val="24"/>
          <w:szCs w:val="24"/>
        </w:rPr>
        <w:t xml:space="preserve"> between national agriculture market and national commodity and derivatives exchange: The study of the Indian agricultural commodity market. </w:t>
      </w:r>
      <w:r w:rsidRPr="00C97D6D">
        <w:rPr>
          <w:rFonts w:ascii="Times New Roman" w:hAnsi="Times New Roman" w:cs="Times New Roman"/>
          <w:i/>
          <w:iCs/>
          <w:spacing w:val="1"/>
          <w:sz w:val="24"/>
          <w:szCs w:val="24"/>
        </w:rPr>
        <w:t xml:space="preserve">Journal of Risk and Financial Management, </w:t>
      </w:r>
      <w:r w:rsidRPr="00C97D6D">
        <w:rPr>
          <w:rFonts w:ascii="Times New Roman" w:hAnsi="Times New Roman" w:cs="Times New Roman"/>
          <w:b/>
          <w:bCs/>
          <w:i/>
          <w:iCs/>
          <w:spacing w:val="1"/>
          <w:sz w:val="24"/>
          <w:szCs w:val="24"/>
        </w:rPr>
        <w:t>16</w:t>
      </w:r>
      <w:r w:rsidRPr="00C97D6D">
        <w:rPr>
          <w:rFonts w:ascii="Times New Roman" w:hAnsi="Times New Roman" w:cs="Times New Roman"/>
          <w:i/>
          <w:iCs/>
          <w:spacing w:val="1"/>
          <w:sz w:val="24"/>
          <w:szCs w:val="24"/>
        </w:rPr>
        <w:t>(2):</w:t>
      </w:r>
      <w:r w:rsidRPr="00C97D6D">
        <w:rPr>
          <w:rFonts w:ascii="Times New Roman" w:hAnsi="Times New Roman" w:cs="Times New Roman"/>
          <w:spacing w:val="1"/>
          <w:sz w:val="24"/>
          <w:szCs w:val="24"/>
        </w:rPr>
        <w:t xml:space="preserve"> 62-74.</w:t>
      </w:r>
    </w:p>
    <w:p w:rsidR="00C97D6D" w:rsidRPr="00C97D6D" w:rsidRDefault="00C97D6D" w:rsidP="00C97D6D">
      <w:pPr>
        <w:spacing w:after="0" w:line="360" w:lineRule="auto"/>
        <w:ind w:left="720" w:hanging="720"/>
        <w:rPr>
          <w:rFonts w:ascii="Times New Roman" w:hAnsi="Times New Roman" w:cs="Times New Roman"/>
          <w:sz w:val="24"/>
          <w:szCs w:val="24"/>
        </w:rPr>
      </w:pPr>
      <w:r w:rsidRPr="00C97D6D">
        <w:rPr>
          <w:rFonts w:ascii="Times New Roman" w:hAnsi="Times New Roman" w:cs="Times New Roman"/>
          <w:sz w:val="24"/>
          <w:szCs w:val="24"/>
        </w:rPr>
        <w:t xml:space="preserve">Ghafoor, A., Mustafa, K., Mushtaq, K., and </w:t>
      </w:r>
      <w:proofErr w:type="spellStart"/>
      <w:r w:rsidRPr="00C97D6D">
        <w:rPr>
          <w:rFonts w:ascii="Times New Roman" w:hAnsi="Times New Roman" w:cs="Times New Roman"/>
          <w:sz w:val="24"/>
          <w:szCs w:val="24"/>
        </w:rPr>
        <w:t>Abedullah</w:t>
      </w:r>
      <w:proofErr w:type="spellEnd"/>
      <w:r w:rsidRPr="00C97D6D">
        <w:rPr>
          <w:rFonts w:ascii="Times New Roman" w:hAnsi="Times New Roman" w:cs="Times New Roman"/>
          <w:sz w:val="24"/>
          <w:szCs w:val="24"/>
        </w:rPr>
        <w:t xml:space="preserve">. (2009). Cointegration and causality: An application to major mango markets in Pakistan. </w:t>
      </w:r>
      <w:r w:rsidRPr="00C97D6D">
        <w:rPr>
          <w:rStyle w:val="Emphasis"/>
          <w:rFonts w:ascii="Times New Roman" w:hAnsi="Times New Roman" w:cs="Times New Roman"/>
          <w:sz w:val="24"/>
          <w:szCs w:val="24"/>
        </w:rPr>
        <w:t xml:space="preserve">Lahore Journal of Economics, </w:t>
      </w:r>
      <w:r w:rsidRPr="00C97D6D">
        <w:rPr>
          <w:rStyle w:val="Strong"/>
          <w:rFonts w:ascii="Times New Roman" w:hAnsi="Times New Roman" w:cs="Times New Roman"/>
          <w:sz w:val="24"/>
          <w:szCs w:val="24"/>
        </w:rPr>
        <w:t>14</w:t>
      </w:r>
      <w:r w:rsidRPr="00C97D6D">
        <w:rPr>
          <w:rStyle w:val="Emphasis"/>
          <w:rFonts w:ascii="Times New Roman" w:hAnsi="Times New Roman" w:cs="Times New Roman"/>
          <w:i w:val="0"/>
          <w:iCs w:val="0"/>
          <w:sz w:val="24"/>
          <w:szCs w:val="24"/>
        </w:rPr>
        <w:t>(1):</w:t>
      </w:r>
      <w:r w:rsidRPr="00C97D6D">
        <w:rPr>
          <w:rFonts w:ascii="Times New Roman" w:hAnsi="Times New Roman" w:cs="Times New Roman"/>
          <w:sz w:val="24"/>
          <w:szCs w:val="24"/>
        </w:rPr>
        <w:t xml:space="preserve"> 85–113.</w:t>
      </w:r>
    </w:p>
    <w:p w:rsidR="00C97D6D" w:rsidRDefault="00C97D6D" w:rsidP="00C97D6D">
      <w:pPr>
        <w:spacing w:after="0" w:line="360" w:lineRule="auto"/>
        <w:ind w:left="720" w:hanging="720"/>
        <w:rPr>
          <w:rFonts w:ascii="Times New Roman" w:eastAsia="MS Mincho" w:hAnsi="Times New Roman" w:cs="Times New Roman"/>
          <w:sz w:val="24"/>
          <w:szCs w:val="24"/>
          <w:lang w:bidi="ar-SA"/>
        </w:rPr>
      </w:pPr>
      <w:r w:rsidRPr="0002598E">
        <w:rPr>
          <w:rFonts w:ascii="Times New Roman" w:eastAsia="MS Mincho" w:hAnsi="Times New Roman" w:cs="Times New Roman"/>
          <w:sz w:val="24"/>
          <w:szCs w:val="24"/>
          <w:lang w:bidi="ar-SA"/>
        </w:rPr>
        <w:t xml:space="preserve">Gujarati, D. N., Porter, D. C. and </w:t>
      </w:r>
      <w:proofErr w:type="spellStart"/>
      <w:r w:rsidRPr="0002598E">
        <w:rPr>
          <w:rFonts w:ascii="Times New Roman" w:eastAsia="MS Mincho" w:hAnsi="Times New Roman" w:cs="Times New Roman"/>
          <w:sz w:val="24"/>
          <w:szCs w:val="24"/>
          <w:lang w:bidi="ar-SA"/>
        </w:rPr>
        <w:t>Gunasekar</w:t>
      </w:r>
      <w:proofErr w:type="spellEnd"/>
      <w:r w:rsidRPr="0002598E">
        <w:rPr>
          <w:rFonts w:ascii="Times New Roman" w:eastAsia="MS Mincho" w:hAnsi="Times New Roman" w:cs="Times New Roman"/>
          <w:sz w:val="24"/>
          <w:szCs w:val="24"/>
          <w:lang w:bidi="ar-SA"/>
        </w:rPr>
        <w:t xml:space="preserve">, S. (2012). </w:t>
      </w:r>
      <w:r w:rsidRPr="0002598E">
        <w:rPr>
          <w:rFonts w:ascii="Times New Roman" w:eastAsia="MS Mincho" w:hAnsi="Times New Roman" w:cs="Times New Roman"/>
          <w:i/>
          <w:iCs/>
          <w:sz w:val="24"/>
          <w:szCs w:val="24"/>
          <w:lang w:bidi="ar-SA"/>
        </w:rPr>
        <w:t>Basic Econometrics</w:t>
      </w:r>
      <w:r w:rsidRPr="0002598E">
        <w:rPr>
          <w:rFonts w:ascii="Times New Roman" w:eastAsia="MS Mincho" w:hAnsi="Times New Roman" w:cs="Times New Roman"/>
          <w:sz w:val="24"/>
          <w:szCs w:val="24"/>
          <w:lang w:bidi="ar-SA"/>
        </w:rPr>
        <w:t>. Tata McGraw-Hill Education Private Limited, New Delhi, pp. 556-564.</w:t>
      </w:r>
    </w:p>
    <w:p w:rsidR="00C97D6D" w:rsidRDefault="00C97D6D" w:rsidP="00C97D6D">
      <w:pPr>
        <w:spacing w:after="0" w:line="360" w:lineRule="auto"/>
        <w:ind w:left="720" w:hanging="720"/>
        <w:rPr>
          <w:rFonts w:ascii="Times New Roman" w:hAnsi="Times New Roman" w:cs="Times New Roman"/>
          <w:sz w:val="24"/>
          <w:szCs w:val="24"/>
        </w:rPr>
      </w:pPr>
      <w:r w:rsidRPr="00C97D6D">
        <w:rPr>
          <w:rFonts w:ascii="Times New Roman" w:hAnsi="Times New Roman" w:cs="Times New Roman"/>
          <w:sz w:val="24"/>
          <w:szCs w:val="24"/>
        </w:rPr>
        <w:t xml:space="preserve">Jabir Ali, and Kriti </w:t>
      </w:r>
      <w:proofErr w:type="spellStart"/>
      <w:r w:rsidRPr="00C97D6D">
        <w:rPr>
          <w:rFonts w:ascii="Times New Roman" w:hAnsi="Times New Roman" w:cs="Times New Roman"/>
          <w:sz w:val="24"/>
          <w:szCs w:val="24"/>
        </w:rPr>
        <w:t>Bardhan</w:t>
      </w:r>
      <w:proofErr w:type="spellEnd"/>
      <w:r w:rsidRPr="00C97D6D">
        <w:rPr>
          <w:rFonts w:ascii="Times New Roman" w:hAnsi="Times New Roman" w:cs="Times New Roman"/>
          <w:sz w:val="24"/>
          <w:szCs w:val="24"/>
        </w:rPr>
        <w:t xml:space="preserve"> Gupta. (2011). Efficiency in agricultural commodity futures markets in India. </w:t>
      </w:r>
      <w:r w:rsidRPr="00C97D6D">
        <w:rPr>
          <w:rStyle w:val="Emphasis"/>
          <w:rFonts w:ascii="Times New Roman" w:hAnsi="Times New Roman" w:cs="Times New Roman"/>
          <w:sz w:val="24"/>
          <w:szCs w:val="24"/>
        </w:rPr>
        <w:t xml:space="preserve">Agricultural Finance Review, </w:t>
      </w:r>
      <w:r w:rsidRPr="00C97D6D">
        <w:rPr>
          <w:rStyle w:val="Strong"/>
          <w:rFonts w:ascii="Times New Roman" w:hAnsi="Times New Roman" w:cs="Times New Roman"/>
          <w:sz w:val="24"/>
          <w:szCs w:val="24"/>
        </w:rPr>
        <w:t>71</w:t>
      </w:r>
      <w:r w:rsidRPr="00C97D6D">
        <w:rPr>
          <w:rStyle w:val="Emphasis"/>
          <w:rFonts w:ascii="Times New Roman" w:hAnsi="Times New Roman" w:cs="Times New Roman"/>
          <w:i w:val="0"/>
          <w:iCs w:val="0"/>
          <w:sz w:val="24"/>
          <w:szCs w:val="24"/>
        </w:rPr>
        <w:t>(2):</w:t>
      </w:r>
      <w:r w:rsidRPr="00C97D6D">
        <w:rPr>
          <w:rFonts w:ascii="Times New Roman" w:hAnsi="Times New Roman" w:cs="Times New Roman"/>
          <w:sz w:val="24"/>
          <w:szCs w:val="24"/>
        </w:rPr>
        <w:t xml:space="preserve"> 162–178.</w:t>
      </w:r>
    </w:p>
    <w:p w:rsidR="00FE7AB9" w:rsidRPr="0002598E" w:rsidRDefault="00FE7AB9" w:rsidP="00FE7AB9">
      <w:pPr>
        <w:spacing w:after="0" w:line="360" w:lineRule="auto"/>
        <w:ind w:left="720" w:hanging="720"/>
        <w:rPr>
          <w:rFonts w:ascii="Times New Roman" w:hAnsi="Times New Roman" w:cs="Times New Roman"/>
          <w:sz w:val="24"/>
          <w:szCs w:val="24"/>
        </w:rPr>
      </w:pPr>
      <w:r w:rsidRPr="00C97D6D">
        <w:rPr>
          <w:rFonts w:ascii="Times New Roman" w:hAnsi="Times New Roman" w:cs="Times New Roman"/>
          <w:sz w:val="24"/>
          <w:szCs w:val="24"/>
        </w:rPr>
        <w:t xml:space="preserve">Johansen, S. (1988). Statistical analysis of cointegration vectors. </w:t>
      </w:r>
      <w:r w:rsidRPr="00C97D6D">
        <w:rPr>
          <w:rStyle w:val="Emphasis"/>
          <w:rFonts w:ascii="Times New Roman" w:hAnsi="Times New Roman" w:cs="Times New Roman"/>
          <w:sz w:val="24"/>
          <w:szCs w:val="24"/>
        </w:rPr>
        <w:t xml:space="preserve">Journal of Economic Dynamics and Control, </w:t>
      </w:r>
      <w:r w:rsidRPr="00C97D6D">
        <w:rPr>
          <w:rStyle w:val="Strong"/>
          <w:rFonts w:ascii="Times New Roman" w:hAnsi="Times New Roman" w:cs="Times New Roman"/>
          <w:sz w:val="24"/>
          <w:szCs w:val="24"/>
        </w:rPr>
        <w:t>12:</w:t>
      </w:r>
      <w:r w:rsidRPr="00C97D6D">
        <w:rPr>
          <w:rStyle w:val="Strong"/>
          <w:rFonts w:ascii="Times New Roman" w:hAnsi="Times New Roman" w:cs="Times New Roman"/>
          <w:i/>
          <w:iCs/>
          <w:sz w:val="24"/>
          <w:szCs w:val="24"/>
        </w:rPr>
        <w:t xml:space="preserve"> </w:t>
      </w:r>
      <w:r w:rsidRPr="00C97D6D">
        <w:rPr>
          <w:rFonts w:ascii="Times New Roman" w:hAnsi="Times New Roman" w:cs="Times New Roman"/>
          <w:sz w:val="24"/>
          <w:szCs w:val="24"/>
        </w:rPr>
        <w:t>231–254.</w:t>
      </w:r>
    </w:p>
    <w:p w:rsidR="00C97D6D" w:rsidRDefault="00C97D6D" w:rsidP="00C97D6D">
      <w:pPr>
        <w:spacing w:after="0" w:line="360" w:lineRule="auto"/>
        <w:ind w:left="709" w:hanging="709"/>
        <w:rPr>
          <w:rFonts w:ascii="Times New Roman" w:hAnsi="Times New Roman" w:cs="Times New Roman"/>
          <w:spacing w:val="1"/>
          <w:sz w:val="24"/>
          <w:szCs w:val="24"/>
        </w:rPr>
      </w:pPr>
      <w:r w:rsidRPr="00C97D6D">
        <w:rPr>
          <w:rFonts w:ascii="Times New Roman" w:hAnsi="Times New Roman" w:cs="Times New Roman"/>
          <w:spacing w:val="1"/>
          <w:sz w:val="24"/>
          <w:szCs w:val="24"/>
        </w:rPr>
        <w:t xml:space="preserve">Johansen, S., and </w:t>
      </w:r>
      <w:proofErr w:type="spellStart"/>
      <w:r w:rsidRPr="00C97D6D">
        <w:rPr>
          <w:rFonts w:ascii="Times New Roman" w:hAnsi="Times New Roman" w:cs="Times New Roman"/>
          <w:spacing w:val="1"/>
          <w:sz w:val="24"/>
          <w:szCs w:val="24"/>
        </w:rPr>
        <w:t>Juselius</w:t>
      </w:r>
      <w:proofErr w:type="spellEnd"/>
      <w:r w:rsidRPr="00C97D6D">
        <w:rPr>
          <w:rFonts w:ascii="Times New Roman" w:hAnsi="Times New Roman" w:cs="Times New Roman"/>
          <w:spacing w:val="1"/>
          <w:sz w:val="24"/>
          <w:szCs w:val="24"/>
        </w:rPr>
        <w:t xml:space="preserve">, K. (1990). Maximum likelihood estimation and inference on cointegration — With applications to the demand for money. </w:t>
      </w:r>
      <w:r w:rsidRPr="00C97D6D">
        <w:rPr>
          <w:rFonts w:ascii="Times New Roman" w:hAnsi="Times New Roman" w:cs="Times New Roman"/>
          <w:i/>
          <w:iCs/>
          <w:spacing w:val="1"/>
          <w:sz w:val="24"/>
          <w:szCs w:val="24"/>
        </w:rPr>
        <w:t xml:space="preserve">Oxford Bulletin of Economics and Statistics, </w:t>
      </w:r>
      <w:r w:rsidRPr="00C97D6D">
        <w:rPr>
          <w:rFonts w:ascii="Times New Roman" w:hAnsi="Times New Roman" w:cs="Times New Roman"/>
          <w:b/>
          <w:bCs/>
          <w:spacing w:val="1"/>
          <w:sz w:val="24"/>
          <w:szCs w:val="24"/>
        </w:rPr>
        <w:t>52</w:t>
      </w:r>
      <w:r w:rsidRPr="00C97D6D">
        <w:rPr>
          <w:rFonts w:ascii="Times New Roman" w:hAnsi="Times New Roman" w:cs="Times New Roman"/>
          <w:spacing w:val="1"/>
          <w:sz w:val="24"/>
          <w:szCs w:val="24"/>
        </w:rPr>
        <w:t>(2): 169–209.</w:t>
      </w:r>
    </w:p>
    <w:p w:rsidR="00C97D6D" w:rsidRDefault="00C97D6D" w:rsidP="00FE7AB9">
      <w:pPr>
        <w:spacing w:after="0" w:line="360" w:lineRule="auto"/>
        <w:ind w:left="720" w:hanging="720"/>
        <w:rPr>
          <w:rFonts w:ascii="Times New Roman" w:hAnsi="Times New Roman" w:cs="Times New Roman"/>
          <w:sz w:val="24"/>
          <w:szCs w:val="24"/>
        </w:rPr>
      </w:pPr>
      <w:r w:rsidRPr="00C97D6D">
        <w:rPr>
          <w:rFonts w:ascii="Times New Roman" w:hAnsi="Times New Roman" w:cs="Times New Roman"/>
          <w:sz w:val="24"/>
          <w:szCs w:val="24"/>
        </w:rPr>
        <w:t xml:space="preserve">Kumar, M., Devi, G., and </w:t>
      </w:r>
      <w:proofErr w:type="spellStart"/>
      <w:r w:rsidRPr="00C97D6D">
        <w:rPr>
          <w:rFonts w:ascii="Times New Roman" w:hAnsi="Times New Roman" w:cs="Times New Roman"/>
          <w:sz w:val="24"/>
          <w:szCs w:val="24"/>
        </w:rPr>
        <w:t>Nautiyal</w:t>
      </w:r>
      <w:proofErr w:type="spellEnd"/>
      <w:r w:rsidRPr="00C97D6D">
        <w:rPr>
          <w:rFonts w:ascii="Times New Roman" w:hAnsi="Times New Roman" w:cs="Times New Roman"/>
          <w:sz w:val="24"/>
          <w:szCs w:val="24"/>
        </w:rPr>
        <w:t xml:space="preserve">, P. (2023). Extent of market integration in major castor markets of India. </w:t>
      </w:r>
      <w:r w:rsidRPr="00C97D6D">
        <w:rPr>
          <w:rStyle w:val="Emphasis"/>
          <w:rFonts w:ascii="Times New Roman" w:hAnsi="Times New Roman" w:cs="Times New Roman"/>
          <w:sz w:val="24"/>
          <w:szCs w:val="24"/>
        </w:rPr>
        <w:t xml:space="preserve">Indian Journal of Agricultural Marketing, </w:t>
      </w:r>
      <w:r w:rsidRPr="00C97D6D">
        <w:rPr>
          <w:rStyle w:val="Strong"/>
          <w:rFonts w:ascii="Times New Roman" w:hAnsi="Times New Roman" w:cs="Times New Roman"/>
          <w:sz w:val="24"/>
          <w:szCs w:val="24"/>
        </w:rPr>
        <w:t>37</w:t>
      </w:r>
      <w:r w:rsidRPr="00C97D6D">
        <w:rPr>
          <w:rStyle w:val="Emphasis"/>
          <w:rFonts w:ascii="Times New Roman" w:hAnsi="Times New Roman" w:cs="Times New Roman"/>
          <w:i w:val="0"/>
          <w:iCs w:val="0"/>
          <w:sz w:val="24"/>
          <w:szCs w:val="24"/>
        </w:rPr>
        <w:t>(1):</w:t>
      </w:r>
      <w:r w:rsidRPr="00C97D6D">
        <w:rPr>
          <w:rFonts w:ascii="Times New Roman" w:hAnsi="Times New Roman" w:cs="Times New Roman"/>
          <w:sz w:val="24"/>
          <w:szCs w:val="24"/>
        </w:rPr>
        <w:t xml:space="preserve"> 24–38.</w:t>
      </w:r>
    </w:p>
    <w:p w:rsidR="00FE7AB9" w:rsidRPr="00282DB0" w:rsidRDefault="00FE7AB9" w:rsidP="00FE7AB9">
      <w:pPr>
        <w:spacing w:after="0" w:line="360" w:lineRule="auto"/>
        <w:ind w:left="709" w:hanging="709"/>
        <w:rPr>
          <w:rFonts w:ascii="Times New Roman" w:hAnsi="Times New Roman" w:cs="Times New Roman"/>
          <w:spacing w:val="1"/>
          <w:sz w:val="24"/>
          <w:szCs w:val="24"/>
        </w:rPr>
      </w:pPr>
      <w:proofErr w:type="spellStart"/>
      <w:r w:rsidRPr="00C97D6D">
        <w:rPr>
          <w:rFonts w:ascii="Times New Roman" w:hAnsi="Times New Roman" w:cs="Times New Roman"/>
          <w:spacing w:val="1"/>
          <w:sz w:val="24"/>
          <w:szCs w:val="24"/>
        </w:rPr>
        <w:t>Mahalle</w:t>
      </w:r>
      <w:proofErr w:type="spellEnd"/>
      <w:r w:rsidRPr="00C97D6D">
        <w:rPr>
          <w:rFonts w:ascii="Times New Roman" w:hAnsi="Times New Roman" w:cs="Times New Roman"/>
          <w:spacing w:val="1"/>
          <w:sz w:val="24"/>
          <w:szCs w:val="24"/>
        </w:rPr>
        <w:t xml:space="preserve">, S. L., Shastri, S., and Kumar, S. (2015). Integration of wheat markets in Maharashtra. </w:t>
      </w:r>
      <w:r w:rsidRPr="00C97D6D">
        <w:rPr>
          <w:rFonts w:ascii="Times New Roman" w:hAnsi="Times New Roman" w:cs="Times New Roman"/>
          <w:i/>
          <w:iCs/>
          <w:spacing w:val="1"/>
          <w:sz w:val="24"/>
          <w:szCs w:val="24"/>
        </w:rPr>
        <w:t xml:space="preserve">Agricultural Economics Research Review, </w:t>
      </w:r>
      <w:r w:rsidRPr="00C97D6D">
        <w:rPr>
          <w:rFonts w:ascii="Times New Roman" w:hAnsi="Times New Roman" w:cs="Times New Roman"/>
          <w:b/>
          <w:bCs/>
          <w:spacing w:val="1"/>
          <w:sz w:val="24"/>
          <w:szCs w:val="24"/>
        </w:rPr>
        <w:t>28</w:t>
      </w:r>
      <w:r w:rsidRPr="00C97D6D">
        <w:rPr>
          <w:rFonts w:ascii="Times New Roman" w:hAnsi="Times New Roman" w:cs="Times New Roman"/>
          <w:spacing w:val="1"/>
          <w:sz w:val="24"/>
          <w:szCs w:val="24"/>
        </w:rPr>
        <w:t>: 179–187.</w:t>
      </w:r>
    </w:p>
    <w:p w:rsidR="00623BC9" w:rsidRPr="00C97D6D" w:rsidRDefault="00623BC9" w:rsidP="00C97D6D">
      <w:pPr>
        <w:spacing w:after="0" w:line="360" w:lineRule="auto"/>
        <w:ind w:left="709" w:hanging="709"/>
        <w:rPr>
          <w:rFonts w:ascii="Times New Roman" w:hAnsi="Times New Roman" w:cs="Times New Roman"/>
          <w:spacing w:val="1"/>
          <w:sz w:val="24"/>
          <w:szCs w:val="24"/>
        </w:rPr>
      </w:pPr>
      <w:proofErr w:type="spellStart"/>
      <w:r w:rsidRPr="00C97D6D">
        <w:rPr>
          <w:rFonts w:ascii="Times New Roman" w:hAnsi="Times New Roman" w:cs="Times New Roman"/>
          <w:spacing w:val="1"/>
          <w:sz w:val="24"/>
          <w:szCs w:val="24"/>
        </w:rPr>
        <w:lastRenderedPageBreak/>
        <w:t>Palanichamy</w:t>
      </w:r>
      <w:proofErr w:type="spellEnd"/>
      <w:r w:rsidRPr="00C97D6D">
        <w:rPr>
          <w:rFonts w:ascii="Times New Roman" w:hAnsi="Times New Roman" w:cs="Times New Roman"/>
          <w:spacing w:val="1"/>
          <w:sz w:val="24"/>
          <w:szCs w:val="24"/>
        </w:rPr>
        <w:t xml:space="preserve">, V., Suresh, A., Balamurugan, V., Kalpana, M., and Balakrishnan, N. (2024). Co-integration and causality analysis of “Castor” (Ricinus </w:t>
      </w:r>
      <w:proofErr w:type="spellStart"/>
      <w:r w:rsidRPr="00C97D6D">
        <w:rPr>
          <w:rFonts w:ascii="Times New Roman" w:hAnsi="Times New Roman" w:cs="Times New Roman"/>
          <w:spacing w:val="1"/>
          <w:sz w:val="24"/>
          <w:szCs w:val="24"/>
        </w:rPr>
        <w:t>communis</w:t>
      </w:r>
      <w:proofErr w:type="spellEnd"/>
      <w:r w:rsidRPr="00C97D6D">
        <w:rPr>
          <w:rFonts w:ascii="Times New Roman" w:hAnsi="Times New Roman" w:cs="Times New Roman"/>
          <w:spacing w:val="1"/>
          <w:sz w:val="24"/>
          <w:szCs w:val="24"/>
        </w:rPr>
        <w:t xml:space="preserve"> oil) markets in India. </w:t>
      </w:r>
      <w:r w:rsidRPr="00C97D6D">
        <w:rPr>
          <w:rFonts w:ascii="Times New Roman" w:hAnsi="Times New Roman" w:cs="Times New Roman"/>
          <w:i/>
          <w:iCs/>
          <w:spacing w:val="1"/>
          <w:sz w:val="24"/>
          <w:szCs w:val="24"/>
        </w:rPr>
        <w:t xml:space="preserve">Asian Research Journal of Agriculture, </w:t>
      </w:r>
      <w:r w:rsidRPr="00C97D6D">
        <w:rPr>
          <w:rFonts w:ascii="Times New Roman" w:hAnsi="Times New Roman" w:cs="Times New Roman"/>
          <w:b/>
          <w:bCs/>
          <w:spacing w:val="1"/>
          <w:sz w:val="24"/>
          <w:szCs w:val="24"/>
        </w:rPr>
        <w:t>17</w:t>
      </w:r>
      <w:r w:rsidRPr="00C97D6D">
        <w:rPr>
          <w:rFonts w:ascii="Times New Roman" w:hAnsi="Times New Roman" w:cs="Times New Roman"/>
          <w:spacing w:val="1"/>
          <w:sz w:val="24"/>
          <w:szCs w:val="24"/>
        </w:rPr>
        <w:t>(2): 225–232.</w:t>
      </w:r>
    </w:p>
    <w:p w:rsidR="00623BC9" w:rsidRDefault="00623BC9" w:rsidP="00C97D6D">
      <w:pPr>
        <w:spacing w:after="0" w:line="360" w:lineRule="auto"/>
        <w:ind w:left="709" w:hanging="709"/>
        <w:rPr>
          <w:rFonts w:ascii="Times New Roman" w:hAnsi="Times New Roman" w:cs="Times New Roman"/>
          <w:spacing w:val="1"/>
          <w:sz w:val="24"/>
          <w:szCs w:val="24"/>
        </w:rPr>
      </w:pPr>
      <w:r w:rsidRPr="00C97D6D">
        <w:rPr>
          <w:rFonts w:ascii="Times New Roman" w:hAnsi="Times New Roman" w:cs="Times New Roman"/>
          <w:spacing w:val="1"/>
          <w:sz w:val="24"/>
          <w:szCs w:val="24"/>
        </w:rPr>
        <w:t xml:space="preserve">National Commodity and Derivatives Exchange Limited (NCDEX). (2024). </w:t>
      </w:r>
      <w:r w:rsidRPr="00C97D6D">
        <w:rPr>
          <w:rFonts w:ascii="Times New Roman" w:hAnsi="Times New Roman" w:cs="Times New Roman"/>
          <w:i/>
          <w:iCs/>
          <w:spacing w:val="1"/>
          <w:sz w:val="24"/>
          <w:szCs w:val="24"/>
        </w:rPr>
        <w:t>Castor seed futures product note and annual performance review 2023-24.</w:t>
      </w:r>
      <w:r w:rsidRPr="00C97D6D">
        <w:rPr>
          <w:rFonts w:ascii="Times New Roman" w:hAnsi="Times New Roman" w:cs="Times New Roman"/>
          <w:spacing w:val="1"/>
          <w:sz w:val="24"/>
          <w:szCs w:val="24"/>
        </w:rPr>
        <w:t xml:space="preserve"> </w:t>
      </w:r>
      <w:r w:rsidR="00C97D6D" w:rsidRPr="00C97D6D">
        <w:rPr>
          <w:rFonts w:ascii="Times New Roman" w:eastAsia="MS Mincho" w:hAnsi="Times New Roman" w:cs="Times New Roman"/>
          <w:sz w:val="24"/>
          <w:szCs w:val="24"/>
          <w:lang w:bidi="ar-SA"/>
        </w:rPr>
        <w:t>National Commodity and Derivatives Exchange Ltd., Ministry of Finance, Government of India</w:t>
      </w:r>
      <w:r w:rsidRPr="00C97D6D">
        <w:rPr>
          <w:rFonts w:ascii="Times New Roman" w:hAnsi="Times New Roman" w:cs="Times New Roman"/>
          <w:spacing w:val="1"/>
          <w:sz w:val="24"/>
          <w:szCs w:val="24"/>
        </w:rPr>
        <w:t>.</w:t>
      </w:r>
    </w:p>
    <w:p w:rsidR="00FE7AB9" w:rsidRPr="00C97D6D" w:rsidRDefault="00FE7AB9" w:rsidP="00FE7AB9">
      <w:pPr>
        <w:spacing w:after="0" w:line="360" w:lineRule="auto"/>
        <w:ind w:left="720" w:hanging="720"/>
        <w:rPr>
          <w:rFonts w:ascii="Times New Roman" w:hAnsi="Times New Roman" w:cs="Times New Roman"/>
          <w:sz w:val="24"/>
          <w:szCs w:val="24"/>
        </w:rPr>
      </w:pPr>
      <w:r w:rsidRPr="00C97D6D">
        <w:rPr>
          <w:rFonts w:ascii="Times New Roman" w:hAnsi="Times New Roman" w:cs="Times New Roman"/>
          <w:sz w:val="24"/>
          <w:szCs w:val="24"/>
        </w:rPr>
        <w:t xml:space="preserve">Saxena, R., Paul, R. K., and Kumar, R. (2023). Transmission of price shocks and volatility </w:t>
      </w:r>
      <w:proofErr w:type="spellStart"/>
      <w:r w:rsidRPr="00C97D6D">
        <w:rPr>
          <w:rFonts w:ascii="Times New Roman" w:hAnsi="Times New Roman" w:cs="Times New Roman"/>
          <w:sz w:val="24"/>
          <w:szCs w:val="24"/>
        </w:rPr>
        <w:t>spillovers</w:t>
      </w:r>
      <w:proofErr w:type="spellEnd"/>
      <w:r w:rsidRPr="00C97D6D">
        <w:rPr>
          <w:rFonts w:ascii="Times New Roman" w:hAnsi="Times New Roman" w:cs="Times New Roman"/>
          <w:sz w:val="24"/>
          <w:szCs w:val="24"/>
        </w:rPr>
        <w:t xml:space="preserve"> across the major onion markets in India. </w:t>
      </w:r>
      <w:r w:rsidRPr="00C97D6D">
        <w:rPr>
          <w:rStyle w:val="Emphasis"/>
          <w:rFonts w:ascii="Times New Roman" w:hAnsi="Times New Roman" w:cs="Times New Roman"/>
          <w:sz w:val="24"/>
          <w:szCs w:val="24"/>
        </w:rPr>
        <w:t xml:space="preserve">Agricultural Economics Research Review, </w:t>
      </w:r>
      <w:r w:rsidRPr="00C97D6D">
        <w:rPr>
          <w:rStyle w:val="Strong"/>
          <w:rFonts w:ascii="Times New Roman" w:hAnsi="Times New Roman" w:cs="Times New Roman"/>
          <w:sz w:val="24"/>
          <w:szCs w:val="24"/>
        </w:rPr>
        <w:t>33</w:t>
      </w:r>
      <w:r w:rsidRPr="00C97D6D">
        <w:rPr>
          <w:rStyle w:val="Emphasis"/>
          <w:rFonts w:ascii="Times New Roman" w:hAnsi="Times New Roman" w:cs="Times New Roman"/>
          <w:i w:val="0"/>
          <w:iCs w:val="0"/>
          <w:sz w:val="24"/>
          <w:szCs w:val="24"/>
        </w:rPr>
        <w:t>(1):</w:t>
      </w:r>
      <w:r w:rsidRPr="00C97D6D">
        <w:rPr>
          <w:rFonts w:ascii="Times New Roman" w:hAnsi="Times New Roman" w:cs="Times New Roman"/>
          <w:sz w:val="24"/>
          <w:szCs w:val="24"/>
        </w:rPr>
        <w:t xml:space="preserve"> 45–52.</w:t>
      </w:r>
    </w:p>
    <w:p w:rsidR="00FE7AB9" w:rsidRPr="00C97D6D" w:rsidRDefault="00FE7AB9" w:rsidP="00FE7AB9">
      <w:pPr>
        <w:spacing w:after="0" w:line="36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Sendhil</w:t>
      </w:r>
      <w:proofErr w:type="spellEnd"/>
      <w:r>
        <w:rPr>
          <w:rFonts w:ascii="Times New Roman" w:hAnsi="Times New Roman" w:cs="Times New Roman"/>
          <w:sz w:val="24"/>
          <w:szCs w:val="24"/>
        </w:rPr>
        <w:t>, R.,</w:t>
      </w:r>
      <w:r w:rsidRPr="00C97D6D">
        <w:rPr>
          <w:rFonts w:ascii="Times New Roman" w:hAnsi="Times New Roman" w:cs="Times New Roman"/>
          <w:sz w:val="24"/>
          <w:szCs w:val="24"/>
        </w:rPr>
        <w:t xml:space="preserve"> Thakur, A., Lal, P., Gururaj, B. M., </w:t>
      </w:r>
      <w:proofErr w:type="spellStart"/>
      <w:r w:rsidRPr="00C97D6D">
        <w:rPr>
          <w:rFonts w:ascii="Times New Roman" w:hAnsi="Times New Roman" w:cs="Times New Roman"/>
          <w:sz w:val="24"/>
          <w:szCs w:val="24"/>
        </w:rPr>
        <w:t>Jamaludheen</w:t>
      </w:r>
      <w:proofErr w:type="spellEnd"/>
      <w:r w:rsidRPr="00C97D6D">
        <w:rPr>
          <w:rFonts w:ascii="Times New Roman" w:hAnsi="Times New Roman" w:cs="Times New Roman"/>
          <w:sz w:val="24"/>
          <w:szCs w:val="24"/>
        </w:rPr>
        <w:t xml:space="preserve">, A., Chaudhary, U., and Rathore, R. (2019). Price dynamics and extent of integration in Indian wholesale and retail wheat markets. </w:t>
      </w:r>
      <w:r w:rsidRPr="00C97D6D">
        <w:rPr>
          <w:rStyle w:val="Emphasis"/>
          <w:rFonts w:ascii="Times New Roman" w:hAnsi="Times New Roman" w:cs="Times New Roman"/>
          <w:sz w:val="24"/>
          <w:szCs w:val="24"/>
        </w:rPr>
        <w:t>Journal of Agricultural Science and Technology</w:t>
      </w:r>
      <w:r w:rsidRPr="00C97D6D">
        <w:rPr>
          <w:rStyle w:val="Emphasis"/>
          <w:rFonts w:ascii="Times New Roman" w:hAnsi="Times New Roman" w:cs="Times New Roman"/>
          <w:i w:val="0"/>
          <w:iCs w:val="0"/>
          <w:sz w:val="24"/>
          <w:szCs w:val="24"/>
        </w:rPr>
        <w:t xml:space="preserve">, </w:t>
      </w:r>
      <w:r w:rsidRPr="00C97D6D">
        <w:rPr>
          <w:rStyle w:val="Strong"/>
          <w:rFonts w:ascii="Times New Roman" w:hAnsi="Times New Roman" w:cs="Times New Roman"/>
          <w:sz w:val="24"/>
          <w:szCs w:val="24"/>
        </w:rPr>
        <w:t>21</w:t>
      </w:r>
      <w:r w:rsidRPr="00C97D6D">
        <w:rPr>
          <w:rStyle w:val="Emphasis"/>
          <w:rFonts w:ascii="Times New Roman" w:hAnsi="Times New Roman" w:cs="Times New Roman"/>
          <w:i w:val="0"/>
          <w:iCs w:val="0"/>
          <w:sz w:val="24"/>
          <w:szCs w:val="24"/>
        </w:rPr>
        <w:t>(3):</w:t>
      </w:r>
      <w:r w:rsidRPr="00C97D6D">
        <w:rPr>
          <w:rFonts w:ascii="Times New Roman" w:hAnsi="Times New Roman" w:cs="Times New Roman"/>
          <w:sz w:val="24"/>
          <w:szCs w:val="24"/>
        </w:rPr>
        <w:t xml:space="preserve"> 517–530.</w:t>
      </w:r>
    </w:p>
    <w:p w:rsidR="00FE7AB9" w:rsidRPr="00FE7AB9" w:rsidRDefault="00FE7AB9" w:rsidP="00FE7AB9">
      <w:pPr>
        <w:spacing w:after="0" w:line="360" w:lineRule="auto"/>
        <w:ind w:left="709" w:hanging="709"/>
        <w:rPr>
          <w:rFonts w:ascii="Times New Roman" w:hAnsi="Times New Roman" w:cs="Times New Roman"/>
          <w:spacing w:val="1"/>
          <w:sz w:val="24"/>
          <w:szCs w:val="24"/>
        </w:rPr>
      </w:pPr>
      <w:proofErr w:type="spellStart"/>
      <w:r w:rsidRPr="00C97D6D">
        <w:rPr>
          <w:rFonts w:ascii="Times New Roman" w:hAnsi="Times New Roman" w:cs="Times New Roman"/>
          <w:spacing w:val="1"/>
          <w:sz w:val="24"/>
          <w:szCs w:val="24"/>
        </w:rPr>
        <w:t>Venkannanavara</w:t>
      </w:r>
      <w:proofErr w:type="spellEnd"/>
      <w:r w:rsidRPr="00C97D6D">
        <w:rPr>
          <w:rFonts w:ascii="Times New Roman" w:hAnsi="Times New Roman" w:cs="Times New Roman"/>
          <w:spacing w:val="1"/>
          <w:sz w:val="24"/>
          <w:szCs w:val="24"/>
        </w:rPr>
        <w:t xml:space="preserve">, M. M., and </w:t>
      </w:r>
      <w:proofErr w:type="spellStart"/>
      <w:r w:rsidRPr="00C97D6D">
        <w:rPr>
          <w:rFonts w:ascii="Times New Roman" w:hAnsi="Times New Roman" w:cs="Times New Roman"/>
          <w:spacing w:val="1"/>
          <w:sz w:val="24"/>
          <w:szCs w:val="24"/>
        </w:rPr>
        <w:t>Kerur</w:t>
      </w:r>
      <w:proofErr w:type="spellEnd"/>
      <w:r w:rsidRPr="00C97D6D">
        <w:rPr>
          <w:rFonts w:ascii="Times New Roman" w:hAnsi="Times New Roman" w:cs="Times New Roman"/>
          <w:spacing w:val="1"/>
          <w:sz w:val="24"/>
          <w:szCs w:val="24"/>
        </w:rPr>
        <w:t xml:space="preserve">, N. M. (2021). Co-integration of castor markets in India-An econometric analysis. </w:t>
      </w:r>
      <w:r w:rsidRPr="00C97D6D">
        <w:rPr>
          <w:rFonts w:ascii="Times New Roman" w:hAnsi="Times New Roman" w:cs="Times New Roman"/>
          <w:i/>
          <w:iCs/>
          <w:spacing w:val="1"/>
          <w:sz w:val="24"/>
          <w:szCs w:val="24"/>
        </w:rPr>
        <w:t xml:space="preserve">Frontiers in Crop Improvement, </w:t>
      </w:r>
      <w:r w:rsidRPr="00C97D6D">
        <w:rPr>
          <w:rFonts w:ascii="Times New Roman" w:hAnsi="Times New Roman" w:cs="Times New Roman"/>
          <w:b/>
          <w:bCs/>
          <w:spacing w:val="1"/>
          <w:sz w:val="24"/>
          <w:szCs w:val="24"/>
        </w:rPr>
        <w:t>9</w:t>
      </w:r>
      <w:r w:rsidRPr="00C97D6D">
        <w:rPr>
          <w:rFonts w:ascii="Times New Roman" w:hAnsi="Times New Roman" w:cs="Times New Roman"/>
          <w:spacing w:val="1"/>
          <w:sz w:val="24"/>
          <w:szCs w:val="24"/>
        </w:rPr>
        <w:t>: 2241–2246.</w:t>
      </w:r>
    </w:p>
    <w:p w:rsidR="00282DB0" w:rsidRPr="00C97D6D" w:rsidRDefault="0047000D" w:rsidP="00C97D6D">
      <w:pPr>
        <w:spacing w:after="0" w:line="360" w:lineRule="auto"/>
        <w:ind w:left="720" w:hanging="720"/>
        <w:rPr>
          <w:rFonts w:ascii="Times New Roman" w:hAnsi="Times New Roman" w:cs="Times New Roman"/>
          <w:sz w:val="24"/>
          <w:szCs w:val="24"/>
        </w:rPr>
      </w:pPr>
      <w:proofErr w:type="spellStart"/>
      <w:r w:rsidRPr="00C97D6D">
        <w:rPr>
          <w:rFonts w:ascii="Times New Roman" w:hAnsi="Times New Roman" w:cs="Times New Roman"/>
          <w:sz w:val="24"/>
          <w:szCs w:val="24"/>
        </w:rPr>
        <w:t>Venujayakanth</w:t>
      </w:r>
      <w:proofErr w:type="spellEnd"/>
      <w:r w:rsidRPr="00C97D6D">
        <w:rPr>
          <w:rFonts w:ascii="Times New Roman" w:hAnsi="Times New Roman" w:cs="Times New Roman"/>
          <w:sz w:val="24"/>
          <w:szCs w:val="24"/>
        </w:rPr>
        <w:t xml:space="preserve">, B.; </w:t>
      </w:r>
      <w:proofErr w:type="spellStart"/>
      <w:r w:rsidRPr="00C97D6D">
        <w:rPr>
          <w:rFonts w:ascii="Times New Roman" w:hAnsi="Times New Roman" w:cs="Times New Roman"/>
          <w:sz w:val="24"/>
          <w:szCs w:val="24"/>
        </w:rPr>
        <w:t>Dudhat</w:t>
      </w:r>
      <w:proofErr w:type="spellEnd"/>
      <w:r w:rsidRPr="00C97D6D">
        <w:rPr>
          <w:rFonts w:ascii="Times New Roman" w:hAnsi="Times New Roman" w:cs="Times New Roman"/>
          <w:sz w:val="24"/>
          <w:szCs w:val="24"/>
        </w:rPr>
        <w:t xml:space="preserve">, A.S.; Swaminathan, B. and </w:t>
      </w:r>
      <w:proofErr w:type="spellStart"/>
      <w:r w:rsidRPr="00C97D6D">
        <w:rPr>
          <w:rFonts w:ascii="Times New Roman" w:hAnsi="Times New Roman" w:cs="Times New Roman"/>
          <w:sz w:val="24"/>
          <w:szCs w:val="24"/>
        </w:rPr>
        <w:t>Ardeshana</w:t>
      </w:r>
      <w:proofErr w:type="spellEnd"/>
      <w:r w:rsidRPr="00C97D6D">
        <w:rPr>
          <w:rFonts w:ascii="Times New Roman" w:hAnsi="Times New Roman" w:cs="Times New Roman"/>
          <w:sz w:val="24"/>
          <w:szCs w:val="24"/>
        </w:rPr>
        <w:t xml:space="preserve">, N. J. (2017). Price integration analysis of major groundnut domestic markets in India. </w:t>
      </w:r>
      <w:r w:rsidRPr="00C97D6D">
        <w:rPr>
          <w:rFonts w:ascii="Times New Roman" w:hAnsi="Times New Roman" w:cs="Times New Roman"/>
          <w:i/>
          <w:iCs/>
          <w:sz w:val="24"/>
          <w:szCs w:val="24"/>
        </w:rPr>
        <w:t>Economic Affairs</w:t>
      </w:r>
      <w:r w:rsidRPr="00C97D6D">
        <w:rPr>
          <w:rFonts w:ascii="Times New Roman" w:hAnsi="Times New Roman" w:cs="Times New Roman"/>
          <w:sz w:val="24"/>
          <w:szCs w:val="24"/>
        </w:rPr>
        <w:t xml:space="preserve">, </w:t>
      </w:r>
      <w:r w:rsidRPr="00C97D6D">
        <w:rPr>
          <w:rFonts w:ascii="Times New Roman" w:hAnsi="Times New Roman" w:cs="Times New Roman"/>
          <w:b/>
          <w:bCs/>
          <w:sz w:val="24"/>
          <w:szCs w:val="24"/>
        </w:rPr>
        <w:t>62</w:t>
      </w:r>
      <w:r w:rsidRPr="00C97D6D">
        <w:rPr>
          <w:rFonts w:ascii="Times New Roman" w:hAnsi="Times New Roman" w:cs="Times New Roman"/>
          <w:sz w:val="24"/>
          <w:szCs w:val="24"/>
        </w:rPr>
        <w:t>(2): 233-241.</w:t>
      </w:r>
    </w:p>
    <w:p w:rsidR="00623BC9" w:rsidRPr="00623BC9" w:rsidRDefault="00623BC9" w:rsidP="00D17636">
      <w:pPr>
        <w:rPr>
          <w:bdr w:val="single" w:sz="2" w:space="0" w:color="auto" w:frame="1"/>
        </w:rPr>
      </w:pPr>
    </w:p>
    <w:sectPr w:rsidR="00623BC9" w:rsidRPr="00623BC9" w:rsidSect="006F612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3B7" w:rsidRDefault="00C953B7" w:rsidP="00E60A58">
      <w:pPr>
        <w:spacing w:after="0" w:line="240" w:lineRule="auto"/>
      </w:pPr>
      <w:r>
        <w:separator/>
      </w:r>
    </w:p>
  </w:endnote>
  <w:endnote w:type="continuationSeparator" w:id="0">
    <w:p w:rsidR="00C953B7" w:rsidRDefault="00C953B7" w:rsidP="00E6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58" w:rsidRDefault="00E60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58" w:rsidRDefault="00E60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58" w:rsidRDefault="00E60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3B7" w:rsidRDefault="00C953B7" w:rsidP="00E60A58">
      <w:pPr>
        <w:spacing w:after="0" w:line="240" w:lineRule="auto"/>
      </w:pPr>
      <w:r>
        <w:separator/>
      </w:r>
    </w:p>
  </w:footnote>
  <w:footnote w:type="continuationSeparator" w:id="0">
    <w:p w:rsidR="00C953B7" w:rsidRDefault="00C953B7" w:rsidP="00E60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58" w:rsidRDefault="00E60A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036922"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58" w:rsidRDefault="00E60A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036923"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A58" w:rsidRDefault="00E60A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9036921"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C239E"/>
    <w:multiLevelType w:val="hybridMultilevel"/>
    <w:tmpl w:val="422AB016"/>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40160EB"/>
    <w:multiLevelType w:val="hybridMultilevel"/>
    <w:tmpl w:val="C13009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0617D5"/>
    <w:multiLevelType w:val="hybridMultilevel"/>
    <w:tmpl w:val="138422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3CA16FE"/>
    <w:multiLevelType w:val="hybridMultilevel"/>
    <w:tmpl w:val="97D69AC8"/>
    <w:lvl w:ilvl="0" w:tplc="BF8866B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C9638D"/>
    <w:multiLevelType w:val="hybridMultilevel"/>
    <w:tmpl w:val="DD384A94"/>
    <w:lvl w:ilvl="0" w:tplc="BF8866B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2852"/>
    <w:rsid w:val="00012350"/>
    <w:rsid w:val="0002598E"/>
    <w:rsid w:val="00050763"/>
    <w:rsid w:val="00066756"/>
    <w:rsid w:val="0007390D"/>
    <w:rsid w:val="00086263"/>
    <w:rsid w:val="000966C6"/>
    <w:rsid w:val="000E608E"/>
    <w:rsid w:val="001034DB"/>
    <w:rsid w:val="00112AEC"/>
    <w:rsid w:val="002355EA"/>
    <w:rsid w:val="002826B7"/>
    <w:rsid w:val="00282DB0"/>
    <w:rsid w:val="0035559A"/>
    <w:rsid w:val="003912A0"/>
    <w:rsid w:val="003A728E"/>
    <w:rsid w:val="0040487C"/>
    <w:rsid w:val="00411B07"/>
    <w:rsid w:val="0047000D"/>
    <w:rsid w:val="0061559D"/>
    <w:rsid w:val="00623BC9"/>
    <w:rsid w:val="00637F50"/>
    <w:rsid w:val="0064716B"/>
    <w:rsid w:val="006875CA"/>
    <w:rsid w:val="00697116"/>
    <w:rsid w:val="006F6129"/>
    <w:rsid w:val="0070009A"/>
    <w:rsid w:val="0072667D"/>
    <w:rsid w:val="00756DE8"/>
    <w:rsid w:val="00783A1A"/>
    <w:rsid w:val="007A65E6"/>
    <w:rsid w:val="00933B66"/>
    <w:rsid w:val="009625AE"/>
    <w:rsid w:val="00A869B1"/>
    <w:rsid w:val="00AA6E8A"/>
    <w:rsid w:val="00AF3BA1"/>
    <w:rsid w:val="00BB4BB1"/>
    <w:rsid w:val="00BF43A8"/>
    <w:rsid w:val="00C212DB"/>
    <w:rsid w:val="00C55C37"/>
    <w:rsid w:val="00C64C28"/>
    <w:rsid w:val="00C94E97"/>
    <w:rsid w:val="00C953B7"/>
    <w:rsid w:val="00C97D6D"/>
    <w:rsid w:val="00CA78EF"/>
    <w:rsid w:val="00CB4BC4"/>
    <w:rsid w:val="00D17636"/>
    <w:rsid w:val="00D811A5"/>
    <w:rsid w:val="00DE311C"/>
    <w:rsid w:val="00DF2E99"/>
    <w:rsid w:val="00E066CA"/>
    <w:rsid w:val="00E346F0"/>
    <w:rsid w:val="00E55AFB"/>
    <w:rsid w:val="00E60A58"/>
    <w:rsid w:val="00ED0CE3"/>
    <w:rsid w:val="00ED455A"/>
    <w:rsid w:val="00EF161B"/>
    <w:rsid w:val="00F32C4F"/>
    <w:rsid w:val="00F52852"/>
    <w:rsid w:val="00F8020D"/>
    <w:rsid w:val="00FA1903"/>
    <w:rsid w:val="00FE7AB9"/>
    <w:rsid w:val="00FF5FA7"/>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C05408"/>
  <w15:docId w15:val="{B62B3AC7-9223-4119-BC0C-595AF5DE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2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852"/>
    <w:rPr>
      <w:rFonts w:ascii="Tahoma" w:hAnsi="Tahoma" w:cs="Tahoma"/>
      <w:sz w:val="16"/>
      <w:szCs w:val="16"/>
    </w:rPr>
  </w:style>
  <w:style w:type="table" w:styleId="TableGrid">
    <w:name w:val="Table Grid"/>
    <w:basedOn w:val="TableNormal"/>
    <w:uiPriority w:val="59"/>
    <w:rsid w:val="00FA1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46F0"/>
    <w:pPr>
      <w:spacing w:after="0" w:line="240" w:lineRule="auto"/>
    </w:pPr>
    <w:rPr>
      <w:rFonts w:cs="Shruti"/>
    </w:rPr>
  </w:style>
  <w:style w:type="character" w:styleId="Emphasis">
    <w:name w:val="Emphasis"/>
    <w:basedOn w:val="DefaultParagraphFont"/>
    <w:uiPriority w:val="20"/>
    <w:qFormat/>
    <w:rsid w:val="002826B7"/>
    <w:rPr>
      <w:i/>
      <w:iCs/>
    </w:rPr>
  </w:style>
  <w:style w:type="character" w:styleId="Hyperlink">
    <w:name w:val="Hyperlink"/>
    <w:basedOn w:val="DefaultParagraphFont"/>
    <w:uiPriority w:val="99"/>
    <w:unhideWhenUsed/>
    <w:rsid w:val="002826B7"/>
    <w:rPr>
      <w:color w:val="0000FF"/>
      <w:u w:val="single"/>
    </w:rPr>
  </w:style>
  <w:style w:type="paragraph" w:styleId="NormalWeb">
    <w:name w:val="Normal (Web)"/>
    <w:basedOn w:val="Normal"/>
    <w:uiPriority w:val="99"/>
    <w:semiHidden/>
    <w:unhideWhenUsed/>
    <w:rsid w:val="00756DE8"/>
    <w:pPr>
      <w:spacing w:before="100" w:beforeAutospacing="1" w:after="100" w:afterAutospacing="1" w:line="240" w:lineRule="auto"/>
      <w:jc w:val="left"/>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9625AE"/>
    <w:pPr>
      <w:ind w:left="720"/>
      <w:contextualSpacing/>
    </w:pPr>
  </w:style>
  <w:style w:type="character" w:styleId="Strong">
    <w:name w:val="Strong"/>
    <w:basedOn w:val="DefaultParagraphFont"/>
    <w:uiPriority w:val="22"/>
    <w:qFormat/>
    <w:rsid w:val="00282DB0"/>
    <w:rPr>
      <w:b/>
      <w:bCs/>
    </w:rPr>
  </w:style>
  <w:style w:type="character" w:styleId="UnresolvedMention">
    <w:name w:val="Unresolved Mention"/>
    <w:basedOn w:val="DefaultParagraphFont"/>
    <w:uiPriority w:val="99"/>
    <w:semiHidden/>
    <w:unhideWhenUsed/>
    <w:rsid w:val="00DE311C"/>
    <w:rPr>
      <w:color w:val="605E5C"/>
      <w:shd w:val="clear" w:color="auto" w:fill="E1DFDD"/>
    </w:rPr>
  </w:style>
  <w:style w:type="paragraph" w:styleId="Header">
    <w:name w:val="header"/>
    <w:basedOn w:val="Normal"/>
    <w:link w:val="HeaderChar"/>
    <w:uiPriority w:val="99"/>
    <w:unhideWhenUsed/>
    <w:rsid w:val="00E60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A58"/>
    <w:rPr>
      <w:rFonts w:cs="Shruti"/>
    </w:rPr>
  </w:style>
  <w:style w:type="paragraph" w:styleId="Footer">
    <w:name w:val="footer"/>
    <w:basedOn w:val="Normal"/>
    <w:link w:val="FooterChar"/>
    <w:uiPriority w:val="99"/>
    <w:unhideWhenUsed/>
    <w:rsid w:val="00E6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A58"/>
    <w:rPr>
      <w:rFonts w:cs="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1532">
      <w:bodyDiv w:val="1"/>
      <w:marLeft w:val="0"/>
      <w:marRight w:val="0"/>
      <w:marTop w:val="0"/>
      <w:marBottom w:val="0"/>
      <w:divBdr>
        <w:top w:val="none" w:sz="0" w:space="0" w:color="auto"/>
        <w:left w:val="none" w:sz="0" w:space="0" w:color="auto"/>
        <w:bottom w:val="none" w:sz="0" w:space="0" w:color="auto"/>
        <w:right w:val="none" w:sz="0" w:space="0" w:color="auto"/>
      </w:divBdr>
    </w:div>
    <w:div w:id="288896522">
      <w:bodyDiv w:val="1"/>
      <w:marLeft w:val="0"/>
      <w:marRight w:val="0"/>
      <w:marTop w:val="0"/>
      <w:marBottom w:val="0"/>
      <w:divBdr>
        <w:top w:val="none" w:sz="0" w:space="0" w:color="auto"/>
        <w:left w:val="none" w:sz="0" w:space="0" w:color="auto"/>
        <w:bottom w:val="none" w:sz="0" w:space="0" w:color="auto"/>
        <w:right w:val="none" w:sz="0" w:space="0" w:color="auto"/>
      </w:divBdr>
    </w:div>
    <w:div w:id="742292078">
      <w:bodyDiv w:val="1"/>
      <w:marLeft w:val="0"/>
      <w:marRight w:val="0"/>
      <w:marTop w:val="0"/>
      <w:marBottom w:val="0"/>
      <w:divBdr>
        <w:top w:val="none" w:sz="0" w:space="0" w:color="auto"/>
        <w:left w:val="none" w:sz="0" w:space="0" w:color="auto"/>
        <w:bottom w:val="none" w:sz="0" w:space="0" w:color="auto"/>
        <w:right w:val="none" w:sz="0" w:space="0" w:color="auto"/>
      </w:divBdr>
    </w:div>
    <w:div w:id="747113105">
      <w:bodyDiv w:val="1"/>
      <w:marLeft w:val="0"/>
      <w:marRight w:val="0"/>
      <w:marTop w:val="0"/>
      <w:marBottom w:val="0"/>
      <w:divBdr>
        <w:top w:val="none" w:sz="0" w:space="0" w:color="auto"/>
        <w:left w:val="none" w:sz="0" w:space="0" w:color="auto"/>
        <w:bottom w:val="none" w:sz="0" w:space="0" w:color="auto"/>
        <w:right w:val="none" w:sz="0" w:space="0" w:color="auto"/>
      </w:divBdr>
    </w:div>
    <w:div w:id="1106345118">
      <w:bodyDiv w:val="1"/>
      <w:marLeft w:val="0"/>
      <w:marRight w:val="0"/>
      <w:marTop w:val="0"/>
      <w:marBottom w:val="0"/>
      <w:divBdr>
        <w:top w:val="none" w:sz="0" w:space="0" w:color="auto"/>
        <w:left w:val="none" w:sz="0" w:space="0" w:color="auto"/>
        <w:bottom w:val="none" w:sz="0" w:space="0" w:color="auto"/>
        <w:right w:val="none" w:sz="0" w:space="0" w:color="auto"/>
      </w:divBdr>
    </w:div>
    <w:div w:id="1135758995">
      <w:bodyDiv w:val="1"/>
      <w:marLeft w:val="0"/>
      <w:marRight w:val="0"/>
      <w:marTop w:val="0"/>
      <w:marBottom w:val="0"/>
      <w:divBdr>
        <w:top w:val="none" w:sz="0" w:space="0" w:color="auto"/>
        <w:left w:val="none" w:sz="0" w:space="0" w:color="auto"/>
        <w:bottom w:val="none" w:sz="0" w:space="0" w:color="auto"/>
        <w:right w:val="none" w:sz="0" w:space="0" w:color="auto"/>
      </w:divBdr>
    </w:div>
    <w:div w:id="1327317007">
      <w:bodyDiv w:val="1"/>
      <w:marLeft w:val="0"/>
      <w:marRight w:val="0"/>
      <w:marTop w:val="0"/>
      <w:marBottom w:val="0"/>
      <w:divBdr>
        <w:top w:val="none" w:sz="0" w:space="0" w:color="auto"/>
        <w:left w:val="none" w:sz="0" w:space="0" w:color="auto"/>
        <w:bottom w:val="none" w:sz="0" w:space="0" w:color="auto"/>
        <w:right w:val="none" w:sz="0" w:space="0" w:color="auto"/>
      </w:divBdr>
    </w:div>
    <w:div w:id="166700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ag.gujarat.gov.in/Home/AreaProductionAndYiel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5075</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1180</cp:lastModifiedBy>
  <cp:revision>16</cp:revision>
  <dcterms:created xsi:type="dcterms:W3CDTF">2025-09-29T11:16:00Z</dcterms:created>
  <dcterms:modified xsi:type="dcterms:W3CDTF">2025-10-03T07:15:00Z</dcterms:modified>
</cp:coreProperties>
</file>