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D9C4FE" w14:textId="609D2B94" w:rsidR="000344A3" w:rsidRPr="000344A3" w:rsidRDefault="000344A3" w:rsidP="006C74F5">
      <w:pPr>
        <w:rPr>
          <w:rFonts w:ascii="Arial" w:hAnsi="Arial" w:cs="Arial"/>
          <w:b/>
          <w:bCs/>
          <w:sz w:val="24"/>
          <w:szCs w:val="24"/>
          <w:u w:val="single"/>
        </w:rPr>
      </w:pPr>
      <w:r w:rsidRPr="000344A3">
        <w:rPr>
          <w:rFonts w:ascii="Arial" w:hAnsi="Arial" w:cs="Arial"/>
          <w:b/>
          <w:bCs/>
          <w:sz w:val="24"/>
          <w:szCs w:val="24"/>
          <w:u w:val="single"/>
        </w:rPr>
        <w:t>Review Article</w:t>
      </w:r>
    </w:p>
    <w:p w14:paraId="10FA45F5" w14:textId="5F24ABA5" w:rsidR="006C74F5" w:rsidRDefault="006C74F5" w:rsidP="006C74F5">
      <w:pPr>
        <w:rPr>
          <w:rFonts w:ascii="Arial" w:hAnsi="Arial" w:cs="Arial"/>
          <w:b/>
          <w:bCs/>
          <w:sz w:val="24"/>
          <w:szCs w:val="24"/>
        </w:rPr>
      </w:pPr>
      <w:r w:rsidRPr="006C74F5">
        <w:rPr>
          <w:rFonts w:ascii="Arial" w:hAnsi="Arial" w:cs="Arial"/>
          <w:b/>
          <w:bCs/>
          <w:sz w:val="24"/>
          <w:szCs w:val="24"/>
        </w:rPr>
        <w:t xml:space="preserve">A REVIEW: AN EVALUATION OF AI IN PHARMACEUTICAL MEDICAL DEVICES USING NANOTECHNOLOGY AND NANOMATERIAL </w:t>
      </w:r>
    </w:p>
    <w:p w14:paraId="64A4E1D9" w14:textId="77777777" w:rsidR="006C74F5" w:rsidRDefault="006C74F5" w:rsidP="006418D5">
      <w:pPr>
        <w:jc w:val="center"/>
        <w:rPr>
          <w:rFonts w:ascii="Arial" w:hAnsi="Arial" w:cs="Arial"/>
          <w:b/>
          <w:bCs/>
          <w:sz w:val="24"/>
          <w:szCs w:val="24"/>
        </w:rPr>
      </w:pPr>
    </w:p>
    <w:p w14:paraId="03FF0237" w14:textId="462FA7CD" w:rsidR="003A2517" w:rsidRPr="003A2517" w:rsidRDefault="003A2517" w:rsidP="00F02456">
      <w:pPr>
        <w:jc w:val="both"/>
        <w:rPr>
          <w:rFonts w:ascii="Times New Roman" w:hAnsi="Times New Roman" w:cs="Times New Roman"/>
          <w:sz w:val="24"/>
          <w:szCs w:val="24"/>
        </w:rPr>
      </w:pPr>
    </w:p>
    <w:p w14:paraId="418E6CFC" w14:textId="77777777" w:rsidR="007E489A" w:rsidRPr="00802788" w:rsidRDefault="007E489A" w:rsidP="007E489A">
      <w:pPr>
        <w:jc w:val="both"/>
        <w:rPr>
          <w:rFonts w:ascii="Arial" w:hAnsi="Arial" w:cs="Arial"/>
          <w:b/>
          <w:bCs/>
        </w:rPr>
      </w:pPr>
      <w:r w:rsidRPr="00802788">
        <w:rPr>
          <w:rFonts w:ascii="Arial" w:hAnsi="Arial" w:cs="Arial"/>
          <w:b/>
          <w:bCs/>
        </w:rPr>
        <w:t>ABSTRACT:</w:t>
      </w:r>
    </w:p>
    <w:p w14:paraId="49BBE927" w14:textId="22A083B3" w:rsidR="003F104C" w:rsidRPr="00802788" w:rsidRDefault="00144317" w:rsidP="00144317">
      <w:pPr>
        <w:spacing w:line="360" w:lineRule="auto"/>
        <w:ind w:firstLine="720"/>
        <w:jc w:val="both"/>
        <w:rPr>
          <w:rFonts w:ascii="Arial" w:hAnsi="Arial" w:cs="Arial"/>
          <w:sz w:val="20"/>
          <w:szCs w:val="20"/>
        </w:rPr>
      </w:pPr>
      <w:r w:rsidRPr="00802788">
        <w:rPr>
          <w:rFonts w:ascii="Arial" w:hAnsi="Arial" w:cs="Arial"/>
          <w:sz w:val="20"/>
          <w:szCs w:val="20"/>
        </w:rPr>
        <w:t xml:space="preserve">The combination of Artificial Intelligence (AI) and nanotechnology is transforming the development of modern pharmaceutical and medical devices. This review explains how nanomaterials—because of their small size, high surface area, and strong interaction with biological systems—improve the performance, sensitivity, and safety of these devices. AI supports this progress by predicting nanomaterial </w:t>
      </w:r>
      <w:proofErr w:type="spellStart"/>
      <w:r w:rsidRPr="00802788">
        <w:rPr>
          <w:rFonts w:ascii="Arial" w:hAnsi="Arial" w:cs="Arial"/>
          <w:sz w:val="20"/>
          <w:szCs w:val="20"/>
        </w:rPr>
        <w:t>behavior</w:t>
      </w:r>
      <w:proofErr w:type="spellEnd"/>
      <w:r w:rsidRPr="00802788">
        <w:rPr>
          <w:rFonts w:ascii="Arial" w:hAnsi="Arial" w:cs="Arial"/>
          <w:sz w:val="20"/>
          <w:szCs w:val="20"/>
        </w:rPr>
        <w:t>, designing better drug delivery systems, and improving imaging accuracy through data model</w:t>
      </w:r>
      <w:r w:rsidR="000150BA" w:rsidRPr="00802788">
        <w:rPr>
          <w:rFonts w:ascii="Arial" w:hAnsi="Arial" w:cs="Arial"/>
          <w:sz w:val="20"/>
          <w:szCs w:val="20"/>
        </w:rPr>
        <w:t>l</w:t>
      </w:r>
      <w:r w:rsidRPr="00802788">
        <w:rPr>
          <w:rFonts w:ascii="Arial" w:hAnsi="Arial" w:cs="Arial"/>
          <w:sz w:val="20"/>
          <w:szCs w:val="20"/>
        </w:rPr>
        <w:t>ing. Nanomaterial-based flexible sensors enable advanced wearable devices and virtual or augmented reality applications for continuous health monitoring. Nanocarriers and nanoparticles allow precise and targeted drug delivery, helping to treat diseases such as eye and kidney disorders more effectively. The study also highlights the growing importance of nanotoxicology research to ensure biocompatibility and minimize safety risks. Furthermore, AI-driven databases and predictive tools are now being used to speed up regulatory evaluations and product approval. Together, AI and nanotechnology represent a major step toward intelligent, adaptive, and patient-focused healthcare devices that provide safer and more personalized treatment options for the future</w:t>
      </w:r>
    </w:p>
    <w:p w14:paraId="524094EA" w14:textId="249BC7A2" w:rsidR="00386573" w:rsidRPr="00802788" w:rsidRDefault="007E489A" w:rsidP="000150BA">
      <w:pPr>
        <w:spacing w:line="360" w:lineRule="auto"/>
        <w:ind w:firstLine="720"/>
        <w:jc w:val="both"/>
        <w:rPr>
          <w:rFonts w:ascii="Arial" w:hAnsi="Arial" w:cs="Arial"/>
          <w:sz w:val="20"/>
          <w:szCs w:val="20"/>
        </w:rPr>
      </w:pPr>
      <w:r w:rsidRPr="00802788">
        <w:rPr>
          <w:rFonts w:ascii="Arial" w:hAnsi="Arial" w:cs="Arial"/>
          <w:b/>
          <w:bCs/>
          <w:sz w:val="20"/>
          <w:szCs w:val="20"/>
        </w:rPr>
        <w:t>KEY WORDS:</w:t>
      </w:r>
      <w:r w:rsidRPr="00802788">
        <w:rPr>
          <w:rFonts w:ascii="Arial" w:hAnsi="Arial" w:cs="Arial"/>
          <w:sz w:val="20"/>
          <w:szCs w:val="20"/>
        </w:rPr>
        <w:t xml:space="preserve"> </w:t>
      </w:r>
      <w:r w:rsidR="00A23BC6" w:rsidRPr="00802788">
        <w:rPr>
          <w:rFonts w:ascii="Arial" w:hAnsi="Arial" w:cs="Arial"/>
          <w:sz w:val="20"/>
          <w:szCs w:val="20"/>
        </w:rPr>
        <w:t xml:space="preserve">Articles </w:t>
      </w:r>
      <w:r w:rsidRPr="00802788">
        <w:rPr>
          <w:rFonts w:ascii="Arial" w:hAnsi="Arial" w:cs="Arial"/>
          <w:sz w:val="20"/>
          <w:szCs w:val="20"/>
        </w:rPr>
        <w:t>on nanomaterials, AI in biomedicine, flexible sensors, drug delivery, nanotoxicology, and regulatory science</w:t>
      </w:r>
      <w:r w:rsidR="00EC4D8F" w:rsidRPr="00802788">
        <w:rPr>
          <w:rFonts w:ascii="Arial" w:hAnsi="Arial" w:cs="Arial"/>
          <w:sz w:val="20"/>
          <w:szCs w:val="20"/>
        </w:rPr>
        <w:t>.</w:t>
      </w:r>
    </w:p>
    <w:p w14:paraId="2DD019D6" w14:textId="77777777" w:rsidR="00EC4D8F" w:rsidRDefault="00EC4D8F" w:rsidP="000150BA">
      <w:pPr>
        <w:spacing w:line="360" w:lineRule="auto"/>
        <w:ind w:firstLine="720"/>
        <w:jc w:val="both"/>
        <w:rPr>
          <w:rFonts w:ascii="Times New Roman" w:hAnsi="Times New Roman" w:cs="Times New Roman"/>
          <w:sz w:val="24"/>
          <w:szCs w:val="24"/>
        </w:rPr>
      </w:pPr>
    </w:p>
    <w:p w14:paraId="7E1FD578" w14:textId="77777777" w:rsidR="00D32A53" w:rsidRDefault="00D32A53" w:rsidP="000150BA">
      <w:pPr>
        <w:spacing w:line="360" w:lineRule="auto"/>
        <w:ind w:firstLine="720"/>
        <w:jc w:val="both"/>
        <w:rPr>
          <w:rFonts w:ascii="Times New Roman" w:hAnsi="Times New Roman" w:cs="Times New Roman"/>
          <w:sz w:val="24"/>
          <w:szCs w:val="24"/>
        </w:rPr>
      </w:pPr>
    </w:p>
    <w:p w14:paraId="7EF3E69D" w14:textId="77777777" w:rsidR="00D32A53" w:rsidRPr="00386573" w:rsidRDefault="00D32A53" w:rsidP="000150BA">
      <w:pPr>
        <w:spacing w:line="360" w:lineRule="auto"/>
        <w:ind w:firstLine="720"/>
        <w:jc w:val="both"/>
        <w:rPr>
          <w:rFonts w:ascii="Times New Roman" w:hAnsi="Times New Roman" w:cs="Times New Roman"/>
          <w:sz w:val="24"/>
          <w:szCs w:val="24"/>
        </w:rPr>
      </w:pPr>
    </w:p>
    <w:p w14:paraId="77624C79" w14:textId="77777777" w:rsidR="00CC14D4" w:rsidRPr="00802788" w:rsidRDefault="00CC14D4" w:rsidP="006F764B">
      <w:pPr>
        <w:pStyle w:val="ListParagraph"/>
        <w:numPr>
          <w:ilvl w:val="0"/>
          <w:numId w:val="15"/>
        </w:numPr>
        <w:spacing w:line="360" w:lineRule="auto"/>
        <w:ind w:left="-284" w:firstLine="0"/>
        <w:jc w:val="both"/>
        <w:rPr>
          <w:rFonts w:ascii="Arial" w:hAnsi="Arial" w:cs="Arial"/>
          <w:b/>
          <w:bCs/>
        </w:rPr>
      </w:pPr>
      <w:r w:rsidRPr="00802788">
        <w:rPr>
          <w:rFonts w:ascii="Arial" w:hAnsi="Arial" w:cs="Arial"/>
          <w:b/>
          <w:bCs/>
        </w:rPr>
        <w:t>INTRODUCTION:</w:t>
      </w:r>
    </w:p>
    <w:p w14:paraId="111CA849" w14:textId="10B3E1BD" w:rsidR="00CC14D4" w:rsidRPr="00802788" w:rsidRDefault="00C92496" w:rsidP="009624DD">
      <w:pPr>
        <w:spacing w:line="360" w:lineRule="auto"/>
        <w:ind w:left="-284" w:firstLine="426"/>
        <w:jc w:val="both"/>
        <w:rPr>
          <w:rFonts w:ascii="Arial" w:hAnsi="Arial" w:cs="Arial"/>
          <w:sz w:val="20"/>
          <w:szCs w:val="20"/>
        </w:rPr>
      </w:pPr>
      <w:r w:rsidRPr="00802788">
        <w:rPr>
          <w:rFonts w:ascii="Arial" w:hAnsi="Arial" w:cs="Arial"/>
          <w:sz w:val="20"/>
          <w:szCs w:val="20"/>
        </w:rPr>
        <w:t xml:space="preserve">Materials used in or produced using medical devices that combine nanomaterials and nanotechnology range into the nanoscale spectrum (about 1 nm to 100 nm) or exhibit characteristics or phenomena that rely on their size.  Nanomaterials have a broader range of possible uses in medical devices than standard materials due to their improved nanoscale effects.  Medical device engineering principles incorporating nanoparticles include structural modifications, immunoregulation, and cellular </w:t>
      </w:r>
      <w:proofErr w:type="spellStart"/>
      <w:r w:rsidRPr="00802788">
        <w:rPr>
          <w:rFonts w:ascii="Arial" w:hAnsi="Arial" w:cs="Arial"/>
          <w:sz w:val="20"/>
          <w:szCs w:val="20"/>
        </w:rPr>
        <w:t>behavior</w:t>
      </w:r>
      <w:proofErr w:type="spellEnd"/>
      <w:r w:rsidRPr="00802788">
        <w:rPr>
          <w:rFonts w:ascii="Arial" w:hAnsi="Arial" w:cs="Arial"/>
          <w:sz w:val="20"/>
          <w:szCs w:val="20"/>
        </w:rPr>
        <w:t xml:space="preserve"> modification.  These concepts are demonstrated by enhanced biocompatibility and mechanical qualities, quicker tissue regeneration and healing, and novel features for medical devices, like scalability and interactive interfaces in flexible wearables.</w:t>
      </w:r>
      <w:r w:rsidR="00CC14D4" w:rsidRPr="00802788">
        <w:rPr>
          <w:rFonts w:ascii="Arial" w:hAnsi="Arial" w:cs="Arial"/>
          <w:sz w:val="20"/>
          <w:szCs w:val="20"/>
        </w:rPr>
        <w:t xml:space="preserve"> </w:t>
      </w:r>
      <w:r w:rsidR="009624DD" w:rsidRPr="00802788">
        <w:rPr>
          <w:rFonts w:ascii="Arial" w:hAnsi="Arial" w:cs="Arial"/>
          <w:sz w:val="20"/>
          <w:szCs w:val="20"/>
        </w:rPr>
        <w:t xml:space="preserve">There are now two challenges in managing medical devices that use nanomaterials. On the one hand, authorities and organizations are required to provide accurate risk assessments and regulatory paths; only the European Union (EU) and NMPA are offering comprehensive regulatory guidelines. We give an overview of the ways that nanotechnology and nanomaterials are used in a number of clinically used medical devices in accordance with the current regulatory </w:t>
      </w:r>
      <w:r w:rsidR="009624DD" w:rsidRPr="00802788">
        <w:rPr>
          <w:rFonts w:ascii="Arial" w:hAnsi="Arial" w:cs="Arial"/>
          <w:sz w:val="20"/>
          <w:szCs w:val="20"/>
        </w:rPr>
        <w:lastRenderedPageBreak/>
        <w:t xml:space="preserve">framework. We concentrate on the regulatory requirements for these devices since clinical translation must follow these rules </w:t>
      </w:r>
      <w:r w:rsidR="00CC14D4" w:rsidRPr="00802788">
        <w:rPr>
          <w:rFonts w:ascii="Arial" w:hAnsi="Arial" w:cs="Arial"/>
          <w:sz w:val="20"/>
          <w:szCs w:val="20"/>
          <w:vertAlign w:val="superscript"/>
        </w:rPr>
        <w:t>[1]</w:t>
      </w:r>
      <w:r w:rsidR="00CC14D4" w:rsidRPr="00802788">
        <w:rPr>
          <w:rFonts w:ascii="Arial" w:hAnsi="Arial" w:cs="Arial"/>
          <w:sz w:val="20"/>
          <w:szCs w:val="20"/>
        </w:rPr>
        <w:t>.</w:t>
      </w:r>
    </w:p>
    <w:p w14:paraId="1370A268" w14:textId="77777777" w:rsidR="00CC14D4" w:rsidRDefault="00CC14D4" w:rsidP="00CC14D4">
      <w:pPr>
        <w:spacing w:line="360" w:lineRule="auto"/>
        <w:ind w:right="-755" w:hanging="85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8F8A836" wp14:editId="5659FE7A">
            <wp:extent cx="5327073" cy="3057089"/>
            <wp:effectExtent l="0" t="0" r="6985" b="0"/>
            <wp:docPr id="1866813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813949" name="Picture 1866813949"/>
                    <pic:cNvPicPr/>
                  </pic:nvPicPr>
                  <pic:blipFill>
                    <a:blip r:embed="rId8">
                      <a:extLst>
                        <a:ext uri="{28A0092B-C50C-407E-A947-70E740481C1C}">
                          <a14:useLocalDpi xmlns:a14="http://schemas.microsoft.com/office/drawing/2010/main" val="0"/>
                        </a:ext>
                      </a:extLst>
                    </a:blip>
                    <a:stretch>
                      <a:fillRect/>
                    </a:stretch>
                  </pic:blipFill>
                  <pic:spPr>
                    <a:xfrm>
                      <a:off x="0" y="0"/>
                      <a:ext cx="5426465" cy="3114128"/>
                    </a:xfrm>
                    <a:prstGeom prst="rect">
                      <a:avLst/>
                    </a:prstGeom>
                  </pic:spPr>
                </pic:pic>
              </a:graphicData>
            </a:graphic>
          </wp:inline>
        </w:drawing>
      </w:r>
    </w:p>
    <w:p w14:paraId="631337DC" w14:textId="6D4CEDA8" w:rsidR="00CC14D4" w:rsidRPr="00570690" w:rsidRDefault="00CC14D4" w:rsidP="00CC14D4">
      <w:pPr>
        <w:spacing w:line="360" w:lineRule="auto"/>
        <w:jc w:val="center"/>
        <w:rPr>
          <w:rFonts w:ascii="Arial" w:hAnsi="Arial" w:cs="Arial"/>
          <w:sz w:val="20"/>
          <w:szCs w:val="20"/>
        </w:rPr>
      </w:pPr>
      <w:r w:rsidRPr="00570690">
        <w:rPr>
          <w:rFonts w:ascii="Arial" w:hAnsi="Arial" w:cs="Arial"/>
          <w:b/>
          <w:bCs/>
          <w:sz w:val="20"/>
          <w:szCs w:val="20"/>
        </w:rPr>
        <w:t>Fig. 1.</w:t>
      </w:r>
      <w:r w:rsidRPr="00570690">
        <w:rPr>
          <w:rFonts w:ascii="Arial" w:hAnsi="Arial" w:cs="Arial"/>
          <w:sz w:val="20"/>
          <w:szCs w:val="20"/>
        </w:rPr>
        <w:t xml:space="preserve"> </w:t>
      </w:r>
      <w:r w:rsidRPr="00570690">
        <w:rPr>
          <w:rFonts w:ascii="Arial" w:hAnsi="Arial" w:cs="Arial"/>
          <w:b/>
          <w:bCs/>
          <w:sz w:val="20"/>
          <w:szCs w:val="20"/>
        </w:rPr>
        <w:t>Worldwide perspective on the regulatory scientific timeframe for medical devices that incorporate nanomaterials and nanotechnology</w:t>
      </w:r>
      <w:r w:rsidR="002440B0" w:rsidRPr="00570690">
        <w:rPr>
          <w:rFonts w:ascii="Arial" w:hAnsi="Arial" w:cs="Arial"/>
          <w:b/>
          <w:bCs/>
          <w:sz w:val="20"/>
          <w:szCs w:val="20"/>
        </w:rPr>
        <w:t xml:space="preserve"> </w:t>
      </w:r>
      <w:r w:rsidRPr="00570690">
        <w:rPr>
          <w:rFonts w:ascii="Arial" w:hAnsi="Arial" w:cs="Arial"/>
          <w:b/>
          <w:bCs/>
          <w:sz w:val="20"/>
          <w:szCs w:val="20"/>
          <w:vertAlign w:val="superscript"/>
        </w:rPr>
        <w:t>[1].</w:t>
      </w:r>
    </w:p>
    <w:p w14:paraId="7352E915" w14:textId="2BFF398E" w:rsidR="00CC14D4" w:rsidRPr="00570690" w:rsidRDefault="00BF01A2" w:rsidP="00BF01A2">
      <w:pPr>
        <w:spacing w:line="360" w:lineRule="auto"/>
        <w:ind w:left="-284" w:firstLine="426"/>
        <w:jc w:val="both"/>
        <w:rPr>
          <w:rFonts w:ascii="Arial" w:hAnsi="Arial" w:cs="Arial"/>
          <w:sz w:val="20"/>
          <w:szCs w:val="20"/>
        </w:rPr>
      </w:pPr>
      <w:r w:rsidRPr="00570690">
        <w:rPr>
          <w:rFonts w:ascii="Arial" w:hAnsi="Arial" w:cs="Arial"/>
          <w:sz w:val="20"/>
          <w:szCs w:val="20"/>
        </w:rPr>
        <w:t>Because of their purported antibacterial and therapeutic qualities, nanomaterials—particularly metals like silver and gold—have been used since ancient times. Furthermore, the use of nanotechnology in healthcare goes beyond just the distribution of drugs and antimicrobials. Recent studies into the creation of diagnostic tools and nanoscale biosensors that could identify harmful alterations at extremely early stages have the potential to revolutionize the field of disease prevention and control</w:t>
      </w:r>
      <w:r w:rsidR="000150BA" w:rsidRPr="00570690">
        <w:rPr>
          <w:rFonts w:ascii="Arial" w:hAnsi="Arial" w:cs="Arial"/>
          <w:sz w:val="20"/>
          <w:szCs w:val="20"/>
        </w:rPr>
        <w:t xml:space="preserve"> </w:t>
      </w:r>
      <w:r w:rsidR="00CC14D4" w:rsidRPr="00570690">
        <w:rPr>
          <w:rFonts w:ascii="Arial" w:hAnsi="Arial" w:cs="Arial"/>
          <w:sz w:val="20"/>
          <w:szCs w:val="20"/>
          <w:vertAlign w:val="superscript"/>
        </w:rPr>
        <w:t>[2-3]</w:t>
      </w:r>
      <w:r w:rsidR="00CC14D4" w:rsidRPr="00570690">
        <w:rPr>
          <w:rFonts w:ascii="Arial" w:hAnsi="Arial" w:cs="Arial"/>
          <w:sz w:val="20"/>
          <w:szCs w:val="20"/>
        </w:rPr>
        <w:t>.</w:t>
      </w:r>
    </w:p>
    <w:p w14:paraId="4EC4B5A0" w14:textId="61418297" w:rsidR="00CC14D4" w:rsidRPr="00570690" w:rsidRDefault="00A84CD9" w:rsidP="00A84CD9">
      <w:pPr>
        <w:spacing w:line="360" w:lineRule="auto"/>
        <w:ind w:left="-284" w:firstLine="426"/>
        <w:jc w:val="both"/>
        <w:rPr>
          <w:rFonts w:ascii="Arial" w:hAnsi="Arial" w:cs="Arial"/>
          <w:sz w:val="20"/>
          <w:szCs w:val="20"/>
        </w:rPr>
      </w:pPr>
      <w:r w:rsidRPr="00570690">
        <w:rPr>
          <w:rFonts w:ascii="Arial" w:hAnsi="Arial" w:cs="Arial"/>
          <w:sz w:val="20"/>
          <w:szCs w:val="20"/>
        </w:rPr>
        <w:t xml:space="preserve">Cell migration into porous biomaterial frameworks with bioactive inner surfaces is essential for tissue engineering, tumour metastasis, and in situ tissue formation. Although several strategies have been proposed to enhance cell adhesion and associated elements, comparatively little is known about how to encourage cell migration at the nanoscale. The spider's tiered self-assembled structure during fibre spinning is what gives spider silk its remarkable strength and durability. In order to create ultra-thin nanofibrils in polyelectrolyte synthetic spider silk, this research improves the flexibility of polymer chains. To control polymer chain separation and evaporation-induced self-assembly under external stress, ions are added. Furthermore, due of the temperature, the synthetic spider silk has the capacity to super constrict. It displays the arrangement of fibre materials with excellent functionality </w:t>
      </w:r>
      <w:r w:rsidR="00CC14D4" w:rsidRPr="00570690">
        <w:rPr>
          <w:rFonts w:ascii="Arial" w:hAnsi="Arial" w:cs="Arial"/>
          <w:sz w:val="20"/>
          <w:szCs w:val="20"/>
          <w:vertAlign w:val="superscript"/>
        </w:rPr>
        <w:t>[4-5]</w:t>
      </w:r>
      <w:r w:rsidR="00CC14D4" w:rsidRPr="00570690">
        <w:rPr>
          <w:rFonts w:ascii="Arial" w:hAnsi="Arial" w:cs="Arial"/>
          <w:sz w:val="20"/>
          <w:szCs w:val="20"/>
        </w:rPr>
        <w:t xml:space="preserve">. </w:t>
      </w:r>
    </w:p>
    <w:p w14:paraId="6B78A3A6" w14:textId="77777777" w:rsidR="00CC14D4" w:rsidRPr="00570690" w:rsidRDefault="00CC14D4" w:rsidP="00CC14D4">
      <w:pPr>
        <w:spacing w:line="360" w:lineRule="auto"/>
        <w:ind w:left="-567"/>
        <w:jc w:val="both"/>
        <w:rPr>
          <w:rFonts w:ascii="Arial" w:hAnsi="Arial" w:cs="Arial"/>
          <w:b/>
          <w:bCs/>
        </w:rPr>
      </w:pPr>
      <w:r w:rsidRPr="00570690">
        <w:rPr>
          <w:rFonts w:ascii="Arial" w:hAnsi="Arial" w:cs="Arial"/>
          <w:b/>
          <w:bCs/>
        </w:rPr>
        <w:t xml:space="preserve">2. NANOTECHNOLOGY </w:t>
      </w:r>
      <w:r w:rsidRPr="00570690">
        <w:rPr>
          <w:rFonts w:ascii="Arial" w:hAnsi="Arial" w:cs="Arial"/>
          <w:b/>
          <w:bCs/>
          <w:vertAlign w:val="superscript"/>
        </w:rPr>
        <w:t>[6]</w:t>
      </w:r>
      <w:r w:rsidRPr="00570690">
        <w:rPr>
          <w:rFonts w:ascii="Arial" w:hAnsi="Arial" w:cs="Arial"/>
          <w:b/>
          <w:bCs/>
        </w:rPr>
        <w:t>:</w:t>
      </w:r>
    </w:p>
    <w:p w14:paraId="3F4C0ECC" w14:textId="7CBCA860" w:rsidR="00417F12" w:rsidRPr="00570690" w:rsidRDefault="00417F12" w:rsidP="00417F12">
      <w:pPr>
        <w:spacing w:line="360" w:lineRule="auto"/>
        <w:ind w:left="-284" w:firstLine="426"/>
        <w:jc w:val="both"/>
        <w:rPr>
          <w:rFonts w:ascii="Arial" w:hAnsi="Arial" w:cs="Arial"/>
          <w:sz w:val="20"/>
          <w:szCs w:val="20"/>
        </w:rPr>
      </w:pPr>
      <w:r w:rsidRPr="00570690">
        <w:rPr>
          <w:rFonts w:ascii="Arial" w:hAnsi="Arial" w:cs="Arial"/>
          <w:sz w:val="20"/>
          <w:szCs w:val="20"/>
        </w:rPr>
        <w:t xml:space="preserve">Various methods for accurately detecting and modifying substances at the atomic and molecular level are included in the multidisciplinary field of nanotechnology. Through the prediction of material properties and behaviours and the control of necessary experimental energy, artificial intelligence (AI) has the potential to advance nanotechnology. Researchers are using AI systems to investigate nanoparticle configuration and </w:t>
      </w:r>
      <w:r w:rsidRPr="00570690">
        <w:rPr>
          <w:rFonts w:ascii="Arial" w:hAnsi="Arial" w:cs="Arial"/>
          <w:sz w:val="20"/>
          <w:szCs w:val="20"/>
        </w:rPr>
        <w:lastRenderedPageBreak/>
        <w:t>biomolecule influence in order to address preprocessing issues related to AI used in cancer cell segmentation, which requires specific image contrast approaches for optimal identification. The development of more focused and efficient image contrast agents is the result of this.</w:t>
      </w:r>
    </w:p>
    <w:p w14:paraId="7A1D098D" w14:textId="444906BB" w:rsidR="00417F12" w:rsidRPr="00570690" w:rsidRDefault="00417F12" w:rsidP="00417F12">
      <w:pPr>
        <w:spacing w:line="360" w:lineRule="auto"/>
        <w:ind w:left="-284" w:firstLine="426"/>
        <w:jc w:val="both"/>
        <w:rPr>
          <w:rFonts w:ascii="Arial" w:hAnsi="Arial" w:cs="Arial"/>
          <w:sz w:val="20"/>
          <w:szCs w:val="20"/>
        </w:rPr>
      </w:pPr>
      <w:r w:rsidRPr="00570690">
        <w:rPr>
          <w:rFonts w:ascii="Arial" w:hAnsi="Arial" w:cs="Arial"/>
          <w:sz w:val="20"/>
          <w:szCs w:val="20"/>
        </w:rPr>
        <w:t xml:space="preserve">In theory, a new high-level contrast might be produced via scanning transmission electron microscopy by Imaging mostly depends on phase contrast detection, which can be accomplished in a single AI simulation application by combining deep learning-based AI methods with a traditional physical model approach. By merging AI with electron microscopy, the relationship between nanoparticles and cells may be better understood. According to recent hybrid research, artificial intelligence (AI) may be used to predict surface interface-environment interactions of any nanomaterial, allowing for the control of these complex dynamic biological properties. AI-driven techniques are also available for forecasting the body's unpredictable reaction to nanoparticles, in addition to monitoring the equilibrium binding constant, which is impacted by surface charge and encapsulation, and the residence time—a crucial component for forecasting the </w:t>
      </w:r>
      <w:proofErr w:type="spellStart"/>
      <w:r w:rsidRPr="00570690">
        <w:rPr>
          <w:rFonts w:ascii="Arial" w:hAnsi="Arial" w:cs="Arial"/>
          <w:sz w:val="20"/>
          <w:szCs w:val="20"/>
        </w:rPr>
        <w:t>behavior</w:t>
      </w:r>
      <w:proofErr w:type="spellEnd"/>
      <w:r w:rsidRPr="00570690">
        <w:rPr>
          <w:rFonts w:ascii="Arial" w:hAnsi="Arial" w:cs="Arial"/>
          <w:sz w:val="20"/>
          <w:szCs w:val="20"/>
        </w:rPr>
        <w:t xml:space="preserve"> of nanomaterials within the human body.</w:t>
      </w:r>
    </w:p>
    <w:p w14:paraId="05F143E9" w14:textId="618C6891" w:rsidR="00CC14D4" w:rsidRPr="005A6DD5" w:rsidRDefault="005A6DD5" w:rsidP="005A6DD5">
      <w:pPr>
        <w:spacing w:line="360" w:lineRule="auto"/>
        <w:ind w:left="720"/>
        <w:rPr>
          <w:rFonts w:ascii="Times New Roman" w:hAnsi="Times New Roman" w:cs="Times New Roman"/>
          <w:sz w:val="24"/>
          <w:szCs w:val="24"/>
        </w:rPr>
      </w:pPr>
      <w:r>
        <w:rPr>
          <w:rFonts w:ascii="Times New Roman" w:hAnsi="Times New Roman" w:cs="Times New Roman"/>
          <w:sz w:val="24"/>
          <w:szCs w:val="24"/>
        </w:rPr>
        <w:t xml:space="preserve">      </w:t>
      </w:r>
      <w:r w:rsidR="00CC14D4">
        <w:rPr>
          <w:rFonts w:ascii="Times New Roman" w:hAnsi="Times New Roman" w:cs="Times New Roman"/>
          <w:noProof/>
          <w:sz w:val="24"/>
          <w:szCs w:val="24"/>
        </w:rPr>
        <w:drawing>
          <wp:inline distT="0" distB="0" distL="0" distR="0" wp14:anchorId="55846683" wp14:editId="504BA607">
            <wp:extent cx="4206240" cy="1621616"/>
            <wp:effectExtent l="0" t="0" r="3810" b="0"/>
            <wp:docPr id="1993772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772614" name="Picture 1993772614"/>
                    <pic:cNvPicPr/>
                  </pic:nvPicPr>
                  <pic:blipFill>
                    <a:blip r:embed="rId9">
                      <a:extLst>
                        <a:ext uri="{28A0092B-C50C-407E-A947-70E740481C1C}">
                          <a14:useLocalDpi xmlns:a14="http://schemas.microsoft.com/office/drawing/2010/main" val="0"/>
                        </a:ext>
                      </a:extLst>
                    </a:blip>
                    <a:stretch>
                      <a:fillRect/>
                    </a:stretch>
                  </pic:blipFill>
                  <pic:spPr>
                    <a:xfrm>
                      <a:off x="0" y="0"/>
                      <a:ext cx="4220349" cy="1627056"/>
                    </a:xfrm>
                    <a:prstGeom prst="rect">
                      <a:avLst/>
                    </a:prstGeom>
                  </pic:spPr>
                </pic:pic>
              </a:graphicData>
            </a:graphic>
          </wp:inline>
        </w:drawing>
      </w:r>
    </w:p>
    <w:p w14:paraId="13C70575" w14:textId="77777777" w:rsidR="00CC14D4" w:rsidRDefault="00CC14D4" w:rsidP="00CC14D4">
      <w:pPr>
        <w:spacing w:line="360" w:lineRule="auto"/>
        <w:jc w:val="center"/>
        <w:rPr>
          <w:rFonts w:ascii="Times New Roman" w:hAnsi="Times New Roman" w:cs="Times New Roman"/>
          <w:b/>
          <w:bCs/>
          <w:sz w:val="24"/>
          <w:szCs w:val="24"/>
          <w:vertAlign w:val="superscript"/>
        </w:rPr>
      </w:pPr>
      <w:r w:rsidRPr="00E55BA3">
        <w:rPr>
          <w:rFonts w:ascii="Times New Roman" w:hAnsi="Times New Roman" w:cs="Times New Roman"/>
          <w:b/>
          <w:bCs/>
          <w:sz w:val="24"/>
          <w:szCs w:val="24"/>
        </w:rPr>
        <w:t xml:space="preserve">Fig no: </w:t>
      </w:r>
      <w:r>
        <w:rPr>
          <w:rFonts w:ascii="Times New Roman" w:hAnsi="Times New Roman" w:cs="Times New Roman"/>
          <w:b/>
          <w:bCs/>
          <w:sz w:val="24"/>
          <w:szCs w:val="24"/>
        </w:rPr>
        <w:t>2</w:t>
      </w:r>
      <w:r w:rsidRPr="00E55BA3">
        <w:rPr>
          <w:rFonts w:ascii="Times New Roman" w:hAnsi="Times New Roman" w:cs="Times New Roman"/>
          <w:b/>
          <w:bCs/>
          <w:sz w:val="24"/>
          <w:szCs w:val="24"/>
        </w:rPr>
        <w:t>- Vast fields in nanotechnology</w:t>
      </w:r>
      <w:r>
        <w:rPr>
          <w:rFonts w:ascii="Times New Roman" w:hAnsi="Times New Roman" w:cs="Times New Roman"/>
          <w:b/>
          <w:bCs/>
          <w:sz w:val="24"/>
          <w:szCs w:val="24"/>
        </w:rPr>
        <w:t xml:space="preserve"> </w:t>
      </w:r>
      <w:r>
        <w:rPr>
          <w:rFonts w:ascii="Times New Roman" w:hAnsi="Times New Roman" w:cs="Times New Roman"/>
          <w:b/>
          <w:bCs/>
          <w:sz w:val="24"/>
          <w:szCs w:val="24"/>
          <w:vertAlign w:val="superscript"/>
        </w:rPr>
        <w:t>[6]</w:t>
      </w:r>
    </w:p>
    <w:p w14:paraId="55291BBD" w14:textId="77777777" w:rsidR="00CC14D4" w:rsidRPr="00570690" w:rsidRDefault="00CC14D4" w:rsidP="00CC14D4">
      <w:pPr>
        <w:spacing w:line="360" w:lineRule="auto"/>
        <w:ind w:left="-426"/>
        <w:jc w:val="both"/>
        <w:rPr>
          <w:rFonts w:ascii="Arial" w:hAnsi="Arial" w:cs="Arial"/>
          <w:b/>
          <w:bCs/>
        </w:rPr>
      </w:pPr>
      <w:r w:rsidRPr="00570690">
        <w:rPr>
          <w:rFonts w:ascii="Arial" w:hAnsi="Arial" w:cs="Arial"/>
          <w:b/>
          <w:bCs/>
        </w:rPr>
        <w:t>3. NANOMATERIAL:</w:t>
      </w:r>
    </w:p>
    <w:p w14:paraId="1A112453" w14:textId="77777777" w:rsidR="00D32A53" w:rsidRDefault="00A3257E" w:rsidP="00E9365C">
      <w:pPr>
        <w:spacing w:line="360" w:lineRule="auto"/>
        <w:ind w:left="-284"/>
        <w:jc w:val="both"/>
        <w:rPr>
          <w:rFonts w:ascii="Arial" w:hAnsi="Arial" w:cs="Arial"/>
          <w:sz w:val="20"/>
          <w:szCs w:val="20"/>
        </w:rPr>
      </w:pPr>
      <w:r w:rsidRPr="00570690">
        <w:rPr>
          <w:rFonts w:ascii="Arial" w:hAnsi="Arial" w:cs="Arial"/>
          <w:sz w:val="20"/>
          <w:szCs w:val="20"/>
        </w:rPr>
        <w:t>Nanomaterials or nano-enhanced goods have flourished in the last few decades and are widely used in a variety of industries, including medical, industry, energy, aerospace, and agriculture. The toxicity of nanoparticles to a wide range of animals, including people and environmental species, remains a major concern despite the fact</w:t>
      </w:r>
    </w:p>
    <w:p w14:paraId="251A1161" w14:textId="3C22B1F0" w:rsidR="00CC14D4" w:rsidRPr="00570690" w:rsidRDefault="00A3257E" w:rsidP="00E9365C">
      <w:pPr>
        <w:spacing w:line="360" w:lineRule="auto"/>
        <w:ind w:left="-284"/>
        <w:jc w:val="both"/>
        <w:rPr>
          <w:rFonts w:ascii="Arial" w:hAnsi="Arial" w:cs="Arial"/>
          <w:sz w:val="20"/>
          <w:szCs w:val="20"/>
        </w:rPr>
      </w:pPr>
      <w:r w:rsidRPr="00570690">
        <w:rPr>
          <w:rFonts w:ascii="Arial" w:hAnsi="Arial" w:cs="Arial"/>
          <w:sz w:val="20"/>
          <w:szCs w:val="20"/>
        </w:rPr>
        <w:t xml:space="preserve">that nanotechnology has greatly benefited humanity. Any material with at least one dimension smaller than 1000 nm is considered a nanomaterial, according to the FDA, and an object with all three exterior dimensions falling between 1 and 100 nm is considered a nanoparticle </w:t>
      </w:r>
      <w:r w:rsidRPr="00570690">
        <w:rPr>
          <w:rFonts w:ascii="Arial" w:hAnsi="Arial" w:cs="Arial"/>
          <w:sz w:val="20"/>
          <w:szCs w:val="20"/>
          <w:vertAlign w:val="superscript"/>
        </w:rPr>
        <w:t>[7-8]</w:t>
      </w:r>
      <w:r w:rsidR="00BB1666" w:rsidRPr="00570690">
        <w:rPr>
          <w:rFonts w:ascii="Arial" w:hAnsi="Arial" w:cs="Arial"/>
          <w:sz w:val="20"/>
          <w:szCs w:val="20"/>
        </w:rPr>
        <w:t xml:space="preserve">. </w:t>
      </w:r>
      <w:r w:rsidRPr="00570690">
        <w:rPr>
          <w:rFonts w:ascii="Arial" w:hAnsi="Arial" w:cs="Arial"/>
          <w:sz w:val="20"/>
          <w:szCs w:val="20"/>
        </w:rPr>
        <w:t xml:space="preserve">Nanomaterial-driven drug delivery has been widely used in biomedical research, including medication distribution, imaging, and photothermal therapy </w:t>
      </w:r>
      <w:r w:rsidR="00CC14D4" w:rsidRPr="00570690">
        <w:rPr>
          <w:rFonts w:ascii="Arial" w:hAnsi="Arial" w:cs="Arial"/>
          <w:sz w:val="20"/>
          <w:szCs w:val="20"/>
          <w:vertAlign w:val="superscript"/>
        </w:rPr>
        <w:t>[9]</w:t>
      </w:r>
      <w:r w:rsidR="00CC14D4" w:rsidRPr="00570690">
        <w:rPr>
          <w:rFonts w:ascii="Arial" w:hAnsi="Arial" w:cs="Arial"/>
          <w:sz w:val="20"/>
          <w:szCs w:val="20"/>
        </w:rPr>
        <w:t xml:space="preserve">. </w:t>
      </w:r>
      <w:r w:rsidR="00E9365C" w:rsidRPr="00570690">
        <w:rPr>
          <w:rFonts w:ascii="Arial" w:hAnsi="Arial" w:cs="Arial"/>
          <w:sz w:val="20"/>
          <w:szCs w:val="20"/>
        </w:rPr>
        <w:t xml:space="preserve">Excellent biocompatibility and biodegradability make nanomaterials the best choice for biomedical applications. The total surface area increases by several orders of magnitude as the particle size gets closer to the </w:t>
      </w:r>
      <w:proofErr w:type="spellStart"/>
      <w:r w:rsidR="00E9365C" w:rsidRPr="00570690">
        <w:rPr>
          <w:rFonts w:ascii="Arial" w:hAnsi="Arial" w:cs="Arial"/>
          <w:sz w:val="20"/>
          <w:szCs w:val="20"/>
        </w:rPr>
        <w:t>nanometer</w:t>
      </w:r>
      <w:proofErr w:type="spellEnd"/>
      <w:r w:rsidR="00E9365C" w:rsidRPr="00570690">
        <w:rPr>
          <w:rFonts w:ascii="Arial" w:hAnsi="Arial" w:cs="Arial"/>
          <w:sz w:val="20"/>
          <w:szCs w:val="20"/>
        </w:rPr>
        <w:t xml:space="preserve"> range compared to materials that are typically used in diagnostic and treatment. This increases the possibility of medication interaction with the system. However, in-depth research on their toxicity is also required to ensure safety in clinical settings </w:t>
      </w:r>
      <w:r w:rsidR="00CC14D4" w:rsidRPr="00570690">
        <w:rPr>
          <w:rFonts w:ascii="Arial" w:hAnsi="Arial" w:cs="Arial"/>
          <w:sz w:val="20"/>
          <w:szCs w:val="20"/>
          <w:vertAlign w:val="superscript"/>
        </w:rPr>
        <w:t>[10]</w:t>
      </w:r>
      <w:r w:rsidR="000B39F3" w:rsidRPr="00570690">
        <w:rPr>
          <w:rFonts w:ascii="Arial" w:hAnsi="Arial" w:cs="Arial"/>
          <w:sz w:val="20"/>
          <w:szCs w:val="20"/>
        </w:rPr>
        <w:t>.</w:t>
      </w:r>
    </w:p>
    <w:p w14:paraId="74198968" w14:textId="27BBAFA7" w:rsidR="00CC14D4" w:rsidRPr="00570690" w:rsidRDefault="00CC14D4" w:rsidP="00E9365C">
      <w:pPr>
        <w:spacing w:line="360" w:lineRule="auto"/>
        <w:ind w:left="-284" w:firstLine="426"/>
        <w:jc w:val="both"/>
        <w:rPr>
          <w:rFonts w:ascii="Arial" w:hAnsi="Arial" w:cs="Arial"/>
          <w:sz w:val="20"/>
          <w:szCs w:val="20"/>
        </w:rPr>
      </w:pPr>
      <w:r w:rsidRPr="00570690">
        <w:rPr>
          <w:rFonts w:ascii="Arial" w:hAnsi="Arial" w:cs="Arial"/>
          <w:sz w:val="20"/>
          <w:szCs w:val="20"/>
        </w:rPr>
        <w:t xml:space="preserve">The distinguishing feature of nanotechnology is its ability to manipulate materials at the nanoscale, where distinct physical and chemical characteristics develop. AI enhances this potential by offering accurate control. on </w:t>
      </w:r>
      <w:r w:rsidRPr="00570690">
        <w:rPr>
          <w:rFonts w:ascii="Arial" w:hAnsi="Arial" w:cs="Arial"/>
          <w:sz w:val="20"/>
          <w:szCs w:val="20"/>
        </w:rPr>
        <w:lastRenderedPageBreak/>
        <w:t>the design of nanomaterials customized for particular uses.</w:t>
      </w:r>
      <w:r w:rsidR="00E9365C" w:rsidRPr="00570690">
        <w:rPr>
          <w:rFonts w:ascii="Arial" w:eastAsia="Times New Roman" w:hAnsi="Arial" w:cs="Arial"/>
          <w:sz w:val="20"/>
          <w:szCs w:val="20"/>
          <w:lang w:eastAsia="en-IN"/>
        </w:rPr>
        <w:t xml:space="preserve"> </w:t>
      </w:r>
      <w:r w:rsidR="00E9365C" w:rsidRPr="00570690">
        <w:rPr>
          <w:rFonts w:ascii="Arial" w:hAnsi="Arial" w:cs="Arial"/>
          <w:sz w:val="20"/>
          <w:szCs w:val="20"/>
        </w:rPr>
        <w:t xml:space="preserve">Researchers can, for instance, develop nanomaterials with specific properties by using the crystal graph convolutional neural network framework, which can precisely predict material properties by utilizing density functional theory (DFT) and atomic-level chemical insights. To meet certain needs, AI algorithms can improve the properties, architecture, and composition of nanomaterials. To enhance catalytic performance, for example, AI may design nanoparticles with precisely manipulated surface patterns </w:t>
      </w:r>
      <w:r w:rsidRPr="00570690">
        <w:rPr>
          <w:rFonts w:ascii="Arial" w:hAnsi="Arial" w:cs="Arial"/>
          <w:sz w:val="20"/>
          <w:szCs w:val="20"/>
          <w:vertAlign w:val="superscript"/>
        </w:rPr>
        <w:t>[11]</w:t>
      </w:r>
      <w:r w:rsidRPr="00570690">
        <w:rPr>
          <w:rFonts w:ascii="Arial" w:hAnsi="Arial" w:cs="Arial"/>
          <w:sz w:val="20"/>
          <w:szCs w:val="20"/>
        </w:rPr>
        <w:t xml:space="preserve">. </w:t>
      </w:r>
    </w:p>
    <w:p w14:paraId="478387B9" w14:textId="77777777" w:rsidR="00B340DD" w:rsidRPr="00570690" w:rsidRDefault="00B340DD" w:rsidP="00B340DD">
      <w:pPr>
        <w:spacing w:line="360" w:lineRule="auto"/>
        <w:ind w:left="-284" w:firstLine="426"/>
        <w:jc w:val="both"/>
        <w:rPr>
          <w:rFonts w:ascii="Arial" w:hAnsi="Arial" w:cs="Arial"/>
          <w:sz w:val="20"/>
          <w:szCs w:val="20"/>
        </w:rPr>
      </w:pPr>
      <w:r w:rsidRPr="00570690">
        <w:rPr>
          <w:rFonts w:ascii="Arial" w:hAnsi="Arial" w:cs="Arial"/>
          <w:sz w:val="20"/>
          <w:szCs w:val="20"/>
        </w:rPr>
        <w:t>Multifunctional materials have advanced as a result of nanotechnology. Nanomaterials have exceptional physio-chemical properties because of their small size, including enhanced reactivity and absorption, surface area, and molar extinction coefficients, tenable plasmonic features, quantum phenomena, magnetic, and optical properties. Modern science has produced a nanomaterial that, in response to minute changes in its surroundings, significantly changes its physical, chemical, or biological properties. In early studies, some nanomaterials, such as those containing zinc or selenium, have shown promise as antioxidants. The capacity to create nanomaterials with specific antioxidant properties could lead to novel solutions for these problems. Nanotechnology also helps in the fight against biofilms and well-known parasites like Plasmodium, which causes malaria.</w:t>
      </w:r>
    </w:p>
    <w:p w14:paraId="69B6A061" w14:textId="18DAAD29" w:rsidR="00CC14D4" w:rsidRPr="00570690" w:rsidRDefault="00CC6B33" w:rsidP="00CC6B33">
      <w:pPr>
        <w:spacing w:line="360" w:lineRule="auto"/>
        <w:ind w:left="-284" w:firstLine="426"/>
        <w:jc w:val="both"/>
        <w:rPr>
          <w:rFonts w:ascii="Arial" w:hAnsi="Arial" w:cs="Arial"/>
          <w:sz w:val="20"/>
          <w:szCs w:val="20"/>
        </w:rPr>
      </w:pPr>
      <w:r w:rsidRPr="00570690">
        <w:rPr>
          <w:rFonts w:ascii="Arial" w:hAnsi="Arial" w:cs="Arial"/>
          <w:sz w:val="20"/>
          <w:szCs w:val="20"/>
        </w:rPr>
        <w:t>These microscopic germs can cause serious issues. Nanomaterials have been investigated as potential antibacterial and antiparasitic agents, targeting distinct stages of their life cycle. To disrupt cell membranes, disrupt metabolic processes, or even deliver drugs straight to the infection site, for example, nanoparticles can be designed. There is a lot of promise in this area of research for developing novel treatments for a variety of microbially-induced illnesses. For optimal nano</w:t>
      </w:r>
      <w:r w:rsidR="002F6DB5" w:rsidRPr="00570690">
        <w:rPr>
          <w:rFonts w:ascii="Arial" w:hAnsi="Arial" w:cs="Arial"/>
          <w:sz w:val="20"/>
          <w:szCs w:val="20"/>
        </w:rPr>
        <w:t>-</w:t>
      </w:r>
      <w:r w:rsidRPr="00570690">
        <w:rPr>
          <w:rFonts w:ascii="Arial" w:hAnsi="Arial" w:cs="Arial"/>
          <w:sz w:val="20"/>
          <w:szCs w:val="20"/>
        </w:rPr>
        <w:t xml:space="preserve">smart functionality, nanomaterials should be biocompatible, have focused cell growth and death, evade macrophage identification, inhibit immunological responses, and release therapeutic chemicals in a controlled manner that directly interacts with target cells </w:t>
      </w:r>
      <w:r w:rsidR="00CC14D4" w:rsidRPr="00570690">
        <w:rPr>
          <w:rFonts w:ascii="Arial" w:hAnsi="Arial" w:cs="Arial"/>
          <w:sz w:val="20"/>
          <w:szCs w:val="20"/>
          <w:vertAlign w:val="superscript"/>
        </w:rPr>
        <w:t>[6]</w:t>
      </w:r>
      <w:r w:rsidR="00CC14D4" w:rsidRPr="00570690">
        <w:rPr>
          <w:rFonts w:ascii="Arial" w:hAnsi="Arial" w:cs="Arial"/>
          <w:sz w:val="20"/>
          <w:szCs w:val="20"/>
        </w:rPr>
        <w:t>.</w:t>
      </w:r>
    </w:p>
    <w:p w14:paraId="1E33A9D1" w14:textId="77777777" w:rsidR="00CC14D4" w:rsidRDefault="00CC14D4" w:rsidP="00CC14D4">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453A8078" wp14:editId="705F67F0">
            <wp:extent cx="2345984" cy="1690255"/>
            <wp:effectExtent l="0" t="0" r="0" b="5715"/>
            <wp:docPr id="426053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053699" name="Picture 42605369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69012" cy="1706846"/>
                    </a:xfrm>
                    <a:prstGeom prst="rect">
                      <a:avLst/>
                    </a:prstGeom>
                  </pic:spPr>
                </pic:pic>
              </a:graphicData>
            </a:graphic>
          </wp:inline>
        </w:drawing>
      </w:r>
    </w:p>
    <w:p w14:paraId="72050B84" w14:textId="2FED2813" w:rsidR="00B340DD" w:rsidRPr="00570690" w:rsidRDefault="00CC14D4" w:rsidP="00292975">
      <w:pPr>
        <w:spacing w:line="360" w:lineRule="auto"/>
        <w:jc w:val="center"/>
        <w:rPr>
          <w:rFonts w:ascii="Arial" w:hAnsi="Arial" w:cs="Arial"/>
          <w:b/>
          <w:bCs/>
          <w:sz w:val="20"/>
          <w:szCs w:val="20"/>
          <w:vertAlign w:val="superscript"/>
        </w:rPr>
      </w:pPr>
      <w:r w:rsidRPr="00570690">
        <w:rPr>
          <w:rFonts w:ascii="Arial" w:hAnsi="Arial" w:cs="Arial"/>
          <w:b/>
          <w:bCs/>
          <w:sz w:val="20"/>
          <w:szCs w:val="20"/>
        </w:rPr>
        <w:t xml:space="preserve">Fig no. 3- Classification and biomedical uses of intelligent nanomaterials based on their nanostructure </w:t>
      </w:r>
      <w:r w:rsidRPr="00570690">
        <w:rPr>
          <w:rFonts w:ascii="Arial" w:hAnsi="Arial" w:cs="Arial"/>
          <w:b/>
          <w:bCs/>
          <w:sz w:val="20"/>
          <w:szCs w:val="20"/>
          <w:vertAlign w:val="superscript"/>
        </w:rPr>
        <w:t>[6]</w:t>
      </w:r>
    </w:p>
    <w:p w14:paraId="782C150C" w14:textId="77777777" w:rsidR="00CC14D4" w:rsidRPr="00570690" w:rsidRDefault="00CC14D4" w:rsidP="00CC14D4">
      <w:pPr>
        <w:spacing w:line="360" w:lineRule="auto"/>
        <w:ind w:left="-567"/>
        <w:jc w:val="both"/>
        <w:rPr>
          <w:rFonts w:ascii="Arial" w:hAnsi="Arial" w:cs="Arial"/>
          <w:b/>
          <w:bCs/>
        </w:rPr>
      </w:pPr>
      <w:r w:rsidRPr="00570690">
        <w:rPr>
          <w:rFonts w:ascii="Arial" w:hAnsi="Arial" w:cs="Arial"/>
          <w:b/>
          <w:bCs/>
        </w:rPr>
        <w:t xml:space="preserve">4. NANOMATERIALS-BASED FLEXIBLE SENSORS </w:t>
      </w:r>
      <w:r w:rsidRPr="00570690">
        <w:rPr>
          <w:rFonts w:ascii="Arial" w:hAnsi="Arial" w:cs="Arial"/>
          <w:b/>
          <w:bCs/>
          <w:vertAlign w:val="superscript"/>
        </w:rPr>
        <w:t>[12]</w:t>
      </w:r>
      <w:r w:rsidRPr="00570690">
        <w:rPr>
          <w:rFonts w:ascii="Arial" w:hAnsi="Arial" w:cs="Arial"/>
          <w:b/>
          <w:bCs/>
        </w:rPr>
        <w:t>:</w:t>
      </w:r>
    </w:p>
    <w:p w14:paraId="4E3063D2" w14:textId="566C2288" w:rsidR="00CC14D4" w:rsidRPr="00570690" w:rsidRDefault="00CC14D4" w:rsidP="00CC14D4">
      <w:pPr>
        <w:spacing w:line="360" w:lineRule="auto"/>
        <w:ind w:left="-284" w:firstLine="426"/>
        <w:jc w:val="both"/>
        <w:rPr>
          <w:rFonts w:ascii="Arial" w:hAnsi="Arial" w:cs="Arial"/>
          <w:sz w:val="20"/>
          <w:szCs w:val="20"/>
          <w:vertAlign w:val="superscript"/>
        </w:rPr>
      </w:pPr>
      <w:r w:rsidRPr="00570690">
        <w:rPr>
          <w:rFonts w:ascii="Arial" w:hAnsi="Arial" w:cs="Arial"/>
          <w:sz w:val="20"/>
          <w:szCs w:val="20"/>
        </w:rPr>
        <w:t>The concepts of the metaverse/virtual reality (VR) have been brought forward to seamlessly weave mobile Internet into individuals' professional and personal spheres to ful</w:t>
      </w:r>
      <w:r w:rsidR="005C3F3B" w:rsidRPr="00570690">
        <w:rPr>
          <w:rFonts w:ascii="Arial" w:hAnsi="Arial" w:cs="Arial"/>
          <w:sz w:val="20"/>
          <w:szCs w:val="20"/>
        </w:rPr>
        <w:t>l-</w:t>
      </w:r>
      <w:r w:rsidRPr="00570690">
        <w:rPr>
          <w:rFonts w:ascii="Arial" w:hAnsi="Arial" w:cs="Arial"/>
          <w:sz w:val="20"/>
          <w:szCs w:val="20"/>
        </w:rPr>
        <w:t xml:space="preserve">fill everyday requirements like traveling, conferencing, shopping, and more. Notably, the metaverse embodies an immersive, multi-sensory, real-time experience that interactive world based on VR devices. Traditional VR systems rely mainly on silicon sensors, which offer high resolution and minimal noise for superior imaging quality. These devices are linked to discomfort </w:t>
      </w:r>
      <w:r w:rsidRPr="00570690">
        <w:rPr>
          <w:rFonts w:ascii="Arial" w:hAnsi="Arial" w:cs="Arial"/>
          <w:sz w:val="20"/>
          <w:szCs w:val="20"/>
        </w:rPr>
        <w:lastRenderedPageBreak/>
        <w:t xml:space="preserve">when worn, restricted skin sensitivity, and poor biocompatibility, among other issues. Flexible and lightweight electronic gadgets can be positioned in a stable and intimate manner against human skin without causing any discomfort, enabling precise detection of even minor movements. This review assesses the functionality of flexible sensors based on their mechanical, physical, chemical, and electrical characteristics. The current NMFSs are </w:t>
      </w:r>
      <w:proofErr w:type="spellStart"/>
      <w:r w:rsidRPr="00570690">
        <w:rPr>
          <w:rFonts w:ascii="Arial" w:hAnsi="Arial" w:cs="Arial"/>
          <w:sz w:val="20"/>
          <w:szCs w:val="20"/>
        </w:rPr>
        <w:t>analyzed</w:t>
      </w:r>
      <w:proofErr w:type="spellEnd"/>
      <w:r w:rsidRPr="00570690">
        <w:rPr>
          <w:rFonts w:ascii="Arial" w:hAnsi="Arial" w:cs="Arial"/>
          <w:sz w:val="20"/>
          <w:szCs w:val="20"/>
        </w:rPr>
        <w:t xml:space="preserve"> concerning mechanical and electrical metrics like conductivity, stretchability, stability, sensitivity, energy usage, and biocompatibility.</w:t>
      </w:r>
    </w:p>
    <w:p w14:paraId="31724FDF" w14:textId="77777777" w:rsidR="00CC14D4" w:rsidRPr="00CA0357" w:rsidRDefault="00CC14D4" w:rsidP="00CC14D4">
      <w:pPr>
        <w:tabs>
          <w:tab w:val="left" w:pos="2977"/>
        </w:tabs>
        <w:spacing w:line="360" w:lineRule="auto"/>
        <w:ind w:left="-142"/>
        <w:jc w:val="both"/>
        <w:rPr>
          <w:rFonts w:ascii="Arial" w:hAnsi="Arial" w:cs="Arial"/>
          <w:b/>
          <w:bCs/>
        </w:rPr>
      </w:pPr>
      <w:r w:rsidRPr="00CA0357">
        <w:rPr>
          <w:rFonts w:ascii="Arial" w:hAnsi="Arial" w:cs="Arial"/>
          <w:b/>
          <w:bCs/>
        </w:rPr>
        <w:t xml:space="preserve">4.1. In comparison to conventional flexible sensors, NMFSs offer the subsequent benefits </w:t>
      </w:r>
      <w:r w:rsidRPr="00CA0357">
        <w:rPr>
          <w:rFonts w:ascii="Arial" w:hAnsi="Arial" w:cs="Arial"/>
          <w:b/>
          <w:bCs/>
          <w:vertAlign w:val="superscript"/>
        </w:rPr>
        <w:t>[12]</w:t>
      </w:r>
      <w:r w:rsidRPr="00CA0357">
        <w:rPr>
          <w:rFonts w:ascii="Arial" w:hAnsi="Arial" w:cs="Arial"/>
          <w:b/>
          <w:bCs/>
        </w:rPr>
        <w:t>:</w:t>
      </w:r>
    </w:p>
    <w:p w14:paraId="096EFD06" w14:textId="110CC206" w:rsidR="00CC14D4" w:rsidRPr="00570690" w:rsidRDefault="00CC14D4" w:rsidP="00CC14D4">
      <w:pPr>
        <w:tabs>
          <w:tab w:val="left" w:pos="2977"/>
        </w:tabs>
        <w:spacing w:line="360" w:lineRule="auto"/>
        <w:ind w:left="284"/>
        <w:jc w:val="both"/>
        <w:rPr>
          <w:rFonts w:ascii="Arial" w:hAnsi="Arial" w:cs="Arial"/>
          <w:sz w:val="20"/>
          <w:szCs w:val="20"/>
        </w:rPr>
      </w:pPr>
      <w:r w:rsidRPr="00570690">
        <w:rPr>
          <w:rFonts w:ascii="Arial" w:hAnsi="Arial" w:cs="Arial"/>
          <w:sz w:val="20"/>
          <w:szCs w:val="20"/>
        </w:rPr>
        <w:t xml:space="preserve">(1) </w:t>
      </w:r>
      <w:r w:rsidR="00CA0357">
        <w:rPr>
          <w:rFonts w:ascii="Arial" w:hAnsi="Arial" w:cs="Arial"/>
          <w:b/>
          <w:bCs/>
          <w:sz w:val="20"/>
          <w:szCs w:val="20"/>
        </w:rPr>
        <w:t>H</w:t>
      </w:r>
      <w:r w:rsidRPr="00570690">
        <w:rPr>
          <w:rFonts w:ascii="Arial" w:hAnsi="Arial" w:cs="Arial"/>
          <w:b/>
          <w:bCs/>
          <w:sz w:val="20"/>
          <w:szCs w:val="20"/>
        </w:rPr>
        <w:t xml:space="preserve">igh sensitivity: </w:t>
      </w:r>
      <w:r w:rsidRPr="00570690">
        <w:rPr>
          <w:rFonts w:ascii="Arial" w:hAnsi="Arial" w:cs="Arial"/>
          <w:sz w:val="20"/>
          <w:szCs w:val="20"/>
        </w:rPr>
        <w:t>given that nanomaterials possess a significant surface-to-volume ratio, they are capable of interacting more efficiently with the surrounding environment, thereby enhancing the sensitivity of the sensor.</w:t>
      </w:r>
    </w:p>
    <w:p w14:paraId="01ED8EF3" w14:textId="77777777" w:rsidR="00CC14D4" w:rsidRPr="00570690" w:rsidRDefault="00CC14D4" w:rsidP="00CC14D4">
      <w:pPr>
        <w:tabs>
          <w:tab w:val="left" w:pos="2977"/>
        </w:tabs>
        <w:spacing w:line="360" w:lineRule="auto"/>
        <w:ind w:left="284"/>
        <w:jc w:val="both"/>
        <w:rPr>
          <w:rFonts w:ascii="Arial" w:hAnsi="Arial" w:cs="Arial"/>
          <w:sz w:val="20"/>
          <w:szCs w:val="20"/>
        </w:rPr>
      </w:pPr>
      <w:r w:rsidRPr="00570690">
        <w:rPr>
          <w:rFonts w:ascii="Arial" w:hAnsi="Arial" w:cs="Arial"/>
          <w:sz w:val="20"/>
          <w:szCs w:val="20"/>
        </w:rPr>
        <w:t xml:space="preserve">(2) </w:t>
      </w:r>
      <w:r w:rsidRPr="00570690">
        <w:rPr>
          <w:rFonts w:ascii="Arial" w:hAnsi="Arial" w:cs="Arial"/>
          <w:b/>
          <w:bCs/>
          <w:sz w:val="20"/>
          <w:szCs w:val="20"/>
        </w:rPr>
        <w:t xml:space="preserve">Low power con </w:t>
      </w:r>
      <w:proofErr w:type="spellStart"/>
      <w:r w:rsidRPr="00570690">
        <w:rPr>
          <w:rFonts w:ascii="Arial" w:hAnsi="Arial" w:cs="Arial"/>
          <w:b/>
          <w:bCs/>
          <w:sz w:val="20"/>
          <w:szCs w:val="20"/>
        </w:rPr>
        <w:t>sumption</w:t>
      </w:r>
      <w:proofErr w:type="spellEnd"/>
      <w:r w:rsidRPr="00570690">
        <w:rPr>
          <w:rFonts w:ascii="Arial" w:hAnsi="Arial" w:cs="Arial"/>
          <w:b/>
          <w:bCs/>
          <w:sz w:val="20"/>
          <w:szCs w:val="20"/>
        </w:rPr>
        <w:t xml:space="preserve">: </w:t>
      </w:r>
      <w:r w:rsidRPr="00570690">
        <w:rPr>
          <w:rFonts w:ascii="Arial" w:hAnsi="Arial" w:cs="Arial"/>
          <w:sz w:val="20"/>
          <w:szCs w:val="20"/>
        </w:rPr>
        <w:t>Nanomaterials function effectively at low power, making them beneficial for applications like mobile gadgets and VR headsets. Sensors created with nanomaterials can deliver superior performance while minimizing energy usage and prolonging battery longevity.</w:t>
      </w:r>
    </w:p>
    <w:p w14:paraId="1191A37F" w14:textId="0D75983F" w:rsidR="00CC14D4" w:rsidRPr="00570690" w:rsidRDefault="00CC14D4" w:rsidP="00CC14D4">
      <w:pPr>
        <w:tabs>
          <w:tab w:val="left" w:pos="2977"/>
        </w:tabs>
        <w:spacing w:line="360" w:lineRule="auto"/>
        <w:ind w:left="284"/>
        <w:jc w:val="both"/>
        <w:rPr>
          <w:rFonts w:ascii="Arial" w:hAnsi="Arial" w:cs="Arial"/>
          <w:sz w:val="20"/>
          <w:szCs w:val="20"/>
        </w:rPr>
      </w:pPr>
      <w:r w:rsidRPr="00570690">
        <w:rPr>
          <w:rFonts w:ascii="Arial" w:hAnsi="Arial" w:cs="Arial"/>
          <w:sz w:val="20"/>
          <w:szCs w:val="20"/>
        </w:rPr>
        <w:t xml:space="preserve">(3) </w:t>
      </w:r>
      <w:r w:rsidRPr="00570690">
        <w:rPr>
          <w:rFonts w:ascii="Arial" w:hAnsi="Arial" w:cs="Arial"/>
          <w:b/>
          <w:bCs/>
          <w:sz w:val="20"/>
          <w:szCs w:val="20"/>
        </w:rPr>
        <w:t>Malleability:</w:t>
      </w:r>
      <w:r w:rsidR="005C3F3B" w:rsidRPr="00570690">
        <w:rPr>
          <w:rFonts w:ascii="Arial" w:hAnsi="Arial" w:cs="Arial"/>
          <w:b/>
          <w:bCs/>
          <w:sz w:val="20"/>
          <w:szCs w:val="20"/>
        </w:rPr>
        <w:t xml:space="preserve"> </w:t>
      </w:r>
      <w:r w:rsidRPr="00570690">
        <w:rPr>
          <w:rFonts w:ascii="Arial" w:hAnsi="Arial" w:cs="Arial"/>
          <w:sz w:val="20"/>
          <w:szCs w:val="20"/>
        </w:rPr>
        <w:t>Nanomaterials exhibit great versatility and can be manufactured in numerous forms and dimensions for diverse application contexts. They can be smoothly incorporated into sensor frameworks, enhancing the adaptability of the system.</w:t>
      </w:r>
    </w:p>
    <w:p w14:paraId="1B3A00DB" w14:textId="01D721C8" w:rsidR="00CC14D4" w:rsidRPr="00570690" w:rsidRDefault="00CC14D4" w:rsidP="00CC14D4">
      <w:pPr>
        <w:tabs>
          <w:tab w:val="left" w:pos="2977"/>
        </w:tabs>
        <w:spacing w:line="360" w:lineRule="auto"/>
        <w:ind w:left="284"/>
        <w:jc w:val="both"/>
        <w:rPr>
          <w:rFonts w:ascii="Arial" w:hAnsi="Arial" w:cs="Arial"/>
          <w:sz w:val="20"/>
          <w:szCs w:val="20"/>
        </w:rPr>
      </w:pPr>
      <w:r w:rsidRPr="00570690">
        <w:rPr>
          <w:rFonts w:ascii="Arial" w:hAnsi="Arial" w:cs="Arial"/>
          <w:sz w:val="20"/>
          <w:szCs w:val="20"/>
        </w:rPr>
        <w:t xml:space="preserve">(4) </w:t>
      </w:r>
      <w:r w:rsidRPr="00570690">
        <w:rPr>
          <w:rFonts w:ascii="Arial" w:hAnsi="Arial" w:cs="Arial"/>
          <w:b/>
          <w:bCs/>
          <w:sz w:val="20"/>
          <w:szCs w:val="20"/>
        </w:rPr>
        <w:t>Reliability:</w:t>
      </w:r>
      <w:r w:rsidR="005C3F3B" w:rsidRPr="00570690">
        <w:rPr>
          <w:rFonts w:ascii="Arial" w:hAnsi="Arial" w:cs="Arial"/>
          <w:b/>
          <w:bCs/>
          <w:sz w:val="20"/>
          <w:szCs w:val="20"/>
        </w:rPr>
        <w:t xml:space="preserve"> </w:t>
      </w:r>
      <w:r w:rsidR="005C3F3B" w:rsidRPr="00570690">
        <w:rPr>
          <w:rFonts w:ascii="Arial" w:hAnsi="Arial" w:cs="Arial"/>
          <w:sz w:val="20"/>
          <w:szCs w:val="20"/>
        </w:rPr>
        <w:t xml:space="preserve">The </w:t>
      </w:r>
      <w:r w:rsidRPr="00570690">
        <w:rPr>
          <w:rFonts w:ascii="Arial" w:hAnsi="Arial" w:cs="Arial"/>
          <w:sz w:val="20"/>
          <w:szCs w:val="20"/>
        </w:rPr>
        <w:t>characteristics of nanomaterials can enhance the stability and reliability of sensors. For instance, certain nanomaterials exhibit improved resistance to oxidation and corrosion, resulting in sensors that are more robust and enduring</w:t>
      </w:r>
    </w:p>
    <w:p w14:paraId="1B3F8124" w14:textId="24E406C4" w:rsidR="00CC14D4" w:rsidRPr="00570690" w:rsidRDefault="00CC14D4" w:rsidP="00CC14D4">
      <w:pPr>
        <w:tabs>
          <w:tab w:val="left" w:pos="2977"/>
        </w:tabs>
        <w:spacing w:line="360" w:lineRule="auto"/>
        <w:ind w:left="284"/>
        <w:jc w:val="both"/>
        <w:rPr>
          <w:rFonts w:ascii="Arial" w:hAnsi="Arial" w:cs="Arial"/>
          <w:b/>
          <w:bCs/>
          <w:sz w:val="20"/>
          <w:szCs w:val="20"/>
        </w:rPr>
      </w:pPr>
      <w:r w:rsidRPr="00570690">
        <w:rPr>
          <w:rFonts w:ascii="Arial" w:hAnsi="Arial" w:cs="Arial"/>
          <w:sz w:val="20"/>
          <w:szCs w:val="20"/>
        </w:rPr>
        <w:t xml:space="preserve">(5) </w:t>
      </w:r>
      <w:r w:rsidRPr="00570690">
        <w:rPr>
          <w:rFonts w:ascii="Arial" w:hAnsi="Arial" w:cs="Arial"/>
          <w:b/>
          <w:bCs/>
          <w:sz w:val="20"/>
          <w:szCs w:val="20"/>
        </w:rPr>
        <w:t>Large-scale fabrication:</w:t>
      </w:r>
      <w:r w:rsidR="005C3F3B" w:rsidRPr="00570690">
        <w:rPr>
          <w:rFonts w:ascii="Arial" w:hAnsi="Arial" w:cs="Arial"/>
          <w:b/>
          <w:bCs/>
          <w:sz w:val="20"/>
          <w:szCs w:val="20"/>
        </w:rPr>
        <w:t xml:space="preserve"> </w:t>
      </w:r>
      <w:r w:rsidR="005C3F3B" w:rsidRPr="00570690">
        <w:rPr>
          <w:rFonts w:ascii="Arial" w:hAnsi="Arial" w:cs="Arial"/>
          <w:sz w:val="20"/>
          <w:szCs w:val="20"/>
        </w:rPr>
        <w:t xml:space="preserve">An </w:t>
      </w:r>
      <w:r w:rsidRPr="00570690">
        <w:rPr>
          <w:rFonts w:ascii="Arial" w:hAnsi="Arial" w:cs="Arial"/>
          <w:sz w:val="20"/>
          <w:szCs w:val="20"/>
        </w:rPr>
        <w:t xml:space="preserve">increasing number of nanomaterial production methods are being introduced, and the creation of extensive flexible sensors is another significant benefit of nanomaterials compared to conventional flexible sensors. These advancements can assist VR/metaverse systems in improving their integration with various parts of the </w:t>
      </w:r>
      <w:proofErr w:type="spellStart"/>
      <w:r w:rsidRPr="00570690">
        <w:rPr>
          <w:rFonts w:ascii="Arial" w:hAnsi="Arial" w:cs="Arial"/>
          <w:sz w:val="20"/>
          <w:szCs w:val="20"/>
        </w:rPr>
        <w:t>humanbody</w:t>
      </w:r>
      <w:proofErr w:type="spellEnd"/>
      <w:r w:rsidRPr="00570690">
        <w:rPr>
          <w:rFonts w:ascii="Arial" w:hAnsi="Arial" w:cs="Arial"/>
          <w:sz w:val="20"/>
          <w:szCs w:val="20"/>
        </w:rPr>
        <w:t>.</w:t>
      </w:r>
    </w:p>
    <w:p w14:paraId="6E4A02AA" w14:textId="77777777" w:rsidR="00CC14D4" w:rsidRPr="003B69C6" w:rsidRDefault="00CC14D4" w:rsidP="00CC14D4">
      <w:pPr>
        <w:tabs>
          <w:tab w:val="left" w:pos="2977"/>
        </w:tabs>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723550E" wp14:editId="4182BF18">
            <wp:extent cx="2653075" cy="2230582"/>
            <wp:effectExtent l="0" t="0" r="0" b="0"/>
            <wp:docPr id="316615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615012" name="Picture 3166150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08489" cy="2277172"/>
                    </a:xfrm>
                    <a:prstGeom prst="rect">
                      <a:avLst/>
                    </a:prstGeom>
                  </pic:spPr>
                </pic:pic>
              </a:graphicData>
            </a:graphic>
          </wp:inline>
        </w:drawing>
      </w:r>
    </w:p>
    <w:p w14:paraId="285523A1" w14:textId="77777777" w:rsidR="00CC14D4" w:rsidRPr="00570690" w:rsidRDefault="00CC14D4" w:rsidP="00CC14D4">
      <w:pPr>
        <w:tabs>
          <w:tab w:val="left" w:pos="2977"/>
        </w:tabs>
        <w:spacing w:line="360" w:lineRule="auto"/>
        <w:jc w:val="center"/>
        <w:rPr>
          <w:rFonts w:ascii="Arial" w:hAnsi="Arial" w:cs="Arial"/>
          <w:b/>
          <w:bCs/>
          <w:sz w:val="20"/>
          <w:szCs w:val="20"/>
          <w:vertAlign w:val="superscript"/>
        </w:rPr>
      </w:pPr>
      <w:r w:rsidRPr="00570690">
        <w:rPr>
          <w:rFonts w:ascii="Arial" w:hAnsi="Arial" w:cs="Arial"/>
          <w:b/>
          <w:bCs/>
          <w:sz w:val="20"/>
          <w:szCs w:val="20"/>
        </w:rPr>
        <w:t>Fig. 4. Illustration of a conceptual future metaverse system designed for multimodal perceptual interfaces.</w:t>
      </w:r>
      <w:r w:rsidRPr="00570690">
        <w:rPr>
          <w:rFonts w:ascii="Arial" w:hAnsi="Arial" w:cs="Arial"/>
          <w:b/>
          <w:bCs/>
          <w:sz w:val="20"/>
          <w:szCs w:val="20"/>
          <w:vertAlign w:val="superscript"/>
        </w:rPr>
        <w:t>[12]</w:t>
      </w:r>
    </w:p>
    <w:p w14:paraId="6544924E" w14:textId="77777777" w:rsidR="00CC14D4" w:rsidRPr="00CA0357" w:rsidRDefault="00CC14D4" w:rsidP="00CC14D4">
      <w:pPr>
        <w:tabs>
          <w:tab w:val="left" w:pos="2977"/>
        </w:tabs>
        <w:spacing w:line="360" w:lineRule="auto"/>
        <w:jc w:val="both"/>
        <w:rPr>
          <w:rFonts w:ascii="Arial" w:hAnsi="Arial" w:cs="Arial"/>
          <w:b/>
          <w:bCs/>
        </w:rPr>
      </w:pPr>
      <w:r w:rsidRPr="00CA0357">
        <w:rPr>
          <w:rFonts w:ascii="Arial" w:hAnsi="Arial" w:cs="Arial"/>
          <w:b/>
          <w:bCs/>
        </w:rPr>
        <w:lastRenderedPageBreak/>
        <w:t xml:space="preserve">4.2. These substances can be assessed according to their mechanical, chemical, and electrical characteristics as well as their usage, and offer the subsequent benefits for NMFSs in VR devices </w:t>
      </w:r>
      <w:r w:rsidRPr="00CA0357">
        <w:rPr>
          <w:rFonts w:ascii="Arial" w:hAnsi="Arial" w:cs="Arial"/>
          <w:b/>
          <w:bCs/>
          <w:vertAlign w:val="superscript"/>
        </w:rPr>
        <w:t>[12]</w:t>
      </w:r>
      <w:r w:rsidRPr="00CA0357">
        <w:rPr>
          <w:rFonts w:ascii="Arial" w:hAnsi="Arial" w:cs="Arial"/>
          <w:b/>
          <w:bCs/>
        </w:rPr>
        <w:t>:</w:t>
      </w:r>
    </w:p>
    <w:p w14:paraId="12ADAABB" w14:textId="3537B8DE" w:rsidR="00CC14D4" w:rsidRPr="00570690" w:rsidRDefault="00CC14D4" w:rsidP="00CC14D4">
      <w:pPr>
        <w:pStyle w:val="ListParagraph"/>
        <w:numPr>
          <w:ilvl w:val="0"/>
          <w:numId w:val="14"/>
        </w:numPr>
        <w:tabs>
          <w:tab w:val="left" w:pos="2977"/>
        </w:tabs>
        <w:spacing w:line="360" w:lineRule="auto"/>
        <w:jc w:val="both"/>
        <w:rPr>
          <w:rFonts w:ascii="Arial" w:hAnsi="Arial" w:cs="Arial"/>
          <w:sz w:val="20"/>
          <w:szCs w:val="20"/>
        </w:rPr>
      </w:pPr>
      <w:r w:rsidRPr="00570690">
        <w:rPr>
          <w:rFonts w:ascii="Arial" w:hAnsi="Arial" w:cs="Arial"/>
          <w:b/>
          <w:bCs/>
          <w:sz w:val="20"/>
          <w:szCs w:val="20"/>
        </w:rPr>
        <w:t>Better flexibility and adaptability:</w:t>
      </w:r>
      <w:r w:rsidR="005C3F3B" w:rsidRPr="00570690">
        <w:rPr>
          <w:rFonts w:ascii="Arial" w:hAnsi="Arial" w:cs="Arial"/>
          <w:b/>
          <w:bCs/>
          <w:sz w:val="20"/>
          <w:szCs w:val="20"/>
        </w:rPr>
        <w:t xml:space="preserve"> </w:t>
      </w:r>
      <w:r w:rsidRPr="00570690">
        <w:rPr>
          <w:rFonts w:ascii="Arial" w:hAnsi="Arial" w:cs="Arial"/>
          <w:sz w:val="20"/>
          <w:szCs w:val="20"/>
        </w:rPr>
        <w:t>NMFSs can conform to the surfaces of various objects with distinct shapes and curves, thereby aligning more effectively with the contours of the human form, which subsequently enhances the sensor's accuracy and precision.</w:t>
      </w:r>
    </w:p>
    <w:p w14:paraId="2B7B8D18" w14:textId="35BBF3DE" w:rsidR="00CC14D4" w:rsidRPr="00570690" w:rsidRDefault="00CC14D4" w:rsidP="00CC14D4">
      <w:pPr>
        <w:pStyle w:val="ListParagraph"/>
        <w:numPr>
          <w:ilvl w:val="0"/>
          <w:numId w:val="14"/>
        </w:numPr>
        <w:tabs>
          <w:tab w:val="left" w:pos="2977"/>
        </w:tabs>
        <w:spacing w:line="360" w:lineRule="auto"/>
        <w:jc w:val="both"/>
        <w:rPr>
          <w:rFonts w:ascii="Arial" w:hAnsi="Arial" w:cs="Arial"/>
          <w:sz w:val="20"/>
          <w:szCs w:val="20"/>
        </w:rPr>
      </w:pPr>
      <w:r w:rsidRPr="00570690">
        <w:rPr>
          <w:rFonts w:ascii="Arial" w:hAnsi="Arial" w:cs="Arial"/>
          <w:b/>
          <w:bCs/>
          <w:sz w:val="20"/>
          <w:szCs w:val="20"/>
        </w:rPr>
        <w:t>Lighter:</w:t>
      </w:r>
      <w:r w:rsidR="005C3F3B" w:rsidRPr="00570690">
        <w:rPr>
          <w:rFonts w:ascii="Arial" w:hAnsi="Arial" w:cs="Arial"/>
          <w:b/>
          <w:bCs/>
          <w:sz w:val="20"/>
          <w:szCs w:val="20"/>
        </w:rPr>
        <w:t xml:space="preserve"> </w:t>
      </w:r>
      <w:r w:rsidRPr="00570690">
        <w:rPr>
          <w:rFonts w:ascii="Arial" w:hAnsi="Arial" w:cs="Arial"/>
          <w:sz w:val="20"/>
          <w:szCs w:val="20"/>
        </w:rPr>
        <w:t>NMFSs are extremely lightweight, which decreases the overall weight of a VR device, allowing users to wear it for extended durations without experiencing discomfort or exhaustion.</w:t>
      </w:r>
    </w:p>
    <w:p w14:paraId="3DE09E4C" w14:textId="0687669D" w:rsidR="00CC14D4" w:rsidRPr="00570690" w:rsidRDefault="00CC14D4" w:rsidP="00CC14D4">
      <w:pPr>
        <w:pStyle w:val="ListParagraph"/>
        <w:numPr>
          <w:ilvl w:val="0"/>
          <w:numId w:val="14"/>
        </w:numPr>
        <w:tabs>
          <w:tab w:val="left" w:pos="2977"/>
        </w:tabs>
        <w:spacing w:line="360" w:lineRule="auto"/>
        <w:jc w:val="both"/>
        <w:rPr>
          <w:rFonts w:ascii="Arial" w:hAnsi="Arial" w:cs="Arial"/>
          <w:sz w:val="20"/>
          <w:szCs w:val="20"/>
        </w:rPr>
      </w:pPr>
      <w:r w:rsidRPr="00570690">
        <w:rPr>
          <w:rFonts w:ascii="Arial" w:hAnsi="Arial" w:cs="Arial"/>
          <w:b/>
          <w:bCs/>
          <w:sz w:val="20"/>
          <w:szCs w:val="20"/>
        </w:rPr>
        <w:t>Lower power consumption:</w:t>
      </w:r>
      <w:r w:rsidR="005C3F3B" w:rsidRPr="00570690">
        <w:rPr>
          <w:rFonts w:ascii="Arial" w:hAnsi="Arial" w:cs="Arial"/>
          <w:b/>
          <w:bCs/>
          <w:sz w:val="20"/>
          <w:szCs w:val="20"/>
        </w:rPr>
        <w:t xml:space="preserve"> </w:t>
      </w:r>
      <w:r w:rsidRPr="00570690">
        <w:rPr>
          <w:rFonts w:ascii="Arial" w:hAnsi="Arial" w:cs="Arial"/>
          <w:sz w:val="20"/>
          <w:szCs w:val="20"/>
        </w:rPr>
        <w:t>NMFSs can function under low power scenarios, leading to decreased energy usage and prolonging the lifespan of energy storage units.</w:t>
      </w:r>
    </w:p>
    <w:p w14:paraId="6D259582" w14:textId="5DAF8396" w:rsidR="00CC14D4" w:rsidRPr="00570690" w:rsidRDefault="00CC14D4" w:rsidP="00CC14D4">
      <w:pPr>
        <w:pStyle w:val="ListParagraph"/>
        <w:numPr>
          <w:ilvl w:val="0"/>
          <w:numId w:val="14"/>
        </w:numPr>
        <w:tabs>
          <w:tab w:val="left" w:pos="2977"/>
        </w:tabs>
        <w:spacing w:line="360" w:lineRule="auto"/>
        <w:jc w:val="both"/>
        <w:rPr>
          <w:rFonts w:ascii="Arial" w:hAnsi="Arial" w:cs="Arial"/>
          <w:sz w:val="20"/>
          <w:szCs w:val="20"/>
        </w:rPr>
      </w:pPr>
      <w:r w:rsidRPr="00570690">
        <w:rPr>
          <w:rFonts w:ascii="Arial" w:hAnsi="Arial" w:cs="Arial"/>
          <w:b/>
          <w:bCs/>
          <w:sz w:val="20"/>
          <w:szCs w:val="20"/>
        </w:rPr>
        <w:t>Better biocompatibility:</w:t>
      </w:r>
      <w:r w:rsidR="005C3F3B" w:rsidRPr="00570690">
        <w:rPr>
          <w:rFonts w:ascii="Arial" w:hAnsi="Arial" w:cs="Arial"/>
          <w:b/>
          <w:bCs/>
          <w:sz w:val="20"/>
          <w:szCs w:val="20"/>
        </w:rPr>
        <w:t xml:space="preserve"> </w:t>
      </w:r>
      <w:r w:rsidR="005C3F3B" w:rsidRPr="00570690">
        <w:rPr>
          <w:rFonts w:ascii="Arial" w:hAnsi="Arial" w:cs="Arial"/>
          <w:sz w:val="20"/>
          <w:szCs w:val="20"/>
        </w:rPr>
        <w:t>The favourable</w:t>
      </w:r>
      <w:r w:rsidRPr="00570690">
        <w:rPr>
          <w:rFonts w:ascii="Arial" w:hAnsi="Arial" w:cs="Arial"/>
          <w:sz w:val="20"/>
          <w:szCs w:val="20"/>
        </w:rPr>
        <w:t xml:space="preserve"> biocompatibility of NMFSs can enhance the safety and comfort of VR devices.</w:t>
      </w:r>
    </w:p>
    <w:p w14:paraId="55E59C81" w14:textId="50555D63" w:rsidR="00CC14D4" w:rsidRPr="00570690" w:rsidRDefault="00CC14D4" w:rsidP="00CC14D4">
      <w:pPr>
        <w:pStyle w:val="ListParagraph"/>
        <w:numPr>
          <w:ilvl w:val="0"/>
          <w:numId w:val="14"/>
        </w:numPr>
        <w:tabs>
          <w:tab w:val="left" w:pos="2977"/>
        </w:tabs>
        <w:spacing w:line="360" w:lineRule="auto"/>
        <w:jc w:val="both"/>
        <w:rPr>
          <w:rFonts w:ascii="Arial" w:hAnsi="Arial" w:cs="Arial"/>
          <w:sz w:val="20"/>
          <w:szCs w:val="20"/>
        </w:rPr>
      </w:pPr>
      <w:r w:rsidRPr="00570690">
        <w:rPr>
          <w:rFonts w:ascii="Arial" w:hAnsi="Arial" w:cs="Arial"/>
          <w:b/>
          <w:bCs/>
          <w:sz w:val="20"/>
          <w:szCs w:val="20"/>
        </w:rPr>
        <w:t>Higher sensitivity:</w:t>
      </w:r>
      <w:r w:rsidRPr="00570690">
        <w:rPr>
          <w:rFonts w:ascii="Arial" w:hAnsi="Arial" w:cs="Arial"/>
          <w:sz w:val="20"/>
          <w:szCs w:val="20"/>
        </w:rPr>
        <w:t xml:space="preserve"> NMFSs are capable of sensing minor movements and variations, improve</w:t>
      </w:r>
      <w:r w:rsidR="005C3F3B" w:rsidRPr="00570690">
        <w:rPr>
          <w:rFonts w:ascii="Arial" w:hAnsi="Arial" w:cs="Arial"/>
          <w:sz w:val="20"/>
          <w:szCs w:val="20"/>
        </w:rPr>
        <w:t xml:space="preserve"> </w:t>
      </w:r>
      <w:r w:rsidRPr="00570690">
        <w:rPr>
          <w:rFonts w:ascii="Arial" w:hAnsi="Arial" w:cs="Arial"/>
          <w:sz w:val="20"/>
          <w:szCs w:val="20"/>
        </w:rPr>
        <w:t>the engagement and precision of VR equipment, and</w:t>
      </w:r>
      <w:r w:rsidR="005C3F3B" w:rsidRPr="00570690">
        <w:rPr>
          <w:rFonts w:ascii="Arial" w:hAnsi="Arial" w:cs="Arial"/>
          <w:sz w:val="20"/>
          <w:szCs w:val="20"/>
        </w:rPr>
        <w:t xml:space="preserve"> </w:t>
      </w:r>
      <w:r w:rsidRPr="00570690">
        <w:rPr>
          <w:rFonts w:ascii="Arial" w:hAnsi="Arial" w:cs="Arial"/>
          <w:sz w:val="20"/>
          <w:szCs w:val="20"/>
        </w:rPr>
        <w:t xml:space="preserve">give users </w:t>
      </w:r>
      <w:proofErr w:type="spellStart"/>
      <w:r w:rsidRPr="00570690">
        <w:rPr>
          <w:rFonts w:ascii="Arial" w:hAnsi="Arial" w:cs="Arial"/>
          <w:sz w:val="20"/>
          <w:szCs w:val="20"/>
        </w:rPr>
        <w:t>amorerealistic</w:t>
      </w:r>
      <w:proofErr w:type="spellEnd"/>
      <w:r w:rsidRPr="00570690">
        <w:rPr>
          <w:rFonts w:ascii="Arial" w:hAnsi="Arial" w:cs="Arial"/>
          <w:sz w:val="20"/>
          <w:szCs w:val="20"/>
        </w:rPr>
        <w:t xml:space="preserve"> experience.</w:t>
      </w:r>
    </w:p>
    <w:p w14:paraId="64B1D980" w14:textId="75EC8C35" w:rsidR="00CC14D4" w:rsidRPr="00570690" w:rsidRDefault="00CC14D4" w:rsidP="00CC14D4">
      <w:pPr>
        <w:pStyle w:val="ListParagraph"/>
        <w:numPr>
          <w:ilvl w:val="0"/>
          <w:numId w:val="14"/>
        </w:numPr>
        <w:tabs>
          <w:tab w:val="left" w:pos="2977"/>
        </w:tabs>
        <w:spacing w:line="360" w:lineRule="auto"/>
        <w:jc w:val="both"/>
        <w:rPr>
          <w:rFonts w:ascii="Arial" w:hAnsi="Arial" w:cs="Arial"/>
          <w:b/>
          <w:bCs/>
          <w:sz w:val="20"/>
          <w:szCs w:val="20"/>
          <w:vertAlign w:val="superscript"/>
        </w:rPr>
      </w:pPr>
      <w:r w:rsidRPr="00570690">
        <w:rPr>
          <w:rFonts w:ascii="Arial" w:hAnsi="Arial" w:cs="Arial"/>
          <w:b/>
          <w:bCs/>
          <w:sz w:val="20"/>
          <w:szCs w:val="20"/>
        </w:rPr>
        <w:t>Better durability:</w:t>
      </w:r>
      <w:r w:rsidR="005C3F3B" w:rsidRPr="00570690">
        <w:rPr>
          <w:rFonts w:ascii="Arial" w:hAnsi="Arial" w:cs="Arial"/>
          <w:b/>
          <w:bCs/>
          <w:sz w:val="20"/>
          <w:szCs w:val="20"/>
        </w:rPr>
        <w:t xml:space="preserve"> </w:t>
      </w:r>
      <w:r w:rsidRPr="00570690">
        <w:rPr>
          <w:rFonts w:ascii="Arial" w:hAnsi="Arial" w:cs="Arial"/>
          <w:sz w:val="20"/>
          <w:szCs w:val="20"/>
        </w:rPr>
        <w:t>NMFSs are typically capable of enduring extended usage along with considerable bending and twisting, and possess a longer lifespan, minimizing maintenance and replacement expenses. These characteristics can offer a more precise, authentic, and enjoyable experience for VR equipment.</w:t>
      </w:r>
    </w:p>
    <w:p w14:paraId="15F1FF22" w14:textId="77777777" w:rsidR="00CC14D4" w:rsidRDefault="00CC14D4" w:rsidP="00CC14D4">
      <w:pPr>
        <w:tabs>
          <w:tab w:val="left" w:pos="2977"/>
        </w:tabs>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FE9E0B9" wp14:editId="5A5EED5A">
            <wp:extent cx="4454769" cy="3044322"/>
            <wp:effectExtent l="0" t="0" r="3175" b="3810"/>
            <wp:docPr id="383539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539715" name="Picture 383539715"/>
                    <pic:cNvPicPr/>
                  </pic:nvPicPr>
                  <pic:blipFill>
                    <a:blip r:embed="rId12">
                      <a:extLst>
                        <a:ext uri="{28A0092B-C50C-407E-A947-70E740481C1C}">
                          <a14:useLocalDpi xmlns:a14="http://schemas.microsoft.com/office/drawing/2010/main" val="0"/>
                        </a:ext>
                      </a:extLst>
                    </a:blip>
                    <a:srcRect l="809" t="735" r="1421" b="2045"/>
                    <a:stretch>
                      <a:fillRect/>
                    </a:stretch>
                  </pic:blipFill>
                  <pic:spPr bwMode="auto">
                    <a:xfrm>
                      <a:off x="0" y="0"/>
                      <a:ext cx="4463497" cy="3050287"/>
                    </a:xfrm>
                    <a:prstGeom prst="rect">
                      <a:avLst/>
                    </a:prstGeom>
                    <a:ln>
                      <a:noFill/>
                    </a:ln>
                    <a:extLst>
                      <a:ext uri="{53640926-AAD7-44D8-BBD7-CCE9431645EC}">
                        <a14:shadowObscured xmlns:a14="http://schemas.microsoft.com/office/drawing/2010/main"/>
                      </a:ext>
                    </a:extLst>
                  </pic:spPr>
                </pic:pic>
              </a:graphicData>
            </a:graphic>
          </wp:inline>
        </w:drawing>
      </w:r>
    </w:p>
    <w:p w14:paraId="7FD589F3" w14:textId="77777777" w:rsidR="00CC14D4" w:rsidRPr="00570690" w:rsidRDefault="00CC14D4" w:rsidP="00CC14D4">
      <w:pPr>
        <w:tabs>
          <w:tab w:val="left" w:pos="2977"/>
        </w:tabs>
        <w:spacing w:line="360" w:lineRule="auto"/>
        <w:jc w:val="center"/>
        <w:rPr>
          <w:rFonts w:ascii="Arial" w:hAnsi="Arial" w:cs="Arial"/>
          <w:b/>
          <w:bCs/>
          <w:sz w:val="20"/>
          <w:szCs w:val="20"/>
          <w:vertAlign w:val="superscript"/>
        </w:rPr>
      </w:pPr>
      <w:r w:rsidRPr="00570690">
        <w:rPr>
          <w:rFonts w:ascii="Arial" w:hAnsi="Arial" w:cs="Arial"/>
          <w:b/>
          <w:bCs/>
          <w:sz w:val="20"/>
          <w:szCs w:val="20"/>
        </w:rPr>
        <w:t>Table 1. Mechanical, chemical, and electrical characteristics of flexible sensors utilizing advanced nanomaterials.</w:t>
      </w:r>
      <w:r w:rsidRPr="00570690">
        <w:rPr>
          <w:rFonts w:ascii="Arial" w:hAnsi="Arial" w:cs="Arial"/>
          <w:b/>
          <w:bCs/>
          <w:sz w:val="20"/>
          <w:szCs w:val="20"/>
          <w:vertAlign w:val="superscript"/>
        </w:rPr>
        <w:t>[12]</w:t>
      </w:r>
    </w:p>
    <w:p w14:paraId="22DDE9A6" w14:textId="77777777" w:rsidR="00B340DD" w:rsidRPr="00CA0357" w:rsidRDefault="00CC14D4" w:rsidP="00B340DD">
      <w:pPr>
        <w:tabs>
          <w:tab w:val="left" w:pos="2977"/>
        </w:tabs>
        <w:spacing w:line="360" w:lineRule="auto"/>
        <w:rPr>
          <w:rFonts w:ascii="Arial" w:hAnsi="Arial" w:cs="Arial"/>
          <w:b/>
          <w:bCs/>
        </w:rPr>
      </w:pPr>
      <w:r w:rsidRPr="00CA0357">
        <w:rPr>
          <w:rFonts w:ascii="Arial" w:hAnsi="Arial" w:cs="Arial"/>
          <w:b/>
          <w:bCs/>
        </w:rPr>
        <w:t xml:space="preserve">4.3. Nanomaterial-Based Sensors Categorize </w:t>
      </w:r>
      <w:r w:rsidRPr="00CA0357">
        <w:rPr>
          <w:rFonts w:ascii="Arial" w:hAnsi="Arial" w:cs="Arial"/>
          <w:b/>
          <w:bCs/>
          <w:vertAlign w:val="superscript"/>
        </w:rPr>
        <w:t>[12]</w:t>
      </w:r>
      <w:r w:rsidRPr="00CA0357">
        <w:rPr>
          <w:rFonts w:ascii="Arial" w:hAnsi="Arial" w:cs="Arial"/>
          <w:b/>
          <w:bCs/>
        </w:rPr>
        <w:t>:</w:t>
      </w:r>
    </w:p>
    <w:p w14:paraId="0B71D8E1" w14:textId="1422E5DF" w:rsidR="00B340DD" w:rsidRPr="00570690" w:rsidRDefault="00B340DD" w:rsidP="00B340DD">
      <w:pPr>
        <w:tabs>
          <w:tab w:val="left" w:pos="2977"/>
        </w:tabs>
        <w:spacing w:line="360" w:lineRule="auto"/>
        <w:rPr>
          <w:rFonts w:ascii="Arial" w:hAnsi="Arial" w:cs="Arial"/>
          <w:b/>
          <w:bCs/>
          <w:sz w:val="20"/>
          <w:szCs w:val="20"/>
          <w:vertAlign w:val="superscript"/>
        </w:rPr>
      </w:pPr>
      <w:r w:rsidRPr="00570690">
        <w:rPr>
          <w:rFonts w:ascii="Arial" w:hAnsi="Arial" w:cs="Arial"/>
          <w:b/>
          <w:bCs/>
          <w:sz w:val="20"/>
          <w:szCs w:val="20"/>
        </w:rPr>
        <w:t xml:space="preserve">           </w:t>
      </w:r>
      <w:r w:rsidRPr="00570690">
        <w:rPr>
          <w:rFonts w:ascii="Arial" w:hAnsi="Arial" w:cs="Arial"/>
          <w:sz w:val="20"/>
          <w:szCs w:val="20"/>
        </w:rPr>
        <w:t xml:space="preserve">This section includes a classification of recently reported nanomaterial-based sensors based on their dimensions: 0D (e.g., nanoparticles, or NPs), 1D (e.g., graphene and multilayer nanofilms), 2D (e.g., </w:t>
      </w:r>
      <w:r w:rsidRPr="00570690">
        <w:rPr>
          <w:rFonts w:ascii="Arial" w:hAnsi="Arial" w:cs="Arial"/>
          <w:sz w:val="20"/>
          <w:szCs w:val="20"/>
        </w:rPr>
        <w:lastRenderedPageBreak/>
        <w:t>graphene and nanofilms), and mixed degrees (e.g., nanofilms and NPs composites or NWs and NPs composites). Nanomaterials' unique properties, ease of production, and material compatibility have led to their widespread usage in flexible sensors. Using various nanomaterial shapes including as nanoparticles, nanowires, and nanofilms, this review highlights the most recent advancements in NMFSs.</w:t>
      </w:r>
    </w:p>
    <w:p w14:paraId="06936F25" w14:textId="77777777" w:rsidR="00CC14D4" w:rsidRPr="00570690" w:rsidRDefault="00CC14D4" w:rsidP="00CC14D4">
      <w:pPr>
        <w:pStyle w:val="ListParagraph"/>
        <w:numPr>
          <w:ilvl w:val="0"/>
          <w:numId w:val="13"/>
        </w:numPr>
        <w:spacing w:line="360" w:lineRule="auto"/>
        <w:rPr>
          <w:rFonts w:ascii="Arial" w:hAnsi="Arial" w:cs="Arial"/>
          <w:b/>
          <w:bCs/>
          <w:sz w:val="20"/>
          <w:szCs w:val="20"/>
        </w:rPr>
      </w:pPr>
      <w:r w:rsidRPr="00570690">
        <w:rPr>
          <w:rFonts w:ascii="Arial" w:hAnsi="Arial" w:cs="Arial"/>
          <w:b/>
          <w:bCs/>
          <w:sz w:val="20"/>
          <w:szCs w:val="20"/>
        </w:rPr>
        <w:t>1D nanomaterials:</w:t>
      </w:r>
    </w:p>
    <w:p w14:paraId="611BA15A" w14:textId="77777777" w:rsidR="00CC14D4" w:rsidRPr="00570690" w:rsidRDefault="00CC14D4" w:rsidP="00CC14D4">
      <w:pPr>
        <w:spacing w:line="360" w:lineRule="auto"/>
        <w:ind w:firstLine="720"/>
        <w:jc w:val="both"/>
        <w:rPr>
          <w:rFonts w:ascii="Arial" w:hAnsi="Arial" w:cs="Arial"/>
          <w:sz w:val="20"/>
          <w:szCs w:val="20"/>
          <w:vertAlign w:val="superscript"/>
        </w:rPr>
      </w:pPr>
      <w:r w:rsidRPr="00570690">
        <w:rPr>
          <w:rFonts w:ascii="Arial" w:hAnsi="Arial" w:cs="Arial"/>
          <w:sz w:val="20"/>
          <w:szCs w:val="20"/>
        </w:rPr>
        <w:t xml:space="preserve">The 1D nanomaterials for fabricating flexible sensors are typically selected considering the conductive component and elasticity coefficient. Highly conductive materials can enhance the conductivity of the sensors. Typical 1D nanomaterial preparation methods such as chemical vapor deposition (CVD), electric-arc discharge, laser ablation, laser cutting, and liquid electrolysis are frequently utilized to prepare CNTs. While anodic oxidation techniques, electron beam lithography, nano-imprint lithography, hydro/solvothermal synthesis, template-assisted, electrochemical deposition, and physical vapor deposition are commonly utilized to prepare NWs.  This section focuses on the1D nanomaterials used for fabricating flexible sensors, such as CNTs, metal and metal oxide NWs (gold, silver, copper, </w:t>
      </w:r>
      <w:proofErr w:type="spellStart"/>
      <w:r w:rsidRPr="00570690">
        <w:rPr>
          <w:rFonts w:ascii="Arial" w:hAnsi="Arial" w:cs="Arial"/>
          <w:sz w:val="20"/>
          <w:szCs w:val="20"/>
        </w:rPr>
        <w:t>zincoxide</w:t>
      </w:r>
      <w:proofErr w:type="spellEnd"/>
      <w:r w:rsidRPr="00570690">
        <w:rPr>
          <w:rFonts w:ascii="Arial" w:hAnsi="Arial" w:cs="Arial"/>
          <w:sz w:val="20"/>
          <w:szCs w:val="20"/>
        </w:rPr>
        <w:t>).</w:t>
      </w:r>
      <w:r w:rsidRPr="00570690">
        <w:rPr>
          <w:rFonts w:ascii="Arial" w:hAnsi="Arial" w:cs="Arial"/>
          <w:sz w:val="20"/>
          <w:szCs w:val="20"/>
          <w:vertAlign w:val="superscript"/>
        </w:rPr>
        <w:t xml:space="preserve"> </w:t>
      </w:r>
      <w:r w:rsidRPr="00570690">
        <w:rPr>
          <w:rFonts w:ascii="Arial" w:hAnsi="Arial" w:cs="Arial"/>
          <w:sz w:val="20"/>
          <w:szCs w:val="20"/>
        </w:rPr>
        <w:t>The below figure 3 talks about the applications of 1D nanomaterials</w:t>
      </w:r>
    </w:p>
    <w:p w14:paraId="7C09DB66" w14:textId="77777777" w:rsidR="00CC14D4" w:rsidRDefault="00CC14D4" w:rsidP="00CC14D4">
      <w:pPr>
        <w:spacing w:line="360" w:lineRule="auto"/>
        <w:jc w:val="center"/>
        <w:rPr>
          <w:rFonts w:ascii="Times New Roman" w:hAnsi="Times New Roman" w:cs="Times New Roman"/>
          <w:sz w:val="24"/>
          <w:szCs w:val="24"/>
          <w:vertAlign w:val="superscript"/>
        </w:rPr>
      </w:pPr>
      <w:r>
        <w:rPr>
          <w:rFonts w:ascii="Times New Roman" w:hAnsi="Times New Roman" w:cs="Times New Roman"/>
          <w:noProof/>
          <w:sz w:val="24"/>
          <w:szCs w:val="24"/>
          <w:vertAlign w:val="superscript"/>
        </w:rPr>
        <w:drawing>
          <wp:inline distT="0" distB="0" distL="0" distR="0" wp14:anchorId="06C46EDD" wp14:editId="38DDCD9B">
            <wp:extent cx="2349336" cy="1808018"/>
            <wp:effectExtent l="0" t="0" r="0" b="1905"/>
            <wp:docPr id="20718323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832336" name="Picture 207183233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07748" cy="1852971"/>
                    </a:xfrm>
                    <a:prstGeom prst="rect">
                      <a:avLst/>
                    </a:prstGeom>
                  </pic:spPr>
                </pic:pic>
              </a:graphicData>
            </a:graphic>
          </wp:inline>
        </w:drawing>
      </w:r>
    </w:p>
    <w:p w14:paraId="2132D2DD" w14:textId="722E8C02" w:rsidR="00CC14D4" w:rsidRPr="00570690" w:rsidRDefault="00CC14D4" w:rsidP="00CC14D4">
      <w:pPr>
        <w:spacing w:line="360" w:lineRule="auto"/>
        <w:jc w:val="center"/>
        <w:rPr>
          <w:rFonts w:ascii="Arial" w:hAnsi="Arial" w:cs="Arial"/>
          <w:b/>
          <w:bCs/>
          <w:sz w:val="20"/>
          <w:szCs w:val="20"/>
          <w:vertAlign w:val="superscript"/>
        </w:rPr>
      </w:pPr>
      <w:r w:rsidRPr="00570690">
        <w:rPr>
          <w:rFonts w:ascii="Arial" w:hAnsi="Arial" w:cs="Arial"/>
          <w:b/>
          <w:bCs/>
          <w:sz w:val="20"/>
          <w:szCs w:val="20"/>
        </w:rPr>
        <w:t>Fig. 5:</w:t>
      </w:r>
      <w:r w:rsidR="005C3F3B" w:rsidRPr="00570690">
        <w:rPr>
          <w:rFonts w:ascii="Arial" w:hAnsi="Arial" w:cs="Arial"/>
          <w:b/>
          <w:bCs/>
          <w:sz w:val="20"/>
          <w:szCs w:val="20"/>
        </w:rPr>
        <w:t xml:space="preserve"> </w:t>
      </w:r>
      <w:r w:rsidRPr="00570690">
        <w:rPr>
          <w:rFonts w:ascii="Arial" w:hAnsi="Arial" w:cs="Arial"/>
          <w:b/>
          <w:bCs/>
          <w:sz w:val="20"/>
          <w:szCs w:val="20"/>
        </w:rPr>
        <w:t xml:space="preserve">The uses of 1D nanomaterials in adaptable sensors </w:t>
      </w:r>
      <w:r w:rsidRPr="00570690">
        <w:rPr>
          <w:rFonts w:ascii="Arial" w:hAnsi="Arial" w:cs="Arial"/>
          <w:b/>
          <w:bCs/>
          <w:sz w:val="20"/>
          <w:szCs w:val="20"/>
          <w:vertAlign w:val="superscript"/>
        </w:rPr>
        <w:t>[12]</w:t>
      </w:r>
      <w:r w:rsidRPr="00570690">
        <w:rPr>
          <w:rFonts w:ascii="Arial" w:hAnsi="Arial" w:cs="Arial"/>
          <w:b/>
          <w:bCs/>
          <w:sz w:val="20"/>
          <w:szCs w:val="20"/>
        </w:rPr>
        <w:t>.</w:t>
      </w:r>
    </w:p>
    <w:p w14:paraId="35D03709" w14:textId="77777777" w:rsidR="00CC14D4" w:rsidRPr="00570690" w:rsidRDefault="00CC14D4" w:rsidP="00CC14D4">
      <w:pPr>
        <w:pStyle w:val="ListParagraph"/>
        <w:numPr>
          <w:ilvl w:val="0"/>
          <w:numId w:val="13"/>
        </w:numPr>
        <w:spacing w:line="360" w:lineRule="auto"/>
        <w:ind w:left="284" w:hanging="426"/>
        <w:jc w:val="both"/>
        <w:rPr>
          <w:rFonts w:ascii="Arial" w:hAnsi="Arial" w:cs="Arial"/>
          <w:b/>
          <w:bCs/>
          <w:sz w:val="20"/>
          <w:szCs w:val="20"/>
        </w:rPr>
      </w:pPr>
      <w:r w:rsidRPr="00570690">
        <w:rPr>
          <w:rFonts w:ascii="Arial" w:hAnsi="Arial" w:cs="Arial"/>
          <w:b/>
          <w:bCs/>
          <w:sz w:val="20"/>
          <w:szCs w:val="20"/>
        </w:rPr>
        <w:t>2D nanomaterials:</w:t>
      </w:r>
    </w:p>
    <w:p w14:paraId="0FDC2A71" w14:textId="77777777" w:rsidR="00CC14D4" w:rsidRPr="00570690" w:rsidRDefault="00CC14D4" w:rsidP="00CC14D4">
      <w:pPr>
        <w:spacing w:line="360" w:lineRule="auto"/>
        <w:ind w:firstLine="720"/>
        <w:jc w:val="both"/>
        <w:rPr>
          <w:rFonts w:ascii="Arial" w:hAnsi="Arial" w:cs="Arial"/>
          <w:sz w:val="20"/>
          <w:szCs w:val="20"/>
        </w:rPr>
      </w:pPr>
      <w:r w:rsidRPr="00570690">
        <w:rPr>
          <w:rFonts w:ascii="Arial" w:hAnsi="Arial" w:cs="Arial"/>
          <w:sz w:val="20"/>
          <w:szCs w:val="20"/>
        </w:rPr>
        <w:t>The electrical conductivity of flexible electronic devices can be improved by increasing the number of pathways for charge movement within the material. Since electrons can travel in a biaxial manner in 2D nanomaterials, these materials exhibit greater conductivity than 1D nanomaterials. As a result, 2D nanomaterials have garnered considerable research attention. Choi and Kim conducted a thorough evaluation of the progress and challenges of 2D nanomaterial approaches in biomedical engineering, taking into account the distinctive physical, chemical, electronic, and optical characteristics provided by the planar structure of 2D nanomaterials. This section emphasizes the hierarchical structural benefits and uses of 2D nanomaterials, Ti3 C2Tx titanium alloy, graphene and its variants, titanium carbide, transition metal dichalcogenides, and transition metal oxides in flexible and wearable electronic devices. The architecture of 2D nanomaterials can be enhanced to address the current constraints of 1D nanomaterials (e.g. larger surface area, enhanced elasticity, and enhanced electrical proper ties) and prepare high-performance flexible electronic devices.</w:t>
      </w:r>
    </w:p>
    <w:p w14:paraId="0C54E02F" w14:textId="77777777" w:rsidR="00CC14D4" w:rsidRDefault="00CC14D4" w:rsidP="00CC14D4">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30258B6D" wp14:editId="2B629F74">
            <wp:extent cx="2417618" cy="1813701"/>
            <wp:effectExtent l="0" t="0" r="1905" b="0"/>
            <wp:docPr id="348891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891266" name="Picture 34889126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58793" cy="1844590"/>
                    </a:xfrm>
                    <a:prstGeom prst="rect">
                      <a:avLst/>
                    </a:prstGeom>
                  </pic:spPr>
                </pic:pic>
              </a:graphicData>
            </a:graphic>
          </wp:inline>
        </w:drawing>
      </w:r>
    </w:p>
    <w:p w14:paraId="2F292838" w14:textId="77777777" w:rsidR="00CC14D4" w:rsidRPr="00570690" w:rsidRDefault="00CC14D4" w:rsidP="00CC14D4">
      <w:pPr>
        <w:spacing w:line="360" w:lineRule="auto"/>
        <w:jc w:val="center"/>
        <w:rPr>
          <w:rFonts w:ascii="Arial" w:hAnsi="Arial" w:cs="Arial"/>
          <w:b/>
          <w:bCs/>
          <w:sz w:val="20"/>
          <w:szCs w:val="20"/>
        </w:rPr>
      </w:pPr>
      <w:r w:rsidRPr="00570690">
        <w:rPr>
          <w:rFonts w:ascii="Arial" w:hAnsi="Arial" w:cs="Arial"/>
          <w:b/>
          <w:bCs/>
          <w:sz w:val="20"/>
          <w:szCs w:val="20"/>
        </w:rPr>
        <w:t xml:space="preserve">Fig. 6: The applications of graphene nanomaterials in flexible sensors </w:t>
      </w:r>
      <w:r w:rsidRPr="00570690">
        <w:rPr>
          <w:rFonts w:ascii="Arial" w:hAnsi="Arial" w:cs="Arial"/>
          <w:b/>
          <w:bCs/>
          <w:sz w:val="20"/>
          <w:szCs w:val="20"/>
          <w:vertAlign w:val="superscript"/>
        </w:rPr>
        <w:t>[12]</w:t>
      </w:r>
      <w:r w:rsidRPr="00570690">
        <w:rPr>
          <w:rFonts w:ascii="Arial" w:hAnsi="Arial" w:cs="Arial"/>
          <w:b/>
          <w:bCs/>
          <w:sz w:val="20"/>
          <w:szCs w:val="20"/>
        </w:rPr>
        <w:t>.</w:t>
      </w:r>
    </w:p>
    <w:p w14:paraId="36C49132" w14:textId="77777777" w:rsidR="00CC14D4" w:rsidRPr="00570690" w:rsidRDefault="00CC14D4" w:rsidP="00CC14D4">
      <w:pPr>
        <w:spacing w:line="360" w:lineRule="auto"/>
        <w:ind w:left="-426" w:firstLine="141"/>
        <w:rPr>
          <w:rFonts w:ascii="Arial" w:hAnsi="Arial" w:cs="Arial"/>
          <w:b/>
          <w:bCs/>
        </w:rPr>
      </w:pPr>
      <w:r w:rsidRPr="00570690">
        <w:rPr>
          <w:rFonts w:ascii="Arial" w:hAnsi="Arial" w:cs="Arial"/>
          <w:b/>
          <w:bCs/>
        </w:rPr>
        <w:t xml:space="preserve">5. NANOTECHNOLOGY IN MEDICATION ADVANCEMENT:  </w:t>
      </w:r>
    </w:p>
    <w:p w14:paraId="46574EBE" w14:textId="77777777" w:rsidR="00B2748F" w:rsidRPr="00570690" w:rsidRDefault="00B2748F" w:rsidP="00B2748F">
      <w:pPr>
        <w:spacing w:line="360" w:lineRule="auto"/>
        <w:ind w:left="-284" w:firstLine="426"/>
        <w:jc w:val="both"/>
        <w:rPr>
          <w:rFonts w:ascii="Arial" w:hAnsi="Arial" w:cs="Arial"/>
          <w:sz w:val="20"/>
          <w:szCs w:val="20"/>
        </w:rPr>
      </w:pPr>
      <w:r w:rsidRPr="00570690">
        <w:rPr>
          <w:rFonts w:ascii="Arial" w:hAnsi="Arial" w:cs="Arial"/>
          <w:sz w:val="20"/>
          <w:szCs w:val="20"/>
        </w:rPr>
        <w:t xml:space="preserve">Currently, preclinical and clinical data support the feasibility of targeted treatment for renal diseases using nanomaterial-based drug delivery systems. Using carriers with high biocompatibility, such as nanoparticles, hydrogels, liposomes, micelles, dendrimer polymers, adenoviruses, lysozymes, and elastin-like polypeptides, is essential for using nanomedicine to treat kidney diseases </w:t>
      </w:r>
      <w:r w:rsidR="00CC14D4" w:rsidRPr="00570690">
        <w:rPr>
          <w:rFonts w:ascii="Arial" w:hAnsi="Arial" w:cs="Arial"/>
          <w:sz w:val="20"/>
          <w:szCs w:val="20"/>
          <w:vertAlign w:val="superscript"/>
        </w:rPr>
        <w:t>[10]</w:t>
      </w:r>
      <w:r w:rsidRPr="00570690">
        <w:rPr>
          <w:rFonts w:ascii="Arial" w:hAnsi="Arial" w:cs="Arial"/>
          <w:sz w:val="20"/>
          <w:szCs w:val="20"/>
        </w:rPr>
        <w:t>.</w:t>
      </w:r>
    </w:p>
    <w:p w14:paraId="457F020D" w14:textId="7AD57FD0" w:rsidR="00CC14D4" w:rsidRPr="00570690" w:rsidRDefault="00B2748F" w:rsidP="00B2748F">
      <w:pPr>
        <w:spacing w:line="360" w:lineRule="auto"/>
        <w:ind w:left="-284" w:firstLine="426"/>
        <w:jc w:val="both"/>
        <w:rPr>
          <w:rFonts w:ascii="Arial" w:hAnsi="Arial" w:cs="Arial"/>
          <w:sz w:val="20"/>
          <w:szCs w:val="20"/>
        </w:rPr>
      </w:pPr>
      <w:r w:rsidRPr="00570690">
        <w:rPr>
          <w:rFonts w:ascii="Arial" w:hAnsi="Arial" w:cs="Arial"/>
          <w:sz w:val="20"/>
          <w:szCs w:val="20"/>
        </w:rPr>
        <w:t xml:space="preserve">Drug molecules typically cannot reach their designated site of action precisely; therefore, transporters that can efficiently deliver the required dosage of the treatment to its destination are required. Because of special structural features like the barrier function, the tissues in the eye, particularly the posterior segment, are difficult for drugs to reach. As a result, the field of ophthalmology has seen a large number of studies on nanoscale drug delivery devices </w:t>
      </w:r>
      <w:r w:rsidR="00CC14D4" w:rsidRPr="00570690">
        <w:rPr>
          <w:rFonts w:ascii="Arial" w:hAnsi="Arial" w:cs="Arial"/>
          <w:sz w:val="20"/>
          <w:szCs w:val="20"/>
          <w:vertAlign w:val="superscript"/>
        </w:rPr>
        <w:t>[13]</w:t>
      </w:r>
      <w:r w:rsidRPr="00570690">
        <w:rPr>
          <w:rFonts w:ascii="Arial" w:hAnsi="Arial" w:cs="Arial"/>
          <w:sz w:val="20"/>
          <w:szCs w:val="20"/>
        </w:rPr>
        <w:t>.</w:t>
      </w:r>
      <w:r w:rsidR="00CC14D4" w:rsidRPr="00570690">
        <w:rPr>
          <w:rFonts w:ascii="Arial" w:hAnsi="Arial" w:cs="Arial"/>
          <w:sz w:val="20"/>
          <w:szCs w:val="20"/>
          <w:vertAlign w:val="superscript"/>
        </w:rPr>
        <w:t xml:space="preserve"> </w:t>
      </w:r>
    </w:p>
    <w:p w14:paraId="347E8DC1" w14:textId="77777777" w:rsidR="00CC14D4" w:rsidRPr="00232B5B" w:rsidRDefault="00CC14D4" w:rsidP="00CC14D4">
      <w:pPr>
        <w:pStyle w:val="ListParagraph"/>
        <w:numPr>
          <w:ilvl w:val="1"/>
          <w:numId w:val="16"/>
        </w:numPr>
        <w:spacing w:line="360" w:lineRule="auto"/>
        <w:jc w:val="both"/>
        <w:rPr>
          <w:rFonts w:ascii="Arial" w:hAnsi="Arial" w:cs="Arial"/>
          <w:b/>
          <w:bCs/>
        </w:rPr>
      </w:pPr>
      <w:r w:rsidRPr="00232B5B">
        <w:rPr>
          <w:rFonts w:ascii="Arial" w:hAnsi="Arial" w:cs="Arial"/>
          <w:b/>
          <w:bCs/>
        </w:rPr>
        <w:t xml:space="preserve"> Creation of a drug delivery system (DDS)</w:t>
      </w:r>
      <w:r w:rsidRPr="00232B5B">
        <w:rPr>
          <w:rFonts w:ascii="Arial" w:hAnsi="Arial" w:cs="Arial"/>
        </w:rPr>
        <w:t xml:space="preserve"> </w:t>
      </w:r>
      <w:r w:rsidRPr="00232B5B">
        <w:rPr>
          <w:rFonts w:ascii="Arial" w:hAnsi="Arial" w:cs="Arial"/>
          <w:b/>
          <w:bCs/>
        </w:rPr>
        <w:t>through the application of nanotechnology:</w:t>
      </w:r>
    </w:p>
    <w:p w14:paraId="76110791" w14:textId="77777777" w:rsidR="00CC14D4" w:rsidRPr="00570690" w:rsidRDefault="00CC14D4" w:rsidP="00CC14D4">
      <w:pPr>
        <w:spacing w:line="360" w:lineRule="auto"/>
        <w:jc w:val="both"/>
        <w:rPr>
          <w:rFonts w:ascii="Arial" w:hAnsi="Arial" w:cs="Arial"/>
          <w:sz w:val="20"/>
          <w:szCs w:val="20"/>
        </w:rPr>
      </w:pPr>
      <w:r w:rsidRPr="00570690">
        <w:rPr>
          <w:rFonts w:ascii="Arial" w:hAnsi="Arial" w:cs="Arial"/>
          <w:b/>
          <w:bCs/>
          <w:sz w:val="20"/>
          <w:szCs w:val="20"/>
        </w:rPr>
        <w:t xml:space="preserve"> </w:t>
      </w:r>
      <w:r w:rsidRPr="00570690">
        <w:rPr>
          <w:rFonts w:ascii="Arial" w:hAnsi="Arial" w:cs="Arial"/>
          <w:b/>
          <w:bCs/>
          <w:sz w:val="20"/>
          <w:szCs w:val="20"/>
        </w:rPr>
        <w:tab/>
      </w:r>
      <w:r w:rsidRPr="00570690">
        <w:rPr>
          <w:rFonts w:ascii="Arial" w:hAnsi="Arial" w:cs="Arial"/>
          <w:sz w:val="20"/>
          <w:szCs w:val="20"/>
        </w:rPr>
        <w:t xml:space="preserve">The creation of a drug delivery system (DDS) suitable for the posterior segment of the eye, utilizing nanocarriers to address the challenge of frequent intravitreal injections, has garnered significant interest. DDSs with suitable spatiotemporal attributes are engineered to enable medications to influence the intended tissue. effectively, and typically, three categories of methods are employed:  </w:t>
      </w:r>
    </w:p>
    <w:p w14:paraId="065C3972" w14:textId="77777777" w:rsidR="00CC14D4" w:rsidRPr="00570690" w:rsidRDefault="00CC14D4" w:rsidP="00CC14D4">
      <w:pPr>
        <w:pStyle w:val="ListParagraph"/>
        <w:numPr>
          <w:ilvl w:val="0"/>
          <w:numId w:val="2"/>
        </w:numPr>
        <w:spacing w:line="360" w:lineRule="auto"/>
        <w:jc w:val="both"/>
        <w:rPr>
          <w:rFonts w:ascii="Arial" w:hAnsi="Arial" w:cs="Arial"/>
          <w:sz w:val="20"/>
          <w:szCs w:val="20"/>
        </w:rPr>
      </w:pPr>
      <w:r w:rsidRPr="00570690">
        <w:rPr>
          <w:rFonts w:ascii="Arial" w:hAnsi="Arial" w:cs="Arial"/>
          <w:sz w:val="20"/>
          <w:szCs w:val="20"/>
        </w:rPr>
        <w:t xml:space="preserve">absorption enhancement – facilitation of a drug's movement across tissue that acts as a barrier;  </w:t>
      </w:r>
    </w:p>
    <w:p w14:paraId="1B146FF5" w14:textId="77777777" w:rsidR="00CC14D4" w:rsidRPr="00570690" w:rsidRDefault="00CC14D4" w:rsidP="00CC14D4">
      <w:pPr>
        <w:pStyle w:val="ListParagraph"/>
        <w:numPr>
          <w:ilvl w:val="0"/>
          <w:numId w:val="2"/>
        </w:numPr>
        <w:spacing w:line="360" w:lineRule="auto"/>
        <w:jc w:val="both"/>
        <w:rPr>
          <w:rFonts w:ascii="Arial" w:hAnsi="Arial" w:cs="Arial"/>
          <w:sz w:val="20"/>
          <w:szCs w:val="20"/>
        </w:rPr>
      </w:pPr>
      <w:r w:rsidRPr="00570690">
        <w:rPr>
          <w:rFonts w:ascii="Arial" w:hAnsi="Arial" w:cs="Arial"/>
          <w:sz w:val="20"/>
          <w:szCs w:val="20"/>
        </w:rPr>
        <w:t xml:space="preserve">controlled release – effective time-regulated prolonged release of a locally delivered medication; and  </w:t>
      </w:r>
    </w:p>
    <w:p w14:paraId="7A17BD8D" w14:textId="77777777" w:rsidR="00CC14D4" w:rsidRPr="00570690" w:rsidRDefault="00CC14D4" w:rsidP="00CC14D4">
      <w:pPr>
        <w:pStyle w:val="ListParagraph"/>
        <w:numPr>
          <w:ilvl w:val="0"/>
          <w:numId w:val="2"/>
        </w:numPr>
        <w:spacing w:line="360" w:lineRule="auto"/>
        <w:jc w:val="both"/>
        <w:rPr>
          <w:rFonts w:ascii="Arial" w:hAnsi="Arial" w:cs="Arial"/>
          <w:sz w:val="20"/>
          <w:szCs w:val="20"/>
          <w:vertAlign w:val="superscript"/>
        </w:rPr>
      </w:pPr>
      <w:r w:rsidRPr="00570690">
        <w:rPr>
          <w:rFonts w:ascii="Arial" w:hAnsi="Arial" w:cs="Arial"/>
          <w:sz w:val="20"/>
          <w:szCs w:val="20"/>
        </w:rPr>
        <w:t>drug targeting – to enable it to function effectively and solely on the intended tissue. Among ophthalmic drug delivery systems (DDS) utilizing nanocarriers, liposomes and micro/nanospheres have been researched the most thoroughly; additional systems comprise emulsions and dendrimers.</w:t>
      </w:r>
      <w:r w:rsidRPr="00570690">
        <w:rPr>
          <w:rFonts w:ascii="Arial" w:hAnsi="Arial" w:cs="Arial"/>
          <w:sz w:val="20"/>
          <w:szCs w:val="20"/>
          <w:vertAlign w:val="superscript"/>
        </w:rPr>
        <w:t>[13]</w:t>
      </w:r>
    </w:p>
    <w:p w14:paraId="7BCFC939" w14:textId="77777777" w:rsidR="00CC14D4" w:rsidRPr="00570690" w:rsidRDefault="00CC14D4" w:rsidP="00CC14D4">
      <w:pPr>
        <w:pStyle w:val="ListParagraph"/>
        <w:numPr>
          <w:ilvl w:val="0"/>
          <w:numId w:val="7"/>
        </w:numPr>
        <w:spacing w:line="360" w:lineRule="auto"/>
        <w:jc w:val="both"/>
        <w:rPr>
          <w:rFonts w:ascii="Arial" w:hAnsi="Arial" w:cs="Arial"/>
          <w:b/>
          <w:bCs/>
          <w:sz w:val="20"/>
          <w:szCs w:val="20"/>
        </w:rPr>
      </w:pPr>
      <w:r w:rsidRPr="00570690">
        <w:rPr>
          <w:rFonts w:ascii="Arial" w:hAnsi="Arial" w:cs="Arial"/>
          <w:b/>
          <w:bCs/>
          <w:sz w:val="20"/>
          <w:szCs w:val="20"/>
        </w:rPr>
        <w:t>NANOCARRIERS:</w:t>
      </w:r>
    </w:p>
    <w:p w14:paraId="4A02BB62" w14:textId="77777777" w:rsidR="00B2748F" w:rsidRPr="00570690" w:rsidRDefault="00B2748F" w:rsidP="00B2748F">
      <w:pPr>
        <w:spacing w:after="0" w:line="360" w:lineRule="auto"/>
        <w:ind w:left="720" w:firstLine="720"/>
        <w:jc w:val="both"/>
        <w:rPr>
          <w:rFonts w:ascii="Arial" w:eastAsia="Times New Roman" w:hAnsi="Arial" w:cs="Arial"/>
          <w:sz w:val="20"/>
          <w:szCs w:val="20"/>
          <w:lang w:eastAsia="en-IN"/>
        </w:rPr>
      </w:pPr>
      <w:r w:rsidRPr="00570690">
        <w:rPr>
          <w:rFonts w:ascii="Arial" w:eastAsia="Times New Roman" w:hAnsi="Arial" w:cs="Arial"/>
          <w:sz w:val="20"/>
          <w:szCs w:val="20"/>
          <w:lang w:eastAsia="en-IN"/>
        </w:rPr>
        <w:t xml:space="preserve">Pharmaceutical nanocarriers are highly versatile delivery devices that are submicron in size. They include liposomes, nanotubes, nanocomplexes, and inorganic, lipid-based, and polymer-based nanoparticles. In essence, ligands can be attached to the outside of nanocarriers to improve target selectivity and absorption. Drugs may be positioned between the nanocarrier's layers or dispersed throughout the nanocarrier matrix. Because their size, charge, and surface can be more easily customized, nanocarriers provide many advantages over traditional medication therapies. To control </w:t>
      </w:r>
      <w:r w:rsidRPr="00570690">
        <w:rPr>
          <w:rFonts w:ascii="Arial" w:eastAsia="Times New Roman" w:hAnsi="Arial" w:cs="Arial"/>
          <w:sz w:val="20"/>
          <w:szCs w:val="20"/>
          <w:lang w:eastAsia="en-IN"/>
        </w:rPr>
        <w:lastRenderedPageBreak/>
        <w:t>their absorption, distribution, targeting, and elimination, use properties and targeting agents. There are several ways to administer them, including parenteral, nasal, topical, and oral techniques.</w:t>
      </w:r>
    </w:p>
    <w:p w14:paraId="6D678B69" w14:textId="5A8D3A51" w:rsidR="00CC14D4" w:rsidRPr="00570690" w:rsidRDefault="00B2748F" w:rsidP="00B2748F">
      <w:pPr>
        <w:spacing w:line="360" w:lineRule="auto"/>
        <w:ind w:left="720" w:firstLine="720"/>
        <w:jc w:val="both"/>
        <w:rPr>
          <w:rFonts w:ascii="Arial" w:hAnsi="Arial" w:cs="Arial"/>
          <w:sz w:val="20"/>
          <w:szCs w:val="20"/>
        </w:rPr>
      </w:pPr>
      <w:r w:rsidRPr="00570690">
        <w:rPr>
          <w:rFonts w:ascii="Arial" w:hAnsi="Arial" w:cs="Arial"/>
          <w:sz w:val="20"/>
          <w:szCs w:val="20"/>
        </w:rPr>
        <w:t xml:space="preserve">The necessity for developing nanocarriers to treat a variety of diseases is increasing as a result of these advantages. Thus, in recent decades, a variety of characterisation techniques have been proposed and applied to control and predict the </w:t>
      </w:r>
      <w:proofErr w:type="spellStart"/>
      <w:r w:rsidRPr="00570690">
        <w:rPr>
          <w:rFonts w:ascii="Arial" w:hAnsi="Arial" w:cs="Arial"/>
          <w:sz w:val="20"/>
          <w:szCs w:val="20"/>
        </w:rPr>
        <w:t>behavior</w:t>
      </w:r>
      <w:proofErr w:type="spellEnd"/>
      <w:r w:rsidRPr="00570690">
        <w:rPr>
          <w:rFonts w:ascii="Arial" w:hAnsi="Arial" w:cs="Arial"/>
          <w:sz w:val="20"/>
          <w:szCs w:val="20"/>
        </w:rPr>
        <w:t xml:space="preserve"> of nanocarriers in vitro and in vivo. The commonly employed characterization methodologies assess the nanocarriers' mechanical qualities, stability, tissue permeability, possible toxicity, physicochemical properties, drug loading capacity, release rates, and in vivo results. For the majority of nanocarrier drug delivery systems (DDSs), we describe in this study the fundamental characterisation methods that are often used. The limitations of these techniques are also covered, along with the scalability issues and regulatory obstacles associated with nanocarrier production </w:t>
      </w:r>
      <w:r w:rsidR="00CC14D4" w:rsidRPr="00570690">
        <w:rPr>
          <w:rFonts w:ascii="Arial" w:hAnsi="Arial" w:cs="Arial"/>
          <w:sz w:val="20"/>
          <w:szCs w:val="20"/>
          <w:vertAlign w:val="superscript"/>
        </w:rPr>
        <w:t>[14]</w:t>
      </w:r>
      <w:r w:rsidR="00CC14D4" w:rsidRPr="00570690">
        <w:rPr>
          <w:rFonts w:ascii="Arial" w:hAnsi="Arial" w:cs="Arial"/>
          <w:sz w:val="20"/>
          <w:szCs w:val="20"/>
        </w:rPr>
        <w:t>.</w:t>
      </w:r>
    </w:p>
    <w:p w14:paraId="385C3727" w14:textId="77777777" w:rsidR="00CC14D4" w:rsidRPr="00570690" w:rsidRDefault="00CC14D4" w:rsidP="00CC14D4">
      <w:pPr>
        <w:pStyle w:val="ListParagraph"/>
        <w:numPr>
          <w:ilvl w:val="0"/>
          <w:numId w:val="7"/>
        </w:numPr>
        <w:spacing w:line="360" w:lineRule="auto"/>
        <w:ind w:left="284" w:hanging="142"/>
        <w:jc w:val="both"/>
        <w:rPr>
          <w:rFonts w:ascii="Arial" w:hAnsi="Arial" w:cs="Arial"/>
          <w:b/>
          <w:bCs/>
          <w:sz w:val="20"/>
          <w:szCs w:val="20"/>
        </w:rPr>
      </w:pPr>
      <w:r w:rsidRPr="00570690">
        <w:rPr>
          <w:rFonts w:ascii="Arial" w:hAnsi="Arial" w:cs="Arial"/>
          <w:b/>
          <w:bCs/>
          <w:sz w:val="20"/>
          <w:szCs w:val="20"/>
        </w:rPr>
        <w:t>LIPOSOMES:</w:t>
      </w:r>
    </w:p>
    <w:p w14:paraId="44BC9E52" w14:textId="77777777" w:rsidR="00CC14D4" w:rsidRPr="00570690" w:rsidRDefault="00CC14D4" w:rsidP="00CC14D4">
      <w:pPr>
        <w:spacing w:line="360" w:lineRule="auto"/>
        <w:ind w:left="720" w:firstLine="720"/>
        <w:jc w:val="both"/>
        <w:rPr>
          <w:rFonts w:ascii="Arial" w:hAnsi="Arial" w:cs="Arial"/>
          <w:sz w:val="20"/>
          <w:szCs w:val="20"/>
        </w:rPr>
      </w:pPr>
      <w:r w:rsidRPr="00570690">
        <w:rPr>
          <w:rFonts w:ascii="Arial" w:hAnsi="Arial" w:cs="Arial"/>
          <w:sz w:val="20"/>
          <w:szCs w:val="20"/>
        </w:rPr>
        <w:t xml:space="preserve">Liposomes are sealed vesicles (tiny lipid vesicles) made up of a phospholipid bilayer, with water-soluble drugs being able to be integrated into their aqueous phase, while lipid-soluble drugs can be included in their lipid phase. Liposomes offer numerous benefits as drug delivery systems:  </w:t>
      </w:r>
    </w:p>
    <w:p w14:paraId="3047DA9D" w14:textId="77777777" w:rsidR="009141FF" w:rsidRPr="00570690" w:rsidRDefault="009141FF" w:rsidP="009141FF">
      <w:pPr>
        <w:pStyle w:val="ListParagraph"/>
        <w:numPr>
          <w:ilvl w:val="0"/>
          <w:numId w:val="18"/>
        </w:numPr>
        <w:spacing w:line="360" w:lineRule="auto"/>
        <w:jc w:val="both"/>
        <w:rPr>
          <w:rFonts w:ascii="Arial" w:hAnsi="Arial" w:cs="Arial"/>
          <w:sz w:val="20"/>
          <w:szCs w:val="20"/>
        </w:rPr>
      </w:pPr>
      <w:r w:rsidRPr="00570690">
        <w:rPr>
          <w:rFonts w:ascii="Arial" w:hAnsi="Arial" w:cs="Arial"/>
          <w:sz w:val="20"/>
          <w:szCs w:val="20"/>
        </w:rPr>
        <w:t xml:space="preserve">Their lipid composition, size, and electrical charge are easily controlled since they are noncovalent assemblies.  </w:t>
      </w:r>
    </w:p>
    <w:p w14:paraId="7B944729" w14:textId="77777777" w:rsidR="009141FF" w:rsidRPr="00570690" w:rsidRDefault="009141FF" w:rsidP="009141FF">
      <w:pPr>
        <w:pStyle w:val="ListParagraph"/>
        <w:numPr>
          <w:ilvl w:val="0"/>
          <w:numId w:val="18"/>
        </w:numPr>
        <w:spacing w:line="360" w:lineRule="auto"/>
        <w:jc w:val="both"/>
        <w:rPr>
          <w:rFonts w:ascii="Arial" w:hAnsi="Arial" w:cs="Arial"/>
          <w:sz w:val="20"/>
          <w:szCs w:val="20"/>
        </w:rPr>
      </w:pPr>
      <w:r w:rsidRPr="00570690">
        <w:rPr>
          <w:rFonts w:ascii="Arial" w:hAnsi="Arial" w:cs="Arial"/>
          <w:sz w:val="20"/>
          <w:szCs w:val="20"/>
        </w:rPr>
        <w:t xml:space="preserve">It is simple to modify them utilizing surface polymers, sugars, and antibodies to improve targeting. Liposomes are essentially non-toxic and have a low antigenicity. </w:t>
      </w:r>
    </w:p>
    <w:p w14:paraId="4962C0EB" w14:textId="77777777" w:rsidR="009141FF" w:rsidRPr="00570690" w:rsidRDefault="009141FF" w:rsidP="009141FF">
      <w:pPr>
        <w:pStyle w:val="ListParagraph"/>
        <w:numPr>
          <w:ilvl w:val="0"/>
          <w:numId w:val="18"/>
        </w:numPr>
        <w:spacing w:line="360" w:lineRule="auto"/>
        <w:jc w:val="both"/>
        <w:rPr>
          <w:rFonts w:ascii="Arial" w:hAnsi="Arial" w:cs="Arial"/>
          <w:sz w:val="20"/>
          <w:szCs w:val="20"/>
        </w:rPr>
      </w:pPr>
      <w:r w:rsidRPr="00570690">
        <w:rPr>
          <w:rFonts w:ascii="Arial" w:hAnsi="Arial" w:cs="Arial"/>
          <w:sz w:val="20"/>
          <w:szCs w:val="20"/>
        </w:rPr>
        <w:t xml:space="preserve">Features like membrane permeability can be somewhat controlled; </w:t>
      </w:r>
    </w:p>
    <w:p w14:paraId="11772B3D" w14:textId="77777777" w:rsidR="009141FF" w:rsidRPr="00570690" w:rsidRDefault="009141FF" w:rsidP="009141FF">
      <w:pPr>
        <w:pStyle w:val="ListParagraph"/>
        <w:numPr>
          <w:ilvl w:val="0"/>
          <w:numId w:val="18"/>
        </w:numPr>
        <w:spacing w:line="360" w:lineRule="auto"/>
        <w:jc w:val="both"/>
        <w:rPr>
          <w:rFonts w:ascii="Arial" w:hAnsi="Arial" w:cs="Arial"/>
          <w:sz w:val="20"/>
          <w:szCs w:val="20"/>
        </w:rPr>
      </w:pPr>
      <w:r w:rsidRPr="00570690">
        <w:rPr>
          <w:rFonts w:ascii="Arial" w:hAnsi="Arial" w:cs="Arial"/>
          <w:sz w:val="20"/>
          <w:szCs w:val="20"/>
        </w:rPr>
        <w:t xml:space="preserve">Liposomes can encapsulate a variety of solutes with different molecular weights and properties, such as hydrophobic, hydrophilic, and amphipathic molecules; </w:t>
      </w:r>
    </w:p>
    <w:p w14:paraId="10A2FBFF" w14:textId="61B5AB3D" w:rsidR="009141FF" w:rsidRPr="00570690" w:rsidRDefault="009141FF" w:rsidP="009141FF">
      <w:pPr>
        <w:pStyle w:val="ListParagraph"/>
        <w:numPr>
          <w:ilvl w:val="0"/>
          <w:numId w:val="18"/>
        </w:numPr>
        <w:spacing w:line="360" w:lineRule="auto"/>
        <w:jc w:val="both"/>
        <w:rPr>
          <w:rFonts w:ascii="Arial" w:hAnsi="Arial" w:cs="Arial"/>
          <w:sz w:val="20"/>
          <w:szCs w:val="20"/>
        </w:rPr>
      </w:pPr>
      <w:r w:rsidRPr="00570690">
        <w:rPr>
          <w:rFonts w:ascii="Arial" w:hAnsi="Arial" w:cs="Arial"/>
          <w:sz w:val="20"/>
          <w:szCs w:val="20"/>
        </w:rPr>
        <w:t>Liposomes may be biodegradable and metabolized within a living organism.</w:t>
      </w:r>
    </w:p>
    <w:p w14:paraId="5D268123" w14:textId="77777777" w:rsidR="00456C0F" w:rsidRPr="00570690" w:rsidRDefault="00456C0F" w:rsidP="00456C0F">
      <w:pPr>
        <w:spacing w:line="360" w:lineRule="auto"/>
        <w:ind w:left="720" w:firstLine="720"/>
        <w:jc w:val="both"/>
        <w:rPr>
          <w:rFonts w:ascii="Arial" w:hAnsi="Arial" w:cs="Arial"/>
          <w:sz w:val="20"/>
          <w:szCs w:val="20"/>
        </w:rPr>
      </w:pPr>
      <w:r w:rsidRPr="00570690">
        <w:rPr>
          <w:rFonts w:ascii="Arial" w:hAnsi="Arial" w:cs="Arial"/>
          <w:sz w:val="20"/>
          <w:szCs w:val="20"/>
        </w:rPr>
        <w:t>In a previous study, both liposome-encapsulated and unencapsulated ganciclovir (GCV) were injected into the rabbits' vitreous bodies with the goal of eventually using GCV in the treatment of cytomegalovirus retinitis during AIDS patients. Using an enzyme-linked immunosorbent test (ELISA) of the vitreous after a single intravitreal injection, the amount of GCV in the eye was measured. injections of 1 mg of liposome-encased GCV or different concentrations of the unencapsulated drug (0.2–20 mg). Only the rabbits' vitreous showed therapeutic concentrations of GCV three days after the intravitreal injection if they had been given a free dose of at least 5 mg.</w:t>
      </w:r>
    </w:p>
    <w:p w14:paraId="11CD97A5" w14:textId="578F5AF5" w:rsidR="00CC14D4" w:rsidRPr="00570690" w:rsidRDefault="00456C0F" w:rsidP="00456C0F">
      <w:pPr>
        <w:spacing w:line="360" w:lineRule="auto"/>
        <w:ind w:left="720" w:firstLine="720"/>
        <w:jc w:val="both"/>
        <w:rPr>
          <w:rFonts w:ascii="Arial" w:hAnsi="Arial" w:cs="Arial"/>
          <w:sz w:val="20"/>
          <w:szCs w:val="20"/>
        </w:rPr>
      </w:pPr>
      <w:r w:rsidRPr="00570690">
        <w:rPr>
          <w:rFonts w:ascii="Arial" w:hAnsi="Arial" w:cs="Arial"/>
          <w:sz w:val="20"/>
          <w:szCs w:val="20"/>
        </w:rPr>
        <w:t>At doses of 15 mg or more, unencapsulated GCV also caused retinopathy. The group given 1 mg of liposome-encapsulated GCV, on the other hand, did not have any retinopathy, and the drug's concentration remained at therapeutic levels for up to 14 days after injection. Additionally, in patients with AIDS-related cytomegalovirus retinitis, intravitreal injection of 0.25 mL (1 mg) of liposome-encapsulated GCV prevented the progression of retinal haemorrhages, retinal detachment, and cytomegalovirus (CMV) retinitis when compared to the results of injecting free GCV as a control</w:t>
      </w:r>
      <w:r w:rsidR="00CC14D4" w:rsidRPr="00570690">
        <w:rPr>
          <w:rFonts w:ascii="Arial" w:hAnsi="Arial" w:cs="Arial"/>
          <w:sz w:val="20"/>
          <w:szCs w:val="20"/>
        </w:rPr>
        <w:t xml:space="preserve">. </w:t>
      </w:r>
      <w:r w:rsidRPr="00570690">
        <w:rPr>
          <w:rFonts w:ascii="Arial" w:hAnsi="Arial" w:cs="Arial"/>
          <w:sz w:val="20"/>
          <w:szCs w:val="20"/>
        </w:rPr>
        <w:t xml:space="preserve">Furthermore, prior research has shown that liposome-encapsulated GCV required fewer intravitreal injections than free GCV. Adding polyethylene glycol (PEG) to the liposome surfaces can further </w:t>
      </w:r>
      <w:r w:rsidRPr="00570690">
        <w:rPr>
          <w:rFonts w:ascii="Arial" w:hAnsi="Arial" w:cs="Arial"/>
          <w:sz w:val="20"/>
          <w:szCs w:val="20"/>
        </w:rPr>
        <w:lastRenderedPageBreak/>
        <w:t xml:space="preserve">improve the drug's stability in the vitreous body because PEG-modified liposomes offer steric stabilization by encircling the liposomal surface with a uniform aqueous layer </w:t>
      </w:r>
      <w:r w:rsidR="00CC14D4" w:rsidRPr="00570690">
        <w:rPr>
          <w:rFonts w:ascii="Arial" w:hAnsi="Arial" w:cs="Arial"/>
          <w:sz w:val="20"/>
          <w:szCs w:val="20"/>
          <w:vertAlign w:val="superscript"/>
        </w:rPr>
        <w:t>[13]</w:t>
      </w:r>
      <w:r w:rsidRPr="00570690">
        <w:rPr>
          <w:rFonts w:ascii="Arial" w:hAnsi="Arial" w:cs="Arial"/>
          <w:sz w:val="20"/>
          <w:szCs w:val="20"/>
        </w:rPr>
        <w:t>.</w:t>
      </w:r>
    </w:p>
    <w:p w14:paraId="173F524F" w14:textId="77777777" w:rsidR="00CC14D4" w:rsidRPr="000D0053" w:rsidRDefault="00CC14D4" w:rsidP="00CC14D4">
      <w:pPr>
        <w:spacing w:line="360" w:lineRule="auto"/>
        <w:ind w:left="1440" w:firstLine="720"/>
        <w:rPr>
          <w:rFonts w:ascii="Times New Roman" w:hAnsi="Times New Roman" w:cs="Times New Roman"/>
          <w:sz w:val="24"/>
          <w:szCs w:val="24"/>
          <w:vertAlign w:val="superscript"/>
        </w:rPr>
      </w:pPr>
      <w:r w:rsidRPr="000D0053">
        <w:rPr>
          <w:rFonts w:ascii="Times New Roman" w:hAnsi="Times New Roman" w:cs="Times New Roman"/>
          <w:noProof/>
          <w:sz w:val="24"/>
          <w:szCs w:val="24"/>
        </w:rPr>
        <w:drawing>
          <wp:inline distT="0" distB="0" distL="0" distR="0" wp14:anchorId="2F31699A" wp14:editId="15AD1748">
            <wp:extent cx="2750127" cy="1618803"/>
            <wp:effectExtent l="0" t="0" r="0" b="635"/>
            <wp:docPr id="9090756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075682" name="Picture 909075682"/>
                    <pic:cNvPicPr/>
                  </pic:nvPicPr>
                  <pic:blipFill>
                    <a:blip r:embed="rId15">
                      <a:extLst>
                        <a:ext uri="{28A0092B-C50C-407E-A947-70E740481C1C}">
                          <a14:useLocalDpi xmlns:a14="http://schemas.microsoft.com/office/drawing/2010/main" val="0"/>
                        </a:ext>
                      </a:extLst>
                    </a:blip>
                    <a:srcRect l="5435" r="16006"/>
                    <a:stretch>
                      <a:fillRect/>
                    </a:stretch>
                  </pic:blipFill>
                  <pic:spPr bwMode="auto">
                    <a:xfrm>
                      <a:off x="0" y="0"/>
                      <a:ext cx="2785016" cy="1639340"/>
                    </a:xfrm>
                    <a:prstGeom prst="rect">
                      <a:avLst/>
                    </a:prstGeom>
                    <a:ln>
                      <a:noFill/>
                    </a:ln>
                    <a:extLst>
                      <a:ext uri="{53640926-AAD7-44D8-BBD7-CCE9431645EC}">
                        <a14:shadowObscured xmlns:a14="http://schemas.microsoft.com/office/drawing/2010/main"/>
                      </a:ext>
                    </a:extLst>
                  </pic:spPr>
                </pic:pic>
              </a:graphicData>
            </a:graphic>
          </wp:inline>
        </w:drawing>
      </w:r>
    </w:p>
    <w:p w14:paraId="73457178" w14:textId="77777777" w:rsidR="00CC14D4" w:rsidRPr="00CA0357" w:rsidRDefault="00CC14D4" w:rsidP="00CC14D4">
      <w:pPr>
        <w:spacing w:line="360" w:lineRule="auto"/>
        <w:jc w:val="center"/>
        <w:rPr>
          <w:rFonts w:ascii="Arial" w:hAnsi="Arial" w:cs="Arial"/>
          <w:b/>
          <w:bCs/>
          <w:sz w:val="20"/>
          <w:szCs w:val="20"/>
        </w:rPr>
      </w:pPr>
      <w:r w:rsidRPr="00CA0357">
        <w:rPr>
          <w:rFonts w:ascii="Arial" w:hAnsi="Arial" w:cs="Arial"/>
          <w:b/>
          <w:bCs/>
          <w:sz w:val="20"/>
          <w:szCs w:val="20"/>
        </w:rPr>
        <w:t xml:space="preserve">Fig. 7. different formulations of injectable particles </w:t>
      </w:r>
      <w:r w:rsidRPr="00CA0357">
        <w:rPr>
          <w:rFonts w:ascii="Arial" w:hAnsi="Arial" w:cs="Arial"/>
          <w:b/>
          <w:bCs/>
          <w:sz w:val="20"/>
          <w:szCs w:val="20"/>
          <w:vertAlign w:val="superscript"/>
        </w:rPr>
        <w:t>[13]</w:t>
      </w:r>
      <w:r w:rsidRPr="00CA0357">
        <w:rPr>
          <w:rFonts w:ascii="Arial" w:hAnsi="Arial" w:cs="Arial"/>
          <w:b/>
          <w:bCs/>
          <w:sz w:val="20"/>
          <w:szCs w:val="20"/>
        </w:rPr>
        <w:t>.</w:t>
      </w:r>
    </w:p>
    <w:p w14:paraId="4A1F0174" w14:textId="77777777" w:rsidR="00CC14D4" w:rsidRPr="00CA0357" w:rsidRDefault="00CC14D4" w:rsidP="00CC14D4">
      <w:pPr>
        <w:pStyle w:val="ListParagraph"/>
        <w:numPr>
          <w:ilvl w:val="0"/>
          <w:numId w:val="7"/>
        </w:numPr>
        <w:spacing w:line="360" w:lineRule="auto"/>
        <w:ind w:left="284"/>
        <w:jc w:val="both"/>
        <w:rPr>
          <w:rFonts w:ascii="Arial" w:hAnsi="Arial" w:cs="Arial"/>
          <w:b/>
          <w:bCs/>
          <w:sz w:val="20"/>
          <w:szCs w:val="20"/>
        </w:rPr>
      </w:pPr>
      <w:r w:rsidRPr="00CA0357">
        <w:rPr>
          <w:rFonts w:ascii="Arial" w:hAnsi="Arial" w:cs="Arial"/>
          <w:b/>
          <w:bCs/>
          <w:sz w:val="20"/>
          <w:szCs w:val="20"/>
        </w:rPr>
        <w:t>MICRO / NANOSPHERES:</w:t>
      </w:r>
    </w:p>
    <w:p w14:paraId="46F367A2" w14:textId="60B736F5" w:rsidR="00CC14D4" w:rsidRPr="00CA0357" w:rsidRDefault="004F1926" w:rsidP="004F1926">
      <w:pPr>
        <w:spacing w:line="360" w:lineRule="auto"/>
        <w:ind w:left="720" w:firstLine="720"/>
        <w:jc w:val="both"/>
        <w:rPr>
          <w:rFonts w:ascii="Arial" w:hAnsi="Arial" w:cs="Arial"/>
          <w:sz w:val="20"/>
          <w:szCs w:val="20"/>
        </w:rPr>
      </w:pPr>
      <w:r w:rsidRPr="00CA0357">
        <w:rPr>
          <w:rFonts w:ascii="Arial" w:hAnsi="Arial" w:cs="Arial"/>
          <w:sz w:val="20"/>
          <w:szCs w:val="20"/>
        </w:rPr>
        <w:t xml:space="preserve">Round compositions of particles with sizes ranging from 1 </w:t>
      </w:r>
      <w:proofErr w:type="spellStart"/>
      <w:r w:rsidRPr="00CA0357">
        <w:rPr>
          <w:rFonts w:ascii="Arial" w:hAnsi="Arial" w:cs="Arial"/>
          <w:sz w:val="20"/>
          <w:szCs w:val="20"/>
        </w:rPr>
        <w:t>μm</w:t>
      </w:r>
      <w:proofErr w:type="spellEnd"/>
      <w:r w:rsidRPr="00CA0357">
        <w:rPr>
          <w:rFonts w:ascii="Arial" w:hAnsi="Arial" w:cs="Arial"/>
          <w:sz w:val="20"/>
          <w:szCs w:val="20"/>
        </w:rPr>
        <w:t xml:space="preserve"> to several hundred </w:t>
      </w:r>
      <w:proofErr w:type="spellStart"/>
      <w:r w:rsidRPr="00CA0357">
        <w:rPr>
          <w:rFonts w:ascii="Arial" w:hAnsi="Arial" w:cs="Arial"/>
          <w:sz w:val="20"/>
          <w:szCs w:val="20"/>
        </w:rPr>
        <w:t>micrometers</w:t>
      </w:r>
      <w:proofErr w:type="spellEnd"/>
      <w:r w:rsidRPr="00CA0357">
        <w:rPr>
          <w:rFonts w:ascii="Arial" w:hAnsi="Arial" w:cs="Arial"/>
          <w:sz w:val="20"/>
          <w:szCs w:val="20"/>
        </w:rPr>
        <w:t xml:space="preserve"> or fewer are called microspheres. Nanospheres are sometimes used to describe particles that are smaller. Drugs are encased in both natural and manmade polymers to allow for targeted delivery to particular tissues and sustained local release. Poly (lactic acid) (PLA), polyglycolic acid (PGA), and their copolymer, poly (lactic co-glycolic acid) (PLGA), are the most commonly utilized materials. The body does not break down or destroy these compounds enzymatically. PLA and PLGA given intravitreally do not exhibit any histological or electrophysiological toxicity in the retina. Using non-biodegradable devices in vivo results in steady drug release over a lengthy period of time, however it is usually difficult to surgically remove the instrument after prolonged drug emission. Many patients' visual clarity has improved after VEGF inhibitors were first administered intravitreally. Ongoing treatment may be required for the rest of the patient's life in some cases, as ceasing the infusion of anti-VEGF antibodies frequently results in a recurrence of CNV </w:t>
      </w:r>
      <w:r w:rsidR="00CC14D4" w:rsidRPr="00CA0357">
        <w:rPr>
          <w:rFonts w:ascii="Arial" w:hAnsi="Arial" w:cs="Arial"/>
          <w:sz w:val="20"/>
          <w:szCs w:val="20"/>
          <w:vertAlign w:val="superscript"/>
        </w:rPr>
        <w:t>[13]</w:t>
      </w:r>
      <w:r w:rsidRPr="00CA0357">
        <w:rPr>
          <w:rFonts w:ascii="Arial" w:hAnsi="Arial" w:cs="Arial"/>
          <w:sz w:val="20"/>
          <w:szCs w:val="20"/>
        </w:rPr>
        <w:t>.</w:t>
      </w:r>
    </w:p>
    <w:p w14:paraId="02DB7D9C" w14:textId="77777777" w:rsidR="00CC14D4" w:rsidRPr="00CA0357" w:rsidRDefault="00CC14D4" w:rsidP="00CC14D4">
      <w:pPr>
        <w:spacing w:line="360" w:lineRule="auto"/>
        <w:jc w:val="center"/>
        <w:rPr>
          <w:rFonts w:ascii="Arial" w:hAnsi="Arial" w:cs="Arial"/>
          <w:sz w:val="20"/>
          <w:szCs w:val="20"/>
          <w:vertAlign w:val="superscript"/>
        </w:rPr>
      </w:pPr>
      <w:r w:rsidRPr="00CA0357">
        <w:rPr>
          <w:rFonts w:ascii="Arial" w:hAnsi="Arial" w:cs="Arial"/>
          <w:sz w:val="20"/>
          <w:szCs w:val="20"/>
        </w:rPr>
        <w:t>The following table 2 presents the benefits and drawbacks of various kinds of nanocarriers.</w:t>
      </w:r>
      <w:r w:rsidRPr="00CA0357">
        <w:rPr>
          <w:rFonts w:ascii="Arial" w:hAnsi="Arial" w:cs="Arial"/>
          <w:sz w:val="20"/>
          <w:szCs w:val="20"/>
          <w:vertAlign w:val="superscript"/>
        </w:rPr>
        <w:t>[13]</w:t>
      </w:r>
    </w:p>
    <w:p w14:paraId="396E6F49" w14:textId="77777777" w:rsidR="00CC14D4" w:rsidRDefault="00CC14D4" w:rsidP="00CC14D4">
      <w:pPr>
        <w:spacing w:line="360" w:lineRule="auto"/>
        <w:jc w:val="center"/>
        <w:rPr>
          <w:rFonts w:ascii="Times New Roman" w:hAnsi="Times New Roman" w:cs="Times New Roman"/>
          <w:sz w:val="24"/>
          <w:szCs w:val="24"/>
          <w:vertAlign w:val="superscript"/>
        </w:rPr>
      </w:pPr>
      <w:r>
        <w:rPr>
          <w:rFonts w:ascii="Times New Roman" w:hAnsi="Times New Roman" w:cs="Times New Roman"/>
          <w:b/>
          <w:bCs/>
          <w:noProof/>
          <w:sz w:val="24"/>
          <w:szCs w:val="24"/>
        </w:rPr>
        <w:drawing>
          <wp:inline distT="0" distB="0" distL="0" distR="0" wp14:anchorId="2C62F2EF" wp14:editId="6B0E8321">
            <wp:extent cx="3782291" cy="1683975"/>
            <wp:effectExtent l="0" t="0" r="0" b="0"/>
            <wp:docPr id="3817455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745515" name="Picture 1609140686"/>
                    <pic:cNvPicPr/>
                  </pic:nvPicPr>
                  <pic:blipFill>
                    <a:blip r:embed="rId16">
                      <a:extLst>
                        <a:ext uri="{28A0092B-C50C-407E-A947-70E740481C1C}">
                          <a14:useLocalDpi xmlns:a14="http://schemas.microsoft.com/office/drawing/2010/main" val="0"/>
                        </a:ext>
                      </a:extLst>
                    </a:blip>
                    <a:srcRect l="974" r="6177" b="2591"/>
                    <a:stretch>
                      <a:fillRect/>
                    </a:stretch>
                  </pic:blipFill>
                  <pic:spPr bwMode="auto">
                    <a:xfrm>
                      <a:off x="0" y="0"/>
                      <a:ext cx="3797226" cy="1690624"/>
                    </a:xfrm>
                    <a:prstGeom prst="rect">
                      <a:avLst/>
                    </a:prstGeom>
                    <a:ln>
                      <a:noFill/>
                    </a:ln>
                    <a:extLst>
                      <a:ext uri="{53640926-AAD7-44D8-BBD7-CCE9431645EC}">
                        <a14:shadowObscured xmlns:a14="http://schemas.microsoft.com/office/drawing/2010/main"/>
                      </a:ext>
                    </a:extLst>
                  </pic:spPr>
                </pic:pic>
              </a:graphicData>
            </a:graphic>
          </wp:inline>
        </w:drawing>
      </w:r>
    </w:p>
    <w:p w14:paraId="5CB02467" w14:textId="1E7C5CAD" w:rsidR="00CC14D4" w:rsidRPr="00CA0357" w:rsidRDefault="00CC14D4" w:rsidP="00CC14D4">
      <w:pPr>
        <w:spacing w:line="360" w:lineRule="auto"/>
        <w:jc w:val="center"/>
        <w:rPr>
          <w:rFonts w:ascii="Arial" w:hAnsi="Arial" w:cs="Arial"/>
          <w:b/>
          <w:bCs/>
          <w:sz w:val="20"/>
          <w:szCs w:val="20"/>
        </w:rPr>
      </w:pPr>
      <w:r w:rsidRPr="00CA0357">
        <w:rPr>
          <w:rFonts w:ascii="Arial" w:hAnsi="Arial" w:cs="Arial"/>
          <w:b/>
          <w:bCs/>
          <w:sz w:val="20"/>
          <w:szCs w:val="20"/>
        </w:rPr>
        <w:t xml:space="preserve">Table no. 2: Advantage and disadvantage types of </w:t>
      </w:r>
      <w:r w:rsidR="00D0549C" w:rsidRPr="00CA0357">
        <w:rPr>
          <w:rFonts w:ascii="Arial" w:hAnsi="Arial" w:cs="Arial"/>
          <w:b/>
          <w:bCs/>
          <w:sz w:val="20"/>
          <w:szCs w:val="20"/>
        </w:rPr>
        <w:t xml:space="preserve">nanocarriers </w:t>
      </w:r>
      <w:r w:rsidR="00D0549C" w:rsidRPr="00CA0357">
        <w:rPr>
          <w:rFonts w:ascii="Arial" w:hAnsi="Arial" w:cs="Arial"/>
          <w:b/>
          <w:bCs/>
          <w:sz w:val="20"/>
          <w:szCs w:val="20"/>
          <w:vertAlign w:val="superscript"/>
        </w:rPr>
        <w:t>[13]</w:t>
      </w:r>
      <w:r w:rsidR="00985784" w:rsidRPr="00CA0357">
        <w:rPr>
          <w:rFonts w:ascii="Arial" w:hAnsi="Arial" w:cs="Arial"/>
          <w:b/>
          <w:bCs/>
          <w:sz w:val="20"/>
          <w:szCs w:val="20"/>
        </w:rPr>
        <w:t>.</w:t>
      </w:r>
    </w:p>
    <w:p w14:paraId="6C716EF0" w14:textId="77777777" w:rsidR="00CC14D4" w:rsidRPr="00CA0357" w:rsidRDefault="00CC14D4" w:rsidP="00CC14D4">
      <w:pPr>
        <w:spacing w:line="360" w:lineRule="auto"/>
        <w:ind w:left="-426"/>
        <w:jc w:val="both"/>
        <w:rPr>
          <w:rFonts w:ascii="Arial" w:hAnsi="Arial" w:cs="Arial"/>
        </w:rPr>
      </w:pPr>
      <w:r w:rsidRPr="00CA0357">
        <w:rPr>
          <w:rFonts w:ascii="Arial" w:hAnsi="Arial" w:cs="Arial"/>
          <w:b/>
          <w:bCs/>
        </w:rPr>
        <w:t>6. NANOPARTICLES:</w:t>
      </w:r>
    </w:p>
    <w:p w14:paraId="05054D7D" w14:textId="77BD52E2" w:rsidR="00CC14D4" w:rsidRPr="00CA0357" w:rsidRDefault="00CC14D4" w:rsidP="005B19A0">
      <w:pPr>
        <w:spacing w:line="360" w:lineRule="auto"/>
        <w:ind w:left="-284" w:firstLine="426"/>
        <w:jc w:val="both"/>
        <w:rPr>
          <w:rFonts w:ascii="Arial" w:hAnsi="Arial" w:cs="Arial"/>
          <w:sz w:val="20"/>
          <w:szCs w:val="20"/>
        </w:rPr>
      </w:pPr>
      <w:r w:rsidRPr="00CA0357">
        <w:rPr>
          <w:rFonts w:ascii="Arial" w:hAnsi="Arial" w:cs="Arial"/>
          <w:sz w:val="20"/>
          <w:szCs w:val="20"/>
        </w:rPr>
        <w:lastRenderedPageBreak/>
        <w:t xml:space="preserve">A standardized definition of ‘nanoparticle’ varies among organizations and countries. Although a specified size limit is not always relevant for scientific or medical applications, it is needed for regulatory purposes and is defined (albeit differently) both in the EU and in the USA. The FDA defines nanomaterial as any material with at least one dimension smaller than 1000nm and a nanoparticle as an object with all three external dimensions in the 1–100nm size range. Nanoparticles are commonly known as "zero-dimensional" nanomaterials. </w:t>
      </w:r>
      <w:r w:rsidR="005B19A0" w:rsidRPr="00CA0357">
        <w:rPr>
          <w:rFonts w:ascii="Arial" w:hAnsi="Arial" w:cs="Arial"/>
          <w:sz w:val="20"/>
          <w:szCs w:val="20"/>
        </w:rPr>
        <w:t xml:space="preserve">This is because, in contrast to one-dimensional nanomaterials, which have one dimension larger than the nanoscale (like nanowires and nanotubes), and two-dimensional nanomaterials, which have two dimensions larger than the nanoscale (like self-assembled monolayer films), all of their dimensions are contained within the nanoscale. Using nanoparticles in imaging Nanoparticles can significantly improve both sophisticated magnetic resonance imaging (MRI) of various body parts and traditional biological imaging of cells and tissues using fluorescence microscopy </w:t>
      </w:r>
      <w:r w:rsidRPr="00CA0357">
        <w:rPr>
          <w:rFonts w:ascii="Arial" w:hAnsi="Arial" w:cs="Arial"/>
          <w:sz w:val="20"/>
          <w:szCs w:val="20"/>
          <w:vertAlign w:val="superscript"/>
        </w:rPr>
        <w:t>[8-15]</w:t>
      </w:r>
      <w:r w:rsidRPr="00CA0357">
        <w:rPr>
          <w:rFonts w:ascii="Arial" w:hAnsi="Arial" w:cs="Arial"/>
          <w:sz w:val="20"/>
          <w:szCs w:val="20"/>
        </w:rPr>
        <w:t>.</w:t>
      </w:r>
    </w:p>
    <w:p w14:paraId="377A5E72" w14:textId="77777777" w:rsidR="00CC14D4" w:rsidRPr="00232B5B" w:rsidRDefault="00CC14D4" w:rsidP="00CC14D4">
      <w:pPr>
        <w:spacing w:line="360" w:lineRule="auto"/>
        <w:jc w:val="both"/>
        <w:rPr>
          <w:rFonts w:ascii="Arial" w:hAnsi="Arial" w:cs="Arial"/>
          <w:b/>
          <w:bCs/>
        </w:rPr>
      </w:pPr>
      <w:r w:rsidRPr="00232B5B">
        <w:rPr>
          <w:rFonts w:ascii="Arial" w:hAnsi="Arial" w:cs="Arial"/>
          <w:b/>
          <w:bCs/>
        </w:rPr>
        <w:t xml:space="preserve">6.1 Nanoparticles in medical imaging </w:t>
      </w:r>
      <w:r w:rsidRPr="00232B5B">
        <w:rPr>
          <w:rFonts w:ascii="Arial" w:hAnsi="Arial" w:cs="Arial"/>
          <w:b/>
          <w:bCs/>
          <w:vertAlign w:val="superscript"/>
        </w:rPr>
        <w:t>[15]</w:t>
      </w:r>
      <w:r w:rsidRPr="00232B5B">
        <w:rPr>
          <w:rFonts w:ascii="Arial" w:hAnsi="Arial" w:cs="Arial"/>
          <w:b/>
          <w:bCs/>
        </w:rPr>
        <w:t>:</w:t>
      </w:r>
    </w:p>
    <w:p w14:paraId="0FABF84A" w14:textId="237BEE60" w:rsidR="00FC77AA" w:rsidRPr="00CA0357" w:rsidRDefault="000D633E" w:rsidP="00EC4D8F">
      <w:pPr>
        <w:spacing w:line="360" w:lineRule="auto"/>
        <w:ind w:firstLine="720"/>
        <w:jc w:val="both"/>
        <w:rPr>
          <w:rFonts w:ascii="Arial" w:hAnsi="Arial" w:cs="Arial"/>
          <w:sz w:val="20"/>
          <w:szCs w:val="20"/>
        </w:rPr>
      </w:pPr>
      <w:r w:rsidRPr="00CA0357">
        <w:rPr>
          <w:rFonts w:ascii="Arial" w:hAnsi="Arial" w:cs="Arial"/>
          <w:sz w:val="20"/>
          <w:szCs w:val="20"/>
        </w:rPr>
        <w:t xml:space="preserve">Nanoparticles can significantly improve both modern magnetic resonance imaging (MRI) of various body parts and traditional biological imaging of cells and tissues using fluorescence microscopy. The nanoparticles used in these two techniques differ in their chemical composition </w:t>
      </w:r>
      <w:r w:rsidRPr="00CA0357">
        <w:rPr>
          <w:rFonts w:ascii="Arial" w:hAnsi="Arial" w:cs="Arial"/>
          <w:sz w:val="20"/>
          <w:szCs w:val="20"/>
          <w:vertAlign w:val="superscript"/>
        </w:rPr>
        <w:t>[</w:t>
      </w:r>
      <w:r w:rsidR="00CC14D4" w:rsidRPr="00CA0357">
        <w:rPr>
          <w:rFonts w:ascii="Arial" w:hAnsi="Arial" w:cs="Arial"/>
          <w:sz w:val="20"/>
          <w:szCs w:val="20"/>
          <w:vertAlign w:val="superscript"/>
        </w:rPr>
        <w:t>19]</w:t>
      </w:r>
      <w:r w:rsidRPr="00CA0357">
        <w:rPr>
          <w:rFonts w:ascii="Arial" w:hAnsi="Arial" w:cs="Arial"/>
          <w:sz w:val="20"/>
          <w:szCs w:val="20"/>
        </w:rPr>
        <w:t>.</w:t>
      </w:r>
    </w:p>
    <w:p w14:paraId="69F37F6E" w14:textId="77777777" w:rsidR="00EC4D8F" w:rsidRPr="00CA0357" w:rsidRDefault="00EC4D8F" w:rsidP="00EC4D8F">
      <w:pPr>
        <w:spacing w:line="360" w:lineRule="auto"/>
        <w:ind w:firstLine="720"/>
        <w:jc w:val="both"/>
        <w:rPr>
          <w:rFonts w:ascii="Arial" w:hAnsi="Arial" w:cs="Arial"/>
          <w:sz w:val="20"/>
          <w:szCs w:val="20"/>
        </w:rPr>
      </w:pPr>
    </w:p>
    <w:p w14:paraId="6E5796E1" w14:textId="18E4ACC6" w:rsidR="00CC14D4" w:rsidRPr="00CA0357" w:rsidRDefault="00FC77AA" w:rsidP="00CC14D4">
      <w:pPr>
        <w:pStyle w:val="ListParagraph"/>
        <w:numPr>
          <w:ilvl w:val="0"/>
          <w:numId w:val="7"/>
        </w:numPr>
        <w:spacing w:line="360" w:lineRule="auto"/>
        <w:ind w:left="567" w:hanging="283"/>
        <w:jc w:val="both"/>
        <w:rPr>
          <w:rFonts w:ascii="Arial" w:hAnsi="Arial" w:cs="Arial"/>
          <w:b/>
          <w:bCs/>
          <w:sz w:val="20"/>
          <w:szCs w:val="20"/>
        </w:rPr>
      </w:pPr>
      <w:r w:rsidRPr="00CA0357">
        <w:rPr>
          <w:rFonts w:ascii="Arial" w:hAnsi="Arial" w:cs="Arial"/>
          <w:b/>
          <w:bCs/>
          <w:sz w:val="20"/>
          <w:szCs w:val="20"/>
        </w:rPr>
        <w:t xml:space="preserve">   </w:t>
      </w:r>
      <w:r w:rsidR="00CC14D4" w:rsidRPr="00CA0357">
        <w:rPr>
          <w:rFonts w:ascii="Arial" w:hAnsi="Arial" w:cs="Arial"/>
          <w:b/>
          <w:bCs/>
          <w:sz w:val="20"/>
          <w:szCs w:val="20"/>
        </w:rPr>
        <w:t>Optical Imaging:</w:t>
      </w:r>
    </w:p>
    <w:p w14:paraId="1E7BC5E5" w14:textId="77777777" w:rsidR="00FC77AA" w:rsidRPr="00CA0357" w:rsidRDefault="00FC77AA" w:rsidP="00FC77AA">
      <w:pPr>
        <w:spacing w:line="360" w:lineRule="auto"/>
        <w:ind w:left="720" w:firstLine="720"/>
        <w:jc w:val="both"/>
        <w:rPr>
          <w:rFonts w:ascii="Arial" w:hAnsi="Arial" w:cs="Arial"/>
          <w:sz w:val="20"/>
          <w:szCs w:val="20"/>
        </w:rPr>
      </w:pPr>
      <w:r w:rsidRPr="00CA0357">
        <w:rPr>
          <w:rFonts w:ascii="Arial" w:hAnsi="Arial" w:cs="Arial"/>
          <w:sz w:val="20"/>
          <w:szCs w:val="20"/>
        </w:rPr>
        <w:t>Traditionally, organic dyes are injected into tissue samples and cells to do imaging.  Usually, chemicals that particularly interact with cells or cell structures through ligand/receptor interaction are linked to dyes like rhodamine and fluorescein isocyanate (FITC).  Photobleaching and inadequate fluorescence intensity are two frequent issues with this imaging method.  Quantum dots, which are composed of inorganic semiconductor compounds, are the nanoparticle form of optical imaging.  Site-specific imaging in vivo is the main in vivo application. Imaging of neoplasms, lung vasculature, and lymphatic nodes.  improved durability and intensity against photobleaching in comparison to conventional methods.  modifying the surface to target particular locations.  The main characteristic of optical imaging is non-invasive subcutaneous imaging that does not require surgical incisions.</w:t>
      </w:r>
    </w:p>
    <w:p w14:paraId="293731B5" w14:textId="6746B432" w:rsidR="00CC14D4" w:rsidRPr="00CA0357" w:rsidRDefault="00CC14D4" w:rsidP="00FC77AA">
      <w:pPr>
        <w:pStyle w:val="ListParagraph"/>
        <w:numPr>
          <w:ilvl w:val="0"/>
          <w:numId w:val="7"/>
        </w:numPr>
        <w:spacing w:line="360" w:lineRule="auto"/>
        <w:ind w:left="426" w:hanging="142"/>
        <w:jc w:val="both"/>
        <w:rPr>
          <w:rFonts w:ascii="Arial" w:hAnsi="Arial" w:cs="Arial"/>
          <w:sz w:val="20"/>
          <w:szCs w:val="20"/>
        </w:rPr>
      </w:pPr>
      <w:r w:rsidRPr="00CA0357">
        <w:rPr>
          <w:rFonts w:ascii="Arial" w:hAnsi="Arial" w:cs="Arial"/>
          <w:b/>
          <w:bCs/>
          <w:sz w:val="20"/>
          <w:szCs w:val="20"/>
        </w:rPr>
        <w:t>Nanoparticles in Medication and Gene Transfer:</w:t>
      </w:r>
    </w:p>
    <w:p w14:paraId="2A898A7D" w14:textId="6FA07965" w:rsidR="00CF71AB" w:rsidRPr="00CA0357" w:rsidRDefault="00CF71AB" w:rsidP="00CF71AB">
      <w:pPr>
        <w:spacing w:line="360" w:lineRule="auto"/>
        <w:ind w:left="284" w:firstLine="1146"/>
        <w:jc w:val="both"/>
        <w:rPr>
          <w:rFonts w:ascii="Arial" w:hAnsi="Arial" w:cs="Arial"/>
          <w:sz w:val="20"/>
          <w:szCs w:val="20"/>
        </w:rPr>
      </w:pPr>
      <w:r w:rsidRPr="00CA0357">
        <w:rPr>
          <w:rFonts w:ascii="Arial" w:hAnsi="Arial" w:cs="Arial"/>
          <w:sz w:val="20"/>
          <w:szCs w:val="20"/>
        </w:rPr>
        <w:t xml:space="preserve">This type of nanoparticle, which is mostly used to treat cancer, is built on polymers and liposomes.  The following characteristics: </w:t>
      </w:r>
    </w:p>
    <w:p w14:paraId="1BFD3BCA" w14:textId="0D9F1231" w:rsidR="00CF71AB" w:rsidRPr="00CA0357" w:rsidRDefault="00CF71AB" w:rsidP="00CF71AB">
      <w:pPr>
        <w:pStyle w:val="ListParagraph"/>
        <w:numPr>
          <w:ilvl w:val="0"/>
          <w:numId w:val="19"/>
        </w:numPr>
        <w:spacing w:line="360" w:lineRule="auto"/>
        <w:jc w:val="both"/>
        <w:rPr>
          <w:rFonts w:ascii="Arial" w:hAnsi="Arial" w:cs="Arial"/>
          <w:sz w:val="20"/>
          <w:szCs w:val="20"/>
        </w:rPr>
      </w:pPr>
      <w:r w:rsidRPr="00CA0357">
        <w:rPr>
          <w:rFonts w:ascii="Arial" w:hAnsi="Arial" w:cs="Arial"/>
          <w:sz w:val="20"/>
          <w:szCs w:val="20"/>
        </w:rPr>
        <w:t>Surface modification for targeted distribution.</w:t>
      </w:r>
    </w:p>
    <w:p w14:paraId="5CEB85FA" w14:textId="28CCCE17" w:rsidR="00CF71AB" w:rsidRPr="00CA0357" w:rsidRDefault="00CF71AB" w:rsidP="00CF71AB">
      <w:pPr>
        <w:pStyle w:val="ListParagraph"/>
        <w:numPr>
          <w:ilvl w:val="0"/>
          <w:numId w:val="19"/>
        </w:numPr>
        <w:spacing w:line="360" w:lineRule="auto"/>
        <w:jc w:val="both"/>
        <w:rPr>
          <w:rFonts w:ascii="Arial" w:hAnsi="Arial" w:cs="Arial"/>
          <w:sz w:val="20"/>
          <w:szCs w:val="20"/>
        </w:rPr>
      </w:pPr>
      <w:r w:rsidRPr="00CA0357">
        <w:rPr>
          <w:rFonts w:ascii="Arial" w:hAnsi="Arial" w:cs="Arial"/>
          <w:sz w:val="20"/>
          <w:szCs w:val="20"/>
        </w:rPr>
        <w:t>Techniques for prolonging residence times in vivo, such as PEG linkage.</w:t>
      </w:r>
    </w:p>
    <w:p w14:paraId="527FC09B" w14:textId="53C9D1E0" w:rsidR="00CF71AB" w:rsidRPr="00CA0357" w:rsidRDefault="00CF71AB" w:rsidP="00CF71AB">
      <w:pPr>
        <w:pStyle w:val="ListParagraph"/>
        <w:numPr>
          <w:ilvl w:val="0"/>
          <w:numId w:val="19"/>
        </w:numPr>
        <w:spacing w:line="360" w:lineRule="auto"/>
        <w:jc w:val="both"/>
        <w:rPr>
          <w:rFonts w:ascii="Arial" w:hAnsi="Arial" w:cs="Arial"/>
          <w:sz w:val="20"/>
          <w:szCs w:val="20"/>
        </w:rPr>
      </w:pPr>
      <w:r w:rsidRPr="00CA0357">
        <w:rPr>
          <w:rFonts w:ascii="Arial" w:hAnsi="Arial" w:cs="Arial"/>
          <w:sz w:val="20"/>
          <w:szCs w:val="20"/>
        </w:rPr>
        <w:t>Methods for dissolving medications (like paclitaxel) that don't dissolve in water.</w:t>
      </w:r>
    </w:p>
    <w:p w14:paraId="0A6D9C5E" w14:textId="7F03AF17" w:rsidR="00CF71AB" w:rsidRPr="00CA0357" w:rsidRDefault="00CF71AB" w:rsidP="00CF71AB">
      <w:pPr>
        <w:pStyle w:val="ListParagraph"/>
        <w:numPr>
          <w:ilvl w:val="0"/>
          <w:numId w:val="19"/>
        </w:numPr>
        <w:spacing w:line="360" w:lineRule="auto"/>
        <w:jc w:val="both"/>
        <w:rPr>
          <w:rFonts w:ascii="Arial" w:hAnsi="Arial" w:cs="Arial"/>
          <w:sz w:val="20"/>
          <w:szCs w:val="20"/>
        </w:rPr>
      </w:pPr>
      <w:r w:rsidRPr="00CA0357">
        <w:rPr>
          <w:rFonts w:ascii="Arial" w:hAnsi="Arial" w:cs="Arial"/>
          <w:sz w:val="20"/>
          <w:szCs w:val="20"/>
        </w:rPr>
        <w:t>multifaceted and multifunctional (e.g., anti-angiogenic and chemotherapeutic).</w:t>
      </w:r>
    </w:p>
    <w:p w14:paraId="4F988CFB" w14:textId="7992A916" w:rsidR="00CC14D4" w:rsidRDefault="00CC14D4" w:rsidP="00CF71AB">
      <w:pPr>
        <w:spacing w:line="360" w:lineRule="auto"/>
        <w:ind w:left="-426" w:hanging="141"/>
        <w:jc w:val="center"/>
        <w:rPr>
          <w:rFonts w:ascii="Times New Roman" w:hAnsi="Times New Roman" w:cs="Times New Roman"/>
          <w:sz w:val="24"/>
          <w:szCs w:val="24"/>
        </w:rPr>
      </w:pPr>
      <w:r>
        <w:rPr>
          <w:rFonts w:ascii="Times New Roman" w:hAnsi="Times New Roman" w:cs="Times New Roman"/>
          <w:noProof/>
          <w:sz w:val="24"/>
          <w:szCs w:val="24"/>
          <w:vertAlign w:val="superscript"/>
        </w:rPr>
        <w:lastRenderedPageBreak/>
        <w:drawing>
          <wp:inline distT="0" distB="0" distL="0" distR="0" wp14:anchorId="26C96DB2" wp14:editId="1881FDF0">
            <wp:extent cx="2939391" cy="6116902"/>
            <wp:effectExtent l="0" t="7620" r="6350" b="6350"/>
            <wp:docPr id="20515175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517524" name="Picture 1162857343"/>
                    <pic:cNvPicPr/>
                  </pic:nvPicPr>
                  <pic:blipFill>
                    <a:blip r:embed="rId17">
                      <a:extLst>
                        <a:ext uri="{28A0092B-C50C-407E-A947-70E740481C1C}">
                          <a14:useLocalDpi xmlns:a14="http://schemas.microsoft.com/office/drawing/2010/main" val="0"/>
                        </a:ext>
                      </a:extLst>
                    </a:blip>
                    <a:srcRect l="4528" t="920" r="3958" b="6959"/>
                    <a:stretch>
                      <a:fillRect/>
                    </a:stretch>
                  </pic:blipFill>
                  <pic:spPr bwMode="auto">
                    <a:xfrm rot="5400000">
                      <a:off x="0" y="0"/>
                      <a:ext cx="3002907" cy="6249080"/>
                    </a:xfrm>
                    <a:prstGeom prst="rect">
                      <a:avLst/>
                    </a:prstGeom>
                    <a:ln>
                      <a:noFill/>
                    </a:ln>
                    <a:extLst>
                      <a:ext uri="{53640926-AAD7-44D8-BBD7-CCE9431645EC}">
                        <a14:shadowObscured xmlns:a14="http://schemas.microsoft.com/office/drawing/2010/main"/>
                      </a:ext>
                    </a:extLst>
                  </pic:spPr>
                </pic:pic>
              </a:graphicData>
            </a:graphic>
          </wp:inline>
        </w:drawing>
      </w:r>
    </w:p>
    <w:p w14:paraId="2A6547B6" w14:textId="45B7BECB" w:rsidR="00CC14D4" w:rsidRPr="00CA0357" w:rsidRDefault="00CC14D4" w:rsidP="00CC14D4">
      <w:pPr>
        <w:spacing w:line="360" w:lineRule="auto"/>
        <w:jc w:val="center"/>
        <w:rPr>
          <w:rFonts w:ascii="Arial" w:hAnsi="Arial" w:cs="Arial"/>
          <w:b/>
          <w:bCs/>
          <w:noProof/>
          <w:sz w:val="20"/>
          <w:szCs w:val="20"/>
        </w:rPr>
      </w:pPr>
      <w:r w:rsidRPr="00CA0357">
        <w:rPr>
          <w:rFonts w:ascii="Arial" w:hAnsi="Arial" w:cs="Arial"/>
          <w:b/>
          <w:bCs/>
          <w:noProof/>
          <w:sz w:val="20"/>
          <w:szCs w:val="20"/>
        </w:rPr>
        <w:t>TABLE 3. Nanoparticle technology in healthcare</w:t>
      </w:r>
      <w:r w:rsidR="0062756C" w:rsidRPr="00CA0357">
        <w:rPr>
          <w:rFonts w:ascii="Arial" w:hAnsi="Arial" w:cs="Arial"/>
          <w:b/>
          <w:bCs/>
          <w:noProof/>
          <w:sz w:val="20"/>
          <w:szCs w:val="20"/>
        </w:rPr>
        <w:t xml:space="preserve"> </w:t>
      </w:r>
      <w:r w:rsidR="0062756C" w:rsidRPr="00CA0357">
        <w:rPr>
          <w:rFonts w:ascii="Arial" w:hAnsi="Arial" w:cs="Arial"/>
          <w:b/>
          <w:bCs/>
          <w:noProof/>
          <w:sz w:val="20"/>
          <w:szCs w:val="20"/>
          <w:vertAlign w:val="superscript"/>
        </w:rPr>
        <w:t>[15]</w:t>
      </w:r>
      <w:r w:rsidRPr="00CA0357">
        <w:rPr>
          <w:rFonts w:ascii="Arial" w:hAnsi="Arial" w:cs="Arial"/>
          <w:b/>
          <w:bCs/>
          <w:noProof/>
          <w:sz w:val="20"/>
          <w:szCs w:val="20"/>
        </w:rPr>
        <w:t>.</w:t>
      </w:r>
    </w:p>
    <w:p w14:paraId="0A7CD262" w14:textId="77777777" w:rsidR="00CC14D4" w:rsidRPr="00CA0357" w:rsidRDefault="00CC14D4" w:rsidP="00CC14D4">
      <w:pPr>
        <w:pStyle w:val="ListParagraph"/>
        <w:numPr>
          <w:ilvl w:val="0"/>
          <w:numId w:val="9"/>
        </w:numPr>
        <w:spacing w:line="360" w:lineRule="auto"/>
        <w:ind w:left="-142" w:hanging="284"/>
        <w:jc w:val="both"/>
        <w:rPr>
          <w:rFonts w:ascii="Arial" w:hAnsi="Arial" w:cs="Arial"/>
          <w:b/>
          <w:bCs/>
          <w:noProof/>
        </w:rPr>
      </w:pPr>
      <w:r w:rsidRPr="00CA0357">
        <w:rPr>
          <w:rFonts w:ascii="Arial" w:hAnsi="Arial" w:cs="Arial"/>
          <w:b/>
          <w:bCs/>
          <w:noProof/>
        </w:rPr>
        <w:t xml:space="preserve">NANOTOXICOLOGY </w:t>
      </w:r>
      <w:r w:rsidRPr="00CA0357">
        <w:rPr>
          <w:rFonts w:ascii="Arial" w:hAnsi="Arial" w:cs="Arial"/>
          <w:b/>
          <w:bCs/>
          <w:noProof/>
          <w:vertAlign w:val="superscript"/>
        </w:rPr>
        <w:t>[1]</w:t>
      </w:r>
      <w:r w:rsidRPr="00CA0357">
        <w:rPr>
          <w:rFonts w:ascii="Arial" w:hAnsi="Arial" w:cs="Arial"/>
          <w:b/>
          <w:bCs/>
          <w:noProof/>
        </w:rPr>
        <w:t>:</w:t>
      </w:r>
    </w:p>
    <w:p w14:paraId="4A5348ED" w14:textId="77777777" w:rsidR="00E82E76" w:rsidRPr="00CA0357" w:rsidRDefault="00E82E76" w:rsidP="00E82E76">
      <w:pPr>
        <w:spacing w:after="0" w:line="360" w:lineRule="auto"/>
        <w:ind w:firstLine="720"/>
        <w:jc w:val="both"/>
        <w:rPr>
          <w:rFonts w:ascii="Arial" w:eastAsia="Times New Roman" w:hAnsi="Arial" w:cs="Arial"/>
          <w:sz w:val="20"/>
          <w:szCs w:val="20"/>
          <w:lang w:eastAsia="en-IN"/>
        </w:rPr>
      </w:pPr>
      <w:r w:rsidRPr="00CA0357">
        <w:rPr>
          <w:rFonts w:ascii="Arial" w:eastAsia="Times New Roman" w:hAnsi="Arial" w:cs="Arial"/>
          <w:sz w:val="20"/>
          <w:szCs w:val="20"/>
          <w:lang w:eastAsia="en-IN"/>
        </w:rPr>
        <w:t>With the publication of the British journal Nanotoxicology in 2005, nanotoxicology got its start. Nanotoxicology is the study of potential effects of nanoparticles on human health. It is widely accepted that the toxicity of medical devices that contain nanomaterials is impacted by the devices' exposure potential, which is consistent with exposure assessment approaches. Factors that may influence the outcomes of toxicological studies must be taken into account in order to increase the accuracy of toxicity and risk assessments for nanomaterials.</w:t>
      </w:r>
    </w:p>
    <w:p w14:paraId="16F33C1A" w14:textId="77777777" w:rsidR="00CC14D4" w:rsidRPr="00CA0357" w:rsidRDefault="00CC14D4" w:rsidP="00CC14D4">
      <w:pPr>
        <w:pStyle w:val="ListParagraph"/>
        <w:numPr>
          <w:ilvl w:val="0"/>
          <w:numId w:val="10"/>
        </w:numPr>
        <w:spacing w:line="360" w:lineRule="auto"/>
        <w:ind w:left="0" w:hanging="142"/>
        <w:jc w:val="both"/>
        <w:rPr>
          <w:rFonts w:ascii="Arial" w:hAnsi="Arial" w:cs="Arial"/>
          <w:noProof/>
          <w:sz w:val="20"/>
          <w:szCs w:val="20"/>
        </w:rPr>
      </w:pPr>
      <w:r w:rsidRPr="00CA0357">
        <w:rPr>
          <w:rFonts w:ascii="Arial" w:hAnsi="Arial" w:cs="Arial"/>
          <w:b/>
          <w:bCs/>
          <w:noProof/>
          <w:sz w:val="20"/>
          <w:szCs w:val="20"/>
        </w:rPr>
        <w:t xml:space="preserve">Primary issues in evaluations of nano toxicology/biocompatibility include the following </w:t>
      </w:r>
      <w:r w:rsidRPr="00CA0357">
        <w:rPr>
          <w:rFonts w:ascii="Arial" w:hAnsi="Arial" w:cs="Arial"/>
          <w:b/>
          <w:bCs/>
          <w:noProof/>
          <w:sz w:val="20"/>
          <w:szCs w:val="20"/>
          <w:vertAlign w:val="superscript"/>
        </w:rPr>
        <w:t>[1]</w:t>
      </w:r>
      <w:r w:rsidRPr="00CA0357">
        <w:rPr>
          <w:rFonts w:ascii="Arial" w:hAnsi="Arial" w:cs="Arial"/>
          <w:b/>
          <w:bCs/>
          <w:noProof/>
          <w:sz w:val="20"/>
          <w:szCs w:val="20"/>
        </w:rPr>
        <w:t>:</w:t>
      </w:r>
      <w:r w:rsidRPr="00CA0357">
        <w:rPr>
          <w:rFonts w:ascii="Arial" w:hAnsi="Arial" w:cs="Arial"/>
          <w:noProof/>
          <w:sz w:val="20"/>
          <w:szCs w:val="20"/>
        </w:rPr>
        <w:t xml:space="preserve"> </w:t>
      </w:r>
    </w:p>
    <w:p w14:paraId="7F22F318" w14:textId="54572A34" w:rsidR="00E93460" w:rsidRPr="00CA0357" w:rsidRDefault="00CC14D4" w:rsidP="00E93460">
      <w:pPr>
        <w:pStyle w:val="ListParagraph"/>
        <w:spacing w:line="360" w:lineRule="auto"/>
        <w:ind w:left="142"/>
        <w:jc w:val="both"/>
        <w:rPr>
          <w:rFonts w:ascii="Arial" w:hAnsi="Arial" w:cs="Arial"/>
          <w:noProof/>
          <w:sz w:val="20"/>
          <w:szCs w:val="20"/>
        </w:rPr>
      </w:pPr>
      <w:r w:rsidRPr="00CA0357">
        <w:rPr>
          <w:rFonts w:ascii="Arial" w:hAnsi="Arial" w:cs="Arial"/>
          <w:b/>
          <w:bCs/>
          <w:noProof/>
          <w:sz w:val="20"/>
          <w:szCs w:val="20"/>
        </w:rPr>
        <w:t>1) Sample Preparation:</w:t>
      </w:r>
      <w:r w:rsidR="00E93460" w:rsidRPr="00CA0357">
        <w:rPr>
          <w:rFonts w:ascii="Arial" w:eastAsia="Times New Roman" w:hAnsi="Arial" w:cs="Arial"/>
          <w:sz w:val="20"/>
          <w:szCs w:val="20"/>
          <w:lang w:eastAsia="en-IN"/>
        </w:rPr>
        <w:t xml:space="preserve"> </w:t>
      </w:r>
      <w:r w:rsidR="00E93460" w:rsidRPr="00CA0357">
        <w:rPr>
          <w:rFonts w:ascii="Arial" w:hAnsi="Arial" w:cs="Arial"/>
          <w:noProof/>
          <w:sz w:val="20"/>
          <w:szCs w:val="20"/>
        </w:rPr>
        <w:t>The characteristics and characteristics of nanoparticles are influenced by the testing medium's composition as well as the nanomaterials' state (e.g., dispersion or aggregation).</w:t>
      </w:r>
    </w:p>
    <w:p w14:paraId="45E7A28F" w14:textId="5799BB62" w:rsidR="00CC14D4" w:rsidRPr="00CA0357" w:rsidRDefault="00CC14D4" w:rsidP="00E93460">
      <w:pPr>
        <w:pStyle w:val="ListParagraph"/>
        <w:spacing w:line="360" w:lineRule="auto"/>
        <w:ind w:left="142"/>
        <w:jc w:val="both"/>
        <w:rPr>
          <w:rFonts w:ascii="Arial" w:hAnsi="Arial" w:cs="Arial"/>
          <w:noProof/>
          <w:sz w:val="20"/>
          <w:szCs w:val="20"/>
        </w:rPr>
      </w:pPr>
      <w:r w:rsidRPr="00CA0357">
        <w:rPr>
          <w:rFonts w:ascii="Arial" w:hAnsi="Arial" w:cs="Arial"/>
          <w:noProof/>
          <w:sz w:val="20"/>
          <w:szCs w:val="20"/>
        </w:rPr>
        <w:t xml:space="preserve"> </w:t>
      </w:r>
      <w:r w:rsidRPr="00CA0357">
        <w:rPr>
          <w:rFonts w:ascii="Arial" w:hAnsi="Arial" w:cs="Arial"/>
          <w:b/>
          <w:bCs/>
          <w:noProof/>
          <w:sz w:val="20"/>
          <w:szCs w:val="20"/>
        </w:rPr>
        <w:t>2) Concentration/Dose:</w:t>
      </w:r>
      <w:r w:rsidR="00E93460" w:rsidRPr="00CA0357">
        <w:rPr>
          <w:rFonts w:ascii="Arial" w:eastAsia="Times New Roman" w:hAnsi="Arial" w:cs="Arial"/>
          <w:sz w:val="20"/>
          <w:szCs w:val="20"/>
          <w:lang w:eastAsia="en-IN"/>
        </w:rPr>
        <w:t xml:space="preserve"> </w:t>
      </w:r>
      <w:r w:rsidR="00E93460" w:rsidRPr="00CA0357">
        <w:rPr>
          <w:rFonts w:ascii="Arial" w:hAnsi="Arial" w:cs="Arial"/>
          <w:noProof/>
          <w:sz w:val="20"/>
          <w:szCs w:val="20"/>
        </w:rPr>
        <w:t>The distribution state of the nanomaterials influences the amount or level. Consistency and steadiness are essential.</w:t>
      </w:r>
    </w:p>
    <w:p w14:paraId="62541666" w14:textId="2A3A53C7" w:rsidR="00CC14D4" w:rsidRPr="00CA0357" w:rsidRDefault="00CC14D4" w:rsidP="00E93460">
      <w:pPr>
        <w:pStyle w:val="ListParagraph"/>
        <w:spacing w:line="360" w:lineRule="auto"/>
        <w:ind w:left="142"/>
        <w:jc w:val="both"/>
        <w:rPr>
          <w:rFonts w:ascii="Arial" w:hAnsi="Arial" w:cs="Arial"/>
          <w:noProof/>
          <w:sz w:val="20"/>
          <w:szCs w:val="20"/>
        </w:rPr>
      </w:pPr>
      <w:r w:rsidRPr="00CA0357">
        <w:rPr>
          <w:rFonts w:ascii="Arial" w:hAnsi="Arial" w:cs="Arial"/>
          <w:b/>
          <w:bCs/>
          <w:noProof/>
          <w:sz w:val="20"/>
          <w:szCs w:val="20"/>
        </w:rPr>
        <w:t>3) Dose Unit:</w:t>
      </w:r>
      <w:r w:rsidR="00E93460" w:rsidRPr="00CA0357">
        <w:rPr>
          <w:rFonts w:ascii="Arial" w:eastAsia="Times New Roman" w:hAnsi="Arial" w:cs="Arial"/>
          <w:sz w:val="20"/>
          <w:szCs w:val="20"/>
          <w:lang w:eastAsia="en-IN"/>
        </w:rPr>
        <w:t xml:space="preserve"> </w:t>
      </w:r>
      <w:r w:rsidR="00E93460" w:rsidRPr="00CA0357">
        <w:rPr>
          <w:rFonts w:ascii="Arial" w:hAnsi="Arial" w:cs="Arial"/>
          <w:noProof/>
          <w:sz w:val="20"/>
          <w:szCs w:val="20"/>
        </w:rPr>
        <w:t>Given the size and surface properties of nanomaterials, it is crucial to apply more appropriate dosage metrics (such as specific surface area or particle number concentration) based on the situation.</w:t>
      </w:r>
    </w:p>
    <w:p w14:paraId="4EEC27B6" w14:textId="135DFD8E" w:rsidR="00CC14D4" w:rsidRPr="00CA0357" w:rsidRDefault="00CC14D4" w:rsidP="00E93460">
      <w:pPr>
        <w:pStyle w:val="ListParagraph"/>
        <w:spacing w:line="360" w:lineRule="auto"/>
        <w:ind w:left="142"/>
        <w:jc w:val="both"/>
        <w:rPr>
          <w:rFonts w:ascii="Arial" w:hAnsi="Arial" w:cs="Arial"/>
          <w:noProof/>
          <w:sz w:val="20"/>
          <w:szCs w:val="20"/>
        </w:rPr>
      </w:pPr>
      <w:r w:rsidRPr="00CA0357">
        <w:rPr>
          <w:rFonts w:ascii="Arial" w:hAnsi="Arial" w:cs="Arial"/>
          <w:b/>
          <w:bCs/>
          <w:noProof/>
          <w:sz w:val="20"/>
          <w:szCs w:val="20"/>
        </w:rPr>
        <w:t>4) Disruption of the testing system:</w:t>
      </w:r>
      <w:r w:rsidR="00E93460" w:rsidRPr="00CA0357">
        <w:rPr>
          <w:rFonts w:ascii="Arial" w:eastAsia="Times New Roman" w:hAnsi="Arial" w:cs="Arial"/>
          <w:sz w:val="20"/>
          <w:szCs w:val="20"/>
          <w:lang w:eastAsia="en-IN"/>
        </w:rPr>
        <w:t xml:space="preserve"> </w:t>
      </w:r>
      <w:r w:rsidR="00E93460" w:rsidRPr="00CA0357">
        <w:rPr>
          <w:rFonts w:ascii="Arial" w:hAnsi="Arial" w:cs="Arial"/>
          <w:noProof/>
          <w:sz w:val="20"/>
          <w:szCs w:val="20"/>
        </w:rPr>
        <w:t>Test results could be affected by things like endotoxins and interactions with biomolecules.</w:t>
      </w:r>
    </w:p>
    <w:p w14:paraId="586615B9" w14:textId="0D904A80" w:rsidR="00CC14D4" w:rsidRPr="00CA0357" w:rsidRDefault="00CC14D4" w:rsidP="005C3F3B">
      <w:pPr>
        <w:pStyle w:val="ListParagraph"/>
        <w:spacing w:line="360" w:lineRule="auto"/>
        <w:ind w:left="142"/>
        <w:jc w:val="both"/>
        <w:rPr>
          <w:rFonts w:ascii="Arial" w:hAnsi="Arial" w:cs="Arial"/>
          <w:noProof/>
          <w:sz w:val="20"/>
          <w:szCs w:val="20"/>
        </w:rPr>
      </w:pPr>
      <w:r w:rsidRPr="00CA0357">
        <w:rPr>
          <w:rFonts w:ascii="Arial" w:hAnsi="Arial" w:cs="Arial"/>
          <w:b/>
          <w:bCs/>
          <w:noProof/>
          <w:sz w:val="20"/>
          <w:szCs w:val="20"/>
        </w:rPr>
        <w:t xml:space="preserve">5) Potential Toxicity Mechanisms:  </w:t>
      </w:r>
      <w:r w:rsidRPr="00CA0357">
        <w:rPr>
          <w:rFonts w:ascii="Arial" w:hAnsi="Arial" w:cs="Arial"/>
          <w:noProof/>
          <w:sz w:val="20"/>
          <w:szCs w:val="20"/>
        </w:rPr>
        <w:t>The dimensions and shape of nanomaterials can impact toxicity results. For instance, phagocytosis may play a role in the ultimate outcomes.</w:t>
      </w:r>
    </w:p>
    <w:p w14:paraId="5F5C4A86" w14:textId="77777777" w:rsidR="00CC14D4" w:rsidRPr="00CA0357" w:rsidRDefault="00CC14D4" w:rsidP="00CC14D4">
      <w:pPr>
        <w:pStyle w:val="ListParagraph"/>
        <w:numPr>
          <w:ilvl w:val="0"/>
          <w:numId w:val="10"/>
        </w:numPr>
        <w:spacing w:line="360" w:lineRule="auto"/>
        <w:ind w:left="0" w:hanging="142"/>
        <w:jc w:val="both"/>
        <w:rPr>
          <w:rFonts w:ascii="Arial" w:hAnsi="Arial" w:cs="Arial"/>
          <w:noProof/>
          <w:sz w:val="20"/>
          <w:szCs w:val="20"/>
        </w:rPr>
      </w:pPr>
      <w:r w:rsidRPr="00CA0357">
        <w:rPr>
          <w:rFonts w:ascii="Arial" w:hAnsi="Arial" w:cs="Arial"/>
          <w:b/>
          <w:bCs/>
          <w:sz w:val="20"/>
          <w:szCs w:val="20"/>
        </w:rPr>
        <w:t xml:space="preserve"> Toxicity of </w:t>
      </w:r>
      <w:proofErr w:type="spellStart"/>
      <w:r w:rsidRPr="00CA0357">
        <w:rPr>
          <w:rFonts w:ascii="Arial" w:hAnsi="Arial" w:cs="Arial"/>
          <w:b/>
          <w:bCs/>
          <w:sz w:val="20"/>
          <w:szCs w:val="20"/>
        </w:rPr>
        <w:t>Manufractured</w:t>
      </w:r>
      <w:proofErr w:type="spellEnd"/>
      <w:r w:rsidRPr="00CA0357">
        <w:rPr>
          <w:rFonts w:ascii="Arial" w:hAnsi="Arial" w:cs="Arial"/>
          <w:b/>
          <w:bCs/>
          <w:sz w:val="20"/>
          <w:szCs w:val="20"/>
        </w:rPr>
        <w:t xml:space="preserve"> Nanomaterials</w:t>
      </w:r>
      <w:r w:rsidRPr="00CA0357">
        <w:rPr>
          <w:rFonts w:ascii="Arial" w:hAnsi="Arial" w:cs="Arial"/>
          <w:b/>
          <w:bCs/>
          <w:sz w:val="20"/>
          <w:szCs w:val="20"/>
          <w:vertAlign w:val="superscript"/>
        </w:rPr>
        <w:t xml:space="preserve"> [7]</w:t>
      </w:r>
      <w:r w:rsidRPr="00CA0357">
        <w:rPr>
          <w:rFonts w:ascii="Arial" w:hAnsi="Arial" w:cs="Arial"/>
          <w:b/>
          <w:bCs/>
          <w:sz w:val="20"/>
          <w:szCs w:val="20"/>
        </w:rPr>
        <w:t>:</w:t>
      </w:r>
    </w:p>
    <w:p w14:paraId="0C0D9678" w14:textId="70AF79C3" w:rsidR="000301F4" w:rsidRPr="00CA0357" w:rsidRDefault="000301F4" w:rsidP="000301F4">
      <w:pPr>
        <w:spacing w:line="360" w:lineRule="auto"/>
        <w:ind w:left="142" w:firstLine="284"/>
        <w:jc w:val="both"/>
        <w:rPr>
          <w:rFonts w:ascii="Arial" w:hAnsi="Arial" w:cs="Arial"/>
          <w:noProof/>
          <w:sz w:val="20"/>
          <w:szCs w:val="20"/>
        </w:rPr>
      </w:pPr>
      <w:r w:rsidRPr="00CA0357">
        <w:rPr>
          <w:rFonts w:ascii="Arial" w:hAnsi="Arial" w:cs="Arial"/>
          <w:noProof/>
          <w:sz w:val="20"/>
          <w:szCs w:val="20"/>
        </w:rPr>
        <w:t xml:space="preserve">Nanomaterials' chemical makeup, contaminants, functionalization strategies, surface characteristics (surface charge, hydrophobicity, and ligands), dimensions, morphology, agglomeration, and biocorona are some of the key features that influence nano-bio interactions at different levels. This section concentrates on clarifying the toxicological consequences of various nanomaterial characteristics, specifically how these </w:t>
      </w:r>
      <w:r w:rsidRPr="00CA0357">
        <w:rPr>
          <w:rFonts w:ascii="Arial" w:hAnsi="Arial" w:cs="Arial"/>
          <w:noProof/>
          <w:sz w:val="20"/>
          <w:szCs w:val="20"/>
        </w:rPr>
        <w:lastRenderedPageBreak/>
        <w:t>characteristics affect the toxicity mechanisms, cellular absorption, and toxicokinetics of nanomaterials, in order to fully investigate nanotoxicity. "Testing Programme of Manufactured Nanomaterials – Overview" lists 11 categories of nanomaterials that are currently or soon will be used, including dendrimers, fullerenes, gold nanoparticles (Au NPs), silver nanoparticles (Ag NPs), multi-walled carbon nanotubes (MWCNTs), single-walled carbon nanotubes (SWCNTs), nanoclays, silicon dioxide (SiO2), zinc oxide (ZnO), cerium oxide (CeO2), zinc oxide (ZnO), titanium dioxide (TiO2), and gold nanoparticles (Au NPs). Furthermore, various widely utilized produced nanomaterials are also mentioned as examples when talking about property-related nanotoxicity, including liposomes, the graphene family, MoS2 nanosheets, etc.</w:t>
      </w:r>
    </w:p>
    <w:p w14:paraId="131E5D7F" w14:textId="77777777" w:rsidR="00CC14D4" w:rsidRPr="00CA0357" w:rsidRDefault="00CC14D4" w:rsidP="00CC14D4">
      <w:pPr>
        <w:pStyle w:val="ListParagraph"/>
        <w:numPr>
          <w:ilvl w:val="0"/>
          <w:numId w:val="10"/>
        </w:numPr>
        <w:spacing w:line="360" w:lineRule="auto"/>
        <w:ind w:left="142" w:hanging="284"/>
        <w:jc w:val="both"/>
        <w:rPr>
          <w:rFonts w:ascii="Arial" w:hAnsi="Arial" w:cs="Arial"/>
          <w:b/>
          <w:bCs/>
          <w:noProof/>
          <w:sz w:val="20"/>
          <w:szCs w:val="20"/>
        </w:rPr>
      </w:pPr>
      <w:r w:rsidRPr="00CA0357">
        <w:rPr>
          <w:rFonts w:ascii="Arial" w:hAnsi="Arial" w:cs="Arial"/>
          <w:b/>
          <w:bCs/>
          <w:noProof/>
          <w:sz w:val="20"/>
          <w:szCs w:val="20"/>
        </w:rPr>
        <w:t xml:space="preserve">Regulatory toxicity studies </w:t>
      </w:r>
      <w:r w:rsidRPr="00CA0357">
        <w:rPr>
          <w:rFonts w:ascii="Arial" w:hAnsi="Arial" w:cs="Arial"/>
          <w:b/>
          <w:bCs/>
          <w:noProof/>
          <w:sz w:val="20"/>
          <w:szCs w:val="20"/>
          <w:vertAlign w:val="superscript"/>
        </w:rPr>
        <w:t>[8]</w:t>
      </w:r>
      <w:r w:rsidRPr="00CA0357">
        <w:rPr>
          <w:rFonts w:ascii="Arial" w:hAnsi="Arial" w:cs="Arial"/>
          <w:b/>
          <w:bCs/>
          <w:noProof/>
          <w:sz w:val="20"/>
          <w:szCs w:val="20"/>
        </w:rPr>
        <w:t>:</w:t>
      </w:r>
    </w:p>
    <w:p w14:paraId="0EF59CBE" w14:textId="7C4A3DEF" w:rsidR="00CC14D4" w:rsidRPr="00CA0357" w:rsidRDefault="00837F63" w:rsidP="00837F63">
      <w:pPr>
        <w:spacing w:line="360" w:lineRule="auto"/>
        <w:ind w:left="142" w:firstLine="284"/>
        <w:jc w:val="both"/>
        <w:rPr>
          <w:rFonts w:ascii="Arial" w:hAnsi="Arial" w:cs="Arial"/>
          <w:noProof/>
          <w:sz w:val="20"/>
          <w:szCs w:val="20"/>
        </w:rPr>
      </w:pPr>
      <w:r w:rsidRPr="00CA0357">
        <w:rPr>
          <w:rFonts w:ascii="Arial" w:hAnsi="Arial" w:cs="Arial"/>
          <w:noProof/>
          <w:sz w:val="20"/>
          <w:szCs w:val="20"/>
        </w:rPr>
        <w:t>Authorities mandate preclinical safety and PK evaluation in animals in accordance with good laboratory practice (GLP) rules prior to clinical trials. As a result, gulatory toxicity studies are frequently contracted out to a fully functional and established Contract Research Organization (CRO). Pharmacology, general toxicity, toxicokietic (TK), non-clinical pharmacokinetic, reproduction, and genotoxicity investigations are typically included in the non-clinical safety evaluation required for a pharmaceutical's marketing approval.</w:t>
      </w:r>
    </w:p>
    <w:p w14:paraId="7F8AE30F" w14:textId="77777777" w:rsidR="00CC14D4" w:rsidRPr="00CA0357" w:rsidRDefault="00CC14D4" w:rsidP="00CC14D4">
      <w:pPr>
        <w:pStyle w:val="ListParagraph"/>
        <w:numPr>
          <w:ilvl w:val="0"/>
          <w:numId w:val="10"/>
        </w:numPr>
        <w:spacing w:line="360" w:lineRule="auto"/>
        <w:ind w:left="-142" w:firstLine="0"/>
        <w:jc w:val="both"/>
        <w:rPr>
          <w:rFonts w:ascii="Arial" w:hAnsi="Arial" w:cs="Arial"/>
          <w:sz w:val="20"/>
          <w:szCs w:val="20"/>
        </w:rPr>
      </w:pPr>
      <w:r w:rsidRPr="00CA0357">
        <w:rPr>
          <w:rFonts w:ascii="Arial" w:hAnsi="Arial" w:cs="Arial"/>
          <w:b/>
          <w:bCs/>
          <w:noProof/>
          <w:sz w:val="20"/>
          <w:szCs w:val="20"/>
        </w:rPr>
        <w:t xml:space="preserve">  Characteristics of Nanoparticles That Affect Toxicities </w:t>
      </w:r>
      <w:r w:rsidRPr="00CA0357">
        <w:rPr>
          <w:rFonts w:ascii="Arial" w:hAnsi="Arial" w:cs="Arial"/>
          <w:b/>
          <w:bCs/>
          <w:noProof/>
          <w:sz w:val="20"/>
          <w:szCs w:val="20"/>
          <w:vertAlign w:val="superscript"/>
        </w:rPr>
        <w:t>[16]</w:t>
      </w:r>
      <w:r w:rsidRPr="00CA0357">
        <w:rPr>
          <w:rFonts w:ascii="Arial" w:hAnsi="Arial" w:cs="Arial"/>
          <w:b/>
          <w:bCs/>
          <w:noProof/>
          <w:sz w:val="20"/>
          <w:szCs w:val="20"/>
        </w:rPr>
        <w:t>:</w:t>
      </w:r>
    </w:p>
    <w:p w14:paraId="0E35C5F1" w14:textId="061F2216" w:rsidR="00CC14D4" w:rsidRPr="00CA0357" w:rsidRDefault="00CC14D4" w:rsidP="00CC14D4">
      <w:pPr>
        <w:spacing w:line="360" w:lineRule="auto"/>
        <w:ind w:left="142" w:firstLine="284"/>
        <w:jc w:val="both"/>
        <w:rPr>
          <w:rFonts w:ascii="Arial" w:hAnsi="Arial" w:cs="Arial"/>
          <w:noProof/>
          <w:sz w:val="20"/>
          <w:szCs w:val="20"/>
        </w:rPr>
      </w:pPr>
      <w:r w:rsidRPr="00CA0357">
        <w:rPr>
          <w:rFonts w:ascii="Arial" w:hAnsi="Arial" w:cs="Arial"/>
          <w:noProof/>
          <w:sz w:val="20"/>
          <w:szCs w:val="20"/>
        </w:rPr>
        <w:t>The characteristics of NPs that affect toxicity include size, surface area, shape, aspect ratio, surface coating, crystallinity, dissolution, and agglomeration.</w:t>
      </w:r>
    </w:p>
    <w:p w14:paraId="3FF75C08" w14:textId="40D18A12" w:rsidR="00CC14D4" w:rsidRPr="00CA0357" w:rsidRDefault="00CC14D4" w:rsidP="00837F63">
      <w:pPr>
        <w:pStyle w:val="ListParagraph"/>
        <w:numPr>
          <w:ilvl w:val="0"/>
          <w:numId w:val="12"/>
        </w:numPr>
        <w:spacing w:line="360" w:lineRule="auto"/>
        <w:ind w:left="567" w:hanging="425"/>
        <w:jc w:val="both"/>
        <w:rPr>
          <w:rFonts w:ascii="Arial" w:hAnsi="Arial" w:cs="Arial"/>
          <w:noProof/>
          <w:sz w:val="20"/>
          <w:szCs w:val="20"/>
        </w:rPr>
      </w:pPr>
      <w:r w:rsidRPr="00CA0357">
        <w:rPr>
          <w:rFonts w:ascii="Arial" w:hAnsi="Arial" w:cs="Arial"/>
          <w:b/>
          <w:bCs/>
          <w:noProof/>
          <w:sz w:val="20"/>
          <w:szCs w:val="20"/>
        </w:rPr>
        <w:t>Size and Surface Area</w:t>
      </w:r>
      <w:r w:rsidRPr="00CA0357">
        <w:rPr>
          <w:rFonts w:ascii="Arial" w:hAnsi="Arial" w:cs="Arial"/>
          <w:noProof/>
          <w:sz w:val="20"/>
          <w:szCs w:val="20"/>
        </w:rPr>
        <w:t xml:space="preserve">: </w:t>
      </w:r>
      <w:r w:rsidR="00837F63" w:rsidRPr="00CA0357">
        <w:rPr>
          <w:rFonts w:ascii="Arial" w:hAnsi="Arial" w:cs="Arial"/>
          <w:noProof/>
          <w:sz w:val="20"/>
          <w:szCs w:val="20"/>
        </w:rPr>
        <w:t>The ratio of surface area to volume increases exponentially with decreasing nanoparticle size, hence increasing chemical and biological reactivities.</w:t>
      </w:r>
    </w:p>
    <w:p w14:paraId="0F928290" w14:textId="51F81C5C" w:rsidR="00CC14D4" w:rsidRPr="00CA0357" w:rsidRDefault="00CC14D4" w:rsidP="00837F63">
      <w:pPr>
        <w:pStyle w:val="ListParagraph"/>
        <w:numPr>
          <w:ilvl w:val="0"/>
          <w:numId w:val="11"/>
        </w:numPr>
        <w:spacing w:line="360" w:lineRule="auto"/>
        <w:ind w:left="567" w:hanging="425"/>
        <w:jc w:val="both"/>
        <w:rPr>
          <w:rFonts w:ascii="Arial" w:hAnsi="Arial" w:cs="Arial"/>
          <w:noProof/>
          <w:sz w:val="20"/>
          <w:szCs w:val="20"/>
        </w:rPr>
      </w:pPr>
      <w:r w:rsidRPr="00CA0357">
        <w:rPr>
          <w:rFonts w:ascii="Arial" w:hAnsi="Arial" w:cs="Arial"/>
          <w:b/>
          <w:bCs/>
          <w:noProof/>
          <w:sz w:val="20"/>
          <w:szCs w:val="20"/>
        </w:rPr>
        <w:t>Shape:</w:t>
      </w:r>
      <w:r w:rsidR="00837F63" w:rsidRPr="00CA0357">
        <w:rPr>
          <w:rFonts w:ascii="Arial" w:eastAsia="Times New Roman" w:hAnsi="Arial" w:cs="Arial"/>
          <w:sz w:val="20"/>
          <w:szCs w:val="20"/>
          <w:lang w:eastAsia="en-IN"/>
        </w:rPr>
        <w:t xml:space="preserve"> </w:t>
      </w:r>
      <w:r w:rsidR="00837F63" w:rsidRPr="00CA0357">
        <w:rPr>
          <w:rFonts w:ascii="Arial" w:hAnsi="Arial" w:cs="Arial"/>
          <w:noProof/>
          <w:sz w:val="20"/>
          <w:szCs w:val="20"/>
        </w:rPr>
        <w:t>A key factor that greatly affects the toxicity and biological reactivity of nanoparticles is their structure. Nanoparticles frequently have the shape of spheres, cylinders, cubes, sheets, or rods (Figure 1). When evaluating the nanoparticle's absorption by cells, its form is crucial.</w:t>
      </w:r>
    </w:p>
    <w:p w14:paraId="02A7981F" w14:textId="77777777" w:rsidR="00CC14D4" w:rsidRPr="00CA0357" w:rsidRDefault="00CC14D4" w:rsidP="00CC14D4">
      <w:pPr>
        <w:pStyle w:val="ListParagraph"/>
        <w:numPr>
          <w:ilvl w:val="0"/>
          <w:numId w:val="11"/>
        </w:numPr>
        <w:spacing w:line="360" w:lineRule="auto"/>
        <w:ind w:left="567" w:hanging="425"/>
        <w:jc w:val="both"/>
        <w:rPr>
          <w:rFonts w:ascii="Arial" w:hAnsi="Arial" w:cs="Arial"/>
          <w:noProof/>
          <w:sz w:val="20"/>
          <w:szCs w:val="20"/>
        </w:rPr>
      </w:pPr>
      <w:r w:rsidRPr="00CA0357">
        <w:rPr>
          <w:rFonts w:ascii="Arial" w:hAnsi="Arial" w:cs="Arial"/>
          <w:b/>
          <w:bCs/>
          <w:noProof/>
          <w:sz w:val="20"/>
          <w:szCs w:val="20"/>
        </w:rPr>
        <w:t>Aspect Ratio:</w:t>
      </w:r>
      <w:r w:rsidRPr="00CA0357">
        <w:rPr>
          <w:rFonts w:ascii="Arial" w:hAnsi="Arial" w:cs="Arial"/>
          <w:noProof/>
          <w:sz w:val="20"/>
          <w:szCs w:val="20"/>
        </w:rPr>
        <w:t>The nanoparticle aspect ratio refers to the ratio of width to height. An aspect ratio of 1 indicates a spherical particle, whereas a nanotube has an aspect ratio nearing zero.</w:t>
      </w:r>
    </w:p>
    <w:p w14:paraId="72838D83" w14:textId="50D5E437" w:rsidR="00CC14D4" w:rsidRPr="00CA0357" w:rsidRDefault="00CC14D4" w:rsidP="00837F63">
      <w:pPr>
        <w:pStyle w:val="ListParagraph"/>
        <w:numPr>
          <w:ilvl w:val="0"/>
          <w:numId w:val="11"/>
        </w:numPr>
        <w:spacing w:line="360" w:lineRule="auto"/>
        <w:ind w:left="567" w:hanging="425"/>
        <w:jc w:val="both"/>
        <w:rPr>
          <w:rFonts w:ascii="Arial" w:hAnsi="Arial" w:cs="Arial"/>
          <w:noProof/>
          <w:sz w:val="20"/>
          <w:szCs w:val="20"/>
        </w:rPr>
      </w:pPr>
      <w:r w:rsidRPr="00CA0357">
        <w:rPr>
          <w:rFonts w:ascii="Arial" w:hAnsi="Arial" w:cs="Arial"/>
          <w:b/>
          <w:bCs/>
          <w:noProof/>
          <w:sz w:val="20"/>
          <w:szCs w:val="20"/>
        </w:rPr>
        <w:t>Crystallinity:</w:t>
      </w:r>
      <w:r w:rsidRPr="00CA0357">
        <w:rPr>
          <w:rFonts w:ascii="Arial" w:hAnsi="Arial" w:cs="Arial"/>
          <w:noProof/>
          <w:sz w:val="20"/>
          <w:szCs w:val="20"/>
        </w:rPr>
        <w:t xml:space="preserve"> </w:t>
      </w:r>
      <w:r w:rsidR="00837F63" w:rsidRPr="00CA0357">
        <w:rPr>
          <w:rFonts w:ascii="Arial" w:hAnsi="Arial" w:cs="Arial"/>
          <w:noProof/>
          <w:sz w:val="20"/>
          <w:szCs w:val="20"/>
        </w:rPr>
        <w:t>The crystalline structure of nanomaterials can affect their toxicity. Different crystalline forms of the same chemical composition, known as polymorphs, have unique physical and chemical properties.</w:t>
      </w:r>
    </w:p>
    <w:p w14:paraId="3BD8D9E5" w14:textId="57BE3D8B" w:rsidR="00CC14D4" w:rsidRPr="00CA0357" w:rsidRDefault="00CC14D4" w:rsidP="00837F63">
      <w:pPr>
        <w:pStyle w:val="ListParagraph"/>
        <w:numPr>
          <w:ilvl w:val="0"/>
          <w:numId w:val="11"/>
        </w:numPr>
        <w:spacing w:line="360" w:lineRule="auto"/>
        <w:ind w:left="567" w:hanging="425"/>
        <w:jc w:val="both"/>
        <w:rPr>
          <w:rFonts w:ascii="Arial" w:hAnsi="Arial" w:cs="Arial"/>
          <w:noProof/>
          <w:sz w:val="20"/>
          <w:szCs w:val="20"/>
        </w:rPr>
      </w:pPr>
      <w:r w:rsidRPr="00CA0357">
        <w:rPr>
          <w:rFonts w:ascii="Arial" w:hAnsi="Arial" w:cs="Arial"/>
          <w:b/>
          <w:bCs/>
          <w:noProof/>
          <w:sz w:val="20"/>
          <w:szCs w:val="20"/>
        </w:rPr>
        <w:t>Surface Coating or Surface Functionalization</w:t>
      </w:r>
      <w:r w:rsidRPr="00CA0357">
        <w:rPr>
          <w:rFonts w:ascii="Arial" w:hAnsi="Arial" w:cs="Arial"/>
          <w:noProof/>
          <w:sz w:val="20"/>
          <w:szCs w:val="20"/>
        </w:rPr>
        <w:t>:</w:t>
      </w:r>
      <w:r w:rsidR="00837F63" w:rsidRPr="00CA0357">
        <w:rPr>
          <w:rFonts w:ascii="Arial" w:eastAsia="Times New Roman" w:hAnsi="Arial" w:cs="Arial"/>
          <w:sz w:val="20"/>
          <w:szCs w:val="20"/>
          <w:lang w:eastAsia="en-IN"/>
        </w:rPr>
        <w:t xml:space="preserve"> </w:t>
      </w:r>
      <w:r w:rsidR="00837F63" w:rsidRPr="00CA0357">
        <w:rPr>
          <w:rFonts w:ascii="Arial" w:hAnsi="Arial" w:cs="Arial"/>
          <w:noProof/>
          <w:sz w:val="20"/>
          <w:szCs w:val="20"/>
        </w:rPr>
        <w:t>Surface coatings of nanoparticles are used to change their properties. Different layers (the "shell") encircle a particle's exterior (the "core"). Customizing the surface coating's stability, wettability, dissolution, or usefulness may be its goal. While less hazardous particles may become more poisonous as a result of increased bioavailability, the surface coating has the power to transform hazardous particles into harmless forms.</w:t>
      </w:r>
    </w:p>
    <w:p w14:paraId="002960EC" w14:textId="76C51EC3" w:rsidR="00837F63" w:rsidRPr="00CA0357" w:rsidRDefault="00CC14D4" w:rsidP="00837F63">
      <w:pPr>
        <w:pStyle w:val="ListParagraph"/>
        <w:numPr>
          <w:ilvl w:val="0"/>
          <w:numId w:val="11"/>
        </w:numPr>
        <w:spacing w:line="360" w:lineRule="auto"/>
        <w:ind w:left="567" w:hanging="425"/>
        <w:jc w:val="both"/>
        <w:rPr>
          <w:rFonts w:ascii="Arial" w:hAnsi="Arial" w:cs="Arial"/>
          <w:noProof/>
          <w:sz w:val="20"/>
          <w:szCs w:val="20"/>
        </w:rPr>
      </w:pPr>
      <w:r w:rsidRPr="00CA0357">
        <w:rPr>
          <w:rFonts w:ascii="Arial" w:hAnsi="Arial" w:cs="Arial"/>
          <w:b/>
          <w:bCs/>
          <w:noProof/>
          <w:sz w:val="20"/>
          <w:szCs w:val="20"/>
        </w:rPr>
        <w:t>Dissolution:</w:t>
      </w:r>
      <w:r w:rsidRPr="00CA0357">
        <w:rPr>
          <w:rFonts w:ascii="Arial" w:hAnsi="Arial" w:cs="Arial"/>
          <w:noProof/>
          <w:sz w:val="20"/>
          <w:szCs w:val="20"/>
        </w:rPr>
        <w:t xml:space="preserve"> </w:t>
      </w:r>
      <w:r w:rsidR="00837F63" w:rsidRPr="00CA0357">
        <w:rPr>
          <w:rFonts w:ascii="Arial" w:hAnsi="Arial" w:cs="Arial"/>
          <w:noProof/>
          <w:sz w:val="20"/>
          <w:szCs w:val="20"/>
        </w:rPr>
        <w:t>One crucial property that affects safety, absorption, and associated toxicological pathways is the capacity of nanoparticles to dissolve. Due to distinct surface changes, two identical nanoparticles with similar size and composition can show completely different dissolving behaviors. Different ion channels and ion transport systems are usually the preferred entry paths into cells of nanoparticles that dissolve in the media before being absorbed by animals.</w:t>
      </w:r>
    </w:p>
    <w:p w14:paraId="793AB6DE" w14:textId="12A27A3F" w:rsidR="00CC14D4" w:rsidRPr="00CA0357" w:rsidRDefault="00CC14D4" w:rsidP="00837F63">
      <w:pPr>
        <w:pStyle w:val="ListParagraph"/>
        <w:numPr>
          <w:ilvl w:val="0"/>
          <w:numId w:val="11"/>
        </w:numPr>
        <w:spacing w:line="360" w:lineRule="auto"/>
        <w:ind w:left="567" w:hanging="425"/>
        <w:jc w:val="both"/>
        <w:rPr>
          <w:rFonts w:ascii="Arial" w:hAnsi="Arial" w:cs="Arial"/>
          <w:noProof/>
          <w:sz w:val="20"/>
          <w:szCs w:val="20"/>
        </w:rPr>
      </w:pPr>
      <w:r w:rsidRPr="00CA0357">
        <w:rPr>
          <w:rFonts w:ascii="Arial" w:hAnsi="Arial" w:cs="Arial"/>
          <w:b/>
          <w:bCs/>
          <w:noProof/>
          <w:sz w:val="20"/>
          <w:szCs w:val="20"/>
        </w:rPr>
        <w:lastRenderedPageBreak/>
        <w:t>Agglomeration</w:t>
      </w:r>
      <w:r w:rsidRPr="00CA0357">
        <w:rPr>
          <w:rFonts w:ascii="Arial" w:hAnsi="Arial" w:cs="Arial"/>
          <w:noProof/>
          <w:sz w:val="20"/>
          <w:szCs w:val="20"/>
        </w:rPr>
        <w:t>:</w:t>
      </w:r>
      <w:r w:rsidR="00837F63" w:rsidRPr="00CA0357">
        <w:rPr>
          <w:rFonts w:ascii="Arial" w:eastAsia="Times New Roman" w:hAnsi="Arial" w:cs="Arial"/>
          <w:sz w:val="20"/>
          <w:szCs w:val="20"/>
          <w:lang w:eastAsia="en-IN"/>
        </w:rPr>
        <w:t xml:space="preserve"> </w:t>
      </w:r>
      <w:r w:rsidR="00837F63" w:rsidRPr="00CA0357">
        <w:rPr>
          <w:rFonts w:ascii="Arial" w:hAnsi="Arial" w:cs="Arial"/>
          <w:noProof/>
          <w:sz w:val="20"/>
          <w:szCs w:val="20"/>
        </w:rPr>
        <w:t>Because of their high free surface energy, nanomaterials have a tendency to aggregate in solution. Nanomaterials are covered with protective materials to stop this clumping. Additionally, the presence or absence of aggregation affects the toxicity of nanomaterials. Nanoparticle aggregation may cause inflammatory lung diseases in people. More often, carbon nanotubes and oxide nanoparticles exhibit the toxicity of agglomeration-based nanomaterials. Compared to agglomerated carbon nanotubes, well-dispersed carbon nanotubes are observed to be less hazardous.</w:t>
      </w:r>
    </w:p>
    <w:p w14:paraId="5C865390" w14:textId="77777777" w:rsidR="00CC14D4" w:rsidRPr="00CA0357" w:rsidRDefault="00CC14D4" w:rsidP="00CC14D4">
      <w:pPr>
        <w:pStyle w:val="ListParagraph"/>
        <w:numPr>
          <w:ilvl w:val="0"/>
          <w:numId w:val="9"/>
        </w:numPr>
        <w:spacing w:line="360" w:lineRule="auto"/>
        <w:ind w:left="142" w:right="119" w:hanging="284"/>
        <w:jc w:val="both"/>
        <w:rPr>
          <w:rFonts w:ascii="Arial" w:hAnsi="Arial" w:cs="Arial"/>
        </w:rPr>
      </w:pPr>
      <w:r w:rsidRPr="00CA0357">
        <w:rPr>
          <w:rFonts w:ascii="Arial" w:hAnsi="Arial" w:cs="Arial"/>
          <w:b/>
          <w:bCs/>
        </w:rPr>
        <w:t>APPLICATIONS:</w:t>
      </w:r>
      <w:r w:rsidRPr="00CA0357">
        <w:rPr>
          <w:rFonts w:ascii="Arial" w:hAnsi="Arial" w:cs="Arial"/>
        </w:rPr>
        <w:t xml:space="preserve"> </w:t>
      </w:r>
    </w:p>
    <w:p w14:paraId="04FE275C" w14:textId="77777777" w:rsidR="0073291B" w:rsidRPr="00232B5B" w:rsidRDefault="0073291B" w:rsidP="0073291B">
      <w:pPr>
        <w:pStyle w:val="ListParagraph"/>
        <w:numPr>
          <w:ilvl w:val="0"/>
          <w:numId w:val="4"/>
        </w:numPr>
        <w:spacing w:line="360" w:lineRule="auto"/>
        <w:ind w:left="142" w:hanging="284"/>
        <w:jc w:val="both"/>
        <w:rPr>
          <w:rFonts w:ascii="Arial" w:hAnsi="Arial" w:cs="Arial"/>
          <w:b/>
          <w:bCs/>
        </w:rPr>
      </w:pPr>
      <w:r w:rsidRPr="00232B5B">
        <w:rPr>
          <w:rFonts w:ascii="Arial" w:hAnsi="Arial" w:cs="Arial"/>
          <w:b/>
          <w:bCs/>
        </w:rPr>
        <w:t xml:space="preserve">Comprehensive Overview of the Application of Various Metal-Based Nanomaterials in Medicine </w:t>
      </w:r>
      <w:r w:rsidRPr="00232B5B">
        <w:rPr>
          <w:rFonts w:ascii="Arial" w:hAnsi="Arial" w:cs="Arial"/>
          <w:b/>
          <w:bCs/>
          <w:vertAlign w:val="superscript"/>
        </w:rPr>
        <w:t>[2]</w:t>
      </w:r>
      <w:r w:rsidRPr="00232B5B">
        <w:rPr>
          <w:rFonts w:ascii="Arial" w:hAnsi="Arial" w:cs="Arial"/>
          <w:b/>
          <w:bCs/>
        </w:rPr>
        <w:t>:</w:t>
      </w:r>
    </w:p>
    <w:p w14:paraId="684C1E29" w14:textId="2D43BF49" w:rsidR="006C71CD" w:rsidRPr="00CA0357" w:rsidRDefault="005F3BFE" w:rsidP="006C71CD">
      <w:pPr>
        <w:pStyle w:val="ListParagraph"/>
        <w:spacing w:line="360" w:lineRule="auto"/>
        <w:ind w:left="142" w:firstLine="578"/>
        <w:jc w:val="both"/>
        <w:rPr>
          <w:rFonts w:ascii="Arial" w:hAnsi="Arial" w:cs="Arial"/>
          <w:sz w:val="20"/>
          <w:szCs w:val="20"/>
        </w:rPr>
      </w:pPr>
      <w:r w:rsidRPr="00CA0357">
        <w:rPr>
          <w:rFonts w:ascii="Arial" w:hAnsi="Arial" w:cs="Arial"/>
          <w:sz w:val="20"/>
          <w:szCs w:val="20"/>
        </w:rPr>
        <w:t>With centuries-old roots and significant scientific progress in recent decades, the use of metal-based nanomaterials in medicine represents an interesting intersection of material science and healthcare practice.  This section explores the development, important discoveries, and ground-breaking applications of various metal-based nanomaterials in the realm of medicine.</w:t>
      </w:r>
      <w:r w:rsidR="00B47E45" w:rsidRPr="00CA0357">
        <w:rPr>
          <w:rFonts w:ascii="Arial" w:hAnsi="Arial" w:cs="Arial"/>
          <w:sz w:val="20"/>
          <w:szCs w:val="20"/>
        </w:rPr>
        <w:t xml:space="preserve"> </w:t>
      </w:r>
      <w:r w:rsidRPr="00CA0357">
        <w:rPr>
          <w:rFonts w:ascii="Arial" w:hAnsi="Arial" w:cs="Arial"/>
          <w:sz w:val="20"/>
          <w:szCs w:val="20"/>
        </w:rPr>
        <w:t>Silver nanoparticles' potent antibacterial properties prompted a great deal of research in the 20</w:t>
      </w:r>
      <w:r w:rsidRPr="00CA0357">
        <w:rPr>
          <w:rFonts w:ascii="Arial" w:hAnsi="Arial" w:cs="Arial"/>
          <w:sz w:val="20"/>
          <w:szCs w:val="20"/>
          <w:vertAlign w:val="superscript"/>
        </w:rPr>
        <w:t>th</w:t>
      </w:r>
      <w:r w:rsidRPr="00CA0357">
        <w:rPr>
          <w:rFonts w:ascii="Arial" w:hAnsi="Arial" w:cs="Arial"/>
          <w:sz w:val="20"/>
          <w:szCs w:val="20"/>
        </w:rPr>
        <w:t xml:space="preserve"> century.  By the end of the 1960s, researchers had developed techniques for producing silver nanoparticles, which were then used as coatings on implants and medical equipment to prevent bacterial</w:t>
      </w:r>
      <w:r w:rsidR="00B47E45" w:rsidRPr="00CA0357">
        <w:rPr>
          <w:rFonts w:ascii="Arial" w:hAnsi="Arial" w:cs="Arial"/>
          <w:sz w:val="20"/>
          <w:szCs w:val="20"/>
        </w:rPr>
        <w:t xml:space="preserve"> </w:t>
      </w:r>
      <w:r w:rsidRPr="00CA0357">
        <w:rPr>
          <w:rFonts w:ascii="Arial" w:hAnsi="Arial" w:cs="Arial"/>
          <w:sz w:val="20"/>
          <w:szCs w:val="20"/>
        </w:rPr>
        <w:t>infections.</w:t>
      </w:r>
    </w:p>
    <w:p w14:paraId="22116656" w14:textId="5696981B" w:rsidR="0073291B" w:rsidRPr="006C71CD" w:rsidRDefault="006C71CD" w:rsidP="006C71CD">
      <w:pPr>
        <w:spacing w:line="360" w:lineRule="auto"/>
        <w:jc w:val="center"/>
        <w:rPr>
          <w:rFonts w:ascii="Times New Roman" w:hAnsi="Times New Roman" w:cs="Times New Roman"/>
          <w:sz w:val="24"/>
          <w:szCs w:val="24"/>
        </w:rPr>
      </w:pPr>
      <w:r>
        <w:rPr>
          <w:noProof/>
        </w:rPr>
        <w:drawing>
          <wp:inline distT="0" distB="0" distL="0" distR="0" wp14:anchorId="3B01CB7F" wp14:editId="7F896FE5">
            <wp:extent cx="5209200" cy="2563200"/>
            <wp:effectExtent l="0" t="0" r="0" b="8890"/>
            <wp:docPr id="4302590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59047" name="Picture 408131826"/>
                    <pic:cNvPicPr/>
                  </pic:nvPicPr>
                  <pic:blipFill>
                    <a:blip r:embed="rId18">
                      <a:extLst>
                        <a:ext uri="{28A0092B-C50C-407E-A947-70E740481C1C}">
                          <a14:useLocalDpi xmlns:a14="http://schemas.microsoft.com/office/drawing/2010/main" val="0"/>
                        </a:ext>
                      </a:extLst>
                    </a:blip>
                    <a:stretch>
                      <a:fillRect/>
                    </a:stretch>
                  </pic:blipFill>
                  <pic:spPr>
                    <a:xfrm>
                      <a:off x="0" y="0"/>
                      <a:ext cx="5209200" cy="2563200"/>
                    </a:xfrm>
                    <a:prstGeom prst="rect">
                      <a:avLst/>
                    </a:prstGeom>
                  </pic:spPr>
                </pic:pic>
              </a:graphicData>
            </a:graphic>
          </wp:inline>
        </w:drawing>
      </w:r>
    </w:p>
    <w:p w14:paraId="108FA47F" w14:textId="77777777" w:rsidR="0073291B" w:rsidRPr="00CA0357" w:rsidRDefault="0073291B" w:rsidP="0073291B">
      <w:pPr>
        <w:jc w:val="center"/>
        <w:rPr>
          <w:rFonts w:ascii="Arial" w:hAnsi="Arial" w:cs="Arial"/>
          <w:b/>
          <w:bCs/>
          <w:noProof/>
          <w:sz w:val="20"/>
          <w:szCs w:val="20"/>
        </w:rPr>
      </w:pPr>
      <w:r w:rsidRPr="00CA0357">
        <w:rPr>
          <w:rFonts w:ascii="Arial" w:hAnsi="Arial" w:cs="Arial"/>
          <w:b/>
          <w:bCs/>
          <w:noProof/>
          <w:sz w:val="20"/>
          <w:szCs w:val="20"/>
        </w:rPr>
        <w:t xml:space="preserve">TABLE 4: Progression of Metal-Based Nanoparticles </w:t>
      </w:r>
      <w:r w:rsidRPr="00CA0357">
        <w:rPr>
          <w:rFonts w:ascii="Arial" w:hAnsi="Arial" w:cs="Arial"/>
          <w:b/>
          <w:bCs/>
          <w:noProof/>
          <w:sz w:val="20"/>
          <w:szCs w:val="20"/>
          <w:vertAlign w:val="superscript"/>
        </w:rPr>
        <w:t>[2]</w:t>
      </w:r>
      <w:r w:rsidRPr="00CA0357">
        <w:rPr>
          <w:rFonts w:ascii="Arial" w:hAnsi="Arial" w:cs="Arial"/>
          <w:b/>
          <w:bCs/>
          <w:noProof/>
          <w:sz w:val="20"/>
          <w:szCs w:val="20"/>
        </w:rPr>
        <w:t>.</w:t>
      </w:r>
    </w:p>
    <w:p w14:paraId="275DABBE" w14:textId="77777777" w:rsidR="00E6147A" w:rsidRPr="00CA0357" w:rsidRDefault="00E6147A" w:rsidP="0073291B">
      <w:pPr>
        <w:jc w:val="center"/>
        <w:rPr>
          <w:rFonts w:ascii="Arial" w:hAnsi="Arial" w:cs="Arial"/>
          <w:b/>
          <w:bCs/>
          <w:noProof/>
          <w:sz w:val="20"/>
          <w:szCs w:val="20"/>
        </w:rPr>
      </w:pPr>
    </w:p>
    <w:p w14:paraId="3E5831C7" w14:textId="77777777" w:rsidR="00E6147A" w:rsidRPr="00CA0357" w:rsidRDefault="00E6147A" w:rsidP="0073291B">
      <w:pPr>
        <w:jc w:val="center"/>
        <w:rPr>
          <w:rFonts w:ascii="Arial" w:hAnsi="Arial" w:cs="Arial"/>
          <w:b/>
          <w:bCs/>
          <w:noProof/>
          <w:sz w:val="20"/>
          <w:szCs w:val="20"/>
        </w:rPr>
      </w:pPr>
    </w:p>
    <w:p w14:paraId="71A658E7" w14:textId="77777777" w:rsidR="0073291B" w:rsidRPr="00232B5B" w:rsidRDefault="0073291B" w:rsidP="0073291B">
      <w:pPr>
        <w:pStyle w:val="ListParagraph"/>
        <w:numPr>
          <w:ilvl w:val="0"/>
          <w:numId w:val="4"/>
        </w:numPr>
        <w:spacing w:line="360" w:lineRule="auto"/>
        <w:ind w:left="-142" w:firstLine="0"/>
        <w:jc w:val="both"/>
        <w:rPr>
          <w:rFonts w:ascii="Arial" w:hAnsi="Arial" w:cs="Arial"/>
          <w:b/>
          <w:bCs/>
        </w:rPr>
      </w:pPr>
      <w:r w:rsidRPr="00CA0357">
        <w:rPr>
          <w:rFonts w:ascii="Arial" w:hAnsi="Arial" w:cs="Arial"/>
          <w:b/>
          <w:bCs/>
          <w:sz w:val="20"/>
          <w:szCs w:val="20"/>
        </w:rPr>
        <w:t xml:space="preserve">  </w:t>
      </w:r>
      <w:r w:rsidRPr="00232B5B">
        <w:rPr>
          <w:rFonts w:ascii="Arial" w:hAnsi="Arial" w:cs="Arial"/>
          <w:b/>
          <w:bCs/>
        </w:rPr>
        <w:t xml:space="preserve">Nanotechnology Applications </w:t>
      </w:r>
      <w:r w:rsidRPr="00232B5B">
        <w:rPr>
          <w:rFonts w:ascii="Arial" w:hAnsi="Arial" w:cs="Arial"/>
          <w:b/>
          <w:bCs/>
          <w:vertAlign w:val="superscript"/>
        </w:rPr>
        <w:t>[17]</w:t>
      </w:r>
      <w:r w:rsidRPr="00232B5B">
        <w:rPr>
          <w:rFonts w:ascii="Arial" w:hAnsi="Arial" w:cs="Arial"/>
          <w:b/>
          <w:bCs/>
        </w:rPr>
        <w:t>:</w:t>
      </w:r>
    </w:p>
    <w:p w14:paraId="15AD7BAC" w14:textId="0182CD16" w:rsidR="0073291B" w:rsidRPr="00CA0357" w:rsidRDefault="0073291B" w:rsidP="0073291B">
      <w:pPr>
        <w:pStyle w:val="ListParagraph"/>
        <w:numPr>
          <w:ilvl w:val="2"/>
          <w:numId w:val="17"/>
        </w:numPr>
        <w:spacing w:line="360" w:lineRule="auto"/>
        <w:ind w:left="142" w:firstLine="0"/>
        <w:jc w:val="both"/>
        <w:rPr>
          <w:rFonts w:ascii="Arial" w:hAnsi="Arial" w:cs="Arial"/>
          <w:b/>
          <w:bCs/>
          <w:sz w:val="20"/>
          <w:szCs w:val="20"/>
        </w:rPr>
      </w:pPr>
      <w:r w:rsidRPr="00CA0357">
        <w:rPr>
          <w:rFonts w:ascii="Arial" w:hAnsi="Arial" w:cs="Arial"/>
          <w:b/>
          <w:bCs/>
          <w:sz w:val="20"/>
          <w:szCs w:val="20"/>
        </w:rPr>
        <w:t xml:space="preserve">Application of Nanotechnology in Various Sectors: </w:t>
      </w:r>
    </w:p>
    <w:p w14:paraId="54676877" w14:textId="22C6179B" w:rsidR="003E6A8C" w:rsidRPr="00CA0357" w:rsidRDefault="003E6A8C" w:rsidP="003E6A8C">
      <w:pPr>
        <w:pStyle w:val="ListParagraph"/>
        <w:spacing w:line="360" w:lineRule="auto"/>
        <w:ind w:firstLine="720"/>
        <w:jc w:val="both"/>
        <w:rPr>
          <w:rFonts w:ascii="Arial" w:hAnsi="Arial" w:cs="Arial"/>
          <w:sz w:val="20"/>
          <w:szCs w:val="20"/>
        </w:rPr>
      </w:pPr>
      <w:r w:rsidRPr="00CA0357">
        <w:rPr>
          <w:rFonts w:ascii="Arial" w:hAnsi="Arial" w:cs="Arial"/>
          <w:sz w:val="20"/>
          <w:szCs w:val="20"/>
        </w:rPr>
        <w:t xml:space="preserve">The following sectors—where nanotechnology is producing amazing applications—have been analysed, assessed, and selected for inclusion in this review after thorough and careful studies. Notably, numerous subcategories of industrial linkages might be covered under a single heading to further highlight the wide range of industries in which nanotechnology finds considerable use. Several </w:t>
      </w:r>
      <w:r w:rsidRPr="00CA0357">
        <w:rPr>
          <w:rFonts w:ascii="Arial" w:hAnsi="Arial" w:cs="Arial"/>
          <w:sz w:val="20"/>
          <w:szCs w:val="20"/>
        </w:rPr>
        <w:lastRenderedPageBreak/>
        <w:t>industries affected by nanotechnology are shown in a graphic abstract at the beginning of this article; the details are briefly described under individual headings in the following section.</w:t>
      </w:r>
    </w:p>
    <w:p w14:paraId="10030A8E" w14:textId="77777777" w:rsidR="0073291B" w:rsidRPr="00CA0357" w:rsidRDefault="0073291B" w:rsidP="0073291B">
      <w:pPr>
        <w:pStyle w:val="ListParagraph"/>
        <w:numPr>
          <w:ilvl w:val="0"/>
          <w:numId w:val="1"/>
        </w:numPr>
        <w:spacing w:line="360" w:lineRule="auto"/>
        <w:ind w:left="709" w:hanging="567"/>
        <w:jc w:val="both"/>
        <w:rPr>
          <w:rFonts w:ascii="Arial" w:hAnsi="Arial" w:cs="Arial"/>
          <w:sz w:val="20"/>
          <w:szCs w:val="20"/>
        </w:rPr>
      </w:pPr>
      <w:r w:rsidRPr="00CA0357">
        <w:rPr>
          <w:rFonts w:ascii="Arial" w:hAnsi="Arial" w:cs="Arial"/>
          <w:b/>
          <w:bCs/>
          <w:sz w:val="20"/>
          <w:szCs w:val="20"/>
        </w:rPr>
        <w:t xml:space="preserve">Nanotechnology and Computer Industry: </w:t>
      </w:r>
    </w:p>
    <w:p w14:paraId="48A1FE28" w14:textId="7432C32C" w:rsidR="0073291B" w:rsidRPr="00CA0357" w:rsidRDefault="003E6A8C" w:rsidP="005E4C3B">
      <w:pPr>
        <w:pStyle w:val="ListParagraph"/>
        <w:spacing w:line="360" w:lineRule="auto"/>
        <w:ind w:left="709" w:firstLine="992"/>
        <w:jc w:val="both"/>
        <w:rPr>
          <w:rFonts w:ascii="Arial" w:hAnsi="Arial" w:cs="Arial"/>
          <w:sz w:val="20"/>
          <w:szCs w:val="20"/>
        </w:rPr>
      </w:pPr>
      <w:r w:rsidRPr="00CA0357">
        <w:rPr>
          <w:rFonts w:ascii="Arial" w:hAnsi="Arial" w:cs="Arial"/>
          <w:sz w:val="20"/>
          <w:szCs w:val="20"/>
        </w:rPr>
        <w:t>The fundamentals of microengineering from physics and materials science are the foundation of nanotechnology. The concept of nano scaling is not new to the computing industry, as engineers and experts have long been working to create modified computer systems that use the least amount of space to function at their best. As a result, there is increasing testing of using nanotubes in computing equipment instead of silicon chips. Feynman and Drexler's efforts have greatly inspired computer scientists to develop innovative nano</w:t>
      </w:r>
      <w:r w:rsidR="00101EE3" w:rsidRPr="00CA0357">
        <w:rPr>
          <w:rFonts w:ascii="Arial" w:hAnsi="Arial" w:cs="Arial"/>
          <w:sz w:val="20"/>
          <w:szCs w:val="20"/>
        </w:rPr>
        <w:t xml:space="preserve"> </w:t>
      </w:r>
      <w:r w:rsidRPr="00CA0357">
        <w:rPr>
          <w:rFonts w:ascii="Arial" w:hAnsi="Arial" w:cs="Arial"/>
          <w:sz w:val="20"/>
          <w:szCs w:val="20"/>
        </w:rPr>
        <w:t>computers that could yield significant benefits.</w:t>
      </w:r>
      <w:r w:rsidR="00101EE3" w:rsidRPr="00CA0357">
        <w:rPr>
          <w:rFonts w:ascii="Arial" w:hAnsi="Arial" w:cs="Arial"/>
          <w:sz w:val="20"/>
          <w:szCs w:val="20"/>
        </w:rPr>
        <w:t xml:space="preserve"> I think that more sophisticated, lighter, and more sophisticated computer devices will eventually become commonplace. A few years ago, it was unthinkable to think of laptops, smartphones, and other useful devices as tiny as we have today. This potential could be made possible by nanotechnology.</w:t>
      </w:r>
    </w:p>
    <w:p w14:paraId="09A02079" w14:textId="77777777" w:rsidR="0073291B" w:rsidRPr="00CA0357" w:rsidRDefault="0073291B" w:rsidP="0073291B">
      <w:pPr>
        <w:pStyle w:val="ListParagraph"/>
        <w:numPr>
          <w:ilvl w:val="0"/>
          <w:numId w:val="1"/>
        </w:numPr>
        <w:spacing w:line="360" w:lineRule="auto"/>
        <w:ind w:left="709" w:hanging="567"/>
        <w:jc w:val="both"/>
        <w:rPr>
          <w:rFonts w:ascii="Arial" w:hAnsi="Arial" w:cs="Arial"/>
          <w:sz w:val="20"/>
          <w:szCs w:val="20"/>
        </w:rPr>
      </w:pPr>
      <w:r w:rsidRPr="00CA0357">
        <w:rPr>
          <w:rFonts w:ascii="Arial" w:hAnsi="Arial" w:cs="Arial"/>
          <w:b/>
          <w:bCs/>
          <w:sz w:val="20"/>
          <w:szCs w:val="20"/>
        </w:rPr>
        <w:t>Nanotechnology and Food Industry:</w:t>
      </w:r>
      <w:r w:rsidRPr="00CA0357">
        <w:rPr>
          <w:rFonts w:ascii="Arial" w:hAnsi="Arial" w:cs="Arial"/>
          <w:sz w:val="20"/>
          <w:szCs w:val="20"/>
        </w:rPr>
        <w:t xml:space="preserve"> </w:t>
      </w:r>
    </w:p>
    <w:p w14:paraId="16F7B194" w14:textId="77777777" w:rsidR="005E4C3B" w:rsidRPr="00CA0357" w:rsidRDefault="005E4C3B" w:rsidP="005E4C3B">
      <w:pPr>
        <w:spacing w:line="360" w:lineRule="auto"/>
        <w:ind w:left="709" w:firstLine="720"/>
        <w:jc w:val="both"/>
        <w:rPr>
          <w:rFonts w:ascii="Arial" w:hAnsi="Arial" w:cs="Arial"/>
          <w:sz w:val="20"/>
          <w:szCs w:val="20"/>
        </w:rPr>
      </w:pPr>
      <w:r w:rsidRPr="00CA0357">
        <w:rPr>
          <w:rFonts w:ascii="Arial" w:hAnsi="Arial" w:cs="Arial"/>
          <w:sz w:val="20"/>
          <w:szCs w:val="20"/>
        </w:rPr>
        <w:t>Nanotechnology has several applications in the food industry, including food production, packaging, safety procedures, targeted drug administration, smart diets, and a variety of modern preservatives. Packaging uses nanomaterials like polymer/clay nanocomposites because of their superior ability to withstand environmental impacts. Similarly, combinations of nanoparticles act as antimicrobials to protect food products from rapid microbial deterioration, especially in canned foods. Additionally, a variety of assays developed from nano sensors and nano assemblies are used to identify bacteria in the food production and storage industries.</w:t>
      </w:r>
    </w:p>
    <w:p w14:paraId="2E8D1D67" w14:textId="77777777" w:rsidR="0073291B" w:rsidRPr="00CA0357" w:rsidRDefault="0073291B" w:rsidP="0073291B">
      <w:pPr>
        <w:spacing w:line="360" w:lineRule="auto"/>
        <w:jc w:val="center"/>
        <w:rPr>
          <w:rFonts w:ascii="Arial" w:hAnsi="Arial" w:cs="Arial"/>
          <w:sz w:val="20"/>
          <w:szCs w:val="20"/>
        </w:rPr>
      </w:pPr>
      <w:r w:rsidRPr="00CA0357">
        <w:rPr>
          <w:rFonts w:ascii="Arial" w:hAnsi="Arial" w:cs="Arial"/>
          <w:noProof/>
          <w:sz w:val="20"/>
          <w:szCs w:val="20"/>
        </w:rPr>
        <w:drawing>
          <wp:inline distT="0" distB="0" distL="0" distR="0" wp14:anchorId="4C7D339D" wp14:editId="7A31F090">
            <wp:extent cx="2270649" cy="1898073"/>
            <wp:effectExtent l="0" t="0" r="0" b="6985"/>
            <wp:docPr id="59089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89357" name="Picture 59089357"/>
                    <pic:cNvPicPr/>
                  </pic:nvPicPr>
                  <pic:blipFill>
                    <a:blip r:embed="rId19" cstate="print">
                      <a:extLst>
                        <a:ext uri="{28A0092B-C50C-407E-A947-70E740481C1C}">
                          <a14:useLocalDpi xmlns:a14="http://schemas.microsoft.com/office/drawing/2010/main" val="0"/>
                        </a:ext>
                      </a:extLst>
                    </a:blip>
                    <a:srcRect l="13477" r="8412"/>
                    <a:stretch>
                      <a:fillRect/>
                    </a:stretch>
                  </pic:blipFill>
                  <pic:spPr bwMode="auto">
                    <a:xfrm>
                      <a:off x="0" y="0"/>
                      <a:ext cx="2293802" cy="1917427"/>
                    </a:xfrm>
                    <a:prstGeom prst="rect">
                      <a:avLst/>
                    </a:prstGeom>
                    <a:ln>
                      <a:noFill/>
                    </a:ln>
                    <a:extLst>
                      <a:ext uri="{53640926-AAD7-44D8-BBD7-CCE9431645EC}">
                        <a14:shadowObscured xmlns:a14="http://schemas.microsoft.com/office/drawing/2010/main"/>
                      </a:ext>
                    </a:extLst>
                  </pic:spPr>
                </pic:pic>
              </a:graphicData>
            </a:graphic>
          </wp:inline>
        </w:drawing>
      </w:r>
    </w:p>
    <w:p w14:paraId="76ADD121" w14:textId="10BDCAD1" w:rsidR="0073291B" w:rsidRPr="00CA0357" w:rsidRDefault="0073291B" w:rsidP="0073291B">
      <w:pPr>
        <w:spacing w:line="360" w:lineRule="auto"/>
        <w:jc w:val="center"/>
        <w:rPr>
          <w:rFonts w:ascii="Arial" w:hAnsi="Arial" w:cs="Arial"/>
          <w:sz w:val="20"/>
          <w:szCs w:val="20"/>
        </w:rPr>
      </w:pPr>
      <w:r w:rsidRPr="00CA0357">
        <w:rPr>
          <w:rFonts w:ascii="Arial" w:hAnsi="Arial" w:cs="Arial"/>
          <w:b/>
          <w:bCs/>
          <w:sz w:val="20"/>
          <w:szCs w:val="20"/>
        </w:rPr>
        <w:t>Fig. 8. Applications of nanotechnology in the food sector and related industries</w:t>
      </w:r>
      <w:r w:rsidR="008B5E01" w:rsidRPr="00CA0357">
        <w:rPr>
          <w:rFonts w:ascii="Arial" w:hAnsi="Arial" w:cs="Arial"/>
          <w:b/>
          <w:bCs/>
          <w:sz w:val="20"/>
          <w:szCs w:val="20"/>
        </w:rPr>
        <w:t xml:space="preserve"> </w:t>
      </w:r>
      <w:r w:rsidR="008B5E01" w:rsidRPr="00CA0357">
        <w:rPr>
          <w:rFonts w:ascii="Arial" w:hAnsi="Arial" w:cs="Arial"/>
          <w:b/>
          <w:bCs/>
          <w:sz w:val="20"/>
          <w:szCs w:val="20"/>
          <w:vertAlign w:val="superscript"/>
        </w:rPr>
        <w:t>[17]</w:t>
      </w:r>
      <w:r w:rsidRPr="00CA0357">
        <w:rPr>
          <w:rFonts w:ascii="Arial" w:hAnsi="Arial" w:cs="Arial"/>
          <w:b/>
          <w:bCs/>
          <w:sz w:val="20"/>
          <w:szCs w:val="20"/>
        </w:rPr>
        <w:t>.</w:t>
      </w:r>
    </w:p>
    <w:p w14:paraId="053CE198" w14:textId="77777777" w:rsidR="0073291B" w:rsidRPr="00CA0357" w:rsidRDefault="0073291B" w:rsidP="0073291B">
      <w:pPr>
        <w:pStyle w:val="ListParagraph"/>
        <w:numPr>
          <w:ilvl w:val="2"/>
          <w:numId w:val="17"/>
        </w:numPr>
        <w:spacing w:line="360" w:lineRule="auto"/>
        <w:ind w:left="709" w:hanging="567"/>
        <w:jc w:val="both"/>
        <w:rPr>
          <w:rFonts w:ascii="Arial" w:hAnsi="Arial" w:cs="Arial"/>
          <w:b/>
          <w:bCs/>
          <w:sz w:val="20"/>
          <w:szCs w:val="20"/>
        </w:rPr>
      </w:pPr>
      <w:r w:rsidRPr="002276CC">
        <w:rPr>
          <w:rFonts w:ascii="Arial" w:hAnsi="Arial" w:cs="Arial"/>
          <w:b/>
          <w:bCs/>
        </w:rPr>
        <w:t>Nanotechnology, Healthcare, and Medical Industry</w:t>
      </w:r>
      <w:r w:rsidRPr="00CA0357">
        <w:rPr>
          <w:rFonts w:ascii="Arial" w:hAnsi="Arial" w:cs="Arial"/>
          <w:b/>
          <w:bCs/>
          <w:sz w:val="20"/>
          <w:szCs w:val="20"/>
        </w:rPr>
        <w:t>:</w:t>
      </w:r>
    </w:p>
    <w:p w14:paraId="0110D9B5" w14:textId="7E7CB184" w:rsidR="006B2B28" w:rsidRPr="00CA0357" w:rsidRDefault="006B2B28" w:rsidP="006B2B28">
      <w:pPr>
        <w:pStyle w:val="NoSpacing"/>
        <w:spacing w:line="360" w:lineRule="auto"/>
        <w:ind w:left="709" w:firstLine="720"/>
        <w:jc w:val="both"/>
        <w:rPr>
          <w:rFonts w:ascii="Arial" w:hAnsi="Arial" w:cs="Arial"/>
          <w:sz w:val="20"/>
          <w:szCs w:val="20"/>
        </w:rPr>
      </w:pPr>
      <w:r w:rsidRPr="00CA0357">
        <w:rPr>
          <w:rFonts w:ascii="Arial" w:hAnsi="Arial" w:cs="Arial"/>
          <w:sz w:val="20"/>
          <w:szCs w:val="20"/>
        </w:rPr>
        <w:t xml:space="preserve">It is impossible to ignore the emergence of nanomedicine while talking about the broad fields of biotechnology, medicine, and biological sciences. As seen from the broad perspective of nanobiotechnology, nanotechnology is already becoming more and more prevalent. The development of improved diagnostics, therapies, screenings, sequencing, disease prevention techniques, and preventative healthcare measures has been made possible by this breakthrough. The development of nano-based genomics, tissue engineering, and gene therapy may also enable these approaches to include drug manufacture, design, conjugation, and enhanced delivery systems. Numerous subfields </w:t>
      </w:r>
      <w:r w:rsidRPr="00CA0357">
        <w:rPr>
          <w:rFonts w:ascii="Arial" w:hAnsi="Arial" w:cs="Arial"/>
          <w:sz w:val="20"/>
          <w:szCs w:val="20"/>
        </w:rPr>
        <w:lastRenderedPageBreak/>
        <w:t>within the medical industry, including the biological sciences, biotechnology, and medicine, use nanotechnology. Already, nanotechnology is progressing beyond what can be imagined from the broad standpoint of nanobiotechnology.</w:t>
      </w:r>
    </w:p>
    <w:p w14:paraId="26C613B8" w14:textId="77777777" w:rsidR="0073291B" w:rsidRDefault="0073291B" w:rsidP="0073291B">
      <w:pPr>
        <w:pStyle w:val="NoSpacing"/>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68E6BF0B" wp14:editId="5A04CD37">
            <wp:extent cx="2270760" cy="2214406"/>
            <wp:effectExtent l="0" t="0" r="0" b="0"/>
            <wp:docPr id="1834168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168244" name="Picture 1801972240"/>
                    <pic:cNvPicPr/>
                  </pic:nvPicPr>
                  <pic:blipFill>
                    <a:blip r:embed="rId20" cstate="print">
                      <a:extLst>
                        <a:ext uri="{28A0092B-C50C-407E-A947-70E740481C1C}">
                          <a14:useLocalDpi xmlns:a14="http://schemas.microsoft.com/office/drawing/2010/main" val="0"/>
                        </a:ext>
                      </a:extLst>
                    </a:blip>
                    <a:srcRect l="15153" t="3800" r="13753" b="1341"/>
                    <a:stretch>
                      <a:fillRect/>
                    </a:stretch>
                  </pic:blipFill>
                  <pic:spPr bwMode="auto">
                    <a:xfrm>
                      <a:off x="0" y="0"/>
                      <a:ext cx="2299160" cy="2242101"/>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bCs/>
          <w:noProof/>
          <w:sz w:val="24"/>
          <w:szCs w:val="24"/>
        </w:rPr>
        <w:drawing>
          <wp:inline distT="0" distB="0" distL="0" distR="0" wp14:anchorId="5287DA3D" wp14:editId="52A12C69">
            <wp:extent cx="2278380" cy="2221838"/>
            <wp:effectExtent l="0" t="0" r="7620" b="7620"/>
            <wp:docPr id="1801972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72240" name="Picture 1801972240"/>
                    <pic:cNvPicPr/>
                  </pic:nvPicPr>
                  <pic:blipFill>
                    <a:blip r:embed="rId20" cstate="print">
                      <a:extLst>
                        <a:ext uri="{28A0092B-C50C-407E-A947-70E740481C1C}">
                          <a14:useLocalDpi xmlns:a14="http://schemas.microsoft.com/office/drawing/2010/main" val="0"/>
                        </a:ext>
                      </a:extLst>
                    </a:blip>
                    <a:srcRect l="15153" t="3800" r="13753" b="1341"/>
                    <a:stretch>
                      <a:fillRect/>
                    </a:stretch>
                  </pic:blipFill>
                  <pic:spPr bwMode="auto">
                    <a:xfrm>
                      <a:off x="0" y="0"/>
                      <a:ext cx="2309126" cy="2251821"/>
                    </a:xfrm>
                    <a:prstGeom prst="rect">
                      <a:avLst/>
                    </a:prstGeom>
                    <a:ln>
                      <a:noFill/>
                    </a:ln>
                    <a:extLst>
                      <a:ext uri="{53640926-AAD7-44D8-BBD7-CCE9431645EC}">
                        <a14:shadowObscured xmlns:a14="http://schemas.microsoft.com/office/drawing/2010/main"/>
                      </a:ext>
                    </a:extLst>
                  </pic:spPr>
                </pic:pic>
              </a:graphicData>
            </a:graphic>
          </wp:inline>
        </w:drawing>
      </w:r>
    </w:p>
    <w:p w14:paraId="17EF4FF0" w14:textId="77777777" w:rsidR="0073291B" w:rsidRPr="00CA0357" w:rsidRDefault="0073291B" w:rsidP="0073291B">
      <w:pPr>
        <w:pStyle w:val="NoSpacing"/>
        <w:spacing w:line="360" w:lineRule="auto"/>
        <w:jc w:val="center"/>
        <w:rPr>
          <w:rFonts w:ascii="Arial" w:hAnsi="Arial" w:cs="Arial"/>
          <w:b/>
          <w:bCs/>
          <w:sz w:val="20"/>
          <w:szCs w:val="20"/>
        </w:rPr>
      </w:pPr>
      <w:r w:rsidRPr="00CA0357">
        <w:rPr>
          <w:rFonts w:ascii="Arial" w:hAnsi="Arial" w:cs="Arial"/>
          <w:b/>
          <w:bCs/>
          <w:sz w:val="20"/>
          <w:szCs w:val="20"/>
        </w:rPr>
        <w:t>Fig.9. Nanotechnology applications in medical industry. Nanotechnology has a broad range of applications in various diagnostics and treatments using nanorobotics and drug delivery </w:t>
      </w:r>
    </w:p>
    <w:p w14:paraId="52DA78B6" w14:textId="77777777" w:rsidR="0073291B" w:rsidRPr="00CA0357" w:rsidRDefault="0073291B" w:rsidP="0073291B">
      <w:pPr>
        <w:pStyle w:val="NoSpacing"/>
        <w:spacing w:line="360" w:lineRule="auto"/>
        <w:jc w:val="center"/>
        <w:rPr>
          <w:rFonts w:ascii="Arial" w:hAnsi="Arial" w:cs="Arial"/>
          <w:b/>
          <w:bCs/>
          <w:sz w:val="20"/>
          <w:szCs w:val="20"/>
        </w:rPr>
      </w:pPr>
      <w:r w:rsidRPr="00CA0357">
        <w:rPr>
          <w:rFonts w:ascii="Arial" w:hAnsi="Arial" w:cs="Arial"/>
          <w:b/>
          <w:bCs/>
          <w:sz w:val="20"/>
          <w:szCs w:val="20"/>
        </w:rPr>
        <w:t xml:space="preserve">Systems </w:t>
      </w:r>
      <w:r w:rsidRPr="00CA0357">
        <w:rPr>
          <w:rFonts w:ascii="Arial" w:hAnsi="Arial" w:cs="Arial"/>
          <w:b/>
          <w:bCs/>
          <w:sz w:val="20"/>
          <w:szCs w:val="20"/>
          <w:vertAlign w:val="superscript"/>
        </w:rPr>
        <w:t>[17]</w:t>
      </w:r>
      <w:r w:rsidRPr="00CA0357">
        <w:rPr>
          <w:rFonts w:ascii="Arial" w:hAnsi="Arial" w:cs="Arial"/>
          <w:b/>
          <w:bCs/>
          <w:sz w:val="20"/>
          <w:szCs w:val="20"/>
        </w:rPr>
        <w:t>.</w:t>
      </w:r>
    </w:p>
    <w:p w14:paraId="464A2004" w14:textId="77777777" w:rsidR="008E7321" w:rsidRDefault="008E7321" w:rsidP="008E7321">
      <w:pPr>
        <w:pStyle w:val="NoSpacing"/>
        <w:spacing w:line="360" w:lineRule="auto"/>
        <w:ind w:left="720"/>
        <w:rPr>
          <w:rFonts w:ascii="Arial" w:hAnsi="Arial" w:cs="Arial"/>
          <w:b/>
          <w:bCs/>
        </w:rPr>
      </w:pPr>
    </w:p>
    <w:p w14:paraId="37787A93" w14:textId="77777777" w:rsidR="008E7321" w:rsidRDefault="008E7321" w:rsidP="008E7321">
      <w:pPr>
        <w:pStyle w:val="NoSpacing"/>
        <w:spacing w:line="360" w:lineRule="auto"/>
        <w:ind w:left="720"/>
        <w:rPr>
          <w:rFonts w:ascii="Arial" w:hAnsi="Arial" w:cs="Arial"/>
          <w:b/>
          <w:bCs/>
        </w:rPr>
      </w:pPr>
    </w:p>
    <w:p w14:paraId="2255C5BF" w14:textId="12BBB637" w:rsidR="0073291B" w:rsidRPr="00232B5B" w:rsidRDefault="0073291B" w:rsidP="00EA0D80">
      <w:pPr>
        <w:pStyle w:val="NoSpacing"/>
        <w:numPr>
          <w:ilvl w:val="0"/>
          <w:numId w:val="4"/>
        </w:numPr>
        <w:spacing w:line="360" w:lineRule="auto"/>
        <w:rPr>
          <w:rFonts w:ascii="Arial" w:hAnsi="Arial" w:cs="Arial"/>
          <w:b/>
          <w:bCs/>
        </w:rPr>
      </w:pPr>
      <w:r w:rsidRPr="00232B5B">
        <w:rPr>
          <w:rFonts w:ascii="Arial" w:hAnsi="Arial" w:cs="Arial"/>
          <w:b/>
          <w:bCs/>
        </w:rPr>
        <w:t xml:space="preserve">Uses of AI in the Creation and Enhancement of Nanocarriers </w:t>
      </w:r>
      <w:r w:rsidRPr="00232B5B">
        <w:rPr>
          <w:rFonts w:ascii="Arial" w:hAnsi="Arial" w:cs="Arial"/>
          <w:b/>
          <w:bCs/>
          <w:vertAlign w:val="superscript"/>
        </w:rPr>
        <w:t>[18]</w:t>
      </w:r>
      <w:r w:rsidRPr="00232B5B">
        <w:rPr>
          <w:rFonts w:ascii="Arial" w:hAnsi="Arial" w:cs="Arial"/>
          <w:b/>
          <w:bCs/>
        </w:rPr>
        <w:t>:</w:t>
      </w:r>
    </w:p>
    <w:p w14:paraId="5C329A99" w14:textId="77777777" w:rsidR="003D2D65" w:rsidRPr="00CA0357" w:rsidRDefault="003D2D65" w:rsidP="00EA0D80">
      <w:pPr>
        <w:spacing w:after="0" w:line="360" w:lineRule="auto"/>
        <w:ind w:left="720" w:firstLine="720"/>
        <w:jc w:val="both"/>
        <w:rPr>
          <w:rFonts w:ascii="Arial" w:eastAsia="Times New Roman" w:hAnsi="Arial" w:cs="Arial"/>
          <w:sz w:val="20"/>
          <w:szCs w:val="20"/>
          <w:lang w:eastAsia="en-IN"/>
        </w:rPr>
      </w:pPr>
      <w:r w:rsidRPr="00CA0357">
        <w:rPr>
          <w:rFonts w:ascii="Arial" w:eastAsia="Times New Roman" w:hAnsi="Arial" w:cs="Arial"/>
          <w:sz w:val="20"/>
          <w:szCs w:val="20"/>
          <w:lang w:eastAsia="en-IN"/>
        </w:rPr>
        <w:t>Reaching several receptors within the body and reducing the efficacy of a particular function is a persistent problem with medication delivery. Drug delivery to specific cells or tissues has been found to be facilitated by nanocarriers, which can be tailored to target disease-specific cells while preventing toxicity in healthy cells. Nanocarriers' size, shape, chemical composition, and surface features are some of the features that aid in medication delivery. However, creating the optimal drug delivery system (DDS) using nanocarriers is difficult. By evaluating drug loading, retention, and formulation stability, artificial intelligence (AI) and computational methods can help improve the compatibility between the medication and the nanocarrier.</w:t>
      </w:r>
    </w:p>
    <w:p w14:paraId="764DC117" w14:textId="77777777" w:rsidR="00DA315F" w:rsidRPr="00CA0357" w:rsidRDefault="00DA315F" w:rsidP="00DA315F">
      <w:pPr>
        <w:spacing w:line="360" w:lineRule="auto"/>
        <w:ind w:firstLine="720"/>
        <w:jc w:val="both"/>
        <w:rPr>
          <w:rFonts w:ascii="Arial" w:hAnsi="Arial" w:cs="Arial"/>
          <w:sz w:val="20"/>
          <w:szCs w:val="20"/>
        </w:rPr>
      </w:pPr>
      <w:r w:rsidRPr="00CA0357">
        <w:rPr>
          <w:rFonts w:ascii="Arial" w:hAnsi="Arial" w:cs="Arial"/>
          <w:sz w:val="20"/>
          <w:szCs w:val="20"/>
        </w:rPr>
        <w:t xml:space="preserve">Studies using molecular </w:t>
      </w:r>
      <w:proofErr w:type="spellStart"/>
      <w:r w:rsidRPr="00CA0357">
        <w:rPr>
          <w:rFonts w:ascii="Arial" w:hAnsi="Arial" w:cs="Arial"/>
          <w:sz w:val="20"/>
          <w:szCs w:val="20"/>
        </w:rPr>
        <w:t>modeling</w:t>
      </w:r>
      <w:proofErr w:type="spellEnd"/>
      <w:r w:rsidRPr="00CA0357">
        <w:rPr>
          <w:rFonts w:ascii="Arial" w:hAnsi="Arial" w:cs="Arial"/>
          <w:sz w:val="20"/>
          <w:szCs w:val="20"/>
        </w:rPr>
        <w:t xml:space="preserve"> of nanocarrier DDSs have mostly focused on </w:t>
      </w:r>
    </w:p>
    <w:p w14:paraId="2B5789B3" w14:textId="584A619B" w:rsidR="00DA315F" w:rsidRPr="00CA0357" w:rsidRDefault="00DA315F" w:rsidP="00DA315F">
      <w:pPr>
        <w:pStyle w:val="ListParagraph"/>
        <w:numPr>
          <w:ilvl w:val="0"/>
          <w:numId w:val="20"/>
        </w:numPr>
        <w:spacing w:line="360" w:lineRule="auto"/>
        <w:jc w:val="both"/>
        <w:rPr>
          <w:rFonts w:ascii="Arial" w:hAnsi="Arial" w:cs="Arial"/>
          <w:sz w:val="20"/>
          <w:szCs w:val="20"/>
        </w:rPr>
      </w:pPr>
      <w:proofErr w:type="spellStart"/>
      <w:r w:rsidRPr="00CA0357">
        <w:rPr>
          <w:rFonts w:ascii="Arial" w:hAnsi="Arial" w:cs="Arial"/>
          <w:sz w:val="20"/>
          <w:szCs w:val="20"/>
        </w:rPr>
        <w:t>analyzing</w:t>
      </w:r>
      <w:proofErr w:type="spellEnd"/>
      <w:r w:rsidRPr="00CA0357">
        <w:rPr>
          <w:rFonts w:ascii="Arial" w:hAnsi="Arial" w:cs="Arial"/>
          <w:sz w:val="20"/>
          <w:szCs w:val="20"/>
        </w:rPr>
        <w:t xml:space="preserve"> the formation and structure of nanocarriers, </w:t>
      </w:r>
    </w:p>
    <w:p w14:paraId="0DC9D935" w14:textId="680F3E06" w:rsidR="00DA315F" w:rsidRPr="00CA0357" w:rsidRDefault="00DA315F" w:rsidP="00DA315F">
      <w:pPr>
        <w:pStyle w:val="ListParagraph"/>
        <w:numPr>
          <w:ilvl w:val="0"/>
          <w:numId w:val="20"/>
        </w:numPr>
        <w:spacing w:line="360" w:lineRule="auto"/>
        <w:jc w:val="both"/>
        <w:rPr>
          <w:rFonts w:ascii="Arial" w:hAnsi="Arial" w:cs="Arial"/>
          <w:sz w:val="20"/>
          <w:szCs w:val="20"/>
        </w:rPr>
      </w:pPr>
      <w:proofErr w:type="spellStart"/>
      <w:r w:rsidRPr="00CA0357">
        <w:rPr>
          <w:rFonts w:ascii="Arial" w:hAnsi="Arial" w:cs="Arial"/>
          <w:sz w:val="20"/>
          <w:szCs w:val="20"/>
        </w:rPr>
        <w:t>analyzing</w:t>
      </w:r>
      <w:proofErr w:type="spellEnd"/>
      <w:r w:rsidRPr="00CA0357">
        <w:rPr>
          <w:rFonts w:ascii="Arial" w:hAnsi="Arial" w:cs="Arial"/>
          <w:sz w:val="20"/>
          <w:szCs w:val="20"/>
        </w:rPr>
        <w:t xml:space="preserve"> their delivery and interactions, </w:t>
      </w:r>
    </w:p>
    <w:p w14:paraId="40497CC5" w14:textId="583ADA09" w:rsidR="00DA315F" w:rsidRPr="00CA0357" w:rsidRDefault="00DA315F" w:rsidP="00DA315F">
      <w:pPr>
        <w:pStyle w:val="ListParagraph"/>
        <w:numPr>
          <w:ilvl w:val="0"/>
          <w:numId w:val="20"/>
        </w:numPr>
        <w:spacing w:line="360" w:lineRule="auto"/>
        <w:jc w:val="both"/>
        <w:rPr>
          <w:rFonts w:ascii="Arial" w:hAnsi="Arial" w:cs="Arial"/>
          <w:sz w:val="20"/>
          <w:szCs w:val="20"/>
        </w:rPr>
      </w:pPr>
      <w:proofErr w:type="spellStart"/>
      <w:r w:rsidRPr="00CA0357">
        <w:rPr>
          <w:rFonts w:ascii="Arial" w:hAnsi="Arial" w:cs="Arial"/>
          <w:sz w:val="20"/>
          <w:szCs w:val="20"/>
        </w:rPr>
        <w:t>analyzing</w:t>
      </w:r>
      <w:proofErr w:type="spellEnd"/>
      <w:r w:rsidRPr="00CA0357">
        <w:rPr>
          <w:rFonts w:ascii="Arial" w:hAnsi="Arial" w:cs="Arial"/>
          <w:sz w:val="20"/>
          <w:szCs w:val="20"/>
        </w:rPr>
        <w:t xml:space="preserve"> the surface characteristics of nanocarriers, and </w:t>
      </w:r>
    </w:p>
    <w:p w14:paraId="11795077" w14:textId="023A0834" w:rsidR="00DA315F" w:rsidRPr="00CA0357" w:rsidRDefault="00DA315F" w:rsidP="00DA315F">
      <w:pPr>
        <w:pStyle w:val="ListParagraph"/>
        <w:numPr>
          <w:ilvl w:val="0"/>
          <w:numId w:val="20"/>
        </w:numPr>
        <w:spacing w:line="360" w:lineRule="auto"/>
        <w:jc w:val="both"/>
        <w:rPr>
          <w:rFonts w:ascii="Arial" w:hAnsi="Arial" w:cs="Arial"/>
          <w:sz w:val="20"/>
          <w:szCs w:val="20"/>
        </w:rPr>
      </w:pPr>
      <w:r w:rsidRPr="00CA0357">
        <w:rPr>
          <w:rFonts w:ascii="Arial" w:hAnsi="Arial" w:cs="Arial"/>
          <w:sz w:val="20"/>
          <w:szCs w:val="20"/>
        </w:rPr>
        <w:t>adsorption of nanocarriers on different surfaces.</w:t>
      </w:r>
    </w:p>
    <w:p w14:paraId="37C7933F" w14:textId="77777777" w:rsidR="0073291B" w:rsidRPr="00CA0357" w:rsidRDefault="0073291B" w:rsidP="0073291B">
      <w:pPr>
        <w:spacing w:line="360" w:lineRule="auto"/>
        <w:jc w:val="both"/>
        <w:rPr>
          <w:rFonts w:ascii="Arial" w:hAnsi="Arial" w:cs="Arial"/>
        </w:rPr>
      </w:pPr>
      <w:r w:rsidRPr="00CA0357">
        <w:rPr>
          <w:rFonts w:ascii="Arial" w:hAnsi="Arial" w:cs="Arial"/>
          <w:b/>
          <w:bCs/>
        </w:rPr>
        <w:t>9. NEW TRENDS AND ADVANCEMENTS:</w:t>
      </w:r>
    </w:p>
    <w:p w14:paraId="7E68A895" w14:textId="4030D0AA" w:rsidR="0073291B" w:rsidRPr="00CA0357" w:rsidRDefault="0073291B" w:rsidP="0073291B">
      <w:pPr>
        <w:spacing w:line="360" w:lineRule="auto"/>
        <w:jc w:val="both"/>
        <w:rPr>
          <w:rFonts w:ascii="Arial" w:hAnsi="Arial" w:cs="Arial"/>
          <w:sz w:val="20"/>
          <w:szCs w:val="20"/>
        </w:rPr>
      </w:pPr>
      <w:r>
        <w:rPr>
          <w:rFonts w:ascii="Times New Roman" w:hAnsi="Times New Roman" w:cs="Times New Roman"/>
          <w:sz w:val="24"/>
          <w:szCs w:val="24"/>
        </w:rPr>
        <w:tab/>
      </w:r>
      <w:r w:rsidR="00B21BB4" w:rsidRPr="00CA0357">
        <w:rPr>
          <w:rFonts w:ascii="Arial" w:hAnsi="Arial" w:cs="Arial"/>
          <w:sz w:val="20"/>
          <w:szCs w:val="20"/>
        </w:rPr>
        <w:t xml:space="preserve">The development of a database using deep learning and artificial intelligence (AI) techniques has the potential to significantly increase regulatory quality and efficiency, promote thorough regulatory and risk prediction, and guarantee the safety and quality of medical devices. According to the FDA's most recent report on the CDRH's (Centre for Devices and Radiological Health) regulatory science priorities, almost all ten of the priorities contain AI-supported research. From the time applications are filed until certification is obtained, the </w:t>
      </w:r>
      <w:r w:rsidR="00B21BB4" w:rsidRPr="00CA0357">
        <w:rPr>
          <w:rFonts w:ascii="Arial" w:hAnsi="Arial" w:cs="Arial"/>
          <w:sz w:val="20"/>
          <w:szCs w:val="20"/>
        </w:rPr>
        <w:lastRenderedPageBreak/>
        <w:t>medical device regulation procedure frequently takes years. Data evaluation and forecasting procedures can be streamlined by using AI-powered big data analytics and contemporary computer models.</w:t>
      </w:r>
      <w:r w:rsidR="00006168" w:rsidRPr="00CA0357">
        <w:rPr>
          <w:rFonts w:ascii="Arial" w:hAnsi="Arial" w:cs="Arial"/>
          <w:sz w:val="20"/>
          <w:szCs w:val="20"/>
        </w:rPr>
        <w:t xml:space="preserve"> </w:t>
      </w:r>
      <w:r w:rsidR="00B21BB4" w:rsidRPr="00CA0357">
        <w:rPr>
          <w:rFonts w:ascii="Arial" w:hAnsi="Arial" w:cs="Arial"/>
          <w:sz w:val="20"/>
          <w:szCs w:val="20"/>
        </w:rPr>
        <w:t xml:space="preserve">By including data from medical devices' whole lifecycle, </w:t>
      </w:r>
      <w:proofErr w:type="spellStart"/>
      <w:r w:rsidR="00C51E01" w:rsidRPr="00CA0357">
        <w:rPr>
          <w:rFonts w:ascii="Arial" w:hAnsi="Arial" w:cs="Arial"/>
          <w:sz w:val="20"/>
          <w:szCs w:val="20"/>
        </w:rPr>
        <w:t>Modeling</w:t>
      </w:r>
      <w:proofErr w:type="spellEnd"/>
      <w:r w:rsidR="00B21BB4" w:rsidRPr="00CA0357">
        <w:rPr>
          <w:rFonts w:ascii="Arial" w:hAnsi="Arial" w:cs="Arial"/>
          <w:sz w:val="20"/>
          <w:szCs w:val="20"/>
        </w:rPr>
        <w:t xml:space="preserve"> can enhance risk assessment and management. Understanding the manufacturing, approval, marketing, use, and adverse events related to various medical device devices is crucial to achieving this objective. Furthermore, enhancing the cybersecurity procedures of digital health systems will be necessary to build a robust database </w:t>
      </w:r>
      <w:r w:rsidR="00EA33C2" w:rsidRPr="00CA0357">
        <w:rPr>
          <w:rFonts w:ascii="Arial" w:hAnsi="Arial" w:cs="Arial"/>
          <w:sz w:val="20"/>
          <w:szCs w:val="20"/>
          <w:vertAlign w:val="superscript"/>
        </w:rPr>
        <w:t>[1]</w:t>
      </w:r>
      <w:r w:rsidRPr="00CA0357">
        <w:rPr>
          <w:rFonts w:ascii="Arial" w:hAnsi="Arial" w:cs="Arial"/>
          <w:sz w:val="20"/>
          <w:szCs w:val="20"/>
        </w:rPr>
        <w:t>.</w:t>
      </w:r>
    </w:p>
    <w:p w14:paraId="10184E06" w14:textId="5D010D4E" w:rsidR="0073291B" w:rsidRPr="00CA0357" w:rsidRDefault="00C51E01" w:rsidP="00C51E01">
      <w:pPr>
        <w:spacing w:line="360" w:lineRule="auto"/>
        <w:ind w:firstLine="720"/>
        <w:jc w:val="both"/>
        <w:rPr>
          <w:rFonts w:ascii="Arial" w:hAnsi="Arial" w:cs="Arial"/>
          <w:sz w:val="20"/>
          <w:szCs w:val="20"/>
        </w:rPr>
      </w:pPr>
      <w:r w:rsidRPr="00CA0357">
        <w:rPr>
          <w:rFonts w:ascii="Arial" w:hAnsi="Arial" w:cs="Arial"/>
          <w:sz w:val="20"/>
          <w:szCs w:val="20"/>
        </w:rPr>
        <w:t xml:space="preserve">With notable advancements in the creation of intelligent nanoparticles, the field of nanomedicine is continuously changing. These sophisticated nanoparticles can respond to physiological changes, such changes in temperature or pH, to provide targeted treatments at disease sites. Nanoparticle technologies are increasingly helping to advance personalized treatment. It is possible to tailor specially designed nanoparticles to each patient's own profile, which includes genetic information and specific disease characteristics. This level of customization guarantees that therapies are tailored to each patient's unique health concerns, improving health outcomes and reducing treatment-related problems. New regulatory frameworks are becoming more and more necessary as the area of nanoparticle medicine expands. In order to address possible risks and ethical issues related to the broad use of nanoparticles, recent regulatory revisions aim to guarantee their safe and efficient use in clinical settings. Regulations of this kind are essential for safeguarding patient safety and encouraging advancements in nanotechnology </w:t>
      </w:r>
      <w:r w:rsidRPr="00CA0357">
        <w:rPr>
          <w:rFonts w:ascii="Arial" w:hAnsi="Arial" w:cs="Arial"/>
          <w:sz w:val="20"/>
          <w:szCs w:val="20"/>
          <w:vertAlign w:val="superscript"/>
        </w:rPr>
        <w:t>[2]</w:t>
      </w:r>
      <w:r w:rsidR="0073291B" w:rsidRPr="00CA0357">
        <w:rPr>
          <w:rFonts w:ascii="Arial" w:hAnsi="Arial" w:cs="Arial"/>
          <w:sz w:val="20"/>
          <w:szCs w:val="20"/>
        </w:rPr>
        <w:t>.</w:t>
      </w:r>
    </w:p>
    <w:p w14:paraId="0F75F341" w14:textId="7AEAFD3F" w:rsidR="0073291B" w:rsidRPr="00CA0357" w:rsidRDefault="001C7502" w:rsidP="001C7502">
      <w:pPr>
        <w:spacing w:line="360" w:lineRule="auto"/>
        <w:ind w:firstLine="720"/>
        <w:jc w:val="both"/>
        <w:rPr>
          <w:rFonts w:ascii="Arial" w:hAnsi="Arial" w:cs="Arial"/>
          <w:sz w:val="20"/>
          <w:szCs w:val="20"/>
        </w:rPr>
      </w:pPr>
      <w:r w:rsidRPr="00CA0357">
        <w:rPr>
          <w:rFonts w:ascii="Arial" w:hAnsi="Arial" w:cs="Arial"/>
          <w:sz w:val="20"/>
          <w:szCs w:val="20"/>
        </w:rPr>
        <w:t xml:space="preserve">Related social, ethical, environmental, and human safety concerns surface as new technologies are implemented in various fields, potentially impeding advancement. As nanotechnology advances, it is imperative that these issues be methodically addressed and </w:t>
      </w:r>
      <w:proofErr w:type="spellStart"/>
      <w:r w:rsidRPr="00CA0357">
        <w:rPr>
          <w:rFonts w:ascii="Arial" w:hAnsi="Arial" w:cs="Arial"/>
          <w:sz w:val="20"/>
          <w:szCs w:val="20"/>
        </w:rPr>
        <w:t>analyzed</w:t>
      </w:r>
      <w:proofErr w:type="spellEnd"/>
      <w:r w:rsidRPr="00CA0357">
        <w:rPr>
          <w:rFonts w:ascii="Arial" w:hAnsi="Arial" w:cs="Arial"/>
          <w:sz w:val="20"/>
          <w:szCs w:val="20"/>
        </w:rPr>
        <w:t xml:space="preserve"> to guarantee its seamless integration into a range of sectors without causing moral, ethical, or societal repercussions. Technologists, engineers, biologists, and industry professionals must work together to advance a promising future linked to the widespread use of nanotechnology in many fields </w:t>
      </w:r>
      <w:r w:rsidR="0073291B" w:rsidRPr="00CA0357">
        <w:rPr>
          <w:rFonts w:ascii="Arial" w:hAnsi="Arial" w:cs="Arial"/>
          <w:sz w:val="20"/>
          <w:szCs w:val="20"/>
          <w:vertAlign w:val="superscript"/>
        </w:rPr>
        <w:t>[17]</w:t>
      </w:r>
      <w:r w:rsidR="0073291B" w:rsidRPr="00CA0357">
        <w:rPr>
          <w:rFonts w:ascii="Arial" w:hAnsi="Arial" w:cs="Arial"/>
          <w:sz w:val="20"/>
          <w:szCs w:val="20"/>
        </w:rPr>
        <w:t>.</w:t>
      </w:r>
    </w:p>
    <w:p w14:paraId="19E16EA5" w14:textId="3D13EEE0" w:rsidR="00E65649" w:rsidRPr="00CA0357" w:rsidRDefault="00E65649" w:rsidP="00E65649">
      <w:pPr>
        <w:pStyle w:val="ListParagraph"/>
        <w:numPr>
          <w:ilvl w:val="0"/>
          <w:numId w:val="21"/>
        </w:numPr>
        <w:spacing w:line="360" w:lineRule="auto"/>
        <w:ind w:left="142"/>
        <w:jc w:val="both"/>
        <w:rPr>
          <w:rFonts w:ascii="Arial" w:hAnsi="Arial" w:cs="Arial"/>
          <w:b/>
          <w:bCs/>
        </w:rPr>
      </w:pPr>
      <w:r w:rsidRPr="00CA0357">
        <w:rPr>
          <w:rFonts w:ascii="Arial" w:hAnsi="Arial" w:cs="Arial"/>
          <w:b/>
          <w:bCs/>
        </w:rPr>
        <w:t xml:space="preserve"> SUMMARY:</w:t>
      </w:r>
    </w:p>
    <w:p w14:paraId="0B5A2304" w14:textId="00380418" w:rsidR="00012160" w:rsidRPr="00CA0357" w:rsidRDefault="00012160" w:rsidP="00012160">
      <w:pPr>
        <w:spacing w:line="360" w:lineRule="auto"/>
        <w:ind w:firstLine="720"/>
        <w:jc w:val="both"/>
        <w:rPr>
          <w:rFonts w:ascii="Arial" w:hAnsi="Arial" w:cs="Arial"/>
          <w:sz w:val="20"/>
          <w:szCs w:val="20"/>
        </w:rPr>
      </w:pPr>
      <w:r w:rsidRPr="00CA0357">
        <w:rPr>
          <w:rFonts w:ascii="Arial" w:hAnsi="Arial" w:cs="Arial"/>
          <w:sz w:val="20"/>
          <w:szCs w:val="20"/>
        </w:rPr>
        <w:t xml:space="preserve">This review examines the collaborative use of artificial intelligence (AI) and nanotechnology in the design, development, and regulation of pharmaceutical medical devices. It stresses how nanomaterials, with their unique nanoscale features such as improved biocompatibility, reactivity, and surface functioning, have transformed the performance of diagnostic and therapeutic devices. The paper examines a wide range of nanomaterial types and their biomedical applications, including flexible nanomaterial-based sensors for wearable and virtual reality medical systems, nanocarriers for targeted medication administration, and nanoparticles for advanced imaging and gene transfer. AI integration is critical in predicting nanomaterial </w:t>
      </w:r>
      <w:proofErr w:type="spellStart"/>
      <w:r w:rsidRPr="00CA0357">
        <w:rPr>
          <w:rFonts w:ascii="Arial" w:hAnsi="Arial" w:cs="Arial"/>
          <w:sz w:val="20"/>
          <w:szCs w:val="20"/>
        </w:rPr>
        <w:t>behavior</w:t>
      </w:r>
      <w:proofErr w:type="spellEnd"/>
      <w:r w:rsidRPr="00CA0357">
        <w:rPr>
          <w:rFonts w:ascii="Arial" w:hAnsi="Arial" w:cs="Arial"/>
          <w:sz w:val="20"/>
          <w:szCs w:val="20"/>
        </w:rPr>
        <w:t xml:space="preserve">, optimizing drug delivery systems, and improving imaging contrast through data-driven modelling. </w:t>
      </w:r>
      <w:r w:rsidR="00E65649" w:rsidRPr="00CA0357">
        <w:rPr>
          <w:rFonts w:ascii="Arial" w:hAnsi="Arial" w:cs="Arial"/>
          <w:sz w:val="20"/>
          <w:szCs w:val="20"/>
        </w:rPr>
        <w:t xml:space="preserve">The review also discusses the nanotoxicological aspects, addressing physicochemical </w:t>
      </w:r>
      <w:r w:rsidRPr="00CA0357">
        <w:rPr>
          <w:rFonts w:ascii="Arial" w:hAnsi="Arial" w:cs="Arial"/>
          <w:sz w:val="20"/>
          <w:szCs w:val="20"/>
        </w:rPr>
        <w:t>Characterization, exposure hazards, and predictive in silico modelling for safety evaluations. It also examines changing regulatory frameworks and the role of AI in creating predictive nano-informatics databases that simplify approval processes. Emerging developments in personalized nanomedicine, smart nanoparticles, and AI-guided regulatory modelling are also highlighted, emphasizing how these advances are transforming healthcare technologies into safer, more efficient, and patient-specific applications.</w:t>
      </w:r>
    </w:p>
    <w:p w14:paraId="7FFA33A7" w14:textId="77777777" w:rsidR="007364E5" w:rsidRPr="00CA0357" w:rsidRDefault="007364E5" w:rsidP="00012160">
      <w:pPr>
        <w:spacing w:line="360" w:lineRule="auto"/>
        <w:ind w:firstLine="720"/>
        <w:jc w:val="both"/>
        <w:rPr>
          <w:rFonts w:ascii="Arial" w:hAnsi="Arial" w:cs="Arial"/>
          <w:sz w:val="20"/>
          <w:szCs w:val="20"/>
        </w:rPr>
      </w:pPr>
    </w:p>
    <w:p w14:paraId="5D5D315C" w14:textId="77777777" w:rsidR="007364E5" w:rsidRPr="00CA0357" w:rsidRDefault="007364E5" w:rsidP="00012160">
      <w:pPr>
        <w:spacing w:line="360" w:lineRule="auto"/>
        <w:ind w:firstLine="720"/>
        <w:jc w:val="both"/>
        <w:rPr>
          <w:rFonts w:ascii="Arial" w:hAnsi="Arial" w:cs="Arial"/>
        </w:rPr>
      </w:pPr>
    </w:p>
    <w:p w14:paraId="242F6546" w14:textId="0B5BA4D3" w:rsidR="007364E5" w:rsidRPr="00CA0357" w:rsidRDefault="007364E5" w:rsidP="007364E5">
      <w:pPr>
        <w:pStyle w:val="ListParagraph"/>
        <w:numPr>
          <w:ilvl w:val="0"/>
          <w:numId w:val="21"/>
        </w:numPr>
        <w:spacing w:line="360" w:lineRule="auto"/>
        <w:ind w:left="284"/>
        <w:jc w:val="both"/>
        <w:rPr>
          <w:rFonts w:ascii="Arial" w:hAnsi="Arial" w:cs="Arial"/>
          <w:b/>
          <w:bCs/>
        </w:rPr>
      </w:pPr>
      <w:r w:rsidRPr="00E5032D">
        <w:rPr>
          <w:rFonts w:ascii="Arial" w:hAnsi="Arial" w:cs="Arial"/>
          <w:b/>
          <w:bCs/>
        </w:rPr>
        <w:t xml:space="preserve"> Conclusion</w:t>
      </w:r>
      <w:r w:rsidRPr="00CA0357">
        <w:rPr>
          <w:rFonts w:ascii="Arial" w:hAnsi="Arial" w:cs="Arial"/>
          <w:b/>
          <w:bCs/>
        </w:rPr>
        <w:t>:</w:t>
      </w:r>
    </w:p>
    <w:p w14:paraId="1BE89E0C" w14:textId="77777777" w:rsidR="00AB0581" w:rsidRDefault="007364E5" w:rsidP="007364E5">
      <w:pPr>
        <w:spacing w:line="360" w:lineRule="auto"/>
        <w:ind w:firstLine="720"/>
        <w:jc w:val="both"/>
        <w:rPr>
          <w:rFonts w:ascii="Arial" w:hAnsi="Arial" w:cs="Arial"/>
          <w:sz w:val="20"/>
          <w:szCs w:val="20"/>
        </w:rPr>
      </w:pPr>
      <w:r w:rsidRPr="00CA0357">
        <w:rPr>
          <w:rFonts w:ascii="Arial" w:hAnsi="Arial" w:cs="Arial"/>
          <w:sz w:val="20"/>
          <w:szCs w:val="20"/>
        </w:rPr>
        <w:t xml:space="preserve">The integration of artificial intelligence (AI) and nanotechnology is revolutionizing pharmaceutical and biomedical devices by enabling exceptional precision, functionality, and personalization. Nanomaterials contribute advanced capabilities in diagnostics, therapy, and monitoring, while AI enhances these </w:t>
      </w:r>
      <w:proofErr w:type="gramStart"/>
      <w:r w:rsidRPr="00CA0357">
        <w:rPr>
          <w:rFonts w:ascii="Arial" w:hAnsi="Arial" w:cs="Arial"/>
          <w:sz w:val="20"/>
          <w:szCs w:val="20"/>
        </w:rPr>
        <w:t xml:space="preserve">applications </w:t>
      </w:r>
      <w:r w:rsidR="00E5032D">
        <w:rPr>
          <w:rFonts w:ascii="Arial" w:hAnsi="Arial" w:cs="Arial"/>
          <w:sz w:val="20"/>
          <w:szCs w:val="20"/>
        </w:rPr>
        <w:t xml:space="preserve"> </w:t>
      </w:r>
      <w:r w:rsidRPr="00CA0357">
        <w:rPr>
          <w:rFonts w:ascii="Arial" w:hAnsi="Arial" w:cs="Arial"/>
          <w:sz w:val="20"/>
          <w:szCs w:val="20"/>
        </w:rPr>
        <w:t>through</w:t>
      </w:r>
      <w:proofErr w:type="gramEnd"/>
      <w:r w:rsidRPr="00CA0357">
        <w:rPr>
          <w:rFonts w:ascii="Arial" w:hAnsi="Arial" w:cs="Arial"/>
          <w:sz w:val="20"/>
          <w:szCs w:val="20"/>
        </w:rPr>
        <w:t xml:space="preserve"> predictive </w:t>
      </w:r>
      <w:proofErr w:type="spellStart"/>
      <w:r w:rsidRPr="00CA0357">
        <w:rPr>
          <w:rFonts w:ascii="Arial" w:hAnsi="Arial" w:cs="Arial"/>
          <w:sz w:val="20"/>
          <w:szCs w:val="20"/>
        </w:rPr>
        <w:t>modeling</w:t>
      </w:r>
      <w:proofErr w:type="spellEnd"/>
      <w:r w:rsidRPr="00CA0357">
        <w:rPr>
          <w:rFonts w:ascii="Arial" w:hAnsi="Arial" w:cs="Arial"/>
          <w:sz w:val="20"/>
          <w:szCs w:val="20"/>
        </w:rPr>
        <w:t xml:space="preserve">, real-time analysis, and system optimization. Together, they enable intelligent, adaptive, and safer healthcare technologies. However, rapid innovation demands parallel progress in regulatory science to ensure quality, reproducibility, and biosafety. Addressing challenges related to nanotoxicity, ethics, and data governance remains essential for sustainable implementation. </w:t>
      </w:r>
    </w:p>
    <w:p w14:paraId="3B884118" w14:textId="4603FFC3" w:rsidR="007364E5" w:rsidRDefault="007364E5" w:rsidP="00AB0581">
      <w:pPr>
        <w:spacing w:line="360" w:lineRule="auto"/>
        <w:ind w:firstLine="720"/>
        <w:jc w:val="both"/>
        <w:rPr>
          <w:rFonts w:ascii="Arial" w:hAnsi="Arial" w:cs="Arial"/>
          <w:sz w:val="20"/>
          <w:szCs w:val="20"/>
        </w:rPr>
      </w:pPr>
      <w:r w:rsidRPr="00CA0357">
        <w:rPr>
          <w:rFonts w:ascii="Arial" w:hAnsi="Arial" w:cs="Arial"/>
          <w:sz w:val="20"/>
          <w:szCs w:val="20"/>
        </w:rPr>
        <w:t>Future advancements will rely on robust databases, harmonized standards, and AI-driven regulatory frameworks that accelerate innovation while safeguarding public trust. Overall, AI-enhanced nanotechnology represents a transformative step toward smart, responsive, and patient-centric medical devices that redefine modern healthcare</w:t>
      </w:r>
      <w:r w:rsidR="00F71A4D" w:rsidRPr="00CA0357">
        <w:rPr>
          <w:rFonts w:ascii="Arial" w:hAnsi="Arial" w:cs="Arial"/>
          <w:sz w:val="20"/>
          <w:szCs w:val="20"/>
        </w:rPr>
        <w:t>.</w:t>
      </w:r>
    </w:p>
    <w:p w14:paraId="5D2DD3AF" w14:textId="77777777" w:rsidR="00562F74" w:rsidRDefault="00562F74" w:rsidP="00AB0581">
      <w:pPr>
        <w:spacing w:line="360" w:lineRule="auto"/>
        <w:ind w:firstLine="720"/>
        <w:jc w:val="both"/>
        <w:rPr>
          <w:rFonts w:ascii="Arial" w:hAnsi="Arial" w:cs="Arial"/>
          <w:sz w:val="20"/>
          <w:szCs w:val="20"/>
        </w:rPr>
      </w:pPr>
    </w:p>
    <w:p w14:paraId="134A9C14" w14:textId="77777777" w:rsidR="00562F74" w:rsidRPr="00562F74" w:rsidRDefault="00562F74" w:rsidP="00562F74">
      <w:pPr>
        <w:spacing w:after="200" w:line="276" w:lineRule="auto"/>
        <w:jc w:val="both"/>
        <w:outlineLvl w:val="0"/>
        <w:rPr>
          <w:rFonts w:ascii="Arial" w:eastAsia="Times New Roman" w:hAnsi="Arial" w:cs="Arial"/>
          <w:lang w:val="en-GB" w:eastAsia="en-GB"/>
        </w:rPr>
      </w:pPr>
      <w:r w:rsidRPr="00562F74">
        <w:rPr>
          <w:rFonts w:ascii="Arial" w:eastAsia="Times New Roman" w:hAnsi="Arial" w:cs="Arial"/>
          <w:b/>
          <w:bCs/>
          <w:lang w:val="en-GB" w:eastAsia="en-GB"/>
        </w:rPr>
        <w:t>COMPETING INTERESTS DISCLAIMER:</w:t>
      </w:r>
    </w:p>
    <w:p w14:paraId="305263C3" w14:textId="77777777" w:rsidR="00562F74" w:rsidRPr="00562F74" w:rsidRDefault="00562F74" w:rsidP="00562F74">
      <w:pPr>
        <w:spacing w:after="200" w:line="276" w:lineRule="auto"/>
        <w:rPr>
          <w:rFonts w:ascii="Calibri" w:eastAsia="Times New Roman" w:hAnsi="Calibri" w:cs="Times New Roman"/>
          <w:lang w:val="en-GB" w:eastAsia="en-GB"/>
        </w:rPr>
      </w:pPr>
      <w:r w:rsidRPr="00562F74">
        <w:rPr>
          <w:rFonts w:ascii="Calibri" w:eastAsia="Times New Roman" w:hAnsi="Calibri" w:cs="Times New Roman"/>
          <w:lang w:val="en-GB" w:eastAsia="en-GB"/>
        </w:rPr>
        <w:t>Authors have declared that they have no known competing financial interests OR non-financial interests OR personal relationships that could have appeared to influence the work reported in this paper.</w:t>
      </w:r>
    </w:p>
    <w:p w14:paraId="2F9A696A" w14:textId="77777777" w:rsidR="00562F74" w:rsidRPr="00CA0357" w:rsidRDefault="00562F74" w:rsidP="00AB0581">
      <w:pPr>
        <w:spacing w:line="360" w:lineRule="auto"/>
        <w:ind w:firstLine="720"/>
        <w:jc w:val="both"/>
        <w:rPr>
          <w:rFonts w:ascii="Arial" w:hAnsi="Arial" w:cs="Arial"/>
          <w:sz w:val="20"/>
          <w:szCs w:val="20"/>
        </w:rPr>
      </w:pPr>
    </w:p>
    <w:p w14:paraId="63681E11" w14:textId="77777777" w:rsidR="00AB0581" w:rsidRDefault="00AB0581" w:rsidP="00AB0581">
      <w:pPr>
        <w:pStyle w:val="ListParagraph"/>
        <w:spacing w:line="360" w:lineRule="auto"/>
        <w:ind w:left="284"/>
        <w:jc w:val="both"/>
        <w:rPr>
          <w:rFonts w:ascii="Arial" w:hAnsi="Arial" w:cs="Arial"/>
          <w:b/>
          <w:bCs/>
        </w:rPr>
      </w:pPr>
    </w:p>
    <w:p w14:paraId="2392B39F" w14:textId="486C5B32" w:rsidR="00AB3C7D" w:rsidRPr="00CA0357" w:rsidRDefault="00AB3C7D" w:rsidP="00AB3C7D">
      <w:pPr>
        <w:pStyle w:val="ListParagraph"/>
        <w:numPr>
          <w:ilvl w:val="0"/>
          <w:numId w:val="21"/>
        </w:numPr>
        <w:spacing w:line="360" w:lineRule="auto"/>
        <w:ind w:left="284" w:hanging="426"/>
        <w:jc w:val="both"/>
        <w:rPr>
          <w:rFonts w:ascii="Arial" w:hAnsi="Arial" w:cs="Arial"/>
          <w:b/>
          <w:bCs/>
        </w:rPr>
      </w:pPr>
      <w:r w:rsidRPr="00CA0357">
        <w:rPr>
          <w:rFonts w:ascii="Arial" w:hAnsi="Arial" w:cs="Arial"/>
          <w:b/>
          <w:bCs/>
        </w:rPr>
        <w:t>REFER</w:t>
      </w:r>
      <w:r w:rsidR="00EE6E4E">
        <w:rPr>
          <w:rFonts w:ascii="Arial" w:hAnsi="Arial" w:cs="Arial"/>
          <w:b/>
          <w:bCs/>
        </w:rPr>
        <w:t>E</w:t>
      </w:r>
      <w:r w:rsidRPr="00CA0357">
        <w:rPr>
          <w:rFonts w:ascii="Arial" w:hAnsi="Arial" w:cs="Arial"/>
          <w:b/>
          <w:bCs/>
        </w:rPr>
        <w:t>NCE:</w:t>
      </w:r>
    </w:p>
    <w:p w14:paraId="125874AE" w14:textId="6E763F92" w:rsidR="00F71A4D" w:rsidRPr="001D3FB1" w:rsidRDefault="00973519" w:rsidP="00445D33">
      <w:pPr>
        <w:pStyle w:val="ListParagraph"/>
        <w:numPr>
          <w:ilvl w:val="0"/>
          <w:numId w:val="22"/>
        </w:numPr>
        <w:spacing w:line="360" w:lineRule="auto"/>
        <w:jc w:val="both"/>
        <w:rPr>
          <w:rFonts w:ascii="Helvetica" w:hAnsi="Helvetica" w:cs="Helvetica"/>
          <w:sz w:val="20"/>
          <w:szCs w:val="20"/>
        </w:rPr>
      </w:pPr>
      <w:proofErr w:type="spellStart"/>
      <w:r w:rsidRPr="001D3FB1">
        <w:rPr>
          <w:rFonts w:ascii="Helvetica" w:hAnsi="Helvetica" w:cs="Helvetica"/>
          <w:sz w:val="20"/>
          <w:szCs w:val="20"/>
        </w:rPr>
        <w:t>Chubing</w:t>
      </w:r>
      <w:proofErr w:type="spellEnd"/>
      <w:r w:rsidRPr="001D3FB1">
        <w:rPr>
          <w:rFonts w:ascii="Helvetica" w:hAnsi="Helvetica" w:cs="Helvetica"/>
          <w:sz w:val="20"/>
          <w:szCs w:val="20"/>
        </w:rPr>
        <w:t xml:space="preserve"> Lina, Xin </w:t>
      </w:r>
      <w:proofErr w:type="spellStart"/>
      <w:r w:rsidRPr="001D3FB1">
        <w:rPr>
          <w:rFonts w:ascii="Helvetica" w:hAnsi="Helvetica" w:cs="Helvetica"/>
          <w:sz w:val="20"/>
          <w:szCs w:val="20"/>
        </w:rPr>
        <w:t>Huanga</w:t>
      </w:r>
      <w:proofErr w:type="spellEnd"/>
      <w:r w:rsidRPr="001D3FB1">
        <w:rPr>
          <w:rFonts w:ascii="Helvetica" w:hAnsi="Helvetica" w:cs="Helvetica"/>
          <w:sz w:val="20"/>
          <w:szCs w:val="20"/>
        </w:rPr>
        <w:t xml:space="preserve">, </w:t>
      </w:r>
      <w:proofErr w:type="spellStart"/>
      <w:r w:rsidRPr="001D3FB1">
        <w:rPr>
          <w:rFonts w:ascii="Helvetica" w:hAnsi="Helvetica" w:cs="Helvetica"/>
          <w:sz w:val="20"/>
          <w:szCs w:val="20"/>
        </w:rPr>
        <w:t>Yueguang</w:t>
      </w:r>
      <w:proofErr w:type="spellEnd"/>
      <w:r w:rsidRPr="001D3FB1">
        <w:rPr>
          <w:rFonts w:ascii="Helvetica" w:hAnsi="Helvetica" w:cs="Helvetica"/>
          <w:sz w:val="20"/>
          <w:szCs w:val="20"/>
        </w:rPr>
        <w:t xml:space="preserve"> </w:t>
      </w:r>
      <w:proofErr w:type="spellStart"/>
      <w:r w:rsidRPr="001D3FB1">
        <w:rPr>
          <w:rFonts w:ascii="Helvetica" w:hAnsi="Helvetica" w:cs="Helvetica"/>
          <w:sz w:val="20"/>
          <w:szCs w:val="20"/>
        </w:rPr>
        <w:t>Xuea</w:t>
      </w:r>
      <w:proofErr w:type="spellEnd"/>
      <w:r w:rsidRPr="001D3FB1">
        <w:rPr>
          <w:rFonts w:ascii="Helvetica" w:hAnsi="Helvetica" w:cs="Helvetica"/>
          <w:sz w:val="20"/>
          <w:szCs w:val="20"/>
        </w:rPr>
        <w:t xml:space="preserve">, </w:t>
      </w:r>
      <w:proofErr w:type="spellStart"/>
      <w:r w:rsidRPr="001D3FB1">
        <w:rPr>
          <w:rFonts w:ascii="Helvetica" w:hAnsi="Helvetica" w:cs="Helvetica"/>
          <w:sz w:val="20"/>
          <w:szCs w:val="20"/>
        </w:rPr>
        <w:t>Shasha</w:t>
      </w:r>
      <w:proofErr w:type="spellEnd"/>
      <w:r w:rsidRPr="001D3FB1">
        <w:rPr>
          <w:rFonts w:ascii="Helvetica" w:hAnsi="Helvetica" w:cs="Helvetica"/>
          <w:sz w:val="20"/>
          <w:szCs w:val="20"/>
        </w:rPr>
        <w:t xml:space="preserve"> </w:t>
      </w:r>
      <w:proofErr w:type="spellStart"/>
      <w:r w:rsidRPr="001D3FB1">
        <w:rPr>
          <w:rFonts w:ascii="Helvetica" w:hAnsi="Helvetica" w:cs="Helvetica"/>
          <w:sz w:val="20"/>
          <w:szCs w:val="20"/>
        </w:rPr>
        <w:t>Jiangd</w:t>
      </w:r>
      <w:proofErr w:type="spellEnd"/>
      <w:r w:rsidRPr="001D3FB1">
        <w:rPr>
          <w:rFonts w:ascii="Helvetica" w:hAnsi="Helvetica" w:cs="Helvetica"/>
          <w:sz w:val="20"/>
          <w:szCs w:val="20"/>
        </w:rPr>
        <w:t xml:space="preserve">, Chunying Chen, Ying Liuc , Kuan Chen, Advances in medical devices using nanomaterials and nanotechnology: Innovation and regulatory science, Bioactive Materials 48 (2025) 353–369, </w:t>
      </w:r>
      <w:hyperlink r:id="rId21" w:history="1">
        <w:r w:rsidRPr="001D3FB1">
          <w:rPr>
            <w:rStyle w:val="Hyperlink"/>
            <w:rFonts w:ascii="Helvetica" w:hAnsi="Helvetica" w:cs="Helvetica"/>
            <w:sz w:val="20"/>
            <w:szCs w:val="20"/>
          </w:rPr>
          <w:t>https://doi.org/10.1016/j.bioactmat.2025.02.017</w:t>
        </w:r>
      </w:hyperlink>
    </w:p>
    <w:p w14:paraId="3095A63C" w14:textId="003A5FD4" w:rsidR="00973519" w:rsidRPr="001D3FB1" w:rsidRDefault="00973519" w:rsidP="00445D33">
      <w:pPr>
        <w:pStyle w:val="ListParagraph"/>
        <w:numPr>
          <w:ilvl w:val="0"/>
          <w:numId w:val="22"/>
        </w:numPr>
        <w:spacing w:line="360" w:lineRule="auto"/>
        <w:jc w:val="both"/>
        <w:rPr>
          <w:rFonts w:ascii="Arial" w:hAnsi="Arial" w:cs="Arial"/>
          <w:sz w:val="20"/>
          <w:szCs w:val="20"/>
        </w:rPr>
      </w:pPr>
      <w:r w:rsidRPr="001D3FB1">
        <w:rPr>
          <w:rFonts w:ascii="Arial" w:hAnsi="Arial" w:cs="Arial"/>
          <w:sz w:val="20"/>
          <w:szCs w:val="20"/>
        </w:rPr>
        <w:t xml:space="preserve">Ali Umar, Misbah Ullah Khan, Zeeshan Ulfat, Muhammad Shoaib Sharif, Muhammad Yasir Abbas, Waseem Ghafoor, Noman Nazeer, Muhammad Waseem Aslam, Muhammad Saqib Rafique, </w:t>
      </w:r>
      <w:proofErr w:type="spellStart"/>
      <w:r w:rsidRPr="001D3FB1">
        <w:rPr>
          <w:rFonts w:ascii="Arial" w:hAnsi="Arial" w:cs="Arial"/>
          <w:sz w:val="20"/>
          <w:szCs w:val="20"/>
        </w:rPr>
        <w:t>Komal</w:t>
      </w:r>
      <w:proofErr w:type="spellEnd"/>
      <w:r w:rsidRPr="001D3FB1">
        <w:rPr>
          <w:rFonts w:ascii="Arial" w:hAnsi="Arial" w:cs="Arial"/>
          <w:sz w:val="20"/>
          <w:szCs w:val="20"/>
        </w:rPr>
        <w:t xml:space="preserve"> </w:t>
      </w:r>
      <w:proofErr w:type="spellStart"/>
      <w:r w:rsidRPr="001D3FB1">
        <w:rPr>
          <w:rFonts w:ascii="Arial" w:hAnsi="Arial" w:cs="Arial"/>
          <w:sz w:val="20"/>
          <w:szCs w:val="20"/>
        </w:rPr>
        <w:t>Farghama</w:t>
      </w:r>
      <w:proofErr w:type="spellEnd"/>
      <w:r w:rsidRPr="001D3FB1">
        <w:rPr>
          <w:rFonts w:ascii="Arial" w:hAnsi="Arial" w:cs="Arial"/>
          <w:sz w:val="20"/>
          <w:szCs w:val="20"/>
        </w:rPr>
        <w:t xml:space="preserve">, Aruba, </w:t>
      </w:r>
      <w:proofErr w:type="spellStart"/>
      <w:r w:rsidRPr="001D3FB1">
        <w:rPr>
          <w:rFonts w:ascii="Arial" w:hAnsi="Arial" w:cs="Arial"/>
          <w:sz w:val="20"/>
          <w:szCs w:val="20"/>
        </w:rPr>
        <w:t>Fehmida</w:t>
      </w:r>
      <w:proofErr w:type="spellEnd"/>
      <w:r w:rsidR="000711CC" w:rsidRPr="001D3FB1">
        <w:rPr>
          <w:rFonts w:ascii="Arial" w:hAnsi="Arial" w:cs="Arial"/>
          <w:sz w:val="20"/>
          <w:szCs w:val="20"/>
        </w:rPr>
        <w:t xml:space="preserve"> </w:t>
      </w:r>
      <w:r w:rsidRPr="001D3FB1">
        <w:rPr>
          <w:rFonts w:ascii="Arial" w:hAnsi="Arial" w:cs="Arial"/>
          <w:sz w:val="20"/>
          <w:szCs w:val="20"/>
        </w:rPr>
        <w:t xml:space="preserve">and Muhammad Saleem Khan, Advancing Healthcare: Emerging Trends and Applications of Nanomaterials in Medicine, </w:t>
      </w:r>
      <w:r w:rsidR="002E5193" w:rsidRPr="001D3FB1">
        <w:rPr>
          <w:rFonts w:ascii="Arial" w:hAnsi="Arial" w:cs="Arial"/>
          <w:sz w:val="20"/>
          <w:szCs w:val="20"/>
        </w:rPr>
        <w:t>JOJ Material Sci 8(4): JOJMS.MS.ID.555745 (2024)</w:t>
      </w:r>
      <w:r w:rsidRPr="001D3FB1">
        <w:rPr>
          <w:rFonts w:ascii="Arial" w:hAnsi="Arial" w:cs="Arial"/>
          <w:sz w:val="20"/>
          <w:szCs w:val="20"/>
        </w:rPr>
        <w:t>, DOI: 10.19080/JOJMS.2024.08.555745</w:t>
      </w:r>
    </w:p>
    <w:p w14:paraId="62629E3F" w14:textId="6446CB1E" w:rsidR="00973519" w:rsidRPr="001D3FB1" w:rsidRDefault="00973519" w:rsidP="00445D33">
      <w:pPr>
        <w:pStyle w:val="ListParagraph"/>
        <w:numPr>
          <w:ilvl w:val="0"/>
          <w:numId w:val="22"/>
        </w:numPr>
        <w:spacing w:line="360" w:lineRule="auto"/>
        <w:jc w:val="both"/>
        <w:rPr>
          <w:rFonts w:ascii="Helvetica" w:hAnsi="Helvetica" w:cs="Helvetica"/>
          <w:sz w:val="20"/>
          <w:szCs w:val="20"/>
        </w:rPr>
      </w:pPr>
      <w:r w:rsidRPr="001D3FB1">
        <w:rPr>
          <w:rFonts w:ascii="Helvetica" w:hAnsi="Helvetica" w:cs="Helvetica"/>
          <w:sz w:val="20"/>
          <w:szCs w:val="20"/>
        </w:rPr>
        <w:t xml:space="preserve">Da-Yuan Wang </w:t>
      </w:r>
      <w:proofErr w:type="spellStart"/>
      <w:r w:rsidRPr="001D3FB1">
        <w:rPr>
          <w:rFonts w:ascii="Helvetica" w:hAnsi="Helvetica" w:cs="Helvetica"/>
          <w:sz w:val="20"/>
          <w:szCs w:val="20"/>
        </w:rPr>
        <w:t>Linqi</w:t>
      </w:r>
      <w:proofErr w:type="spellEnd"/>
      <w:r w:rsidRPr="001D3FB1">
        <w:rPr>
          <w:rFonts w:ascii="Helvetica" w:hAnsi="Helvetica" w:cs="Helvetica"/>
          <w:sz w:val="20"/>
          <w:szCs w:val="20"/>
        </w:rPr>
        <w:t xml:space="preserve"> Shi b, </w:t>
      </w:r>
      <w:proofErr w:type="spellStart"/>
      <w:r w:rsidRPr="001D3FB1">
        <w:rPr>
          <w:rFonts w:ascii="Helvetica" w:hAnsi="Helvetica" w:cs="Helvetica"/>
          <w:sz w:val="20"/>
          <w:szCs w:val="20"/>
        </w:rPr>
        <w:t>Linzhu</w:t>
      </w:r>
      <w:proofErr w:type="spellEnd"/>
      <w:r w:rsidRPr="001D3FB1">
        <w:rPr>
          <w:rFonts w:ascii="Helvetica" w:hAnsi="Helvetica" w:cs="Helvetica"/>
          <w:sz w:val="20"/>
          <w:szCs w:val="20"/>
        </w:rPr>
        <w:t xml:space="preserve"> Su, Henk J. Busscher, Beyond surface modification strategies to control infections associated with implanted biomaterials and devices - Addressing the opportunities offered by nanotechnology, </w:t>
      </w:r>
      <w:r w:rsidR="00496991" w:rsidRPr="001D3FB1">
        <w:rPr>
          <w:rFonts w:ascii="Helvetica" w:hAnsi="Helvetica" w:cs="Helvetica"/>
          <w:sz w:val="20"/>
          <w:szCs w:val="20"/>
        </w:rPr>
        <w:t>Biomaterials 308 (2024) 122576</w:t>
      </w:r>
      <w:r w:rsidRPr="001D3FB1">
        <w:rPr>
          <w:rFonts w:ascii="Helvetica" w:hAnsi="Helvetica" w:cs="Helvetica"/>
          <w:sz w:val="20"/>
          <w:szCs w:val="20"/>
        </w:rPr>
        <w:t xml:space="preserve">, </w:t>
      </w:r>
      <w:hyperlink r:id="rId22" w:history="1">
        <w:r w:rsidRPr="001D3FB1">
          <w:rPr>
            <w:rStyle w:val="Hyperlink"/>
            <w:rFonts w:ascii="Helvetica" w:hAnsi="Helvetica" w:cs="Helvetica"/>
            <w:sz w:val="20"/>
            <w:szCs w:val="20"/>
          </w:rPr>
          <w:t>https://doi.org/10.1016/j.biomater</w:t>
        </w:r>
        <w:bookmarkStart w:id="0" w:name="_GoBack"/>
        <w:bookmarkEnd w:id="0"/>
        <w:r w:rsidRPr="001D3FB1">
          <w:rPr>
            <w:rStyle w:val="Hyperlink"/>
            <w:rFonts w:ascii="Helvetica" w:hAnsi="Helvetica" w:cs="Helvetica"/>
            <w:sz w:val="20"/>
            <w:szCs w:val="20"/>
          </w:rPr>
          <w:t>ials.2024.122576</w:t>
        </w:r>
      </w:hyperlink>
    </w:p>
    <w:p w14:paraId="15D4699D" w14:textId="424A58B3" w:rsidR="00973519" w:rsidRPr="001D3FB1" w:rsidRDefault="00973519" w:rsidP="00445D33">
      <w:pPr>
        <w:pStyle w:val="ListParagraph"/>
        <w:numPr>
          <w:ilvl w:val="0"/>
          <w:numId w:val="22"/>
        </w:numPr>
        <w:spacing w:line="360" w:lineRule="auto"/>
        <w:jc w:val="both"/>
        <w:rPr>
          <w:rFonts w:ascii="Arial" w:hAnsi="Arial" w:cs="Arial"/>
          <w:sz w:val="20"/>
          <w:szCs w:val="20"/>
        </w:rPr>
      </w:pPr>
      <w:r w:rsidRPr="001D3FB1">
        <w:rPr>
          <w:rFonts w:ascii="Arial" w:hAnsi="Arial" w:cs="Arial"/>
          <w:sz w:val="20"/>
          <w:szCs w:val="20"/>
        </w:rPr>
        <w:t>Qiong Liu, Jiale Huan</w:t>
      </w:r>
      <w:r w:rsidR="000711CC" w:rsidRPr="001D3FB1">
        <w:rPr>
          <w:rFonts w:ascii="Arial" w:hAnsi="Arial" w:cs="Arial"/>
          <w:sz w:val="20"/>
          <w:szCs w:val="20"/>
        </w:rPr>
        <w:t>g</w:t>
      </w:r>
      <w:r w:rsidRPr="001D3FB1">
        <w:rPr>
          <w:rFonts w:ascii="Arial" w:hAnsi="Arial" w:cs="Arial"/>
          <w:sz w:val="20"/>
          <w:szCs w:val="20"/>
        </w:rPr>
        <w:t xml:space="preserve">, Shuang Zheng, </w:t>
      </w:r>
      <w:proofErr w:type="spellStart"/>
      <w:r w:rsidRPr="001D3FB1">
        <w:rPr>
          <w:rFonts w:ascii="Arial" w:hAnsi="Arial" w:cs="Arial"/>
          <w:sz w:val="20"/>
          <w:szCs w:val="20"/>
        </w:rPr>
        <w:t>Yexin</w:t>
      </w:r>
      <w:proofErr w:type="spellEnd"/>
      <w:r w:rsidRPr="001D3FB1">
        <w:rPr>
          <w:rFonts w:ascii="Arial" w:hAnsi="Arial" w:cs="Arial"/>
          <w:sz w:val="20"/>
          <w:szCs w:val="20"/>
        </w:rPr>
        <w:t xml:space="preserve"> Gu a, Kai </w:t>
      </w:r>
      <w:proofErr w:type="gramStart"/>
      <w:r w:rsidRPr="001D3FB1">
        <w:rPr>
          <w:rFonts w:ascii="Arial" w:hAnsi="Arial" w:cs="Arial"/>
          <w:sz w:val="20"/>
          <w:szCs w:val="20"/>
        </w:rPr>
        <w:t>Ye ,</w:t>
      </w:r>
      <w:proofErr w:type="gramEnd"/>
      <w:r w:rsidRPr="001D3FB1">
        <w:rPr>
          <w:rFonts w:ascii="Arial" w:hAnsi="Arial" w:cs="Arial"/>
          <w:sz w:val="20"/>
          <w:szCs w:val="20"/>
        </w:rPr>
        <w:t xml:space="preserve"> </w:t>
      </w:r>
      <w:proofErr w:type="spellStart"/>
      <w:r w:rsidRPr="001D3FB1">
        <w:rPr>
          <w:rFonts w:ascii="Arial" w:hAnsi="Arial" w:cs="Arial"/>
          <w:sz w:val="20"/>
          <w:szCs w:val="20"/>
        </w:rPr>
        <w:t>Jiandong</w:t>
      </w:r>
      <w:proofErr w:type="spellEnd"/>
      <w:r w:rsidRPr="001D3FB1">
        <w:rPr>
          <w:rFonts w:ascii="Arial" w:hAnsi="Arial" w:cs="Arial"/>
          <w:sz w:val="20"/>
          <w:szCs w:val="20"/>
        </w:rPr>
        <w:t xml:space="preserve"> Ding, Cell migration regulated by RGD </w:t>
      </w:r>
      <w:proofErr w:type="spellStart"/>
      <w:r w:rsidRPr="001D3FB1">
        <w:rPr>
          <w:rFonts w:ascii="Arial" w:hAnsi="Arial" w:cs="Arial"/>
          <w:sz w:val="20"/>
          <w:szCs w:val="20"/>
        </w:rPr>
        <w:t>nanospacing</w:t>
      </w:r>
      <w:proofErr w:type="spellEnd"/>
      <w:r w:rsidRPr="001D3FB1">
        <w:rPr>
          <w:rFonts w:ascii="Arial" w:hAnsi="Arial" w:cs="Arial"/>
          <w:sz w:val="20"/>
          <w:szCs w:val="20"/>
        </w:rPr>
        <w:t xml:space="preserve"> and enhanced under moderate cell adhesion on biomaterials, </w:t>
      </w:r>
      <w:r w:rsidR="007C4FA0" w:rsidRPr="001D3FB1">
        <w:rPr>
          <w:rFonts w:ascii="Arial" w:hAnsi="Arial" w:cs="Arial"/>
          <w:sz w:val="20"/>
          <w:szCs w:val="20"/>
        </w:rPr>
        <w:t>Biomaterials 263 (2020) 120327</w:t>
      </w:r>
      <w:r w:rsidRPr="001D3FB1">
        <w:rPr>
          <w:rFonts w:ascii="Arial" w:hAnsi="Arial" w:cs="Arial"/>
          <w:sz w:val="20"/>
          <w:szCs w:val="20"/>
        </w:rPr>
        <w:t xml:space="preserve">, https://doi.org/10.1016/j.biomaterials.2020.120327 </w:t>
      </w:r>
    </w:p>
    <w:p w14:paraId="32B3C771" w14:textId="5AC6923F" w:rsidR="00973519" w:rsidRPr="001D3FB1" w:rsidRDefault="00973519" w:rsidP="00445D33">
      <w:pPr>
        <w:pStyle w:val="ListParagraph"/>
        <w:numPr>
          <w:ilvl w:val="0"/>
          <w:numId w:val="22"/>
        </w:numPr>
        <w:spacing w:line="360" w:lineRule="auto"/>
        <w:jc w:val="both"/>
        <w:rPr>
          <w:rFonts w:ascii="Helvetica" w:hAnsi="Helvetica" w:cs="Helvetica"/>
          <w:sz w:val="20"/>
          <w:szCs w:val="20"/>
        </w:rPr>
      </w:pPr>
      <w:proofErr w:type="spellStart"/>
      <w:r w:rsidRPr="001D3FB1">
        <w:rPr>
          <w:rFonts w:ascii="Helvetica" w:hAnsi="Helvetica" w:cs="Helvetica"/>
          <w:sz w:val="20"/>
          <w:szCs w:val="20"/>
        </w:rPr>
        <w:lastRenderedPageBreak/>
        <w:t>Wenqian</w:t>
      </w:r>
      <w:proofErr w:type="spellEnd"/>
      <w:r w:rsidRPr="001D3FB1">
        <w:rPr>
          <w:rFonts w:ascii="Helvetica" w:hAnsi="Helvetica" w:cs="Helvetica"/>
          <w:sz w:val="20"/>
          <w:szCs w:val="20"/>
        </w:rPr>
        <w:t xml:space="preserve"> He,</w:t>
      </w:r>
      <w:r w:rsidR="000711CC" w:rsidRPr="001D3FB1">
        <w:rPr>
          <w:rFonts w:ascii="Helvetica" w:hAnsi="Helvetica" w:cs="Helvetica"/>
          <w:sz w:val="20"/>
          <w:szCs w:val="20"/>
        </w:rPr>
        <w:t xml:space="preserve"> </w:t>
      </w:r>
      <w:proofErr w:type="spellStart"/>
      <w:r w:rsidRPr="001D3FB1">
        <w:rPr>
          <w:rFonts w:ascii="Helvetica" w:hAnsi="Helvetica" w:cs="Helvetica"/>
          <w:sz w:val="20"/>
          <w:szCs w:val="20"/>
        </w:rPr>
        <w:t>MeilinWang</w:t>
      </w:r>
      <w:proofErr w:type="spellEnd"/>
      <w:r w:rsidRPr="001D3FB1">
        <w:rPr>
          <w:rFonts w:ascii="Helvetica" w:hAnsi="Helvetica" w:cs="Helvetica"/>
          <w:sz w:val="20"/>
          <w:szCs w:val="20"/>
        </w:rPr>
        <w:t>,</w:t>
      </w:r>
      <w:r w:rsidR="000711CC" w:rsidRPr="001D3FB1">
        <w:rPr>
          <w:rFonts w:ascii="Helvetica" w:hAnsi="Helvetica" w:cs="Helvetica"/>
          <w:sz w:val="20"/>
          <w:szCs w:val="20"/>
        </w:rPr>
        <w:t xml:space="preserve"> </w:t>
      </w:r>
      <w:proofErr w:type="spellStart"/>
      <w:r w:rsidRPr="001D3FB1">
        <w:rPr>
          <w:rFonts w:ascii="Helvetica" w:hAnsi="Helvetica" w:cs="Helvetica"/>
          <w:sz w:val="20"/>
          <w:szCs w:val="20"/>
        </w:rPr>
        <w:t>GuangkaiMei</w:t>
      </w:r>
      <w:proofErr w:type="spellEnd"/>
      <w:r w:rsidRPr="001D3FB1">
        <w:rPr>
          <w:rFonts w:ascii="Helvetica" w:hAnsi="Helvetica" w:cs="Helvetica"/>
          <w:sz w:val="20"/>
          <w:szCs w:val="20"/>
        </w:rPr>
        <w:t>,</w:t>
      </w:r>
      <w:r w:rsidR="000711CC" w:rsidRPr="001D3FB1">
        <w:rPr>
          <w:rFonts w:ascii="Helvetica" w:hAnsi="Helvetica" w:cs="Helvetica"/>
          <w:sz w:val="20"/>
          <w:szCs w:val="20"/>
        </w:rPr>
        <w:t xml:space="preserve"> </w:t>
      </w:r>
      <w:proofErr w:type="spellStart"/>
      <w:r w:rsidRPr="001D3FB1">
        <w:rPr>
          <w:rFonts w:ascii="Helvetica" w:hAnsi="Helvetica" w:cs="Helvetica"/>
          <w:sz w:val="20"/>
          <w:szCs w:val="20"/>
        </w:rPr>
        <w:t>ShiyongLiu</w:t>
      </w:r>
      <w:proofErr w:type="spellEnd"/>
      <w:r w:rsidRPr="001D3FB1">
        <w:rPr>
          <w:rFonts w:ascii="Helvetica" w:hAnsi="Helvetica" w:cs="Helvetica"/>
          <w:sz w:val="20"/>
          <w:szCs w:val="20"/>
        </w:rPr>
        <w:t xml:space="preserve">, Abdul Qadeer Khan, Chao Li, </w:t>
      </w:r>
      <w:proofErr w:type="spellStart"/>
      <w:r w:rsidRPr="001D3FB1">
        <w:rPr>
          <w:rFonts w:ascii="Helvetica" w:hAnsi="Helvetica" w:cs="Helvetica"/>
          <w:sz w:val="20"/>
          <w:szCs w:val="20"/>
        </w:rPr>
        <w:t>Danyang</w:t>
      </w:r>
      <w:proofErr w:type="spellEnd"/>
      <w:r w:rsidRPr="001D3FB1">
        <w:rPr>
          <w:rFonts w:ascii="Helvetica" w:hAnsi="Helvetica" w:cs="Helvetica"/>
          <w:sz w:val="20"/>
          <w:szCs w:val="20"/>
        </w:rPr>
        <w:t xml:space="preserve"> Feng,</w:t>
      </w:r>
      <w:r w:rsidR="000711CC" w:rsidRPr="001D3FB1">
        <w:rPr>
          <w:rFonts w:ascii="Helvetica" w:hAnsi="Helvetica" w:cs="Helvetica"/>
          <w:sz w:val="20"/>
          <w:szCs w:val="20"/>
        </w:rPr>
        <w:t xml:space="preserve"> </w:t>
      </w:r>
      <w:proofErr w:type="spellStart"/>
      <w:r w:rsidRPr="001D3FB1">
        <w:rPr>
          <w:rFonts w:ascii="Helvetica" w:hAnsi="Helvetica" w:cs="Helvetica"/>
          <w:sz w:val="20"/>
          <w:szCs w:val="20"/>
        </w:rPr>
        <w:t>ZihaoSu</w:t>
      </w:r>
      <w:proofErr w:type="spellEnd"/>
      <w:r w:rsidRPr="001D3FB1">
        <w:rPr>
          <w:rFonts w:ascii="Helvetica" w:hAnsi="Helvetica" w:cs="Helvetica"/>
          <w:sz w:val="20"/>
          <w:szCs w:val="20"/>
        </w:rPr>
        <w:t>,</w:t>
      </w:r>
      <w:r w:rsidR="000711CC" w:rsidRPr="001D3FB1">
        <w:rPr>
          <w:rFonts w:ascii="Helvetica" w:hAnsi="Helvetica" w:cs="Helvetica"/>
          <w:sz w:val="20"/>
          <w:szCs w:val="20"/>
        </w:rPr>
        <w:t xml:space="preserve"> </w:t>
      </w:r>
      <w:proofErr w:type="spellStart"/>
      <w:r w:rsidRPr="001D3FB1">
        <w:rPr>
          <w:rFonts w:ascii="Helvetica" w:hAnsi="Helvetica" w:cs="Helvetica"/>
          <w:sz w:val="20"/>
          <w:szCs w:val="20"/>
        </w:rPr>
        <w:t>LiliBao</w:t>
      </w:r>
      <w:proofErr w:type="spellEnd"/>
      <w:r w:rsidRPr="001D3FB1">
        <w:rPr>
          <w:rFonts w:ascii="Helvetica" w:hAnsi="Helvetica" w:cs="Helvetica"/>
          <w:sz w:val="20"/>
          <w:szCs w:val="20"/>
        </w:rPr>
        <w:t>,</w:t>
      </w:r>
      <w:r w:rsidR="000711CC" w:rsidRPr="001D3FB1">
        <w:rPr>
          <w:rFonts w:ascii="Helvetica" w:hAnsi="Helvetica" w:cs="Helvetica"/>
          <w:sz w:val="20"/>
          <w:szCs w:val="20"/>
        </w:rPr>
        <w:t xml:space="preserve"> </w:t>
      </w:r>
      <w:proofErr w:type="spellStart"/>
      <w:r w:rsidRPr="001D3FB1">
        <w:rPr>
          <w:rFonts w:ascii="Helvetica" w:hAnsi="Helvetica" w:cs="Helvetica"/>
          <w:sz w:val="20"/>
          <w:szCs w:val="20"/>
        </w:rPr>
        <w:t>GeWang</w:t>
      </w:r>
      <w:proofErr w:type="spellEnd"/>
      <w:r w:rsidRPr="001D3FB1">
        <w:rPr>
          <w:rFonts w:ascii="Helvetica" w:hAnsi="Helvetica" w:cs="Helvetica"/>
          <w:sz w:val="20"/>
          <w:szCs w:val="20"/>
        </w:rPr>
        <w:t xml:space="preserve">, </w:t>
      </w:r>
      <w:proofErr w:type="spellStart"/>
      <w:r w:rsidRPr="001D3FB1">
        <w:rPr>
          <w:rFonts w:ascii="Helvetica" w:hAnsi="Helvetica" w:cs="Helvetica"/>
          <w:sz w:val="20"/>
          <w:szCs w:val="20"/>
        </w:rPr>
        <w:t>Enzhao</w:t>
      </w:r>
      <w:proofErr w:type="spellEnd"/>
      <w:r w:rsidRPr="001D3FB1">
        <w:rPr>
          <w:rFonts w:ascii="Helvetica" w:hAnsi="Helvetica" w:cs="Helvetica"/>
          <w:sz w:val="20"/>
          <w:szCs w:val="20"/>
        </w:rPr>
        <w:t xml:space="preserve"> Liu, </w:t>
      </w:r>
      <w:proofErr w:type="spellStart"/>
      <w:r w:rsidRPr="001D3FB1">
        <w:rPr>
          <w:rFonts w:ascii="Helvetica" w:hAnsi="Helvetica" w:cs="Helvetica"/>
          <w:sz w:val="20"/>
          <w:szCs w:val="20"/>
        </w:rPr>
        <w:t>Yutian</w:t>
      </w:r>
      <w:proofErr w:type="spellEnd"/>
      <w:r w:rsidRPr="001D3FB1">
        <w:rPr>
          <w:rFonts w:ascii="Helvetica" w:hAnsi="Helvetica" w:cs="Helvetica"/>
          <w:sz w:val="20"/>
          <w:szCs w:val="20"/>
        </w:rPr>
        <w:t xml:space="preserve"> Zhu,</w:t>
      </w:r>
      <w:r w:rsidR="000711CC" w:rsidRPr="001D3FB1">
        <w:rPr>
          <w:rFonts w:ascii="Helvetica" w:hAnsi="Helvetica" w:cs="Helvetica"/>
          <w:sz w:val="20"/>
          <w:szCs w:val="20"/>
        </w:rPr>
        <w:t xml:space="preserve"> </w:t>
      </w:r>
      <w:proofErr w:type="spellStart"/>
      <w:r w:rsidRPr="001D3FB1">
        <w:rPr>
          <w:rFonts w:ascii="Helvetica" w:hAnsi="Helvetica" w:cs="Helvetica"/>
          <w:sz w:val="20"/>
          <w:szCs w:val="20"/>
        </w:rPr>
        <w:t>JieBai</w:t>
      </w:r>
      <w:proofErr w:type="spellEnd"/>
      <w:r w:rsidRPr="001D3FB1">
        <w:rPr>
          <w:rFonts w:ascii="Helvetica" w:hAnsi="Helvetica" w:cs="Helvetica"/>
          <w:sz w:val="20"/>
          <w:szCs w:val="20"/>
        </w:rPr>
        <w:t xml:space="preserve">, </w:t>
      </w:r>
      <w:proofErr w:type="spellStart"/>
      <w:r w:rsidRPr="001D3FB1">
        <w:rPr>
          <w:rFonts w:ascii="Helvetica" w:hAnsi="Helvetica" w:cs="Helvetica"/>
          <w:sz w:val="20"/>
          <w:szCs w:val="20"/>
        </w:rPr>
        <w:t>Meifang</w:t>
      </w:r>
      <w:proofErr w:type="spellEnd"/>
      <w:r w:rsidRPr="001D3FB1">
        <w:rPr>
          <w:rFonts w:ascii="Helvetica" w:hAnsi="Helvetica" w:cs="Helvetica"/>
          <w:sz w:val="20"/>
          <w:szCs w:val="20"/>
        </w:rPr>
        <w:t xml:space="preserve"> Zhu, Xiang Zhou &amp;</w:t>
      </w:r>
      <w:r w:rsidR="000711CC" w:rsidRPr="001D3FB1">
        <w:rPr>
          <w:rFonts w:ascii="Helvetica" w:hAnsi="Helvetica" w:cs="Helvetica"/>
          <w:sz w:val="20"/>
          <w:szCs w:val="20"/>
        </w:rPr>
        <w:t xml:space="preserve"> </w:t>
      </w:r>
      <w:proofErr w:type="spellStart"/>
      <w:r w:rsidRPr="001D3FB1">
        <w:rPr>
          <w:rFonts w:ascii="Helvetica" w:hAnsi="Helvetica" w:cs="Helvetica"/>
          <w:sz w:val="20"/>
          <w:szCs w:val="20"/>
        </w:rPr>
        <w:t>ZunfengLiu</w:t>
      </w:r>
      <w:proofErr w:type="spellEnd"/>
      <w:r w:rsidRPr="001D3FB1">
        <w:rPr>
          <w:rFonts w:ascii="Helvetica" w:hAnsi="Helvetica" w:cs="Helvetica"/>
          <w:sz w:val="20"/>
          <w:szCs w:val="20"/>
        </w:rPr>
        <w:t xml:space="preserve">, </w:t>
      </w:r>
      <w:proofErr w:type="spellStart"/>
      <w:r w:rsidRPr="001D3FB1">
        <w:rPr>
          <w:rFonts w:ascii="Helvetica" w:hAnsi="Helvetica" w:cs="Helvetica"/>
          <w:sz w:val="20"/>
          <w:szCs w:val="20"/>
        </w:rPr>
        <w:t>Wenqian</w:t>
      </w:r>
      <w:proofErr w:type="spellEnd"/>
      <w:r w:rsidRPr="001D3FB1">
        <w:rPr>
          <w:rFonts w:ascii="Helvetica" w:hAnsi="Helvetica" w:cs="Helvetica"/>
          <w:sz w:val="20"/>
          <w:szCs w:val="20"/>
        </w:rPr>
        <w:t xml:space="preserve"> He,</w:t>
      </w:r>
      <w:r w:rsidR="000711CC" w:rsidRPr="001D3FB1">
        <w:rPr>
          <w:rFonts w:ascii="Helvetica" w:hAnsi="Helvetica" w:cs="Helvetica"/>
          <w:sz w:val="20"/>
          <w:szCs w:val="20"/>
        </w:rPr>
        <w:t xml:space="preserve"> </w:t>
      </w:r>
      <w:proofErr w:type="spellStart"/>
      <w:r w:rsidRPr="001D3FB1">
        <w:rPr>
          <w:rFonts w:ascii="Helvetica" w:hAnsi="Helvetica" w:cs="Helvetica"/>
          <w:sz w:val="20"/>
          <w:szCs w:val="20"/>
        </w:rPr>
        <w:t>MeilinWang</w:t>
      </w:r>
      <w:proofErr w:type="spellEnd"/>
      <w:r w:rsidRPr="001D3FB1">
        <w:rPr>
          <w:rFonts w:ascii="Helvetica" w:hAnsi="Helvetica" w:cs="Helvetica"/>
          <w:sz w:val="20"/>
          <w:szCs w:val="20"/>
        </w:rPr>
        <w:t>,</w:t>
      </w:r>
      <w:r w:rsidR="000711CC" w:rsidRPr="001D3FB1">
        <w:rPr>
          <w:rFonts w:ascii="Helvetica" w:hAnsi="Helvetica" w:cs="Helvetica"/>
          <w:sz w:val="20"/>
          <w:szCs w:val="20"/>
        </w:rPr>
        <w:t xml:space="preserve"> </w:t>
      </w:r>
      <w:proofErr w:type="spellStart"/>
      <w:r w:rsidRPr="001D3FB1">
        <w:rPr>
          <w:rFonts w:ascii="Helvetica" w:hAnsi="Helvetica" w:cs="Helvetica"/>
          <w:sz w:val="20"/>
          <w:szCs w:val="20"/>
        </w:rPr>
        <w:t>GuangkaiMei</w:t>
      </w:r>
      <w:proofErr w:type="spellEnd"/>
      <w:r w:rsidRPr="001D3FB1">
        <w:rPr>
          <w:rFonts w:ascii="Helvetica" w:hAnsi="Helvetica" w:cs="Helvetica"/>
          <w:sz w:val="20"/>
          <w:szCs w:val="20"/>
        </w:rPr>
        <w:t>,</w:t>
      </w:r>
      <w:r w:rsidR="000711CC" w:rsidRPr="001D3FB1">
        <w:rPr>
          <w:rFonts w:ascii="Helvetica" w:hAnsi="Helvetica" w:cs="Helvetica"/>
          <w:sz w:val="20"/>
          <w:szCs w:val="20"/>
        </w:rPr>
        <w:t xml:space="preserve"> </w:t>
      </w:r>
      <w:proofErr w:type="spellStart"/>
      <w:r w:rsidRPr="001D3FB1">
        <w:rPr>
          <w:rFonts w:ascii="Helvetica" w:hAnsi="Helvetica" w:cs="Helvetica"/>
          <w:sz w:val="20"/>
          <w:szCs w:val="20"/>
        </w:rPr>
        <w:t>ShiyongLiu</w:t>
      </w:r>
      <w:proofErr w:type="spellEnd"/>
      <w:r w:rsidRPr="001D3FB1">
        <w:rPr>
          <w:rFonts w:ascii="Helvetica" w:hAnsi="Helvetica" w:cs="Helvetica"/>
          <w:sz w:val="20"/>
          <w:szCs w:val="20"/>
        </w:rPr>
        <w:t xml:space="preserve">, Abdul Qadeer Khan, Chao Li, </w:t>
      </w:r>
      <w:proofErr w:type="spellStart"/>
      <w:r w:rsidRPr="001D3FB1">
        <w:rPr>
          <w:rFonts w:ascii="Helvetica" w:hAnsi="Helvetica" w:cs="Helvetica"/>
          <w:sz w:val="20"/>
          <w:szCs w:val="20"/>
        </w:rPr>
        <w:t>Danyang</w:t>
      </w:r>
      <w:proofErr w:type="spellEnd"/>
      <w:r w:rsidRPr="001D3FB1">
        <w:rPr>
          <w:rFonts w:ascii="Helvetica" w:hAnsi="Helvetica" w:cs="Helvetica"/>
          <w:sz w:val="20"/>
          <w:szCs w:val="20"/>
        </w:rPr>
        <w:t xml:space="preserve"> Feng,</w:t>
      </w:r>
      <w:r w:rsidR="000711CC" w:rsidRPr="001D3FB1">
        <w:rPr>
          <w:rFonts w:ascii="Helvetica" w:hAnsi="Helvetica" w:cs="Helvetica"/>
          <w:sz w:val="20"/>
          <w:szCs w:val="20"/>
        </w:rPr>
        <w:t xml:space="preserve"> </w:t>
      </w:r>
      <w:proofErr w:type="spellStart"/>
      <w:r w:rsidRPr="001D3FB1">
        <w:rPr>
          <w:rFonts w:ascii="Helvetica" w:hAnsi="Helvetica" w:cs="Helvetica"/>
          <w:sz w:val="20"/>
          <w:szCs w:val="20"/>
        </w:rPr>
        <w:t>ZihaoSu</w:t>
      </w:r>
      <w:proofErr w:type="spellEnd"/>
      <w:r w:rsidRPr="001D3FB1">
        <w:rPr>
          <w:rFonts w:ascii="Helvetica" w:hAnsi="Helvetica" w:cs="Helvetica"/>
          <w:sz w:val="20"/>
          <w:szCs w:val="20"/>
        </w:rPr>
        <w:t>,</w:t>
      </w:r>
      <w:r w:rsidR="000711CC" w:rsidRPr="001D3FB1">
        <w:rPr>
          <w:rFonts w:ascii="Helvetica" w:hAnsi="Helvetica" w:cs="Helvetica"/>
          <w:sz w:val="20"/>
          <w:szCs w:val="20"/>
        </w:rPr>
        <w:t xml:space="preserve"> </w:t>
      </w:r>
      <w:proofErr w:type="spellStart"/>
      <w:r w:rsidRPr="001D3FB1">
        <w:rPr>
          <w:rFonts w:ascii="Helvetica" w:hAnsi="Helvetica" w:cs="Helvetica"/>
          <w:sz w:val="20"/>
          <w:szCs w:val="20"/>
        </w:rPr>
        <w:t>LiliBao</w:t>
      </w:r>
      <w:proofErr w:type="spellEnd"/>
      <w:r w:rsidRPr="001D3FB1">
        <w:rPr>
          <w:rFonts w:ascii="Helvetica" w:hAnsi="Helvetica" w:cs="Helvetica"/>
          <w:sz w:val="20"/>
          <w:szCs w:val="20"/>
        </w:rPr>
        <w:t>,</w:t>
      </w:r>
      <w:r w:rsidR="000711CC" w:rsidRPr="001D3FB1">
        <w:rPr>
          <w:rFonts w:ascii="Helvetica" w:hAnsi="Helvetica" w:cs="Helvetica"/>
          <w:sz w:val="20"/>
          <w:szCs w:val="20"/>
        </w:rPr>
        <w:t xml:space="preserve"> </w:t>
      </w:r>
      <w:proofErr w:type="spellStart"/>
      <w:r w:rsidRPr="001D3FB1">
        <w:rPr>
          <w:rFonts w:ascii="Helvetica" w:hAnsi="Helvetica" w:cs="Helvetica"/>
          <w:sz w:val="20"/>
          <w:szCs w:val="20"/>
        </w:rPr>
        <w:t>GeWang</w:t>
      </w:r>
      <w:proofErr w:type="spellEnd"/>
      <w:r w:rsidRPr="001D3FB1">
        <w:rPr>
          <w:rFonts w:ascii="Helvetica" w:hAnsi="Helvetica" w:cs="Helvetica"/>
          <w:sz w:val="20"/>
          <w:szCs w:val="20"/>
        </w:rPr>
        <w:t xml:space="preserve">, </w:t>
      </w:r>
      <w:proofErr w:type="spellStart"/>
      <w:r w:rsidRPr="001D3FB1">
        <w:rPr>
          <w:rFonts w:ascii="Helvetica" w:hAnsi="Helvetica" w:cs="Helvetica"/>
          <w:sz w:val="20"/>
          <w:szCs w:val="20"/>
        </w:rPr>
        <w:t>Enzhao</w:t>
      </w:r>
      <w:proofErr w:type="spellEnd"/>
      <w:r w:rsidRPr="001D3FB1">
        <w:rPr>
          <w:rFonts w:ascii="Helvetica" w:hAnsi="Helvetica" w:cs="Helvetica"/>
          <w:sz w:val="20"/>
          <w:szCs w:val="20"/>
        </w:rPr>
        <w:t xml:space="preserve"> Liu, </w:t>
      </w:r>
      <w:proofErr w:type="spellStart"/>
      <w:r w:rsidRPr="001D3FB1">
        <w:rPr>
          <w:rFonts w:ascii="Helvetica" w:hAnsi="Helvetica" w:cs="Helvetica"/>
          <w:sz w:val="20"/>
          <w:szCs w:val="20"/>
        </w:rPr>
        <w:t>Yutian</w:t>
      </w:r>
      <w:proofErr w:type="spellEnd"/>
      <w:r w:rsidRPr="001D3FB1">
        <w:rPr>
          <w:rFonts w:ascii="Helvetica" w:hAnsi="Helvetica" w:cs="Helvetica"/>
          <w:sz w:val="20"/>
          <w:szCs w:val="20"/>
        </w:rPr>
        <w:t xml:space="preserve"> Zhu,</w:t>
      </w:r>
      <w:r w:rsidR="000711CC" w:rsidRPr="001D3FB1">
        <w:rPr>
          <w:rFonts w:ascii="Helvetica" w:hAnsi="Helvetica" w:cs="Helvetica"/>
          <w:sz w:val="20"/>
          <w:szCs w:val="20"/>
        </w:rPr>
        <w:t xml:space="preserve"> </w:t>
      </w:r>
      <w:proofErr w:type="spellStart"/>
      <w:r w:rsidRPr="001D3FB1">
        <w:rPr>
          <w:rFonts w:ascii="Helvetica" w:hAnsi="Helvetica" w:cs="Helvetica"/>
          <w:sz w:val="20"/>
          <w:szCs w:val="20"/>
        </w:rPr>
        <w:t>JieBai</w:t>
      </w:r>
      <w:proofErr w:type="spellEnd"/>
      <w:r w:rsidRPr="001D3FB1">
        <w:rPr>
          <w:rFonts w:ascii="Helvetica" w:hAnsi="Helvetica" w:cs="Helvetica"/>
          <w:sz w:val="20"/>
          <w:szCs w:val="20"/>
        </w:rPr>
        <w:t xml:space="preserve">, </w:t>
      </w:r>
      <w:proofErr w:type="spellStart"/>
      <w:r w:rsidRPr="001D3FB1">
        <w:rPr>
          <w:rFonts w:ascii="Helvetica" w:hAnsi="Helvetica" w:cs="Helvetica"/>
          <w:sz w:val="20"/>
          <w:szCs w:val="20"/>
        </w:rPr>
        <w:t>Meifang</w:t>
      </w:r>
      <w:proofErr w:type="spellEnd"/>
      <w:r w:rsidRPr="001D3FB1">
        <w:rPr>
          <w:rFonts w:ascii="Helvetica" w:hAnsi="Helvetica" w:cs="Helvetica"/>
          <w:sz w:val="20"/>
          <w:szCs w:val="20"/>
        </w:rPr>
        <w:t xml:space="preserve"> Zhu, Xiang Zhou  &amp;</w:t>
      </w:r>
      <w:r w:rsidR="000711CC" w:rsidRPr="001D3FB1">
        <w:rPr>
          <w:rFonts w:ascii="Helvetica" w:hAnsi="Helvetica" w:cs="Helvetica"/>
          <w:sz w:val="20"/>
          <w:szCs w:val="20"/>
        </w:rPr>
        <w:t xml:space="preserve"> </w:t>
      </w:r>
      <w:proofErr w:type="spellStart"/>
      <w:r w:rsidRPr="001D3FB1">
        <w:rPr>
          <w:rFonts w:ascii="Helvetica" w:hAnsi="Helvetica" w:cs="Helvetica"/>
          <w:sz w:val="20"/>
          <w:szCs w:val="20"/>
        </w:rPr>
        <w:t>Zunfeng</w:t>
      </w:r>
      <w:proofErr w:type="spellEnd"/>
      <w:r w:rsidR="000711CC" w:rsidRPr="001D3FB1">
        <w:rPr>
          <w:rFonts w:ascii="Helvetica" w:hAnsi="Helvetica" w:cs="Helvetica"/>
          <w:sz w:val="20"/>
          <w:szCs w:val="20"/>
        </w:rPr>
        <w:t xml:space="preserve"> </w:t>
      </w:r>
      <w:r w:rsidRPr="001D3FB1">
        <w:rPr>
          <w:rFonts w:ascii="Helvetica" w:hAnsi="Helvetica" w:cs="Helvetica"/>
          <w:sz w:val="20"/>
          <w:szCs w:val="20"/>
        </w:rPr>
        <w:t xml:space="preserve">Liu, </w:t>
      </w:r>
      <w:r w:rsidR="003D1B11" w:rsidRPr="001D3FB1">
        <w:rPr>
          <w:rFonts w:ascii="Helvetica" w:hAnsi="Helvetica" w:cs="Helvetica"/>
          <w:sz w:val="20"/>
          <w:szCs w:val="20"/>
        </w:rPr>
        <w:t xml:space="preserve">Nature Communications| (2024) 15:3485, </w:t>
      </w:r>
      <w:hyperlink r:id="rId23" w:history="1">
        <w:r w:rsidR="003D1B11" w:rsidRPr="001D3FB1">
          <w:rPr>
            <w:rStyle w:val="Hyperlink"/>
            <w:rFonts w:ascii="Helvetica" w:hAnsi="Helvetica" w:cs="Helvetica"/>
            <w:sz w:val="20"/>
            <w:szCs w:val="20"/>
          </w:rPr>
          <w:t>https://doi.org/10.1038/s41467-024-47796-2</w:t>
        </w:r>
      </w:hyperlink>
    </w:p>
    <w:p w14:paraId="08D16EFE" w14:textId="189B15BB" w:rsidR="003D1B11" w:rsidRPr="001D3FB1" w:rsidRDefault="003D1B11" w:rsidP="00445D33">
      <w:pPr>
        <w:pStyle w:val="ListParagraph"/>
        <w:numPr>
          <w:ilvl w:val="0"/>
          <w:numId w:val="22"/>
        </w:numPr>
        <w:spacing w:line="360" w:lineRule="auto"/>
        <w:jc w:val="both"/>
        <w:rPr>
          <w:rFonts w:ascii="Arial" w:hAnsi="Arial" w:cs="Arial"/>
          <w:sz w:val="20"/>
          <w:szCs w:val="20"/>
        </w:rPr>
      </w:pPr>
      <w:r w:rsidRPr="001D3FB1">
        <w:rPr>
          <w:rFonts w:ascii="Arial" w:hAnsi="Arial" w:cs="Arial"/>
          <w:sz w:val="20"/>
          <w:szCs w:val="20"/>
        </w:rPr>
        <w:t xml:space="preserve">Saif Al-Deen H. Hassan, Mohsin </w:t>
      </w:r>
      <w:proofErr w:type="spellStart"/>
      <w:r w:rsidRPr="001D3FB1">
        <w:rPr>
          <w:rFonts w:ascii="Arial" w:hAnsi="Arial" w:cs="Arial"/>
          <w:sz w:val="20"/>
          <w:szCs w:val="20"/>
        </w:rPr>
        <w:t>Najim</w:t>
      </w:r>
      <w:proofErr w:type="spellEnd"/>
      <w:r w:rsidRPr="001D3FB1">
        <w:rPr>
          <w:rFonts w:ascii="Arial" w:hAnsi="Arial" w:cs="Arial"/>
          <w:sz w:val="20"/>
          <w:szCs w:val="20"/>
        </w:rPr>
        <w:t xml:space="preserve"> </w:t>
      </w:r>
      <w:proofErr w:type="spellStart"/>
      <w:r w:rsidRPr="001D3FB1">
        <w:rPr>
          <w:rFonts w:ascii="Arial" w:hAnsi="Arial" w:cs="Arial"/>
          <w:sz w:val="20"/>
          <w:szCs w:val="20"/>
        </w:rPr>
        <w:t>Sarayyih</w:t>
      </w:r>
      <w:proofErr w:type="spellEnd"/>
      <w:r w:rsidRPr="001D3FB1">
        <w:rPr>
          <w:rFonts w:ascii="Arial" w:hAnsi="Arial" w:cs="Arial"/>
          <w:sz w:val="20"/>
          <w:szCs w:val="20"/>
        </w:rPr>
        <w:t xml:space="preserve"> </w:t>
      </w:r>
      <w:proofErr w:type="spellStart"/>
      <w:proofErr w:type="gramStart"/>
      <w:r w:rsidRPr="001D3FB1">
        <w:rPr>
          <w:rFonts w:ascii="Arial" w:hAnsi="Arial" w:cs="Arial"/>
          <w:sz w:val="20"/>
          <w:szCs w:val="20"/>
        </w:rPr>
        <w:t>Almaliki</w:t>
      </w:r>
      <w:proofErr w:type="spellEnd"/>
      <w:r w:rsidRPr="001D3FB1">
        <w:rPr>
          <w:rFonts w:ascii="Arial" w:hAnsi="Arial" w:cs="Arial"/>
          <w:sz w:val="20"/>
          <w:szCs w:val="20"/>
        </w:rPr>
        <w:t xml:space="preserve"> ,</w:t>
      </w:r>
      <w:proofErr w:type="gramEnd"/>
      <w:r w:rsidRPr="001D3FB1">
        <w:rPr>
          <w:rFonts w:ascii="Arial" w:hAnsi="Arial" w:cs="Arial"/>
          <w:sz w:val="20"/>
          <w:szCs w:val="20"/>
        </w:rPr>
        <w:t xml:space="preserve"> </w:t>
      </w:r>
      <w:proofErr w:type="spellStart"/>
      <w:r w:rsidRPr="001D3FB1">
        <w:rPr>
          <w:rFonts w:ascii="Arial" w:hAnsi="Arial" w:cs="Arial"/>
          <w:sz w:val="20"/>
          <w:szCs w:val="20"/>
        </w:rPr>
        <w:t>Zahraa</w:t>
      </w:r>
      <w:proofErr w:type="spellEnd"/>
      <w:r w:rsidRPr="001D3FB1">
        <w:rPr>
          <w:rFonts w:ascii="Arial" w:hAnsi="Arial" w:cs="Arial"/>
          <w:sz w:val="20"/>
          <w:szCs w:val="20"/>
        </w:rPr>
        <w:t xml:space="preserve"> Abed Hussein , Hayder M. </w:t>
      </w:r>
      <w:proofErr w:type="spellStart"/>
      <w:r w:rsidRPr="001D3FB1">
        <w:rPr>
          <w:rFonts w:ascii="Arial" w:hAnsi="Arial" w:cs="Arial"/>
          <w:sz w:val="20"/>
          <w:szCs w:val="20"/>
        </w:rPr>
        <w:t>Albehadili</w:t>
      </w:r>
      <w:proofErr w:type="spellEnd"/>
      <w:r w:rsidRPr="001D3FB1">
        <w:rPr>
          <w:rFonts w:ascii="Arial" w:hAnsi="Arial" w:cs="Arial"/>
          <w:sz w:val="20"/>
          <w:szCs w:val="20"/>
        </w:rPr>
        <w:t xml:space="preserve"> , </w:t>
      </w:r>
      <w:proofErr w:type="spellStart"/>
      <w:r w:rsidRPr="001D3FB1">
        <w:rPr>
          <w:rFonts w:ascii="Arial" w:hAnsi="Arial" w:cs="Arial"/>
          <w:sz w:val="20"/>
          <w:szCs w:val="20"/>
        </w:rPr>
        <w:t>Shaima</w:t>
      </w:r>
      <w:proofErr w:type="spellEnd"/>
      <w:r w:rsidRPr="001D3FB1">
        <w:rPr>
          <w:rFonts w:ascii="Arial" w:hAnsi="Arial" w:cs="Arial"/>
          <w:sz w:val="20"/>
          <w:szCs w:val="20"/>
        </w:rPr>
        <w:t xml:space="preserve"> R. </w:t>
      </w:r>
      <w:proofErr w:type="spellStart"/>
      <w:r w:rsidRPr="001D3FB1">
        <w:rPr>
          <w:rFonts w:ascii="Arial" w:hAnsi="Arial" w:cs="Arial"/>
          <w:sz w:val="20"/>
          <w:szCs w:val="20"/>
        </w:rPr>
        <w:t>Banoon</w:t>
      </w:r>
      <w:proofErr w:type="spellEnd"/>
      <w:r w:rsidRPr="001D3FB1">
        <w:rPr>
          <w:rFonts w:ascii="Arial" w:hAnsi="Arial" w:cs="Arial"/>
          <w:sz w:val="20"/>
          <w:szCs w:val="20"/>
        </w:rPr>
        <w:t>, Aswan Al-</w:t>
      </w:r>
      <w:proofErr w:type="spellStart"/>
      <w:r w:rsidRPr="001D3FB1">
        <w:rPr>
          <w:rFonts w:ascii="Arial" w:hAnsi="Arial" w:cs="Arial"/>
          <w:sz w:val="20"/>
          <w:szCs w:val="20"/>
        </w:rPr>
        <w:t>Abboodi</w:t>
      </w:r>
      <w:proofErr w:type="spellEnd"/>
      <w:r w:rsidRPr="001D3FB1">
        <w:rPr>
          <w:rFonts w:ascii="Arial" w:hAnsi="Arial" w:cs="Arial"/>
          <w:sz w:val="20"/>
          <w:szCs w:val="20"/>
        </w:rPr>
        <w:t xml:space="preserve"> , </w:t>
      </w:r>
      <w:proofErr w:type="spellStart"/>
      <w:r w:rsidRPr="001D3FB1">
        <w:rPr>
          <w:rFonts w:ascii="Arial" w:hAnsi="Arial" w:cs="Arial"/>
          <w:sz w:val="20"/>
          <w:szCs w:val="20"/>
        </w:rPr>
        <w:t>Moumal</w:t>
      </w:r>
      <w:proofErr w:type="spellEnd"/>
      <w:r w:rsidRPr="001D3FB1">
        <w:rPr>
          <w:rFonts w:ascii="Arial" w:hAnsi="Arial" w:cs="Arial"/>
          <w:sz w:val="20"/>
          <w:szCs w:val="20"/>
        </w:rPr>
        <w:t xml:space="preserve"> Al-</w:t>
      </w:r>
      <w:proofErr w:type="spellStart"/>
      <w:r w:rsidRPr="001D3FB1">
        <w:rPr>
          <w:rFonts w:ascii="Arial" w:hAnsi="Arial" w:cs="Arial"/>
          <w:sz w:val="20"/>
          <w:szCs w:val="20"/>
        </w:rPr>
        <w:t>Saady</w:t>
      </w:r>
      <w:proofErr w:type="spellEnd"/>
      <w:r w:rsidRPr="001D3FB1">
        <w:rPr>
          <w:rFonts w:ascii="Arial" w:hAnsi="Arial" w:cs="Arial"/>
          <w:sz w:val="20"/>
          <w:szCs w:val="20"/>
        </w:rPr>
        <w:t xml:space="preserve">, Development of Nanotechnology by Artificial Intelligence: A Comprehensive Review, J </w:t>
      </w:r>
      <w:proofErr w:type="spellStart"/>
      <w:r w:rsidRPr="001D3FB1">
        <w:rPr>
          <w:rFonts w:ascii="Arial" w:hAnsi="Arial" w:cs="Arial"/>
          <w:sz w:val="20"/>
          <w:szCs w:val="20"/>
        </w:rPr>
        <w:t>Nanostruct</w:t>
      </w:r>
      <w:proofErr w:type="spellEnd"/>
      <w:r w:rsidRPr="001D3FB1">
        <w:rPr>
          <w:rFonts w:ascii="Arial" w:hAnsi="Arial" w:cs="Arial"/>
          <w:sz w:val="20"/>
          <w:szCs w:val="20"/>
        </w:rPr>
        <w:t>, 2023; 13(4):915-932, DOI: 10.22052/JNS.2023.04.002</w:t>
      </w:r>
    </w:p>
    <w:p w14:paraId="61CD8F60" w14:textId="06A39C61" w:rsidR="003D1B11" w:rsidRPr="001D3FB1" w:rsidRDefault="003D1B11" w:rsidP="00445D33">
      <w:pPr>
        <w:pStyle w:val="ListParagraph"/>
        <w:numPr>
          <w:ilvl w:val="0"/>
          <w:numId w:val="22"/>
        </w:numPr>
        <w:spacing w:line="360" w:lineRule="auto"/>
        <w:jc w:val="both"/>
        <w:rPr>
          <w:rFonts w:ascii="Helvetica" w:hAnsi="Helvetica" w:cs="Helvetica"/>
          <w:sz w:val="20"/>
          <w:szCs w:val="20"/>
        </w:rPr>
      </w:pPr>
      <w:proofErr w:type="spellStart"/>
      <w:r w:rsidRPr="001D3FB1">
        <w:rPr>
          <w:rFonts w:ascii="Helvetica" w:hAnsi="Helvetica" w:cs="Helvetica"/>
          <w:sz w:val="20"/>
          <w:szCs w:val="20"/>
        </w:rPr>
        <w:t>Yaping</w:t>
      </w:r>
      <w:proofErr w:type="spellEnd"/>
      <w:r w:rsidRPr="001D3FB1">
        <w:rPr>
          <w:rFonts w:ascii="Helvetica" w:hAnsi="Helvetica" w:cs="Helvetica"/>
          <w:sz w:val="20"/>
          <w:szCs w:val="20"/>
        </w:rPr>
        <w:t xml:space="preserve"> </w:t>
      </w:r>
      <w:proofErr w:type="spellStart"/>
      <w:r w:rsidRPr="001D3FB1">
        <w:rPr>
          <w:rFonts w:ascii="Helvetica" w:hAnsi="Helvetica" w:cs="Helvetica"/>
          <w:sz w:val="20"/>
          <w:szCs w:val="20"/>
        </w:rPr>
        <w:t>Liua</w:t>
      </w:r>
      <w:proofErr w:type="spellEnd"/>
      <w:r w:rsidRPr="001D3FB1">
        <w:rPr>
          <w:rFonts w:ascii="Helvetica" w:hAnsi="Helvetica" w:cs="Helvetica"/>
          <w:sz w:val="20"/>
          <w:szCs w:val="20"/>
        </w:rPr>
        <w:t xml:space="preserve">, Shuang </w:t>
      </w:r>
      <w:proofErr w:type="spellStart"/>
      <w:r w:rsidRPr="001D3FB1">
        <w:rPr>
          <w:rFonts w:ascii="Helvetica" w:hAnsi="Helvetica" w:cs="Helvetica"/>
          <w:sz w:val="20"/>
          <w:szCs w:val="20"/>
        </w:rPr>
        <w:t>Zhua</w:t>
      </w:r>
      <w:proofErr w:type="spellEnd"/>
      <w:r w:rsidRPr="001D3FB1">
        <w:rPr>
          <w:rFonts w:ascii="Helvetica" w:hAnsi="Helvetica" w:cs="Helvetica"/>
          <w:sz w:val="20"/>
          <w:szCs w:val="20"/>
        </w:rPr>
        <w:t xml:space="preserve">, </w:t>
      </w:r>
      <w:proofErr w:type="spellStart"/>
      <w:r w:rsidRPr="001D3FB1">
        <w:rPr>
          <w:rFonts w:ascii="Helvetica" w:hAnsi="Helvetica" w:cs="Helvetica"/>
          <w:sz w:val="20"/>
          <w:szCs w:val="20"/>
        </w:rPr>
        <w:t>Zhanjun</w:t>
      </w:r>
      <w:proofErr w:type="spellEnd"/>
      <w:r w:rsidRPr="001D3FB1">
        <w:rPr>
          <w:rFonts w:ascii="Helvetica" w:hAnsi="Helvetica" w:cs="Helvetica"/>
          <w:sz w:val="20"/>
          <w:szCs w:val="20"/>
        </w:rPr>
        <w:t xml:space="preserve"> </w:t>
      </w:r>
      <w:proofErr w:type="spellStart"/>
      <w:r w:rsidRPr="001D3FB1">
        <w:rPr>
          <w:rFonts w:ascii="Helvetica" w:hAnsi="Helvetica" w:cs="Helvetica"/>
          <w:sz w:val="20"/>
          <w:szCs w:val="20"/>
        </w:rPr>
        <w:t>Gua</w:t>
      </w:r>
      <w:proofErr w:type="spellEnd"/>
      <w:r w:rsidRPr="001D3FB1">
        <w:rPr>
          <w:rFonts w:ascii="Helvetica" w:hAnsi="Helvetica" w:cs="Helvetica"/>
          <w:sz w:val="20"/>
          <w:szCs w:val="20"/>
        </w:rPr>
        <w:t xml:space="preserve">, </w:t>
      </w:r>
      <w:proofErr w:type="spellStart"/>
      <w:r w:rsidRPr="001D3FB1">
        <w:rPr>
          <w:rFonts w:ascii="Helvetica" w:hAnsi="Helvetica" w:cs="Helvetica"/>
          <w:sz w:val="20"/>
          <w:szCs w:val="20"/>
        </w:rPr>
        <w:t>Chunying</w:t>
      </w:r>
      <w:proofErr w:type="spellEnd"/>
      <w:r w:rsidRPr="001D3FB1">
        <w:rPr>
          <w:rFonts w:ascii="Helvetica" w:hAnsi="Helvetica" w:cs="Helvetica"/>
          <w:sz w:val="20"/>
          <w:szCs w:val="20"/>
        </w:rPr>
        <w:t xml:space="preserve"> Chena, </w:t>
      </w:r>
      <w:proofErr w:type="spellStart"/>
      <w:r w:rsidRPr="001D3FB1">
        <w:rPr>
          <w:rFonts w:ascii="Helvetica" w:hAnsi="Helvetica" w:cs="Helvetica"/>
          <w:sz w:val="20"/>
          <w:szCs w:val="20"/>
        </w:rPr>
        <w:t>Yuliang</w:t>
      </w:r>
      <w:proofErr w:type="spellEnd"/>
      <w:r w:rsidRPr="001D3FB1">
        <w:rPr>
          <w:rFonts w:ascii="Helvetica" w:hAnsi="Helvetica" w:cs="Helvetica"/>
          <w:sz w:val="20"/>
          <w:szCs w:val="20"/>
        </w:rPr>
        <w:t xml:space="preserve"> Zhao, Toxicity of manufactured nanomaterials, </w:t>
      </w:r>
      <w:proofErr w:type="spellStart"/>
      <w:r w:rsidRPr="001D3FB1">
        <w:rPr>
          <w:rFonts w:ascii="Helvetica" w:hAnsi="Helvetica" w:cs="Helvetica"/>
          <w:sz w:val="20"/>
          <w:szCs w:val="20"/>
        </w:rPr>
        <w:t>Particuology</w:t>
      </w:r>
      <w:proofErr w:type="spellEnd"/>
      <w:r w:rsidRPr="001D3FB1">
        <w:rPr>
          <w:rFonts w:ascii="Helvetica" w:hAnsi="Helvetica" w:cs="Helvetica"/>
          <w:sz w:val="20"/>
          <w:szCs w:val="20"/>
        </w:rPr>
        <w:t xml:space="preserve"> 69 (2022) 31–48, </w:t>
      </w:r>
      <w:hyperlink r:id="rId24" w:history="1">
        <w:r w:rsidRPr="001D3FB1">
          <w:rPr>
            <w:rStyle w:val="Hyperlink"/>
            <w:rFonts w:ascii="Helvetica" w:hAnsi="Helvetica" w:cs="Helvetica"/>
            <w:sz w:val="20"/>
            <w:szCs w:val="20"/>
          </w:rPr>
          <w:t>https://doi.org/10.1016/j.partic.2021.11.007</w:t>
        </w:r>
      </w:hyperlink>
    </w:p>
    <w:p w14:paraId="29889FAC" w14:textId="6170A6C8" w:rsidR="003D1B11" w:rsidRPr="001D3FB1" w:rsidRDefault="003D1B11" w:rsidP="00445D33">
      <w:pPr>
        <w:pStyle w:val="ListParagraph"/>
        <w:numPr>
          <w:ilvl w:val="0"/>
          <w:numId w:val="22"/>
        </w:numPr>
        <w:spacing w:line="360" w:lineRule="auto"/>
        <w:jc w:val="both"/>
        <w:rPr>
          <w:rFonts w:ascii="Arial" w:hAnsi="Arial" w:cs="Arial"/>
          <w:sz w:val="20"/>
          <w:szCs w:val="20"/>
        </w:rPr>
      </w:pPr>
      <w:r w:rsidRPr="001D3FB1">
        <w:rPr>
          <w:rFonts w:ascii="Arial" w:hAnsi="Arial" w:cs="Arial"/>
          <w:sz w:val="20"/>
          <w:szCs w:val="20"/>
        </w:rPr>
        <w:t>Iwona</w:t>
      </w:r>
      <w:r w:rsidR="00236863" w:rsidRPr="001D3FB1">
        <w:rPr>
          <w:rFonts w:ascii="Arial" w:hAnsi="Arial" w:cs="Arial"/>
          <w:sz w:val="20"/>
          <w:szCs w:val="20"/>
        </w:rPr>
        <w:t xml:space="preserve"> </w:t>
      </w:r>
      <w:proofErr w:type="spellStart"/>
      <w:r w:rsidRPr="001D3FB1">
        <w:rPr>
          <w:rFonts w:ascii="Arial" w:hAnsi="Arial" w:cs="Arial"/>
          <w:sz w:val="20"/>
          <w:szCs w:val="20"/>
        </w:rPr>
        <w:t>Cicha</w:t>
      </w:r>
      <w:proofErr w:type="spellEnd"/>
      <w:r w:rsidRPr="001D3FB1">
        <w:rPr>
          <w:rFonts w:ascii="Arial" w:hAnsi="Arial" w:cs="Arial"/>
          <w:sz w:val="20"/>
          <w:szCs w:val="20"/>
        </w:rPr>
        <w:t>,</w:t>
      </w:r>
      <w:r w:rsidR="00236863" w:rsidRPr="001D3FB1">
        <w:rPr>
          <w:rFonts w:ascii="Arial" w:hAnsi="Arial" w:cs="Arial"/>
          <w:sz w:val="20"/>
          <w:szCs w:val="20"/>
        </w:rPr>
        <w:t xml:space="preserve"> </w:t>
      </w:r>
      <w:proofErr w:type="spellStart"/>
      <w:r w:rsidRPr="001D3FB1">
        <w:rPr>
          <w:rFonts w:ascii="Arial" w:hAnsi="Arial" w:cs="Arial"/>
          <w:sz w:val="20"/>
          <w:szCs w:val="20"/>
        </w:rPr>
        <w:t>Ce´dric</w:t>
      </w:r>
      <w:proofErr w:type="spellEnd"/>
      <w:r w:rsidR="00236863" w:rsidRPr="001D3FB1">
        <w:rPr>
          <w:rFonts w:ascii="Arial" w:hAnsi="Arial" w:cs="Arial"/>
          <w:sz w:val="20"/>
          <w:szCs w:val="20"/>
        </w:rPr>
        <w:t xml:space="preserve"> </w:t>
      </w:r>
      <w:proofErr w:type="spellStart"/>
      <w:r w:rsidRPr="001D3FB1">
        <w:rPr>
          <w:rFonts w:ascii="Arial" w:hAnsi="Arial" w:cs="Arial"/>
          <w:sz w:val="20"/>
          <w:szCs w:val="20"/>
        </w:rPr>
        <w:t>Chauvierre</w:t>
      </w:r>
      <w:proofErr w:type="spellEnd"/>
      <w:r w:rsidR="00236863" w:rsidRPr="001D3FB1">
        <w:rPr>
          <w:rFonts w:ascii="Arial" w:hAnsi="Arial" w:cs="Arial"/>
          <w:sz w:val="20"/>
          <w:szCs w:val="20"/>
        </w:rPr>
        <w:t xml:space="preserve">, </w:t>
      </w:r>
      <w:r w:rsidRPr="001D3FB1">
        <w:rPr>
          <w:rFonts w:ascii="Arial" w:hAnsi="Arial" w:cs="Arial"/>
          <w:sz w:val="20"/>
          <w:szCs w:val="20"/>
        </w:rPr>
        <w:t>Isabelle</w:t>
      </w:r>
      <w:r w:rsidR="00236863" w:rsidRPr="001D3FB1">
        <w:rPr>
          <w:rFonts w:ascii="Arial" w:hAnsi="Arial" w:cs="Arial"/>
          <w:sz w:val="20"/>
          <w:szCs w:val="20"/>
        </w:rPr>
        <w:t xml:space="preserve"> </w:t>
      </w:r>
      <w:proofErr w:type="spellStart"/>
      <w:r w:rsidRPr="001D3FB1">
        <w:rPr>
          <w:rFonts w:ascii="Arial" w:hAnsi="Arial" w:cs="Arial"/>
          <w:sz w:val="20"/>
          <w:szCs w:val="20"/>
        </w:rPr>
        <w:t>Texier</w:t>
      </w:r>
      <w:proofErr w:type="spellEnd"/>
      <w:r w:rsidRPr="001D3FB1">
        <w:rPr>
          <w:rFonts w:ascii="Arial" w:hAnsi="Arial" w:cs="Arial"/>
          <w:sz w:val="20"/>
          <w:szCs w:val="20"/>
        </w:rPr>
        <w:t>,</w:t>
      </w:r>
      <w:r w:rsidR="00236863" w:rsidRPr="001D3FB1">
        <w:rPr>
          <w:rFonts w:ascii="Arial" w:hAnsi="Arial" w:cs="Arial"/>
          <w:sz w:val="20"/>
          <w:szCs w:val="20"/>
        </w:rPr>
        <w:t xml:space="preserve"> </w:t>
      </w:r>
      <w:r w:rsidRPr="001D3FB1">
        <w:rPr>
          <w:rFonts w:ascii="Arial" w:hAnsi="Arial" w:cs="Arial"/>
          <w:sz w:val="20"/>
          <w:szCs w:val="20"/>
        </w:rPr>
        <w:t>Claudia</w:t>
      </w:r>
      <w:r w:rsidR="00236863" w:rsidRPr="001D3FB1">
        <w:rPr>
          <w:rFonts w:ascii="Arial" w:hAnsi="Arial" w:cs="Arial"/>
          <w:sz w:val="20"/>
          <w:szCs w:val="20"/>
        </w:rPr>
        <w:t xml:space="preserve"> </w:t>
      </w:r>
      <w:proofErr w:type="spellStart"/>
      <w:r w:rsidRPr="001D3FB1">
        <w:rPr>
          <w:rFonts w:ascii="Arial" w:hAnsi="Arial" w:cs="Arial"/>
          <w:sz w:val="20"/>
          <w:szCs w:val="20"/>
        </w:rPr>
        <w:t>Cabella</w:t>
      </w:r>
      <w:proofErr w:type="spellEnd"/>
      <w:r w:rsidRPr="001D3FB1">
        <w:rPr>
          <w:rFonts w:ascii="Arial" w:hAnsi="Arial" w:cs="Arial"/>
          <w:sz w:val="20"/>
          <w:szCs w:val="20"/>
        </w:rPr>
        <w:t xml:space="preserve">, </w:t>
      </w:r>
      <w:proofErr w:type="spellStart"/>
      <w:r w:rsidRPr="001D3FB1">
        <w:rPr>
          <w:rFonts w:ascii="Arial" w:hAnsi="Arial" w:cs="Arial"/>
          <w:sz w:val="20"/>
          <w:szCs w:val="20"/>
        </w:rPr>
        <w:t>Josbert</w:t>
      </w:r>
      <w:proofErr w:type="spellEnd"/>
      <w:r w:rsidR="00236863" w:rsidRPr="001D3FB1">
        <w:rPr>
          <w:rFonts w:ascii="Arial" w:hAnsi="Arial" w:cs="Arial"/>
          <w:sz w:val="20"/>
          <w:szCs w:val="20"/>
        </w:rPr>
        <w:t xml:space="preserve"> </w:t>
      </w:r>
      <w:r w:rsidRPr="001D3FB1">
        <w:rPr>
          <w:rFonts w:ascii="Arial" w:hAnsi="Arial" w:cs="Arial"/>
          <w:sz w:val="20"/>
          <w:szCs w:val="20"/>
        </w:rPr>
        <w:t>M.</w:t>
      </w:r>
      <w:r w:rsidR="00236863" w:rsidRPr="001D3FB1">
        <w:rPr>
          <w:rFonts w:ascii="Arial" w:hAnsi="Arial" w:cs="Arial"/>
          <w:sz w:val="20"/>
          <w:szCs w:val="20"/>
        </w:rPr>
        <w:t xml:space="preserve"> </w:t>
      </w:r>
      <w:proofErr w:type="spellStart"/>
      <w:r w:rsidRPr="001D3FB1">
        <w:rPr>
          <w:rFonts w:ascii="Arial" w:hAnsi="Arial" w:cs="Arial"/>
          <w:sz w:val="20"/>
          <w:szCs w:val="20"/>
        </w:rPr>
        <w:t>Metselaar</w:t>
      </w:r>
      <w:proofErr w:type="spellEnd"/>
      <w:r w:rsidRPr="001D3FB1">
        <w:rPr>
          <w:rFonts w:ascii="Arial" w:hAnsi="Arial" w:cs="Arial"/>
          <w:sz w:val="20"/>
          <w:szCs w:val="20"/>
        </w:rPr>
        <w:t>,</w:t>
      </w:r>
      <w:r w:rsidR="00236863" w:rsidRPr="001D3FB1">
        <w:rPr>
          <w:rFonts w:ascii="Arial" w:hAnsi="Arial" w:cs="Arial"/>
          <w:sz w:val="20"/>
          <w:szCs w:val="20"/>
        </w:rPr>
        <w:t xml:space="preserve"> </w:t>
      </w:r>
      <w:proofErr w:type="spellStart"/>
      <w:r w:rsidRPr="001D3FB1">
        <w:rPr>
          <w:rFonts w:ascii="Arial" w:hAnsi="Arial" w:cs="Arial"/>
          <w:sz w:val="20"/>
          <w:szCs w:val="20"/>
        </w:rPr>
        <w:t>Ja´nos</w:t>
      </w:r>
      <w:proofErr w:type="spellEnd"/>
      <w:r w:rsidR="00236863" w:rsidRPr="001D3FB1">
        <w:rPr>
          <w:rFonts w:ascii="Arial" w:hAnsi="Arial" w:cs="Arial"/>
          <w:sz w:val="20"/>
          <w:szCs w:val="20"/>
        </w:rPr>
        <w:t xml:space="preserve"> </w:t>
      </w:r>
      <w:proofErr w:type="spellStart"/>
      <w:r w:rsidRPr="001D3FB1">
        <w:rPr>
          <w:rFonts w:ascii="Arial" w:hAnsi="Arial" w:cs="Arial"/>
          <w:sz w:val="20"/>
          <w:szCs w:val="20"/>
        </w:rPr>
        <w:t>Szebeni</w:t>
      </w:r>
      <w:proofErr w:type="spellEnd"/>
      <w:r w:rsidRPr="001D3FB1">
        <w:rPr>
          <w:rFonts w:ascii="Arial" w:hAnsi="Arial" w:cs="Arial"/>
          <w:sz w:val="20"/>
          <w:szCs w:val="20"/>
        </w:rPr>
        <w:t>,</w:t>
      </w:r>
      <w:r w:rsidR="00236863" w:rsidRPr="001D3FB1">
        <w:rPr>
          <w:rFonts w:ascii="Arial" w:hAnsi="Arial" w:cs="Arial"/>
          <w:sz w:val="20"/>
          <w:szCs w:val="20"/>
        </w:rPr>
        <w:t xml:space="preserve"> </w:t>
      </w:r>
      <w:proofErr w:type="spellStart"/>
      <w:r w:rsidRPr="001D3FB1">
        <w:rPr>
          <w:rFonts w:ascii="Arial" w:hAnsi="Arial" w:cs="Arial"/>
          <w:sz w:val="20"/>
          <w:szCs w:val="20"/>
        </w:rPr>
        <w:t>La´szlo</w:t>
      </w:r>
      <w:proofErr w:type="spellEnd"/>
      <w:r w:rsidRPr="001D3FB1">
        <w:rPr>
          <w:rFonts w:ascii="Arial" w:hAnsi="Arial" w:cs="Arial"/>
          <w:sz w:val="20"/>
          <w:szCs w:val="20"/>
        </w:rPr>
        <w:t>´</w:t>
      </w:r>
      <w:r w:rsidR="00236863" w:rsidRPr="001D3FB1">
        <w:rPr>
          <w:rFonts w:ascii="Arial" w:hAnsi="Arial" w:cs="Arial"/>
          <w:sz w:val="20"/>
          <w:szCs w:val="20"/>
        </w:rPr>
        <w:t xml:space="preserve"> </w:t>
      </w:r>
      <w:r w:rsidRPr="001D3FB1">
        <w:rPr>
          <w:rFonts w:ascii="Arial" w:hAnsi="Arial" w:cs="Arial"/>
          <w:sz w:val="20"/>
          <w:szCs w:val="20"/>
        </w:rPr>
        <w:t>De´zsi,</w:t>
      </w:r>
      <w:r w:rsidR="00236863" w:rsidRPr="001D3FB1">
        <w:rPr>
          <w:rFonts w:ascii="Arial" w:hAnsi="Arial" w:cs="Arial"/>
          <w:sz w:val="20"/>
          <w:szCs w:val="20"/>
        </w:rPr>
        <w:t xml:space="preserve"> </w:t>
      </w:r>
      <w:r w:rsidRPr="001D3FB1">
        <w:rPr>
          <w:rFonts w:ascii="Arial" w:hAnsi="Arial" w:cs="Arial"/>
          <w:sz w:val="20"/>
          <w:szCs w:val="20"/>
        </w:rPr>
        <w:t>Christoph</w:t>
      </w:r>
      <w:r w:rsidR="00236863" w:rsidRPr="001D3FB1">
        <w:rPr>
          <w:rFonts w:ascii="Arial" w:hAnsi="Arial" w:cs="Arial"/>
          <w:sz w:val="20"/>
          <w:szCs w:val="20"/>
        </w:rPr>
        <w:t xml:space="preserve"> </w:t>
      </w:r>
      <w:r w:rsidRPr="001D3FB1">
        <w:rPr>
          <w:rFonts w:ascii="Arial" w:hAnsi="Arial" w:cs="Arial"/>
          <w:sz w:val="20"/>
          <w:szCs w:val="20"/>
        </w:rPr>
        <w:t>Alexiou, Franc¸</w:t>
      </w:r>
      <w:r w:rsidR="00236863" w:rsidRPr="001D3FB1">
        <w:rPr>
          <w:rFonts w:ascii="Arial" w:hAnsi="Arial" w:cs="Arial"/>
          <w:sz w:val="20"/>
          <w:szCs w:val="20"/>
        </w:rPr>
        <w:t xml:space="preserve"> </w:t>
      </w:r>
      <w:proofErr w:type="spellStart"/>
      <w:r w:rsidRPr="001D3FB1">
        <w:rPr>
          <w:rFonts w:ascii="Arial" w:hAnsi="Arial" w:cs="Arial"/>
          <w:sz w:val="20"/>
          <w:szCs w:val="20"/>
        </w:rPr>
        <w:t>oisRouzet</w:t>
      </w:r>
      <w:proofErr w:type="spellEnd"/>
      <w:r w:rsidRPr="001D3FB1">
        <w:rPr>
          <w:rFonts w:ascii="Arial" w:hAnsi="Arial" w:cs="Arial"/>
          <w:sz w:val="20"/>
          <w:szCs w:val="20"/>
        </w:rPr>
        <w:t>,</w:t>
      </w:r>
      <w:r w:rsidR="00236863" w:rsidRPr="001D3FB1">
        <w:rPr>
          <w:rFonts w:ascii="Arial" w:hAnsi="Arial" w:cs="Arial"/>
          <w:sz w:val="20"/>
          <w:szCs w:val="20"/>
        </w:rPr>
        <w:t xml:space="preserve"> </w:t>
      </w:r>
      <w:r w:rsidRPr="001D3FB1">
        <w:rPr>
          <w:rFonts w:ascii="Arial" w:hAnsi="Arial" w:cs="Arial"/>
          <w:sz w:val="20"/>
          <w:szCs w:val="20"/>
        </w:rPr>
        <w:t>Gert</w:t>
      </w:r>
      <w:r w:rsidR="00236863" w:rsidRPr="001D3FB1">
        <w:rPr>
          <w:rFonts w:ascii="Arial" w:hAnsi="Arial" w:cs="Arial"/>
          <w:sz w:val="20"/>
          <w:szCs w:val="20"/>
        </w:rPr>
        <w:t xml:space="preserve"> </w:t>
      </w:r>
      <w:r w:rsidRPr="001D3FB1">
        <w:rPr>
          <w:rFonts w:ascii="Arial" w:hAnsi="Arial" w:cs="Arial"/>
          <w:sz w:val="20"/>
          <w:szCs w:val="20"/>
        </w:rPr>
        <w:t>Storm,</w:t>
      </w:r>
      <w:r w:rsidR="00236863" w:rsidRPr="001D3FB1">
        <w:rPr>
          <w:rFonts w:ascii="Arial" w:hAnsi="Arial" w:cs="Arial"/>
          <w:sz w:val="20"/>
          <w:szCs w:val="20"/>
        </w:rPr>
        <w:t xml:space="preserve"> </w:t>
      </w:r>
      <w:r w:rsidRPr="001D3FB1">
        <w:rPr>
          <w:rFonts w:ascii="Arial" w:hAnsi="Arial" w:cs="Arial"/>
          <w:sz w:val="20"/>
          <w:szCs w:val="20"/>
        </w:rPr>
        <w:t>Erik</w:t>
      </w:r>
      <w:r w:rsidR="00236863" w:rsidRPr="001D3FB1">
        <w:rPr>
          <w:rFonts w:ascii="Arial" w:hAnsi="Arial" w:cs="Arial"/>
          <w:sz w:val="20"/>
          <w:szCs w:val="20"/>
        </w:rPr>
        <w:t xml:space="preserve"> </w:t>
      </w:r>
      <w:r w:rsidRPr="001D3FB1">
        <w:rPr>
          <w:rFonts w:ascii="Arial" w:hAnsi="Arial" w:cs="Arial"/>
          <w:sz w:val="20"/>
          <w:szCs w:val="20"/>
        </w:rPr>
        <w:t>Stroes,</w:t>
      </w:r>
      <w:r w:rsidR="00236863" w:rsidRPr="001D3FB1">
        <w:rPr>
          <w:rFonts w:ascii="Arial" w:hAnsi="Arial" w:cs="Arial"/>
          <w:sz w:val="20"/>
          <w:szCs w:val="20"/>
        </w:rPr>
        <w:t xml:space="preserve"> </w:t>
      </w:r>
      <w:r w:rsidRPr="001D3FB1">
        <w:rPr>
          <w:rFonts w:ascii="Arial" w:hAnsi="Arial" w:cs="Arial"/>
          <w:sz w:val="20"/>
          <w:szCs w:val="20"/>
        </w:rPr>
        <w:t>Donald</w:t>
      </w:r>
      <w:r w:rsidR="00236863" w:rsidRPr="001D3FB1">
        <w:rPr>
          <w:rFonts w:ascii="Arial" w:hAnsi="Arial" w:cs="Arial"/>
          <w:sz w:val="20"/>
          <w:szCs w:val="20"/>
        </w:rPr>
        <w:t xml:space="preserve"> </w:t>
      </w:r>
      <w:r w:rsidRPr="001D3FB1">
        <w:rPr>
          <w:rFonts w:ascii="Arial" w:hAnsi="Arial" w:cs="Arial"/>
          <w:sz w:val="20"/>
          <w:szCs w:val="20"/>
        </w:rPr>
        <w:t>Bruce,</w:t>
      </w:r>
      <w:r w:rsidR="00236863" w:rsidRPr="001D3FB1">
        <w:rPr>
          <w:rFonts w:ascii="Arial" w:hAnsi="Arial" w:cs="Arial"/>
          <w:sz w:val="20"/>
          <w:szCs w:val="20"/>
        </w:rPr>
        <w:t xml:space="preserve"> </w:t>
      </w:r>
      <w:r w:rsidRPr="001D3FB1">
        <w:rPr>
          <w:rFonts w:ascii="Arial" w:hAnsi="Arial" w:cs="Arial"/>
          <w:sz w:val="20"/>
          <w:szCs w:val="20"/>
        </w:rPr>
        <w:t>Neil</w:t>
      </w:r>
      <w:r w:rsidR="00236863" w:rsidRPr="001D3FB1">
        <w:rPr>
          <w:rFonts w:ascii="Arial" w:hAnsi="Arial" w:cs="Arial"/>
          <w:sz w:val="20"/>
          <w:szCs w:val="20"/>
        </w:rPr>
        <w:t xml:space="preserve"> </w:t>
      </w:r>
      <w:r w:rsidRPr="001D3FB1">
        <w:rPr>
          <w:rFonts w:ascii="Arial" w:hAnsi="Arial" w:cs="Arial"/>
          <w:sz w:val="20"/>
          <w:szCs w:val="20"/>
        </w:rPr>
        <w:t>MacRitchie, Pasquale</w:t>
      </w:r>
      <w:r w:rsidR="00236863" w:rsidRPr="001D3FB1">
        <w:rPr>
          <w:rFonts w:ascii="Arial" w:hAnsi="Arial" w:cs="Arial"/>
          <w:sz w:val="20"/>
          <w:szCs w:val="20"/>
        </w:rPr>
        <w:t xml:space="preserve"> </w:t>
      </w:r>
      <w:r w:rsidRPr="001D3FB1">
        <w:rPr>
          <w:rFonts w:ascii="Arial" w:hAnsi="Arial" w:cs="Arial"/>
          <w:sz w:val="20"/>
          <w:szCs w:val="20"/>
        </w:rPr>
        <w:t>Maffia,</w:t>
      </w:r>
      <w:r w:rsidR="00236863" w:rsidRPr="001D3FB1">
        <w:rPr>
          <w:rFonts w:ascii="Arial" w:hAnsi="Arial" w:cs="Arial"/>
          <w:sz w:val="20"/>
          <w:szCs w:val="20"/>
        </w:rPr>
        <w:t xml:space="preserve"> </w:t>
      </w:r>
      <w:r w:rsidRPr="001D3FB1">
        <w:rPr>
          <w:rFonts w:ascii="Arial" w:hAnsi="Arial" w:cs="Arial"/>
          <w:sz w:val="20"/>
          <w:szCs w:val="20"/>
        </w:rPr>
        <w:t>and</w:t>
      </w:r>
      <w:r w:rsidR="00236863" w:rsidRPr="001D3FB1">
        <w:rPr>
          <w:rFonts w:ascii="Arial" w:hAnsi="Arial" w:cs="Arial"/>
          <w:sz w:val="20"/>
          <w:szCs w:val="20"/>
        </w:rPr>
        <w:t xml:space="preserve"> </w:t>
      </w:r>
      <w:r w:rsidRPr="001D3FB1">
        <w:rPr>
          <w:rFonts w:ascii="Arial" w:hAnsi="Arial" w:cs="Arial"/>
          <w:sz w:val="20"/>
          <w:szCs w:val="20"/>
        </w:rPr>
        <w:t>Didier</w:t>
      </w:r>
      <w:r w:rsidR="00236863" w:rsidRPr="001D3FB1">
        <w:rPr>
          <w:rFonts w:ascii="Arial" w:hAnsi="Arial" w:cs="Arial"/>
          <w:sz w:val="20"/>
          <w:szCs w:val="20"/>
        </w:rPr>
        <w:t xml:space="preserve"> </w:t>
      </w:r>
      <w:r w:rsidRPr="001D3FB1">
        <w:rPr>
          <w:rFonts w:ascii="Arial" w:hAnsi="Arial" w:cs="Arial"/>
          <w:sz w:val="20"/>
          <w:szCs w:val="20"/>
        </w:rPr>
        <w:t>Letourneur, From</w:t>
      </w:r>
      <w:r w:rsidR="00236863" w:rsidRPr="001D3FB1">
        <w:rPr>
          <w:rFonts w:ascii="Arial" w:hAnsi="Arial" w:cs="Arial"/>
          <w:sz w:val="20"/>
          <w:szCs w:val="20"/>
        </w:rPr>
        <w:t xml:space="preserve"> </w:t>
      </w:r>
      <w:r w:rsidRPr="001D3FB1">
        <w:rPr>
          <w:rFonts w:ascii="Arial" w:hAnsi="Arial" w:cs="Arial"/>
          <w:sz w:val="20"/>
          <w:szCs w:val="20"/>
        </w:rPr>
        <w:t>design</w:t>
      </w:r>
      <w:r w:rsidR="00236863" w:rsidRPr="001D3FB1">
        <w:rPr>
          <w:rFonts w:ascii="Arial" w:hAnsi="Arial" w:cs="Arial"/>
          <w:sz w:val="20"/>
          <w:szCs w:val="20"/>
        </w:rPr>
        <w:t xml:space="preserve"> </w:t>
      </w:r>
      <w:r w:rsidRPr="001D3FB1">
        <w:rPr>
          <w:rFonts w:ascii="Arial" w:hAnsi="Arial" w:cs="Arial"/>
          <w:sz w:val="20"/>
          <w:szCs w:val="20"/>
        </w:rPr>
        <w:t>to</w:t>
      </w:r>
      <w:r w:rsidR="00236863" w:rsidRPr="001D3FB1">
        <w:rPr>
          <w:rFonts w:ascii="Arial" w:hAnsi="Arial" w:cs="Arial"/>
          <w:sz w:val="20"/>
          <w:szCs w:val="20"/>
        </w:rPr>
        <w:t xml:space="preserve"> </w:t>
      </w:r>
      <w:r w:rsidRPr="001D3FB1">
        <w:rPr>
          <w:rFonts w:ascii="Arial" w:hAnsi="Arial" w:cs="Arial"/>
          <w:sz w:val="20"/>
          <w:szCs w:val="20"/>
        </w:rPr>
        <w:t>the</w:t>
      </w:r>
      <w:r w:rsidR="00236863" w:rsidRPr="001D3FB1">
        <w:rPr>
          <w:rFonts w:ascii="Arial" w:hAnsi="Arial" w:cs="Arial"/>
          <w:sz w:val="20"/>
          <w:szCs w:val="20"/>
        </w:rPr>
        <w:t xml:space="preserve"> </w:t>
      </w:r>
      <w:r w:rsidRPr="001D3FB1">
        <w:rPr>
          <w:rFonts w:ascii="Arial" w:hAnsi="Arial" w:cs="Arial"/>
          <w:sz w:val="20"/>
          <w:szCs w:val="20"/>
        </w:rPr>
        <w:t>clinic:</w:t>
      </w:r>
      <w:r w:rsidR="00236863" w:rsidRPr="001D3FB1">
        <w:rPr>
          <w:rFonts w:ascii="Arial" w:hAnsi="Arial" w:cs="Arial"/>
          <w:sz w:val="20"/>
          <w:szCs w:val="20"/>
        </w:rPr>
        <w:t xml:space="preserve"> </w:t>
      </w:r>
      <w:r w:rsidRPr="001D3FB1">
        <w:rPr>
          <w:rFonts w:ascii="Arial" w:hAnsi="Arial" w:cs="Arial"/>
          <w:sz w:val="20"/>
          <w:szCs w:val="20"/>
        </w:rPr>
        <w:t>practical</w:t>
      </w:r>
      <w:r w:rsidR="00236863" w:rsidRPr="001D3FB1">
        <w:rPr>
          <w:rFonts w:ascii="Arial" w:hAnsi="Arial" w:cs="Arial"/>
          <w:sz w:val="20"/>
          <w:szCs w:val="20"/>
        </w:rPr>
        <w:t xml:space="preserve"> </w:t>
      </w:r>
      <w:r w:rsidRPr="001D3FB1">
        <w:rPr>
          <w:rFonts w:ascii="Arial" w:hAnsi="Arial" w:cs="Arial"/>
          <w:sz w:val="20"/>
          <w:szCs w:val="20"/>
        </w:rPr>
        <w:t>guidelines for</w:t>
      </w:r>
      <w:r w:rsidR="00236863" w:rsidRPr="001D3FB1">
        <w:rPr>
          <w:rFonts w:ascii="Arial" w:hAnsi="Arial" w:cs="Arial"/>
          <w:sz w:val="20"/>
          <w:szCs w:val="20"/>
        </w:rPr>
        <w:t xml:space="preserve"> </w:t>
      </w:r>
      <w:r w:rsidRPr="001D3FB1">
        <w:rPr>
          <w:rFonts w:ascii="Arial" w:hAnsi="Arial" w:cs="Arial"/>
          <w:sz w:val="20"/>
          <w:szCs w:val="20"/>
        </w:rPr>
        <w:t>translating</w:t>
      </w:r>
      <w:r w:rsidR="00236863" w:rsidRPr="001D3FB1">
        <w:rPr>
          <w:rFonts w:ascii="Arial" w:hAnsi="Arial" w:cs="Arial"/>
          <w:sz w:val="20"/>
          <w:szCs w:val="20"/>
        </w:rPr>
        <w:t xml:space="preserve"> </w:t>
      </w:r>
      <w:r w:rsidRPr="001D3FB1">
        <w:rPr>
          <w:rFonts w:ascii="Arial" w:hAnsi="Arial" w:cs="Arial"/>
          <w:sz w:val="20"/>
          <w:szCs w:val="20"/>
        </w:rPr>
        <w:t>cardiovascular</w:t>
      </w:r>
      <w:r w:rsidR="00236863" w:rsidRPr="001D3FB1">
        <w:rPr>
          <w:rFonts w:ascii="Arial" w:hAnsi="Arial" w:cs="Arial"/>
          <w:sz w:val="20"/>
          <w:szCs w:val="20"/>
        </w:rPr>
        <w:t xml:space="preserve"> </w:t>
      </w:r>
      <w:r w:rsidRPr="001D3FB1">
        <w:rPr>
          <w:rFonts w:ascii="Arial" w:hAnsi="Arial" w:cs="Arial"/>
          <w:sz w:val="20"/>
          <w:szCs w:val="20"/>
        </w:rPr>
        <w:t>nanomedicine, Cardiovascular</w:t>
      </w:r>
      <w:r w:rsidR="00236863" w:rsidRPr="001D3FB1">
        <w:rPr>
          <w:rFonts w:ascii="Arial" w:hAnsi="Arial" w:cs="Arial"/>
          <w:sz w:val="20"/>
          <w:szCs w:val="20"/>
        </w:rPr>
        <w:t xml:space="preserve"> </w:t>
      </w:r>
      <w:proofErr w:type="gramStart"/>
      <w:r w:rsidRPr="001D3FB1">
        <w:rPr>
          <w:rFonts w:ascii="Arial" w:hAnsi="Arial" w:cs="Arial"/>
          <w:sz w:val="20"/>
          <w:szCs w:val="20"/>
        </w:rPr>
        <w:t>Research(</w:t>
      </w:r>
      <w:proofErr w:type="gramEnd"/>
      <w:r w:rsidRPr="001D3FB1">
        <w:rPr>
          <w:rFonts w:ascii="Arial" w:hAnsi="Arial" w:cs="Arial"/>
          <w:sz w:val="20"/>
          <w:szCs w:val="20"/>
        </w:rPr>
        <w:t>2018)114,1714–1727, doi:10.1093/</w:t>
      </w:r>
      <w:proofErr w:type="spellStart"/>
      <w:r w:rsidRPr="001D3FB1">
        <w:rPr>
          <w:rFonts w:ascii="Arial" w:hAnsi="Arial" w:cs="Arial"/>
          <w:sz w:val="20"/>
          <w:szCs w:val="20"/>
        </w:rPr>
        <w:t>cvr</w:t>
      </w:r>
      <w:proofErr w:type="spellEnd"/>
      <w:r w:rsidRPr="001D3FB1">
        <w:rPr>
          <w:rFonts w:ascii="Arial" w:hAnsi="Arial" w:cs="Arial"/>
          <w:sz w:val="20"/>
          <w:szCs w:val="20"/>
        </w:rPr>
        <w:t>/cvy219</w:t>
      </w:r>
    </w:p>
    <w:p w14:paraId="15759810" w14:textId="32BE6574" w:rsidR="003D1B11" w:rsidRPr="001D3FB1" w:rsidRDefault="00402DC7" w:rsidP="00445D33">
      <w:pPr>
        <w:pStyle w:val="ListParagraph"/>
        <w:numPr>
          <w:ilvl w:val="0"/>
          <w:numId w:val="22"/>
        </w:numPr>
        <w:spacing w:line="360" w:lineRule="auto"/>
        <w:jc w:val="both"/>
        <w:rPr>
          <w:rFonts w:ascii="Helvetica" w:hAnsi="Helvetica" w:cs="Helvetica"/>
          <w:sz w:val="20"/>
          <w:szCs w:val="20"/>
        </w:rPr>
      </w:pPr>
      <w:proofErr w:type="spellStart"/>
      <w:r w:rsidRPr="001D3FB1">
        <w:rPr>
          <w:rFonts w:ascii="Helvetica" w:hAnsi="Helvetica" w:cs="Helvetica"/>
          <w:sz w:val="20"/>
          <w:szCs w:val="20"/>
        </w:rPr>
        <w:t>Linyang</w:t>
      </w:r>
      <w:proofErr w:type="spellEnd"/>
      <w:r w:rsidRPr="001D3FB1">
        <w:rPr>
          <w:rFonts w:ascii="Helvetica" w:hAnsi="Helvetica" w:cs="Helvetica"/>
          <w:sz w:val="20"/>
          <w:szCs w:val="20"/>
        </w:rPr>
        <w:t xml:space="preserve"> Fa</w:t>
      </w:r>
      <w:r w:rsidR="00854252" w:rsidRPr="001D3FB1">
        <w:rPr>
          <w:rFonts w:ascii="Helvetica" w:hAnsi="Helvetica" w:cs="Helvetica"/>
          <w:sz w:val="20"/>
          <w:szCs w:val="20"/>
        </w:rPr>
        <w:t>n</w:t>
      </w:r>
      <w:r w:rsidRPr="001D3FB1">
        <w:rPr>
          <w:rFonts w:ascii="Helvetica" w:hAnsi="Helvetica" w:cs="Helvetica"/>
          <w:sz w:val="20"/>
          <w:szCs w:val="20"/>
        </w:rPr>
        <w:t xml:space="preserve">, </w:t>
      </w:r>
      <w:proofErr w:type="spellStart"/>
      <w:r w:rsidRPr="001D3FB1">
        <w:rPr>
          <w:rFonts w:ascii="Helvetica" w:hAnsi="Helvetica" w:cs="Helvetica"/>
          <w:sz w:val="20"/>
          <w:szCs w:val="20"/>
        </w:rPr>
        <w:t>Weizhi</w:t>
      </w:r>
      <w:proofErr w:type="spellEnd"/>
      <w:r w:rsidRPr="001D3FB1">
        <w:rPr>
          <w:rFonts w:ascii="Helvetica" w:hAnsi="Helvetica" w:cs="Helvetica"/>
          <w:sz w:val="20"/>
          <w:szCs w:val="20"/>
        </w:rPr>
        <w:t xml:space="preserve"> Wang, </w:t>
      </w:r>
      <w:proofErr w:type="spellStart"/>
      <w:r w:rsidRPr="001D3FB1">
        <w:rPr>
          <w:rFonts w:ascii="Helvetica" w:hAnsi="Helvetica" w:cs="Helvetica"/>
          <w:sz w:val="20"/>
          <w:szCs w:val="20"/>
        </w:rPr>
        <w:t>Zihua</w:t>
      </w:r>
      <w:proofErr w:type="spellEnd"/>
      <w:r w:rsidRPr="001D3FB1">
        <w:rPr>
          <w:rFonts w:ascii="Helvetica" w:hAnsi="Helvetica" w:cs="Helvetica"/>
          <w:sz w:val="20"/>
          <w:szCs w:val="20"/>
        </w:rPr>
        <w:t xml:space="preserve"> Wang &amp; </w:t>
      </w:r>
      <w:proofErr w:type="spellStart"/>
      <w:r w:rsidRPr="001D3FB1">
        <w:rPr>
          <w:rFonts w:ascii="Helvetica" w:hAnsi="Helvetica" w:cs="Helvetica"/>
          <w:sz w:val="20"/>
          <w:szCs w:val="20"/>
        </w:rPr>
        <w:t>Minzhi</w:t>
      </w:r>
      <w:proofErr w:type="spellEnd"/>
      <w:r w:rsidRPr="001D3FB1">
        <w:rPr>
          <w:rFonts w:ascii="Helvetica" w:hAnsi="Helvetica" w:cs="Helvetica"/>
          <w:sz w:val="20"/>
          <w:szCs w:val="20"/>
        </w:rPr>
        <w:t xml:space="preserve"> Zhao, NATURE COMMUNICATIONS| (2021) 12:6371, </w:t>
      </w:r>
      <w:hyperlink r:id="rId25" w:history="1">
        <w:r w:rsidRPr="001D3FB1">
          <w:rPr>
            <w:rStyle w:val="Hyperlink"/>
            <w:rFonts w:ascii="Helvetica" w:hAnsi="Helvetica" w:cs="Helvetica"/>
            <w:sz w:val="20"/>
            <w:szCs w:val="20"/>
          </w:rPr>
          <w:t>https://doi.org/10.1038/s41467-021-26694-x</w:t>
        </w:r>
      </w:hyperlink>
    </w:p>
    <w:p w14:paraId="5BCCC287" w14:textId="2ABB5CE9" w:rsidR="00402DC7" w:rsidRPr="001D3FB1" w:rsidRDefault="00402DC7" w:rsidP="00A77A21">
      <w:pPr>
        <w:pStyle w:val="ListParagraph"/>
        <w:numPr>
          <w:ilvl w:val="0"/>
          <w:numId w:val="22"/>
        </w:numPr>
        <w:spacing w:line="360" w:lineRule="auto"/>
        <w:jc w:val="both"/>
        <w:rPr>
          <w:rFonts w:ascii="Helvetica" w:hAnsi="Helvetica" w:cs="Helvetica"/>
          <w:sz w:val="20"/>
          <w:szCs w:val="20"/>
        </w:rPr>
      </w:pPr>
      <w:proofErr w:type="spellStart"/>
      <w:r w:rsidRPr="001D3FB1">
        <w:rPr>
          <w:rFonts w:ascii="Helvetica" w:hAnsi="Helvetica" w:cs="Helvetica"/>
          <w:sz w:val="20"/>
          <w:szCs w:val="20"/>
        </w:rPr>
        <w:t>Shunlai</w:t>
      </w:r>
      <w:proofErr w:type="spellEnd"/>
      <w:r w:rsidRPr="001D3FB1">
        <w:rPr>
          <w:rFonts w:ascii="Helvetica" w:hAnsi="Helvetica" w:cs="Helvetica"/>
          <w:sz w:val="20"/>
          <w:szCs w:val="20"/>
        </w:rPr>
        <w:t xml:space="preserve"> </w:t>
      </w:r>
      <w:proofErr w:type="spellStart"/>
      <w:r w:rsidRPr="001D3FB1">
        <w:rPr>
          <w:rFonts w:ascii="Helvetica" w:hAnsi="Helvetica" w:cs="Helvetica"/>
          <w:sz w:val="20"/>
          <w:szCs w:val="20"/>
        </w:rPr>
        <w:t>Shanga</w:t>
      </w:r>
      <w:proofErr w:type="spellEnd"/>
      <w:r w:rsidRPr="001D3FB1">
        <w:rPr>
          <w:rFonts w:ascii="Helvetica" w:hAnsi="Helvetica" w:cs="Helvetica"/>
          <w:sz w:val="20"/>
          <w:szCs w:val="20"/>
        </w:rPr>
        <w:t xml:space="preserve">, </w:t>
      </w:r>
      <w:proofErr w:type="spellStart"/>
      <w:r w:rsidRPr="001D3FB1">
        <w:rPr>
          <w:rFonts w:ascii="Helvetica" w:hAnsi="Helvetica" w:cs="Helvetica"/>
          <w:sz w:val="20"/>
          <w:szCs w:val="20"/>
        </w:rPr>
        <w:t>Xiangmeng</w:t>
      </w:r>
      <w:proofErr w:type="spellEnd"/>
      <w:r w:rsidRPr="001D3FB1">
        <w:rPr>
          <w:rFonts w:ascii="Helvetica" w:hAnsi="Helvetica" w:cs="Helvetica"/>
          <w:sz w:val="20"/>
          <w:szCs w:val="20"/>
        </w:rPr>
        <w:t xml:space="preserve"> Lia, Haoran Wangd, </w:t>
      </w:r>
      <w:proofErr w:type="spellStart"/>
      <w:r w:rsidRPr="001D3FB1">
        <w:rPr>
          <w:rFonts w:ascii="Helvetica" w:hAnsi="Helvetica" w:cs="Helvetica"/>
          <w:sz w:val="20"/>
          <w:szCs w:val="20"/>
        </w:rPr>
        <w:t>Yena</w:t>
      </w:r>
      <w:proofErr w:type="spellEnd"/>
      <w:r w:rsidRPr="001D3FB1">
        <w:rPr>
          <w:rFonts w:ascii="Helvetica" w:hAnsi="Helvetica" w:cs="Helvetica"/>
          <w:sz w:val="20"/>
          <w:szCs w:val="20"/>
        </w:rPr>
        <w:t xml:space="preserve"> </w:t>
      </w:r>
      <w:proofErr w:type="spellStart"/>
      <w:r w:rsidRPr="001D3FB1">
        <w:rPr>
          <w:rFonts w:ascii="Helvetica" w:hAnsi="Helvetica" w:cs="Helvetica"/>
          <w:sz w:val="20"/>
          <w:szCs w:val="20"/>
        </w:rPr>
        <w:t>Zhoue</w:t>
      </w:r>
      <w:proofErr w:type="spellEnd"/>
      <w:r w:rsidRPr="001D3FB1">
        <w:rPr>
          <w:rFonts w:ascii="Helvetica" w:hAnsi="Helvetica" w:cs="Helvetica"/>
          <w:sz w:val="20"/>
          <w:szCs w:val="20"/>
        </w:rPr>
        <w:t xml:space="preserve">, Keying </w:t>
      </w:r>
      <w:proofErr w:type="spellStart"/>
      <w:r w:rsidRPr="001D3FB1">
        <w:rPr>
          <w:rFonts w:ascii="Helvetica" w:hAnsi="Helvetica" w:cs="Helvetica"/>
          <w:sz w:val="20"/>
          <w:szCs w:val="20"/>
        </w:rPr>
        <w:t>Pangf</w:t>
      </w:r>
      <w:proofErr w:type="spellEnd"/>
      <w:r w:rsidRPr="001D3FB1">
        <w:rPr>
          <w:rFonts w:ascii="Helvetica" w:hAnsi="Helvetica" w:cs="Helvetica"/>
          <w:sz w:val="20"/>
          <w:szCs w:val="20"/>
        </w:rPr>
        <w:t xml:space="preserve">, Ping Lid, </w:t>
      </w:r>
      <w:proofErr w:type="spellStart"/>
      <w:r w:rsidRPr="001D3FB1">
        <w:rPr>
          <w:rFonts w:ascii="Helvetica" w:hAnsi="Helvetica" w:cs="Helvetica"/>
          <w:sz w:val="20"/>
          <w:szCs w:val="20"/>
        </w:rPr>
        <w:t>Xiaomin</w:t>
      </w:r>
      <w:proofErr w:type="spellEnd"/>
      <w:r w:rsidRPr="001D3FB1">
        <w:rPr>
          <w:rFonts w:ascii="Helvetica" w:hAnsi="Helvetica" w:cs="Helvetica"/>
          <w:sz w:val="20"/>
          <w:szCs w:val="20"/>
        </w:rPr>
        <w:t xml:space="preserve"> Liud, Min </w:t>
      </w:r>
      <w:proofErr w:type="spellStart"/>
      <w:r w:rsidRPr="001D3FB1">
        <w:rPr>
          <w:rFonts w:ascii="Helvetica" w:hAnsi="Helvetica" w:cs="Helvetica"/>
          <w:sz w:val="20"/>
          <w:szCs w:val="20"/>
        </w:rPr>
        <w:t>Zhangg</w:t>
      </w:r>
      <w:proofErr w:type="spellEnd"/>
      <w:r w:rsidRPr="001D3FB1">
        <w:rPr>
          <w:rFonts w:ascii="Helvetica" w:hAnsi="Helvetica" w:cs="Helvetica"/>
          <w:sz w:val="20"/>
          <w:szCs w:val="20"/>
        </w:rPr>
        <w:t xml:space="preserve">, </w:t>
      </w:r>
      <w:proofErr w:type="spellStart"/>
      <w:r w:rsidRPr="001D3FB1">
        <w:rPr>
          <w:rFonts w:ascii="Helvetica" w:hAnsi="Helvetica" w:cs="Helvetica"/>
          <w:sz w:val="20"/>
          <w:szCs w:val="20"/>
        </w:rPr>
        <w:t>Wenge</w:t>
      </w:r>
      <w:proofErr w:type="spellEnd"/>
      <w:r w:rsidRPr="001D3FB1">
        <w:rPr>
          <w:rFonts w:ascii="Helvetica" w:hAnsi="Helvetica" w:cs="Helvetica"/>
          <w:sz w:val="20"/>
          <w:szCs w:val="20"/>
        </w:rPr>
        <w:t xml:space="preserve"> Lia, </w:t>
      </w:r>
      <w:proofErr w:type="spellStart"/>
      <w:r w:rsidRPr="001D3FB1">
        <w:rPr>
          <w:rFonts w:ascii="Helvetica" w:hAnsi="Helvetica" w:cs="Helvetica"/>
          <w:sz w:val="20"/>
          <w:szCs w:val="20"/>
        </w:rPr>
        <w:t>Qinggang</w:t>
      </w:r>
      <w:proofErr w:type="spellEnd"/>
      <w:r w:rsidRPr="001D3FB1">
        <w:rPr>
          <w:rFonts w:ascii="Helvetica" w:hAnsi="Helvetica" w:cs="Helvetica"/>
          <w:sz w:val="20"/>
          <w:szCs w:val="20"/>
        </w:rPr>
        <w:t xml:space="preserve"> Lid, </w:t>
      </w:r>
      <w:proofErr w:type="spellStart"/>
      <w:r w:rsidRPr="001D3FB1">
        <w:rPr>
          <w:rFonts w:ascii="Helvetica" w:hAnsi="Helvetica" w:cs="Helvetica"/>
          <w:sz w:val="20"/>
          <w:szCs w:val="20"/>
        </w:rPr>
        <w:t>Xiangmei</w:t>
      </w:r>
      <w:proofErr w:type="spellEnd"/>
      <w:r w:rsidRPr="001D3FB1">
        <w:rPr>
          <w:rFonts w:ascii="Helvetica" w:hAnsi="Helvetica" w:cs="Helvetica"/>
          <w:sz w:val="20"/>
          <w:szCs w:val="20"/>
        </w:rPr>
        <w:t xml:space="preserve"> Chen, Targeted therapy of kidney disease with nanoparticle drug delivery materials, BioactiveMaterials37(2024)206–221, </w:t>
      </w:r>
      <w:hyperlink r:id="rId26" w:history="1">
        <w:r w:rsidRPr="001D3FB1">
          <w:rPr>
            <w:rStyle w:val="Hyperlink"/>
            <w:rFonts w:ascii="Helvetica" w:hAnsi="Helvetica" w:cs="Helvetica"/>
            <w:sz w:val="20"/>
            <w:szCs w:val="20"/>
          </w:rPr>
          <w:t>https://doi.org/10.1016/j.bioactmat.2024.03.014</w:t>
        </w:r>
      </w:hyperlink>
    </w:p>
    <w:p w14:paraId="640245A2" w14:textId="6EB62A12" w:rsidR="00740324" w:rsidRPr="001D3FB1" w:rsidRDefault="00740324" w:rsidP="00C05DFE">
      <w:pPr>
        <w:pStyle w:val="ListParagraph"/>
        <w:numPr>
          <w:ilvl w:val="0"/>
          <w:numId w:val="22"/>
        </w:numPr>
        <w:spacing w:line="360" w:lineRule="auto"/>
        <w:jc w:val="both"/>
        <w:rPr>
          <w:rFonts w:ascii="Helvetica" w:hAnsi="Helvetica" w:cs="Helvetica"/>
          <w:sz w:val="20"/>
          <w:szCs w:val="20"/>
        </w:rPr>
      </w:pPr>
      <w:r w:rsidRPr="001D3FB1">
        <w:rPr>
          <w:rFonts w:ascii="Helvetica" w:hAnsi="Helvetica" w:cs="Helvetica"/>
          <w:sz w:val="20"/>
          <w:szCs w:val="20"/>
        </w:rPr>
        <w:t xml:space="preserve">David B. </w:t>
      </w:r>
      <w:proofErr w:type="spellStart"/>
      <w:r w:rsidRPr="001D3FB1">
        <w:rPr>
          <w:rFonts w:ascii="Helvetica" w:hAnsi="Helvetica" w:cs="Helvetica"/>
          <w:sz w:val="20"/>
          <w:szCs w:val="20"/>
        </w:rPr>
        <w:t>Olawade</w:t>
      </w:r>
      <w:proofErr w:type="spellEnd"/>
      <w:r w:rsidR="00C05DFE" w:rsidRPr="001D3FB1">
        <w:rPr>
          <w:rFonts w:ascii="Helvetica" w:hAnsi="Helvetica" w:cs="Helvetica"/>
          <w:sz w:val="20"/>
          <w:szCs w:val="20"/>
        </w:rPr>
        <w:t>,</w:t>
      </w:r>
      <w:r w:rsidRPr="001D3FB1">
        <w:rPr>
          <w:rFonts w:ascii="Helvetica" w:hAnsi="Helvetica" w:cs="Helvetica"/>
          <w:sz w:val="20"/>
          <w:szCs w:val="20"/>
        </w:rPr>
        <w:t xml:space="preserve"> </w:t>
      </w:r>
      <w:proofErr w:type="spellStart"/>
      <w:r w:rsidRPr="001D3FB1">
        <w:rPr>
          <w:rFonts w:ascii="Helvetica" w:hAnsi="Helvetica" w:cs="Helvetica"/>
          <w:sz w:val="20"/>
          <w:szCs w:val="20"/>
        </w:rPr>
        <w:t>Adedapo</w:t>
      </w:r>
      <w:proofErr w:type="spellEnd"/>
      <w:r w:rsidRPr="001D3FB1">
        <w:rPr>
          <w:rFonts w:ascii="Helvetica" w:hAnsi="Helvetica" w:cs="Helvetica"/>
          <w:sz w:val="20"/>
          <w:szCs w:val="20"/>
        </w:rPr>
        <w:t xml:space="preserve"> O. Adeola, Abimbola O. Ige, Abimbola G. Olaremu, James O. </w:t>
      </w:r>
      <w:proofErr w:type="spellStart"/>
      <w:r w:rsidRPr="001D3FB1">
        <w:rPr>
          <w:rFonts w:ascii="Helvetica" w:hAnsi="Helvetica" w:cs="Helvetica"/>
          <w:sz w:val="20"/>
          <w:szCs w:val="20"/>
        </w:rPr>
        <w:t>Ijiwade</w:t>
      </w:r>
      <w:proofErr w:type="spellEnd"/>
      <w:r w:rsidRPr="001D3FB1">
        <w:rPr>
          <w:rFonts w:ascii="Helvetica" w:hAnsi="Helvetica" w:cs="Helvetica"/>
          <w:sz w:val="20"/>
          <w:szCs w:val="20"/>
        </w:rPr>
        <w:t xml:space="preserve">, The synergy of artificial intelligence and nanotechnology towards advancing innovation and sustainability - A mini-review, Nano Trends 8 (2024) 100052, </w:t>
      </w:r>
      <w:hyperlink r:id="rId27" w:history="1">
        <w:r w:rsidRPr="001D3FB1">
          <w:rPr>
            <w:rStyle w:val="Hyperlink"/>
            <w:rFonts w:ascii="Helvetica" w:hAnsi="Helvetica" w:cs="Helvetica"/>
            <w:sz w:val="20"/>
            <w:szCs w:val="20"/>
          </w:rPr>
          <w:t>https://doi.org/10.1016/j.nwnano.2024.100052</w:t>
        </w:r>
      </w:hyperlink>
    </w:p>
    <w:p w14:paraId="3A0D5663" w14:textId="484F4921" w:rsidR="00A77A21" w:rsidRPr="001D3FB1" w:rsidRDefault="00740324" w:rsidP="00A77A21">
      <w:pPr>
        <w:pStyle w:val="ListParagraph"/>
        <w:numPr>
          <w:ilvl w:val="0"/>
          <w:numId w:val="22"/>
        </w:numPr>
        <w:spacing w:line="360" w:lineRule="auto"/>
        <w:jc w:val="both"/>
        <w:rPr>
          <w:rFonts w:ascii="Helvetica" w:hAnsi="Helvetica" w:cs="Helvetica"/>
          <w:sz w:val="20"/>
          <w:szCs w:val="20"/>
        </w:rPr>
      </w:pPr>
      <w:proofErr w:type="spellStart"/>
      <w:r w:rsidRPr="001D3FB1">
        <w:rPr>
          <w:rFonts w:ascii="Helvetica" w:hAnsi="Helvetica" w:cs="Helvetica"/>
          <w:sz w:val="20"/>
          <w:szCs w:val="20"/>
        </w:rPr>
        <w:t>Jianfei</w:t>
      </w:r>
      <w:proofErr w:type="spellEnd"/>
      <w:r w:rsidRPr="001D3FB1">
        <w:rPr>
          <w:rFonts w:ascii="Helvetica" w:hAnsi="Helvetica" w:cs="Helvetica"/>
          <w:sz w:val="20"/>
          <w:szCs w:val="20"/>
        </w:rPr>
        <w:t xml:space="preserve"> Wang, Jiao Suo, </w:t>
      </w:r>
      <w:proofErr w:type="spellStart"/>
      <w:r w:rsidRPr="001D3FB1">
        <w:rPr>
          <w:rFonts w:ascii="Helvetica" w:hAnsi="Helvetica" w:cs="Helvetica"/>
          <w:sz w:val="20"/>
          <w:szCs w:val="20"/>
        </w:rPr>
        <w:t>Zhengxun</w:t>
      </w:r>
      <w:proofErr w:type="spellEnd"/>
      <w:r w:rsidRPr="001D3FB1">
        <w:rPr>
          <w:rFonts w:ascii="Helvetica" w:hAnsi="Helvetica" w:cs="Helvetica"/>
          <w:sz w:val="20"/>
          <w:szCs w:val="20"/>
        </w:rPr>
        <w:t xml:space="preserve"> Song, Wen Jung Li and </w:t>
      </w:r>
      <w:proofErr w:type="spellStart"/>
      <w:r w:rsidRPr="001D3FB1">
        <w:rPr>
          <w:rFonts w:ascii="Helvetica" w:hAnsi="Helvetica" w:cs="Helvetica"/>
          <w:sz w:val="20"/>
          <w:szCs w:val="20"/>
        </w:rPr>
        <w:t>Zuobin</w:t>
      </w:r>
      <w:proofErr w:type="spellEnd"/>
      <w:r w:rsidRPr="001D3FB1">
        <w:rPr>
          <w:rFonts w:ascii="Helvetica" w:hAnsi="Helvetica" w:cs="Helvetica"/>
          <w:sz w:val="20"/>
          <w:szCs w:val="20"/>
        </w:rPr>
        <w:t xml:space="preserve"> Wang, Nanomaterial-based flexible sensors for metaverse and virtual reality applications, Int. J. </w:t>
      </w:r>
      <w:proofErr w:type="spellStart"/>
      <w:r w:rsidRPr="001D3FB1">
        <w:rPr>
          <w:rFonts w:ascii="Helvetica" w:hAnsi="Helvetica" w:cs="Helvetica"/>
          <w:sz w:val="20"/>
          <w:szCs w:val="20"/>
        </w:rPr>
        <w:t>Extrem</w:t>
      </w:r>
      <w:proofErr w:type="spellEnd"/>
      <w:r w:rsidRPr="001D3FB1">
        <w:rPr>
          <w:rFonts w:ascii="Helvetica" w:hAnsi="Helvetica" w:cs="Helvetica"/>
          <w:sz w:val="20"/>
          <w:szCs w:val="20"/>
        </w:rPr>
        <w:t xml:space="preserve">. Manuf. 5 (2023) 032013, </w:t>
      </w:r>
      <w:hyperlink r:id="rId28" w:history="1">
        <w:r w:rsidRPr="001D3FB1">
          <w:rPr>
            <w:rStyle w:val="Hyperlink"/>
            <w:rFonts w:ascii="Helvetica" w:hAnsi="Helvetica" w:cs="Helvetica"/>
            <w:sz w:val="20"/>
            <w:szCs w:val="20"/>
          </w:rPr>
          <w:t>https://doi.org/10.1088/2631-7990/acded1</w:t>
        </w:r>
      </w:hyperlink>
    </w:p>
    <w:p w14:paraId="02CE7BB5" w14:textId="5D324F4A" w:rsidR="00740324" w:rsidRPr="001D3FB1" w:rsidRDefault="00740324" w:rsidP="00A77A21">
      <w:pPr>
        <w:pStyle w:val="ListParagraph"/>
        <w:numPr>
          <w:ilvl w:val="0"/>
          <w:numId w:val="22"/>
        </w:numPr>
        <w:spacing w:line="360" w:lineRule="auto"/>
        <w:jc w:val="both"/>
        <w:rPr>
          <w:rFonts w:ascii="Helvetica" w:hAnsi="Helvetica" w:cs="Helvetica"/>
          <w:sz w:val="20"/>
          <w:szCs w:val="20"/>
        </w:rPr>
      </w:pPr>
      <w:r w:rsidRPr="001D3FB1">
        <w:rPr>
          <w:rFonts w:ascii="Helvetica" w:hAnsi="Helvetica" w:cs="Helvetica"/>
          <w:sz w:val="20"/>
          <w:szCs w:val="20"/>
        </w:rPr>
        <w:t>Miki Honda</w:t>
      </w:r>
      <w:r w:rsidR="00C05DFE" w:rsidRPr="001D3FB1">
        <w:rPr>
          <w:rFonts w:ascii="Helvetica" w:hAnsi="Helvetica" w:cs="Helvetica"/>
          <w:sz w:val="20"/>
          <w:szCs w:val="20"/>
        </w:rPr>
        <w:t>,</w:t>
      </w:r>
      <w:r w:rsidRPr="001D3FB1">
        <w:rPr>
          <w:rFonts w:ascii="Helvetica" w:hAnsi="Helvetica" w:cs="Helvetica"/>
          <w:sz w:val="20"/>
          <w:szCs w:val="20"/>
        </w:rPr>
        <w:t xml:space="preserve"> Tomohiro Asai</w:t>
      </w:r>
      <w:r w:rsidR="00C05DFE" w:rsidRPr="001D3FB1">
        <w:rPr>
          <w:rFonts w:ascii="Helvetica" w:hAnsi="Helvetica" w:cs="Helvetica"/>
          <w:sz w:val="20"/>
          <w:szCs w:val="20"/>
        </w:rPr>
        <w:t>,</w:t>
      </w:r>
      <w:r w:rsidRPr="001D3FB1">
        <w:rPr>
          <w:rFonts w:ascii="Helvetica" w:hAnsi="Helvetica" w:cs="Helvetica"/>
          <w:sz w:val="20"/>
          <w:szCs w:val="20"/>
        </w:rPr>
        <w:t xml:space="preserve"> Naoto Oku</w:t>
      </w:r>
      <w:r w:rsidR="00C05DFE" w:rsidRPr="001D3FB1">
        <w:rPr>
          <w:rFonts w:ascii="Helvetica" w:hAnsi="Helvetica" w:cs="Helvetica"/>
          <w:sz w:val="20"/>
          <w:szCs w:val="20"/>
        </w:rPr>
        <w:t>,</w:t>
      </w:r>
      <w:r w:rsidRPr="001D3FB1">
        <w:rPr>
          <w:rFonts w:ascii="Helvetica" w:hAnsi="Helvetica" w:cs="Helvetica"/>
          <w:sz w:val="20"/>
          <w:szCs w:val="20"/>
        </w:rPr>
        <w:t xml:space="preserve"> Yoshihiko Araki</w:t>
      </w:r>
      <w:r w:rsidR="00C05DFE" w:rsidRPr="001D3FB1">
        <w:rPr>
          <w:rFonts w:ascii="Helvetica" w:hAnsi="Helvetica" w:cs="Helvetica"/>
          <w:sz w:val="20"/>
          <w:szCs w:val="20"/>
        </w:rPr>
        <w:t>,</w:t>
      </w:r>
      <w:r w:rsidRPr="001D3FB1">
        <w:rPr>
          <w:rFonts w:ascii="Helvetica" w:hAnsi="Helvetica" w:cs="Helvetica"/>
          <w:sz w:val="20"/>
          <w:szCs w:val="20"/>
        </w:rPr>
        <w:t xml:space="preserve"> Minoru Tanaka</w:t>
      </w:r>
      <w:r w:rsidR="00C05DFE" w:rsidRPr="001D3FB1">
        <w:rPr>
          <w:rFonts w:ascii="Helvetica" w:hAnsi="Helvetica" w:cs="Helvetica"/>
          <w:sz w:val="20"/>
          <w:szCs w:val="20"/>
        </w:rPr>
        <w:t>,</w:t>
      </w:r>
      <w:r w:rsidRPr="001D3FB1">
        <w:rPr>
          <w:rFonts w:ascii="Helvetica" w:hAnsi="Helvetica" w:cs="Helvetica"/>
          <w:sz w:val="20"/>
          <w:szCs w:val="20"/>
        </w:rPr>
        <w:t xml:space="preserve"> Nobuyuki Ebihara, Liposomes and nanotechnology in drug development: focus on ocular targets, International Journal of Nanomedicine 2013:8, </w:t>
      </w:r>
      <w:hyperlink r:id="rId29" w:history="1">
        <w:r w:rsidRPr="001D3FB1">
          <w:rPr>
            <w:rStyle w:val="Hyperlink"/>
            <w:rFonts w:ascii="Helvetica" w:hAnsi="Helvetica" w:cs="Helvetica"/>
            <w:sz w:val="20"/>
            <w:szCs w:val="20"/>
          </w:rPr>
          <w:t>http://dx.doi.org/10.2147/IJN.S30725</w:t>
        </w:r>
      </w:hyperlink>
    </w:p>
    <w:p w14:paraId="021FBD01" w14:textId="581C48C0" w:rsidR="00386C95" w:rsidRPr="001D3FB1" w:rsidRDefault="00740324" w:rsidP="00740324">
      <w:pPr>
        <w:pStyle w:val="ListParagraph"/>
        <w:numPr>
          <w:ilvl w:val="0"/>
          <w:numId w:val="22"/>
        </w:numPr>
        <w:spacing w:line="360" w:lineRule="auto"/>
        <w:jc w:val="both"/>
        <w:rPr>
          <w:rFonts w:ascii="Arial" w:hAnsi="Arial" w:cs="Arial"/>
          <w:sz w:val="20"/>
          <w:szCs w:val="20"/>
        </w:rPr>
      </w:pPr>
      <w:r w:rsidRPr="001D3FB1">
        <w:rPr>
          <w:rFonts w:ascii="Arial" w:hAnsi="Arial" w:cs="Arial"/>
          <w:sz w:val="20"/>
          <w:szCs w:val="20"/>
        </w:rPr>
        <w:t>Samar Zuhair Alshawwa,</w:t>
      </w:r>
      <w:r w:rsidR="00C05DFE" w:rsidRPr="001D3FB1">
        <w:rPr>
          <w:rFonts w:ascii="Arial" w:hAnsi="Arial" w:cs="Arial"/>
          <w:sz w:val="20"/>
          <w:szCs w:val="20"/>
        </w:rPr>
        <w:t xml:space="preserve"> </w:t>
      </w:r>
      <w:proofErr w:type="spellStart"/>
      <w:r w:rsidRPr="001D3FB1">
        <w:rPr>
          <w:rFonts w:ascii="Arial" w:hAnsi="Arial" w:cs="Arial"/>
          <w:sz w:val="20"/>
          <w:szCs w:val="20"/>
        </w:rPr>
        <w:t>Abeer</w:t>
      </w:r>
      <w:proofErr w:type="spellEnd"/>
      <w:r w:rsidRPr="001D3FB1">
        <w:rPr>
          <w:rFonts w:ascii="Arial" w:hAnsi="Arial" w:cs="Arial"/>
          <w:sz w:val="20"/>
          <w:szCs w:val="20"/>
        </w:rPr>
        <w:t xml:space="preserve"> Ahmed</w:t>
      </w:r>
      <w:r w:rsidR="00C05DFE" w:rsidRPr="001D3FB1">
        <w:rPr>
          <w:rFonts w:ascii="Arial" w:hAnsi="Arial" w:cs="Arial"/>
          <w:sz w:val="20"/>
          <w:szCs w:val="20"/>
        </w:rPr>
        <w:t xml:space="preserve"> </w:t>
      </w:r>
      <w:r w:rsidRPr="001D3FB1">
        <w:rPr>
          <w:rFonts w:ascii="Arial" w:hAnsi="Arial" w:cs="Arial"/>
          <w:sz w:val="20"/>
          <w:szCs w:val="20"/>
        </w:rPr>
        <w:t xml:space="preserve">Kassem, </w:t>
      </w:r>
      <w:proofErr w:type="spellStart"/>
      <w:r w:rsidRPr="001D3FB1">
        <w:rPr>
          <w:rFonts w:ascii="Arial" w:hAnsi="Arial" w:cs="Arial"/>
          <w:sz w:val="20"/>
          <w:szCs w:val="20"/>
        </w:rPr>
        <w:t>Ragwa</w:t>
      </w:r>
      <w:proofErr w:type="spellEnd"/>
      <w:r w:rsidRPr="001D3FB1">
        <w:rPr>
          <w:rFonts w:ascii="Arial" w:hAnsi="Arial" w:cs="Arial"/>
          <w:sz w:val="20"/>
          <w:szCs w:val="20"/>
        </w:rPr>
        <w:t xml:space="preserve"> Mohamed</w:t>
      </w:r>
      <w:r w:rsidR="00C05DFE" w:rsidRPr="001D3FB1">
        <w:rPr>
          <w:rFonts w:ascii="Arial" w:hAnsi="Arial" w:cs="Arial"/>
          <w:sz w:val="20"/>
          <w:szCs w:val="20"/>
        </w:rPr>
        <w:t xml:space="preserve"> </w:t>
      </w:r>
      <w:r w:rsidRPr="001D3FB1">
        <w:rPr>
          <w:rFonts w:ascii="Arial" w:hAnsi="Arial" w:cs="Arial"/>
          <w:sz w:val="20"/>
          <w:szCs w:val="20"/>
        </w:rPr>
        <w:t>Farid and Gihan Salah Labib, Shaimaa Khamis Mostafa,</w:t>
      </w:r>
      <w:r w:rsidR="003B1450" w:rsidRPr="001D3FB1">
        <w:rPr>
          <w:rFonts w:ascii="Arial" w:hAnsi="Arial" w:cs="Arial"/>
          <w:sz w:val="20"/>
          <w:szCs w:val="20"/>
        </w:rPr>
        <w:t xml:space="preserve"> Nanocarrier Drug Delivery Systems: Characterization, Limitations, Future Perspectives and Implementation of Artificial Intelligence, Pharmaceutics 2022, 14, 883, https://doi.org/10.3390/ pharmaceutics14040883</w:t>
      </w:r>
    </w:p>
    <w:p w14:paraId="40988C1C" w14:textId="200CD883" w:rsidR="003B1450" w:rsidRPr="001D3FB1" w:rsidRDefault="003B1450" w:rsidP="00740324">
      <w:pPr>
        <w:pStyle w:val="ListParagraph"/>
        <w:numPr>
          <w:ilvl w:val="0"/>
          <w:numId w:val="22"/>
        </w:numPr>
        <w:spacing w:line="360" w:lineRule="auto"/>
        <w:jc w:val="both"/>
        <w:rPr>
          <w:rFonts w:ascii="Arial" w:hAnsi="Arial" w:cs="Arial"/>
          <w:sz w:val="20"/>
          <w:szCs w:val="20"/>
        </w:rPr>
      </w:pPr>
      <w:r w:rsidRPr="001D3FB1">
        <w:rPr>
          <w:rFonts w:ascii="Arial" w:hAnsi="Arial" w:cs="Arial"/>
          <w:sz w:val="20"/>
          <w:szCs w:val="20"/>
        </w:rPr>
        <w:t>Shashi K Murthy, Nanoparticles in modern medicine: State of the art and future challenges, International Journal of Nanomedicine 2007:2(2).</w:t>
      </w:r>
    </w:p>
    <w:p w14:paraId="13105349" w14:textId="2864534A" w:rsidR="003B1450" w:rsidRPr="001D3FB1" w:rsidRDefault="003B1450" w:rsidP="00740324">
      <w:pPr>
        <w:pStyle w:val="ListParagraph"/>
        <w:numPr>
          <w:ilvl w:val="0"/>
          <w:numId w:val="22"/>
        </w:numPr>
        <w:spacing w:line="360" w:lineRule="auto"/>
        <w:jc w:val="both"/>
        <w:rPr>
          <w:rFonts w:ascii="Helvetica" w:hAnsi="Helvetica" w:cs="Helvetica"/>
          <w:sz w:val="20"/>
          <w:szCs w:val="20"/>
        </w:rPr>
      </w:pPr>
      <w:r w:rsidRPr="001D3FB1">
        <w:rPr>
          <w:rFonts w:ascii="Helvetica" w:hAnsi="Helvetica" w:cs="Helvetica"/>
          <w:sz w:val="20"/>
          <w:szCs w:val="20"/>
        </w:rPr>
        <w:t>Chukwuebuka Egbuna</w:t>
      </w:r>
      <w:r w:rsidR="00C05DFE" w:rsidRPr="001D3FB1">
        <w:rPr>
          <w:rFonts w:ascii="Helvetica" w:hAnsi="Helvetica" w:cs="Helvetica"/>
          <w:sz w:val="20"/>
          <w:szCs w:val="20"/>
        </w:rPr>
        <w:t>,</w:t>
      </w:r>
      <w:r w:rsidRPr="001D3FB1">
        <w:rPr>
          <w:rFonts w:ascii="Helvetica" w:hAnsi="Helvetica" w:cs="Helvetica"/>
          <w:sz w:val="20"/>
          <w:szCs w:val="20"/>
        </w:rPr>
        <w:t xml:space="preserve"> Vijaykumar K. Parmar, Jaison Jeevanandam,</w:t>
      </w:r>
      <w:r w:rsidR="00C05DFE" w:rsidRPr="001D3FB1">
        <w:rPr>
          <w:rFonts w:ascii="Helvetica" w:hAnsi="Helvetica" w:cs="Helvetica"/>
          <w:sz w:val="20"/>
          <w:szCs w:val="20"/>
        </w:rPr>
        <w:t xml:space="preserve"> </w:t>
      </w:r>
      <w:r w:rsidRPr="001D3FB1">
        <w:rPr>
          <w:rFonts w:ascii="Helvetica" w:hAnsi="Helvetica" w:cs="Helvetica"/>
          <w:sz w:val="20"/>
          <w:szCs w:val="20"/>
        </w:rPr>
        <w:t xml:space="preserve">Shahira M. Ezzat, Kingsley C. Patrick-Iwuanyanwu, Charles </w:t>
      </w:r>
      <w:proofErr w:type="spellStart"/>
      <w:r w:rsidRPr="001D3FB1">
        <w:rPr>
          <w:rFonts w:ascii="Helvetica" w:hAnsi="Helvetica" w:cs="Helvetica"/>
          <w:sz w:val="20"/>
          <w:szCs w:val="20"/>
        </w:rPr>
        <w:t>Oluwaseun</w:t>
      </w:r>
      <w:proofErr w:type="spellEnd"/>
      <w:r w:rsidRPr="001D3FB1">
        <w:rPr>
          <w:rFonts w:ascii="Helvetica" w:hAnsi="Helvetica" w:cs="Helvetica"/>
          <w:sz w:val="20"/>
          <w:szCs w:val="20"/>
        </w:rPr>
        <w:t xml:space="preserve"> </w:t>
      </w:r>
      <w:proofErr w:type="spellStart"/>
      <w:r w:rsidRPr="001D3FB1">
        <w:rPr>
          <w:rFonts w:ascii="Helvetica" w:hAnsi="Helvetica" w:cs="Helvetica"/>
          <w:sz w:val="20"/>
          <w:szCs w:val="20"/>
        </w:rPr>
        <w:t>Adetunji</w:t>
      </w:r>
      <w:proofErr w:type="spellEnd"/>
      <w:r w:rsidRPr="001D3FB1">
        <w:rPr>
          <w:rFonts w:ascii="Helvetica" w:hAnsi="Helvetica" w:cs="Helvetica"/>
          <w:sz w:val="20"/>
          <w:szCs w:val="20"/>
        </w:rPr>
        <w:t xml:space="preserve">, </w:t>
      </w:r>
      <w:proofErr w:type="spellStart"/>
      <w:r w:rsidRPr="001D3FB1">
        <w:rPr>
          <w:rFonts w:ascii="Helvetica" w:hAnsi="Helvetica" w:cs="Helvetica"/>
          <w:sz w:val="20"/>
          <w:szCs w:val="20"/>
        </w:rPr>
        <w:t>Johra</w:t>
      </w:r>
      <w:proofErr w:type="spellEnd"/>
      <w:r w:rsidRPr="001D3FB1">
        <w:rPr>
          <w:rFonts w:ascii="Helvetica" w:hAnsi="Helvetica" w:cs="Helvetica"/>
          <w:sz w:val="20"/>
          <w:szCs w:val="20"/>
        </w:rPr>
        <w:t xml:space="preserve"> Khan, Eugene N. </w:t>
      </w:r>
      <w:proofErr w:type="spellStart"/>
      <w:r w:rsidRPr="001D3FB1">
        <w:rPr>
          <w:rFonts w:ascii="Helvetica" w:hAnsi="Helvetica" w:cs="Helvetica"/>
          <w:sz w:val="20"/>
          <w:szCs w:val="20"/>
        </w:rPr>
        <w:t>Onyeike</w:t>
      </w:r>
      <w:proofErr w:type="spellEnd"/>
      <w:r w:rsidRPr="001D3FB1">
        <w:rPr>
          <w:rFonts w:ascii="Helvetica" w:hAnsi="Helvetica" w:cs="Helvetica"/>
          <w:sz w:val="20"/>
          <w:szCs w:val="20"/>
        </w:rPr>
        <w:t xml:space="preserve">, </w:t>
      </w:r>
      <w:proofErr w:type="spellStart"/>
      <w:r w:rsidRPr="001D3FB1">
        <w:rPr>
          <w:rFonts w:ascii="Helvetica" w:hAnsi="Helvetica" w:cs="Helvetica"/>
          <w:sz w:val="20"/>
          <w:szCs w:val="20"/>
        </w:rPr>
        <w:t>Chukwuemelie</w:t>
      </w:r>
      <w:proofErr w:type="spellEnd"/>
      <w:r w:rsidRPr="001D3FB1">
        <w:rPr>
          <w:rFonts w:ascii="Helvetica" w:hAnsi="Helvetica" w:cs="Helvetica"/>
          <w:sz w:val="20"/>
          <w:szCs w:val="20"/>
        </w:rPr>
        <w:t xml:space="preserve"> </w:t>
      </w:r>
      <w:proofErr w:type="spellStart"/>
      <w:r w:rsidRPr="001D3FB1">
        <w:rPr>
          <w:rFonts w:ascii="Helvetica" w:hAnsi="Helvetica" w:cs="Helvetica"/>
          <w:sz w:val="20"/>
          <w:szCs w:val="20"/>
        </w:rPr>
        <w:lastRenderedPageBreak/>
        <w:t>Zedech</w:t>
      </w:r>
      <w:proofErr w:type="spellEnd"/>
      <w:r w:rsidRPr="001D3FB1">
        <w:rPr>
          <w:rFonts w:ascii="Helvetica" w:hAnsi="Helvetica" w:cs="Helvetica"/>
          <w:sz w:val="20"/>
          <w:szCs w:val="20"/>
        </w:rPr>
        <w:t xml:space="preserve"> Uche, Muhammad Akram, Mervat S. Ibrahim, Nihal M. El </w:t>
      </w:r>
      <w:proofErr w:type="spellStart"/>
      <w:r w:rsidRPr="001D3FB1">
        <w:rPr>
          <w:rFonts w:ascii="Helvetica" w:hAnsi="Helvetica" w:cs="Helvetica"/>
          <w:sz w:val="20"/>
          <w:szCs w:val="20"/>
        </w:rPr>
        <w:t>Mahdy</w:t>
      </w:r>
      <w:proofErr w:type="spellEnd"/>
      <w:r w:rsidRPr="001D3FB1">
        <w:rPr>
          <w:rFonts w:ascii="Helvetica" w:hAnsi="Helvetica" w:cs="Helvetica"/>
          <w:sz w:val="20"/>
          <w:szCs w:val="20"/>
        </w:rPr>
        <w:t xml:space="preserve">, </w:t>
      </w:r>
      <w:proofErr w:type="spellStart"/>
      <w:r w:rsidRPr="001D3FB1">
        <w:rPr>
          <w:rFonts w:ascii="Helvetica" w:hAnsi="Helvetica" w:cs="Helvetica"/>
          <w:sz w:val="20"/>
          <w:szCs w:val="20"/>
        </w:rPr>
        <w:t>Chinaza</w:t>
      </w:r>
      <w:proofErr w:type="spellEnd"/>
      <w:r w:rsidRPr="001D3FB1">
        <w:rPr>
          <w:rFonts w:ascii="Helvetica" w:hAnsi="Helvetica" w:cs="Helvetica"/>
          <w:sz w:val="20"/>
          <w:szCs w:val="20"/>
        </w:rPr>
        <w:t xml:space="preserve"> Godswill </w:t>
      </w:r>
      <w:proofErr w:type="spellStart"/>
      <w:r w:rsidRPr="001D3FB1">
        <w:rPr>
          <w:rFonts w:ascii="Helvetica" w:hAnsi="Helvetica" w:cs="Helvetica"/>
          <w:sz w:val="20"/>
          <w:szCs w:val="20"/>
        </w:rPr>
        <w:t>Awuchi</w:t>
      </w:r>
      <w:proofErr w:type="spellEnd"/>
      <w:r w:rsidRPr="001D3FB1">
        <w:rPr>
          <w:rFonts w:ascii="Helvetica" w:hAnsi="Helvetica" w:cs="Helvetica"/>
          <w:sz w:val="20"/>
          <w:szCs w:val="20"/>
        </w:rPr>
        <w:t xml:space="preserve">, </w:t>
      </w:r>
      <w:proofErr w:type="spellStart"/>
      <w:r w:rsidRPr="001D3FB1">
        <w:rPr>
          <w:rFonts w:ascii="Helvetica" w:hAnsi="Helvetica" w:cs="Helvetica"/>
          <w:sz w:val="20"/>
          <w:szCs w:val="20"/>
        </w:rPr>
        <w:t>Kaliyaperumal</w:t>
      </w:r>
      <w:proofErr w:type="spellEnd"/>
      <w:r w:rsidRPr="001D3FB1">
        <w:rPr>
          <w:rFonts w:ascii="Helvetica" w:hAnsi="Helvetica" w:cs="Helvetica"/>
          <w:sz w:val="20"/>
          <w:szCs w:val="20"/>
        </w:rPr>
        <w:t xml:space="preserve"> Saravanan </w:t>
      </w:r>
      <w:proofErr w:type="spellStart"/>
      <w:r w:rsidRPr="001D3FB1">
        <w:rPr>
          <w:rFonts w:ascii="Helvetica" w:hAnsi="Helvetica" w:cs="Helvetica"/>
          <w:sz w:val="20"/>
          <w:szCs w:val="20"/>
        </w:rPr>
        <w:t>Uchenna</w:t>
      </w:r>
      <w:proofErr w:type="spellEnd"/>
      <w:r w:rsidRPr="001D3FB1">
        <w:rPr>
          <w:rFonts w:ascii="Helvetica" w:hAnsi="Helvetica" w:cs="Helvetica"/>
          <w:sz w:val="20"/>
          <w:szCs w:val="20"/>
        </w:rPr>
        <w:t xml:space="preserve"> Estella Odoh, Mohammed Messaoudi</w:t>
      </w:r>
      <w:r w:rsidR="00C05DFE" w:rsidRPr="001D3FB1">
        <w:rPr>
          <w:rFonts w:ascii="Helvetica" w:hAnsi="Helvetica" w:cs="Helvetica"/>
          <w:sz w:val="20"/>
          <w:szCs w:val="20"/>
        </w:rPr>
        <w:t xml:space="preserve">, </w:t>
      </w:r>
      <w:r w:rsidRPr="001D3FB1">
        <w:rPr>
          <w:rFonts w:ascii="Helvetica" w:hAnsi="Helvetica" w:cs="Helvetica"/>
          <w:sz w:val="20"/>
          <w:szCs w:val="20"/>
        </w:rPr>
        <w:t xml:space="preserve"> Habibu Tijjani, Jonathan C. </w:t>
      </w:r>
      <w:proofErr w:type="spellStart"/>
      <w:r w:rsidRPr="001D3FB1">
        <w:rPr>
          <w:rFonts w:ascii="Helvetica" w:hAnsi="Helvetica" w:cs="Helvetica"/>
          <w:sz w:val="20"/>
          <w:szCs w:val="20"/>
        </w:rPr>
        <w:t>Ifemeje</w:t>
      </w:r>
      <w:proofErr w:type="spellEnd"/>
      <w:r w:rsidRPr="001D3FB1">
        <w:rPr>
          <w:rFonts w:ascii="Helvetica" w:hAnsi="Helvetica" w:cs="Helvetica"/>
          <w:sz w:val="20"/>
          <w:szCs w:val="20"/>
        </w:rPr>
        <w:t xml:space="preserve">, Michael C. </w:t>
      </w:r>
      <w:proofErr w:type="spellStart"/>
      <w:r w:rsidRPr="001D3FB1">
        <w:rPr>
          <w:rFonts w:ascii="Helvetica" w:hAnsi="Helvetica" w:cs="Helvetica"/>
          <w:sz w:val="20"/>
          <w:szCs w:val="20"/>
        </w:rPr>
        <w:t>Olisah</w:t>
      </w:r>
      <w:proofErr w:type="spellEnd"/>
      <w:r w:rsidRPr="001D3FB1">
        <w:rPr>
          <w:rFonts w:ascii="Helvetica" w:hAnsi="Helvetica" w:cs="Helvetica"/>
          <w:sz w:val="20"/>
          <w:szCs w:val="20"/>
        </w:rPr>
        <w:t xml:space="preserve">, </w:t>
      </w:r>
      <w:proofErr w:type="spellStart"/>
      <w:r w:rsidRPr="001D3FB1">
        <w:rPr>
          <w:rFonts w:ascii="Helvetica" w:hAnsi="Helvetica" w:cs="Helvetica"/>
          <w:sz w:val="20"/>
          <w:szCs w:val="20"/>
        </w:rPr>
        <w:t>Nebechi</w:t>
      </w:r>
      <w:proofErr w:type="spellEnd"/>
      <w:r w:rsidRPr="001D3FB1">
        <w:rPr>
          <w:rFonts w:ascii="Helvetica" w:hAnsi="Helvetica" w:cs="Helvetica"/>
          <w:sz w:val="20"/>
          <w:szCs w:val="20"/>
        </w:rPr>
        <w:t xml:space="preserve"> Jane </w:t>
      </w:r>
      <w:proofErr w:type="spellStart"/>
      <w:r w:rsidRPr="001D3FB1">
        <w:rPr>
          <w:rFonts w:ascii="Helvetica" w:hAnsi="Helvetica" w:cs="Helvetica"/>
          <w:sz w:val="20"/>
          <w:szCs w:val="20"/>
        </w:rPr>
        <w:t>Ezeofor</w:t>
      </w:r>
      <w:proofErr w:type="spellEnd"/>
      <w:r w:rsidRPr="001D3FB1">
        <w:rPr>
          <w:rFonts w:ascii="Helvetica" w:hAnsi="Helvetica" w:cs="Helvetica"/>
          <w:sz w:val="20"/>
          <w:szCs w:val="20"/>
        </w:rPr>
        <w:t xml:space="preserve">, Chukwudi Jude Chikwendu, and Chinwe Gloria Ibeabuchi, Toxicity of Nanoparticles in Biomedical Application: Nanotoxicology, Journal of Toxicology Volume 2021, </w:t>
      </w:r>
      <w:hyperlink r:id="rId30" w:history="1">
        <w:r w:rsidRPr="001D3FB1">
          <w:rPr>
            <w:rStyle w:val="Hyperlink"/>
            <w:rFonts w:ascii="Helvetica" w:hAnsi="Helvetica" w:cs="Helvetica"/>
            <w:sz w:val="20"/>
            <w:szCs w:val="20"/>
          </w:rPr>
          <w:t>https://doi.org/10.1155/2021/9954443</w:t>
        </w:r>
      </w:hyperlink>
    </w:p>
    <w:p w14:paraId="2BABE88A" w14:textId="7D4B277B" w:rsidR="003B1450" w:rsidRPr="001D3FB1" w:rsidRDefault="003B1450" w:rsidP="00740324">
      <w:pPr>
        <w:pStyle w:val="ListParagraph"/>
        <w:numPr>
          <w:ilvl w:val="0"/>
          <w:numId w:val="22"/>
        </w:numPr>
        <w:spacing w:line="360" w:lineRule="auto"/>
        <w:jc w:val="both"/>
        <w:rPr>
          <w:rFonts w:ascii="Helvetica" w:hAnsi="Helvetica" w:cs="Helvetica"/>
          <w:sz w:val="20"/>
          <w:szCs w:val="20"/>
        </w:rPr>
      </w:pPr>
      <w:r w:rsidRPr="001D3FB1">
        <w:rPr>
          <w:rFonts w:ascii="Helvetica" w:hAnsi="Helvetica" w:cs="Helvetica"/>
          <w:sz w:val="20"/>
          <w:szCs w:val="20"/>
        </w:rPr>
        <w:t>Shiza Malik, Khalid Muhammad</w:t>
      </w:r>
      <w:r w:rsidR="003B7E03" w:rsidRPr="001D3FB1">
        <w:rPr>
          <w:rFonts w:ascii="Helvetica" w:hAnsi="Helvetica" w:cs="Helvetica"/>
          <w:sz w:val="20"/>
          <w:szCs w:val="20"/>
        </w:rPr>
        <w:t xml:space="preserve"> </w:t>
      </w:r>
      <w:r w:rsidRPr="001D3FB1">
        <w:rPr>
          <w:rFonts w:ascii="Helvetica" w:hAnsi="Helvetica" w:cs="Helvetica"/>
          <w:sz w:val="20"/>
          <w:szCs w:val="20"/>
        </w:rPr>
        <w:t>and</w:t>
      </w:r>
      <w:r w:rsidR="003B7E03" w:rsidRPr="001D3FB1">
        <w:rPr>
          <w:rFonts w:ascii="Helvetica" w:hAnsi="Helvetica" w:cs="Helvetica"/>
          <w:sz w:val="20"/>
          <w:szCs w:val="20"/>
        </w:rPr>
        <w:t xml:space="preserve"> </w:t>
      </w:r>
      <w:r w:rsidRPr="001D3FB1">
        <w:rPr>
          <w:rFonts w:ascii="Helvetica" w:hAnsi="Helvetica" w:cs="Helvetica"/>
          <w:sz w:val="20"/>
          <w:szCs w:val="20"/>
        </w:rPr>
        <w:t xml:space="preserve">Yasir Waheed, Nanotechnology: A Revolution in Modern Industry, Molecules 2023, 28, 661, </w:t>
      </w:r>
      <w:hyperlink r:id="rId31" w:history="1">
        <w:r w:rsidRPr="001D3FB1">
          <w:rPr>
            <w:rStyle w:val="Hyperlink"/>
            <w:rFonts w:ascii="Helvetica" w:hAnsi="Helvetica" w:cs="Helvetica"/>
            <w:sz w:val="20"/>
            <w:szCs w:val="20"/>
          </w:rPr>
          <w:t>https://doi.org/10.3390/molecules28020661</w:t>
        </w:r>
      </w:hyperlink>
    </w:p>
    <w:p w14:paraId="18832479" w14:textId="26053556" w:rsidR="003B1450" w:rsidRPr="001D3FB1" w:rsidRDefault="003B1450" w:rsidP="00740324">
      <w:pPr>
        <w:pStyle w:val="ListParagraph"/>
        <w:numPr>
          <w:ilvl w:val="0"/>
          <w:numId w:val="22"/>
        </w:numPr>
        <w:spacing w:line="360" w:lineRule="auto"/>
        <w:jc w:val="both"/>
        <w:rPr>
          <w:rFonts w:ascii="Helvetica" w:hAnsi="Helvetica" w:cs="Helvetica"/>
          <w:sz w:val="20"/>
          <w:szCs w:val="20"/>
        </w:rPr>
      </w:pPr>
      <w:r w:rsidRPr="001D3FB1">
        <w:rPr>
          <w:rFonts w:ascii="Helvetica" w:hAnsi="Helvetica" w:cs="Helvetica"/>
          <w:sz w:val="20"/>
          <w:szCs w:val="20"/>
        </w:rPr>
        <w:t xml:space="preserve">Jiajun Luo, Matthew Walker, </w:t>
      </w:r>
      <w:proofErr w:type="spellStart"/>
      <w:r w:rsidRPr="001D3FB1">
        <w:rPr>
          <w:rFonts w:ascii="Helvetica" w:hAnsi="Helvetica" w:cs="Helvetica"/>
          <w:sz w:val="20"/>
          <w:szCs w:val="20"/>
        </w:rPr>
        <w:t>Yinbo</w:t>
      </w:r>
      <w:proofErr w:type="spellEnd"/>
      <w:r w:rsidRPr="001D3FB1">
        <w:rPr>
          <w:rFonts w:ascii="Helvetica" w:hAnsi="Helvetica" w:cs="Helvetica"/>
          <w:sz w:val="20"/>
          <w:szCs w:val="20"/>
        </w:rPr>
        <w:t xml:space="preserve"> Xiao, Hannah Donnelly, Matthew J. Dalby, Manuel Salmeron-Sanchez, The influence of </w:t>
      </w:r>
      <w:proofErr w:type="spellStart"/>
      <w:r w:rsidRPr="001D3FB1">
        <w:rPr>
          <w:rFonts w:ascii="Helvetica" w:hAnsi="Helvetica" w:cs="Helvetica"/>
          <w:sz w:val="20"/>
          <w:szCs w:val="20"/>
        </w:rPr>
        <w:t>nanotopography</w:t>
      </w:r>
      <w:proofErr w:type="spellEnd"/>
      <w:r w:rsidRPr="001D3FB1">
        <w:rPr>
          <w:rFonts w:ascii="Helvetica" w:hAnsi="Helvetica" w:cs="Helvetica"/>
          <w:sz w:val="20"/>
          <w:szCs w:val="20"/>
        </w:rPr>
        <w:t xml:space="preserve"> on cell behaviour through interactions with the extracellular matrix – A review, Bioactive Materials 15 (2022) 145–159, </w:t>
      </w:r>
      <w:hyperlink r:id="rId32" w:history="1">
        <w:r w:rsidRPr="001D3FB1">
          <w:rPr>
            <w:rStyle w:val="Hyperlink"/>
            <w:rFonts w:ascii="Helvetica" w:hAnsi="Helvetica" w:cs="Helvetica"/>
            <w:sz w:val="20"/>
            <w:szCs w:val="20"/>
          </w:rPr>
          <w:t>https://doi.org/10.1016/j.bioactmat.2021.11.024</w:t>
        </w:r>
      </w:hyperlink>
    </w:p>
    <w:p w14:paraId="136303C3" w14:textId="05DB0623" w:rsidR="003B1450" w:rsidRPr="001D3FB1" w:rsidRDefault="003B1450" w:rsidP="0020699E">
      <w:pPr>
        <w:pStyle w:val="ListParagraph"/>
        <w:numPr>
          <w:ilvl w:val="0"/>
          <w:numId w:val="22"/>
        </w:numPr>
        <w:spacing w:line="360" w:lineRule="auto"/>
        <w:jc w:val="both"/>
        <w:rPr>
          <w:rFonts w:ascii="Helvetica" w:hAnsi="Helvetica" w:cs="Helvetica"/>
          <w:sz w:val="20"/>
          <w:szCs w:val="20"/>
        </w:rPr>
      </w:pPr>
      <w:proofErr w:type="spellStart"/>
      <w:r w:rsidRPr="001D3FB1">
        <w:rPr>
          <w:rFonts w:ascii="Helvetica" w:hAnsi="Helvetica" w:cs="Helvetica"/>
          <w:sz w:val="20"/>
          <w:szCs w:val="20"/>
        </w:rPr>
        <w:t>Qianyu</w:t>
      </w:r>
      <w:proofErr w:type="spellEnd"/>
      <w:r w:rsidRPr="001D3FB1">
        <w:rPr>
          <w:rFonts w:ascii="Helvetica" w:hAnsi="Helvetica" w:cs="Helvetica"/>
          <w:sz w:val="20"/>
          <w:szCs w:val="20"/>
        </w:rPr>
        <w:t xml:space="preserve"> Wan, </w:t>
      </w:r>
      <w:proofErr w:type="spellStart"/>
      <w:r w:rsidRPr="001D3FB1">
        <w:rPr>
          <w:rFonts w:ascii="Helvetica" w:hAnsi="Helvetica" w:cs="Helvetica"/>
          <w:sz w:val="20"/>
          <w:szCs w:val="20"/>
        </w:rPr>
        <w:t>Xinrui</w:t>
      </w:r>
      <w:proofErr w:type="spellEnd"/>
      <w:r w:rsidRPr="001D3FB1">
        <w:rPr>
          <w:rFonts w:ascii="Helvetica" w:hAnsi="Helvetica" w:cs="Helvetica"/>
          <w:sz w:val="20"/>
          <w:szCs w:val="20"/>
        </w:rPr>
        <w:t xml:space="preserve"> Zhang, Dongfang Zhou, Rui </w:t>
      </w:r>
      <w:proofErr w:type="spellStart"/>
      <w:r w:rsidRPr="001D3FB1">
        <w:rPr>
          <w:rFonts w:ascii="Helvetica" w:hAnsi="Helvetica" w:cs="Helvetica"/>
          <w:sz w:val="20"/>
          <w:szCs w:val="20"/>
        </w:rPr>
        <w:t>Xie</w:t>
      </w:r>
      <w:proofErr w:type="spellEnd"/>
      <w:r w:rsidRPr="001D3FB1">
        <w:rPr>
          <w:rFonts w:ascii="Helvetica" w:hAnsi="Helvetica" w:cs="Helvetica"/>
          <w:sz w:val="20"/>
          <w:szCs w:val="20"/>
        </w:rPr>
        <w:t xml:space="preserve">, Yue Cai, </w:t>
      </w:r>
      <w:proofErr w:type="spellStart"/>
      <w:r w:rsidRPr="001D3FB1">
        <w:rPr>
          <w:rFonts w:ascii="Helvetica" w:hAnsi="Helvetica" w:cs="Helvetica"/>
          <w:sz w:val="20"/>
          <w:szCs w:val="20"/>
        </w:rPr>
        <w:t>Kehao</w:t>
      </w:r>
      <w:proofErr w:type="spellEnd"/>
      <w:r w:rsidRPr="001D3FB1">
        <w:rPr>
          <w:rFonts w:ascii="Helvetica" w:hAnsi="Helvetica" w:cs="Helvetica"/>
          <w:sz w:val="20"/>
          <w:szCs w:val="20"/>
        </w:rPr>
        <w:t xml:space="preserve"> Zhang and </w:t>
      </w:r>
      <w:proofErr w:type="spellStart"/>
      <w:r w:rsidRPr="001D3FB1">
        <w:rPr>
          <w:rFonts w:ascii="Helvetica" w:hAnsi="Helvetica" w:cs="Helvetica"/>
          <w:sz w:val="20"/>
          <w:szCs w:val="20"/>
        </w:rPr>
        <w:t>Xuanrong</w:t>
      </w:r>
      <w:proofErr w:type="spellEnd"/>
      <w:r w:rsidRPr="001D3FB1">
        <w:rPr>
          <w:rFonts w:ascii="Helvetica" w:hAnsi="Helvetica" w:cs="Helvetica"/>
          <w:sz w:val="20"/>
          <w:szCs w:val="20"/>
        </w:rPr>
        <w:t xml:space="preserve"> Sun, Inhaled nano-based therapeutics for pulmonary fibrosis: recent advances and future prospects, Wan et al. Journal of Nanobiotechnology (2023)</w:t>
      </w:r>
      <w:r w:rsidR="00BA5764" w:rsidRPr="001D3FB1">
        <w:rPr>
          <w:rFonts w:ascii="Helvetica" w:hAnsi="Helvetica" w:cs="Helvetica"/>
          <w:sz w:val="20"/>
          <w:szCs w:val="20"/>
        </w:rPr>
        <w:t xml:space="preserve">21:215, </w:t>
      </w:r>
      <w:hyperlink r:id="rId33" w:history="1">
        <w:r w:rsidR="00BA5764" w:rsidRPr="001D3FB1">
          <w:rPr>
            <w:rStyle w:val="Hyperlink"/>
            <w:rFonts w:ascii="Helvetica" w:hAnsi="Helvetica" w:cs="Helvetica"/>
            <w:sz w:val="20"/>
            <w:szCs w:val="20"/>
          </w:rPr>
          <w:t>https://doi.org/10.1186/s12951-023-01971-7</w:t>
        </w:r>
      </w:hyperlink>
    </w:p>
    <w:p w14:paraId="20E26758" w14:textId="4070A2D3" w:rsidR="001C5D0F" w:rsidRPr="001D3FB1" w:rsidRDefault="00DD1931" w:rsidP="001C5D0F">
      <w:pPr>
        <w:pStyle w:val="ListParagraph"/>
        <w:numPr>
          <w:ilvl w:val="0"/>
          <w:numId w:val="22"/>
        </w:numPr>
        <w:spacing w:line="360" w:lineRule="auto"/>
        <w:jc w:val="both"/>
        <w:rPr>
          <w:rFonts w:ascii="Helvetica" w:hAnsi="Helvetica" w:cs="Helvetica"/>
          <w:sz w:val="20"/>
          <w:szCs w:val="20"/>
        </w:rPr>
      </w:pPr>
      <w:r w:rsidRPr="001D3FB1">
        <w:rPr>
          <w:rFonts w:ascii="Helvetica" w:hAnsi="Helvetica" w:cs="Helvetica"/>
          <w:sz w:val="20"/>
          <w:szCs w:val="20"/>
        </w:rPr>
        <w:t xml:space="preserve">Y. Dai, R. Wang, F. Chen, Y. Zhang, Y. Liu, H. Huang, P. Yang, R. Zhang, B. Zheng, C. Gao, Y. Chen, L. Tao, Clinical outcomes in 2481 unselected real-world patients treated with a polymer-free sirolimus-eluting stent: 3 years results from the NANO </w:t>
      </w:r>
      <w:proofErr w:type="spellStart"/>
      <w:r w:rsidRPr="001D3FB1">
        <w:rPr>
          <w:rFonts w:ascii="Helvetica" w:hAnsi="Helvetica" w:cs="Helvetica"/>
          <w:sz w:val="20"/>
          <w:szCs w:val="20"/>
        </w:rPr>
        <w:t>multicenter</w:t>
      </w:r>
      <w:proofErr w:type="spellEnd"/>
      <w:r w:rsidRPr="001D3FB1">
        <w:rPr>
          <w:rFonts w:ascii="Helvetica" w:hAnsi="Helvetica" w:cs="Helvetica"/>
          <w:sz w:val="20"/>
          <w:szCs w:val="20"/>
        </w:rPr>
        <w:t xml:space="preserve"> registry, BMC Cardiovasc. </w:t>
      </w:r>
      <w:proofErr w:type="spellStart"/>
      <w:r w:rsidRPr="001D3FB1">
        <w:rPr>
          <w:rFonts w:ascii="Helvetica" w:hAnsi="Helvetica" w:cs="Helvetica"/>
          <w:sz w:val="20"/>
          <w:szCs w:val="20"/>
        </w:rPr>
        <w:t>Disord</w:t>
      </w:r>
      <w:proofErr w:type="spellEnd"/>
      <w:r w:rsidRPr="001D3FB1">
        <w:rPr>
          <w:rFonts w:ascii="Helvetica" w:hAnsi="Helvetica" w:cs="Helvetica"/>
          <w:sz w:val="20"/>
          <w:szCs w:val="20"/>
        </w:rPr>
        <w:t xml:space="preserve">. 21 (2021) 537, </w:t>
      </w:r>
      <w:r w:rsidR="001C5D0F" w:rsidRPr="001D3FB1">
        <w:rPr>
          <w:rFonts w:ascii="Helvetica" w:hAnsi="Helvetica" w:cs="Helvetica"/>
          <w:color w:val="2E74B5" w:themeColor="accent5" w:themeShade="BF"/>
          <w:sz w:val="20"/>
          <w:szCs w:val="20"/>
          <w:u w:val="single"/>
        </w:rPr>
        <w:t>https://doi. org/10.1186/s12872-021-02356-0.</w:t>
      </w:r>
    </w:p>
    <w:p w14:paraId="63638740" w14:textId="3A258B5D" w:rsidR="00DD1931" w:rsidRPr="001D3FB1" w:rsidRDefault="00DD1931" w:rsidP="0020699E">
      <w:pPr>
        <w:pStyle w:val="ListParagraph"/>
        <w:numPr>
          <w:ilvl w:val="0"/>
          <w:numId w:val="22"/>
        </w:numPr>
        <w:spacing w:line="360" w:lineRule="auto"/>
        <w:jc w:val="both"/>
        <w:rPr>
          <w:rFonts w:ascii="Helvetica" w:hAnsi="Helvetica" w:cs="Helvetica"/>
          <w:sz w:val="20"/>
          <w:szCs w:val="20"/>
        </w:rPr>
      </w:pPr>
      <w:r w:rsidRPr="001D3FB1">
        <w:rPr>
          <w:rFonts w:ascii="Helvetica" w:hAnsi="Helvetica" w:cs="Helvetica"/>
          <w:sz w:val="20"/>
          <w:szCs w:val="20"/>
        </w:rPr>
        <w:t xml:space="preserve"> Y. Liu, Y. Zhang, Y. Li, T. Qi, D. Pan, H. Wang, C. Liu, D. Ma, Z. Fang, R. Zhang, F. Mou, L. Tao, NANO All-Comers Registry Investigators, One-year clinical results of the NANO registry: a </w:t>
      </w:r>
      <w:proofErr w:type="spellStart"/>
      <w:r w:rsidRPr="001D3FB1">
        <w:rPr>
          <w:rFonts w:ascii="Helvetica" w:hAnsi="Helvetica" w:cs="Helvetica"/>
          <w:sz w:val="20"/>
          <w:szCs w:val="20"/>
        </w:rPr>
        <w:t>multicenter</w:t>
      </w:r>
      <w:proofErr w:type="spellEnd"/>
      <w:r w:rsidRPr="001D3FB1">
        <w:rPr>
          <w:rFonts w:ascii="Helvetica" w:hAnsi="Helvetica" w:cs="Helvetica"/>
          <w:sz w:val="20"/>
          <w:szCs w:val="20"/>
        </w:rPr>
        <w:t xml:space="preserve">, prospective all-comers registry study in patients receiving implantation of a polymer-free sirolimus-eluting stent, </w:t>
      </w:r>
      <w:proofErr w:type="spellStart"/>
      <w:r w:rsidRPr="001D3FB1">
        <w:rPr>
          <w:rFonts w:ascii="Helvetica" w:hAnsi="Helvetica" w:cs="Helvetica"/>
          <w:sz w:val="20"/>
          <w:szCs w:val="20"/>
        </w:rPr>
        <w:t>Cathet</w:t>
      </w:r>
      <w:proofErr w:type="spellEnd"/>
      <w:r w:rsidRPr="001D3FB1">
        <w:rPr>
          <w:rFonts w:ascii="Helvetica" w:hAnsi="Helvetica" w:cs="Helvetica"/>
          <w:sz w:val="20"/>
          <w:szCs w:val="20"/>
        </w:rPr>
        <w:t xml:space="preserve">. Cardiovasc. </w:t>
      </w:r>
      <w:proofErr w:type="spellStart"/>
      <w:r w:rsidRPr="001D3FB1">
        <w:rPr>
          <w:rFonts w:ascii="Helvetica" w:hAnsi="Helvetica" w:cs="Helvetica"/>
          <w:sz w:val="20"/>
          <w:szCs w:val="20"/>
        </w:rPr>
        <w:t>Interv</w:t>
      </w:r>
      <w:proofErr w:type="spellEnd"/>
      <w:r w:rsidRPr="001D3FB1">
        <w:rPr>
          <w:rFonts w:ascii="Helvetica" w:hAnsi="Helvetica" w:cs="Helvetica"/>
          <w:sz w:val="20"/>
          <w:szCs w:val="20"/>
        </w:rPr>
        <w:t xml:space="preserve">.: Off. J. Soc. Card. </w:t>
      </w:r>
      <w:proofErr w:type="spellStart"/>
      <w:r w:rsidRPr="001D3FB1">
        <w:rPr>
          <w:rFonts w:ascii="Helvetica" w:hAnsi="Helvetica" w:cs="Helvetica"/>
          <w:sz w:val="20"/>
          <w:szCs w:val="20"/>
        </w:rPr>
        <w:t>Angiogr</w:t>
      </w:r>
      <w:proofErr w:type="spellEnd"/>
      <w:r w:rsidRPr="001D3FB1">
        <w:rPr>
          <w:rFonts w:ascii="Helvetica" w:hAnsi="Helvetica" w:cs="Helvetica"/>
          <w:sz w:val="20"/>
          <w:szCs w:val="20"/>
        </w:rPr>
        <w:t xml:space="preserve">. </w:t>
      </w:r>
      <w:proofErr w:type="spellStart"/>
      <w:r w:rsidRPr="001D3FB1">
        <w:rPr>
          <w:rFonts w:ascii="Helvetica" w:hAnsi="Helvetica" w:cs="Helvetica"/>
          <w:sz w:val="20"/>
          <w:szCs w:val="20"/>
        </w:rPr>
        <w:t>Interv</w:t>
      </w:r>
      <w:proofErr w:type="spellEnd"/>
      <w:r w:rsidRPr="001D3FB1">
        <w:rPr>
          <w:rFonts w:ascii="Helvetica" w:hAnsi="Helvetica" w:cs="Helvetica"/>
          <w:sz w:val="20"/>
          <w:szCs w:val="20"/>
        </w:rPr>
        <w:t>. 95 (</w:t>
      </w:r>
      <w:proofErr w:type="spellStart"/>
      <w:r w:rsidRPr="001D3FB1">
        <w:rPr>
          <w:rFonts w:ascii="Helvetica" w:hAnsi="Helvetica" w:cs="Helvetica"/>
          <w:sz w:val="20"/>
          <w:szCs w:val="20"/>
        </w:rPr>
        <w:t>Suppl</w:t>
      </w:r>
      <w:proofErr w:type="spellEnd"/>
      <w:r w:rsidRPr="001D3FB1">
        <w:rPr>
          <w:rFonts w:ascii="Helvetica" w:hAnsi="Helvetica" w:cs="Helvetica"/>
          <w:sz w:val="20"/>
          <w:szCs w:val="20"/>
        </w:rPr>
        <w:t xml:space="preserve"> 1) (2020) 658–664, </w:t>
      </w:r>
      <w:hyperlink r:id="rId34" w:history="1">
        <w:r w:rsidRPr="001D3FB1">
          <w:rPr>
            <w:rStyle w:val="Hyperlink"/>
            <w:rFonts w:ascii="Helvetica" w:hAnsi="Helvetica" w:cs="Helvetica"/>
            <w:sz w:val="20"/>
            <w:szCs w:val="20"/>
          </w:rPr>
          <w:t>https://doi.org/10.1002/ccd.28734</w:t>
        </w:r>
      </w:hyperlink>
      <w:r w:rsidRPr="001D3FB1">
        <w:rPr>
          <w:rFonts w:ascii="Helvetica" w:hAnsi="Helvetica" w:cs="Helvetica"/>
          <w:sz w:val="20"/>
          <w:szCs w:val="20"/>
        </w:rPr>
        <w:t>.</w:t>
      </w:r>
    </w:p>
    <w:p w14:paraId="45724816" w14:textId="069F70AB" w:rsidR="00DD1931" w:rsidRPr="001D3FB1" w:rsidRDefault="001C5D0F" w:rsidP="0020699E">
      <w:pPr>
        <w:pStyle w:val="ListParagraph"/>
        <w:numPr>
          <w:ilvl w:val="0"/>
          <w:numId w:val="22"/>
        </w:numPr>
        <w:spacing w:line="360" w:lineRule="auto"/>
        <w:jc w:val="both"/>
        <w:rPr>
          <w:rFonts w:ascii="Helvetica" w:hAnsi="Helvetica" w:cs="Helvetica"/>
          <w:sz w:val="20"/>
          <w:szCs w:val="20"/>
        </w:rPr>
      </w:pPr>
      <w:r w:rsidRPr="001D3FB1">
        <w:rPr>
          <w:rFonts w:ascii="Helvetica" w:hAnsi="Helvetica" w:cs="Helvetica"/>
          <w:sz w:val="20"/>
          <w:szCs w:val="20"/>
        </w:rPr>
        <w:t xml:space="preserve">O. </w:t>
      </w:r>
      <w:proofErr w:type="spellStart"/>
      <w:r w:rsidRPr="001D3FB1">
        <w:rPr>
          <w:rFonts w:ascii="Helvetica" w:hAnsi="Helvetica" w:cs="Helvetica"/>
          <w:sz w:val="20"/>
          <w:szCs w:val="20"/>
        </w:rPr>
        <w:t>Ciofu</w:t>
      </w:r>
      <w:proofErr w:type="spellEnd"/>
      <w:r w:rsidRPr="001D3FB1">
        <w:rPr>
          <w:rFonts w:ascii="Helvetica" w:hAnsi="Helvetica" w:cs="Helvetica"/>
          <w:sz w:val="20"/>
          <w:szCs w:val="20"/>
        </w:rPr>
        <w:t xml:space="preserve">, C. Moser, P.Ø. Jensen, N. Høiby, Tolerance and resistance of microbial biofilms, Nat. Rev. </w:t>
      </w:r>
      <w:proofErr w:type="spellStart"/>
      <w:r w:rsidRPr="001D3FB1">
        <w:rPr>
          <w:rFonts w:ascii="Helvetica" w:hAnsi="Helvetica" w:cs="Helvetica"/>
          <w:sz w:val="20"/>
          <w:szCs w:val="20"/>
        </w:rPr>
        <w:t>Microbiol</w:t>
      </w:r>
      <w:proofErr w:type="spellEnd"/>
      <w:r w:rsidRPr="001D3FB1">
        <w:rPr>
          <w:rFonts w:ascii="Helvetica" w:hAnsi="Helvetica" w:cs="Helvetica"/>
          <w:sz w:val="20"/>
          <w:szCs w:val="20"/>
        </w:rPr>
        <w:t xml:space="preserve">. 20 (2022) 621–635, </w:t>
      </w:r>
      <w:r w:rsidRPr="001D3FB1">
        <w:rPr>
          <w:rFonts w:ascii="Helvetica" w:hAnsi="Helvetica" w:cs="Helvetica"/>
          <w:color w:val="2E74B5" w:themeColor="accent5" w:themeShade="BF"/>
          <w:sz w:val="20"/>
          <w:szCs w:val="20"/>
          <w:u w:val="single"/>
        </w:rPr>
        <w:t>https://doi.org/10.1038/ s41579-022-00682-4.</w:t>
      </w:r>
    </w:p>
    <w:p w14:paraId="414A64CD" w14:textId="395A678A" w:rsidR="001C5D0F" w:rsidRPr="001D3FB1" w:rsidRDefault="0090167D" w:rsidP="0020699E">
      <w:pPr>
        <w:pStyle w:val="ListParagraph"/>
        <w:numPr>
          <w:ilvl w:val="0"/>
          <w:numId w:val="22"/>
        </w:numPr>
        <w:spacing w:line="360" w:lineRule="auto"/>
        <w:jc w:val="both"/>
        <w:rPr>
          <w:rFonts w:ascii="Helvetica" w:hAnsi="Helvetica" w:cs="Helvetica"/>
          <w:sz w:val="20"/>
          <w:szCs w:val="20"/>
        </w:rPr>
      </w:pPr>
      <w:r w:rsidRPr="001D3FB1">
        <w:rPr>
          <w:rFonts w:ascii="Helvetica" w:hAnsi="Helvetica" w:cs="Helvetica"/>
          <w:sz w:val="20"/>
          <w:szCs w:val="20"/>
        </w:rPr>
        <w:t xml:space="preserve">C. Wang, W. Zhao, B. Cao, Z. Wang, Q. Zhou, S. Lu, L. Lu, M. Zhan, X. Hu, Biofilm- responsive polymeric nanoparticles with self-adaptive deep penetration for in vivo photothermal treatment of implant infection, Chem. Mater. 32 (2020) 7725–7738, </w:t>
      </w:r>
      <w:hyperlink r:id="rId35" w:history="1">
        <w:r w:rsidRPr="001D3FB1">
          <w:rPr>
            <w:rStyle w:val="Hyperlink"/>
            <w:rFonts w:ascii="Helvetica" w:hAnsi="Helvetica" w:cs="Helvetica"/>
            <w:color w:val="034990" w:themeColor="hyperlink" w:themeShade="BF"/>
            <w:sz w:val="20"/>
            <w:szCs w:val="20"/>
          </w:rPr>
          <w:t>https://doi.org/10.1021/acs.chemmater.0c02055</w:t>
        </w:r>
      </w:hyperlink>
      <w:r w:rsidRPr="001D3FB1">
        <w:rPr>
          <w:rFonts w:ascii="Helvetica" w:hAnsi="Helvetica" w:cs="Helvetica"/>
          <w:sz w:val="20"/>
          <w:szCs w:val="20"/>
        </w:rPr>
        <w:t>.</w:t>
      </w:r>
    </w:p>
    <w:p w14:paraId="0EC29359" w14:textId="2506ED3F" w:rsidR="0090167D" w:rsidRPr="001D3FB1" w:rsidRDefault="00620443" w:rsidP="0020699E">
      <w:pPr>
        <w:pStyle w:val="ListParagraph"/>
        <w:numPr>
          <w:ilvl w:val="0"/>
          <w:numId w:val="22"/>
        </w:numPr>
        <w:spacing w:line="360" w:lineRule="auto"/>
        <w:jc w:val="both"/>
        <w:rPr>
          <w:rFonts w:ascii="Helvetica" w:hAnsi="Helvetica" w:cs="Helvetica"/>
          <w:sz w:val="20"/>
          <w:szCs w:val="20"/>
        </w:rPr>
      </w:pPr>
      <w:r w:rsidRPr="001D3FB1">
        <w:rPr>
          <w:rFonts w:ascii="Helvetica" w:hAnsi="Helvetica" w:cs="Helvetica"/>
          <w:sz w:val="20"/>
          <w:szCs w:val="20"/>
        </w:rPr>
        <w:t xml:space="preserve">C. Santino, M. Zeeshan, M. Hamidi, K. Hanna, A.T. </w:t>
      </w:r>
      <w:proofErr w:type="spellStart"/>
      <w:r w:rsidRPr="001D3FB1">
        <w:rPr>
          <w:rFonts w:ascii="Helvetica" w:hAnsi="Helvetica" w:cs="Helvetica"/>
          <w:sz w:val="20"/>
          <w:szCs w:val="20"/>
        </w:rPr>
        <w:t>Saljuqi</w:t>
      </w:r>
      <w:proofErr w:type="spellEnd"/>
      <w:r w:rsidRPr="001D3FB1">
        <w:rPr>
          <w:rFonts w:ascii="Helvetica" w:hAnsi="Helvetica" w:cs="Helvetica"/>
          <w:sz w:val="20"/>
          <w:szCs w:val="20"/>
        </w:rPr>
        <w:t xml:space="preserve">, N. </w:t>
      </w:r>
      <w:proofErr w:type="spellStart"/>
      <w:r w:rsidRPr="001D3FB1">
        <w:rPr>
          <w:rFonts w:ascii="Helvetica" w:hAnsi="Helvetica" w:cs="Helvetica"/>
          <w:sz w:val="20"/>
          <w:szCs w:val="20"/>
        </w:rPr>
        <w:t>Kulvatunyou</w:t>
      </w:r>
      <w:proofErr w:type="spellEnd"/>
      <w:r w:rsidRPr="001D3FB1">
        <w:rPr>
          <w:rFonts w:ascii="Helvetica" w:hAnsi="Helvetica" w:cs="Helvetica"/>
          <w:sz w:val="20"/>
          <w:szCs w:val="20"/>
        </w:rPr>
        <w:t xml:space="preserve">, Z. Haddadin, A. Northcutt, B. Joseph, Prospective evaluation of health-related quality of life in geriatric trauma patients, Surgery 166 (2019) 403–407, </w:t>
      </w:r>
      <w:r w:rsidRPr="001D3FB1">
        <w:rPr>
          <w:rFonts w:ascii="Helvetica" w:hAnsi="Helvetica" w:cs="Helvetica"/>
          <w:color w:val="2E74B5" w:themeColor="accent5" w:themeShade="BF"/>
          <w:sz w:val="20"/>
          <w:szCs w:val="20"/>
          <w:u w:val="single"/>
        </w:rPr>
        <w:t>https:// doi.org/10.1016/j.surg.2019.04.031.</w:t>
      </w:r>
    </w:p>
    <w:p w14:paraId="6356BBC5" w14:textId="77777777" w:rsidR="00283A1C" w:rsidRPr="001D3FB1" w:rsidRDefault="00283A1C" w:rsidP="0020699E">
      <w:pPr>
        <w:pStyle w:val="ListParagraph"/>
        <w:numPr>
          <w:ilvl w:val="0"/>
          <w:numId w:val="22"/>
        </w:numPr>
        <w:spacing w:line="360" w:lineRule="auto"/>
        <w:jc w:val="both"/>
        <w:rPr>
          <w:rFonts w:ascii="Helvetica" w:hAnsi="Helvetica" w:cs="Helvetica"/>
          <w:sz w:val="20"/>
          <w:szCs w:val="20"/>
        </w:rPr>
      </w:pPr>
      <w:r w:rsidRPr="001D3FB1">
        <w:rPr>
          <w:rFonts w:ascii="Helvetica" w:hAnsi="Helvetica" w:cs="Helvetica"/>
          <w:sz w:val="20"/>
          <w:szCs w:val="20"/>
        </w:rPr>
        <w:t xml:space="preserve">V. </w:t>
      </w:r>
      <w:proofErr w:type="spellStart"/>
      <w:r w:rsidRPr="001D3FB1">
        <w:rPr>
          <w:rFonts w:ascii="Helvetica" w:hAnsi="Helvetica" w:cs="Helvetica"/>
          <w:sz w:val="20"/>
          <w:szCs w:val="20"/>
        </w:rPr>
        <w:t>Carniello</w:t>
      </w:r>
      <w:proofErr w:type="spellEnd"/>
      <w:r w:rsidRPr="001D3FB1">
        <w:rPr>
          <w:rFonts w:ascii="Helvetica" w:hAnsi="Helvetica" w:cs="Helvetica"/>
          <w:sz w:val="20"/>
          <w:szCs w:val="20"/>
        </w:rPr>
        <w:t xml:space="preserve">, B.W. Peterson, H.C. van der Mei, H.J. </w:t>
      </w:r>
      <w:proofErr w:type="spellStart"/>
      <w:r w:rsidRPr="001D3FB1">
        <w:rPr>
          <w:rFonts w:ascii="Helvetica" w:hAnsi="Helvetica" w:cs="Helvetica"/>
          <w:sz w:val="20"/>
          <w:szCs w:val="20"/>
        </w:rPr>
        <w:t>Busscher</w:t>
      </w:r>
      <w:proofErr w:type="spellEnd"/>
      <w:r w:rsidRPr="001D3FB1">
        <w:rPr>
          <w:rFonts w:ascii="Helvetica" w:hAnsi="Helvetica" w:cs="Helvetica"/>
          <w:sz w:val="20"/>
          <w:szCs w:val="20"/>
        </w:rPr>
        <w:t xml:space="preserve">, </w:t>
      </w:r>
      <w:proofErr w:type="spellStart"/>
      <w:r w:rsidRPr="001D3FB1">
        <w:rPr>
          <w:rFonts w:ascii="Helvetica" w:hAnsi="Helvetica" w:cs="Helvetica"/>
          <w:sz w:val="20"/>
          <w:szCs w:val="20"/>
        </w:rPr>
        <w:t>Physico</w:t>
      </w:r>
      <w:proofErr w:type="spellEnd"/>
      <w:r w:rsidRPr="001D3FB1">
        <w:rPr>
          <w:rFonts w:ascii="Helvetica" w:hAnsi="Helvetica" w:cs="Helvetica"/>
          <w:sz w:val="20"/>
          <w:szCs w:val="20"/>
        </w:rPr>
        <w:t xml:space="preserve">-chemistry from initial bacterial adhesion to surface-programmed biofilm growth, Adv. Colloid </w:t>
      </w:r>
      <w:proofErr w:type="spellStart"/>
      <w:r w:rsidRPr="001D3FB1">
        <w:rPr>
          <w:rFonts w:ascii="Helvetica" w:hAnsi="Helvetica" w:cs="Helvetica"/>
          <w:sz w:val="20"/>
          <w:szCs w:val="20"/>
        </w:rPr>
        <w:t>Interf</w:t>
      </w:r>
      <w:proofErr w:type="spellEnd"/>
      <w:r w:rsidRPr="001D3FB1">
        <w:rPr>
          <w:rFonts w:ascii="Helvetica" w:hAnsi="Helvetica" w:cs="Helvetica"/>
          <w:sz w:val="20"/>
          <w:szCs w:val="20"/>
        </w:rPr>
        <w:t xml:space="preserve">. Sci. 261 (2018) 1–14, </w:t>
      </w:r>
      <w:r w:rsidRPr="001D3FB1">
        <w:rPr>
          <w:rFonts w:ascii="Helvetica" w:hAnsi="Helvetica" w:cs="Helvetica"/>
          <w:color w:val="2E74B5" w:themeColor="accent5" w:themeShade="BF"/>
          <w:sz w:val="20"/>
          <w:szCs w:val="20"/>
          <w:u w:val="single"/>
        </w:rPr>
        <w:t>https://doi.org/10.1016/j.cis.2018.10.005</w:t>
      </w:r>
      <w:r w:rsidRPr="001D3FB1">
        <w:rPr>
          <w:rFonts w:ascii="Helvetica" w:hAnsi="Helvetica" w:cs="Helvetica"/>
          <w:sz w:val="20"/>
          <w:szCs w:val="20"/>
        </w:rPr>
        <w:t xml:space="preserve">. </w:t>
      </w:r>
    </w:p>
    <w:p w14:paraId="278DF553" w14:textId="43687284" w:rsidR="00620443" w:rsidRPr="001D3FB1" w:rsidRDefault="00283A1C" w:rsidP="0020699E">
      <w:pPr>
        <w:pStyle w:val="ListParagraph"/>
        <w:numPr>
          <w:ilvl w:val="0"/>
          <w:numId w:val="22"/>
        </w:numPr>
        <w:spacing w:line="360" w:lineRule="auto"/>
        <w:jc w:val="both"/>
        <w:rPr>
          <w:rFonts w:ascii="Helvetica" w:hAnsi="Helvetica" w:cs="Helvetica"/>
          <w:sz w:val="20"/>
          <w:szCs w:val="20"/>
        </w:rPr>
      </w:pPr>
      <w:r w:rsidRPr="001D3FB1">
        <w:rPr>
          <w:rFonts w:ascii="Helvetica" w:hAnsi="Helvetica" w:cs="Helvetica"/>
          <w:sz w:val="20"/>
          <w:szCs w:val="20"/>
        </w:rPr>
        <w:t xml:space="preserve">K. Quan, J.P. Hou, Z. Zhang, Y. Ren, B.W. Peterson, H.-C. Flemming, C. Mayer, H. J. Busscher, H.C. Van der Mei, Water in bacterial biofilms: pores and channels, storage and transport functions, Crit. Rev. </w:t>
      </w:r>
      <w:proofErr w:type="spellStart"/>
      <w:r w:rsidRPr="001D3FB1">
        <w:rPr>
          <w:rFonts w:ascii="Helvetica" w:hAnsi="Helvetica" w:cs="Helvetica"/>
          <w:sz w:val="20"/>
          <w:szCs w:val="20"/>
        </w:rPr>
        <w:t>Microbiol</w:t>
      </w:r>
      <w:proofErr w:type="spellEnd"/>
      <w:r w:rsidRPr="001D3FB1">
        <w:rPr>
          <w:rFonts w:ascii="Helvetica" w:hAnsi="Helvetica" w:cs="Helvetica"/>
          <w:sz w:val="20"/>
          <w:szCs w:val="20"/>
        </w:rPr>
        <w:t xml:space="preserve">. 48 (2022) 283–302, </w:t>
      </w:r>
      <w:r w:rsidRPr="001D3FB1">
        <w:rPr>
          <w:rFonts w:ascii="Helvetica" w:hAnsi="Helvetica" w:cs="Helvetica"/>
          <w:color w:val="2E74B5" w:themeColor="accent5" w:themeShade="BF"/>
          <w:sz w:val="20"/>
          <w:szCs w:val="20"/>
          <w:u w:val="single"/>
        </w:rPr>
        <w:t>https:// doi.org/10.1080/1040841x.2021.1962802</w:t>
      </w:r>
      <w:r w:rsidRPr="001D3FB1">
        <w:rPr>
          <w:rFonts w:ascii="Helvetica" w:hAnsi="Helvetica" w:cs="Helvetica"/>
          <w:sz w:val="20"/>
          <w:szCs w:val="20"/>
        </w:rPr>
        <w:t>.</w:t>
      </w:r>
    </w:p>
    <w:p w14:paraId="5B663F26" w14:textId="77777777" w:rsidR="00283A1C" w:rsidRPr="001D3FB1" w:rsidRDefault="00283A1C" w:rsidP="0020699E">
      <w:pPr>
        <w:pStyle w:val="ListParagraph"/>
        <w:numPr>
          <w:ilvl w:val="0"/>
          <w:numId w:val="22"/>
        </w:numPr>
        <w:spacing w:line="360" w:lineRule="auto"/>
        <w:jc w:val="both"/>
        <w:rPr>
          <w:rFonts w:ascii="Helvetica" w:hAnsi="Helvetica" w:cs="Helvetica"/>
          <w:sz w:val="20"/>
          <w:szCs w:val="20"/>
        </w:rPr>
      </w:pPr>
      <w:r w:rsidRPr="001D3FB1">
        <w:rPr>
          <w:rFonts w:ascii="Helvetica" w:hAnsi="Helvetica" w:cs="Helvetica"/>
          <w:sz w:val="20"/>
          <w:szCs w:val="20"/>
        </w:rPr>
        <w:lastRenderedPageBreak/>
        <w:t xml:space="preserve">W. Jaber, Artificial Intelligence and Nanotechnology: Transforming the Future. In Artificial Intelligence in the Age of Nanotechnology, IGI Global, 2024, pp. 1–24, </w:t>
      </w:r>
      <w:r w:rsidRPr="001D3FB1">
        <w:rPr>
          <w:rFonts w:ascii="Helvetica" w:hAnsi="Helvetica" w:cs="Helvetica"/>
          <w:color w:val="2E74B5" w:themeColor="accent5" w:themeShade="BF"/>
          <w:sz w:val="20"/>
          <w:szCs w:val="20"/>
          <w:u w:val="single"/>
        </w:rPr>
        <w:t>https://doi.org/10.4018/979-8-3693-0368-9.ch001</w:t>
      </w:r>
      <w:r w:rsidRPr="001D3FB1">
        <w:rPr>
          <w:rFonts w:ascii="Helvetica" w:hAnsi="Helvetica" w:cs="Helvetica"/>
          <w:sz w:val="20"/>
          <w:szCs w:val="20"/>
        </w:rPr>
        <w:t xml:space="preserve">. </w:t>
      </w:r>
    </w:p>
    <w:p w14:paraId="52F64EE4" w14:textId="3CC1F463" w:rsidR="00BE71A4" w:rsidRPr="001D3FB1" w:rsidRDefault="00283A1C" w:rsidP="0020699E">
      <w:pPr>
        <w:pStyle w:val="ListParagraph"/>
        <w:numPr>
          <w:ilvl w:val="0"/>
          <w:numId w:val="22"/>
        </w:numPr>
        <w:spacing w:line="360" w:lineRule="auto"/>
        <w:jc w:val="both"/>
        <w:rPr>
          <w:rFonts w:ascii="Helvetica" w:hAnsi="Helvetica" w:cs="Helvetica"/>
          <w:sz w:val="20"/>
          <w:szCs w:val="20"/>
        </w:rPr>
      </w:pPr>
      <w:r w:rsidRPr="001D3FB1">
        <w:rPr>
          <w:rFonts w:ascii="Helvetica" w:hAnsi="Helvetica" w:cs="Helvetica"/>
          <w:sz w:val="20"/>
          <w:szCs w:val="20"/>
        </w:rPr>
        <w:t xml:space="preserve">S. Natale, A. Ballatore, Imagining the thinking machine: technological myths and the rise of artificial intelligence, Convergence 26 (1) (2020) 3–18, </w:t>
      </w:r>
      <w:r w:rsidRPr="001D3FB1">
        <w:rPr>
          <w:rFonts w:ascii="Helvetica" w:hAnsi="Helvetica" w:cs="Helvetica"/>
          <w:color w:val="2E74B5" w:themeColor="accent5" w:themeShade="BF"/>
          <w:sz w:val="20"/>
          <w:szCs w:val="20"/>
          <w:u w:val="single"/>
        </w:rPr>
        <w:t>https://doi. org/10.1177/1354856517715164</w:t>
      </w:r>
      <w:r w:rsidRPr="001D3FB1">
        <w:rPr>
          <w:rFonts w:ascii="Helvetica" w:hAnsi="Helvetica" w:cs="Helvetica"/>
          <w:sz w:val="20"/>
          <w:szCs w:val="20"/>
        </w:rPr>
        <w:t xml:space="preserve">. </w:t>
      </w:r>
    </w:p>
    <w:p w14:paraId="22CC23CC" w14:textId="2F1E26CA" w:rsidR="00BE71A4" w:rsidRPr="001D3FB1" w:rsidRDefault="00283A1C" w:rsidP="0020699E">
      <w:pPr>
        <w:pStyle w:val="ListParagraph"/>
        <w:numPr>
          <w:ilvl w:val="0"/>
          <w:numId w:val="22"/>
        </w:numPr>
        <w:spacing w:line="360" w:lineRule="auto"/>
        <w:jc w:val="both"/>
        <w:rPr>
          <w:rFonts w:ascii="Helvetica" w:hAnsi="Helvetica" w:cs="Helvetica"/>
          <w:sz w:val="20"/>
          <w:szCs w:val="20"/>
        </w:rPr>
      </w:pPr>
      <w:r w:rsidRPr="001D3FB1">
        <w:rPr>
          <w:rFonts w:ascii="Helvetica" w:hAnsi="Helvetica" w:cs="Helvetica"/>
          <w:sz w:val="20"/>
          <w:szCs w:val="20"/>
        </w:rPr>
        <w:t xml:space="preserve">Y. Duan, J.S. Edwards, Y.K. Dwivedi, Artificial intelligence for decision making in the era of big data–evolution, challenges and research agenda, Int. J. Inf. Manage. 48 (2019) 63–71, </w:t>
      </w:r>
      <w:hyperlink r:id="rId36" w:history="1">
        <w:r w:rsidR="00BE71A4" w:rsidRPr="001D3FB1">
          <w:rPr>
            <w:rStyle w:val="Hyperlink"/>
            <w:rFonts w:ascii="Helvetica" w:hAnsi="Helvetica" w:cs="Helvetica"/>
            <w:sz w:val="20"/>
            <w:szCs w:val="20"/>
          </w:rPr>
          <w:t>https://doi.org/10.1016/j.ijinfomgt.2019.01.021</w:t>
        </w:r>
      </w:hyperlink>
      <w:r w:rsidRPr="001D3FB1">
        <w:rPr>
          <w:rFonts w:ascii="Helvetica" w:hAnsi="Helvetica" w:cs="Helvetica"/>
          <w:sz w:val="20"/>
          <w:szCs w:val="20"/>
        </w:rPr>
        <w:t>.</w:t>
      </w:r>
    </w:p>
    <w:p w14:paraId="631262F8" w14:textId="3E48CDA8" w:rsidR="00BE71A4" w:rsidRPr="001D3FB1" w:rsidRDefault="00283A1C" w:rsidP="0020699E">
      <w:pPr>
        <w:pStyle w:val="ListParagraph"/>
        <w:numPr>
          <w:ilvl w:val="0"/>
          <w:numId w:val="22"/>
        </w:numPr>
        <w:spacing w:line="360" w:lineRule="auto"/>
        <w:jc w:val="both"/>
        <w:rPr>
          <w:rFonts w:ascii="Helvetica" w:hAnsi="Helvetica" w:cs="Helvetica"/>
          <w:sz w:val="20"/>
          <w:szCs w:val="20"/>
        </w:rPr>
      </w:pPr>
      <w:r w:rsidRPr="001D3FB1">
        <w:rPr>
          <w:rFonts w:ascii="Helvetica" w:hAnsi="Helvetica" w:cs="Helvetica"/>
          <w:sz w:val="20"/>
          <w:szCs w:val="20"/>
        </w:rPr>
        <w:t xml:space="preserve"> Y.K. Dwivedi, L. Hughes, E. </w:t>
      </w:r>
      <w:proofErr w:type="spellStart"/>
      <w:r w:rsidRPr="001D3FB1">
        <w:rPr>
          <w:rFonts w:ascii="Helvetica" w:hAnsi="Helvetica" w:cs="Helvetica"/>
          <w:sz w:val="20"/>
          <w:szCs w:val="20"/>
        </w:rPr>
        <w:t>Ismagilova</w:t>
      </w:r>
      <w:proofErr w:type="spellEnd"/>
      <w:r w:rsidRPr="001D3FB1">
        <w:rPr>
          <w:rFonts w:ascii="Helvetica" w:hAnsi="Helvetica" w:cs="Helvetica"/>
          <w:sz w:val="20"/>
          <w:szCs w:val="20"/>
        </w:rPr>
        <w:t xml:space="preserve">, G. Aarts, C. Coombs, T. Crick, Y. Duan, R. Dwivedi, J. Edwards, A. </w:t>
      </w:r>
      <w:proofErr w:type="spellStart"/>
      <w:r w:rsidRPr="001D3FB1">
        <w:rPr>
          <w:rFonts w:ascii="Helvetica" w:hAnsi="Helvetica" w:cs="Helvetica"/>
          <w:sz w:val="20"/>
          <w:szCs w:val="20"/>
        </w:rPr>
        <w:t>Eirug</w:t>
      </w:r>
      <w:proofErr w:type="spellEnd"/>
      <w:r w:rsidRPr="001D3FB1">
        <w:rPr>
          <w:rFonts w:ascii="Helvetica" w:hAnsi="Helvetica" w:cs="Helvetica"/>
          <w:sz w:val="20"/>
          <w:szCs w:val="20"/>
        </w:rPr>
        <w:t xml:space="preserve">, V. Galanos, Artificial Intelligence (AI): multidisciplinary perspectives on emerging challenges, opportunities, and agenda for research, practice and policy, Int. J. Inf. Manage. 57 (2021) 101994, </w:t>
      </w:r>
      <w:r w:rsidRPr="001D3FB1">
        <w:rPr>
          <w:rFonts w:ascii="Helvetica" w:hAnsi="Helvetica" w:cs="Helvetica"/>
          <w:color w:val="2E74B5" w:themeColor="accent5" w:themeShade="BF"/>
          <w:sz w:val="20"/>
          <w:szCs w:val="20"/>
          <w:u w:val="single"/>
        </w:rPr>
        <w:t>https:// doi.org/10.1016/j.ijinfomgt.2019.08.002</w:t>
      </w:r>
      <w:r w:rsidRPr="001D3FB1">
        <w:rPr>
          <w:rFonts w:ascii="Helvetica" w:hAnsi="Helvetica" w:cs="Helvetica"/>
          <w:sz w:val="20"/>
          <w:szCs w:val="20"/>
        </w:rPr>
        <w:t xml:space="preserve">. </w:t>
      </w:r>
    </w:p>
    <w:p w14:paraId="6476B5E6" w14:textId="04962138" w:rsidR="00BE71A4" w:rsidRPr="001D3FB1" w:rsidRDefault="00283A1C" w:rsidP="0020699E">
      <w:pPr>
        <w:pStyle w:val="ListParagraph"/>
        <w:numPr>
          <w:ilvl w:val="0"/>
          <w:numId w:val="22"/>
        </w:numPr>
        <w:spacing w:line="360" w:lineRule="auto"/>
        <w:jc w:val="both"/>
        <w:rPr>
          <w:rFonts w:ascii="Helvetica" w:hAnsi="Helvetica" w:cs="Helvetica"/>
          <w:sz w:val="20"/>
          <w:szCs w:val="20"/>
        </w:rPr>
      </w:pPr>
      <w:r w:rsidRPr="001D3FB1">
        <w:rPr>
          <w:rFonts w:ascii="Helvetica" w:hAnsi="Helvetica" w:cs="Helvetica"/>
          <w:sz w:val="20"/>
          <w:szCs w:val="20"/>
        </w:rPr>
        <w:t xml:space="preserve">Torfi A., </w:t>
      </w:r>
      <w:proofErr w:type="spellStart"/>
      <w:r w:rsidRPr="001D3FB1">
        <w:rPr>
          <w:rFonts w:ascii="Helvetica" w:hAnsi="Helvetica" w:cs="Helvetica"/>
          <w:sz w:val="20"/>
          <w:szCs w:val="20"/>
        </w:rPr>
        <w:t>Shirvani</w:t>
      </w:r>
      <w:proofErr w:type="spellEnd"/>
      <w:r w:rsidRPr="001D3FB1">
        <w:rPr>
          <w:rFonts w:ascii="Helvetica" w:hAnsi="Helvetica" w:cs="Helvetica"/>
          <w:sz w:val="20"/>
          <w:szCs w:val="20"/>
        </w:rPr>
        <w:t xml:space="preserve"> R.A., </w:t>
      </w:r>
      <w:proofErr w:type="spellStart"/>
      <w:r w:rsidRPr="001D3FB1">
        <w:rPr>
          <w:rFonts w:ascii="Helvetica" w:hAnsi="Helvetica" w:cs="Helvetica"/>
          <w:sz w:val="20"/>
          <w:szCs w:val="20"/>
        </w:rPr>
        <w:t>Keneshloo</w:t>
      </w:r>
      <w:proofErr w:type="spellEnd"/>
      <w:r w:rsidRPr="001D3FB1">
        <w:rPr>
          <w:rFonts w:ascii="Helvetica" w:hAnsi="Helvetica" w:cs="Helvetica"/>
          <w:sz w:val="20"/>
          <w:szCs w:val="20"/>
        </w:rPr>
        <w:t xml:space="preserve"> Y., </w:t>
      </w:r>
      <w:proofErr w:type="spellStart"/>
      <w:r w:rsidRPr="001D3FB1">
        <w:rPr>
          <w:rFonts w:ascii="Helvetica" w:hAnsi="Helvetica" w:cs="Helvetica"/>
          <w:sz w:val="20"/>
          <w:szCs w:val="20"/>
        </w:rPr>
        <w:t>Tavaf</w:t>
      </w:r>
      <w:proofErr w:type="spellEnd"/>
      <w:r w:rsidRPr="001D3FB1">
        <w:rPr>
          <w:rFonts w:ascii="Helvetica" w:hAnsi="Helvetica" w:cs="Helvetica"/>
          <w:sz w:val="20"/>
          <w:szCs w:val="20"/>
        </w:rPr>
        <w:t xml:space="preserve"> N., Fox E.A. Natural language processing advancements by deep learning: a survey. </w:t>
      </w:r>
      <w:proofErr w:type="spellStart"/>
      <w:r w:rsidRPr="001D3FB1">
        <w:rPr>
          <w:rFonts w:ascii="Helvetica" w:hAnsi="Helvetica" w:cs="Helvetica"/>
          <w:sz w:val="20"/>
          <w:szCs w:val="20"/>
        </w:rPr>
        <w:t>arXiv</w:t>
      </w:r>
      <w:proofErr w:type="spellEnd"/>
      <w:r w:rsidRPr="001D3FB1">
        <w:rPr>
          <w:rFonts w:ascii="Helvetica" w:hAnsi="Helvetica" w:cs="Helvetica"/>
          <w:sz w:val="20"/>
          <w:szCs w:val="20"/>
        </w:rPr>
        <w:t xml:space="preserve"> preprint </w:t>
      </w:r>
      <w:proofErr w:type="spellStart"/>
      <w:r w:rsidRPr="001D3FB1">
        <w:rPr>
          <w:rFonts w:ascii="Helvetica" w:hAnsi="Helvetica" w:cs="Helvetica"/>
          <w:sz w:val="20"/>
          <w:szCs w:val="20"/>
        </w:rPr>
        <w:t>arXiv</w:t>
      </w:r>
      <w:proofErr w:type="spellEnd"/>
      <w:r w:rsidRPr="001D3FB1">
        <w:rPr>
          <w:rFonts w:ascii="Helvetica" w:hAnsi="Helvetica" w:cs="Helvetica"/>
          <w:sz w:val="20"/>
          <w:szCs w:val="20"/>
        </w:rPr>
        <w:t xml:space="preserve">: 2003.01200. 2020 Mar 2. </w:t>
      </w:r>
      <w:hyperlink r:id="rId37" w:history="1">
        <w:r w:rsidR="00BE71A4" w:rsidRPr="001D3FB1">
          <w:rPr>
            <w:rStyle w:val="Hyperlink"/>
            <w:rFonts w:ascii="Helvetica" w:hAnsi="Helvetica" w:cs="Helvetica"/>
            <w:sz w:val="20"/>
            <w:szCs w:val="20"/>
          </w:rPr>
          <w:t>https://arxiv.org/abs/2003.01200</w:t>
        </w:r>
      </w:hyperlink>
      <w:r w:rsidRPr="001D3FB1">
        <w:rPr>
          <w:rFonts w:ascii="Helvetica" w:hAnsi="Helvetica" w:cs="Helvetica"/>
          <w:sz w:val="20"/>
          <w:szCs w:val="20"/>
        </w:rPr>
        <w:t xml:space="preserve">. </w:t>
      </w:r>
    </w:p>
    <w:p w14:paraId="2B7EE361" w14:textId="28DF9667" w:rsidR="00BE71A4" w:rsidRPr="001D3FB1" w:rsidRDefault="00283A1C" w:rsidP="0020699E">
      <w:pPr>
        <w:pStyle w:val="ListParagraph"/>
        <w:numPr>
          <w:ilvl w:val="0"/>
          <w:numId w:val="22"/>
        </w:numPr>
        <w:spacing w:line="360" w:lineRule="auto"/>
        <w:jc w:val="both"/>
        <w:rPr>
          <w:rFonts w:ascii="Helvetica" w:hAnsi="Helvetica" w:cs="Helvetica"/>
          <w:sz w:val="20"/>
          <w:szCs w:val="20"/>
        </w:rPr>
      </w:pPr>
      <w:r w:rsidRPr="001D3FB1">
        <w:rPr>
          <w:rFonts w:ascii="Helvetica" w:hAnsi="Helvetica" w:cs="Helvetica"/>
          <w:sz w:val="20"/>
          <w:szCs w:val="20"/>
        </w:rPr>
        <w:t xml:space="preserve">I.H. Sarker, Deep learning: a comprehensive overview on techniques, taxonomy, applications and research directions, SN Comput. Sci. 2 (6) (2021) 420, </w:t>
      </w:r>
      <w:r w:rsidRPr="001D3FB1">
        <w:rPr>
          <w:rFonts w:ascii="Helvetica" w:hAnsi="Helvetica" w:cs="Helvetica"/>
          <w:color w:val="2E74B5" w:themeColor="accent5" w:themeShade="BF"/>
          <w:sz w:val="20"/>
          <w:szCs w:val="20"/>
          <w:u w:val="single"/>
        </w:rPr>
        <w:t>https:// doi.org/10.1007/s42979-021-00815-1</w:t>
      </w:r>
      <w:r w:rsidRPr="001D3FB1">
        <w:rPr>
          <w:rFonts w:ascii="Helvetica" w:hAnsi="Helvetica" w:cs="Helvetica"/>
          <w:sz w:val="20"/>
          <w:szCs w:val="20"/>
        </w:rPr>
        <w:t xml:space="preserve">. </w:t>
      </w:r>
    </w:p>
    <w:p w14:paraId="3400790E" w14:textId="358DDCC3" w:rsidR="00BE71A4" w:rsidRPr="001D3FB1" w:rsidRDefault="00283A1C" w:rsidP="0020699E">
      <w:pPr>
        <w:pStyle w:val="ListParagraph"/>
        <w:numPr>
          <w:ilvl w:val="0"/>
          <w:numId w:val="22"/>
        </w:numPr>
        <w:spacing w:line="360" w:lineRule="auto"/>
        <w:jc w:val="both"/>
        <w:rPr>
          <w:rFonts w:ascii="Helvetica" w:hAnsi="Helvetica" w:cs="Helvetica"/>
          <w:sz w:val="20"/>
          <w:szCs w:val="20"/>
        </w:rPr>
      </w:pPr>
      <w:r w:rsidRPr="001D3FB1">
        <w:rPr>
          <w:rFonts w:ascii="Helvetica" w:hAnsi="Helvetica" w:cs="Helvetica"/>
          <w:sz w:val="20"/>
          <w:szCs w:val="20"/>
        </w:rPr>
        <w:t xml:space="preserve">N. Singh, H. </w:t>
      </w:r>
      <w:proofErr w:type="spellStart"/>
      <w:r w:rsidRPr="001D3FB1">
        <w:rPr>
          <w:rFonts w:ascii="Helvetica" w:hAnsi="Helvetica" w:cs="Helvetica"/>
          <w:sz w:val="20"/>
          <w:szCs w:val="20"/>
        </w:rPr>
        <w:t>Sabrol</w:t>
      </w:r>
      <w:proofErr w:type="spellEnd"/>
      <w:r w:rsidRPr="001D3FB1">
        <w:rPr>
          <w:rFonts w:ascii="Helvetica" w:hAnsi="Helvetica" w:cs="Helvetica"/>
          <w:sz w:val="20"/>
          <w:szCs w:val="20"/>
        </w:rPr>
        <w:t xml:space="preserve">, Convolutional neural networks-an extensive arena of deep learning. A comprehensive study, Arch. Comput. Meth. Eng. 28 (7) (2021) 4755–4780, </w:t>
      </w:r>
      <w:hyperlink r:id="rId38" w:history="1">
        <w:r w:rsidR="00BE71A4" w:rsidRPr="001D3FB1">
          <w:rPr>
            <w:rStyle w:val="Hyperlink"/>
            <w:rFonts w:ascii="Helvetica" w:hAnsi="Helvetica" w:cs="Helvetica"/>
            <w:sz w:val="20"/>
            <w:szCs w:val="20"/>
          </w:rPr>
          <w:t>https://doi.org/10.1007/s11831-021-09551-4</w:t>
        </w:r>
      </w:hyperlink>
      <w:r w:rsidRPr="001D3FB1">
        <w:rPr>
          <w:rFonts w:ascii="Helvetica" w:hAnsi="Helvetica" w:cs="Helvetica"/>
          <w:sz w:val="20"/>
          <w:szCs w:val="20"/>
        </w:rPr>
        <w:t xml:space="preserve">. </w:t>
      </w:r>
    </w:p>
    <w:p w14:paraId="526A8ED4" w14:textId="64E07C7B" w:rsidR="00283A1C" w:rsidRPr="001D3FB1" w:rsidRDefault="00283A1C" w:rsidP="0020699E">
      <w:pPr>
        <w:pStyle w:val="ListParagraph"/>
        <w:numPr>
          <w:ilvl w:val="0"/>
          <w:numId w:val="22"/>
        </w:numPr>
        <w:spacing w:line="360" w:lineRule="auto"/>
        <w:jc w:val="both"/>
        <w:rPr>
          <w:rFonts w:ascii="Helvetica" w:hAnsi="Helvetica" w:cs="Helvetica"/>
          <w:sz w:val="20"/>
          <w:szCs w:val="20"/>
        </w:rPr>
      </w:pPr>
      <w:r w:rsidRPr="001D3FB1">
        <w:rPr>
          <w:rFonts w:ascii="Helvetica" w:hAnsi="Helvetica" w:cs="Helvetica"/>
          <w:sz w:val="20"/>
          <w:szCs w:val="20"/>
        </w:rPr>
        <w:t xml:space="preserve">J.K. Patel, A. Patel, D. Bhatia, Introduction to Nanomaterials and nanotechnology. </w:t>
      </w:r>
      <w:proofErr w:type="spellStart"/>
      <w:r w:rsidRPr="001D3FB1">
        <w:rPr>
          <w:rFonts w:ascii="Helvetica" w:hAnsi="Helvetica" w:cs="Helvetica"/>
          <w:sz w:val="20"/>
          <w:szCs w:val="20"/>
        </w:rPr>
        <w:t>InEmerging</w:t>
      </w:r>
      <w:proofErr w:type="spellEnd"/>
      <w:r w:rsidRPr="001D3FB1">
        <w:rPr>
          <w:rFonts w:ascii="Helvetica" w:hAnsi="Helvetica" w:cs="Helvetica"/>
          <w:sz w:val="20"/>
          <w:szCs w:val="20"/>
        </w:rPr>
        <w:t xml:space="preserve"> technologies For Nanoparticle Manufacturing, Springer International Publishing, Cham, 2021, pp. 3–23,</w:t>
      </w:r>
      <w:r w:rsidRPr="001D3FB1">
        <w:rPr>
          <w:rFonts w:ascii="Helvetica" w:hAnsi="Helvetica" w:cs="Helvetica"/>
          <w:color w:val="2E74B5" w:themeColor="accent5" w:themeShade="BF"/>
          <w:sz w:val="20"/>
          <w:szCs w:val="20"/>
          <w:u w:val="single"/>
        </w:rPr>
        <w:t xml:space="preserve"> https://doi.org/ 10.1007/978-3-030-50703-9_1</w:t>
      </w:r>
      <w:r w:rsidRPr="001D3FB1">
        <w:rPr>
          <w:rFonts w:ascii="Helvetica" w:hAnsi="Helvetica" w:cs="Helvetica"/>
          <w:sz w:val="20"/>
          <w:szCs w:val="20"/>
        </w:rPr>
        <w:t>.</w:t>
      </w:r>
    </w:p>
    <w:p w14:paraId="33808561" w14:textId="64537DE8" w:rsidR="003822F8" w:rsidRPr="001D3FB1" w:rsidRDefault="003822F8" w:rsidP="0020699E">
      <w:pPr>
        <w:pStyle w:val="ListParagraph"/>
        <w:numPr>
          <w:ilvl w:val="0"/>
          <w:numId w:val="22"/>
        </w:numPr>
        <w:spacing w:line="360" w:lineRule="auto"/>
        <w:jc w:val="both"/>
        <w:rPr>
          <w:rFonts w:ascii="Helvetica" w:hAnsi="Helvetica" w:cs="Helvetica"/>
          <w:sz w:val="20"/>
          <w:szCs w:val="20"/>
        </w:rPr>
      </w:pPr>
      <w:r w:rsidRPr="001D3FB1">
        <w:rPr>
          <w:rFonts w:ascii="Helvetica" w:hAnsi="Helvetica" w:cs="Helvetica"/>
          <w:sz w:val="20"/>
          <w:szCs w:val="20"/>
        </w:rPr>
        <w:t xml:space="preserve">Y.N. Liu, F.Y. Wu, R.Y. Tian, Y.X. Shi, Z.Q. Xu, J.Y. Liu, J. Huang, F.F. Xue, B. Y. Liu, G.Q. Liu, </w:t>
      </w:r>
      <w:proofErr w:type="gramStart"/>
      <w:r w:rsidRPr="001D3FB1">
        <w:rPr>
          <w:rFonts w:ascii="Helvetica" w:hAnsi="Helvetica" w:cs="Helvetica"/>
          <w:sz w:val="20"/>
          <w:szCs w:val="20"/>
        </w:rPr>
        <w:t>The</w:t>
      </w:r>
      <w:proofErr w:type="gramEnd"/>
      <w:r w:rsidRPr="001D3FB1">
        <w:rPr>
          <w:rFonts w:ascii="Helvetica" w:hAnsi="Helvetica" w:cs="Helvetica"/>
          <w:sz w:val="20"/>
          <w:szCs w:val="20"/>
        </w:rPr>
        <w:t xml:space="preserve"> </w:t>
      </w:r>
      <w:proofErr w:type="spellStart"/>
      <w:r w:rsidRPr="001D3FB1">
        <w:rPr>
          <w:rFonts w:ascii="Helvetica" w:hAnsi="Helvetica" w:cs="Helvetica"/>
          <w:sz w:val="20"/>
          <w:szCs w:val="20"/>
        </w:rPr>
        <w:t>bHLH</w:t>
      </w:r>
      <w:proofErr w:type="spellEnd"/>
      <w:r w:rsidRPr="001D3FB1">
        <w:rPr>
          <w:rFonts w:ascii="Helvetica" w:hAnsi="Helvetica" w:cs="Helvetica"/>
          <w:sz w:val="20"/>
          <w:szCs w:val="20"/>
        </w:rPr>
        <w:t xml:space="preserve">-zip transcription factor SREBP regulates triterpenoid and lipid metabolisms in the medicinal fungus Ganoderma </w:t>
      </w:r>
      <w:proofErr w:type="spellStart"/>
      <w:r w:rsidRPr="001D3FB1">
        <w:rPr>
          <w:rFonts w:ascii="Helvetica" w:hAnsi="Helvetica" w:cs="Helvetica"/>
          <w:sz w:val="20"/>
          <w:szCs w:val="20"/>
        </w:rPr>
        <w:t>lingzhi</w:t>
      </w:r>
      <w:proofErr w:type="spellEnd"/>
      <w:r w:rsidRPr="001D3FB1">
        <w:rPr>
          <w:rFonts w:ascii="Helvetica" w:hAnsi="Helvetica" w:cs="Helvetica"/>
          <w:sz w:val="20"/>
          <w:szCs w:val="20"/>
        </w:rPr>
        <w:t xml:space="preserve">, </w:t>
      </w:r>
      <w:proofErr w:type="spellStart"/>
      <w:r w:rsidRPr="001D3FB1">
        <w:rPr>
          <w:rFonts w:ascii="Helvetica" w:hAnsi="Helvetica" w:cs="Helvetica"/>
          <w:sz w:val="20"/>
          <w:szCs w:val="20"/>
        </w:rPr>
        <w:t>Commun</w:t>
      </w:r>
      <w:proofErr w:type="spellEnd"/>
      <w:r w:rsidRPr="001D3FB1">
        <w:rPr>
          <w:rFonts w:ascii="Helvetica" w:hAnsi="Helvetica" w:cs="Helvetica"/>
          <w:sz w:val="20"/>
          <w:szCs w:val="20"/>
        </w:rPr>
        <w:t xml:space="preserve">. Biol. 6 (1) (2023) 1, </w:t>
      </w:r>
      <w:hyperlink r:id="rId39" w:history="1">
        <w:r w:rsidRPr="001D3FB1">
          <w:rPr>
            <w:rStyle w:val="Hyperlink"/>
            <w:rFonts w:ascii="Helvetica" w:hAnsi="Helvetica" w:cs="Helvetica"/>
            <w:sz w:val="20"/>
            <w:szCs w:val="20"/>
          </w:rPr>
          <w:t>https://doi.org/10.1038/s42003-022-04154-6</w:t>
        </w:r>
      </w:hyperlink>
      <w:r w:rsidRPr="001D3FB1">
        <w:rPr>
          <w:rFonts w:ascii="Helvetica" w:hAnsi="Helvetica" w:cs="Helvetica"/>
          <w:sz w:val="20"/>
          <w:szCs w:val="20"/>
        </w:rPr>
        <w:t>.</w:t>
      </w:r>
    </w:p>
    <w:p w14:paraId="76D3BA97" w14:textId="512092B4" w:rsidR="003822F8" w:rsidRPr="001D3FB1" w:rsidRDefault="003822F8" w:rsidP="003822F8">
      <w:pPr>
        <w:pStyle w:val="ListParagraph"/>
        <w:numPr>
          <w:ilvl w:val="0"/>
          <w:numId w:val="22"/>
        </w:numPr>
        <w:spacing w:line="360" w:lineRule="auto"/>
        <w:jc w:val="both"/>
        <w:rPr>
          <w:rFonts w:ascii="Helvetica" w:hAnsi="Helvetica" w:cs="Helvetica"/>
          <w:sz w:val="20"/>
          <w:szCs w:val="20"/>
        </w:rPr>
      </w:pPr>
      <w:r w:rsidRPr="001D3FB1">
        <w:rPr>
          <w:rFonts w:ascii="Helvetica" w:hAnsi="Helvetica" w:cs="Helvetica"/>
          <w:sz w:val="20"/>
          <w:szCs w:val="20"/>
        </w:rPr>
        <w:t xml:space="preserve">Y.T. Kwon, H. Kim, M. Mahmood, Y.S. Kim, C. </w:t>
      </w:r>
      <w:proofErr w:type="spellStart"/>
      <w:r w:rsidRPr="001D3FB1">
        <w:rPr>
          <w:rFonts w:ascii="Helvetica" w:hAnsi="Helvetica" w:cs="Helvetica"/>
          <w:sz w:val="20"/>
          <w:szCs w:val="20"/>
        </w:rPr>
        <w:t>Demolder</w:t>
      </w:r>
      <w:proofErr w:type="spellEnd"/>
      <w:r w:rsidRPr="001D3FB1">
        <w:rPr>
          <w:rFonts w:ascii="Helvetica" w:hAnsi="Helvetica" w:cs="Helvetica"/>
          <w:sz w:val="20"/>
          <w:szCs w:val="20"/>
        </w:rPr>
        <w:t xml:space="preserve">, W.H. Yeo, Printed, wireless, soft bioelectronics and deep learning algorithm for smart human–machine interfaces, ACS Appl. Mater. Interfaces 12 (44) (2020) 49398–49406, </w:t>
      </w:r>
      <w:hyperlink r:id="rId40" w:history="1">
        <w:r w:rsidRPr="001D3FB1">
          <w:rPr>
            <w:rStyle w:val="Hyperlink"/>
            <w:rFonts w:ascii="Helvetica" w:hAnsi="Helvetica" w:cs="Helvetica"/>
            <w:sz w:val="20"/>
            <w:szCs w:val="20"/>
          </w:rPr>
          <w:t>https://doi.org/10.1021/acsami.0c14193</w:t>
        </w:r>
      </w:hyperlink>
      <w:r w:rsidRPr="001D3FB1">
        <w:rPr>
          <w:rFonts w:ascii="Helvetica" w:hAnsi="Helvetica" w:cs="Helvetica"/>
          <w:sz w:val="20"/>
          <w:szCs w:val="20"/>
        </w:rPr>
        <w:t xml:space="preserve">. </w:t>
      </w:r>
    </w:p>
    <w:p w14:paraId="1E8D2075" w14:textId="47F400E9" w:rsidR="003822F8" w:rsidRPr="001D3FB1" w:rsidRDefault="003822F8" w:rsidP="003822F8">
      <w:pPr>
        <w:pStyle w:val="ListParagraph"/>
        <w:numPr>
          <w:ilvl w:val="0"/>
          <w:numId w:val="22"/>
        </w:numPr>
        <w:spacing w:line="360" w:lineRule="auto"/>
        <w:jc w:val="both"/>
        <w:rPr>
          <w:rFonts w:ascii="Helvetica" w:hAnsi="Helvetica" w:cs="Helvetica"/>
          <w:sz w:val="20"/>
          <w:szCs w:val="20"/>
        </w:rPr>
      </w:pPr>
      <w:r w:rsidRPr="001D3FB1">
        <w:rPr>
          <w:rFonts w:ascii="Helvetica" w:hAnsi="Helvetica" w:cs="Helvetica"/>
          <w:sz w:val="20"/>
          <w:szCs w:val="20"/>
        </w:rPr>
        <w:t xml:space="preserve">J.F. </w:t>
      </w:r>
      <w:proofErr w:type="spellStart"/>
      <w:r w:rsidRPr="001D3FB1">
        <w:rPr>
          <w:rFonts w:ascii="Helvetica" w:hAnsi="Helvetica" w:cs="Helvetica"/>
          <w:sz w:val="20"/>
          <w:szCs w:val="20"/>
        </w:rPr>
        <w:t>Arinez</w:t>
      </w:r>
      <w:proofErr w:type="spellEnd"/>
      <w:r w:rsidRPr="001D3FB1">
        <w:rPr>
          <w:rFonts w:ascii="Helvetica" w:hAnsi="Helvetica" w:cs="Helvetica"/>
          <w:sz w:val="20"/>
          <w:szCs w:val="20"/>
        </w:rPr>
        <w:t xml:space="preserve">, Q. Chang, R.X. Gao, C. Xu, J. Zhang, Artificial intelligence in advanced manufacturing: current status and future outlook, J. Manuf. Sci. Eng. 142 (11) (2020) 110804, </w:t>
      </w:r>
      <w:hyperlink r:id="rId41" w:history="1">
        <w:r w:rsidRPr="001D3FB1">
          <w:rPr>
            <w:rStyle w:val="Hyperlink"/>
            <w:rFonts w:ascii="Helvetica" w:hAnsi="Helvetica" w:cs="Helvetica"/>
            <w:sz w:val="20"/>
            <w:szCs w:val="20"/>
          </w:rPr>
          <w:t>https://doi.org/10.1115/1.4047855</w:t>
        </w:r>
      </w:hyperlink>
      <w:r w:rsidRPr="001D3FB1">
        <w:rPr>
          <w:rFonts w:ascii="Helvetica" w:hAnsi="Helvetica" w:cs="Helvetica"/>
          <w:sz w:val="20"/>
          <w:szCs w:val="20"/>
        </w:rPr>
        <w:t>.</w:t>
      </w:r>
    </w:p>
    <w:p w14:paraId="58F75A6D" w14:textId="6300AD18" w:rsidR="003822F8" w:rsidRPr="001D3FB1" w:rsidRDefault="003822F8" w:rsidP="0020699E">
      <w:pPr>
        <w:pStyle w:val="ListParagraph"/>
        <w:numPr>
          <w:ilvl w:val="0"/>
          <w:numId w:val="22"/>
        </w:numPr>
        <w:spacing w:line="360" w:lineRule="auto"/>
        <w:jc w:val="both"/>
        <w:rPr>
          <w:rFonts w:ascii="Helvetica" w:hAnsi="Helvetica" w:cs="Helvetica"/>
          <w:sz w:val="20"/>
          <w:szCs w:val="20"/>
        </w:rPr>
      </w:pPr>
      <w:r w:rsidRPr="001D3FB1">
        <w:rPr>
          <w:rFonts w:ascii="Helvetica" w:hAnsi="Helvetica" w:cs="Helvetica"/>
          <w:sz w:val="20"/>
          <w:szCs w:val="20"/>
        </w:rPr>
        <w:t xml:space="preserve">M.A. Hoffmann, R. Lasch, Tackling industrial downtimes with artificial intelligence in data-driven maintenance, ACM Comput. </w:t>
      </w:r>
      <w:proofErr w:type="spellStart"/>
      <w:r w:rsidRPr="001D3FB1">
        <w:rPr>
          <w:rFonts w:ascii="Helvetica" w:hAnsi="Helvetica" w:cs="Helvetica"/>
          <w:sz w:val="20"/>
          <w:szCs w:val="20"/>
        </w:rPr>
        <w:t>Surv</w:t>
      </w:r>
      <w:proofErr w:type="spellEnd"/>
      <w:r w:rsidRPr="001D3FB1">
        <w:rPr>
          <w:rFonts w:ascii="Helvetica" w:hAnsi="Helvetica" w:cs="Helvetica"/>
          <w:sz w:val="20"/>
          <w:szCs w:val="20"/>
        </w:rPr>
        <w:t xml:space="preserve">. 56 (4) (2023) 1–33, </w:t>
      </w:r>
      <w:hyperlink r:id="rId42" w:history="1">
        <w:r w:rsidRPr="001D3FB1">
          <w:rPr>
            <w:rStyle w:val="Hyperlink"/>
            <w:rFonts w:ascii="Helvetica" w:hAnsi="Helvetica" w:cs="Helvetica"/>
            <w:sz w:val="20"/>
            <w:szCs w:val="20"/>
          </w:rPr>
          <w:t>https://doi.org/10.1145/3623378</w:t>
        </w:r>
      </w:hyperlink>
      <w:r w:rsidRPr="001D3FB1">
        <w:rPr>
          <w:rFonts w:ascii="Helvetica" w:hAnsi="Helvetica" w:cs="Helvetica"/>
          <w:sz w:val="20"/>
          <w:szCs w:val="20"/>
        </w:rPr>
        <w:t>.</w:t>
      </w:r>
    </w:p>
    <w:p w14:paraId="043D3D8F" w14:textId="5CFCFB4C" w:rsidR="003822F8" w:rsidRPr="001D3FB1" w:rsidRDefault="003822F8" w:rsidP="0020699E">
      <w:pPr>
        <w:pStyle w:val="ListParagraph"/>
        <w:numPr>
          <w:ilvl w:val="0"/>
          <w:numId w:val="22"/>
        </w:numPr>
        <w:spacing w:line="360" w:lineRule="auto"/>
        <w:jc w:val="both"/>
        <w:rPr>
          <w:rFonts w:ascii="Helvetica" w:hAnsi="Helvetica" w:cs="Helvetica"/>
          <w:sz w:val="20"/>
          <w:szCs w:val="20"/>
        </w:rPr>
      </w:pPr>
      <w:r w:rsidRPr="001D3FB1">
        <w:rPr>
          <w:rFonts w:ascii="Helvetica" w:hAnsi="Helvetica" w:cs="Helvetica"/>
          <w:sz w:val="20"/>
          <w:szCs w:val="20"/>
        </w:rPr>
        <w:t xml:space="preserve">S. Wang, Z. Shen, Z. Shen, Y. Dong, Y. Li, Y. Cao, Y. Zhang, S. Guo, J. Shuai, Y. Yang, C. Lin, Machine-learning micropattern manufacturing, Nano Today 38 (2021) 101152, </w:t>
      </w:r>
      <w:hyperlink r:id="rId43" w:history="1">
        <w:r w:rsidRPr="001D3FB1">
          <w:rPr>
            <w:rStyle w:val="Hyperlink"/>
            <w:rFonts w:ascii="Helvetica" w:hAnsi="Helvetica" w:cs="Helvetica"/>
            <w:sz w:val="20"/>
            <w:szCs w:val="20"/>
          </w:rPr>
          <w:t>https://doi.org/10.1016/J.NANTOD.2021.101152</w:t>
        </w:r>
      </w:hyperlink>
      <w:r w:rsidRPr="001D3FB1">
        <w:rPr>
          <w:rFonts w:ascii="Helvetica" w:hAnsi="Helvetica" w:cs="Helvetica"/>
          <w:sz w:val="20"/>
          <w:szCs w:val="20"/>
        </w:rPr>
        <w:t xml:space="preserve">. </w:t>
      </w:r>
    </w:p>
    <w:p w14:paraId="253DDFEF" w14:textId="5E3EF146" w:rsidR="003822F8" w:rsidRPr="001D3FB1" w:rsidRDefault="003822F8" w:rsidP="0020699E">
      <w:pPr>
        <w:pStyle w:val="ListParagraph"/>
        <w:numPr>
          <w:ilvl w:val="0"/>
          <w:numId w:val="22"/>
        </w:numPr>
        <w:spacing w:line="360" w:lineRule="auto"/>
        <w:jc w:val="both"/>
        <w:rPr>
          <w:rFonts w:ascii="Helvetica" w:hAnsi="Helvetica" w:cs="Helvetica"/>
          <w:sz w:val="20"/>
          <w:szCs w:val="20"/>
        </w:rPr>
      </w:pPr>
      <w:r w:rsidRPr="001D3FB1">
        <w:rPr>
          <w:rFonts w:ascii="Helvetica" w:hAnsi="Helvetica" w:cs="Helvetica"/>
          <w:sz w:val="20"/>
          <w:szCs w:val="20"/>
        </w:rPr>
        <w:lastRenderedPageBreak/>
        <w:t xml:space="preserve">Chaudhary V Sonu, A paradigm of internet-of-nano-things inspired intelligent plant pathogen-diagnostic biosensors, ECS Sens. Plus 1 (3) (2022) 031401, </w:t>
      </w:r>
      <w:hyperlink r:id="rId44" w:history="1">
        <w:r w:rsidRPr="001D3FB1">
          <w:rPr>
            <w:rStyle w:val="Hyperlink"/>
            <w:rFonts w:ascii="Helvetica" w:hAnsi="Helvetica" w:cs="Helvetica"/>
            <w:sz w:val="20"/>
            <w:szCs w:val="20"/>
          </w:rPr>
          <w:t>https://doi.org/10.1149/2754-2726/ac92ed</w:t>
        </w:r>
      </w:hyperlink>
      <w:r w:rsidRPr="001D3FB1">
        <w:rPr>
          <w:rFonts w:ascii="Helvetica" w:hAnsi="Helvetica" w:cs="Helvetica"/>
          <w:sz w:val="20"/>
          <w:szCs w:val="20"/>
        </w:rPr>
        <w:t xml:space="preserve">. </w:t>
      </w:r>
    </w:p>
    <w:p w14:paraId="6C6DFB25" w14:textId="380D5622" w:rsidR="003822F8" w:rsidRPr="001D3FB1" w:rsidRDefault="003822F8" w:rsidP="0020699E">
      <w:pPr>
        <w:pStyle w:val="ListParagraph"/>
        <w:numPr>
          <w:ilvl w:val="0"/>
          <w:numId w:val="22"/>
        </w:numPr>
        <w:spacing w:line="360" w:lineRule="auto"/>
        <w:jc w:val="both"/>
        <w:rPr>
          <w:rFonts w:ascii="Helvetica" w:hAnsi="Helvetica" w:cs="Helvetica"/>
          <w:sz w:val="20"/>
          <w:szCs w:val="20"/>
        </w:rPr>
      </w:pPr>
      <w:r w:rsidRPr="001D3FB1">
        <w:rPr>
          <w:rFonts w:ascii="Helvetica" w:hAnsi="Helvetica" w:cs="Helvetica"/>
          <w:sz w:val="20"/>
          <w:szCs w:val="20"/>
        </w:rPr>
        <w:t xml:space="preserve">A. Masood, K. Ahmad, A review on emerging artificial intelligence (AI) techniques for air pollution forecasting: fundamentals, application and performance, J Clean Prod 322 (2021) 129072, </w:t>
      </w:r>
      <w:r w:rsidRPr="001D3FB1">
        <w:rPr>
          <w:rFonts w:ascii="Helvetica" w:hAnsi="Helvetica" w:cs="Helvetica"/>
          <w:color w:val="2E74B5" w:themeColor="accent5" w:themeShade="BF"/>
          <w:sz w:val="20"/>
          <w:szCs w:val="20"/>
          <w:u w:val="single"/>
        </w:rPr>
        <w:t>https://doi.org/10.1016/j. jclepro.2021.129072</w:t>
      </w:r>
      <w:r w:rsidRPr="001D3FB1">
        <w:rPr>
          <w:rFonts w:ascii="Helvetica" w:hAnsi="Helvetica" w:cs="Helvetica"/>
          <w:sz w:val="20"/>
          <w:szCs w:val="20"/>
        </w:rPr>
        <w:t>.</w:t>
      </w:r>
    </w:p>
    <w:p w14:paraId="473C2B02" w14:textId="37405347" w:rsidR="003822F8" w:rsidRPr="001D3FB1" w:rsidRDefault="003822F8" w:rsidP="0020699E">
      <w:pPr>
        <w:pStyle w:val="ListParagraph"/>
        <w:numPr>
          <w:ilvl w:val="0"/>
          <w:numId w:val="22"/>
        </w:numPr>
        <w:spacing w:line="360" w:lineRule="auto"/>
        <w:jc w:val="both"/>
        <w:rPr>
          <w:rFonts w:ascii="Helvetica" w:hAnsi="Helvetica" w:cs="Helvetica"/>
          <w:sz w:val="20"/>
          <w:szCs w:val="20"/>
        </w:rPr>
      </w:pPr>
      <w:r w:rsidRPr="001D3FB1">
        <w:rPr>
          <w:rFonts w:ascii="Helvetica" w:hAnsi="Helvetica" w:cs="Helvetica"/>
          <w:sz w:val="20"/>
          <w:szCs w:val="20"/>
        </w:rPr>
        <w:t xml:space="preserve"> A.A. Beni, H. Jabbari, Nanomaterials for environmental applications, Results Eng. 15 (2022) 100467, </w:t>
      </w:r>
      <w:hyperlink r:id="rId45" w:history="1">
        <w:r w:rsidRPr="001D3FB1">
          <w:rPr>
            <w:rStyle w:val="Hyperlink"/>
            <w:rFonts w:ascii="Helvetica" w:hAnsi="Helvetica" w:cs="Helvetica"/>
            <w:sz w:val="20"/>
            <w:szCs w:val="20"/>
          </w:rPr>
          <w:t>https://doi.org/10.1016/j.rineng.2022.100467</w:t>
        </w:r>
      </w:hyperlink>
      <w:r w:rsidRPr="001D3FB1">
        <w:rPr>
          <w:rFonts w:ascii="Helvetica" w:hAnsi="Helvetica" w:cs="Helvetica"/>
          <w:sz w:val="20"/>
          <w:szCs w:val="20"/>
        </w:rPr>
        <w:t>.</w:t>
      </w:r>
    </w:p>
    <w:p w14:paraId="12A0D681" w14:textId="6CD0E669" w:rsidR="003822F8" w:rsidRPr="001D3FB1" w:rsidRDefault="003822F8" w:rsidP="0020699E">
      <w:pPr>
        <w:pStyle w:val="ListParagraph"/>
        <w:numPr>
          <w:ilvl w:val="0"/>
          <w:numId w:val="22"/>
        </w:numPr>
        <w:spacing w:line="360" w:lineRule="auto"/>
        <w:jc w:val="both"/>
        <w:rPr>
          <w:rFonts w:ascii="Helvetica" w:hAnsi="Helvetica" w:cs="Helvetica"/>
          <w:sz w:val="20"/>
          <w:szCs w:val="20"/>
        </w:rPr>
      </w:pPr>
      <w:r w:rsidRPr="001D3FB1">
        <w:rPr>
          <w:rFonts w:ascii="Helvetica" w:hAnsi="Helvetica" w:cs="Helvetica"/>
          <w:sz w:val="20"/>
          <w:szCs w:val="20"/>
        </w:rPr>
        <w:t xml:space="preserve"> L. Lei, R. Pang, Z. Han, D. Wu, B. Xie, Y. Su, Current applications and future impact of machine learning in emerging contaminants: a review, Crit. Rev. Environ. Sci. Technol. 53 (20) (2023) 1817–1835, </w:t>
      </w:r>
      <w:r w:rsidRPr="001D3FB1">
        <w:rPr>
          <w:rFonts w:ascii="Helvetica" w:hAnsi="Helvetica" w:cs="Helvetica"/>
          <w:color w:val="2E74B5" w:themeColor="accent5" w:themeShade="BF"/>
          <w:sz w:val="20"/>
          <w:szCs w:val="20"/>
          <w:u w:val="single"/>
        </w:rPr>
        <w:t>https://doi.org/10.1080/ 10643389.2023.2190313</w:t>
      </w:r>
      <w:r w:rsidRPr="001D3FB1">
        <w:rPr>
          <w:rFonts w:ascii="Helvetica" w:hAnsi="Helvetica" w:cs="Helvetica"/>
          <w:sz w:val="20"/>
          <w:szCs w:val="20"/>
        </w:rPr>
        <w:t xml:space="preserve">. </w:t>
      </w:r>
    </w:p>
    <w:p w14:paraId="4A4D1C63" w14:textId="7BBF87AF" w:rsidR="003822F8" w:rsidRPr="001D3FB1" w:rsidRDefault="003822F8" w:rsidP="0020699E">
      <w:pPr>
        <w:pStyle w:val="ListParagraph"/>
        <w:numPr>
          <w:ilvl w:val="0"/>
          <w:numId w:val="22"/>
        </w:numPr>
        <w:spacing w:line="360" w:lineRule="auto"/>
        <w:jc w:val="both"/>
        <w:rPr>
          <w:rFonts w:ascii="Helvetica" w:hAnsi="Helvetica" w:cs="Helvetica"/>
          <w:sz w:val="20"/>
          <w:szCs w:val="20"/>
        </w:rPr>
      </w:pPr>
      <w:r w:rsidRPr="001D3FB1">
        <w:rPr>
          <w:rFonts w:ascii="Helvetica" w:hAnsi="Helvetica" w:cs="Helvetica"/>
          <w:sz w:val="20"/>
          <w:szCs w:val="20"/>
        </w:rPr>
        <w:t>X. Yan, T. Yue, D.A. Winkler, Y. Yin, H. Zhu, G. Jiang, B. Yan,</w:t>
      </w:r>
      <w:r w:rsidR="00586D35" w:rsidRPr="001D3FB1">
        <w:rPr>
          <w:rFonts w:ascii="Helvetica" w:hAnsi="Helvetica" w:cs="Helvetica"/>
          <w:sz w:val="20"/>
          <w:szCs w:val="20"/>
        </w:rPr>
        <w:t xml:space="preserve"> converting</w:t>
      </w:r>
      <w:r w:rsidRPr="001D3FB1">
        <w:rPr>
          <w:rFonts w:ascii="Helvetica" w:hAnsi="Helvetica" w:cs="Helvetica"/>
          <w:sz w:val="20"/>
          <w:szCs w:val="20"/>
        </w:rPr>
        <w:t xml:space="preserve"> nanotoxicity data to information using artificial intelligence and simulation, Chem. Rev. 123 (13) (2023) 8575–8637, </w:t>
      </w:r>
      <w:r w:rsidRPr="001D3FB1">
        <w:rPr>
          <w:rFonts w:ascii="Helvetica" w:hAnsi="Helvetica" w:cs="Helvetica"/>
          <w:color w:val="2E74B5" w:themeColor="accent5" w:themeShade="BF"/>
          <w:sz w:val="20"/>
          <w:szCs w:val="20"/>
          <w:u w:val="single"/>
        </w:rPr>
        <w:t>https://doi.org/10.1021/acs. chemrev.3c00070</w:t>
      </w:r>
      <w:r w:rsidRPr="001D3FB1">
        <w:rPr>
          <w:rFonts w:ascii="Helvetica" w:hAnsi="Helvetica" w:cs="Helvetica"/>
          <w:sz w:val="20"/>
          <w:szCs w:val="20"/>
        </w:rPr>
        <w:t>.</w:t>
      </w:r>
    </w:p>
    <w:p w14:paraId="243B58DA" w14:textId="77777777" w:rsidR="00586D35" w:rsidRPr="001D3FB1" w:rsidRDefault="00586D35" w:rsidP="0020699E">
      <w:pPr>
        <w:pStyle w:val="ListParagraph"/>
        <w:numPr>
          <w:ilvl w:val="0"/>
          <w:numId w:val="22"/>
        </w:numPr>
        <w:spacing w:line="360" w:lineRule="auto"/>
        <w:jc w:val="both"/>
        <w:rPr>
          <w:rFonts w:ascii="Helvetica" w:hAnsi="Helvetica" w:cs="Helvetica"/>
          <w:sz w:val="20"/>
          <w:szCs w:val="20"/>
        </w:rPr>
      </w:pPr>
      <w:r w:rsidRPr="001D3FB1">
        <w:rPr>
          <w:rFonts w:ascii="Helvetica" w:hAnsi="Helvetica" w:cs="Helvetica"/>
          <w:sz w:val="20"/>
          <w:szCs w:val="20"/>
        </w:rPr>
        <w:t xml:space="preserve">A. </w:t>
      </w:r>
      <w:proofErr w:type="spellStart"/>
      <w:r w:rsidRPr="001D3FB1">
        <w:rPr>
          <w:rFonts w:ascii="Helvetica" w:hAnsi="Helvetica" w:cs="Helvetica"/>
          <w:sz w:val="20"/>
          <w:szCs w:val="20"/>
        </w:rPr>
        <w:t>Sarrami-Foroushani</w:t>
      </w:r>
      <w:proofErr w:type="spellEnd"/>
      <w:r w:rsidRPr="001D3FB1">
        <w:rPr>
          <w:rFonts w:ascii="Helvetica" w:hAnsi="Helvetica" w:cs="Helvetica"/>
          <w:sz w:val="20"/>
          <w:szCs w:val="20"/>
        </w:rPr>
        <w:t xml:space="preserve">, T. Lassila, M. MacRaild, J. Asquith, K.C.B. Roes, J. V. Byrne, A.F. </w:t>
      </w:r>
      <w:proofErr w:type="spellStart"/>
      <w:r w:rsidRPr="001D3FB1">
        <w:rPr>
          <w:rFonts w:ascii="Helvetica" w:hAnsi="Helvetica" w:cs="Helvetica"/>
          <w:sz w:val="20"/>
          <w:szCs w:val="20"/>
        </w:rPr>
        <w:t>Frangi</w:t>
      </w:r>
      <w:proofErr w:type="spellEnd"/>
      <w:r w:rsidRPr="001D3FB1">
        <w:rPr>
          <w:rFonts w:ascii="Helvetica" w:hAnsi="Helvetica" w:cs="Helvetica"/>
          <w:sz w:val="20"/>
          <w:szCs w:val="20"/>
        </w:rPr>
        <w:t xml:space="preserve">, In-silico trial of intracranial flow diverters replicates and expands insights from conventional clinical trials, Nat. Commun. 12 (2021) 3861, </w:t>
      </w:r>
      <w:r w:rsidRPr="001D3FB1">
        <w:rPr>
          <w:rFonts w:ascii="Helvetica" w:hAnsi="Helvetica" w:cs="Helvetica"/>
          <w:color w:val="2E74B5" w:themeColor="accent5" w:themeShade="BF"/>
          <w:sz w:val="20"/>
          <w:szCs w:val="20"/>
          <w:u w:val="single"/>
        </w:rPr>
        <w:t>https://doi.org/10.1038/s41467-021-23998-w</w:t>
      </w:r>
      <w:r w:rsidRPr="001D3FB1">
        <w:rPr>
          <w:rFonts w:ascii="Helvetica" w:hAnsi="Helvetica" w:cs="Helvetica"/>
          <w:sz w:val="20"/>
          <w:szCs w:val="20"/>
        </w:rPr>
        <w:t xml:space="preserve">. </w:t>
      </w:r>
    </w:p>
    <w:p w14:paraId="1109995B" w14:textId="7FA62737" w:rsidR="00586D35" w:rsidRPr="001D3FB1" w:rsidRDefault="00586D35" w:rsidP="0020699E">
      <w:pPr>
        <w:pStyle w:val="ListParagraph"/>
        <w:numPr>
          <w:ilvl w:val="0"/>
          <w:numId w:val="22"/>
        </w:numPr>
        <w:spacing w:line="360" w:lineRule="auto"/>
        <w:jc w:val="both"/>
        <w:rPr>
          <w:rFonts w:ascii="Helvetica" w:hAnsi="Helvetica" w:cs="Helvetica"/>
          <w:sz w:val="20"/>
          <w:szCs w:val="20"/>
        </w:rPr>
      </w:pPr>
      <w:r w:rsidRPr="001D3FB1">
        <w:rPr>
          <w:rFonts w:ascii="Helvetica" w:hAnsi="Helvetica" w:cs="Helvetica"/>
          <w:sz w:val="20"/>
          <w:szCs w:val="20"/>
        </w:rPr>
        <w:t xml:space="preserve">[138] Faris Owen, Shuren Jeffrey, An FDA Viewpoint on unique considerations for medical-device clinical trials, N. Engl. J. Med. 376 (2017) 1350–1357, </w:t>
      </w:r>
      <w:r w:rsidRPr="001D3FB1">
        <w:rPr>
          <w:rFonts w:ascii="Helvetica" w:hAnsi="Helvetica" w:cs="Helvetica"/>
          <w:color w:val="2E74B5" w:themeColor="accent5" w:themeShade="BF"/>
          <w:sz w:val="20"/>
          <w:szCs w:val="20"/>
          <w:u w:val="single"/>
        </w:rPr>
        <w:t>https:// doi.org/10.1056/NEJMra1512592</w:t>
      </w:r>
      <w:r w:rsidRPr="001D3FB1">
        <w:rPr>
          <w:rFonts w:ascii="Helvetica" w:hAnsi="Helvetica" w:cs="Helvetica"/>
          <w:sz w:val="20"/>
          <w:szCs w:val="20"/>
        </w:rPr>
        <w:t>.</w:t>
      </w:r>
    </w:p>
    <w:p w14:paraId="6702A51B" w14:textId="77777777" w:rsidR="00586D35" w:rsidRPr="001D3FB1" w:rsidRDefault="00586D35" w:rsidP="0020699E">
      <w:pPr>
        <w:pStyle w:val="ListParagraph"/>
        <w:numPr>
          <w:ilvl w:val="0"/>
          <w:numId w:val="22"/>
        </w:numPr>
        <w:spacing w:line="360" w:lineRule="auto"/>
        <w:jc w:val="both"/>
        <w:rPr>
          <w:rFonts w:ascii="Helvetica" w:hAnsi="Helvetica" w:cs="Helvetica"/>
          <w:sz w:val="20"/>
          <w:szCs w:val="20"/>
        </w:rPr>
      </w:pPr>
      <w:r w:rsidRPr="001D3FB1">
        <w:rPr>
          <w:rFonts w:ascii="Helvetica" w:hAnsi="Helvetica" w:cs="Helvetica"/>
          <w:sz w:val="20"/>
          <w:szCs w:val="20"/>
        </w:rPr>
        <w:t xml:space="preserve">V. Subbiah, The next generation of evidence-based medicine, Nat Med 29 (2023) 49–58, </w:t>
      </w:r>
      <w:r w:rsidRPr="001D3FB1">
        <w:rPr>
          <w:rFonts w:ascii="Helvetica" w:hAnsi="Helvetica" w:cs="Helvetica"/>
          <w:color w:val="2E74B5" w:themeColor="accent5" w:themeShade="BF"/>
          <w:sz w:val="20"/>
          <w:szCs w:val="20"/>
          <w:u w:val="single"/>
        </w:rPr>
        <w:t>https://doi.org/10.1038/s41591-022-02160-z</w:t>
      </w:r>
      <w:r w:rsidRPr="001D3FB1">
        <w:rPr>
          <w:rFonts w:ascii="Helvetica" w:hAnsi="Helvetica" w:cs="Helvetica"/>
          <w:sz w:val="20"/>
          <w:szCs w:val="20"/>
        </w:rPr>
        <w:t xml:space="preserve">. </w:t>
      </w:r>
    </w:p>
    <w:p w14:paraId="380B2799" w14:textId="3911306C" w:rsidR="00851949" w:rsidRPr="001D3FB1" w:rsidRDefault="00586D35" w:rsidP="0020699E">
      <w:pPr>
        <w:pStyle w:val="ListParagraph"/>
        <w:numPr>
          <w:ilvl w:val="0"/>
          <w:numId w:val="22"/>
        </w:numPr>
        <w:spacing w:line="360" w:lineRule="auto"/>
        <w:jc w:val="both"/>
        <w:rPr>
          <w:rFonts w:ascii="Helvetica" w:hAnsi="Helvetica" w:cs="Helvetica"/>
          <w:sz w:val="20"/>
          <w:szCs w:val="20"/>
        </w:rPr>
      </w:pPr>
      <w:r w:rsidRPr="001D3FB1">
        <w:rPr>
          <w:rFonts w:ascii="Helvetica" w:hAnsi="Helvetica" w:cs="Helvetica"/>
          <w:sz w:val="20"/>
          <w:szCs w:val="20"/>
        </w:rPr>
        <w:t xml:space="preserve">G. Marquis-Gravel, M.T. Roe, M.P. </w:t>
      </w:r>
      <w:proofErr w:type="spellStart"/>
      <w:r w:rsidRPr="001D3FB1">
        <w:rPr>
          <w:rFonts w:ascii="Helvetica" w:hAnsi="Helvetica" w:cs="Helvetica"/>
          <w:sz w:val="20"/>
          <w:szCs w:val="20"/>
        </w:rPr>
        <w:t>Turakhia</w:t>
      </w:r>
      <w:proofErr w:type="spellEnd"/>
      <w:r w:rsidRPr="001D3FB1">
        <w:rPr>
          <w:rFonts w:ascii="Helvetica" w:hAnsi="Helvetica" w:cs="Helvetica"/>
          <w:sz w:val="20"/>
          <w:szCs w:val="20"/>
        </w:rPr>
        <w:t xml:space="preserve">, W. Boden, R. Temple, A. Sharma, B. Hirshberg, P. Slater, N. Craft, N. Stockbridge, B. McDowell, J. </w:t>
      </w:r>
      <w:proofErr w:type="spellStart"/>
      <w:r w:rsidRPr="001D3FB1">
        <w:rPr>
          <w:rFonts w:ascii="Helvetica" w:hAnsi="Helvetica" w:cs="Helvetica"/>
          <w:sz w:val="20"/>
          <w:szCs w:val="20"/>
        </w:rPr>
        <w:t>Waldstreicher</w:t>
      </w:r>
      <w:proofErr w:type="spellEnd"/>
      <w:r w:rsidRPr="001D3FB1">
        <w:rPr>
          <w:rFonts w:ascii="Helvetica" w:hAnsi="Helvetica" w:cs="Helvetica"/>
          <w:sz w:val="20"/>
          <w:szCs w:val="20"/>
        </w:rPr>
        <w:t xml:space="preserve">, A. </w:t>
      </w:r>
      <w:proofErr w:type="spellStart"/>
      <w:r w:rsidRPr="001D3FB1">
        <w:rPr>
          <w:rFonts w:ascii="Helvetica" w:hAnsi="Helvetica" w:cs="Helvetica"/>
          <w:sz w:val="20"/>
          <w:szCs w:val="20"/>
        </w:rPr>
        <w:t>Bourla</w:t>
      </w:r>
      <w:proofErr w:type="spellEnd"/>
      <w:r w:rsidRPr="001D3FB1">
        <w:rPr>
          <w:rFonts w:ascii="Helvetica" w:hAnsi="Helvetica" w:cs="Helvetica"/>
          <w:sz w:val="20"/>
          <w:szCs w:val="20"/>
        </w:rPr>
        <w:t xml:space="preserve">, S. Bansilal, J.L. Wong, C. Meunier, H. Kassahun, P. Coran, L. Bataille, B. Patrick-Lake, B. Hirsch, J. </w:t>
      </w:r>
      <w:proofErr w:type="spellStart"/>
      <w:r w:rsidRPr="001D3FB1">
        <w:rPr>
          <w:rFonts w:ascii="Helvetica" w:hAnsi="Helvetica" w:cs="Helvetica"/>
          <w:sz w:val="20"/>
          <w:szCs w:val="20"/>
        </w:rPr>
        <w:t>Reites</w:t>
      </w:r>
      <w:proofErr w:type="spellEnd"/>
      <w:r w:rsidRPr="001D3FB1">
        <w:rPr>
          <w:rFonts w:ascii="Helvetica" w:hAnsi="Helvetica" w:cs="Helvetica"/>
          <w:sz w:val="20"/>
          <w:szCs w:val="20"/>
        </w:rPr>
        <w:t xml:space="preserve">, R. Mehta, E.D. Muse, K.J. </w:t>
      </w:r>
      <w:proofErr w:type="spellStart"/>
      <w:r w:rsidRPr="001D3FB1">
        <w:rPr>
          <w:rFonts w:ascii="Helvetica" w:hAnsi="Helvetica" w:cs="Helvetica"/>
          <w:sz w:val="20"/>
          <w:szCs w:val="20"/>
        </w:rPr>
        <w:t>Chandross</w:t>
      </w:r>
      <w:proofErr w:type="spellEnd"/>
      <w:r w:rsidRPr="001D3FB1">
        <w:rPr>
          <w:rFonts w:ascii="Helvetica" w:hAnsi="Helvetica" w:cs="Helvetica"/>
          <w:sz w:val="20"/>
          <w:szCs w:val="20"/>
        </w:rPr>
        <w:t xml:space="preserve">, J. C. Silverstein, C. Silcox, J.M. Overhage, R.M. Califf, E.D. Peterson, Technology- enabled clinical trials, Circulation 140 (2019) 1426–1436, </w:t>
      </w:r>
      <w:r w:rsidRPr="001D3FB1">
        <w:rPr>
          <w:rFonts w:ascii="Helvetica" w:hAnsi="Helvetica" w:cs="Helvetica"/>
          <w:color w:val="2E74B5" w:themeColor="accent5" w:themeShade="BF"/>
          <w:sz w:val="20"/>
          <w:szCs w:val="20"/>
          <w:u w:val="single"/>
        </w:rPr>
        <w:t>https://doi.org/ 10.1161/CIRCULATIONAHA.119.040798</w:t>
      </w:r>
      <w:r w:rsidRPr="001D3FB1">
        <w:rPr>
          <w:rFonts w:ascii="Helvetica" w:hAnsi="Helvetica" w:cs="Helvetica"/>
          <w:sz w:val="20"/>
          <w:szCs w:val="20"/>
        </w:rPr>
        <w:t>.</w:t>
      </w:r>
    </w:p>
    <w:p w14:paraId="1D07A157" w14:textId="445E8CAC" w:rsidR="00851949" w:rsidRPr="001D3FB1" w:rsidRDefault="00586D35" w:rsidP="0020699E">
      <w:pPr>
        <w:pStyle w:val="ListParagraph"/>
        <w:numPr>
          <w:ilvl w:val="0"/>
          <w:numId w:val="22"/>
        </w:numPr>
        <w:spacing w:line="360" w:lineRule="auto"/>
        <w:jc w:val="both"/>
        <w:rPr>
          <w:rFonts w:ascii="Helvetica" w:hAnsi="Helvetica" w:cs="Helvetica"/>
          <w:sz w:val="20"/>
          <w:szCs w:val="20"/>
        </w:rPr>
      </w:pPr>
      <w:r w:rsidRPr="001D3FB1">
        <w:rPr>
          <w:rFonts w:ascii="Helvetica" w:hAnsi="Helvetica" w:cs="Helvetica"/>
          <w:sz w:val="20"/>
          <w:szCs w:val="20"/>
        </w:rPr>
        <w:t xml:space="preserve"> D.C. Klonoff, </w:t>
      </w:r>
      <w:r w:rsidR="008A62EB" w:rsidRPr="001D3FB1">
        <w:rPr>
          <w:rFonts w:ascii="Helvetica" w:hAnsi="Helvetica" w:cs="Helvetica"/>
          <w:sz w:val="20"/>
          <w:szCs w:val="20"/>
        </w:rPr>
        <w:t>t</w:t>
      </w:r>
      <w:r w:rsidRPr="001D3FB1">
        <w:rPr>
          <w:rFonts w:ascii="Helvetica" w:hAnsi="Helvetica" w:cs="Helvetica"/>
          <w:sz w:val="20"/>
          <w:szCs w:val="20"/>
        </w:rPr>
        <w:t xml:space="preserve">he new FDA real-world evidence program to support development of drugs and Biologics, J. Diabetes Sci. Technol. 14 (2019) 345–349, </w:t>
      </w:r>
      <w:r w:rsidRPr="001D3FB1">
        <w:rPr>
          <w:rFonts w:ascii="Helvetica" w:hAnsi="Helvetica" w:cs="Helvetica"/>
          <w:color w:val="2E74B5" w:themeColor="accent5" w:themeShade="BF"/>
          <w:sz w:val="20"/>
          <w:szCs w:val="20"/>
          <w:u w:val="single"/>
        </w:rPr>
        <w:t>https://doi. org/10.1177/1932296819832661</w:t>
      </w:r>
      <w:r w:rsidRPr="001D3FB1">
        <w:rPr>
          <w:rFonts w:ascii="Helvetica" w:hAnsi="Helvetica" w:cs="Helvetica"/>
          <w:sz w:val="20"/>
          <w:szCs w:val="20"/>
        </w:rPr>
        <w:t xml:space="preserve">. </w:t>
      </w:r>
    </w:p>
    <w:p w14:paraId="223F897C" w14:textId="30897188" w:rsidR="00586D35" w:rsidRPr="001D3FB1" w:rsidRDefault="00586D35" w:rsidP="0020699E">
      <w:pPr>
        <w:pStyle w:val="ListParagraph"/>
        <w:numPr>
          <w:ilvl w:val="0"/>
          <w:numId w:val="22"/>
        </w:numPr>
        <w:spacing w:line="360" w:lineRule="auto"/>
        <w:jc w:val="both"/>
        <w:rPr>
          <w:rFonts w:ascii="Helvetica" w:hAnsi="Helvetica" w:cs="Helvetica"/>
          <w:sz w:val="20"/>
          <w:szCs w:val="20"/>
        </w:rPr>
      </w:pPr>
      <w:r w:rsidRPr="001D3FB1">
        <w:rPr>
          <w:rFonts w:ascii="Helvetica" w:hAnsi="Helvetica" w:cs="Helvetica"/>
          <w:sz w:val="20"/>
          <w:szCs w:val="20"/>
        </w:rPr>
        <w:t xml:space="preserve">C.A. Purpura, E.M. Garry, N. Honig, A. Case, J.A. Rassen, The role of real-world evidence in FDA-approved new drug and Biologics License applications, Clin. </w:t>
      </w:r>
      <w:proofErr w:type="spellStart"/>
      <w:r w:rsidRPr="001D3FB1">
        <w:rPr>
          <w:rFonts w:ascii="Helvetica" w:hAnsi="Helvetica" w:cs="Helvetica"/>
          <w:sz w:val="20"/>
          <w:szCs w:val="20"/>
        </w:rPr>
        <w:t>Pharmacol</w:t>
      </w:r>
      <w:proofErr w:type="spellEnd"/>
      <w:r w:rsidRPr="001D3FB1">
        <w:rPr>
          <w:rFonts w:ascii="Helvetica" w:hAnsi="Helvetica" w:cs="Helvetica"/>
          <w:sz w:val="20"/>
          <w:szCs w:val="20"/>
        </w:rPr>
        <w:t xml:space="preserve">. Ther. 111 (2022) 135–144, </w:t>
      </w:r>
      <w:hyperlink r:id="rId46" w:history="1">
        <w:r w:rsidR="00851949" w:rsidRPr="001D3FB1">
          <w:rPr>
            <w:rStyle w:val="Hyperlink"/>
            <w:rFonts w:ascii="Helvetica" w:hAnsi="Helvetica" w:cs="Helvetica"/>
            <w:sz w:val="20"/>
            <w:szCs w:val="20"/>
          </w:rPr>
          <w:t>https://doi.org/10.1002/cpt.2474</w:t>
        </w:r>
      </w:hyperlink>
      <w:r w:rsidRPr="001D3FB1">
        <w:rPr>
          <w:rFonts w:ascii="Helvetica" w:hAnsi="Helvetica" w:cs="Helvetica"/>
          <w:sz w:val="20"/>
          <w:szCs w:val="20"/>
        </w:rPr>
        <w:t>.</w:t>
      </w:r>
    </w:p>
    <w:p w14:paraId="4651D943" w14:textId="77777777" w:rsidR="00851949" w:rsidRPr="001D3FB1" w:rsidRDefault="00851949" w:rsidP="0020699E">
      <w:pPr>
        <w:pStyle w:val="ListParagraph"/>
        <w:numPr>
          <w:ilvl w:val="0"/>
          <w:numId w:val="22"/>
        </w:numPr>
        <w:spacing w:line="360" w:lineRule="auto"/>
        <w:jc w:val="both"/>
        <w:rPr>
          <w:rFonts w:ascii="Helvetica" w:hAnsi="Helvetica" w:cs="Helvetica"/>
          <w:sz w:val="20"/>
          <w:szCs w:val="20"/>
        </w:rPr>
      </w:pPr>
      <w:r w:rsidRPr="001D3FB1">
        <w:rPr>
          <w:rFonts w:ascii="Helvetica" w:hAnsi="Helvetica" w:cs="Helvetica"/>
          <w:sz w:val="20"/>
          <w:szCs w:val="20"/>
        </w:rPr>
        <w:t xml:space="preserve">T. Yu, G. Jiang, R. Gao, G. Chen, Y. Ren, J. Liu, H.C. van der Mei, H.J. Busscher, Circumventing antimicrobial-resistance and preventing its development in novel, bacterial infection-control strategies, Exp. Opinion Drug Deliv 17 (8) (2020) 1151–1164, </w:t>
      </w:r>
      <w:r w:rsidRPr="001D3FB1">
        <w:rPr>
          <w:rFonts w:ascii="Helvetica" w:hAnsi="Helvetica" w:cs="Helvetica"/>
          <w:color w:val="2E74B5" w:themeColor="accent5" w:themeShade="BF"/>
          <w:sz w:val="20"/>
          <w:szCs w:val="20"/>
        </w:rPr>
        <w:t>https://doi.org/10.1080/17425247.2020.1779697</w:t>
      </w:r>
      <w:r w:rsidRPr="001D3FB1">
        <w:rPr>
          <w:rFonts w:ascii="Helvetica" w:hAnsi="Helvetica" w:cs="Helvetica"/>
          <w:sz w:val="20"/>
          <w:szCs w:val="20"/>
        </w:rPr>
        <w:t xml:space="preserve">. </w:t>
      </w:r>
    </w:p>
    <w:p w14:paraId="62A3AC28" w14:textId="41E6F475" w:rsidR="00851949" w:rsidRPr="001D3FB1" w:rsidRDefault="00851949" w:rsidP="0020699E">
      <w:pPr>
        <w:pStyle w:val="ListParagraph"/>
        <w:numPr>
          <w:ilvl w:val="0"/>
          <w:numId w:val="22"/>
        </w:numPr>
        <w:spacing w:line="360" w:lineRule="auto"/>
        <w:jc w:val="both"/>
        <w:rPr>
          <w:rFonts w:ascii="Helvetica" w:hAnsi="Helvetica" w:cs="Helvetica"/>
          <w:sz w:val="20"/>
          <w:szCs w:val="20"/>
        </w:rPr>
      </w:pPr>
      <w:r w:rsidRPr="001D3FB1">
        <w:rPr>
          <w:rFonts w:ascii="Helvetica" w:hAnsi="Helvetica" w:cs="Helvetica"/>
          <w:sz w:val="20"/>
          <w:szCs w:val="20"/>
        </w:rPr>
        <w:t xml:space="preserve">A.R. </w:t>
      </w:r>
      <w:proofErr w:type="spellStart"/>
      <w:r w:rsidRPr="001D3FB1">
        <w:rPr>
          <w:rFonts w:ascii="Helvetica" w:hAnsi="Helvetica" w:cs="Helvetica"/>
          <w:sz w:val="20"/>
          <w:szCs w:val="20"/>
        </w:rPr>
        <w:t>Kirtane</w:t>
      </w:r>
      <w:proofErr w:type="spellEnd"/>
      <w:r w:rsidRPr="001D3FB1">
        <w:rPr>
          <w:rFonts w:ascii="Helvetica" w:hAnsi="Helvetica" w:cs="Helvetica"/>
          <w:sz w:val="20"/>
          <w:szCs w:val="20"/>
        </w:rPr>
        <w:t xml:space="preserve">, M. Verma, P. Karandikar, J. Furin, R. Langer, G. Traverso, Nanotechnology approaches for global infectious diseases, Nat. Nanotech. 16 (2021) 369–384, </w:t>
      </w:r>
      <w:hyperlink r:id="rId47" w:history="1">
        <w:r w:rsidRPr="001D3FB1">
          <w:rPr>
            <w:rStyle w:val="Hyperlink"/>
            <w:rFonts w:ascii="Helvetica" w:hAnsi="Helvetica" w:cs="Helvetica"/>
            <w:sz w:val="20"/>
            <w:szCs w:val="20"/>
          </w:rPr>
          <w:t>https://doi.org/10.1038/s41565-021-00866-8</w:t>
        </w:r>
      </w:hyperlink>
      <w:r w:rsidRPr="001D3FB1">
        <w:rPr>
          <w:rFonts w:ascii="Helvetica" w:hAnsi="Helvetica" w:cs="Helvetica"/>
          <w:sz w:val="20"/>
          <w:szCs w:val="20"/>
        </w:rPr>
        <w:t>.</w:t>
      </w:r>
    </w:p>
    <w:p w14:paraId="20695598" w14:textId="2D2E28DD" w:rsidR="00851949" w:rsidRPr="001D3FB1" w:rsidRDefault="00851949" w:rsidP="0020699E">
      <w:pPr>
        <w:pStyle w:val="ListParagraph"/>
        <w:numPr>
          <w:ilvl w:val="0"/>
          <w:numId w:val="22"/>
        </w:numPr>
        <w:spacing w:line="360" w:lineRule="auto"/>
        <w:jc w:val="both"/>
        <w:rPr>
          <w:rFonts w:ascii="Helvetica" w:hAnsi="Helvetica" w:cs="Helvetica"/>
          <w:sz w:val="20"/>
          <w:szCs w:val="20"/>
        </w:rPr>
      </w:pPr>
      <w:r w:rsidRPr="001D3FB1">
        <w:rPr>
          <w:rFonts w:ascii="Helvetica" w:hAnsi="Helvetica" w:cs="Helvetica"/>
          <w:sz w:val="20"/>
          <w:szCs w:val="20"/>
        </w:rPr>
        <w:lastRenderedPageBreak/>
        <w:t xml:space="preserve">J. Butler, R.D. Handy, M. Upton, A. </w:t>
      </w:r>
      <w:proofErr w:type="spellStart"/>
      <w:r w:rsidRPr="001D3FB1">
        <w:rPr>
          <w:rFonts w:ascii="Helvetica" w:hAnsi="Helvetica" w:cs="Helvetica"/>
          <w:sz w:val="20"/>
          <w:szCs w:val="20"/>
        </w:rPr>
        <w:t>Besinis</w:t>
      </w:r>
      <w:proofErr w:type="spellEnd"/>
      <w:r w:rsidRPr="001D3FB1">
        <w:rPr>
          <w:rFonts w:ascii="Helvetica" w:hAnsi="Helvetica" w:cs="Helvetica"/>
          <w:sz w:val="20"/>
          <w:szCs w:val="20"/>
        </w:rPr>
        <w:t xml:space="preserve">, Review of antimicrobial </w:t>
      </w:r>
      <w:proofErr w:type="spellStart"/>
      <w:r w:rsidRPr="001D3FB1">
        <w:rPr>
          <w:rFonts w:ascii="Helvetica" w:hAnsi="Helvetica" w:cs="Helvetica"/>
          <w:sz w:val="20"/>
          <w:szCs w:val="20"/>
        </w:rPr>
        <w:t>nanocoatings</w:t>
      </w:r>
      <w:proofErr w:type="spellEnd"/>
      <w:r w:rsidRPr="001D3FB1">
        <w:rPr>
          <w:rFonts w:ascii="Helvetica" w:hAnsi="Helvetica" w:cs="Helvetica"/>
          <w:sz w:val="20"/>
          <w:szCs w:val="20"/>
        </w:rPr>
        <w:t xml:space="preserve"> in medicine and dentistry: mechanisms of action, biocompatibility performance, safety, and benefits compared to antibiotics, ACS Nano 17 (2023) 7064–7092, </w:t>
      </w:r>
      <w:hyperlink r:id="rId48" w:history="1">
        <w:r w:rsidRPr="001D3FB1">
          <w:rPr>
            <w:rStyle w:val="Hyperlink"/>
            <w:rFonts w:ascii="Helvetica" w:hAnsi="Helvetica" w:cs="Helvetica"/>
            <w:sz w:val="20"/>
            <w:szCs w:val="20"/>
          </w:rPr>
          <w:t>https://doi.org/10.1021/acsnano.2c12488</w:t>
        </w:r>
      </w:hyperlink>
      <w:r w:rsidRPr="001D3FB1">
        <w:rPr>
          <w:rFonts w:ascii="Helvetica" w:hAnsi="Helvetica" w:cs="Helvetica"/>
          <w:sz w:val="20"/>
          <w:szCs w:val="20"/>
        </w:rPr>
        <w:t xml:space="preserve">. </w:t>
      </w:r>
    </w:p>
    <w:p w14:paraId="5BC40FD8" w14:textId="5580DE3D" w:rsidR="00851949" w:rsidRPr="001D3FB1" w:rsidRDefault="00851949" w:rsidP="0020699E">
      <w:pPr>
        <w:pStyle w:val="ListParagraph"/>
        <w:numPr>
          <w:ilvl w:val="0"/>
          <w:numId w:val="22"/>
        </w:numPr>
        <w:spacing w:line="360" w:lineRule="auto"/>
        <w:jc w:val="both"/>
        <w:rPr>
          <w:rFonts w:ascii="Helvetica" w:hAnsi="Helvetica" w:cs="Helvetica"/>
          <w:sz w:val="20"/>
          <w:szCs w:val="20"/>
        </w:rPr>
      </w:pPr>
      <w:r w:rsidRPr="001D3FB1">
        <w:rPr>
          <w:rFonts w:ascii="Helvetica" w:hAnsi="Helvetica" w:cs="Helvetica"/>
          <w:sz w:val="20"/>
          <w:szCs w:val="20"/>
        </w:rPr>
        <w:t xml:space="preserve">F. </w:t>
      </w:r>
      <w:proofErr w:type="spellStart"/>
      <w:r w:rsidRPr="001D3FB1">
        <w:rPr>
          <w:rFonts w:ascii="Helvetica" w:hAnsi="Helvetica" w:cs="Helvetica"/>
          <w:sz w:val="20"/>
          <w:szCs w:val="20"/>
        </w:rPr>
        <w:t>Aflakian</w:t>
      </w:r>
      <w:proofErr w:type="spellEnd"/>
      <w:r w:rsidRPr="001D3FB1">
        <w:rPr>
          <w:rFonts w:ascii="Helvetica" w:hAnsi="Helvetica" w:cs="Helvetica"/>
          <w:sz w:val="20"/>
          <w:szCs w:val="20"/>
        </w:rPr>
        <w:t xml:space="preserve">, F. </w:t>
      </w:r>
      <w:proofErr w:type="spellStart"/>
      <w:r w:rsidRPr="001D3FB1">
        <w:rPr>
          <w:rFonts w:ascii="Helvetica" w:hAnsi="Helvetica" w:cs="Helvetica"/>
          <w:sz w:val="20"/>
          <w:szCs w:val="20"/>
        </w:rPr>
        <w:t>Mirzavi</w:t>
      </w:r>
      <w:proofErr w:type="spellEnd"/>
      <w:r w:rsidRPr="001D3FB1">
        <w:rPr>
          <w:rFonts w:ascii="Helvetica" w:hAnsi="Helvetica" w:cs="Helvetica"/>
          <w:sz w:val="20"/>
          <w:szCs w:val="20"/>
        </w:rPr>
        <w:t xml:space="preserve">, H.T. </w:t>
      </w:r>
      <w:proofErr w:type="spellStart"/>
      <w:r w:rsidRPr="001D3FB1">
        <w:rPr>
          <w:rFonts w:ascii="Helvetica" w:hAnsi="Helvetica" w:cs="Helvetica"/>
          <w:sz w:val="20"/>
          <w:szCs w:val="20"/>
        </w:rPr>
        <w:t>Aiyelabegan</w:t>
      </w:r>
      <w:proofErr w:type="spellEnd"/>
      <w:r w:rsidRPr="001D3FB1">
        <w:rPr>
          <w:rFonts w:ascii="Helvetica" w:hAnsi="Helvetica" w:cs="Helvetica"/>
          <w:sz w:val="20"/>
          <w:szCs w:val="20"/>
        </w:rPr>
        <w:t xml:space="preserve">, A. Soleimani, J.G. </w:t>
      </w:r>
      <w:proofErr w:type="spellStart"/>
      <w:r w:rsidRPr="001D3FB1">
        <w:rPr>
          <w:rFonts w:ascii="Helvetica" w:hAnsi="Helvetica" w:cs="Helvetica"/>
          <w:sz w:val="20"/>
          <w:szCs w:val="20"/>
        </w:rPr>
        <w:t>Navashenaq</w:t>
      </w:r>
      <w:proofErr w:type="spellEnd"/>
      <w:r w:rsidRPr="001D3FB1">
        <w:rPr>
          <w:rFonts w:ascii="Helvetica" w:hAnsi="Helvetica" w:cs="Helvetica"/>
          <w:sz w:val="20"/>
          <w:szCs w:val="20"/>
        </w:rPr>
        <w:t xml:space="preserve">, I. Karimi- Sani, A.R. Zomorodi, R. </w:t>
      </w:r>
      <w:proofErr w:type="spellStart"/>
      <w:r w:rsidRPr="001D3FB1">
        <w:rPr>
          <w:rFonts w:ascii="Helvetica" w:hAnsi="Helvetica" w:cs="Helvetica"/>
          <w:sz w:val="20"/>
          <w:szCs w:val="20"/>
        </w:rPr>
        <w:t>Vakili-Ghartavol</w:t>
      </w:r>
      <w:proofErr w:type="spellEnd"/>
      <w:r w:rsidRPr="001D3FB1">
        <w:rPr>
          <w:rFonts w:ascii="Helvetica" w:hAnsi="Helvetica" w:cs="Helvetica"/>
          <w:sz w:val="20"/>
          <w:szCs w:val="20"/>
        </w:rPr>
        <w:t xml:space="preserve">, Nanoparticles-based therapeutics for the management of bacterial infections: a special emphasis on FDA approved products and clinical trials, Eur. J. Pharm. Sci. 188 (2023) 106515, </w:t>
      </w:r>
      <w:r w:rsidRPr="001D3FB1">
        <w:rPr>
          <w:rFonts w:ascii="Helvetica" w:hAnsi="Helvetica" w:cs="Helvetica"/>
          <w:color w:val="2E74B5" w:themeColor="accent5" w:themeShade="BF"/>
          <w:sz w:val="20"/>
          <w:szCs w:val="20"/>
          <w:u w:val="single"/>
        </w:rPr>
        <w:t>https://doi.org/ 10.1016/j.ejps.2023.106515</w:t>
      </w:r>
      <w:r w:rsidRPr="001D3FB1">
        <w:rPr>
          <w:rFonts w:ascii="Helvetica" w:hAnsi="Helvetica" w:cs="Helvetica"/>
          <w:sz w:val="20"/>
          <w:szCs w:val="20"/>
        </w:rPr>
        <w:t>.</w:t>
      </w:r>
    </w:p>
    <w:p w14:paraId="14A10B67" w14:textId="531C0ADC" w:rsidR="00851949" w:rsidRPr="001D3FB1" w:rsidRDefault="00851949" w:rsidP="0020699E">
      <w:pPr>
        <w:pStyle w:val="ListParagraph"/>
        <w:numPr>
          <w:ilvl w:val="0"/>
          <w:numId w:val="22"/>
        </w:numPr>
        <w:spacing w:line="360" w:lineRule="auto"/>
        <w:jc w:val="both"/>
        <w:rPr>
          <w:rFonts w:ascii="Helvetica" w:hAnsi="Helvetica" w:cs="Helvetica"/>
          <w:sz w:val="20"/>
          <w:szCs w:val="20"/>
        </w:rPr>
      </w:pPr>
      <w:r w:rsidRPr="001D3FB1">
        <w:rPr>
          <w:rFonts w:ascii="Helvetica" w:hAnsi="Helvetica" w:cs="Helvetica"/>
          <w:sz w:val="20"/>
          <w:szCs w:val="20"/>
        </w:rPr>
        <w:t xml:space="preserve">M.J. Mitchell, M.M. Billingsley, R.M. Haley, M.E. Wechsler, N.A. Peppas, R. Langer, Engineering precision nanoparticles for drug delivery, Nat. Rev. Drug </w:t>
      </w:r>
      <w:proofErr w:type="spellStart"/>
      <w:r w:rsidRPr="001D3FB1">
        <w:rPr>
          <w:rFonts w:ascii="Helvetica" w:hAnsi="Helvetica" w:cs="Helvetica"/>
          <w:sz w:val="20"/>
          <w:szCs w:val="20"/>
        </w:rPr>
        <w:t>Discov</w:t>
      </w:r>
      <w:proofErr w:type="spellEnd"/>
      <w:r w:rsidRPr="001D3FB1">
        <w:rPr>
          <w:rFonts w:ascii="Helvetica" w:hAnsi="Helvetica" w:cs="Helvetica"/>
          <w:sz w:val="20"/>
          <w:szCs w:val="20"/>
        </w:rPr>
        <w:t xml:space="preserve">. 20 (2021) 101–124, </w:t>
      </w:r>
      <w:r w:rsidRPr="001D3FB1">
        <w:rPr>
          <w:rFonts w:ascii="Helvetica" w:hAnsi="Helvetica" w:cs="Helvetica"/>
          <w:color w:val="2E74B5" w:themeColor="accent5" w:themeShade="BF"/>
          <w:sz w:val="20"/>
          <w:szCs w:val="20"/>
          <w:u w:val="single"/>
        </w:rPr>
        <w:t>https://doi.org/10.1038/s41573-020-0090-8</w:t>
      </w:r>
      <w:r w:rsidRPr="001D3FB1">
        <w:rPr>
          <w:rFonts w:ascii="Helvetica" w:hAnsi="Helvetica" w:cs="Helvetica"/>
          <w:sz w:val="20"/>
          <w:szCs w:val="20"/>
        </w:rPr>
        <w:t>.</w:t>
      </w:r>
    </w:p>
    <w:sectPr w:rsidR="00851949" w:rsidRPr="001D3FB1" w:rsidSect="00FC2A2F">
      <w:headerReference w:type="even" r:id="rId49"/>
      <w:headerReference w:type="default" r:id="rId50"/>
      <w:footerReference w:type="even" r:id="rId51"/>
      <w:footerReference w:type="default" r:id="rId52"/>
      <w:headerReference w:type="first" r:id="rId53"/>
      <w:footerReference w:type="first" r:id="rId54"/>
      <w:pgSz w:w="11906" w:h="16838"/>
      <w:pgMar w:top="1440" w:right="849" w:bottom="1440" w:left="1440" w:header="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BD9979" w14:textId="77777777" w:rsidR="00E10C58" w:rsidRDefault="00E10C58">
      <w:pPr>
        <w:spacing w:after="0" w:line="240" w:lineRule="auto"/>
      </w:pPr>
      <w:r>
        <w:separator/>
      </w:r>
    </w:p>
  </w:endnote>
  <w:endnote w:type="continuationSeparator" w:id="0">
    <w:p w14:paraId="6D9A671B" w14:textId="77777777" w:rsidR="00E10C58" w:rsidRDefault="00E10C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8417F" w14:textId="77777777" w:rsidR="00EE6E4E" w:rsidRDefault="00EE6E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76796" w14:textId="77777777" w:rsidR="00EE6E4E" w:rsidRDefault="00EE6E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6F669A" w14:textId="77777777" w:rsidR="00EE6E4E" w:rsidRDefault="00EE6E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314B46" w14:textId="77777777" w:rsidR="00E10C58" w:rsidRDefault="00E10C58">
      <w:pPr>
        <w:spacing w:after="0" w:line="240" w:lineRule="auto"/>
      </w:pPr>
      <w:r>
        <w:separator/>
      </w:r>
    </w:p>
  </w:footnote>
  <w:footnote w:type="continuationSeparator" w:id="0">
    <w:p w14:paraId="18B0CE2B" w14:textId="77777777" w:rsidR="00E10C58" w:rsidRDefault="00E10C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E6624" w14:textId="1863C028" w:rsidR="00EE6E4E" w:rsidRDefault="00EE6E4E">
    <w:pPr>
      <w:pStyle w:val="Header"/>
    </w:pPr>
    <w:r>
      <w:rPr>
        <w:noProof/>
      </w:rPr>
      <w:pict w14:anchorId="5D86D3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5261344" o:spid="_x0000_s2050" type="#_x0000_t136" style="position:absolute;margin-left:0;margin-top:0;width:570.8pt;height:107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77DA4A" w14:textId="7FA0BF6A" w:rsidR="00FC2A2F" w:rsidRDefault="00EE6E4E">
    <w:pPr>
      <w:pStyle w:val="Header"/>
      <w:rPr>
        <w:b/>
        <w:bCs/>
      </w:rPr>
    </w:pPr>
    <w:r>
      <w:rPr>
        <w:noProof/>
      </w:rPr>
      <w:pict w14:anchorId="53585A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5261345" o:spid="_x0000_s2051" type="#_x0000_t136" style="position:absolute;margin-left:0;margin-top:0;width:570.8pt;height:107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p w14:paraId="76FE0426" w14:textId="77777777" w:rsidR="00FC2A2F" w:rsidRDefault="00FC2A2F">
    <w:pPr>
      <w:pStyle w:val="Header"/>
      <w:rPr>
        <w:b/>
        <w:bCs/>
      </w:rPr>
    </w:pPr>
  </w:p>
  <w:p w14:paraId="09F219A6" w14:textId="77777777" w:rsidR="00FC2A2F" w:rsidRDefault="00FC2A2F">
    <w:pPr>
      <w:pStyle w:val="Header"/>
      <w:rPr>
        <w:b/>
        <w:bCs/>
      </w:rPr>
    </w:pPr>
  </w:p>
  <w:p w14:paraId="27CEA1E4" w14:textId="77777777" w:rsidR="00FC2A2F" w:rsidRPr="00B4731C" w:rsidRDefault="00FC2A2F">
    <w:pPr>
      <w:pStyle w:val="Header"/>
      <w:rPr>
        <w:b/>
        <w:bC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53F26" w14:textId="0873BAA6" w:rsidR="00EE6E4E" w:rsidRDefault="00EE6E4E">
    <w:pPr>
      <w:pStyle w:val="Header"/>
    </w:pPr>
    <w:r>
      <w:rPr>
        <w:noProof/>
      </w:rPr>
      <w:pict w14:anchorId="4EE028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5261343" o:spid="_x0000_s2049" type="#_x0000_t136" style="position:absolute;margin-left:0;margin-top:0;width:570.8pt;height:107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A7968"/>
    <w:multiLevelType w:val="hybridMultilevel"/>
    <w:tmpl w:val="CE3AFA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C26213E"/>
    <w:multiLevelType w:val="multilevel"/>
    <w:tmpl w:val="04B04C9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CE82025"/>
    <w:multiLevelType w:val="hybridMultilevel"/>
    <w:tmpl w:val="A1860404"/>
    <w:lvl w:ilvl="0" w:tplc="4009000D">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 w15:restartNumberingAfterBreak="0">
    <w:nsid w:val="1ED3311C"/>
    <w:multiLevelType w:val="hybridMultilevel"/>
    <w:tmpl w:val="1E947070"/>
    <w:lvl w:ilvl="0" w:tplc="FA901C7A">
      <w:start w:val="7"/>
      <w:numFmt w:val="decimal"/>
      <w:lvlText w:val="%1."/>
      <w:lvlJc w:val="left"/>
      <w:pPr>
        <w:ind w:left="36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F2C24AC"/>
    <w:multiLevelType w:val="hybridMultilevel"/>
    <w:tmpl w:val="764262A0"/>
    <w:lvl w:ilvl="0" w:tplc="4009000D">
      <w:start w:val="1"/>
      <w:numFmt w:val="bullet"/>
      <w:lvlText w:val=""/>
      <w:lvlJc w:val="left"/>
      <w:pPr>
        <w:ind w:left="1800" w:hanging="360"/>
      </w:pPr>
      <w:rPr>
        <w:rFonts w:ascii="Wingdings" w:hAnsi="Wingdings"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5" w15:restartNumberingAfterBreak="0">
    <w:nsid w:val="202D0A23"/>
    <w:multiLevelType w:val="hybridMultilevel"/>
    <w:tmpl w:val="1166F08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 w15:restartNumberingAfterBreak="0">
    <w:nsid w:val="206C1647"/>
    <w:multiLevelType w:val="multilevel"/>
    <w:tmpl w:val="EF925B6A"/>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2F784C28"/>
    <w:multiLevelType w:val="hybridMultilevel"/>
    <w:tmpl w:val="843431E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361A48AC"/>
    <w:multiLevelType w:val="hybridMultilevel"/>
    <w:tmpl w:val="0AC4537C"/>
    <w:lvl w:ilvl="0" w:tplc="40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6384269"/>
    <w:multiLevelType w:val="hybridMultilevel"/>
    <w:tmpl w:val="2774EB36"/>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0" w15:restartNumberingAfterBreak="0">
    <w:nsid w:val="4358484B"/>
    <w:multiLevelType w:val="hybridMultilevel"/>
    <w:tmpl w:val="581CBDA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1" w15:restartNumberingAfterBreak="0">
    <w:nsid w:val="4FEA16D6"/>
    <w:multiLevelType w:val="hybridMultilevel"/>
    <w:tmpl w:val="AC34BA88"/>
    <w:lvl w:ilvl="0" w:tplc="4009000D">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2" w15:restartNumberingAfterBreak="0">
    <w:nsid w:val="53177114"/>
    <w:multiLevelType w:val="hybridMultilevel"/>
    <w:tmpl w:val="B45A5E4E"/>
    <w:lvl w:ilvl="0" w:tplc="9A485B08">
      <w:start w:val="1"/>
      <w:numFmt w:val="lowerRoman"/>
      <w:lvlText w:val="(%1)"/>
      <w:lvlJc w:val="left"/>
      <w:pPr>
        <w:ind w:left="2160" w:hanging="72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3" w15:restartNumberingAfterBreak="0">
    <w:nsid w:val="53843320"/>
    <w:multiLevelType w:val="hybridMultilevel"/>
    <w:tmpl w:val="20965F66"/>
    <w:lvl w:ilvl="0" w:tplc="A50E78FA">
      <w:start w:val="1"/>
      <w:numFmt w:val="bullet"/>
      <w:lvlText w:val=""/>
      <w:lvlJc w:val="left"/>
      <w:pPr>
        <w:ind w:left="720" w:hanging="360"/>
      </w:pPr>
      <w:rPr>
        <w:rFonts w:ascii="Wingdings" w:hAnsi="Wingdings" w:hint="default"/>
      </w:rPr>
    </w:lvl>
    <w:lvl w:ilvl="1" w:tplc="AF7CD768" w:tentative="1">
      <w:start w:val="1"/>
      <w:numFmt w:val="bullet"/>
      <w:lvlText w:val="o"/>
      <w:lvlJc w:val="left"/>
      <w:pPr>
        <w:ind w:left="1440" w:hanging="360"/>
      </w:pPr>
      <w:rPr>
        <w:rFonts w:ascii="Courier New" w:hAnsi="Courier New" w:cs="Courier New" w:hint="default"/>
      </w:rPr>
    </w:lvl>
    <w:lvl w:ilvl="2" w:tplc="381E58BA" w:tentative="1">
      <w:start w:val="1"/>
      <w:numFmt w:val="bullet"/>
      <w:lvlText w:val=""/>
      <w:lvlJc w:val="left"/>
      <w:pPr>
        <w:ind w:left="2160" w:hanging="360"/>
      </w:pPr>
      <w:rPr>
        <w:rFonts w:ascii="Wingdings" w:hAnsi="Wingdings" w:hint="default"/>
      </w:rPr>
    </w:lvl>
    <w:lvl w:ilvl="3" w:tplc="34D2C4FC" w:tentative="1">
      <w:start w:val="1"/>
      <w:numFmt w:val="bullet"/>
      <w:lvlText w:val=""/>
      <w:lvlJc w:val="left"/>
      <w:pPr>
        <w:ind w:left="2880" w:hanging="360"/>
      </w:pPr>
      <w:rPr>
        <w:rFonts w:ascii="Symbol" w:hAnsi="Symbol" w:hint="default"/>
      </w:rPr>
    </w:lvl>
    <w:lvl w:ilvl="4" w:tplc="84E249C6" w:tentative="1">
      <w:start w:val="1"/>
      <w:numFmt w:val="bullet"/>
      <w:lvlText w:val="o"/>
      <w:lvlJc w:val="left"/>
      <w:pPr>
        <w:ind w:left="3600" w:hanging="360"/>
      </w:pPr>
      <w:rPr>
        <w:rFonts w:ascii="Courier New" w:hAnsi="Courier New" w:cs="Courier New" w:hint="default"/>
      </w:rPr>
    </w:lvl>
    <w:lvl w:ilvl="5" w:tplc="B7827ADE" w:tentative="1">
      <w:start w:val="1"/>
      <w:numFmt w:val="bullet"/>
      <w:lvlText w:val=""/>
      <w:lvlJc w:val="left"/>
      <w:pPr>
        <w:ind w:left="4320" w:hanging="360"/>
      </w:pPr>
      <w:rPr>
        <w:rFonts w:ascii="Wingdings" w:hAnsi="Wingdings" w:hint="default"/>
      </w:rPr>
    </w:lvl>
    <w:lvl w:ilvl="6" w:tplc="F29613DC" w:tentative="1">
      <w:start w:val="1"/>
      <w:numFmt w:val="bullet"/>
      <w:lvlText w:val=""/>
      <w:lvlJc w:val="left"/>
      <w:pPr>
        <w:ind w:left="5040" w:hanging="360"/>
      </w:pPr>
      <w:rPr>
        <w:rFonts w:ascii="Symbol" w:hAnsi="Symbol" w:hint="default"/>
      </w:rPr>
    </w:lvl>
    <w:lvl w:ilvl="7" w:tplc="4FAE1A90" w:tentative="1">
      <w:start w:val="1"/>
      <w:numFmt w:val="bullet"/>
      <w:lvlText w:val="o"/>
      <w:lvlJc w:val="left"/>
      <w:pPr>
        <w:ind w:left="5760" w:hanging="360"/>
      </w:pPr>
      <w:rPr>
        <w:rFonts w:ascii="Courier New" w:hAnsi="Courier New" w:cs="Courier New" w:hint="default"/>
      </w:rPr>
    </w:lvl>
    <w:lvl w:ilvl="8" w:tplc="6F02FFB2" w:tentative="1">
      <w:start w:val="1"/>
      <w:numFmt w:val="bullet"/>
      <w:lvlText w:val=""/>
      <w:lvlJc w:val="left"/>
      <w:pPr>
        <w:ind w:left="6480" w:hanging="360"/>
      </w:pPr>
      <w:rPr>
        <w:rFonts w:ascii="Wingdings" w:hAnsi="Wingdings" w:hint="default"/>
      </w:rPr>
    </w:lvl>
  </w:abstractNum>
  <w:abstractNum w:abstractNumId="14" w15:restartNumberingAfterBreak="0">
    <w:nsid w:val="605018E2"/>
    <w:multiLevelType w:val="hybridMultilevel"/>
    <w:tmpl w:val="6D943658"/>
    <w:lvl w:ilvl="0" w:tplc="156E7060">
      <w:start w:val="1"/>
      <w:numFmt w:val="bullet"/>
      <w:lvlText w:val=""/>
      <w:lvlJc w:val="left"/>
      <w:pPr>
        <w:ind w:left="720" w:hanging="360"/>
      </w:pPr>
      <w:rPr>
        <w:rFonts w:ascii="Symbol" w:hAnsi="Symbol" w:hint="default"/>
        <w:b/>
        <w:bCs/>
      </w:rPr>
    </w:lvl>
    <w:lvl w:ilvl="1" w:tplc="A47CAB78" w:tentative="1">
      <w:start w:val="1"/>
      <w:numFmt w:val="bullet"/>
      <w:lvlText w:val="o"/>
      <w:lvlJc w:val="left"/>
      <w:pPr>
        <w:ind w:left="1440" w:hanging="360"/>
      </w:pPr>
      <w:rPr>
        <w:rFonts w:ascii="Courier New" w:hAnsi="Courier New" w:cs="Courier New" w:hint="default"/>
      </w:rPr>
    </w:lvl>
    <w:lvl w:ilvl="2" w:tplc="8F0C48D8" w:tentative="1">
      <w:start w:val="1"/>
      <w:numFmt w:val="bullet"/>
      <w:lvlText w:val=""/>
      <w:lvlJc w:val="left"/>
      <w:pPr>
        <w:ind w:left="2160" w:hanging="360"/>
      </w:pPr>
      <w:rPr>
        <w:rFonts w:ascii="Wingdings" w:hAnsi="Wingdings" w:hint="default"/>
      </w:rPr>
    </w:lvl>
    <w:lvl w:ilvl="3" w:tplc="FB5A56FA" w:tentative="1">
      <w:start w:val="1"/>
      <w:numFmt w:val="bullet"/>
      <w:lvlText w:val=""/>
      <w:lvlJc w:val="left"/>
      <w:pPr>
        <w:ind w:left="2880" w:hanging="360"/>
      </w:pPr>
      <w:rPr>
        <w:rFonts w:ascii="Symbol" w:hAnsi="Symbol" w:hint="default"/>
      </w:rPr>
    </w:lvl>
    <w:lvl w:ilvl="4" w:tplc="2E5010F4" w:tentative="1">
      <w:start w:val="1"/>
      <w:numFmt w:val="bullet"/>
      <w:lvlText w:val="o"/>
      <w:lvlJc w:val="left"/>
      <w:pPr>
        <w:ind w:left="3600" w:hanging="360"/>
      </w:pPr>
      <w:rPr>
        <w:rFonts w:ascii="Courier New" w:hAnsi="Courier New" w:cs="Courier New" w:hint="default"/>
      </w:rPr>
    </w:lvl>
    <w:lvl w:ilvl="5" w:tplc="D2BE3DB4" w:tentative="1">
      <w:start w:val="1"/>
      <w:numFmt w:val="bullet"/>
      <w:lvlText w:val=""/>
      <w:lvlJc w:val="left"/>
      <w:pPr>
        <w:ind w:left="4320" w:hanging="360"/>
      </w:pPr>
      <w:rPr>
        <w:rFonts w:ascii="Wingdings" w:hAnsi="Wingdings" w:hint="default"/>
      </w:rPr>
    </w:lvl>
    <w:lvl w:ilvl="6" w:tplc="8C5A0480" w:tentative="1">
      <w:start w:val="1"/>
      <w:numFmt w:val="bullet"/>
      <w:lvlText w:val=""/>
      <w:lvlJc w:val="left"/>
      <w:pPr>
        <w:ind w:left="5040" w:hanging="360"/>
      </w:pPr>
      <w:rPr>
        <w:rFonts w:ascii="Symbol" w:hAnsi="Symbol" w:hint="default"/>
      </w:rPr>
    </w:lvl>
    <w:lvl w:ilvl="7" w:tplc="169847DE" w:tentative="1">
      <w:start w:val="1"/>
      <w:numFmt w:val="bullet"/>
      <w:lvlText w:val="o"/>
      <w:lvlJc w:val="left"/>
      <w:pPr>
        <w:ind w:left="5760" w:hanging="360"/>
      </w:pPr>
      <w:rPr>
        <w:rFonts w:ascii="Courier New" w:hAnsi="Courier New" w:cs="Courier New" w:hint="default"/>
      </w:rPr>
    </w:lvl>
    <w:lvl w:ilvl="8" w:tplc="8856E35A" w:tentative="1">
      <w:start w:val="1"/>
      <w:numFmt w:val="bullet"/>
      <w:lvlText w:val=""/>
      <w:lvlJc w:val="left"/>
      <w:pPr>
        <w:ind w:left="6480" w:hanging="360"/>
      </w:pPr>
      <w:rPr>
        <w:rFonts w:ascii="Wingdings" w:hAnsi="Wingdings" w:hint="default"/>
      </w:rPr>
    </w:lvl>
  </w:abstractNum>
  <w:abstractNum w:abstractNumId="15" w15:restartNumberingAfterBreak="0">
    <w:nsid w:val="64542D0B"/>
    <w:multiLevelType w:val="hybridMultilevel"/>
    <w:tmpl w:val="3376AAC0"/>
    <w:lvl w:ilvl="0" w:tplc="EBFA9C60">
      <w:start w:val="1"/>
      <w:numFmt w:val="decimal"/>
      <w:lvlText w:val="%1."/>
      <w:lvlJc w:val="left"/>
      <w:pPr>
        <w:ind w:left="720" w:hanging="360"/>
      </w:pPr>
      <w:rPr>
        <w:rFonts w:hint="default"/>
      </w:rPr>
    </w:lvl>
    <w:lvl w:ilvl="1" w:tplc="998C1712" w:tentative="1">
      <w:start w:val="1"/>
      <w:numFmt w:val="lowerLetter"/>
      <w:lvlText w:val="%2."/>
      <w:lvlJc w:val="left"/>
      <w:pPr>
        <w:ind w:left="1440" w:hanging="360"/>
      </w:pPr>
    </w:lvl>
    <w:lvl w:ilvl="2" w:tplc="617AF780" w:tentative="1">
      <w:start w:val="1"/>
      <w:numFmt w:val="lowerRoman"/>
      <w:lvlText w:val="%3."/>
      <w:lvlJc w:val="right"/>
      <w:pPr>
        <w:ind w:left="2160" w:hanging="180"/>
      </w:pPr>
    </w:lvl>
    <w:lvl w:ilvl="3" w:tplc="B40E12A6" w:tentative="1">
      <w:start w:val="1"/>
      <w:numFmt w:val="decimal"/>
      <w:lvlText w:val="%4."/>
      <w:lvlJc w:val="left"/>
      <w:pPr>
        <w:ind w:left="2880" w:hanging="360"/>
      </w:pPr>
    </w:lvl>
    <w:lvl w:ilvl="4" w:tplc="A84854E2" w:tentative="1">
      <w:start w:val="1"/>
      <w:numFmt w:val="lowerLetter"/>
      <w:lvlText w:val="%5."/>
      <w:lvlJc w:val="left"/>
      <w:pPr>
        <w:ind w:left="3600" w:hanging="360"/>
      </w:pPr>
    </w:lvl>
    <w:lvl w:ilvl="5" w:tplc="F516E004" w:tentative="1">
      <w:start w:val="1"/>
      <w:numFmt w:val="lowerRoman"/>
      <w:lvlText w:val="%6."/>
      <w:lvlJc w:val="right"/>
      <w:pPr>
        <w:ind w:left="4320" w:hanging="180"/>
      </w:pPr>
    </w:lvl>
    <w:lvl w:ilvl="6" w:tplc="7F461652" w:tentative="1">
      <w:start w:val="1"/>
      <w:numFmt w:val="decimal"/>
      <w:lvlText w:val="%7."/>
      <w:lvlJc w:val="left"/>
      <w:pPr>
        <w:ind w:left="5040" w:hanging="360"/>
      </w:pPr>
    </w:lvl>
    <w:lvl w:ilvl="7" w:tplc="AD9A5F7A" w:tentative="1">
      <w:start w:val="1"/>
      <w:numFmt w:val="lowerLetter"/>
      <w:lvlText w:val="%8."/>
      <w:lvlJc w:val="left"/>
      <w:pPr>
        <w:ind w:left="5760" w:hanging="360"/>
      </w:pPr>
    </w:lvl>
    <w:lvl w:ilvl="8" w:tplc="5F6635F0" w:tentative="1">
      <w:start w:val="1"/>
      <w:numFmt w:val="lowerRoman"/>
      <w:lvlText w:val="%9."/>
      <w:lvlJc w:val="right"/>
      <w:pPr>
        <w:ind w:left="6480" w:hanging="180"/>
      </w:pPr>
    </w:lvl>
  </w:abstractNum>
  <w:abstractNum w:abstractNumId="16" w15:restartNumberingAfterBreak="0">
    <w:nsid w:val="648C1093"/>
    <w:multiLevelType w:val="hybridMultilevel"/>
    <w:tmpl w:val="7E982A2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7" w15:restartNumberingAfterBreak="0">
    <w:nsid w:val="648C1094"/>
    <w:multiLevelType w:val="multilevel"/>
    <w:tmpl w:val="EF925B6A"/>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15:restartNumberingAfterBreak="0">
    <w:nsid w:val="6A353997"/>
    <w:multiLevelType w:val="hybridMultilevel"/>
    <w:tmpl w:val="1B42148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9" w15:restartNumberingAfterBreak="0">
    <w:nsid w:val="759E0FDC"/>
    <w:multiLevelType w:val="hybridMultilevel"/>
    <w:tmpl w:val="DF2632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759E0FDD"/>
    <w:multiLevelType w:val="multilevel"/>
    <w:tmpl w:val="04B04C9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FDD2279"/>
    <w:multiLevelType w:val="hybridMultilevel"/>
    <w:tmpl w:val="351843B0"/>
    <w:lvl w:ilvl="0" w:tplc="4009000F">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6"/>
  </w:num>
  <w:num w:numId="2">
    <w:abstractNumId w:val="0"/>
  </w:num>
  <w:num w:numId="3">
    <w:abstractNumId w:val="10"/>
  </w:num>
  <w:num w:numId="4">
    <w:abstractNumId w:val="7"/>
  </w:num>
  <w:num w:numId="5">
    <w:abstractNumId w:val="6"/>
  </w:num>
  <w:num w:numId="6">
    <w:abstractNumId w:val="1"/>
  </w:num>
  <w:num w:numId="7">
    <w:abstractNumId w:val="9"/>
  </w:num>
  <w:num w:numId="8">
    <w:abstractNumId w:val="4"/>
  </w:num>
  <w:num w:numId="9">
    <w:abstractNumId w:val="3"/>
  </w:num>
  <w:num w:numId="10">
    <w:abstractNumId w:val="19"/>
  </w:num>
  <w:num w:numId="11">
    <w:abstractNumId w:val="2"/>
  </w:num>
  <w:num w:numId="12">
    <w:abstractNumId w:val="11"/>
  </w:num>
  <w:num w:numId="13">
    <w:abstractNumId w:val="13"/>
  </w:num>
  <w:num w:numId="14">
    <w:abstractNumId w:val="14"/>
  </w:num>
  <w:num w:numId="15">
    <w:abstractNumId w:val="15"/>
  </w:num>
  <w:num w:numId="16">
    <w:abstractNumId w:val="20"/>
  </w:num>
  <w:num w:numId="17">
    <w:abstractNumId w:val="17"/>
  </w:num>
  <w:num w:numId="18">
    <w:abstractNumId w:val="5"/>
  </w:num>
  <w:num w:numId="19">
    <w:abstractNumId w:val="18"/>
  </w:num>
  <w:num w:numId="20">
    <w:abstractNumId w:val="12"/>
  </w:num>
  <w:num w:numId="21">
    <w:abstractNumId w:val="21"/>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2A2F"/>
    <w:rsid w:val="00006168"/>
    <w:rsid w:val="00012160"/>
    <w:rsid w:val="000150BA"/>
    <w:rsid w:val="000301F4"/>
    <w:rsid w:val="000344A3"/>
    <w:rsid w:val="000524C2"/>
    <w:rsid w:val="000711CC"/>
    <w:rsid w:val="000B39F3"/>
    <w:rsid w:val="000D3F02"/>
    <w:rsid w:val="000D633E"/>
    <w:rsid w:val="000F309B"/>
    <w:rsid w:val="00101EE3"/>
    <w:rsid w:val="00144317"/>
    <w:rsid w:val="001820DD"/>
    <w:rsid w:val="001826C1"/>
    <w:rsid w:val="001C5D0F"/>
    <w:rsid w:val="001C7502"/>
    <w:rsid w:val="001D3FB1"/>
    <w:rsid w:val="0020699E"/>
    <w:rsid w:val="002276CC"/>
    <w:rsid w:val="00232B5B"/>
    <w:rsid w:val="00236863"/>
    <w:rsid w:val="002440B0"/>
    <w:rsid w:val="00251DB8"/>
    <w:rsid w:val="00283A1C"/>
    <w:rsid w:val="00292975"/>
    <w:rsid w:val="00296494"/>
    <w:rsid w:val="002A3A8E"/>
    <w:rsid w:val="002E5193"/>
    <w:rsid w:val="002F4A40"/>
    <w:rsid w:val="002F6DB5"/>
    <w:rsid w:val="00300851"/>
    <w:rsid w:val="00303807"/>
    <w:rsid w:val="0035252F"/>
    <w:rsid w:val="003822F8"/>
    <w:rsid w:val="00386573"/>
    <w:rsid w:val="00386C95"/>
    <w:rsid w:val="003A2517"/>
    <w:rsid w:val="003B1450"/>
    <w:rsid w:val="003B65C6"/>
    <w:rsid w:val="003B7E03"/>
    <w:rsid w:val="003D1B11"/>
    <w:rsid w:val="003D2D65"/>
    <w:rsid w:val="003E6A8C"/>
    <w:rsid w:val="003F104C"/>
    <w:rsid w:val="00402DC7"/>
    <w:rsid w:val="00403B6C"/>
    <w:rsid w:val="00417F12"/>
    <w:rsid w:val="00445D33"/>
    <w:rsid w:val="00456C0F"/>
    <w:rsid w:val="00496991"/>
    <w:rsid w:val="004F1926"/>
    <w:rsid w:val="00555FE1"/>
    <w:rsid w:val="00562F74"/>
    <w:rsid w:val="00570690"/>
    <w:rsid w:val="005829D8"/>
    <w:rsid w:val="00583DF4"/>
    <w:rsid w:val="00586D35"/>
    <w:rsid w:val="005A6DD5"/>
    <w:rsid w:val="005B19A0"/>
    <w:rsid w:val="005C3F3B"/>
    <w:rsid w:val="005E4C3B"/>
    <w:rsid w:val="005F3BFE"/>
    <w:rsid w:val="00620443"/>
    <w:rsid w:val="0062756C"/>
    <w:rsid w:val="006418D5"/>
    <w:rsid w:val="00667D1A"/>
    <w:rsid w:val="006B2B28"/>
    <w:rsid w:val="006C5C8C"/>
    <w:rsid w:val="006C71CD"/>
    <w:rsid w:val="006C74F5"/>
    <w:rsid w:val="006D47E5"/>
    <w:rsid w:val="006F593B"/>
    <w:rsid w:val="006F5C6A"/>
    <w:rsid w:val="006F764B"/>
    <w:rsid w:val="0073291B"/>
    <w:rsid w:val="007364E5"/>
    <w:rsid w:val="00740324"/>
    <w:rsid w:val="00744406"/>
    <w:rsid w:val="0076669C"/>
    <w:rsid w:val="00773577"/>
    <w:rsid w:val="007750AA"/>
    <w:rsid w:val="007C4FA0"/>
    <w:rsid w:val="007D5EE0"/>
    <w:rsid w:val="007D70DF"/>
    <w:rsid w:val="007E489A"/>
    <w:rsid w:val="00802788"/>
    <w:rsid w:val="00837F63"/>
    <w:rsid w:val="00851949"/>
    <w:rsid w:val="0085379F"/>
    <w:rsid w:val="00854252"/>
    <w:rsid w:val="008A2902"/>
    <w:rsid w:val="008A62EB"/>
    <w:rsid w:val="008B5E01"/>
    <w:rsid w:val="008D5304"/>
    <w:rsid w:val="008E59F5"/>
    <w:rsid w:val="008E7321"/>
    <w:rsid w:val="0090167D"/>
    <w:rsid w:val="0090749A"/>
    <w:rsid w:val="009141FF"/>
    <w:rsid w:val="00932D4A"/>
    <w:rsid w:val="00945381"/>
    <w:rsid w:val="009552FB"/>
    <w:rsid w:val="009624DD"/>
    <w:rsid w:val="009640D7"/>
    <w:rsid w:val="009660C2"/>
    <w:rsid w:val="009700CB"/>
    <w:rsid w:val="00973519"/>
    <w:rsid w:val="00985784"/>
    <w:rsid w:val="009A42C4"/>
    <w:rsid w:val="00A179DC"/>
    <w:rsid w:val="00A23BC6"/>
    <w:rsid w:val="00A3257E"/>
    <w:rsid w:val="00A77A21"/>
    <w:rsid w:val="00A84CD9"/>
    <w:rsid w:val="00AA4147"/>
    <w:rsid w:val="00AB0581"/>
    <w:rsid w:val="00AB3C7D"/>
    <w:rsid w:val="00AD6195"/>
    <w:rsid w:val="00AF0F8B"/>
    <w:rsid w:val="00B00E55"/>
    <w:rsid w:val="00B15CC8"/>
    <w:rsid w:val="00B21BB4"/>
    <w:rsid w:val="00B2748F"/>
    <w:rsid w:val="00B340DD"/>
    <w:rsid w:val="00B37F02"/>
    <w:rsid w:val="00B47E45"/>
    <w:rsid w:val="00BA5764"/>
    <w:rsid w:val="00BB1666"/>
    <w:rsid w:val="00BE71A4"/>
    <w:rsid w:val="00BF01A2"/>
    <w:rsid w:val="00BF0329"/>
    <w:rsid w:val="00C05DFE"/>
    <w:rsid w:val="00C264C3"/>
    <w:rsid w:val="00C51E01"/>
    <w:rsid w:val="00C81189"/>
    <w:rsid w:val="00C92496"/>
    <w:rsid w:val="00CA0357"/>
    <w:rsid w:val="00CC14D4"/>
    <w:rsid w:val="00CC6B33"/>
    <w:rsid w:val="00CF71AB"/>
    <w:rsid w:val="00D0549C"/>
    <w:rsid w:val="00D10494"/>
    <w:rsid w:val="00D32A53"/>
    <w:rsid w:val="00D87BF9"/>
    <w:rsid w:val="00DA315F"/>
    <w:rsid w:val="00DB038B"/>
    <w:rsid w:val="00DC7DC1"/>
    <w:rsid w:val="00DD1931"/>
    <w:rsid w:val="00DE4231"/>
    <w:rsid w:val="00E10C58"/>
    <w:rsid w:val="00E5032D"/>
    <w:rsid w:val="00E6147A"/>
    <w:rsid w:val="00E65649"/>
    <w:rsid w:val="00E6753F"/>
    <w:rsid w:val="00E82E76"/>
    <w:rsid w:val="00E85937"/>
    <w:rsid w:val="00E93460"/>
    <w:rsid w:val="00E9365C"/>
    <w:rsid w:val="00E976F5"/>
    <w:rsid w:val="00EA0D80"/>
    <w:rsid w:val="00EA33C2"/>
    <w:rsid w:val="00EC1A01"/>
    <w:rsid w:val="00EC4D8F"/>
    <w:rsid w:val="00EE6E4E"/>
    <w:rsid w:val="00F02456"/>
    <w:rsid w:val="00F47479"/>
    <w:rsid w:val="00F71A4D"/>
    <w:rsid w:val="00FA7FEB"/>
    <w:rsid w:val="00FC2A2F"/>
    <w:rsid w:val="00FC77A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1FBA36"/>
  <w15:chartTrackingRefBased/>
  <w15:docId w15:val="{6B67C4D9-5D93-4BB5-9E61-19374244E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2A2F"/>
  </w:style>
  <w:style w:type="paragraph" w:styleId="Heading1">
    <w:name w:val="heading 1"/>
    <w:basedOn w:val="Normal"/>
    <w:next w:val="Normal"/>
    <w:link w:val="Heading1Char"/>
    <w:uiPriority w:val="9"/>
    <w:qFormat/>
    <w:rsid w:val="00FC2A2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C2A2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C2A2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C2A2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C2A2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C2A2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C2A2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C2A2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C2A2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2A2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C2A2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C2A2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C2A2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C2A2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C2A2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C2A2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C2A2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C2A2F"/>
    <w:rPr>
      <w:rFonts w:eastAsiaTheme="majorEastAsia" w:cstheme="majorBidi"/>
      <w:color w:val="272727" w:themeColor="text1" w:themeTint="D8"/>
    </w:rPr>
  </w:style>
  <w:style w:type="paragraph" w:styleId="Title">
    <w:name w:val="Title"/>
    <w:basedOn w:val="Normal"/>
    <w:next w:val="Normal"/>
    <w:link w:val="TitleChar"/>
    <w:uiPriority w:val="10"/>
    <w:qFormat/>
    <w:rsid w:val="00FC2A2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C2A2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C2A2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C2A2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C2A2F"/>
    <w:pPr>
      <w:spacing w:before="160"/>
      <w:jc w:val="center"/>
    </w:pPr>
    <w:rPr>
      <w:i/>
      <w:iCs/>
      <w:color w:val="404040" w:themeColor="text1" w:themeTint="BF"/>
    </w:rPr>
  </w:style>
  <w:style w:type="character" w:customStyle="1" w:styleId="QuoteChar">
    <w:name w:val="Quote Char"/>
    <w:basedOn w:val="DefaultParagraphFont"/>
    <w:link w:val="Quote"/>
    <w:uiPriority w:val="29"/>
    <w:rsid w:val="00FC2A2F"/>
    <w:rPr>
      <w:i/>
      <w:iCs/>
      <w:color w:val="404040" w:themeColor="text1" w:themeTint="BF"/>
    </w:rPr>
  </w:style>
  <w:style w:type="paragraph" w:styleId="ListParagraph">
    <w:name w:val="List Paragraph"/>
    <w:basedOn w:val="Normal"/>
    <w:uiPriority w:val="34"/>
    <w:qFormat/>
    <w:rsid w:val="00FC2A2F"/>
    <w:pPr>
      <w:ind w:left="720"/>
      <w:contextualSpacing/>
    </w:pPr>
  </w:style>
  <w:style w:type="character" w:styleId="IntenseEmphasis">
    <w:name w:val="Intense Emphasis"/>
    <w:basedOn w:val="DefaultParagraphFont"/>
    <w:uiPriority w:val="21"/>
    <w:qFormat/>
    <w:rsid w:val="00FC2A2F"/>
    <w:rPr>
      <w:i/>
      <w:iCs/>
      <w:color w:val="2F5496" w:themeColor="accent1" w:themeShade="BF"/>
    </w:rPr>
  </w:style>
  <w:style w:type="paragraph" w:styleId="IntenseQuote">
    <w:name w:val="Intense Quote"/>
    <w:basedOn w:val="Normal"/>
    <w:next w:val="Normal"/>
    <w:link w:val="IntenseQuoteChar"/>
    <w:uiPriority w:val="30"/>
    <w:qFormat/>
    <w:rsid w:val="00FC2A2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C2A2F"/>
    <w:rPr>
      <w:i/>
      <w:iCs/>
      <w:color w:val="2F5496" w:themeColor="accent1" w:themeShade="BF"/>
    </w:rPr>
  </w:style>
  <w:style w:type="character" w:styleId="IntenseReference">
    <w:name w:val="Intense Reference"/>
    <w:basedOn w:val="DefaultParagraphFont"/>
    <w:uiPriority w:val="32"/>
    <w:qFormat/>
    <w:rsid w:val="00FC2A2F"/>
    <w:rPr>
      <w:b/>
      <w:bCs/>
      <w:smallCaps/>
      <w:color w:val="2F5496" w:themeColor="accent1" w:themeShade="BF"/>
      <w:spacing w:val="5"/>
    </w:rPr>
  </w:style>
  <w:style w:type="paragraph" w:styleId="Header">
    <w:name w:val="header"/>
    <w:basedOn w:val="Normal"/>
    <w:link w:val="HeaderChar"/>
    <w:uiPriority w:val="99"/>
    <w:unhideWhenUsed/>
    <w:rsid w:val="00FC2A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2A2F"/>
  </w:style>
  <w:style w:type="paragraph" w:styleId="NoSpacing">
    <w:name w:val="No Spacing"/>
    <w:uiPriority w:val="1"/>
    <w:qFormat/>
    <w:rsid w:val="00FC2A2F"/>
    <w:pPr>
      <w:spacing w:after="0" w:line="240" w:lineRule="auto"/>
    </w:pPr>
  </w:style>
  <w:style w:type="character" w:styleId="Hyperlink">
    <w:name w:val="Hyperlink"/>
    <w:basedOn w:val="DefaultParagraphFont"/>
    <w:uiPriority w:val="99"/>
    <w:unhideWhenUsed/>
    <w:rsid w:val="007E489A"/>
    <w:rPr>
      <w:color w:val="0563C1" w:themeColor="hyperlink"/>
      <w:u w:val="single"/>
    </w:rPr>
  </w:style>
  <w:style w:type="character" w:styleId="UnresolvedMention">
    <w:name w:val="Unresolved Mention"/>
    <w:basedOn w:val="DefaultParagraphFont"/>
    <w:uiPriority w:val="99"/>
    <w:semiHidden/>
    <w:unhideWhenUsed/>
    <w:rsid w:val="007E489A"/>
    <w:rPr>
      <w:color w:val="605E5C"/>
      <w:shd w:val="clear" w:color="auto" w:fill="E1DFDD"/>
    </w:rPr>
  </w:style>
  <w:style w:type="paragraph" w:styleId="Footer">
    <w:name w:val="footer"/>
    <w:basedOn w:val="Normal"/>
    <w:link w:val="FooterChar"/>
    <w:uiPriority w:val="99"/>
    <w:unhideWhenUsed/>
    <w:rsid w:val="000150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50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doi.org/10.1016/j.bioactmat.2024.03.014" TargetMode="External"/><Relationship Id="rId39" Type="http://schemas.openxmlformats.org/officeDocument/2006/relationships/hyperlink" Target="https://doi.org/10.1038/s42003-022-04154-6" TargetMode="External"/><Relationship Id="rId21" Type="http://schemas.openxmlformats.org/officeDocument/2006/relationships/hyperlink" Target="https://doi.org/10.1016/j.bioactmat.2025.02.017" TargetMode="External"/><Relationship Id="rId34" Type="http://schemas.openxmlformats.org/officeDocument/2006/relationships/hyperlink" Target="https://doi.org/10.1002/ccd.28734" TargetMode="External"/><Relationship Id="rId42" Type="http://schemas.openxmlformats.org/officeDocument/2006/relationships/hyperlink" Target="https://doi.org/10.1145/3623378" TargetMode="External"/><Relationship Id="rId47" Type="http://schemas.openxmlformats.org/officeDocument/2006/relationships/hyperlink" Target="https://doi.org/10.1038/s41565-021-00866-8" TargetMode="External"/><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dx.doi.org/10.2147/IJN.S30725" TargetMode="External"/><Relationship Id="rId11" Type="http://schemas.openxmlformats.org/officeDocument/2006/relationships/image" Target="media/image4.png"/><Relationship Id="rId24" Type="http://schemas.openxmlformats.org/officeDocument/2006/relationships/hyperlink" Target="https://doi.org/10.1016/j.partic.2021.11.007" TargetMode="External"/><Relationship Id="rId32" Type="http://schemas.openxmlformats.org/officeDocument/2006/relationships/hyperlink" Target="https://doi.org/10.1016/j.bioactmat.2021.11.024" TargetMode="External"/><Relationship Id="rId37" Type="http://schemas.openxmlformats.org/officeDocument/2006/relationships/hyperlink" Target="https://arxiv.org/abs/2003.01200" TargetMode="External"/><Relationship Id="rId40" Type="http://schemas.openxmlformats.org/officeDocument/2006/relationships/hyperlink" Target="https://doi.org/10.1021/acsami.0c14193" TargetMode="External"/><Relationship Id="rId45" Type="http://schemas.openxmlformats.org/officeDocument/2006/relationships/hyperlink" Target="https://doi.org/10.1016/j.rineng.2022.100467" TargetMode="External"/><Relationship Id="rId53"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doi.org/10.3390/molecules28020661" TargetMode="External"/><Relationship Id="rId44" Type="http://schemas.openxmlformats.org/officeDocument/2006/relationships/hyperlink" Target="https://doi.org/10.1149/2754-2726/ac92ed" TargetMode="Externa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doi.org/10.1016/j.biomaterials.2024.122576" TargetMode="External"/><Relationship Id="rId27" Type="http://schemas.openxmlformats.org/officeDocument/2006/relationships/hyperlink" Target="https://doi.org/10.1016/j.nwnano.2024.100052" TargetMode="External"/><Relationship Id="rId30" Type="http://schemas.openxmlformats.org/officeDocument/2006/relationships/hyperlink" Target="https://doi.org/10.1155/2021/9954443" TargetMode="External"/><Relationship Id="rId35" Type="http://schemas.openxmlformats.org/officeDocument/2006/relationships/hyperlink" Target="https://doi.org/10.1021/acs.chemmater.0c02055" TargetMode="External"/><Relationship Id="rId43" Type="http://schemas.openxmlformats.org/officeDocument/2006/relationships/hyperlink" Target="https://doi.org/10.1016/J.NANTOD.2021.101152" TargetMode="External"/><Relationship Id="rId48" Type="http://schemas.openxmlformats.org/officeDocument/2006/relationships/hyperlink" Target="https://doi.org/10.1021/acsnano.2c12488"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oi.org/10.1038/s41467-021-26694-x" TargetMode="External"/><Relationship Id="rId33" Type="http://schemas.openxmlformats.org/officeDocument/2006/relationships/hyperlink" Target="https://doi.org/10.1186/s12951-023-01971-7" TargetMode="External"/><Relationship Id="rId38" Type="http://schemas.openxmlformats.org/officeDocument/2006/relationships/hyperlink" Target="https://doi.org/10.1007/s11831-021-09551-4" TargetMode="External"/><Relationship Id="rId46" Type="http://schemas.openxmlformats.org/officeDocument/2006/relationships/hyperlink" Target="https://doi.org/10.1002/cpt.2474" TargetMode="External"/><Relationship Id="rId20" Type="http://schemas.openxmlformats.org/officeDocument/2006/relationships/image" Target="media/image13.png"/><Relationship Id="rId41" Type="http://schemas.openxmlformats.org/officeDocument/2006/relationships/hyperlink" Target="https://doi.org/10.1115/1.4047855"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doi.org/10.1038/s41467-024-47796-2" TargetMode="External"/><Relationship Id="rId28" Type="http://schemas.openxmlformats.org/officeDocument/2006/relationships/hyperlink" Target="https://doi.org/10.1088/2631-7990/acded1" TargetMode="External"/><Relationship Id="rId36" Type="http://schemas.openxmlformats.org/officeDocument/2006/relationships/hyperlink" Target="https://doi.org/10.1016/j.ijinfomgt.2019.01.021" TargetMode="External"/><Relationship Id="rId4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B22EC6-0EA0-4A30-ADA9-9DB815D52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487</TotalTime>
  <Pages>23</Pages>
  <Words>9094</Words>
  <Characters>51839</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Vytheeswari Kadhirvel</dc:creator>
  <cp:keywords/>
  <dc:description/>
  <cp:lastModifiedBy>SDI 1084</cp:lastModifiedBy>
  <cp:revision>419</cp:revision>
  <dcterms:created xsi:type="dcterms:W3CDTF">2025-10-03T15:01:00Z</dcterms:created>
  <dcterms:modified xsi:type="dcterms:W3CDTF">2025-10-14T08:05:00Z</dcterms:modified>
</cp:coreProperties>
</file>