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5F321" w14:textId="77777777" w:rsidR="000D28BA" w:rsidRPr="000D28BA" w:rsidRDefault="000D28BA" w:rsidP="000D28BA">
      <w:pPr>
        <w:pStyle w:val="Author"/>
        <w:spacing w:line="240" w:lineRule="auto"/>
        <w:jc w:val="left"/>
        <w:rPr>
          <w:rFonts w:ascii="Arial" w:hAnsi="Arial" w:cs="Arial"/>
          <w:bCs/>
          <w:iCs/>
          <w:kern w:val="28"/>
          <w:sz w:val="36"/>
          <w:u w:val="single"/>
        </w:rPr>
      </w:pPr>
      <w:r w:rsidRPr="000D28BA">
        <w:rPr>
          <w:rFonts w:ascii="Arial" w:hAnsi="Arial" w:cs="Arial"/>
          <w:bCs/>
          <w:iCs/>
          <w:kern w:val="28"/>
          <w:sz w:val="36"/>
          <w:u w:val="single"/>
        </w:rPr>
        <w:t xml:space="preserve">Systematic Review Article </w:t>
      </w:r>
    </w:p>
    <w:p w14:paraId="50935D85" w14:textId="77777777" w:rsidR="0007251C" w:rsidRDefault="0007251C" w:rsidP="006661FB">
      <w:pPr>
        <w:pStyle w:val="Author"/>
        <w:spacing w:line="240" w:lineRule="auto"/>
        <w:rPr>
          <w:rFonts w:ascii="Arial" w:hAnsi="Arial" w:cs="Arial"/>
          <w:bCs/>
          <w:iCs/>
          <w:kern w:val="28"/>
          <w:sz w:val="36"/>
        </w:rPr>
      </w:pPr>
    </w:p>
    <w:p w14:paraId="492BF4EE" w14:textId="5F796E8F" w:rsidR="00163BC4" w:rsidRPr="00163BC4" w:rsidRDefault="00D84D77" w:rsidP="006661FB">
      <w:pPr>
        <w:pStyle w:val="Author"/>
        <w:spacing w:line="240" w:lineRule="auto"/>
        <w:rPr>
          <w:rFonts w:ascii="Arial" w:hAnsi="Arial" w:cs="Arial"/>
          <w:bCs/>
          <w:iCs/>
          <w:kern w:val="28"/>
          <w:sz w:val="36"/>
        </w:rPr>
      </w:pPr>
      <w:r>
        <w:rPr>
          <w:rFonts w:ascii="Arial" w:hAnsi="Arial" w:cs="Arial"/>
          <w:bCs/>
          <w:iCs/>
          <w:kern w:val="28"/>
          <w:sz w:val="36"/>
        </w:rPr>
        <w:t>The Efficacy of Oral Phenylephrine as a Decongestant: A Systematic Review Update</w:t>
      </w:r>
    </w:p>
    <w:p w14:paraId="36603005" w14:textId="77777777" w:rsidR="00A258C3" w:rsidRPr="00790ADA" w:rsidRDefault="00A258C3" w:rsidP="006661FB">
      <w:pPr>
        <w:pStyle w:val="Author"/>
        <w:spacing w:line="240" w:lineRule="auto"/>
        <w:rPr>
          <w:rFonts w:ascii="Arial" w:hAnsi="Arial" w:cs="Arial"/>
          <w:sz w:val="36"/>
        </w:rPr>
      </w:pPr>
    </w:p>
    <w:p w14:paraId="7805AC52" w14:textId="77777777" w:rsidR="00954A7A" w:rsidRPr="00954A7A" w:rsidRDefault="00954A7A" w:rsidP="00954A7A">
      <w:pPr>
        <w:pStyle w:val="Affiliation"/>
        <w:rPr>
          <w:rFonts w:ascii="Arial" w:hAnsi="Arial" w:cs="Arial"/>
          <w:i/>
        </w:rPr>
      </w:pPr>
    </w:p>
    <w:p w14:paraId="2E5E2202" w14:textId="0CB0CDCA" w:rsidR="002C57D2" w:rsidRPr="00954A7A" w:rsidRDefault="00954A7A" w:rsidP="00954A7A">
      <w:pPr>
        <w:pStyle w:val="Affiliation"/>
        <w:spacing w:after="0" w:line="240" w:lineRule="auto"/>
        <w:jc w:val="left"/>
        <w:rPr>
          <w:rFonts w:ascii="Arial" w:hAnsi="Arial" w:cs="Arial"/>
          <w:b/>
          <w:bCs/>
          <w:i/>
        </w:rPr>
      </w:pPr>
      <w:r w:rsidRPr="00954A7A">
        <w:rPr>
          <w:rFonts w:ascii="Arial" w:hAnsi="Arial" w:cs="Arial"/>
          <w:b/>
          <w:bCs/>
          <w:i/>
        </w:rPr>
        <w:t>ABSTRACT</w:t>
      </w:r>
    </w:p>
    <w:tbl>
      <w:tblPr>
        <w:tblpPr w:leftFromText="180" w:rightFromText="180" w:vertAnchor="text" w:horzAnchor="margin" w:tblpY="93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A03443" w:rsidRPr="001E44FE" w14:paraId="5D650FC0" w14:textId="77777777" w:rsidTr="00A03443">
        <w:tc>
          <w:tcPr>
            <w:tcW w:w="9242" w:type="dxa"/>
            <w:shd w:val="clear" w:color="auto" w:fill="F2F2F2"/>
          </w:tcPr>
          <w:p w14:paraId="416D421E"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Background:</w:t>
            </w:r>
            <w:r w:rsidRPr="00D84D77">
              <w:rPr>
                <w:rFonts w:ascii="Arial" w:eastAsia="Calibri" w:hAnsi="Arial" w:cs="Arial"/>
                <w:szCs w:val="22"/>
                <w:lang w:val="en-GB"/>
              </w:rPr>
              <w:t xml:space="preserve"> </w:t>
            </w:r>
          </w:p>
          <w:p w14:paraId="178E57E9" w14:textId="77777777" w:rsidR="00A03443" w:rsidRPr="00D84D77" w:rsidRDefault="00A03443" w:rsidP="001A12C9">
            <w:pPr>
              <w:pStyle w:val="Body"/>
              <w:spacing w:after="0"/>
              <w:rPr>
                <w:rFonts w:ascii="Arial" w:eastAsia="Calibri" w:hAnsi="Arial" w:cs="Arial"/>
                <w:szCs w:val="22"/>
                <w:lang w:val="en-GB"/>
              </w:rPr>
            </w:pPr>
            <w:r>
              <w:rPr>
                <w:rFonts w:ascii="Arial" w:eastAsia="Calibri" w:hAnsi="Arial" w:cs="Arial"/>
                <w:szCs w:val="22"/>
                <w:lang w:val="en-GB"/>
              </w:rPr>
              <w:t>P</w:t>
            </w:r>
            <w:r w:rsidRPr="00D84D77">
              <w:rPr>
                <w:rFonts w:ascii="Arial" w:eastAsia="Calibri" w:hAnsi="Arial" w:cs="Arial"/>
                <w:szCs w:val="22"/>
                <w:lang w:val="en-GB"/>
              </w:rPr>
              <w:t>henylephrine (PE) is a non-prescription decongestant listed on the Australian Register of Therapeutic Goods (ARTG). However, there are no published systematic reviews supporting the efficacy and safety of this product for this use.</w:t>
            </w:r>
          </w:p>
          <w:p w14:paraId="4ACF4568" w14:textId="77777777" w:rsidR="00A03443" w:rsidRDefault="00A03443" w:rsidP="001A12C9">
            <w:pPr>
              <w:pStyle w:val="Body"/>
              <w:spacing w:after="0"/>
              <w:rPr>
                <w:rFonts w:ascii="Arial" w:eastAsia="Calibri" w:hAnsi="Arial" w:cs="Arial"/>
                <w:szCs w:val="22"/>
                <w:lang w:val="en-AU"/>
              </w:rPr>
            </w:pPr>
            <w:r w:rsidRPr="00D84D77">
              <w:rPr>
                <w:rFonts w:ascii="Arial" w:eastAsia="Calibri" w:hAnsi="Arial" w:cs="Arial"/>
                <w:b/>
                <w:bCs/>
                <w:szCs w:val="22"/>
                <w:lang w:val="en-GB"/>
              </w:rPr>
              <w:t>Objective</w:t>
            </w:r>
            <w:r w:rsidRPr="00D84D77">
              <w:rPr>
                <w:rFonts w:ascii="Arial" w:eastAsia="Calibri" w:hAnsi="Arial" w:cs="Arial"/>
                <w:szCs w:val="22"/>
                <w:lang w:val="en-GB"/>
              </w:rPr>
              <w:t xml:space="preserve">: </w:t>
            </w:r>
            <w:r w:rsidRPr="00D84D77">
              <w:rPr>
                <w:rFonts w:ascii="Arial" w:eastAsia="Calibri" w:hAnsi="Arial" w:cs="Arial"/>
                <w:szCs w:val="22"/>
                <w:lang w:val="en-AU"/>
              </w:rPr>
              <w:t>To examine the efficacy of oral PE as a nasal decongestant for patients aged over 12 years with symptoms of nasal congestion (i.e., allergic rhinitis, influenza-like illness).</w:t>
            </w:r>
          </w:p>
          <w:p w14:paraId="0CA696BA" w14:textId="77777777" w:rsidR="00A03443" w:rsidRPr="00D84D77" w:rsidRDefault="00A03443" w:rsidP="001A12C9">
            <w:pPr>
              <w:pStyle w:val="Body"/>
              <w:spacing w:after="0"/>
              <w:rPr>
                <w:rFonts w:ascii="Arial" w:eastAsia="Calibri" w:hAnsi="Arial" w:cs="Arial"/>
                <w:szCs w:val="22"/>
                <w:lang w:val="en-GB"/>
              </w:rPr>
            </w:pPr>
          </w:p>
          <w:p w14:paraId="6DF11F48"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Methods:</w:t>
            </w:r>
            <w:r w:rsidRPr="00D84D77">
              <w:rPr>
                <w:rFonts w:ascii="Arial" w:eastAsia="Calibri" w:hAnsi="Arial" w:cs="Arial"/>
                <w:szCs w:val="22"/>
                <w:lang w:val="en-GB"/>
              </w:rPr>
              <w:t xml:space="preserve"> </w:t>
            </w:r>
          </w:p>
          <w:p w14:paraId="5649F275" w14:textId="77777777" w:rsidR="00A03443" w:rsidRDefault="00A03443" w:rsidP="001A12C9">
            <w:pPr>
              <w:pStyle w:val="Body"/>
              <w:spacing w:after="0"/>
              <w:rPr>
                <w:rFonts w:ascii="Arial" w:eastAsia="Calibri" w:hAnsi="Arial" w:cs="Arial"/>
                <w:szCs w:val="22"/>
                <w:lang w:val="en-AU"/>
              </w:rPr>
            </w:pPr>
            <w:r w:rsidRPr="00D84D77">
              <w:rPr>
                <w:rFonts w:ascii="Arial" w:eastAsia="Calibri" w:hAnsi="Arial" w:cs="Arial"/>
                <w:szCs w:val="22"/>
                <w:lang w:val="en-GB"/>
              </w:rPr>
              <w:t xml:space="preserve">PubMed, EMBASE and the Cochrane Central Registry of Controlled Trials were searched for English and non-English studies published through December 2020 that measured the efficacy of phenylephrine in patients with nasal congestion. </w:t>
            </w:r>
            <w:r w:rsidRPr="00D84D77">
              <w:rPr>
                <w:rFonts w:ascii="Arial" w:eastAsia="Calibri" w:hAnsi="Arial" w:cs="Arial"/>
                <w:szCs w:val="22"/>
                <w:lang w:val="en-AU"/>
              </w:rPr>
              <w:t>Studies included in the analysis were randomised, placebo-controlled trials measuring the effects of phenylephrine. Combination products with phenylephrine and other active decongestants were excluded. Two investigators independently extracted data on nasal airway resistance (NAR), self-reported decongestant scores and adverse reactions from each of the included studies. Continuous outcomes including nasal airway resistance and symptom reduction were analysed using weighted mean differences; or standardised mean differences if different measurement scales were used.</w:t>
            </w:r>
          </w:p>
          <w:p w14:paraId="6DE76285" w14:textId="77777777" w:rsidR="00A03443" w:rsidRPr="00D84D77" w:rsidRDefault="00A03443" w:rsidP="001A12C9">
            <w:pPr>
              <w:pStyle w:val="Body"/>
              <w:spacing w:after="0"/>
              <w:rPr>
                <w:rFonts w:ascii="Arial" w:eastAsia="Calibri" w:hAnsi="Arial" w:cs="Arial"/>
                <w:szCs w:val="22"/>
                <w:lang w:val="en-GB"/>
              </w:rPr>
            </w:pPr>
          </w:p>
          <w:p w14:paraId="60BB775C"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Results:</w:t>
            </w:r>
            <w:r w:rsidRPr="00D84D77">
              <w:rPr>
                <w:rFonts w:ascii="Arial" w:eastAsia="Calibri" w:hAnsi="Arial" w:cs="Arial"/>
                <w:szCs w:val="22"/>
                <w:lang w:val="en-GB"/>
              </w:rPr>
              <w:t xml:space="preserve"> </w:t>
            </w:r>
          </w:p>
          <w:p w14:paraId="12DEE5C2"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szCs w:val="22"/>
                <w:lang w:val="en-GB"/>
              </w:rPr>
              <w:t xml:space="preserve">Three randomised placebo trials evaluating the efficacy and safety of phenylephrine were included for analysis. All three studies demonstrated no statistically significant improvement with PE compared with a placebo in their self-reported symptom scores and in or rhinomanometry results. There was significant heterogeneity among the studies included in this analysis, which was attributed due to different methodologies and scoring systems used. Because of this summarising primary endpoint results was not possible. </w:t>
            </w:r>
          </w:p>
          <w:p w14:paraId="0C20F515" w14:textId="77777777" w:rsidR="00A03443" w:rsidRPr="00D84D77" w:rsidRDefault="00A03443" w:rsidP="001A12C9">
            <w:pPr>
              <w:pStyle w:val="Body"/>
              <w:spacing w:after="0"/>
              <w:rPr>
                <w:rFonts w:ascii="Arial" w:eastAsia="Calibri" w:hAnsi="Arial" w:cs="Arial"/>
                <w:szCs w:val="22"/>
                <w:lang w:val="en-GB"/>
              </w:rPr>
            </w:pPr>
          </w:p>
          <w:p w14:paraId="6766E38B" w14:textId="77777777" w:rsidR="00A03443" w:rsidRDefault="00A03443" w:rsidP="001A12C9">
            <w:pPr>
              <w:pStyle w:val="Body"/>
              <w:spacing w:after="0"/>
              <w:rPr>
                <w:rFonts w:ascii="Arial" w:eastAsia="Calibri" w:hAnsi="Arial" w:cs="Arial"/>
                <w:szCs w:val="22"/>
                <w:lang w:val="en-GB"/>
              </w:rPr>
            </w:pPr>
            <w:r w:rsidRPr="00D84D77">
              <w:rPr>
                <w:rFonts w:ascii="Arial" w:eastAsia="Calibri" w:hAnsi="Arial" w:cs="Arial"/>
                <w:b/>
                <w:bCs/>
                <w:szCs w:val="22"/>
                <w:lang w:val="en-GB"/>
              </w:rPr>
              <w:t>Conclusions:</w:t>
            </w:r>
            <w:r w:rsidRPr="00D84D77">
              <w:rPr>
                <w:rFonts w:ascii="Arial" w:eastAsia="Calibri" w:hAnsi="Arial" w:cs="Arial"/>
                <w:szCs w:val="22"/>
                <w:lang w:val="en-GB"/>
              </w:rPr>
              <w:t xml:space="preserve"> </w:t>
            </w:r>
          </w:p>
          <w:p w14:paraId="71343F2F" w14:textId="77777777" w:rsidR="00A03443" w:rsidRPr="00D84D77" w:rsidRDefault="00A03443" w:rsidP="001A12C9">
            <w:pPr>
              <w:pStyle w:val="Body"/>
              <w:spacing w:after="0"/>
              <w:rPr>
                <w:rFonts w:ascii="Arial" w:eastAsia="Calibri" w:hAnsi="Arial" w:cs="Arial"/>
                <w:szCs w:val="22"/>
                <w:lang w:val="en-AU"/>
              </w:rPr>
            </w:pPr>
            <w:r w:rsidRPr="00D84D77">
              <w:rPr>
                <w:rFonts w:ascii="Arial" w:eastAsia="Calibri" w:hAnsi="Arial" w:cs="Arial"/>
                <w:szCs w:val="22"/>
                <w:lang w:val="en-GB"/>
              </w:rPr>
              <w:t xml:space="preserve">There is no evidence that phenylephrine is effective for non-prescription use as a nasal decongestant. This is in congruence with previous reviews like </w:t>
            </w:r>
            <w:r w:rsidRPr="00D84D77">
              <w:rPr>
                <w:rFonts w:ascii="Arial" w:eastAsia="Calibri" w:hAnsi="Arial" w:cs="Arial"/>
                <w:i/>
                <w:iCs/>
                <w:szCs w:val="22"/>
                <w:lang w:val="en-GB"/>
              </w:rPr>
              <w:t>Hatton et al</w:t>
            </w:r>
            <w:r w:rsidRPr="00D84D77">
              <w:rPr>
                <w:rFonts w:ascii="Arial" w:eastAsia="Calibri" w:hAnsi="Arial" w:cs="Arial"/>
                <w:szCs w:val="22"/>
                <w:lang w:val="en-GB"/>
              </w:rPr>
              <w:t xml:space="preserve">. </w:t>
            </w:r>
            <w:r w:rsidRPr="00CD3A9D">
              <w:rPr>
                <w:rFonts w:eastAsia="Calibri"/>
              </w:rPr>
              <w:t xml:space="preserve">Based on this review, we recommend that the </w:t>
            </w:r>
            <w:r>
              <w:rPr>
                <w:rFonts w:eastAsia="Calibri"/>
              </w:rPr>
              <w:t>Therapeutic Goods Administration (TGA)</w:t>
            </w:r>
            <w:r w:rsidRPr="00CD3A9D">
              <w:rPr>
                <w:rFonts w:eastAsia="Calibri"/>
              </w:rPr>
              <w:t xml:space="preserve"> review the efficacy and safety of this common ingredient in decongestant products.</w:t>
            </w:r>
          </w:p>
          <w:p w14:paraId="7C68D94B" w14:textId="77777777" w:rsidR="00A03443" w:rsidRPr="00BA1B01" w:rsidRDefault="00A03443" w:rsidP="001A12C9">
            <w:pPr>
              <w:pStyle w:val="Body"/>
              <w:spacing w:after="0"/>
              <w:rPr>
                <w:rFonts w:ascii="Arial" w:eastAsia="Calibri" w:hAnsi="Arial" w:cs="Arial"/>
                <w:szCs w:val="22"/>
              </w:rPr>
            </w:pPr>
          </w:p>
        </w:tc>
      </w:tr>
    </w:tbl>
    <w:p w14:paraId="2C3A37EE" w14:textId="289A2256" w:rsidR="00B01FCD" w:rsidRDefault="00431CC9" w:rsidP="001A12C9">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3D584DA5" wp14:editId="20599AF3">
                <wp:extent cx="5303520" cy="635"/>
                <wp:effectExtent l="9525" t="15875" r="11430" b="12700"/>
                <wp:docPr id="18872944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ACA6A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9411E76" w14:textId="77777777" w:rsidR="0009303B" w:rsidRDefault="0009303B" w:rsidP="0009303B">
      <w:pPr>
        <w:pStyle w:val="AbstHead"/>
        <w:spacing w:after="0"/>
        <w:jc w:val="both"/>
        <w:rPr>
          <w:rFonts w:ascii="Arial" w:hAnsi="Arial" w:cs="Arial"/>
          <w:i/>
        </w:rPr>
      </w:pPr>
    </w:p>
    <w:p w14:paraId="0DC1B89A" w14:textId="227630B9" w:rsidR="00A03443" w:rsidRDefault="00A03443" w:rsidP="001A12C9">
      <w:pPr>
        <w:pStyle w:val="Body"/>
        <w:spacing w:after="0"/>
        <w:rPr>
          <w:rFonts w:ascii="Arial" w:hAnsi="Arial" w:cs="Arial"/>
          <w:i/>
        </w:rPr>
      </w:pPr>
      <w:r>
        <w:rPr>
          <w:rFonts w:ascii="Arial" w:hAnsi="Arial" w:cs="Arial"/>
          <w:i/>
        </w:rPr>
        <w:t>Keywords: Decongestant, flu, influenza-like illness, phenylephrine, systematic review, URTI, medication</w:t>
      </w:r>
    </w:p>
    <w:p w14:paraId="6B516AB2" w14:textId="77777777" w:rsidR="00A03443" w:rsidRDefault="00A03443" w:rsidP="001A12C9">
      <w:pPr>
        <w:jc w:val="both"/>
        <w:rPr>
          <w:rFonts w:ascii="Arial" w:hAnsi="Arial" w:cs="Arial"/>
          <w:sz w:val="16"/>
        </w:rPr>
      </w:pPr>
    </w:p>
    <w:p w14:paraId="6C4B6165" w14:textId="0F0BACF9" w:rsidR="00CC377D" w:rsidRPr="00A03443" w:rsidRDefault="00CC377D" w:rsidP="001A12C9">
      <w:pPr>
        <w:jc w:val="both"/>
        <w:sectPr w:rsidR="00CC377D" w:rsidRPr="00A03443" w:rsidSect="000C75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2921A4D" w14:textId="348CB574" w:rsidR="00D84D77" w:rsidRPr="00D84D77" w:rsidRDefault="00902823" w:rsidP="001A12C9">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A7B9F87" w14:textId="77777777" w:rsidR="00B84A8A" w:rsidRDefault="00D84D77" w:rsidP="001A12C9">
      <w:pPr>
        <w:jc w:val="both"/>
        <w:rPr>
          <w:rFonts w:ascii="Arial" w:eastAsia="Yu Mincho" w:hAnsi="Arial" w:cs="Arial"/>
          <w:lang w:val="en-AU"/>
        </w:rPr>
      </w:pPr>
      <w:r w:rsidRPr="00D84D77">
        <w:rPr>
          <w:rFonts w:ascii="Arial" w:eastAsia="Calibri" w:hAnsi="Arial" w:cs="Arial"/>
          <w:lang w:val="en-AU"/>
        </w:rPr>
        <w:t xml:space="preserve">Acute upper respiratory tract infections (URTI) universally affect people every year. Illnesses such as the common cold and influenza are viewed by many as an inevitable and frustrating part of life, and for more vulnerable people a mortal threat. According to The Australian Lung Foundation, 3 to 4 million GP visits are due to </w:t>
      </w:r>
      <w:r w:rsidRPr="00D84D77">
        <w:rPr>
          <w:rFonts w:ascii="Arial" w:hAnsi="Arial" w:cs="Arial"/>
          <w:lang w:val="en-AU"/>
        </w:rPr>
        <w:t>upper respiratory tract infections and cost the Australian taxpayer upward of 150 million AUD annually through direct costs and absenteeism (</w:t>
      </w:r>
      <w:r w:rsidR="0006184E">
        <w:rPr>
          <w:rFonts w:ascii="Arial" w:hAnsi="Arial" w:cs="Arial"/>
          <w:lang w:val="en-AU"/>
        </w:rPr>
        <w:t>The Australian Lung Foundation, 2007</w:t>
      </w:r>
      <w:r w:rsidRPr="00D84D77">
        <w:rPr>
          <w:rFonts w:ascii="Arial" w:hAnsi="Arial" w:cs="Arial"/>
          <w:lang w:val="en-AU"/>
        </w:rPr>
        <w:t xml:space="preserve">). Other conditions like allergic rhinitis affect many Australians, negatively affecting quality of life in similar fashion. A healthcare burden for most is an opportunity for others; countless medicines and remedies marketed for congestive symptom relief have given rise to a billion-dollar industry </w:t>
      </w:r>
      <w:r w:rsidRPr="00D84D77">
        <w:rPr>
          <w:rFonts w:ascii="Arial" w:eastAsia="Yu Mincho" w:hAnsi="Arial" w:cs="Arial"/>
          <w:lang w:val="en-AU"/>
        </w:rPr>
        <w:t>(</w:t>
      </w:r>
      <w:r w:rsidR="00AC083D">
        <w:rPr>
          <w:rFonts w:ascii="Arial" w:eastAsia="Calibri" w:hAnsi="Arial" w:cs="Arial"/>
          <w:lang w:val="en-AU"/>
        </w:rPr>
        <w:t>Fendrick, 2003</w:t>
      </w:r>
      <w:r w:rsidRPr="00D84D77">
        <w:rPr>
          <w:rFonts w:ascii="Arial" w:eastAsia="Yu Mincho" w:hAnsi="Arial" w:cs="Arial"/>
          <w:lang w:val="en-AU"/>
        </w:rPr>
        <w:t>).</w:t>
      </w:r>
      <w:r w:rsidR="00B84A8A">
        <w:rPr>
          <w:rFonts w:ascii="Arial" w:eastAsia="Yu Mincho" w:hAnsi="Arial" w:cs="Arial"/>
          <w:lang w:val="en-AU"/>
        </w:rPr>
        <w:t xml:space="preserve"> </w:t>
      </w:r>
    </w:p>
    <w:p w14:paraId="39DB95C4" w14:textId="77777777" w:rsidR="00B84A8A" w:rsidRDefault="00B84A8A" w:rsidP="001A12C9">
      <w:pPr>
        <w:jc w:val="both"/>
        <w:rPr>
          <w:rFonts w:ascii="Arial" w:eastAsia="Yu Mincho" w:hAnsi="Arial" w:cs="Arial"/>
          <w:lang w:val="en-AU"/>
        </w:rPr>
      </w:pPr>
    </w:p>
    <w:p w14:paraId="62F40B2E" w14:textId="451E637D" w:rsidR="00D84D77" w:rsidRDefault="00D84D77" w:rsidP="001A12C9">
      <w:pPr>
        <w:jc w:val="both"/>
        <w:rPr>
          <w:rFonts w:ascii="Arial" w:eastAsia="Calibri" w:hAnsi="Arial" w:cs="Arial"/>
        </w:rPr>
      </w:pPr>
      <w:r w:rsidRPr="00D84D77">
        <w:rPr>
          <w:rFonts w:ascii="Arial" w:eastAsia="Calibri" w:hAnsi="Arial" w:cs="Arial"/>
          <w:lang w:val="en-AU"/>
        </w:rPr>
        <w:t xml:space="preserve">Products sold by pharmacies and other trusted healthcare outlets target symptom relief, usually with analgesic and decongestant formulations. </w:t>
      </w:r>
      <w:r w:rsidRPr="00D84D77">
        <w:rPr>
          <w:rFonts w:ascii="Arial" w:hAnsi="Arial" w:cs="Arial"/>
          <w:lang w:val="en-AU"/>
        </w:rPr>
        <w:t>Phenylephrine (‘PE’) is readily available in pharmacies across Australia, marketed as a decongestant</w:t>
      </w:r>
      <w:r w:rsidRPr="00D84D77">
        <w:rPr>
          <w:rFonts w:ascii="Arial" w:eastAsia="Yu Mincho" w:hAnsi="Arial" w:cs="Arial"/>
          <w:lang w:val="en-AU"/>
        </w:rPr>
        <w:t xml:space="preserve"> (</w:t>
      </w:r>
      <w:r w:rsidR="00E62E2E">
        <w:rPr>
          <w:rFonts w:ascii="Arial" w:eastAsia="Calibri" w:hAnsi="Arial" w:cs="Arial"/>
          <w:lang w:val="en-AU"/>
        </w:rPr>
        <w:t>Therapeutic Goods Administration, 2021</w:t>
      </w:r>
      <w:r w:rsidRPr="00D84D77">
        <w:rPr>
          <w:rFonts w:ascii="Arial" w:eastAsia="Yu Mincho" w:hAnsi="Arial" w:cs="Arial"/>
          <w:lang w:val="en-AU"/>
        </w:rPr>
        <w:t xml:space="preserve">). </w:t>
      </w:r>
      <w:r w:rsidRPr="00D84D77">
        <w:rPr>
          <w:rFonts w:ascii="Arial" w:eastAsia="Calibri" w:hAnsi="Arial" w:cs="Arial"/>
          <w:lang w:val="en-AU"/>
        </w:rPr>
        <w:t xml:space="preserve">The popularity of PE for decongestant use may be partly due to the </w:t>
      </w:r>
      <w:r w:rsidRPr="00D84D77">
        <w:rPr>
          <w:rFonts w:ascii="Arial" w:hAnsi="Arial" w:cs="Arial"/>
          <w:lang w:val="en-AU"/>
        </w:rPr>
        <w:t>regulation of pseudoephedrine, another decongestant which is unquestionably efficacious (</w:t>
      </w:r>
      <w:r w:rsidR="00E62E2E">
        <w:rPr>
          <w:rFonts w:ascii="Arial" w:hAnsi="Arial" w:cs="Arial"/>
          <w:lang w:val="en-AU"/>
        </w:rPr>
        <w:t>Eccles, 2007</w:t>
      </w:r>
      <w:r w:rsidRPr="00D84D77">
        <w:rPr>
          <w:rFonts w:ascii="Arial" w:hAnsi="Arial" w:cs="Arial"/>
          <w:lang w:val="en-AU"/>
        </w:rPr>
        <w:t>), however, is unfortunately misused as a catalyst substance in production of illicit methamphetamine (</w:t>
      </w:r>
      <w:r w:rsidR="001D5218">
        <w:rPr>
          <w:rFonts w:ascii="Arial" w:hAnsi="Arial" w:cs="Arial"/>
          <w:lang w:val="en-AU"/>
        </w:rPr>
        <w:t>Brown, 2021</w:t>
      </w:r>
      <w:r w:rsidRPr="00D84D77">
        <w:rPr>
          <w:rFonts w:ascii="Arial" w:hAnsi="Arial" w:cs="Arial"/>
          <w:lang w:val="en-AU"/>
        </w:rPr>
        <w:t>). In 2006, legislation was passed in Australia requiring pharmacies to keep an electronic register to limit bulk sales to any individual for illicit purposes (</w:t>
      </w:r>
      <w:r w:rsidR="008271DC">
        <w:rPr>
          <w:rFonts w:ascii="Arial" w:hAnsi="Arial" w:cs="Arial"/>
          <w:lang w:val="en-AU"/>
        </w:rPr>
        <w:t>The Pharmacy Guild of Australia</w:t>
      </w:r>
      <w:r w:rsidR="00C74324">
        <w:rPr>
          <w:rFonts w:ascii="Arial" w:hAnsi="Arial" w:cs="Arial"/>
          <w:lang w:val="en-AU"/>
        </w:rPr>
        <w:t>, 2020</w:t>
      </w:r>
      <w:r w:rsidRPr="00D84D77">
        <w:rPr>
          <w:rFonts w:ascii="Arial" w:hAnsi="Arial" w:cs="Arial"/>
          <w:lang w:val="en-AU"/>
        </w:rPr>
        <w:t>). Photo identification is</w:t>
      </w:r>
      <w:r w:rsidRPr="00D84D77">
        <w:rPr>
          <w:rFonts w:ascii="Arial" w:eastAsia="Calibri" w:hAnsi="Arial" w:cs="Arial"/>
        </w:rPr>
        <w:t xml:space="preserve"> required for purchase of pseudoephedrine, steering many toward PE as a convenient alternative.</w:t>
      </w:r>
    </w:p>
    <w:p w14:paraId="04E0092F" w14:textId="77777777" w:rsidR="00D84D77" w:rsidRPr="00D84D77" w:rsidRDefault="00D84D77" w:rsidP="001A12C9">
      <w:pPr>
        <w:jc w:val="both"/>
        <w:rPr>
          <w:rFonts w:ascii="Arial" w:eastAsia="Calibri" w:hAnsi="Arial" w:cs="Arial"/>
        </w:rPr>
      </w:pPr>
    </w:p>
    <w:p w14:paraId="475DE03E" w14:textId="15F7E2E4" w:rsidR="00D84D77" w:rsidRPr="00D84D77" w:rsidRDefault="00D84D77" w:rsidP="001A12C9">
      <w:pPr>
        <w:jc w:val="both"/>
        <w:rPr>
          <w:rFonts w:ascii="Arial" w:eastAsia="Calibri" w:hAnsi="Arial" w:cs="Arial"/>
          <w:lang w:val="en-AU"/>
        </w:rPr>
      </w:pPr>
      <w:r w:rsidRPr="00D84D77">
        <w:rPr>
          <w:rFonts w:ascii="Arial" w:eastAsia="Calibri" w:hAnsi="Arial" w:cs="Arial"/>
          <w:lang w:val="en-AU"/>
        </w:rPr>
        <w:t>PE is an alpha-1 adrenergic receptor agonist that is currently approved as non-prescription decongestant by the Therapeutic Goods Administration (‘TGA’). Theoretically its action is mediated by the activation of alpha-1 adrenoreceptors in the arterioles of the nose, causing vasoconstriction. The TGA lists 206 products containing PE on the Australian Register of Therapeutic Goods, the vast majority marketed as cold and flu remedies (</w:t>
      </w:r>
      <w:r w:rsidR="004E2464">
        <w:rPr>
          <w:rFonts w:ascii="Arial" w:eastAsia="Calibri" w:hAnsi="Arial" w:cs="Arial"/>
          <w:lang w:val="en-AU"/>
        </w:rPr>
        <w:t>Therapeutic Goods Admi</w:t>
      </w:r>
      <w:r w:rsidR="004C3BC3">
        <w:rPr>
          <w:rFonts w:ascii="Arial" w:eastAsia="Calibri" w:hAnsi="Arial" w:cs="Arial"/>
          <w:lang w:val="en-AU"/>
        </w:rPr>
        <w:t>nistration, 2021</w:t>
      </w:r>
      <w:r w:rsidRPr="00D84D77">
        <w:rPr>
          <w:rFonts w:ascii="Arial" w:eastAsia="Calibri" w:hAnsi="Arial" w:cs="Arial"/>
          <w:lang w:val="en-AU"/>
        </w:rPr>
        <w:t>).  However, there have been no large-scale, high-quality RCTs and meta-analyses supporting the efficacy and safety of oral PE in nasal congestion. The effective dose and duration of PE taken orally are also unknown. However, oral bioavailability of PE is estimated to be in the order of 38% (</w:t>
      </w:r>
      <w:r w:rsidR="004C3BC3">
        <w:rPr>
          <w:rFonts w:ascii="Arial" w:hAnsi="Arial" w:cs="Arial"/>
        </w:rPr>
        <w:t>Janin, 2014</w:t>
      </w:r>
      <w:r w:rsidRPr="00D84D77">
        <w:rPr>
          <w:rFonts w:ascii="Arial" w:hAnsi="Arial" w:cs="Arial"/>
        </w:rPr>
        <w:t>).</w:t>
      </w:r>
      <w:r w:rsidRPr="00D84D77">
        <w:rPr>
          <w:rFonts w:ascii="Arial" w:eastAsia="Calibri" w:hAnsi="Arial" w:cs="Arial"/>
          <w:lang w:val="en-AU"/>
        </w:rPr>
        <w:t xml:space="preserve"> </w:t>
      </w:r>
      <w:r>
        <w:rPr>
          <w:rFonts w:ascii="Arial" w:eastAsia="Calibri" w:hAnsi="Arial" w:cs="Arial"/>
          <w:lang w:val="en-AU"/>
        </w:rPr>
        <w:br/>
      </w:r>
    </w:p>
    <w:p w14:paraId="465FE217" w14:textId="77777777" w:rsidR="004C3BC3" w:rsidRDefault="00D84D77" w:rsidP="001A12C9">
      <w:pPr>
        <w:pStyle w:val="Body"/>
        <w:spacing w:after="0"/>
        <w:rPr>
          <w:rFonts w:ascii="Arial" w:hAnsi="Arial" w:cs="Arial"/>
          <w:lang w:val="en-AU"/>
        </w:rPr>
      </w:pPr>
      <w:r w:rsidRPr="00D84D77">
        <w:rPr>
          <w:rFonts w:ascii="Arial" w:eastAsia="Calibri" w:hAnsi="Arial" w:cs="Arial"/>
          <w:lang w:val="en-AU"/>
        </w:rPr>
        <w:t xml:space="preserve">A </w:t>
      </w:r>
      <w:r w:rsidRPr="00D84D77">
        <w:rPr>
          <w:rFonts w:ascii="Arial" w:hAnsi="Arial" w:cs="Arial"/>
          <w:lang w:val="en-AU"/>
        </w:rPr>
        <w:t>Cardiff University systematic review in 2006 found that "No support has been found in the literature in the public domain for the efficacy of PE as a nasal decongestant when administered orally"</w:t>
      </w:r>
      <w:r w:rsidR="004C3BC3">
        <w:rPr>
          <w:rFonts w:ascii="Arial" w:hAnsi="Arial" w:cs="Arial"/>
          <w:lang w:val="en-AU"/>
        </w:rPr>
        <w:t xml:space="preserve"> </w:t>
      </w:r>
      <w:r w:rsidRPr="00D84D77">
        <w:rPr>
          <w:rFonts w:ascii="Arial" w:hAnsi="Arial" w:cs="Arial"/>
          <w:lang w:val="en-AU"/>
        </w:rPr>
        <w:t>(</w:t>
      </w:r>
      <w:r w:rsidR="004C3BC3">
        <w:rPr>
          <w:rFonts w:ascii="Arial" w:hAnsi="Arial" w:cs="Arial"/>
          <w:lang w:val="en-AU"/>
        </w:rPr>
        <w:t>Eccles, 2006</w:t>
      </w:r>
      <w:r w:rsidRPr="00D84D77">
        <w:rPr>
          <w:rFonts w:ascii="Arial" w:hAnsi="Arial" w:cs="Arial"/>
          <w:lang w:val="en-AU"/>
        </w:rPr>
        <w:t>). The authors also believe that PE was approved by the Federal Foods and Drug Administration of the USA due to "in-house studies" provided by pharmaceutical companies (</w:t>
      </w:r>
    </w:p>
    <w:p w14:paraId="05C1F196" w14:textId="3A2757F5" w:rsidR="00790ADA" w:rsidRDefault="004C3BC3" w:rsidP="001A12C9">
      <w:pPr>
        <w:pStyle w:val="Body"/>
        <w:spacing w:after="0"/>
        <w:rPr>
          <w:rFonts w:ascii="Arial" w:hAnsi="Arial" w:cs="Arial"/>
          <w:lang w:val="en-AU"/>
        </w:rPr>
      </w:pPr>
      <w:r>
        <w:rPr>
          <w:rFonts w:ascii="Arial" w:hAnsi="Arial" w:cs="Arial"/>
          <w:lang w:val="en-AU"/>
        </w:rPr>
        <w:t>E</w:t>
      </w:r>
      <w:r w:rsidR="00E72346">
        <w:rPr>
          <w:rFonts w:ascii="Arial" w:hAnsi="Arial" w:cs="Arial"/>
          <w:lang w:val="en-AU"/>
        </w:rPr>
        <w:t>ccles, 2006</w:t>
      </w:r>
      <w:r w:rsidR="00D84D77" w:rsidRPr="00D84D77">
        <w:rPr>
          <w:rFonts w:ascii="Arial" w:hAnsi="Arial" w:cs="Arial"/>
          <w:lang w:val="en-AU"/>
        </w:rPr>
        <w:t xml:space="preserve">). A systematic review of 15 RCTs by </w:t>
      </w:r>
      <w:r w:rsidR="00D84D77" w:rsidRPr="00D84D77">
        <w:rPr>
          <w:rFonts w:ascii="Arial" w:hAnsi="Arial" w:cs="Arial"/>
          <w:i/>
          <w:lang w:val="en-AU"/>
        </w:rPr>
        <w:t>Hatton et al</w:t>
      </w:r>
      <w:r w:rsidR="00D84D77" w:rsidRPr="00D84D77">
        <w:rPr>
          <w:rFonts w:ascii="Arial" w:eastAsia="Yu Mincho" w:hAnsi="Arial" w:cs="Arial"/>
          <w:i/>
          <w:lang w:val="en-AU"/>
        </w:rPr>
        <w:t>.</w:t>
      </w:r>
      <w:r w:rsidR="00D84D77" w:rsidRPr="00D84D77">
        <w:rPr>
          <w:rFonts w:ascii="Arial" w:eastAsia="Calibri" w:hAnsi="Arial" w:cs="Arial"/>
          <w:lang w:val="en-AU"/>
        </w:rPr>
        <w:t xml:space="preserve"> at the University of Florida in 2007 echoed these findings, with the authors concluding “There is insufficient evidence that oral PE if s effective for non-prescription use as a decongestant.” (</w:t>
      </w:r>
      <w:r w:rsidR="00E72346">
        <w:rPr>
          <w:rFonts w:ascii="Arial" w:hAnsi="Arial" w:cs="Arial"/>
          <w:lang w:val="en-AU"/>
        </w:rPr>
        <w:t>Hatton, 2007</w:t>
      </w:r>
      <w:r w:rsidR="00D84D77" w:rsidRPr="00D84D77">
        <w:rPr>
          <w:rFonts w:ascii="Arial" w:eastAsia="Yu Mincho" w:hAnsi="Arial" w:cs="Arial"/>
          <w:lang w:val="en-AU"/>
        </w:rPr>
        <w:t xml:space="preserve">) </w:t>
      </w:r>
      <w:r w:rsidR="00D84D77" w:rsidRPr="00D84D77">
        <w:rPr>
          <w:rFonts w:ascii="Arial" w:eastAsia="Calibri" w:hAnsi="Arial" w:cs="Arial"/>
          <w:lang w:val="en-AU"/>
        </w:rPr>
        <w:t xml:space="preserve">If this is indeed the case, many Australians could be wasting </w:t>
      </w:r>
      <w:r w:rsidR="00D84D77" w:rsidRPr="00D84D77">
        <w:rPr>
          <w:rFonts w:ascii="Arial" w:hAnsi="Arial" w:cs="Arial"/>
          <w:lang w:val="en-AU"/>
        </w:rPr>
        <w:t>money each year on treatment which is no better than placebo. These two systematic reviews are the only of their kind in that they evaluate the efficacy of PE for decongestion against placebo. However, each review only includes randomised trials undertaken prior to 1980</w:t>
      </w:r>
      <w:r w:rsidR="00D84D77" w:rsidRPr="00D84D77">
        <w:rPr>
          <w:rFonts w:ascii="Arial" w:eastAsia="Yu Mincho" w:hAnsi="Arial" w:cs="Arial"/>
          <w:lang w:val="en-AU"/>
        </w:rPr>
        <w:t xml:space="preserve">. Therefore, the authors of this paper feel that there is need for an update of </w:t>
      </w:r>
      <w:r w:rsidR="00D84D77" w:rsidRPr="00D84D77">
        <w:rPr>
          <w:rFonts w:ascii="Arial" w:eastAsia="Yu Mincho" w:hAnsi="Arial" w:cs="Arial"/>
          <w:i/>
          <w:lang w:val="en-AU"/>
        </w:rPr>
        <w:t xml:space="preserve">Hatton’s </w:t>
      </w:r>
      <w:r w:rsidR="00D84D77" w:rsidRPr="00D84D77">
        <w:rPr>
          <w:rFonts w:ascii="Arial" w:eastAsia="Yu Mincho" w:hAnsi="Arial" w:cs="Arial"/>
          <w:lang w:val="en-AU"/>
        </w:rPr>
        <w:t xml:space="preserve">review with more recent </w:t>
      </w:r>
      <w:r w:rsidR="00D84D77" w:rsidRPr="00D84D77">
        <w:rPr>
          <w:rFonts w:ascii="Arial" w:hAnsi="Arial" w:cs="Arial"/>
          <w:lang w:val="en-AU"/>
        </w:rPr>
        <w:t>randomised control trials on PE which fit similar criteria, to determine the efficacy of PE more definitively as a decongestant.</w:t>
      </w:r>
    </w:p>
    <w:p w14:paraId="14B5F5F5" w14:textId="77777777" w:rsidR="00D84D77" w:rsidRDefault="00D84D77" w:rsidP="001A12C9">
      <w:pPr>
        <w:pStyle w:val="Body"/>
        <w:spacing w:after="0"/>
        <w:rPr>
          <w:rFonts w:ascii="Arial" w:hAnsi="Arial" w:cs="Arial"/>
          <w:lang w:val="en-AU"/>
        </w:rPr>
      </w:pPr>
    </w:p>
    <w:p w14:paraId="777EB99A" w14:textId="77777777" w:rsidR="004B09E7" w:rsidRDefault="00D84D77" w:rsidP="001A12C9">
      <w:pPr>
        <w:pStyle w:val="Body"/>
        <w:spacing w:after="0"/>
        <w:rPr>
          <w:rFonts w:ascii="Arial" w:hAnsi="Arial" w:cs="Arial"/>
          <w:lang w:val="en-AU"/>
        </w:rPr>
      </w:pPr>
      <w:r>
        <w:rPr>
          <w:rFonts w:ascii="Arial" w:hAnsi="Arial" w:cs="Arial"/>
          <w:lang w:val="en-AU"/>
        </w:rPr>
        <w:t>This review seeks to examine the efficacy of oral PE as a nasal decongestant for patients aged over 12 years with symptoms of nasal congestion (i.e. allergic rhinitis, influenza-like illness).</w:t>
      </w:r>
    </w:p>
    <w:p w14:paraId="3CBB80A2" w14:textId="71AC3BCA" w:rsidR="00D84D77" w:rsidRPr="00D84D77" w:rsidRDefault="00D84D77" w:rsidP="001A12C9">
      <w:pPr>
        <w:pStyle w:val="Body"/>
        <w:spacing w:after="0"/>
        <w:rPr>
          <w:rFonts w:ascii="Arial" w:hAnsi="Arial" w:cs="Arial"/>
        </w:rPr>
      </w:pPr>
      <w:r>
        <w:rPr>
          <w:rFonts w:ascii="Arial" w:hAnsi="Arial" w:cs="Arial"/>
          <w:lang w:val="en-AU"/>
        </w:rPr>
        <w:t xml:space="preserve"> </w:t>
      </w:r>
    </w:p>
    <w:p w14:paraId="7C5DC0E2" w14:textId="727F239E" w:rsidR="007F7B32" w:rsidRDefault="00902823" w:rsidP="001A12C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835300" w14:textId="77777777" w:rsidR="00E43320" w:rsidRDefault="00E43320" w:rsidP="001A12C9">
      <w:pPr>
        <w:pStyle w:val="AbstHead"/>
        <w:spacing w:after="0"/>
        <w:jc w:val="both"/>
        <w:rPr>
          <w:rFonts w:ascii="Arial" w:hAnsi="Arial" w:cs="Arial"/>
        </w:rPr>
      </w:pPr>
    </w:p>
    <w:p w14:paraId="23DE9648" w14:textId="60C3255D" w:rsidR="004B09E7" w:rsidRDefault="004B09E7" w:rsidP="001A12C9">
      <w:pPr>
        <w:jc w:val="both"/>
        <w:rPr>
          <w:rFonts w:eastAsia="Calibri" w:cstheme="minorHAnsi"/>
        </w:rPr>
      </w:pPr>
      <w:r w:rsidRPr="00CD3A9D">
        <w:rPr>
          <w:rFonts w:eastAsia="Calibri" w:cstheme="minorHAnsi"/>
          <w:lang w:val="en-AU"/>
        </w:rPr>
        <w:t>The s</w:t>
      </w:r>
      <w:r w:rsidRPr="00CD3A9D">
        <w:rPr>
          <w:rFonts w:cstheme="minorHAnsi"/>
          <w:lang w:val="en-AU"/>
        </w:rPr>
        <w:t>tudy protocol w</w:t>
      </w:r>
      <w:r>
        <w:rPr>
          <w:rFonts w:cstheme="minorHAnsi"/>
          <w:lang w:val="en-AU"/>
        </w:rPr>
        <w:t>as</w:t>
      </w:r>
      <w:r w:rsidRPr="00CD3A9D">
        <w:rPr>
          <w:rFonts w:cstheme="minorHAnsi"/>
          <w:lang w:val="en-AU"/>
        </w:rPr>
        <w:t xml:space="preserve"> registered with PROSPERO (National Institute for Health Research).</w:t>
      </w:r>
      <w:r w:rsidRPr="00CD3A9D">
        <w:rPr>
          <w:rFonts w:eastAsia="Calibri" w:cstheme="minorHAnsi"/>
        </w:rPr>
        <w:t xml:space="preserve"> </w:t>
      </w:r>
    </w:p>
    <w:p w14:paraId="4088D0D3" w14:textId="77777777" w:rsidR="000460CB" w:rsidRPr="00CD3A9D" w:rsidRDefault="000460CB" w:rsidP="001A12C9">
      <w:pPr>
        <w:jc w:val="both"/>
        <w:rPr>
          <w:rFonts w:cstheme="minorHAnsi"/>
        </w:rPr>
      </w:pPr>
    </w:p>
    <w:p w14:paraId="2D380753" w14:textId="735D6D35" w:rsidR="004B09E7" w:rsidRDefault="004B09E7" w:rsidP="001A12C9">
      <w:pPr>
        <w:pStyle w:val="Heading2"/>
        <w:jc w:val="both"/>
        <w:rPr>
          <w:rFonts w:ascii="Arial" w:eastAsia="Calibri" w:hAnsi="Arial" w:cs="Arial"/>
          <w:b/>
          <w:bCs/>
          <w:color w:val="auto"/>
          <w:sz w:val="22"/>
          <w:szCs w:val="22"/>
        </w:rPr>
      </w:pPr>
      <w:r>
        <w:rPr>
          <w:rFonts w:ascii="Arial" w:eastAsia="Calibri" w:hAnsi="Arial" w:cs="Arial"/>
          <w:b/>
          <w:bCs/>
          <w:color w:val="auto"/>
          <w:sz w:val="22"/>
          <w:szCs w:val="22"/>
        </w:rPr>
        <w:t>2.1 Eligibility Criteria</w:t>
      </w:r>
    </w:p>
    <w:p w14:paraId="5063937C" w14:textId="77777777" w:rsidR="00E43320" w:rsidRPr="00E43320" w:rsidRDefault="00E43320" w:rsidP="001A12C9">
      <w:pPr>
        <w:jc w:val="both"/>
      </w:pPr>
    </w:p>
    <w:p w14:paraId="597DB359" w14:textId="77777777" w:rsidR="004B09E7" w:rsidRPr="00CD3A9D" w:rsidRDefault="004B09E7" w:rsidP="001A12C9">
      <w:pPr>
        <w:jc w:val="both"/>
        <w:rPr>
          <w:rFonts w:cstheme="minorHAnsi"/>
        </w:rPr>
      </w:pPr>
      <w:r w:rsidRPr="00CD3A9D">
        <w:rPr>
          <w:rFonts w:eastAsia="Calibri" w:cstheme="minorHAnsi"/>
          <w:lang w:val="en-AU"/>
        </w:rPr>
        <w:t xml:space="preserve">Randomised trials (RCTs) involving </w:t>
      </w:r>
      <w:r w:rsidRPr="00CD3A9D">
        <w:rPr>
          <w:rFonts w:cstheme="minorHAnsi"/>
          <w:lang w:val="en-AU"/>
        </w:rPr>
        <w:t>adults and children 12 years or older experiencing any condition that results in nasal congestion will be included. This may include the common cold, allergic rhinitis and other respiratory tract infections. Other study designs will be excluded.</w:t>
      </w:r>
      <w:r w:rsidRPr="00CD3A9D">
        <w:rPr>
          <w:rFonts w:eastAsia="Calibri" w:cstheme="minorHAnsi"/>
        </w:rPr>
        <w:t xml:space="preserve"> </w:t>
      </w:r>
    </w:p>
    <w:p w14:paraId="46564003" w14:textId="77777777" w:rsidR="004B09E7" w:rsidRPr="00CD3A9D" w:rsidRDefault="004B09E7" w:rsidP="001A12C9">
      <w:pPr>
        <w:jc w:val="both"/>
        <w:rPr>
          <w:rFonts w:eastAsia="Yu Mincho"/>
        </w:rPr>
      </w:pPr>
      <w:r w:rsidRPr="00CD3A9D">
        <w:rPr>
          <w:rFonts w:eastAsia="Calibri"/>
          <w:lang w:val="en-AU"/>
        </w:rPr>
        <w:t xml:space="preserve">Studies that used </w:t>
      </w:r>
      <w:r w:rsidRPr="00CD3A9D">
        <w:rPr>
          <w:lang w:val="en-AU"/>
        </w:rPr>
        <w:t>oral PE, such as in tablet or capsule</w:t>
      </w:r>
      <w:r w:rsidRPr="00CD3A9D">
        <w:rPr>
          <w:rFonts w:eastAsia="Yu Mincho"/>
          <w:lang w:val="en-AU"/>
        </w:rPr>
        <w:t xml:space="preserve"> </w:t>
      </w:r>
      <w:r w:rsidRPr="00CD3A9D">
        <w:rPr>
          <w:rFonts w:eastAsia="Calibri"/>
          <w:lang w:val="en-AU"/>
        </w:rPr>
        <w:t xml:space="preserve">form </w:t>
      </w:r>
      <w:r w:rsidRPr="00CD3A9D">
        <w:rPr>
          <w:lang w:val="en-AU"/>
        </w:rPr>
        <w:t>in the intervention arm will be included; however, studies that used</w:t>
      </w:r>
      <w:r w:rsidRPr="00CD3A9D">
        <w:rPr>
          <w:rFonts w:eastAsia="Yu Mincho"/>
          <w:lang w:val="en-AU"/>
        </w:rPr>
        <w:t xml:space="preserve"> </w:t>
      </w:r>
      <w:r w:rsidRPr="00CD3A9D">
        <w:rPr>
          <w:rFonts w:eastAsia="Calibri"/>
          <w:lang w:val="en-AU"/>
        </w:rPr>
        <w:t>c</w:t>
      </w:r>
      <w:r w:rsidRPr="00CD3A9D">
        <w:rPr>
          <w:lang w:val="en-AU"/>
        </w:rPr>
        <w:t>ombined therapies containing additional decongestants such as pseudoephedrine will be excluded</w:t>
      </w:r>
      <w:r w:rsidRPr="00CD3A9D">
        <w:rPr>
          <w:rFonts w:eastAsia="Yu Mincho"/>
          <w:lang w:val="en-AU"/>
        </w:rPr>
        <w:t xml:space="preserve">. </w:t>
      </w:r>
    </w:p>
    <w:p w14:paraId="108A2986" w14:textId="077C4A6F" w:rsidR="004B09E7" w:rsidRPr="00CD3A9D" w:rsidRDefault="004B09E7" w:rsidP="001A12C9">
      <w:pPr>
        <w:jc w:val="both"/>
        <w:rPr>
          <w:rFonts w:cstheme="minorHAnsi"/>
        </w:rPr>
      </w:pPr>
      <w:r w:rsidRPr="00CD3A9D">
        <w:rPr>
          <w:rFonts w:eastAsia="Calibri" w:cstheme="minorHAnsi"/>
          <w:lang w:val="en-AU"/>
        </w:rPr>
        <w:t xml:space="preserve">Studies that used </w:t>
      </w:r>
      <w:r w:rsidRPr="00CD3A9D">
        <w:rPr>
          <w:rFonts w:cstheme="minorHAnsi"/>
          <w:lang w:val="en-AU"/>
        </w:rPr>
        <w:t>oral placebo with the same dose administration as PE for the control will be included; those that used</w:t>
      </w:r>
      <w:r w:rsidRPr="00CD3A9D">
        <w:rPr>
          <w:rFonts w:eastAsia="Yu Mincho" w:cstheme="minorHAnsi"/>
          <w:lang w:val="en-AU"/>
        </w:rPr>
        <w:t xml:space="preserve"> </w:t>
      </w:r>
      <w:r w:rsidRPr="00CD3A9D">
        <w:rPr>
          <w:rFonts w:eastAsia="Calibri" w:cstheme="minorHAnsi"/>
          <w:lang w:val="en-AU"/>
        </w:rPr>
        <w:t>m</w:t>
      </w:r>
      <w:r w:rsidRPr="00CD3A9D">
        <w:rPr>
          <w:rFonts w:cstheme="minorHAnsi"/>
          <w:lang w:val="en-AU"/>
        </w:rPr>
        <w:t xml:space="preserve">echanical decongestants such as saline douches and other active decongestants will </w:t>
      </w:r>
      <w:r w:rsidRPr="00CD3A9D">
        <w:rPr>
          <w:rFonts w:cstheme="minorHAnsi"/>
          <w:lang w:val="en-AU"/>
        </w:rPr>
        <w:lastRenderedPageBreak/>
        <w:t>be excluded</w:t>
      </w:r>
      <w:r w:rsidRPr="00CD3A9D">
        <w:rPr>
          <w:rFonts w:eastAsia="Yu Mincho" w:cstheme="minorHAnsi"/>
          <w:lang w:val="en-AU"/>
        </w:rPr>
        <w:t>.</w:t>
      </w:r>
      <w:r w:rsidRPr="00CD3A9D">
        <w:rPr>
          <w:rFonts w:eastAsia="Yu Mincho" w:cstheme="minorHAnsi"/>
        </w:rPr>
        <w:t xml:space="preserve"> </w:t>
      </w:r>
      <w:r w:rsidRPr="00CD3A9D">
        <w:rPr>
          <w:rFonts w:eastAsia="Calibri" w:cstheme="minorHAnsi"/>
          <w:lang w:val="en-AU"/>
        </w:rPr>
        <w:t>Studies assessing</w:t>
      </w:r>
      <w:r w:rsidRPr="00CD3A9D">
        <w:rPr>
          <w:rFonts w:cstheme="minorHAnsi"/>
          <w:lang w:val="en-AU"/>
        </w:rPr>
        <w:t xml:space="preserve"> objective measures of nasal congestion, such as nasal airway resistance (NAR</w:t>
      </w:r>
      <w:r w:rsidRPr="00CD3A9D">
        <w:rPr>
          <w:rFonts w:eastAsia="Yu Mincho" w:cstheme="minorHAnsi"/>
          <w:lang w:val="en-AU"/>
        </w:rPr>
        <w:t>)</w:t>
      </w:r>
      <w:r w:rsidRPr="00CD3A9D">
        <w:rPr>
          <w:rFonts w:cstheme="minorHAnsi"/>
          <w:lang w:val="en-AU"/>
        </w:rPr>
        <w:t xml:space="preserve"> </w:t>
      </w:r>
      <w:r w:rsidRPr="00CD3A9D">
        <w:rPr>
          <w:rFonts w:eastAsia="Calibri" w:cstheme="minorHAnsi"/>
          <w:lang w:val="en-AU"/>
        </w:rPr>
        <w:t xml:space="preserve">or </w:t>
      </w:r>
      <w:r w:rsidRPr="00CD3A9D">
        <w:rPr>
          <w:rFonts w:cstheme="minorHAnsi"/>
          <w:lang w:val="en-AU"/>
        </w:rPr>
        <w:t>symptom scores will be included to determine efficacy of PE in this context.</w:t>
      </w:r>
      <w:r w:rsidRPr="00CD3A9D">
        <w:rPr>
          <w:rFonts w:eastAsia="Yu Mincho" w:cstheme="minorHAnsi"/>
          <w:lang w:val="en-AU"/>
        </w:rPr>
        <w:t xml:space="preserve"> </w:t>
      </w:r>
      <w:r w:rsidRPr="00CD3A9D">
        <w:rPr>
          <w:rFonts w:eastAsia="Calibri" w:cstheme="minorHAnsi"/>
          <w:lang w:val="en-AU"/>
        </w:rPr>
        <w:t>No limitations will be placed on language, country or year of publication.</w:t>
      </w:r>
      <w:r w:rsidRPr="00CD3A9D">
        <w:rPr>
          <w:rFonts w:eastAsia="Calibri" w:cstheme="minorHAnsi"/>
        </w:rPr>
        <w:t xml:space="preserve"> </w:t>
      </w:r>
    </w:p>
    <w:p w14:paraId="1F67A777" w14:textId="77777777" w:rsidR="004B09E7" w:rsidRDefault="004B09E7" w:rsidP="001A12C9">
      <w:pPr>
        <w:jc w:val="both"/>
        <w:rPr>
          <w:rFonts w:ascii="Arial" w:eastAsia="Calibri" w:hAnsi="Arial" w:cs="Arial"/>
          <w:sz w:val="22"/>
          <w:szCs w:val="22"/>
        </w:rPr>
      </w:pPr>
      <w:r w:rsidRPr="004B09E7">
        <w:rPr>
          <w:rFonts w:ascii="Arial" w:eastAsia="Calibri" w:hAnsi="Arial" w:cs="Arial"/>
          <w:sz w:val="22"/>
          <w:szCs w:val="22"/>
        </w:rPr>
        <w:t xml:space="preserve">Information sources </w:t>
      </w:r>
    </w:p>
    <w:p w14:paraId="13F04B96" w14:textId="77777777" w:rsidR="00E43320" w:rsidRPr="004B09E7" w:rsidRDefault="00E43320" w:rsidP="001A12C9">
      <w:pPr>
        <w:jc w:val="both"/>
        <w:rPr>
          <w:rFonts w:ascii="Arial" w:hAnsi="Arial" w:cs="Arial"/>
          <w:b/>
          <w:bCs/>
          <w:sz w:val="22"/>
          <w:szCs w:val="22"/>
        </w:rPr>
      </w:pPr>
    </w:p>
    <w:p w14:paraId="66903308" w14:textId="35E8FD6C" w:rsidR="004B09E7" w:rsidRDefault="004B09E7" w:rsidP="001A12C9">
      <w:pPr>
        <w:pStyle w:val="Heading3"/>
        <w:jc w:val="both"/>
        <w:rPr>
          <w:rFonts w:ascii="Arial" w:eastAsia="Calibri" w:hAnsi="Arial" w:cs="Arial"/>
          <w:b/>
          <w:bCs/>
          <w:color w:val="auto"/>
          <w:sz w:val="22"/>
          <w:szCs w:val="22"/>
        </w:rPr>
      </w:pPr>
      <w:r w:rsidRPr="00A060EC">
        <w:rPr>
          <w:rFonts w:ascii="Arial" w:eastAsia="Calibri" w:hAnsi="Arial" w:cs="Arial"/>
          <w:b/>
          <w:bCs/>
          <w:color w:val="auto"/>
          <w:sz w:val="22"/>
          <w:szCs w:val="22"/>
        </w:rPr>
        <w:t>2.2 Electronic Sources</w:t>
      </w:r>
    </w:p>
    <w:p w14:paraId="375CB951" w14:textId="77777777" w:rsidR="00E43320" w:rsidRPr="00E43320" w:rsidRDefault="00E43320" w:rsidP="001A12C9">
      <w:pPr>
        <w:jc w:val="both"/>
      </w:pPr>
    </w:p>
    <w:p w14:paraId="45029997" w14:textId="77777777" w:rsidR="004B09E7" w:rsidRPr="00CD3A9D" w:rsidRDefault="004B09E7" w:rsidP="001A12C9">
      <w:pPr>
        <w:jc w:val="both"/>
        <w:rPr>
          <w:rFonts w:cstheme="minorHAnsi"/>
        </w:rPr>
      </w:pPr>
      <w:r w:rsidRPr="00CD3A9D">
        <w:rPr>
          <w:rFonts w:eastAsia="Calibri" w:cstheme="minorHAnsi"/>
          <w:lang w:val="en-AU"/>
        </w:rPr>
        <w:t>PubMed</w:t>
      </w:r>
      <w:r w:rsidRPr="00CD3A9D">
        <w:rPr>
          <w:rFonts w:cstheme="minorHAnsi"/>
          <w:lang w:val="en-AU"/>
        </w:rPr>
        <w:t xml:space="preserve">, Embase and the Cochrane Central register of Controlled trials (CENTRAL, Issue 12 December 2020) were searched using the search strategy (Appendix 1). This search strategy was modified for the Cochrane library (appendix 2) using a polyglot search. The search strategy was also adapted to search Embase (appendix 3). </w:t>
      </w:r>
      <w:r w:rsidRPr="00CD3A9D">
        <w:rPr>
          <w:rFonts w:eastAsia="Calibri" w:cstheme="minorHAnsi"/>
        </w:rPr>
        <w:t xml:space="preserve"> </w:t>
      </w:r>
    </w:p>
    <w:p w14:paraId="0FCB0DF9" w14:textId="77777777" w:rsidR="004B09E7" w:rsidRPr="00CD3A9D" w:rsidRDefault="004B09E7" w:rsidP="001A12C9">
      <w:pPr>
        <w:jc w:val="both"/>
        <w:rPr>
          <w:rFonts w:cstheme="minorHAnsi"/>
        </w:rPr>
      </w:pPr>
      <w:r w:rsidRPr="00CD3A9D">
        <w:rPr>
          <w:rFonts w:eastAsia="Calibri" w:cstheme="minorHAnsi"/>
          <w:lang w:val="en-AU"/>
        </w:rPr>
        <w:t>C</w:t>
      </w:r>
      <w:r w:rsidRPr="00CD3A9D">
        <w:rPr>
          <w:rFonts w:cstheme="minorHAnsi"/>
          <w:lang w:val="en-AU"/>
        </w:rPr>
        <w:t>linicaltrials.gov, WHO clinical trials registry and direct contact to relevant pharmaceutical companies</w:t>
      </w:r>
      <w:r w:rsidRPr="00CD3A9D">
        <w:rPr>
          <w:rFonts w:eastAsia="Yu Mincho" w:cstheme="minorHAnsi"/>
          <w:lang w:val="en-AU"/>
        </w:rPr>
        <w:t xml:space="preserve"> </w:t>
      </w:r>
      <w:r w:rsidRPr="00CD3A9D">
        <w:rPr>
          <w:rFonts w:eastAsia="Calibri" w:cstheme="minorHAnsi"/>
          <w:lang w:val="en-AU"/>
        </w:rPr>
        <w:t xml:space="preserve">was done to </w:t>
      </w:r>
      <w:r w:rsidRPr="00CD3A9D">
        <w:rPr>
          <w:rFonts w:cstheme="minorHAnsi"/>
          <w:lang w:val="en-AU"/>
        </w:rPr>
        <w:t>search for additional ongoing or completed studies (December 2020).</w:t>
      </w:r>
      <w:r w:rsidRPr="00CD3A9D">
        <w:rPr>
          <w:rFonts w:eastAsia="Yu Mincho" w:cstheme="minorHAnsi"/>
          <w:lang w:val="en-AU"/>
        </w:rPr>
        <w:t xml:space="preserve"> </w:t>
      </w:r>
      <w:r w:rsidRPr="00CD3A9D">
        <w:rPr>
          <w:rFonts w:eastAsia="Calibri" w:cstheme="minorHAnsi"/>
          <w:lang w:val="en-AU"/>
        </w:rPr>
        <w:t>A forward and back search w</w:t>
      </w:r>
      <w:r w:rsidRPr="00CD3A9D">
        <w:rPr>
          <w:rFonts w:cstheme="minorHAnsi"/>
          <w:lang w:val="en-AU"/>
        </w:rPr>
        <w:t xml:space="preserve">as also conducted. </w:t>
      </w:r>
      <w:r w:rsidRPr="00CD3A9D">
        <w:rPr>
          <w:rFonts w:eastAsia="Calibri" w:cstheme="minorHAnsi"/>
        </w:rPr>
        <w:t xml:space="preserve"> </w:t>
      </w:r>
    </w:p>
    <w:p w14:paraId="7BE3D44F" w14:textId="77777777" w:rsidR="004B09E7" w:rsidRPr="004B09E7" w:rsidRDefault="004B09E7" w:rsidP="001A12C9">
      <w:pPr>
        <w:jc w:val="both"/>
        <w:rPr>
          <w:rFonts w:ascii="Arial" w:hAnsi="Arial" w:cs="Arial"/>
          <w:b/>
          <w:bCs/>
          <w:sz w:val="18"/>
          <w:szCs w:val="18"/>
        </w:rPr>
      </w:pPr>
      <w:r w:rsidRPr="00CD3A9D">
        <w:rPr>
          <w:rFonts w:eastAsia="Calibri" w:cstheme="minorHAnsi"/>
        </w:rPr>
        <w:t xml:space="preserve">The search terms used were </w:t>
      </w:r>
      <w:r w:rsidRPr="00CD3A9D">
        <w:rPr>
          <w:rFonts w:eastAsia="Calibri" w:cstheme="minorHAnsi"/>
          <w:color w:val="000000" w:themeColor="text1"/>
        </w:rPr>
        <w:t>"Nasal congestion"[</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"reduced air flow"[</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"reduced airflow"[</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NAR[</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"nasal airway resistance"[</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influenza[</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"common cold"[</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xml:space="preserve">] OR </w:t>
      </w:r>
      <w:proofErr w:type="spellStart"/>
      <w:r w:rsidRPr="00CD3A9D">
        <w:rPr>
          <w:rFonts w:eastAsia="Calibri" w:cstheme="minorHAnsi"/>
          <w:color w:val="000000" w:themeColor="text1"/>
        </w:rPr>
        <w:t>allerg</w:t>
      </w:r>
      <w:proofErr w:type="spellEnd"/>
      <w:r w:rsidRPr="00CD3A9D">
        <w:rPr>
          <w:rFonts w:eastAsia="Calibri" w:cstheme="minorHAnsi"/>
          <w:color w:val="000000" w:themeColor="text1"/>
        </w:rPr>
        <w:t>*[</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"'Common Cold'"[</w:t>
      </w:r>
      <w:proofErr w:type="spellStart"/>
      <w:r w:rsidRPr="00CD3A9D">
        <w:rPr>
          <w:rFonts w:eastAsia="Calibri" w:cstheme="minorHAnsi"/>
          <w:color w:val="000000" w:themeColor="text1"/>
        </w:rPr>
        <w:t>Mesh:NoExp</w:t>
      </w:r>
      <w:proofErr w:type="spellEnd"/>
      <w:r w:rsidRPr="00CD3A9D">
        <w:rPr>
          <w:rFonts w:eastAsia="Calibri" w:cstheme="minorHAnsi"/>
          <w:color w:val="000000" w:themeColor="text1"/>
        </w:rPr>
        <w:t xml:space="preserve">] </w:t>
      </w:r>
      <w:r w:rsidRPr="00CD3A9D">
        <w:rPr>
          <w:rFonts w:cstheme="minorHAnsi"/>
        </w:rPr>
        <w:br/>
      </w:r>
      <w:r w:rsidRPr="00CD3A9D">
        <w:rPr>
          <w:rFonts w:eastAsia="Calibri" w:cstheme="minorHAnsi"/>
          <w:color w:val="000000" w:themeColor="text1"/>
        </w:rPr>
        <w:t xml:space="preserve"> AND (decongestant*[</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"Oral PE"[</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 spray"[</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 spray"[</w:t>
      </w:r>
      <w:proofErr w:type="spellStart"/>
      <w:r w:rsidRPr="00CD3A9D">
        <w:rPr>
          <w:rFonts w:eastAsia="Calibri" w:cstheme="minorHAnsi"/>
          <w:color w:val="000000" w:themeColor="text1"/>
        </w:rPr>
        <w:t>tiab</w:t>
      </w:r>
      <w:proofErr w:type="spellEnd"/>
      <w:r w:rsidRPr="00CD3A9D">
        <w:rPr>
          <w:rFonts w:eastAsia="Calibri" w:cstheme="minorHAnsi"/>
          <w:color w:val="000000" w:themeColor="text1"/>
        </w:rPr>
        <w:t>] OR 'PE'[</w:t>
      </w:r>
      <w:proofErr w:type="spellStart"/>
      <w:r w:rsidRPr="00CD3A9D">
        <w:rPr>
          <w:rFonts w:eastAsia="Calibri" w:cstheme="minorHAnsi"/>
          <w:color w:val="000000" w:themeColor="text1"/>
        </w:rPr>
        <w:t>Mesh:NoExp</w:t>
      </w:r>
      <w:proofErr w:type="spellEnd"/>
      <w:r w:rsidRPr="00CD3A9D">
        <w:rPr>
          <w:rFonts w:eastAsia="Calibri" w:cstheme="minorHAnsi"/>
          <w:color w:val="000000" w:themeColor="text1"/>
        </w:rPr>
        <w:t xml:space="preserve">]) </w:t>
      </w:r>
    </w:p>
    <w:p w14:paraId="2EE9463C" w14:textId="77777777" w:rsidR="004B09E7" w:rsidRDefault="004B09E7" w:rsidP="001A12C9">
      <w:pPr>
        <w:jc w:val="both"/>
        <w:rPr>
          <w:rFonts w:ascii="Arial" w:hAnsi="Arial" w:cs="Arial"/>
          <w:b/>
          <w:bCs/>
          <w:sz w:val="18"/>
          <w:szCs w:val="18"/>
        </w:rPr>
      </w:pPr>
    </w:p>
    <w:p w14:paraId="6E54C625" w14:textId="77777777" w:rsidR="00A060EC" w:rsidRPr="004B09E7" w:rsidRDefault="00A060EC" w:rsidP="001A12C9">
      <w:pPr>
        <w:jc w:val="both"/>
        <w:rPr>
          <w:rFonts w:ascii="Arial" w:hAnsi="Arial" w:cs="Arial"/>
          <w:b/>
          <w:bCs/>
          <w:sz w:val="18"/>
          <w:szCs w:val="18"/>
        </w:rPr>
        <w:sectPr w:rsidR="00A060EC" w:rsidRPr="004B09E7" w:rsidSect="000C756A">
          <w:headerReference w:type="even" r:id="rId14"/>
          <w:headerReference w:type="default" r:id="rId15"/>
          <w:headerReference w:type="first" r:id="rId16"/>
          <w:pgSz w:w="11906" w:h="16838"/>
          <w:pgMar w:top="1440" w:right="1440" w:bottom="1440" w:left="1440" w:header="720" w:footer="720" w:gutter="0"/>
          <w:cols w:space="720"/>
          <w:docGrid w:linePitch="360"/>
        </w:sectPr>
      </w:pPr>
    </w:p>
    <w:p w14:paraId="18E3F760" w14:textId="1019C13B" w:rsidR="004B09E7" w:rsidRDefault="004B09E7" w:rsidP="001A12C9">
      <w:pPr>
        <w:pStyle w:val="Heading3"/>
        <w:jc w:val="both"/>
        <w:rPr>
          <w:rFonts w:ascii="Arial" w:eastAsia="Calibri Light" w:hAnsi="Arial" w:cs="Arial"/>
          <w:b/>
          <w:bCs/>
          <w:color w:val="auto"/>
          <w:sz w:val="22"/>
          <w:szCs w:val="22"/>
        </w:rPr>
      </w:pPr>
      <w:r w:rsidRPr="004B09E7">
        <w:rPr>
          <w:rFonts w:ascii="Arial" w:eastAsia="Calibri Light" w:hAnsi="Arial" w:cs="Arial"/>
          <w:b/>
          <w:bCs/>
          <w:color w:val="auto"/>
          <w:sz w:val="22"/>
          <w:szCs w:val="22"/>
        </w:rPr>
        <w:t xml:space="preserve">2.3 </w:t>
      </w:r>
      <w:r>
        <w:rPr>
          <w:rFonts w:ascii="Arial" w:eastAsia="Calibri Light" w:hAnsi="Arial" w:cs="Arial"/>
          <w:b/>
          <w:bCs/>
          <w:color w:val="auto"/>
          <w:sz w:val="22"/>
          <w:szCs w:val="22"/>
        </w:rPr>
        <w:t>Data Management</w:t>
      </w:r>
    </w:p>
    <w:p w14:paraId="66773D3B" w14:textId="77777777" w:rsidR="00E43320" w:rsidRPr="00E43320" w:rsidRDefault="00E43320" w:rsidP="001A12C9">
      <w:pPr>
        <w:jc w:val="both"/>
      </w:pPr>
    </w:p>
    <w:p w14:paraId="0C146FCA" w14:textId="77777777" w:rsidR="00E72346" w:rsidRDefault="004B09E7" w:rsidP="001A12C9">
      <w:pPr>
        <w:jc w:val="both"/>
        <w:rPr>
          <w:rFonts w:cstheme="minorHAnsi"/>
          <w:lang w:val="en-AU"/>
        </w:rPr>
      </w:pPr>
      <w:r w:rsidRPr="00CD3A9D">
        <w:rPr>
          <w:rFonts w:eastAsia="Calibri" w:cstheme="minorHAnsi"/>
          <w:lang w:val="en-AU"/>
        </w:rPr>
        <w:t>All data w</w:t>
      </w:r>
      <w:r w:rsidRPr="00CD3A9D">
        <w:rPr>
          <w:rFonts w:cstheme="minorHAnsi"/>
          <w:lang w:val="en-AU"/>
        </w:rPr>
        <w:t>as managed electronically using</w:t>
      </w:r>
      <w:r w:rsidRPr="00CD3A9D">
        <w:rPr>
          <w:rFonts w:eastAsia="Yu Mincho" w:cstheme="minorHAnsi"/>
          <w:lang w:val="en-AU"/>
        </w:rPr>
        <w:t xml:space="preserve"> </w:t>
      </w:r>
      <w:r w:rsidRPr="00CD3A9D">
        <w:rPr>
          <w:rFonts w:eastAsia="Calibri" w:cstheme="minorHAnsi"/>
          <w:lang w:val="en-AU"/>
        </w:rPr>
        <w:t>Endnote</w:t>
      </w:r>
      <w:r w:rsidRPr="00CD3A9D">
        <w:rPr>
          <w:rFonts w:eastAsia="Yu Mincho" w:cstheme="minorHAnsi"/>
          <w:lang w:val="en-AU"/>
        </w:rPr>
        <w:t xml:space="preserve"> [</w:t>
      </w:r>
      <w:r w:rsidRPr="00CD3A9D">
        <w:rPr>
          <w:rFonts w:eastAsia="Calibri" w:cstheme="minorHAnsi"/>
          <w:lang w:val="en-AU"/>
        </w:rPr>
        <w:t>Endnote X9</w:t>
      </w:r>
      <w:r w:rsidRPr="00CD3A9D">
        <w:rPr>
          <w:rFonts w:eastAsia="Yu Mincho" w:cstheme="minorHAnsi"/>
          <w:lang w:val="en-AU"/>
        </w:rPr>
        <w:t>]</w:t>
      </w:r>
      <w:r w:rsidRPr="00CD3A9D">
        <w:rPr>
          <w:rFonts w:cstheme="minorHAnsi"/>
          <w:lang w:val="en-AU"/>
        </w:rPr>
        <w:t xml:space="preserve"> </w:t>
      </w:r>
      <w:r w:rsidRPr="00CD3A9D">
        <w:rPr>
          <w:rFonts w:eastAsia="Calibri" w:cstheme="minorHAnsi"/>
          <w:lang w:val="en-AU"/>
        </w:rPr>
        <w:t xml:space="preserve">and </w:t>
      </w:r>
      <w:r w:rsidRPr="00CD3A9D">
        <w:rPr>
          <w:rFonts w:cstheme="minorHAnsi"/>
          <w:lang w:val="en-AU"/>
        </w:rPr>
        <w:t xml:space="preserve">Microsoft excel. </w:t>
      </w:r>
    </w:p>
    <w:p w14:paraId="7C95DAB7" w14:textId="06231CCC" w:rsidR="004B09E7" w:rsidRPr="00CD3A9D" w:rsidRDefault="004B09E7" w:rsidP="001A12C9">
      <w:pPr>
        <w:jc w:val="both"/>
        <w:rPr>
          <w:rFonts w:cstheme="minorHAnsi"/>
        </w:rPr>
      </w:pPr>
      <w:r w:rsidRPr="00CD3A9D">
        <w:rPr>
          <w:rFonts w:eastAsia="Yu Mincho" w:cstheme="minorHAnsi"/>
          <w:lang w:val="en-AU"/>
        </w:rPr>
        <w:t xml:space="preserve"> </w:t>
      </w:r>
    </w:p>
    <w:p w14:paraId="1BF48B34" w14:textId="7803BA90" w:rsidR="004B09E7" w:rsidRDefault="004B09E7" w:rsidP="001A12C9">
      <w:pPr>
        <w:pStyle w:val="Heading3"/>
        <w:jc w:val="both"/>
        <w:rPr>
          <w:rFonts w:ascii="Arial" w:eastAsia="Calibri Light" w:hAnsi="Arial" w:cs="Arial"/>
          <w:b/>
          <w:bCs/>
          <w:color w:val="auto"/>
          <w:sz w:val="20"/>
          <w:szCs w:val="20"/>
          <w:u w:val="single"/>
        </w:rPr>
      </w:pPr>
      <w:r w:rsidRPr="00412222">
        <w:rPr>
          <w:rFonts w:ascii="Arial" w:eastAsia="Calibri Light" w:hAnsi="Arial" w:cs="Arial"/>
          <w:b/>
          <w:bCs/>
          <w:color w:val="auto"/>
          <w:sz w:val="20"/>
          <w:szCs w:val="20"/>
        </w:rPr>
        <w:t>2.</w:t>
      </w:r>
      <w:r w:rsidR="00007498" w:rsidRPr="00412222">
        <w:rPr>
          <w:rFonts w:ascii="Arial" w:eastAsia="Calibri Light" w:hAnsi="Arial" w:cs="Arial"/>
          <w:b/>
          <w:bCs/>
          <w:color w:val="auto"/>
          <w:sz w:val="20"/>
          <w:szCs w:val="20"/>
        </w:rPr>
        <w:t>3.1</w:t>
      </w:r>
      <w:r w:rsidRPr="00412222">
        <w:rPr>
          <w:rFonts w:ascii="Arial" w:eastAsia="Calibri Light" w:hAnsi="Arial" w:cs="Arial"/>
          <w:b/>
          <w:bCs/>
          <w:color w:val="auto"/>
          <w:sz w:val="20"/>
          <w:szCs w:val="20"/>
        </w:rPr>
        <w:t xml:space="preserve"> </w:t>
      </w:r>
      <w:r w:rsidR="00007498" w:rsidRPr="00412222">
        <w:rPr>
          <w:rFonts w:ascii="Arial" w:eastAsia="Calibri Light" w:hAnsi="Arial" w:cs="Arial"/>
          <w:b/>
          <w:bCs/>
          <w:color w:val="auto"/>
          <w:sz w:val="20"/>
          <w:szCs w:val="20"/>
          <w:u w:val="single"/>
        </w:rPr>
        <w:t xml:space="preserve">Selection </w:t>
      </w:r>
      <w:r w:rsidR="00A060EC">
        <w:rPr>
          <w:rFonts w:ascii="Arial" w:eastAsia="Calibri Light" w:hAnsi="Arial" w:cs="Arial"/>
          <w:b/>
          <w:bCs/>
          <w:color w:val="auto"/>
          <w:sz w:val="20"/>
          <w:szCs w:val="20"/>
          <w:u w:val="single"/>
        </w:rPr>
        <w:t>P</w:t>
      </w:r>
      <w:r w:rsidR="00007498" w:rsidRPr="00412222">
        <w:rPr>
          <w:rFonts w:ascii="Arial" w:eastAsia="Calibri Light" w:hAnsi="Arial" w:cs="Arial"/>
          <w:b/>
          <w:bCs/>
          <w:color w:val="auto"/>
          <w:sz w:val="20"/>
          <w:szCs w:val="20"/>
          <w:u w:val="single"/>
        </w:rPr>
        <w:t>rocess</w:t>
      </w:r>
    </w:p>
    <w:p w14:paraId="6195E930" w14:textId="77777777" w:rsidR="00E43320" w:rsidRPr="00E43320" w:rsidRDefault="00E43320" w:rsidP="001A12C9">
      <w:pPr>
        <w:jc w:val="both"/>
        <w:rPr>
          <w:rFonts w:eastAsia="Calibri"/>
        </w:rPr>
      </w:pPr>
    </w:p>
    <w:p w14:paraId="321CAB93" w14:textId="35653A9C" w:rsidR="004B09E7" w:rsidRDefault="004B09E7" w:rsidP="001A12C9">
      <w:pPr>
        <w:jc w:val="both"/>
        <w:rPr>
          <w:rFonts w:eastAsia="Calibri" w:cstheme="minorHAnsi"/>
        </w:rPr>
      </w:pPr>
      <w:r w:rsidRPr="00CD3A9D">
        <w:rPr>
          <w:rFonts w:eastAsia="Calibri" w:cstheme="minorHAnsi"/>
          <w:lang w:val="en-AU"/>
        </w:rPr>
        <w:t>After removal of duplicate</w:t>
      </w:r>
      <w:r w:rsidRPr="00CD3A9D">
        <w:rPr>
          <w:rFonts w:cstheme="minorHAnsi"/>
          <w:lang w:val="en-AU"/>
        </w:rPr>
        <w:t xml:space="preserve">s, title and abstracts were screened for RCTs using the automation tool </w:t>
      </w:r>
      <w:proofErr w:type="spellStart"/>
      <w:r w:rsidRPr="00CD3A9D">
        <w:rPr>
          <w:rFonts w:cstheme="minorHAnsi"/>
          <w:i/>
          <w:iCs/>
          <w:lang w:val="en-AU"/>
        </w:rPr>
        <w:t>RobotSearch</w:t>
      </w:r>
      <w:proofErr w:type="spellEnd"/>
      <w:r>
        <w:rPr>
          <w:rFonts w:cstheme="minorHAnsi"/>
          <w:i/>
          <w:iCs/>
          <w:lang w:val="en-AU"/>
        </w:rPr>
        <w:t xml:space="preserve"> </w:t>
      </w:r>
      <w:r w:rsidRPr="00CD3A9D">
        <w:rPr>
          <w:rFonts w:eastAsia="Yu Mincho" w:cstheme="minorHAnsi"/>
          <w:lang w:val="en-AU"/>
        </w:rPr>
        <w:t>(</w:t>
      </w:r>
      <w:r w:rsidR="00F3615F">
        <w:rPr>
          <w:rFonts w:eastAsia="Calibri" w:cstheme="minorHAnsi"/>
          <w:lang w:val="en-AU"/>
        </w:rPr>
        <w:t xml:space="preserve">Bond University, </w:t>
      </w:r>
      <w:r w:rsidR="00A24E6D">
        <w:rPr>
          <w:rFonts w:eastAsia="Calibri" w:cstheme="minorHAnsi"/>
          <w:lang w:val="en-AU"/>
        </w:rPr>
        <w:t>2020</w:t>
      </w:r>
      <w:r w:rsidRPr="00CD3A9D">
        <w:rPr>
          <w:rFonts w:eastAsia="Calibri" w:cstheme="minorHAnsi"/>
          <w:lang w:val="en-AU"/>
        </w:rPr>
        <w:t>)</w:t>
      </w:r>
      <w:r w:rsidRPr="00CD3A9D">
        <w:rPr>
          <w:rFonts w:eastAsia="Yu Mincho" w:cstheme="minorHAnsi"/>
          <w:lang w:val="en-AU"/>
        </w:rPr>
        <w:t>.</w:t>
      </w:r>
      <w:r w:rsidR="001A12C9">
        <w:rPr>
          <w:rFonts w:eastAsia="Yu Mincho" w:cstheme="minorHAnsi"/>
          <w:lang w:val="en-AU"/>
        </w:rPr>
        <w:t xml:space="preserve"> </w:t>
      </w:r>
      <w:r w:rsidRPr="00CD3A9D">
        <w:rPr>
          <w:rFonts w:eastAsia="Calibri" w:cstheme="minorHAnsi"/>
          <w:lang w:val="en-AU"/>
        </w:rPr>
        <w:t>Remaining s</w:t>
      </w:r>
      <w:r w:rsidRPr="00CD3A9D">
        <w:rPr>
          <w:rFonts w:cstheme="minorHAnsi"/>
          <w:lang w:val="en-AU"/>
        </w:rPr>
        <w:t xml:space="preserve">tudy title and abstracts were screened independently by two authors for inclusion using </w:t>
      </w:r>
      <w:r w:rsidRPr="00CD3A9D">
        <w:rPr>
          <w:rFonts w:cstheme="minorHAnsi"/>
          <w:i/>
          <w:iCs/>
          <w:lang w:val="en-AU"/>
        </w:rPr>
        <w:t>Endnote</w:t>
      </w:r>
      <w:r w:rsidRPr="00CD3A9D">
        <w:rPr>
          <w:rFonts w:cstheme="minorHAnsi"/>
          <w:lang w:val="en-AU"/>
        </w:rPr>
        <w:t xml:space="preserve"> and </w:t>
      </w:r>
      <w:r w:rsidRPr="00CD3A9D">
        <w:rPr>
          <w:rFonts w:cstheme="minorHAnsi"/>
          <w:i/>
          <w:iCs/>
          <w:lang w:val="en-AU"/>
        </w:rPr>
        <w:t>SRA-Helper</w:t>
      </w:r>
      <w:r w:rsidRPr="00CD3A9D">
        <w:rPr>
          <w:rFonts w:eastAsia="Yu Mincho" w:cstheme="minorHAnsi"/>
          <w:lang w:val="en-AU"/>
        </w:rPr>
        <w:t xml:space="preserve"> (</w:t>
      </w:r>
      <w:r w:rsidR="00A24E6D">
        <w:rPr>
          <w:rFonts w:eastAsia="Calibri" w:cstheme="minorHAnsi"/>
          <w:lang w:val="en-AU"/>
        </w:rPr>
        <w:t>Clark, 2020</w:t>
      </w:r>
      <w:r w:rsidRPr="00CD3A9D">
        <w:rPr>
          <w:rFonts w:eastAsia="Yu Mincho" w:cstheme="minorHAnsi"/>
          <w:lang w:val="en-AU"/>
        </w:rPr>
        <w:t>).</w:t>
      </w:r>
      <w:r w:rsidRPr="00CD3A9D">
        <w:rPr>
          <w:rFonts w:eastAsia="Calibri" w:cstheme="minorHAnsi"/>
          <w:lang w:val="en-AU"/>
        </w:rPr>
        <w:t xml:space="preserve"> Discrepancies w</w:t>
      </w:r>
      <w:r w:rsidRPr="00CD3A9D">
        <w:rPr>
          <w:rFonts w:cstheme="minorHAnsi"/>
          <w:lang w:val="en-AU"/>
        </w:rPr>
        <w:t xml:space="preserve">ere identified using </w:t>
      </w:r>
      <w:proofErr w:type="spellStart"/>
      <w:r w:rsidRPr="00CD3A9D">
        <w:rPr>
          <w:rFonts w:cstheme="minorHAnsi"/>
          <w:i/>
          <w:iCs/>
          <w:lang w:val="en-AU"/>
        </w:rPr>
        <w:t>Disputatron</w:t>
      </w:r>
      <w:proofErr w:type="spellEnd"/>
      <w:r w:rsidRPr="00CD3A9D">
        <w:rPr>
          <w:rFonts w:eastAsia="Yu Mincho" w:cstheme="minorHAnsi"/>
          <w:i/>
          <w:iCs/>
          <w:lang w:val="en-AU"/>
        </w:rPr>
        <w:t xml:space="preserve"> </w:t>
      </w:r>
      <w:r w:rsidRPr="00CD3A9D">
        <w:rPr>
          <w:rFonts w:eastAsia="Calibri" w:cstheme="minorHAnsi"/>
          <w:lang w:val="en-AU"/>
        </w:rPr>
        <w:t>(</w:t>
      </w:r>
      <w:r w:rsidR="00A24E6D">
        <w:rPr>
          <w:rFonts w:eastAsia="Calibri" w:cstheme="minorHAnsi"/>
          <w:lang w:val="en-AU"/>
        </w:rPr>
        <w:t>Bond University, 2020</w:t>
      </w:r>
      <w:r w:rsidRPr="00CD3A9D">
        <w:rPr>
          <w:rFonts w:eastAsia="Calibri" w:cstheme="minorHAnsi"/>
          <w:lang w:val="en-AU"/>
        </w:rPr>
        <w:t xml:space="preserve">) </w:t>
      </w:r>
      <w:r w:rsidRPr="00CD3A9D">
        <w:rPr>
          <w:rFonts w:cstheme="minorHAnsi"/>
          <w:lang w:val="en-AU"/>
        </w:rPr>
        <w:t>and resolved by discussion between the two reviewers</w:t>
      </w:r>
      <w:r w:rsidRPr="00CD3A9D">
        <w:rPr>
          <w:rFonts w:eastAsia="Yu Mincho" w:cstheme="minorHAnsi"/>
          <w:lang w:val="en-AU"/>
        </w:rPr>
        <w:t xml:space="preserve">. </w:t>
      </w:r>
      <w:r w:rsidRPr="00CD3A9D">
        <w:rPr>
          <w:rFonts w:eastAsia="Calibri" w:cstheme="minorHAnsi"/>
          <w:lang w:val="en-AU"/>
        </w:rPr>
        <w:t xml:space="preserve">Full text screening </w:t>
      </w:r>
      <w:r w:rsidRPr="00CD3A9D">
        <w:rPr>
          <w:rFonts w:cstheme="minorHAnsi"/>
          <w:lang w:val="en-AU"/>
        </w:rPr>
        <w:t>was conducted in the same manner.</w:t>
      </w:r>
      <w:r w:rsidRPr="00CD3A9D">
        <w:rPr>
          <w:rFonts w:eastAsia="Calibri" w:cstheme="minorHAnsi"/>
        </w:rPr>
        <w:t xml:space="preserve"> </w:t>
      </w:r>
    </w:p>
    <w:p w14:paraId="5DAC5505" w14:textId="77777777" w:rsidR="00E72346" w:rsidRDefault="00E72346" w:rsidP="001A12C9">
      <w:pPr>
        <w:jc w:val="both"/>
      </w:pPr>
    </w:p>
    <w:p w14:paraId="77DFF903" w14:textId="7A5DC087" w:rsidR="00F623DC" w:rsidRDefault="00F623DC" w:rsidP="001A12C9">
      <w:pPr>
        <w:jc w:val="both"/>
        <w:rPr>
          <w:rFonts w:ascii="Arial" w:eastAsia="Calibri" w:hAnsi="Arial" w:cs="Arial"/>
          <w:b/>
          <w:bCs/>
        </w:rPr>
      </w:pPr>
      <w:r w:rsidRPr="00A060EC">
        <w:rPr>
          <w:rFonts w:ascii="Arial" w:eastAsia="Calibri" w:hAnsi="Arial" w:cs="Arial"/>
          <w:b/>
          <w:bCs/>
        </w:rPr>
        <w:t>2.</w:t>
      </w:r>
      <w:r w:rsidR="009C7D69" w:rsidRPr="00A060EC">
        <w:rPr>
          <w:rFonts w:ascii="Arial" w:eastAsia="Calibri" w:hAnsi="Arial" w:cs="Arial"/>
          <w:b/>
          <w:bCs/>
        </w:rPr>
        <w:t>3.2</w:t>
      </w:r>
      <w:r w:rsidRPr="00A060EC">
        <w:rPr>
          <w:rFonts w:ascii="Arial" w:eastAsia="Calibri" w:hAnsi="Arial" w:cs="Arial"/>
          <w:b/>
          <w:bCs/>
        </w:rPr>
        <w:t xml:space="preserve"> </w:t>
      </w:r>
      <w:r w:rsidRPr="00A060EC">
        <w:rPr>
          <w:rFonts w:ascii="Arial" w:eastAsia="Calibri" w:hAnsi="Arial" w:cs="Arial"/>
          <w:b/>
          <w:bCs/>
          <w:u w:val="single"/>
        </w:rPr>
        <w:t>Reasons for Exclusion</w:t>
      </w:r>
      <w:r w:rsidRPr="00A060EC">
        <w:rPr>
          <w:rFonts w:ascii="Arial" w:eastAsia="Calibri" w:hAnsi="Arial" w:cs="Arial"/>
          <w:b/>
          <w:bCs/>
        </w:rPr>
        <w:t xml:space="preserve"> </w:t>
      </w:r>
    </w:p>
    <w:p w14:paraId="49534367" w14:textId="77777777" w:rsidR="00B84A8A" w:rsidRPr="00A060EC" w:rsidRDefault="00B84A8A" w:rsidP="001A12C9">
      <w:pPr>
        <w:jc w:val="both"/>
        <w:rPr>
          <w:rFonts w:ascii="Arial" w:hAnsi="Arial" w:cs="Arial"/>
          <w:b/>
          <w:bCs/>
        </w:rPr>
      </w:pPr>
    </w:p>
    <w:p w14:paraId="6660D8A1" w14:textId="4692FF0C" w:rsidR="00F623DC" w:rsidRDefault="00F623DC" w:rsidP="001A12C9">
      <w:pPr>
        <w:jc w:val="both"/>
        <w:rPr>
          <w:rFonts w:ascii="Arial" w:eastAsia="Calibri" w:hAnsi="Arial" w:cs="Arial"/>
          <w:color w:val="000000" w:themeColor="text1"/>
        </w:rPr>
      </w:pPr>
      <w:r w:rsidRPr="00F623DC">
        <w:rPr>
          <w:rFonts w:ascii="Arial" w:eastAsia="Calibri" w:hAnsi="Arial" w:cs="Arial"/>
          <w:color w:val="000000" w:themeColor="text1"/>
        </w:rPr>
        <w:t xml:space="preserve">There were several reasons why 1961 records in the title and abstract screening phase were excluded. These include incorrect study type, studies did not meet inclusion and exclusion criteria, and studies prior to those included in the Hatton review (prior to 1975). The reasons for exclusion at the full text screening phase can be seen below. </w:t>
      </w:r>
    </w:p>
    <w:p w14:paraId="5468FC3F" w14:textId="77777777" w:rsidR="00F623DC" w:rsidRDefault="00F623DC" w:rsidP="001A12C9">
      <w:pPr>
        <w:jc w:val="both"/>
        <w:rPr>
          <w:rFonts w:ascii="Arial" w:eastAsia="Calibri" w:hAnsi="Arial" w:cs="Arial"/>
          <w:color w:val="000000" w:themeColor="text1"/>
        </w:rPr>
      </w:pPr>
    </w:p>
    <w:p w14:paraId="17FFC0A5" w14:textId="2945E370" w:rsidR="00F623DC" w:rsidRPr="00F623DC" w:rsidRDefault="00F623DC" w:rsidP="001A12C9">
      <w:pPr>
        <w:tabs>
          <w:tab w:val="left" w:pos="1080"/>
        </w:tabs>
        <w:jc w:val="both"/>
        <w:rPr>
          <w:rFonts w:ascii="Arial" w:hAnsi="Arial"/>
          <w:b/>
        </w:rPr>
      </w:pPr>
      <w:r>
        <w:rPr>
          <w:rFonts w:ascii="Arial" w:hAnsi="Arial"/>
          <w:b/>
        </w:rPr>
        <w:t>Table 1.</w:t>
      </w:r>
      <w:r w:rsidRPr="00DC3180">
        <w:rPr>
          <w:rFonts w:ascii="Arial" w:hAnsi="Arial"/>
          <w:b/>
        </w:rPr>
        <w:tab/>
      </w:r>
      <w:r>
        <w:rPr>
          <w:rFonts w:ascii="Arial" w:hAnsi="Arial"/>
          <w:b/>
        </w:rPr>
        <w:t>Reasons for study exclusion</w:t>
      </w:r>
    </w:p>
    <w:p w14:paraId="630C35F2" w14:textId="77777777" w:rsidR="00F623DC" w:rsidRPr="00F623DC" w:rsidRDefault="00F623DC" w:rsidP="001A12C9">
      <w:pPr>
        <w:pStyle w:val="Body"/>
        <w:spacing w:after="0"/>
        <w:rPr>
          <w:rFonts w:ascii="Arial" w:hAnsi="Arial" w:cs="Arial"/>
        </w:rPr>
      </w:pPr>
    </w:p>
    <w:tbl>
      <w:tblPr>
        <w:tblStyle w:val="TableGrid"/>
        <w:tblW w:w="0" w:type="auto"/>
        <w:tblLayout w:type="fixed"/>
        <w:tblLook w:val="04A0" w:firstRow="1" w:lastRow="0" w:firstColumn="1" w:lastColumn="0" w:noHBand="0" w:noVBand="1"/>
      </w:tblPr>
      <w:tblGrid>
        <w:gridCol w:w="4508"/>
        <w:gridCol w:w="4508"/>
      </w:tblGrid>
      <w:tr w:rsidR="00F623DC" w:rsidRPr="00F623DC" w14:paraId="40CC9680" w14:textId="77777777" w:rsidTr="003F336C">
        <w:tc>
          <w:tcPr>
            <w:tcW w:w="4508" w:type="dxa"/>
            <w:tcBorders>
              <w:top w:val="single" w:sz="8" w:space="0" w:color="auto"/>
              <w:left w:val="single" w:sz="8" w:space="0" w:color="auto"/>
              <w:bottom w:val="single" w:sz="8" w:space="0" w:color="auto"/>
              <w:right w:val="single" w:sz="8" w:space="0" w:color="auto"/>
            </w:tcBorders>
          </w:tcPr>
          <w:p w14:paraId="4F6A3BA1" w14:textId="77777777" w:rsidR="00F623DC" w:rsidRPr="00F623DC" w:rsidRDefault="00F623DC" w:rsidP="001A12C9">
            <w:pPr>
              <w:jc w:val="both"/>
              <w:rPr>
                <w:rFonts w:cstheme="minorHAnsi"/>
                <w:sz w:val="20"/>
                <w:szCs w:val="20"/>
              </w:rPr>
            </w:pPr>
            <w:r w:rsidRPr="00F623DC">
              <w:rPr>
                <w:rFonts w:cstheme="minorHAnsi"/>
                <w:sz w:val="20"/>
                <w:szCs w:val="20"/>
              </w:rPr>
              <w:t>Reason for exclusion at the full text phase</w:t>
            </w:r>
          </w:p>
        </w:tc>
        <w:tc>
          <w:tcPr>
            <w:tcW w:w="4508" w:type="dxa"/>
            <w:tcBorders>
              <w:top w:val="single" w:sz="8" w:space="0" w:color="auto"/>
              <w:left w:val="single" w:sz="8" w:space="0" w:color="auto"/>
              <w:bottom w:val="single" w:sz="8" w:space="0" w:color="auto"/>
              <w:right w:val="single" w:sz="8" w:space="0" w:color="auto"/>
            </w:tcBorders>
          </w:tcPr>
          <w:p w14:paraId="397E63EF" w14:textId="77777777" w:rsidR="00F623DC" w:rsidRPr="00F623DC" w:rsidRDefault="00F623DC" w:rsidP="001A12C9">
            <w:pPr>
              <w:jc w:val="both"/>
              <w:rPr>
                <w:rFonts w:cstheme="minorHAnsi"/>
                <w:sz w:val="20"/>
                <w:szCs w:val="20"/>
              </w:rPr>
            </w:pPr>
            <w:r w:rsidRPr="00F623DC">
              <w:rPr>
                <w:rFonts w:cstheme="minorHAnsi"/>
                <w:sz w:val="20"/>
                <w:szCs w:val="20"/>
              </w:rPr>
              <w:t xml:space="preserve">Amount excluded for the given reason </w:t>
            </w:r>
          </w:p>
        </w:tc>
      </w:tr>
      <w:tr w:rsidR="00F623DC" w:rsidRPr="00F623DC" w14:paraId="442C85B5" w14:textId="77777777" w:rsidTr="003F336C">
        <w:tc>
          <w:tcPr>
            <w:tcW w:w="4508" w:type="dxa"/>
            <w:tcBorders>
              <w:top w:val="single" w:sz="8" w:space="0" w:color="auto"/>
              <w:left w:val="single" w:sz="8" w:space="0" w:color="auto"/>
              <w:bottom w:val="single" w:sz="8" w:space="0" w:color="auto"/>
              <w:right w:val="single" w:sz="8" w:space="0" w:color="auto"/>
            </w:tcBorders>
          </w:tcPr>
          <w:p w14:paraId="03B67BB4" w14:textId="77777777" w:rsidR="00F623DC" w:rsidRPr="00F623DC" w:rsidRDefault="00F623DC" w:rsidP="001A12C9">
            <w:pPr>
              <w:jc w:val="both"/>
              <w:rPr>
                <w:rFonts w:cstheme="minorHAnsi"/>
                <w:sz w:val="20"/>
                <w:szCs w:val="20"/>
              </w:rPr>
            </w:pPr>
            <w:r w:rsidRPr="00F623DC">
              <w:rPr>
                <w:rFonts w:cstheme="minorHAnsi"/>
                <w:sz w:val="20"/>
                <w:szCs w:val="20"/>
              </w:rPr>
              <w:t xml:space="preserve">Not the correct study type </w:t>
            </w:r>
          </w:p>
        </w:tc>
        <w:tc>
          <w:tcPr>
            <w:tcW w:w="4508" w:type="dxa"/>
            <w:tcBorders>
              <w:top w:val="single" w:sz="8" w:space="0" w:color="auto"/>
              <w:left w:val="single" w:sz="8" w:space="0" w:color="auto"/>
              <w:bottom w:val="single" w:sz="8" w:space="0" w:color="auto"/>
              <w:right w:val="single" w:sz="8" w:space="0" w:color="auto"/>
            </w:tcBorders>
          </w:tcPr>
          <w:p w14:paraId="0AB45BA5" w14:textId="77777777" w:rsidR="00F623DC" w:rsidRPr="00F623DC" w:rsidRDefault="00F623DC" w:rsidP="001A12C9">
            <w:pPr>
              <w:jc w:val="both"/>
              <w:rPr>
                <w:rFonts w:cstheme="minorHAnsi"/>
                <w:sz w:val="20"/>
                <w:szCs w:val="20"/>
              </w:rPr>
            </w:pPr>
            <w:r w:rsidRPr="00F623DC">
              <w:rPr>
                <w:rFonts w:cstheme="minorHAnsi"/>
                <w:sz w:val="20"/>
                <w:szCs w:val="20"/>
              </w:rPr>
              <w:t>8</w:t>
            </w:r>
          </w:p>
        </w:tc>
      </w:tr>
      <w:tr w:rsidR="00F623DC" w:rsidRPr="00F623DC" w14:paraId="15671AE9" w14:textId="77777777" w:rsidTr="003F336C">
        <w:tc>
          <w:tcPr>
            <w:tcW w:w="4508" w:type="dxa"/>
            <w:tcBorders>
              <w:top w:val="single" w:sz="8" w:space="0" w:color="auto"/>
              <w:left w:val="single" w:sz="8" w:space="0" w:color="auto"/>
              <w:bottom w:val="single" w:sz="8" w:space="0" w:color="auto"/>
              <w:right w:val="single" w:sz="8" w:space="0" w:color="auto"/>
            </w:tcBorders>
          </w:tcPr>
          <w:p w14:paraId="7B125681" w14:textId="77777777" w:rsidR="00F623DC" w:rsidRPr="00F623DC" w:rsidRDefault="00F623DC" w:rsidP="001A12C9">
            <w:pPr>
              <w:jc w:val="both"/>
              <w:rPr>
                <w:rFonts w:cstheme="minorHAnsi"/>
                <w:sz w:val="20"/>
                <w:szCs w:val="20"/>
              </w:rPr>
            </w:pPr>
            <w:r w:rsidRPr="00F623DC">
              <w:rPr>
                <w:rFonts w:cstheme="minorHAnsi"/>
                <w:sz w:val="20"/>
                <w:szCs w:val="20"/>
              </w:rPr>
              <w:t xml:space="preserve">Not comparing to a placebo </w:t>
            </w:r>
          </w:p>
        </w:tc>
        <w:tc>
          <w:tcPr>
            <w:tcW w:w="4508" w:type="dxa"/>
            <w:tcBorders>
              <w:top w:val="single" w:sz="8" w:space="0" w:color="auto"/>
              <w:left w:val="single" w:sz="8" w:space="0" w:color="auto"/>
              <w:bottom w:val="single" w:sz="8" w:space="0" w:color="auto"/>
              <w:right w:val="single" w:sz="8" w:space="0" w:color="auto"/>
            </w:tcBorders>
          </w:tcPr>
          <w:p w14:paraId="098D8655" w14:textId="77777777" w:rsidR="00F623DC" w:rsidRPr="00F623DC" w:rsidRDefault="00F623DC" w:rsidP="001A12C9">
            <w:pPr>
              <w:jc w:val="both"/>
              <w:rPr>
                <w:rFonts w:cstheme="minorHAnsi"/>
                <w:sz w:val="20"/>
                <w:szCs w:val="20"/>
              </w:rPr>
            </w:pPr>
            <w:r w:rsidRPr="00F623DC">
              <w:rPr>
                <w:rFonts w:cstheme="minorHAnsi"/>
                <w:sz w:val="20"/>
                <w:szCs w:val="20"/>
              </w:rPr>
              <w:t>3</w:t>
            </w:r>
          </w:p>
        </w:tc>
      </w:tr>
      <w:tr w:rsidR="00F623DC" w:rsidRPr="00F623DC" w14:paraId="0232820E" w14:textId="77777777" w:rsidTr="003F336C">
        <w:tc>
          <w:tcPr>
            <w:tcW w:w="4508" w:type="dxa"/>
            <w:tcBorders>
              <w:top w:val="single" w:sz="8" w:space="0" w:color="auto"/>
              <w:left w:val="single" w:sz="8" w:space="0" w:color="auto"/>
              <w:bottom w:val="single" w:sz="8" w:space="0" w:color="auto"/>
              <w:right w:val="single" w:sz="8" w:space="0" w:color="auto"/>
            </w:tcBorders>
          </w:tcPr>
          <w:p w14:paraId="2F8020AE" w14:textId="77777777" w:rsidR="00F623DC" w:rsidRPr="00F623DC" w:rsidRDefault="00F623DC" w:rsidP="001A12C9">
            <w:pPr>
              <w:jc w:val="both"/>
              <w:rPr>
                <w:rFonts w:cstheme="minorHAnsi"/>
                <w:sz w:val="20"/>
                <w:szCs w:val="20"/>
              </w:rPr>
            </w:pPr>
            <w:r w:rsidRPr="00F623DC">
              <w:rPr>
                <w:rFonts w:cstheme="minorHAnsi"/>
                <w:sz w:val="20"/>
                <w:szCs w:val="20"/>
              </w:rPr>
              <w:t xml:space="preserve">PE was not the intervention </w:t>
            </w:r>
          </w:p>
        </w:tc>
        <w:tc>
          <w:tcPr>
            <w:tcW w:w="4508" w:type="dxa"/>
            <w:tcBorders>
              <w:top w:val="single" w:sz="8" w:space="0" w:color="auto"/>
              <w:left w:val="single" w:sz="8" w:space="0" w:color="auto"/>
              <w:bottom w:val="single" w:sz="8" w:space="0" w:color="auto"/>
              <w:right w:val="single" w:sz="8" w:space="0" w:color="auto"/>
            </w:tcBorders>
          </w:tcPr>
          <w:p w14:paraId="61728A5A" w14:textId="77777777" w:rsidR="00F623DC" w:rsidRPr="00F623DC" w:rsidRDefault="00F623DC" w:rsidP="001A12C9">
            <w:pPr>
              <w:jc w:val="both"/>
              <w:rPr>
                <w:rFonts w:cstheme="minorHAnsi"/>
                <w:sz w:val="20"/>
                <w:szCs w:val="20"/>
              </w:rPr>
            </w:pPr>
            <w:r w:rsidRPr="00F623DC">
              <w:rPr>
                <w:rFonts w:cstheme="minorHAnsi"/>
                <w:sz w:val="20"/>
                <w:szCs w:val="20"/>
              </w:rPr>
              <w:t>2</w:t>
            </w:r>
          </w:p>
        </w:tc>
      </w:tr>
      <w:tr w:rsidR="00F623DC" w:rsidRPr="00F623DC" w14:paraId="371B7F08" w14:textId="77777777" w:rsidTr="003F336C">
        <w:tc>
          <w:tcPr>
            <w:tcW w:w="4508" w:type="dxa"/>
            <w:tcBorders>
              <w:top w:val="single" w:sz="8" w:space="0" w:color="auto"/>
              <w:left w:val="single" w:sz="8" w:space="0" w:color="auto"/>
              <w:bottom w:val="single" w:sz="8" w:space="0" w:color="auto"/>
              <w:right w:val="single" w:sz="8" w:space="0" w:color="auto"/>
            </w:tcBorders>
          </w:tcPr>
          <w:p w14:paraId="66B40104" w14:textId="77777777" w:rsidR="00F623DC" w:rsidRPr="00F623DC" w:rsidRDefault="00F623DC" w:rsidP="001A12C9">
            <w:pPr>
              <w:jc w:val="both"/>
              <w:rPr>
                <w:rFonts w:cstheme="minorHAnsi"/>
                <w:sz w:val="20"/>
                <w:szCs w:val="20"/>
              </w:rPr>
            </w:pPr>
            <w:r w:rsidRPr="00F623DC">
              <w:rPr>
                <w:rFonts w:cstheme="minorHAnsi"/>
                <w:sz w:val="20"/>
                <w:szCs w:val="20"/>
              </w:rPr>
              <w:t xml:space="preserve">PE was used in combination with another decongestant </w:t>
            </w:r>
          </w:p>
        </w:tc>
        <w:tc>
          <w:tcPr>
            <w:tcW w:w="4508" w:type="dxa"/>
            <w:tcBorders>
              <w:top w:val="single" w:sz="8" w:space="0" w:color="auto"/>
              <w:left w:val="single" w:sz="8" w:space="0" w:color="auto"/>
              <w:bottom w:val="single" w:sz="8" w:space="0" w:color="auto"/>
              <w:right w:val="single" w:sz="8" w:space="0" w:color="auto"/>
            </w:tcBorders>
          </w:tcPr>
          <w:p w14:paraId="2297DD8F" w14:textId="77777777" w:rsidR="00F623DC" w:rsidRPr="00F623DC" w:rsidRDefault="00F623DC" w:rsidP="001A12C9">
            <w:pPr>
              <w:jc w:val="both"/>
              <w:rPr>
                <w:rFonts w:cstheme="minorHAnsi"/>
                <w:sz w:val="20"/>
                <w:szCs w:val="20"/>
              </w:rPr>
            </w:pPr>
            <w:r w:rsidRPr="00F623DC">
              <w:rPr>
                <w:rFonts w:cstheme="minorHAnsi"/>
                <w:sz w:val="20"/>
                <w:szCs w:val="20"/>
              </w:rPr>
              <w:t>2</w:t>
            </w:r>
          </w:p>
        </w:tc>
      </w:tr>
      <w:tr w:rsidR="00F623DC" w:rsidRPr="00F623DC" w14:paraId="33AC9F7E" w14:textId="77777777" w:rsidTr="003F336C">
        <w:tc>
          <w:tcPr>
            <w:tcW w:w="4508" w:type="dxa"/>
            <w:tcBorders>
              <w:top w:val="single" w:sz="8" w:space="0" w:color="auto"/>
              <w:left w:val="single" w:sz="8" w:space="0" w:color="auto"/>
              <w:bottom w:val="single" w:sz="8" w:space="0" w:color="auto"/>
              <w:right w:val="single" w:sz="8" w:space="0" w:color="auto"/>
            </w:tcBorders>
          </w:tcPr>
          <w:p w14:paraId="34E525B5" w14:textId="77777777" w:rsidR="00F623DC" w:rsidRPr="00F623DC" w:rsidRDefault="00F623DC" w:rsidP="001A12C9">
            <w:pPr>
              <w:jc w:val="both"/>
              <w:rPr>
                <w:rFonts w:cstheme="minorHAnsi"/>
                <w:sz w:val="20"/>
                <w:szCs w:val="20"/>
              </w:rPr>
            </w:pPr>
            <w:r w:rsidRPr="00F623DC">
              <w:rPr>
                <w:rFonts w:cstheme="minorHAnsi"/>
                <w:sz w:val="20"/>
                <w:szCs w:val="20"/>
              </w:rPr>
              <w:t>Trials not done in target patient group</w:t>
            </w:r>
          </w:p>
        </w:tc>
        <w:tc>
          <w:tcPr>
            <w:tcW w:w="4508" w:type="dxa"/>
            <w:tcBorders>
              <w:top w:val="single" w:sz="8" w:space="0" w:color="auto"/>
              <w:left w:val="single" w:sz="8" w:space="0" w:color="auto"/>
              <w:bottom w:val="single" w:sz="8" w:space="0" w:color="auto"/>
              <w:right w:val="single" w:sz="8" w:space="0" w:color="auto"/>
            </w:tcBorders>
          </w:tcPr>
          <w:p w14:paraId="55E45563" w14:textId="77777777" w:rsidR="00F623DC" w:rsidRPr="00F623DC" w:rsidRDefault="00F623DC" w:rsidP="001A12C9">
            <w:pPr>
              <w:jc w:val="both"/>
              <w:rPr>
                <w:rFonts w:cstheme="minorHAnsi"/>
                <w:sz w:val="20"/>
                <w:szCs w:val="20"/>
              </w:rPr>
            </w:pPr>
            <w:r w:rsidRPr="00F623DC">
              <w:rPr>
                <w:rFonts w:cstheme="minorHAnsi"/>
                <w:sz w:val="20"/>
                <w:szCs w:val="20"/>
              </w:rPr>
              <w:t>1</w:t>
            </w:r>
          </w:p>
        </w:tc>
      </w:tr>
      <w:tr w:rsidR="00F623DC" w:rsidRPr="00F623DC" w14:paraId="31E4675E" w14:textId="77777777" w:rsidTr="003F336C">
        <w:tc>
          <w:tcPr>
            <w:tcW w:w="4508" w:type="dxa"/>
            <w:tcBorders>
              <w:top w:val="single" w:sz="8" w:space="0" w:color="auto"/>
              <w:left w:val="single" w:sz="8" w:space="0" w:color="auto"/>
              <w:bottom w:val="single" w:sz="8" w:space="0" w:color="auto"/>
              <w:right w:val="single" w:sz="8" w:space="0" w:color="auto"/>
            </w:tcBorders>
          </w:tcPr>
          <w:p w14:paraId="006F672A" w14:textId="77777777" w:rsidR="00F623DC" w:rsidRPr="00F623DC" w:rsidRDefault="00F623DC" w:rsidP="001A12C9">
            <w:pPr>
              <w:jc w:val="both"/>
              <w:rPr>
                <w:rFonts w:cstheme="minorHAnsi"/>
                <w:sz w:val="20"/>
                <w:szCs w:val="20"/>
              </w:rPr>
            </w:pPr>
            <w:r w:rsidRPr="00F623DC">
              <w:rPr>
                <w:rFonts w:cstheme="minorHAnsi"/>
                <w:sz w:val="20"/>
                <w:szCs w:val="20"/>
              </w:rPr>
              <w:t xml:space="preserve">Duplicate </w:t>
            </w:r>
          </w:p>
        </w:tc>
        <w:tc>
          <w:tcPr>
            <w:tcW w:w="4508" w:type="dxa"/>
            <w:tcBorders>
              <w:top w:val="single" w:sz="8" w:space="0" w:color="auto"/>
              <w:left w:val="single" w:sz="8" w:space="0" w:color="auto"/>
              <w:bottom w:val="single" w:sz="8" w:space="0" w:color="auto"/>
              <w:right w:val="single" w:sz="8" w:space="0" w:color="auto"/>
            </w:tcBorders>
          </w:tcPr>
          <w:p w14:paraId="4CD5672F" w14:textId="77777777" w:rsidR="00F623DC" w:rsidRPr="00F623DC" w:rsidRDefault="00F623DC" w:rsidP="001A12C9">
            <w:pPr>
              <w:jc w:val="both"/>
              <w:rPr>
                <w:rFonts w:cstheme="minorHAnsi"/>
                <w:sz w:val="20"/>
                <w:szCs w:val="20"/>
              </w:rPr>
            </w:pPr>
            <w:r w:rsidRPr="00F623DC">
              <w:rPr>
                <w:rFonts w:cstheme="minorHAnsi"/>
                <w:sz w:val="20"/>
                <w:szCs w:val="20"/>
              </w:rPr>
              <w:t>1</w:t>
            </w:r>
          </w:p>
        </w:tc>
      </w:tr>
      <w:tr w:rsidR="00F623DC" w:rsidRPr="00F623DC" w14:paraId="7452F3E8" w14:textId="77777777" w:rsidTr="003F336C">
        <w:tc>
          <w:tcPr>
            <w:tcW w:w="4508" w:type="dxa"/>
            <w:tcBorders>
              <w:top w:val="single" w:sz="8" w:space="0" w:color="auto"/>
              <w:left w:val="single" w:sz="8" w:space="0" w:color="auto"/>
              <w:bottom w:val="single" w:sz="8" w:space="0" w:color="auto"/>
              <w:right w:val="single" w:sz="8" w:space="0" w:color="auto"/>
            </w:tcBorders>
          </w:tcPr>
          <w:p w14:paraId="225E58AB" w14:textId="77777777" w:rsidR="00F623DC" w:rsidRPr="00F623DC" w:rsidRDefault="00F623DC" w:rsidP="001A12C9">
            <w:pPr>
              <w:jc w:val="both"/>
              <w:rPr>
                <w:rFonts w:cstheme="minorHAnsi"/>
                <w:sz w:val="20"/>
                <w:szCs w:val="20"/>
              </w:rPr>
            </w:pPr>
            <w:r w:rsidRPr="00F623DC">
              <w:rPr>
                <w:rFonts w:cstheme="minorHAnsi"/>
                <w:sz w:val="20"/>
                <w:szCs w:val="20"/>
              </w:rPr>
              <w:t xml:space="preserve">Full text unavailable </w:t>
            </w:r>
          </w:p>
        </w:tc>
        <w:tc>
          <w:tcPr>
            <w:tcW w:w="4508" w:type="dxa"/>
            <w:tcBorders>
              <w:top w:val="single" w:sz="8" w:space="0" w:color="auto"/>
              <w:left w:val="single" w:sz="8" w:space="0" w:color="auto"/>
              <w:bottom w:val="single" w:sz="8" w:space="0" w:color="auto"/>
              <w:right w:val="single" w:sz="8" w:space="0" w:color="auto"/>
            </w:tcBorders>
          </w:tcPr>
          <w:p w14:paraId="187C5198" w14:textId="77777777" w:rsidR="00F623DC" w:rsidRPr="00F623DC" w:rsidRDefault="00F623DC" w:rsidP="001A12C9">
            <w:pPr>
              <w:jc w:val="both"/>
              <w:rPr>
                <w:rFonts w:cstheme="minorHAnsi"/>
                <w:sz w:val="20"/>
                <w:szCs w:val="20"/>
              </w:rPr>
            </w:pPr>
            <w:r w:rsidRPr="00F623DC">
              <w:rPr>
                <w:rFonts w:cstheme="minorHAnsi"/>
                <w:sz w:val="20"/>
                <w:szCs w:val="20"/>
              </w:rPr>
              <w:t>15</w:t>
            </w:r>
          </w:p>
        </w:tc>
      </w:tr>
      <w:tr w:rsidR="00F623DC" w:rsidRPr="00F623DC" w14:paraId="4A1EC2FF" w14:textId="77777777" w:rsidTr="003F336C">
        <w:tc>
          <w:tcPr>
            <w:tcW w:w="4508" w:type="dxa"/>
            <w:tcBorders>
              <w:top w:val="single" w:sz="8" w:space="0" w:color="auto"/>
              <w:left w:val="single" w:sz="8" w:space="0" w:color="auto"/>
              <w:bottom w:val="single" w:sz="8" w:space="0" w:color="auto"/>
              <w:right w:val="single" w:sz="8" w:space="0" w:color="auto"/>
            </w:tcBorders>
          </w:tcPr>
          <w:p w14:paraId="2D63F442" w14:textId="77777777" w:rsidR="00F623DC" w:rsidRPr="00F623DC" w:rsidRDefault="00F623DC" w:rsidP="001A12C9">
            <w:pPr>
              <w:jc w:val="both"/>
              <w:rPr>
                <w:rFonts w:cstheme="minorHAnsi"/>
                <w:sz w:val="20"/>
                <w:szCs w:val="20"/>
              </w:rPr>
            </w:pPr>
            <w:r w:rsidRPr="00F623DC">
              <w:rPr>
                <w:rFonts w:cstheme="minorHAnsi"/>
                <w:sz w:val="20"/>
                <w:szCs w:val="20"/>
              </w:rPr>
              <w:t>Active drug for intervention not known</w:t>
            </w:r>
          </w:p>
        </w:tc>
        <w:tc>
          <w:tcPr>
            <w:tcW w:w="4508" w:type="dxa"/>
            <w:tcBorders>
              <w:top w:val="single" w:sz="8" w:space="0" w:color="auto"/>
              <w:left w:val="single" w:sz="8" w:space="0" w:color="auto"/>
              <w:bottom w:val="single" w:sz="8" w:space="0" w:color="auto"/>
              <w:right w:val="single" w:sz="8" w:space="0" w:color="auto"/>
            </w:tcBorders>
          </w:tcPr>
          <w:p w14:paraId="6E9E4DE2" w14:textId="77777777" w:rsidR="00F623DC" w:rsidRPr="00F623DC" w:rsidRDefault="00F623DC" w:rsidP="001A12C9">
            <w:pPr>
              <w:jc w:val="both"/>
              <w:rPr>
                <w:rFonts w:cstheme="minorHAnsi"/>
                <w:sz w:val="20"/>
                <w:szCs w:val="20"/>
              </w:rPr>
            </w:pPr>
            <w:r w:rsidRPr="00F623DC">
              <w:rPr>
                <w:rFonts w:cstheme="minorHAnsi"/>
                <w:sz w:val="20"/>
                <w:szCs w:val="20"/>
              </w:rPr>
              <w:t>2</w:t>
            </w:r>
          </w:p>
        </w:tc>
      </w:tr>
      <w:tr w:rsidR="00F623DC" w:rsidRPr="00F623DC" w14:paraId="007D792E" w14:textId="77777777" w:rsidTr="003F336C">
        <w:tc>
          <w:tcPr>
            <w:tcW w:w="4508" w:type="dxa"/>
            <w:tcBorders>
              <w:top w:val="single" w:sz="8" w:space="0" w:color="auto"/>
              <w:left w:val="single" w:sz="8" w:space="0" w:color="auto"/>
              <w:bottom w:val="single" w:sz="8" w:space="0" w:color="auto"/>
              <w:right w:val="single" w:sz="8" w:space="0" w:color="auto"/>
            </w:tcBorders>
          </w:tcPr>
          <w:p w14:paraId="192BA00F" w14:textId="77777777" w:rsidR="00F623DC" w:rsidRPr="00F623DC" w:rsidRDefault="00F623DC" w:rsidP="001A12C9">
            <w:pPr>
              <w:jc w:val="both"/>
              <w:rPr>
                <w:rFonts w:cstheme="minorHAnsi"/>
                <w:sz w:val="20"/>
                <w:szCs w:val="20"/>
              </w:rPr>
            </w:pPr>
            <w:r w:rsidRPr="00F623DC">
              <w:rPr>
                <w:rFonts w:cstheme="minorHAnsi"/>
                <w:sz w:val="20"/>
                <w:szCs w:val="20"/>
              </w:rPr>
              <w:t xml:space="preserve">Incorrect route of administration </w:t>
            </w:r>
          </w:p>
        </w:tc>
        <w:tc>
          <w:tcPr>
            <w:tcW w:w="4508" w:type="dxa"/>
            <w:tcBorders>
              <w:top w:val="single" w:sz="8" w:space="0" w:color="auto"/>
              <w:left w:val="single" w:sz="8" w:space="0" w:color="auto"/>
              <w:bottom w:val="single" w:sz="8" w:space="0" w:color="auto"/>
              <w:right w:val="single" w:sz="8" w:space="0" w:color="auto"/>
            </w:tcBorders>
          </w:tcPr>
          <w:p w14:paraId="39A816BF" w14:textId="77777777" w:rsidR="00F623DC" w:rsidRPr="00F623DC" w:rsidRDefault="00F623DC" w:rsidP="001A12C9">
            <w:pPr>
              <w:keepNext/>
              <w:jc w:val="both"/>
              <w:rPr>
                <w:rFonts w:cstheme="minorHAnsi"/>
                <w:sz w:val="20"/>
                <w:szCs w:val="20"/>
              </w:rPr>
            </w:pPr>
            <w:r w:rsidRPr="00F623DC">
              <w:rPr>
                <w:rFonts w:cstheme="minorHAnsi"/>
                <w:sz w:val="20"/>
                <w:szCs w:val="20"/>
              </w:rPr>
              <w:t>1</w:t>
            </w:r>
          </w:p>
        </w:tc>
      </w:tr>
    </w:tbl>
    <w:p w14:paraId="2EDB9203" w14:textId="77777777" w:rsidR="00F623DC" w:rsidRDefault="00F623DC" w:rsidP="001A12C9">
      <w:pPr>
        <w:pStyle w:val="Body"/>
        <w:spacing w:after="0"/>
        <w:rPr>
          <w:rFonts w:ascii="Arial" w:hAnsi="Arial" w:cs="Arial"/>
        </w:rPr>
      </w:pPr>
    </w:p>
    <w:p w14:paraId="15982DBC" w14:textId="77777777" w:rsidR="00251F2A" w:rsidRDefault="00251F2A" w:rsidP="001A12C9">
      <w:pPr>
        <w:pStyle w:val="Body"/>
        <w:spacing w:after="0"/>
        <w:rPr>
          <w:rFonts w:ascii="Arial" w:hAnsi="Arial" w:cs="Arial"/>
        </w:rPr>
      </w:pPr>
    </w:p>
    <w:p w14:paraId="7552961E" w14:textId="77777777" w:rsidR="00251F2A" w:rsidRDefault="00251F2A" w:rsidP="001A12C9">
      <w:pPr>
        <w:pStyle w:val="Body"/>
        <w:spacing w:after="0"/>
        <w:rPr>
          <w:rFonts w:ascii="Arial" w:hAnsi="Arial" w:cs="Arial"/>
        </w:rPr>
      </w:pPr>
    </w:p>
    <w:p w14:paraId="0CAA8B3C" w14:textId="77777777" w:rsidR="00251F2A" w:rsidRDefault="00251F2A" w:rsidP="001A12C9">
      <w:pPr>
        <w:pStyle w:val="Body"/>
        <w:spacing w:after="0"/>
        <w:rPr>
          <w:rFonts w:ascii="Arial" w:hAnsi="Arial" w:cs="Arial"/>
        </w:rPr>
      </w:pPr>
    </w:p>
    <w:p w14:paraId="277AC7DC" w14:textId="52C76423" w:rsidR="00251F2A" w:rsidRPr="00E72346" w:rsidRDefault="00251F2A" w:rsidP="00251F2A">
      <w:pPr>
        <w:pStyle w:val="Caption"/>
        <w:jc w:val="both"/>
        <w:rPr>
          <w:rFonts w:ascii="Arial" w:hAnsi="Arial" w:cs="Arial"/>
          <w:b/>
          <w:bCs/>
          <w:i w:val="0"/>
          <w:iCs w:val="0"/>
          <w:color w:val="auto"/>
          <w:sz w:val="20"/>
          <w:szCs w:val="20"/>
        </w:rPr>
      </w:pPr>
      <w:r w:rsidRPr="00F623DC">
        <w:rPr>
          <w:rFonts w:ascii="Arial" w:hAnsi="Arial" w:cs="Arial"/>
          <w:b/>
          <w:bCs/>
          <w:i w:val="0"/>
          <w:iCs w:val="0"/>
          <w:color w:val="auto"/>
          <w:sz w:val="20"/>
          <w:szCs w:val="20"/>
        </w:rPr>
        <w:t>Fig. 1. PRISMA flow chart and selection process</w:t>
      </w:r>
    </w:p>
    <w:p w14:paraId="2C520EE7" w14:textId="77777777" w:rsidR="00251F2A" w:rsidRDefault="00251F2A" w:rsidP="00251F2A">
      <w:pPr>
        <w:pStyle w:val="Body"/>
        <w:keepNext/>
        <w:spacing w:after="0"/>
      </w:pPr>
      <w:r w:rsidRPr="00CD3A9D">
        <w:rPr>
          <w:noProof/>
        </w:rPr>
        <w:lastRenderedPageBreak/>
        <w:drawing>
          <wp:inline distT="0" distB="0" distL="0" distR="0" wp14:anchorId="63126E6F" wp14:editId="1BCD0B36">
            <wp:extent cx="5388429" cy="4872039"/>
            <wp:effectExtent l="0" t="0" r="0" b="0"/>
            <wp:docPr id="1403074050" name="Picture 14030740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74050" name="Picture 1403074050"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77348" cy="4952437"/>
                    </a:xfrm>
                    <a:prstGeom prst="rect">
                      <a:avLst/>
                    </a:prstGeom>
                  </pic:spPr>
                </pic:pic>
              </a:graphicData>
            </a:graphic>
          </wp:inline>
        </w:drawing>
      </w:r>
    </w:p>
    <w:p w14:paraId="0739E2E4" w14:textId="77777777" w:rsidR="00251F2A" w:rsidRDefault="00251F2A" w:rsidP="001A12C9">
      <w:pPr>
        <w:pStyle w:val="Body"/>
        <w:spacing w:after="0"/>
        <w:rPr>
          <w:rFonts w:ascii="Arial" w:hAnsi="Arial" w:cs="Arial"/>
        </w:rPr>
      </w:pPr>
    </w:p>
    <w:p w14:paraId="293193C4" w14:textId="1F7D7DB0" w:rsidR="00F623DC" w:rsidRDefault="00F623DC" w:rsidP="001A12C9">
      <w:pPr>
        <w:jc w:val="both"/>
        <w:rPr>
          <w:rFonts w:ascii="Arial" w:eastAsia="Calibri" w:hAnsi="Arial" w:cs="Arial"/>
          <w:color w:val="4F81BD" w:themeColor="accent1"/>
          <w:sz w:val="22"/>
          <w:szCs w:val="22"/>
        </w:rPr>
      </w:pPr>
      <w:r w:rsidRPr="00F623DC">
        <w:rPr>
          <w:rFonts w:ascii="Arial" w:eastAsia="Calibri" w:hAnsi="Arial" w:cs="Arial"/>
          <w:b/>
          <w:bCs/>
        </w:rPr>
        <w:t>2.</w:t>
      </w:r>
      <w:r w:rsidR="008403BC">
        <w:rPr>
          <w:rFonts w:ascii="Arial" w:eastAsia="Calibri" w:hAnsi="Arial" w:cs="Arial"/>
          <w:b/>
          <w:bCs/>
        </w:rPr>
        <w:t>4</w:t>
      </w:r>
      <w:r>
        <w:rPr>
          <w:rFonts w:ascii="Arial" w:eastAsia="Calibri" w:hAnsi="Arial" w:cs="Arial"/>
          <w:color w:val="4F81BD" w:themeColor="accent1"/>
        </w:rPr>
        <w:t xml:space="preserve"> </w:t>
      </w:r>
      <w:r w:rsidRPr="008403BC">
        <w:rPr>
          <w:rFonts w:ascii="Arial" w:eastAsia="Calibri" w:hAnsi="Arial" w:cs="Arial"/>
          <w:b/>
          <w:bCs/>
          <w:sz w:val="22"/>
          <w:szCs w:val="22"/>
        </w:rPr>
        <w:t>D</w:t>
      </w:r>
      <w:r w:rsidRPr="008403BC">
        <w:rPr>
          <w:rFonts w:ascii="Arial" w:hAnsi="Arial" w:cs="Arial"/>
          <w:b/>
          <w:bCs/>
          <w:sz w:val="22"/>
          <w:szCs w:val="22"/>
        </w:rPr>
        <w:t xml:space="preserve">ata </w:t>
      </w:r>
      <w:r w:rsidR="00A060EC">
        <w:rPr>
          <w:rFonts w:ascii="Arial" w:hAnsi="Arial" w:cs="Arial"/>
          <w:b/>
          <w:bCs/>
          <w:sz w:val="22"/>
          <w:szCs w:val="22"/>
        </w:rPr>
        <w:t>C</w:t>
      </w:r>
      <w:r w:rsidRPr="008403BC">
        <w:rPr>
          <w:rFonts w:ascii="Arial" w:hAnsi="Arial" w:cs="Arial"/>
          <w:b/>
          <w:bCs/>
          <w:sz w:val="22"/>
          <w:szCs w:val="22"/>
        </w:rPr>
        <w:t xml:space="preserve">ollection </w:t>
      </w:r>
      <w:r w:rsidR="00A060EC">
        <w:rPr>
          <w:rFonts w:ascii="Arial" w:hAnsi="Arial" w:cs="Arial"/>
          <w:b/>
          <w:bCs/>
          <w:sz w:val="22"/>
          <w:szCs w:val="22"/>
        </w:rPr>
        <w:t>P</w:t>
      </w:r>
      <w:r w:rsidRPr="008403BC">
        <w:rPr>
          <w:rFonts w:ascii="Arial" w:hAnsi="Arial" w:cs="Arial"/>
          <w:b/>
          <w:bCs/>
          <w:sz w:val="22"/>
          <w:szCs w:val="22"/>
        </w:rPr>
        <w:t>rocess</w:t>
      </w:r>
      <w:r w:rsidRPr="008403BC">
        <w:rPr>
          <w:rFonts w:ascii="Arial" w:eastAsia="Calibri" w:hAnsi="Arial" w:cs="Arial"/>
          <w:color w:val="4F81BD" w:themeColor="accent1"/>
          <w:sz w:val="22"/>
          <w:szCs w:val="22"/>
        </w:rPr>
        <w:t xml:space="preserve"> </w:t>
      </w:r>
    </w:p>
    <w:p w14:paraId="559D37DA" w14:textId="77777777" w:rsidR="00947E81" w:rsidRPr="00F623DC" w:rsidRDefault="00947E81" w:rsidP="001A12C9">
      <w:pPr>
        <w:jc w:val="both"/>
        <w:rPr>
          <w:rFonts w:ascii="Arial" w:hAnsi="Arial" w:cs="Arial"/>
          <w:color w:val="4F81BD" w:themeColor="accent1"/>
        </w:rPr>
      </w:pPr>
    </w:p>
    <w:p w14:paraId="6DFE8F41" w14:textId="77777777" w:rsidR="00F623DC" w:rsidRDefault="00F623DC" w:rsidP="001A12C9">
      <w:pPr>
        <w:jc w:val="both"/>
        <w:rPr>
          <w:rFonts w:ascii="Arial" w:eastAsia="Yu Mincho" w:hAnsi="Arial" w:cs="Arial"/>
          <w:lang w:val="en-AU"/>
        </w:rPr>
      </w:pPr>
      <w:r w:rsidRPr="00F623DC">
        <w:rPr>
          <w:rFonts w:ascii="Arial" w:eastAsia="Calibri" w:hAnsi="Arial" w:cs="Arial"/>
          <w:lang w:val="en-AU"/>
        </w:rPr>
        <w:t>A</w:t>
      </w:r>
      <w:r w:rsidRPr="00F623DC">
        <w:rPr>
          <w:rFonts w:ascii="Arial" w:hAnsi="Arial" w:cs="Arial"/>
          <w:lang w:val="en-AU"/>
        </w:rPr>
        <w:t xml:space="preserve"> data collection tool was constructed and piloted prior to data collection. The authors and institutions providing the papers will not be concealed through during data collection</w:t>
      </w:r>
      <w:r w:rsidRPr="00F623DC">
        <w:rPr>
          <w:rFonts w:ascii="Arial" w:eastAsia="Yu Mincho" w:hAnsi="Arial" w:cs="Arial"/>
          <w:lang w:val="en-AU"/>
        </w:rPr>
        <w:t xml:space="preserve">. </w:t>
      </w:r>
      <w:r w:rsidRPr="00F623DC">
        <w:rPr>
          <w:rFonts w:ascii="Arial" w:eastAsia="Calibri" w:hAnsi="Arial" w:cs="Arial"/>
          <w:lang w:val="en-AU"/>
        </w:rPr>
        <w:t>Discrepancies w</w:t>
      </w:r>
      <w:r w:rsidRPr="00F623DC">
        <w:rPr>
          <w:rFonts w:ascii="Arial" w:hAnsi="Arial" w:cs="Arial"/>
          <w:lang w:val="en-AU"/>
        </w:rPr>
        <w:t>ere be resolved by discussion between the two reviewers</w:t>
      </w:r>
      <w:r w:rsidRPr="00F623DC">
        <w:rPr>
          <w:rFonts w:ascii="Arial" w:eastAsia="Yu Mincho" w:hAnsi="Arial" w:cs="Arial"/>
          <w:lang w:val="en-AU"/>
        </w:rPr>
        <w:t xml:space="preserve">. </w:t>
      </w:r>
    </w:p>
    <w:p w14:paraId="1986A94B" w14:textId="77777777" w:rsidR="00947E81" w:rsidRPr="00F623DC" w:rsidRDefault="00947E81" w:rsidP="001A12C9">
      <w:pPr>
        <w:jc w:val="both"/>
        <w:rPr>
          <w:rFonts w:ascii="Arial" w:eastAsia="Yu Mincho" w:hAnsi="Arial" w:cs="Arial"/>
        </w:rPr>
      </w:pPr>
    </w:p>
    <w:p w14:paraId="2FFB56B4" w14:textId="7D0C0F78" w:rsidR="00947E81" w:rsidRDefault="008403BC" w:rsidP="001A12C9">
      <w:pPr>
        <w:jc w:val="both"/>
        <w:rPr>
          <w:rFonts w:ascii="Arial" w:eastAsia="Calibri" w:hAnsi="Arial" w:cs="Arial"/>
          <w:lang w:val="en-AU"/>
        </w:rPr>
      </w:pPr>
      <w:r w:rsidRPr="008403BC">
        <w:rPr>
          <w:rFonts w:ascii="Arial" w:eastAsia="Calibri" w:hAnsi="Arial" w:cs="Arial"/>
          <w:b/>
          <w:bCs/>
        </w:rPr>
        <w:t xml:space="preserve">2.4.1 </w:t>
      </w:r>
      <w:r w:rsidR="00F623DC" w:rsidRPr="008403BC">
        <w:rPr>
          <w:rFonts w:ascii="Arial" w:eastAsia="Calibri" w:hAnsi="Arial" w:cs="Arial"/>
          <w:b/>
          <w:bCs/>
          <w:u w:val="single"/>
        </w:rPr>
        <w:t>Data Items</w:t>
      </w:r>
      <w:r w:rsidR="00F623DC" w:rsidRPr="008403BC">
        <w:rPr>
          <w:rFonts w:ascii="Arial" w:eastAsia="Calibri" w:hAnsi="Arial" w:cs="Arial"/>
          <w:lang w:val="en-AU"/>
        </w:rPr>
        <w:t xml:space="preserve"> </w:t>
      </w:r>
    </w:p>
    <w:p w14:paraId="2929F81B" w14:textId="77777777" w:rsidR="00B84A8A" w:rsidRPr="008403BC" w:rsidRDefault="00B84A8A" w:rsidP="001A12C9">
      <w:pPr>
        <w:jc w:val="both"/>
        <w:rPr>
          <w:rFonts w:ascii="Arial" w:eastAsia="Calibri" w:hAnsi="Arial" w:cs="Arial"/>
          <w:lang w:val="en-AU"/>
        </w:rPr>
      </w:pPr>
    </w:p>
    <w:p w14:paraId="5080AD27" w14:textId="77777777" w:rsidR="00F623DC" w:rsidRPr="00F623DC" w:rsidRDefault="00F623DC" w:rsidP="001A12C9">
      <w:pPr>
        <w:jc w:val="both"/>
        <w:rPr>
          <w:rFonts w:ascii="Arial" w:hAnsi="Arial" w:cs="Arial"/>
        </w:rPr>
      </w:pPr>
      <w:r w:rsidRPr="00F623DC">
        <w:rPr>
          <w:rFonts w:ascii="Arial" w:eastAsia="Calibri" w:hAnsi="Arial" w:cs="Arial"/>
          <w:lang w:val="en-AU"/>
        </w:rPr>
        <w:t>A ‘</w:t>
      </w:r>
      <w:r w:rsidRPr="00F623DC">
        <w:rPr>
          <w:rFonts w:ascii="Arial" w:hAnsi="Arial" w:cs="Arial"/>
          <w:lang w:val="en-AU"/>
        </w:rPr>
        <w:t xml:space="preserve">PICO’ search strategy guided collection of data items. </w:t>
      </w:r>
      <w:r w:rsidRPr="00F623DC">
        <w:rPr>
          <w:rFonts w:ascii="Arial" w:eastAsia="Calibri" w:hAnsi="Arial" w:cs="Arial"/>
        </w:rPr>
        <w:t xml:space="preserve"> </w:t>
      </w:r>
    </w:p>
    <w:p w14:paraId="737F8622" w14:textId="77777777" w:rsidR="00F623DC" w:rsidRPr="00F623DC" w:rsidRDefault="00F623DC" w:rsidP="001A12C9">
      <w:pPr>
        <w:jc w:val="both"/>
        <w:rPr>
          <w:rFonts w:ascii="Arial" w:hAnsi="Arial" w:cs="Arial"/>
        </w:rPr>
      </w:pPr>
      <w:r w:rsidRPr="00F623DC">
        <w:rPr>
          <w:rFonts w:ascii="Arial" w:eastAsia="Calibri" w:hAnsi="Arial" w:cs="Arial"/>
          <w:lang w:val="en-AU"/>
        </w:rPr>
        <w:t>Population characteristics including median age and range, indication for treatment, percentage of female participants, mean duration of symptoms and duration of follow-up w</w:t>
      </w:r>
      <w:r w:rsidRPr="00F623DC">
        <w:rPr>
          <w:rFonts w:ascii="Arial" w:hAnsi="Arial" w:cs="Arial"/>
          <w:lang w:val="en-AU"/>
        </w:rPr>
        <w:t>ere also collected. Intervention dose, route of administration, dosage, frequency and duration of treatment were extracted. Similarly, for control interventions, type, route of administration, frequency, dosage and duration were extracted.</w:t>
      </w:r>
      <w:r w:rsidRPr="00F623DC">
        <w:rPr>
          <w:rFonts w:ascii="Arial" w:eastAsia="Calibri" w:hAnsi="Arial" w:cs="Arial"/>
        </w:rPr>
        <w:t xml:space="preserve"> </w:t>
      </w:r>
    </w:p>
    <w:p w14:paraId="7E49C5CD" w14:textId="77777777" w:rsidR="00F623DC" w:rsidRPr="00F623DC" w:rsidRDefault="00F623DC" w:rsidP="001A12C9">
      <w:pPr>
        <w:jc w:val="both"/>
        <w:rPr>
          <w:rFonts w:ascii="Arial" w:hAnsi="Arial" w:cs="Arial"/>
        </w:rPr>
      </w:pPr>
      <w:r w:rsidRPr="00F623DC">
        <w:rPr>
          <w:rFonts w:ascii="Arial" w:eastAsia="Calibri" w:hAnsi="Arial" w:cs="Arial"/>
          <w:lang w:val="en-AU"/>
        </w:rPr>
        <w:t>Nasal airway resistance</w:t>
      </w:r>
      <w:r w:rsidRPr="00F623DC">
        <w:rPr>
          <w:rFonts w:ascii="Arial" w:hAnsi="Arial" w:cs="Arial"/>
          <w:lang w:val="en-AU"/>
        </w:rPr>
        <w:t xml:space="preserve"> and symptom scores were collected as a numerical value pre and post administration of intervention or placebo. </w:t>
      </w:r>
      <w:r w:rsidRPr="00F623DC">
        <w:rPr>
          <w:rFonts w:ascii="Arial" w:eastAsia="Calibri" w:hAnsi="Arial" w:cs="Arial"/>
        </w:rPr>
        <w:t xml:space="preserve"> </w:t>
      </w:r>
    </w:p>
    <w:p w14:paraId="6F3648A0" w14:textId="4D1A9AD8" w:rsidR="00F623DC" w:rsidRPr="00F623DC" w:rsidRDefault="00F623DC" w:rsidP="001A12C9">
      <w:pPr>
        <w:jc w:val="both"/>
        <w:rPr>
          <w:rFonts w:ascii="Arial" w:hAnsi="Arial" w:cs="Arial"/>
        </w:rPr>
      </w:pPr>
      <w:r w:rsidRPr="00F623DC">
        <w:rPr>
          <w:rFonts w:ascii="Arial" w:eastAsia="Calibri" w:hAnsi="Arial" w:cs="Arial"/>
          <w:lang w:val="en-AU"/>
        </w:rPr>
        <w:t xml:space="preserve">Additional data </w:t>
      </w:r>
      <w:r w:rsidRPr="00F623DC">
        <w:rPr>
          <w:rFonts w:ascii="Arial" w:hAnsi="Arial" w:cs="Arial"/>
          <w:lang w:val="en-AU"/>
        </w:rPr>
        <w:t xml:space="preserve">includes author; year and country published, trial design and study size. (Table </w:t>
      </w:r>
      <w:r w:rsidR="00025745">
        <w:rPr>
          <w:rFonts w:ascii="Arial" w:hAnsi="Arial" w:cs="Arial"/>
          <w:lang w:val="en-AU"/>
        </w:rPr>
        <w:t>2</w:t>
      </w:r>
      <w:r w:rsidRPr="00F623DC">
        <w:rPr>
          <w:rFonts w:ascii="Arial" w:hAnsi="Arial" w:cs="Arial"/>
          <w:lang w:val="en-AU"/>
        </w:rPr>
        <w:t xml:space="preserve">). </w:t>
      </w:r>
      <w:r w:rsidRPr="00F623DC">
        <w:rPr>
          <w:rFonts w:ascii="Arial" w:eastAsia="Calibri" w:hAnsi="Arial" w:cs="Arial"/>
        </w:rPr>
        <w:t xml:space="preserve"> </w:t>
      </w:r>
    </w:p>
    <w:p w14:paraId="108D0569" w14:textId="620DDED7" w:rsidR="00F623DC" w:rsidRDefault="008403BC" w:rsidP="001A12C9">
      <w:pPr>
        <w:jc w:val="both"/>
        <w:rPr>
          <w:rFonts w:ascii="Arial" w:eastAsia="Calibri" w:hAnsi="Arial" w:cs="Arial"/>
          <w:b/>
          <w:bCs/>
          <w:sz w:val="22"/>
          <w:szCs w:val="22"/>
        </w:rPr>
      </w:pPr>
      <w:r w:rsidRPr="008403BC">
        <w:rPr>
          <w:rFonts w:ascii="Arial" w:eastAsia="Calibri" w:hAnsi="Arial" w:cs="Arial"/>
          <w:b/>
          <w:bCs/>
          <w:sz w:val="22"/>
          <w:szCs w:val="22"/>
        </w:rPr>
        <w:t xml:space="preserve">2.5 </w:t>
      </w:r>
      <w:r w:rsidR="00F623DC" w:rsidRPr="008403BC">
        <w:rPr>
          <w:rFonts w:ascii="Arial" w:eastAsia="Calibri" w:hAnsi="Arial" w:cs="Arial"/>
          <w:b/>
          <w:bCs/>
          <w:sz w:val="22"/>
          <w:szCs w:val="22"/>
        </w:rPr>
        <w:t xml:space="preserve">Outcomes  </w:t>
      </w:r>
    </w:p>
    <w:p w14:paraId="26AD3A8F" w14:textId="77777777" w:rsidR="00947E81" w:rsidRPr="008403BC" w:rsidRDefault="00947E81" w:rsidP="001A12C9">
      <w:pPr>
        <w:jc w:val="both"/>
        <w:rPr>
          <w:rFonts w:ascii="Arial" w:hAnsi="Arial" w:cs="Arial"/>
          <w:b/>
          <w:bCs/>
          <w:sz w:val="22"/>
          <w:szCs w:val="22"/>
        </w:rPr>
      </w:pPr>
    </w:p>
    <w:p w14:paraId="0D153430" w14:textId="77777777" w:rsidR="00F623DC" w:rsidRPr="00F623DC" w:rsidRDefault="00F623DC" w:rsidP="001A12C9">
      <w:pPr>
        <w:jc w:val="both"/>
        <w:rPr>
          <w:rFonts w:ascii="Arial" w:hAnsi="Arial" w:cs="Arial"/>
        </w:rPr>
      </w:pPr>
      <w:r w:rsidRPr="00F623DC">
        <w:rPr>
          <w:rFonts w:ascii="Arial" w:eastAsia="Calibri" w:hAnsi="Arial" w:cs="Arial"/>
          <w:lang w:val="en-AU"/>
        </w:rPr>
        <w:t>The primary</w:t>
      </w:r>
      <w:r w:rsidRPr="00F623DC">
        <w:rPr>
          <w:rFonts w:ascii="Arial" w:eastAsia="Yu Mincho" w:hAnsi="Arial" w:cs="Arial"/>
          <w:lang w:val="en-AU"/>
        </w:rPr>
        <w:t xml:space="preserve"> </w:t>
      </w:r>
      <w:r w:rsidRPr="00F623DC">
        <w:rPr>
          <w:rFonts w:ascii="Arial" w:eastAsia="Calibri" w:hAnsi="Arial" w:cs="Arial"/>
          <w:lang w:val="en-AU"/>
        </w:rPr>
        <w:t>end point </w:t>
      </w:r>
      <w:r w:rsidRPr="00F623DC">
        <w:rPr>
          <w:rFonts w:ascii="Arial" w:hAnsi="Arial" w:cs="Arial"/>
          <w:lang w:val="en-AU"/>
        </w:rPr>
        <w:t xml:space="preserve">measured is change in self-reported congestion symptom scores of patients in both the intervention and control groups. This will include details of different symptoms experienced, how many patients in each group experienced these symptoms, and severity. Severe adverse reactions to PE will also be documented. </w:t>
      </w:r>
      <w:r w:rsidRPr="00F623DC">
        <w:rPr>
          <w:rFonts w:ascii="Arial" w:eastAsia="Calibri" w:hAnsi="Arial" w:cs="Arial"/>
        </w:rPr>
        <w:t xml:space="preserve"> </w:t>
      </w:r>
    </w:p>
    <w:p w14:paraId="017FBAE8" w14:textId="3FDC44BF" w:rsidR="00F623DC" w:rsidRDefault="00F623DC" w:rsidP="001A12C9">
      <w:pPr>
        <w:jc w:val="both"/>
        <w:rPr>
          <w:rFonts w:ascii="Arial" w:eastAsia="Calibri" w:hAnsi="Arial" w:cs="Arial"/>
        </w:rPr>
      </w:pPr>
      <w:r w:rsidRPr="00F623DC">
        <w:rPr>
          <w:rFonts w:ascii="Arial" w:eastAsia="Calibri" w:hAnsi="Arial" w:cs="Arial"/>
          <w:lang w:val="en-AU"/>
        </w:rPr>
        <w:t>Secondary end points </w:t>
      </w:r>
      <w:r w:rsidRPr="00F623DC">
        <w:rPr>
          <w:rFonts w:ascii="Arial" w:hAnsi="Arial" w:cs="Arial"/>
          <w:lang w:val="en-AU"/>
        </w:rPr>
        <w:t>include objective measures of nasal airway resistance (NAR) measured by rhinomanometry. NAR is pressure testing of the nose with a manometry device. It can be a useful measure of nasal congestion however may not correlate with symptom severity (</w:t>
      </w:r>
      <w:r w:rsidR="00094DFB" w:rsidRPr="00CD3A9D">
        <w:rPr>
          <w:rFonts w:cstheme="minorHAnsi"/>
          <w:color w:val="000000"/>
          <w:shd w:val="clear" w:color="auto" w:fill="FFFFFF"/>
        </w:rPr>
        <w:t>Yepes-Nuñez</w:t>
      </w:r>
      <w:r w:rsidR="00094DFB">
        <w:rPr>
          <w:rFonts w:cstheme="minorHAnsi"/>
          <w:color w:val="000000"/>
          <w:shd w:val="clear" w:color="auto" w:fill="FFFFFF"/>
        </w:rPr>
        <w:t>, 2013</w:t>
      </w:r>
      <w:r w:rsidRPr="00F623DC">
        <w:rPr>
          <w:rFonts w:ascii="Arial" w:hAnsi="Arial" w:cs="Arial"/>
          <w:lang w:val="en-AU"/>
        </w:rPr>
        <w:t xml:space="preserve">). </w:t>
      </w:r>
      <w:r w:rsidRPr="00F623DC">
        <w:rPr>
          <w:rFonts w:ascii="Arial" w:hAnsi="Arial" w:cs="Arial"/>
          <w:lang w:val="en-AU"/>
        </w:rPr>
        <w:lastRenderedPageBreak/>
        <w:t>As decongestants are a form of symptom relief, symptom scores are used as the primary measure of nasal congestion.</w:t>
      </w:r>
      <w:r w:rsidRPr="00F623DC">
        <w:rPr>
          <w:rFonts w:ascii="Arial" w:eastAsia="Calibri" w:hAnsi="Arial" w:cs="Arial"/>
        </w:rPr>
        <w:t xml:space="preserve"> </w:t>
      </w:r>
    </w:p>
    <w:p w14:paraId="647B3777" w14:textId="77777777" w:rsidR="00094DFB" w:rsidRPr="00F623DC" w:rsidRDefault="00094DFB" w:rsidP="001A12C9">
      <w:pPr>
        <w:jc w:val="both"/>
        <w:rPr>
          <w:rFonts w:ascii="Arial" w:hAnsi="Arial" w:cs="Arial"/>
        </w:rPr>
      </w:pPr>
    </w:p>
    <w:p w14:paraId="1C3202DE" w14:textId="28AD0E5E" w:rsidR="00F623DC" w:rsidRDefault="008403BC" w:rsidP="001A12C9">
      <w:pPr>
        <w:pStyle w:val="Heading2"/>
        <w:jc w:val="both"/>
        <w:rPr>
          <w:rFonts w:ascii="Arial" w:eastAsia="Calibri" w:hAnsi="Arial" w:cs="Arial"/>
          <w:b/>
          <w:bCs/>
          <w:color w:val="auto"/>
          <w:sz w:val="22"/>
          <w:szCs w:val="22"/>
        </w:rPr>
      </w:pPr>
      <w:r w:rsidRPr="008403BC">
        <w:rPr>
          <w:rFonts w:ascii="Arial" w:eastAsia="Calibri" w:hAnsi="Arial" w:cs="Arial"/>
          <w:b/>
          <w:bCs/>
          <w:color w:val="auto"/>
          <w:sz w:val="22"/>
          <w:szCs w:val="22"/>
        </w:rPr>
        <w:t xml:space="preserve">2.6 </w:t>
      </w:r>
      <w:r w:rsidR="00F623DC" w:rsidRPr="008403BC">
        <w:rPr>
          <w:rFonts w:ascii="Arial" w:eastAsia="Calibri" w:hAnsi="Arial" w:cs="Arial"/>
          <w:b/>
          <w:bCs/>
          <w:color w:val="auto"/>
          <w:sz w:val="22"/>
          <w:szCs w:val="22"/>
        </w:rPr>
        <w:t xml:space="preserve">Risk of </w:t>
      </w:r>
      <w:r w:rsidR="00A060EC">
        <w:rPr>
          <w:rFonts w:ascii="Arial" w:eastAsia="Calibri" w:hAnsi="Arial" w:cs="Arial"/>
          <w:b/>
          <w:bCs/>
          <w:color w:val="auto"/>
          <w:sz w:val="22"/>
          <w:szCs w:val="22"/>
        </w:rPr>
        <w:t>B</w:t>
      </w:r>
      <w:r w:rsidR="00F623DC" w:rsidRPr="008403BC">
        <w:rPr>
          <w:rFonts w:ascii="Arial" w:eastAsia="Calibri" w:hAnsi="Arial" w:cs="Arial"/>
          <w:b/>
          <w:bCs/>
          <w:color w:val="auto"/>
          <w:sz w:val="22"/>
          <w:szCs w:val="22"/>
        </w:rPr>
        <w:t xml:space="preserve">ias </w:t>
      </w:r>
      <w:r w:rsidR="00B44A64">
        <w:rPr>
          <w:rFonts w:ascii="Arial" w:eastAsia="Calibri" w:hAnsi="Arial" w:cs="Arial"/>
          <w:b/>
          <w:bCs/>
          <w:color w:val="auto"/>
          <w:sz w:val="22"/>
          <w:szCs w:val="22"/>
        </w:rPr>
        <w:t>in</w:t>
      </w:r>
      <w:r w:rsidR="00F623DC" w:rsidRPr="008403BC">
        <w:rPr>
          <w:rFonts w:ascii="Arial" w:eastAsia="Calibri" w:hAnsi="Arial" w:cs="Arial"/>
          <w:b/>
          <w:bCs/>
          <w:color w:val="auto"/>
          <w:sz w:val="22"/>
          <w:szCs w:val="22"/>
        </w:rPr>
        <w:t xml:space="preserve"> </w:t>
      </w:r>
      <w:r w:rsidR="00A060EC">
        <w:rPr>
          <w:rFonts w:ascii="Arial" w:eastAsia="Calibri" w:hAnsi="Arial" w:cs="Arial"/>
          <w:b/>
          <w:bCs/>
          <w:color w:val="auto"/>
          <w:sz w:val="22"/>
          <w:szCs w:val="22"/>
        </w:rPr>
        <w:t>I</w:t>
      </w:r>
      <w:r w:rsidR="00F623DC" w:rsidRPr="008403BC">
        <w:rPr>
          <w:rFonts w:ascii="Arial" w:eastAsia="Calibri" w:hAnsi="Arial" w:cs="Arial"/>
          <w:b/>
          <w:bCs/>
          <w:color w:val="auto"/>
          <w:sz w:val="22"/>
          <w:szCs w:val="22"/>
        </w:rPr>
        <w:t xml:space="preserve">ndividual </w:t>
      </w:r>
      <w:r w:rsidR="00A060EC">
        <w:rPr>
          <w:rFonts w:ascii="Arial" w:eastAsia="Calibri" w:hAnsi="Arial" w:cs="Arial"/>
          <w:b/>
          <w:bCs/>
          <w:color w:val="auto"/>
          <w:sz w:val="22"/>
          <w:szCs w:val="22"/>
        </w:rPr>
        <w:t>S</w:t>
      </w:r>
      <w:r w:rsidR="00F623DC" w:rsidRPr="008403BC">
        <w:rPr>
          <w:rFonts w:ascii="Arial" w:eastAsia="Calibri" w:hAnsi="Arial" w:cs="Arial"/>
          <w:b/>
          <w:bCs/>
          <w:color w:val="auto"/>
          <w:sz w:val="22"/>
          <w:szCs w:val="22"/>
        </w:rPr>
        <w:t xml:space="preserve">tudies </w:t>
      </w:r>
    </w:p>
    <w:p w14:paraId="4241AF3E" w14:textId="77777777" w:rsidR="00947E81" w:rsidRPr="00947E81" w:rsidRDefault="00947E81" w:rsidP="001A12C9">
      <w:pPr>
        <w:jc w:val="both"/>
      </w:pPr>
    </w:p>
    <w:p w14:paraId="45A4B50C" w14:textId="6D69D55B" w:rsidR="00F623DC" w:rsidRDefault="00F623DC" w:rsidP="001A12C9">
      <w:pPr>
        <w:jc w:val="both"/>
        <w:rPr>
          <w:rFonts w:ascii="Arial" w:eastAsia="Yu Mincho" w:hAnsi="Arial" w:cs="Arial"/>
        </w:rPr>
      </w:pPr>
      <w:r w:rsidRPr="00F623DC">
        <w:rPr>
          <w:rFonts w:ascii="Arial" w:eastAsia="Calibri" w:hAnsi="Arial" w:cs="Arial"/>
          <w:lang w:val="en-AU"/>
        </w:rPr>
        <w:t>The Cochrane risk of bias tool w</w:t>
      </w:r>
      <w:r w:rsidRPr="00F623DC">
        <w:rPr>
          <w:rFonts w:ascii="Arial" w:hAnsi="Arial" w:cs="Arial"/>
          <w:lang w:val="en-AU"/>
        </w:rPr>
        <w:t>as used as the framework for included RCT studies in this literature update</w:t>
      </w:r>
      <w:r w:rsidRPr="00F623DC">
        <w:rPr>
          <w:rFonts w:ascii="Arial" w:eastAsia="Yu Mincho" w:hAnsi="Arial" w:cs="Arial"/>
          <w:lang w:val="en-AU"/>
        </w:rPr>
        <w:t xml:space="preserve"> (</w:t>
      </w:r>
      <w:r w:rsidR="00094DFB">
        <w:rPr>
          <w:rFonts w:ascii="Arial" w:eastAsia="Calibri" w:hAnsi="Arial" w:cs="Arial"/>
          <w:lang w:val="en-AU"/>
        </w:rPr>
        <w:t>Cochrane Library, 2021</w:t>
      </w:r>
      <w:r w:rsidRPr="00F623DC">
        <w:rPr>
          <w:rFonts w:ascii="Arial" w:eastAsia="Yu Mincho" w:hAnsi="Arial" w:cs="Arial"/>
          <w:lang w:val="en-AU"/>
        </w:rPr>
        <w:t xml:space="preserve">). </w:t>
      </w:r>
      <w:r w:rsidR="00094DFB">
        <w:rPr>
          <w:rFonts w:ascii="Arial" w:eastAsia="Yu Mincho" w:hAnsi="Arial" w:cs="Arial"/>
          <w:lang w:val="en-AU"/>
        </w:rPr>
        <w:br/>
      </w:r>
    </w:p>
    <w:p w14:paraId="6814990C" w14:textId="77777777" w:rsidR="00AA6CFA" w:rsidRPr="00F623DC" w:rsidRDefault="00AA6CFA" w:rsidP="001A12C9">
      <w:pPr>
        <w:jc w:val="both"/>
        <w:rPr>
          <w:rFonts w:ascii="Arial" w:eastAsia="Yu Mincho" w:hAnsi="Arial" w:cs="Arial"/>
        </w:rPr>
      </w:pPr>
    </w:p>
    <w:p w14:paraId="5AC26DC1" w14:textId="2EE94861" w:rsidR="00F623DC" w:rsidRDefault="008403BC" w:rsidP="001A12C9">
      <w:pPr>
        <w:pStyle w:val="Heading2"/>
        <w:jc w:val="both"/>
        <w:rPr>
          <w:rFonts w:ascii="Arial" w:eastAsia="Calibri" w:hAnsi="Arial" w:cs="Arial"/>
          <w:b/>
          <w:bCs/>
          <w:color w:val="auto"/>
          <w:sz w:val="22"/>
          <w:szCs w:val="22"/>
        </w:rPr>
      </w:pPr>
      <w:r w:rsidRPr="008403BC">
        <w:rPr>
          <w:rFonts w:ascii="Arial" w:eastAsia="Calibri" w:hAnsi="Arial" w:cs="Arial"/>
          <w:b/>
          <w:bCs/>
          <w:color w:val="auto"/>
          <w:sz w:val="22"/>
          <w:szCs w:val="22"/>
        </w:rPr>
        <w:t xml:space="preserve">2.7 Data Synthesis </w:t>
      </w:r>
    </w:p>
    <w:p w14:paraId="64507FC9" w14:textId="77777777" w:rsidR="00947E81" w:rsidRPr="00947E81" w:rsidRDefault="00947E81" w:rsidP="001A12C9">
      <w:pPr>
        <w:jc w:val="both"/>
      </w:pPr>
    </w:p>
    <w:p w14:paraId="6FF965EB" w14:textId="77777777" w:rsidR="00F623DC" w:rsidRPr="00F623DC" w:rsidRDefault="00F623DC" w:rsidP="001A12C9">
      <w:pPr>
        <w:jc w:val="both"/>
        <w:rPr>
          <w:rFonts w:ascii="Arial" w:hAnsi="Arial" w:cs="Arial"/>
        </w:rPr>
      </w:pPr>
      <w:r w:rsidRPr="00F623DC">
        <w:rPr>
          <w:rFonts w:ascii="Arial" w:eastAsia="Calibri" w:hAnsi="Arial" w:cs="Arial"/>
          <w:color w:val="000000" w:themeColor="text1"/>
          <w:lang w:val="en-AU"/>
        </w:rPr>
        <w:t xml:space="preserve">If data was appropriate for synthesis, continuous outcomes such as nasal airway resistance and symptom reduction were analysed using weighted mean differences; or standardised mean differences if different measurement scales were used. Dichotomous outcomes such as severe adverse reactions to PE were determined using a relative risk ratio. </w:t>
      </w:r>
      <w:r w:rsidRPr="00F623DC">
        <w:rPr>
          <w:rFonts w:ascii="Arial" w:eastAsia="Calibri" w:hAnsi="Arial" w:cs="Arial"/>
          <w:color w:val="000000" w:themeColor="text1"/>
        </w:rPr>
        <w:t xml:space="preserve"> </w:t>
      </w:r>
    </w:p>
    <w:p w14:paraId="4DC7DC49" w14:textId="77777777" w:rsidR="00F623DC" w:rsidRPr="00F623DC" w:rsidRDefault="00F623DC" w:rsidP="001A12C9">
      <w:pPr>
        <w:jc w:val="both"/>
        <w:rPr>
          <w:rFonts w:ascii="Arial" w:hAnsi="Arial" w:cs="Arial"/>
        </w:rPr>
      </w:pPr>
      <w:r w:rsidRPr="00F623DC">
        <w:rPr>
          <w:rFonts w:ascii="Arial" w:eastAsia="Calibri" w:hAnsi="Arial" w:cs="Arial"/>
          <w:color w:val="000000" w:themeColor="text1"/>
          <w:lang w:val="en-AU"/>
        </w:rPr>
        <w:t xml:space="preserve">If heterogeneity was substantial, the study design and characteristics of the included studies were carefully considered to identify potential factors that may be the source of the heterogeneity. The identified factors were investigated by performing subgroup analyses. </w:t>
      </w:r>
    </w:p>
    <w:p w14:paraId="075AB65D" w14:textId="0A193B2B" w:rsidR="00F623DC" w:rsidRPr="00F623DC" w:rsidRDefault="00F623DC" w:rsidP="001A12C9">
      <w:pPr>
        <w:jc w:val="both"/>
        <w:rPr>
          <w:rFonts w:ascii="Arial" w:eastAsiaTheme="minorEastAsia" w:hAnsi="Arial" w:cs="Arial"/>
          <w:color w:val="000000" w:themeColor="text1"/>
        </w:rPr>
      </w:pPr>
      <w:r w:rsidRPr="00F623DC">
        <w:rPr>
          <w:rFonts w:ascii="Arial" w:eastAsia="Calibri" w:hAnsi="Arial" w:cs="Arial"/>
          <w:color w:val="000000" w:themeColor="text1"/>
          <w:lang w:val="en-AU"/>
        </w:rPr>
        <w:t>To ensure that results are consistent, all da</w:t>
      </w:r>
      <w:r w:rsidRPr="00F623DC">
        <w:rPr>
          <w:rFonts w:ascii="Arial" w:eastAsiaTheme="minorEastAsia" w:hAnsi="Arial" w:cs="Arial"/>
          <w:color w:val="000000" w:themeColor="text1"/>
          <w:lang w:val="en-AU"/>
        </w:rPr>
        <w:t>ta analysis were conduc</w:t>
      </w:r>
      <w:r w:rsidRPr="00F623DC">
        <w:rPr>
          <w:rFonts w:ascii="Arial" w:eastAsiaTheme="minorEastAsia" w:hAnsi="Arial" w:cs="Arial"/>
          <w:lang w:val="en-AU"/>
        </w:rPr>
        <w:t>ted using the Cochrane statistical software</w:t>
      </w:r>
      <w:r w:rsidRPr="00F623DC">
        <w:rPr>
          <w:rFonts w:ascii="Arial" w:eastAsiaTheme="minorEastAsia" w:hAnsi="Arial" w:cs="Arial"/>
          <w:i/>
          <w:iCs/>
          <w:lang w:val="en-AU"/>
        </w:rPr>
        <w:t xml:space="preserve"> </w:t>
      </w:r>
      <w:proofErr w:type="spellStart"/>
      <w:r w:rsidRPr="00F623DC">
        <w:rPr>
          <w:rFonts w:ascii="Arial" w:eastAsiaTheme="minorEastAsia" w:hAnsi="Arial" w:cs="Arial"/>
          <w:i/>
          <w:iCs/>
          <w:lang w:val="en-AU"/>
        </w:rPr>
        <w:t>Revman</w:t>
      </w:r>
      <w:proofErr w:type="spellEnd"/>
      <w:r w:rsidRPr="00F623DC">
        <w:rPr>
          <w:rFonts w:ascii="Arial" w:eastAsiaTheme="minorEastAsia" w:hAnsi="Arial" w:cs="Arial"/>
          <w:lang w:val="en-AU"/>
        </w:rPr>
        <w:t xml:space="preserve"> (</w:t>
      </w:r>
      <w:r w:rsidR="004C48E4">
        <w:rPr>
          <w:rFonts w:ascii="Arial" w:eastAsiaTheme="minorEastAsia" w:hAnsi="Arial" w:cs="Arial"/>
          <w:lang w:val="en-AU"/>
        </w:rPr>
        <w:t>Cochrane Training, 2021</w:t>
      </w:r>
      <w:r w:rsidRPr="00F623DC">
        <w:rPr>
          <w:rFonts w:ascii="Arial" w:eastAsiaTheme="minorEastAsia" w:hAnsi="Arial" w:cs="Arial"/>
          <w:lang w:val="en-AU"/>
        </w:rPr>
        <w:t xml:space="preserve">). If there was substantial missing data, we attempted to contact the original authors of the study to obtain the relevant missing data. If missing data could not be obtained, and it was problematic regarding risk of bias, we would conduct sensitivity analysis where we excluded the study and compared meta-analysis results with those with the study included. If quantitative synthesis were not appropriate, a narrative synthesis would be provided with information presented in the text and tables to summarise and explain the characteristic findings of the included studies. This included exploration of the relationship and findings both within and between the included studies. </w:t>
      </w:r>
      <w:r w:rsidRPr="00F623DC">
        <w:rPr>
          <w:rFonts w:ascii="Arial" w:eastAsiaTheme="minorEastAsia" w:hAnsi="Arial" w:cs="Arial"/>
          <w:color w:val="000000" w:themeColor="text1"/>
        </w:rPr>
        <w:t xml:space="preserve"> </w:t>
      </w:r>
    </w:p>
    <w:p w14:paraId="267259BB" w14:textId="77777777" w:rsidR="00F623DC" w:rsidRDefault="00F623DC" w:rsidP="001A12C9">
      <w:pPr>
        <w:pStyle w:val="Body"/>
        <w:spacing w:after="0"/>
        <w:rPr>
          <w:rFonts w:ascii="Arial" w:hAnsi="Arial" w:cs="Arial"/>
        </w:rPr>
      </w:pPr>
    </w:p>
    <w:p w14:paraId="1B32995A" w14:textId="51C7D307" w:rsidR="00902823" w:rsidRDefault="00000F8F" w:rsidP="001A12C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7256785" w14:textId="77777777" w:rsidR="00947E81" w:rsidRDefault="00947E81" w:rsidP="001A12C9">
      <w:pPr>
        <w:pStyle w:val="Head1"/>
        <w:spacing w:after="0"/>
        <w:jc w:val="both"/>
        <w:rPr>
          <w:rFonts w:ascii="Arial" w:hAnsi="Arial" w:cs="Arial"/>
        </w:rPr>
      </w:pPr>
    </w:p>
    <w:p w14:paraId="71A172B1" w14:textId="10E17188" w:rsidR="00EE77C7" w:rsidRDefault="00BC28EC" w:rsidP="001A12C9">
      <w:pPr>
        <w:jc w:val="both"/>
        <w:rPr>
          <w:rFonts w:ascii="Arial" w:eastAsia="Calibri" w:hAnsi="Arial" w:cs="Arial"/>
        </w:rPr>
      </w:pPr>
      <w:r w:rsidRPr="00BC28EC">
        <w:rPr>
          <w:rFonts w:ascii="Arial" w:eastAsia="Calibri" w:hAnsi="Arial" w:cs="Arial"/>
        </w:rPr>
        <w:t xml:space="preserve">Three </w:t>
      </w:r>
      <w:proofErr w:type="spellStart"/>
      <w:r w:rsidRPr="00BC28EC">
        <w:rPr>
          <w:rFonts w:ascii="Arial" w:eastAsia="Calibri" w:hAnsi="Arial" w:cs="Arial"/>
        </w:rPr>
        <w:t>randomised</w:t>
      </w:r>
      <w:proofErr w:type="spellEnd"/>
      <w:r w:rsidRPr="00BC28EC">
        <w:rPr>
          <w:rFonts w:ascii="Arial" w:eastAsia="Calibri" w:hAnsi="Arial" w:cs="Arial"/>
        </w:rPr>
        <w:t xml:space="preserve"> placebo-controlled studies that evaluated the decongestive effects of PE were identified for analysis (table</w:t>
      </w:r>
      <w:r w:rsidR="004C48E4">
        <w:rPr>
          <w:rFonts w:ascii="Arial" w:eastAsia="Calibri" w:hAnsi="Arial" w:cs="Arial"/>
        </w:rPr>
        <w:t xml:space="preserve"> 2</w:t>
      </w:r>
      <w:r w:rsidRPr="00BC28EC">
        <w:rPr>
          <w:rFonts w:ascii="Arial" w:eastAsia="Calibri" w:hAnsi="Arial" w:cs="Arial"/>
        </w:rPr>
        <w:t xml:space="preserve">). All 3 studies were carried out after those included within </w:t>
      </w:r>
      <w:r w:rsidRPr="00BC28EC">
        <w:rPr>
          <w:rFonts w:ascii="Arial" w:eastAsia="Calibri" w:hAnsi="Arial" w:cs="Arial"/>
          <w:i/>
          <w:iCs/>
        </w:rPr>
        <w:t xml:space="preserve">Hatton et al </w:t>
      </w:r>
      <w:r w:rsidRPr="00BC28EC">
        <w:rPr>
          <w:rFonts w:ascii="Arial" w:eastAsia="Calibri" w:hAnsi="Arial" w:cs="Arial"/>
        </w:rPr>
        <w:t>(</w:t>
      </w:r>
      <w:r w:rsidR="005D5C37">
        <w:rPr>
          <w:rFonts w:ascii="Arial" w:eastAsia="Calibri" w:hAnsi="Arial" w:cs="Arial"/>
        </w:rPr>
        <w:t>Hatton, 2007</w:t>
      </w:r>
      <w:r w:rsidRPr="00BC28EC">
        <w:rPr>
          <w:rFonts w:ascii="Arial" w:eastAsia="Calibri" w:hAnsi="Arial" w:cs="Arial"/>
        </w:rPr>
        <w:t>)</w:t>
      </w:r>
      <w:r w:rsidRPr="00BC28EC">
        <w:rPr>
          <w:rFonts w:ascii="Arial" w:eastAsia="Calibri" w:hAnsi="Arial" w:cs="Arial"/>
          <w:i/>
          <w:iCs/>
        </w:rPr>
        <w:t xml:space="preserve">, </w:t>
      </w:r>
      <w:r w:rsidRPr="00BC28EC">
        <w:rPr>
          <w:rFonts w:ascii="Arial" w:eastAsia="Calibri" w:hAnsi="Arial" w:cs="Arial"/>
        </w:rPr>
        <w:t>which included studies from 1959 to 1975. All studies included in the primary analysis for this review evaluated the efficacy of PE. 2 out of the 3 trials were conducted in the US and one in Austria with sample sizes ranging from 39-575 subjects. Inclusion and exclusion criteria across the studies were very similar, resulting in a highly homogenous patient population.</w:t>
      </w:r>
    </w:p>
    <w:p w14:paraId="493325E4" w14:textId="77777777" w:rsidR="00EE77C7" w:rsidRDefault="00EE77C7" w:rsidP="001A12C9">
      <w:pPr>
        <w:jc w:val="both"/>
        <w:rPr>
          <w:rFonts w:ascii="Arial" w:eastAsia="Calibri" w:hAnsi="Arial" w:cs="Arial"/>
        </w:rPr>
      </w:pPr>
    </w:p>
    <w:p w14:paraId="549B4741" w14:textId="59B9D527" w:rsidR="00BC28EC" w:rsidRPr="00A060EC" w:rsidRDefault="00BC28EC" w:rsidP="001A12C9">
      <w:pPr>
        <w:jc w:val="both"/>
        <w:rPr>
          <w:rFonts w:ascii="Arial" w:eastAsia="Calibri" w:hAnsi="Arial" w:cs="Arial"/>
        </w:rPr>
      </w:pPr>
      <w:r w:rsidRPr="00BC28EC">
        <w:rPr>
          <w:rFonts w:ascii="Arial" w:eastAsia="Calibri" w:hAnsi="Arial" w:cs="Arial"/>
        </w:rPr>
        <w:t xml:space="preserve"> </w:t>
      </w:r>
      <w:r w:rsidRPr="00A060EC">
        <w:rPr>
          <w:rFonts w:ascii="Arial" w:eastAsia="Calibri" w:hAnsi="Arial" w:cs="Arial"/>
        </w:rPr>
        <w:t xml:space="preserve">The main divergent patient characteristic is that </w:t>
      </w:r>
      <w:r w:rsidRPr="00A060EC">
        <w:rPr>
          <w:rFonts w:ascii="Arial" w:eastAsia="Calibri" w:hAnsi="Arial" w:cs="Arial"/>
          <w:i/>
          <w:iCs/>
        </w:rPr>
        <w:t xml:space="preserve">Horak’s </w:t>
      </w:r>
      <w:r w:rsidRPr="00A060EC">
        <w:rPr>
          <w:rFonts w:ascii="Arial" w:eastAsia="Calibri" w:hAnsi="Arial" w:cs="Arial"/>
        </w:rPr>
        <w:t xml:space="preserve">study was undertaken in Austria, whereas </w:t>
      </w:r>
      <w:r w:rsidRPr="00A060EC">
        <w:rPr>
          <w:rFonts w:ascii="Arial" w:eastAsia="Calibri" w:hAnsi="Arial" w:cs="Arial"/>
          <w:i/>
          <w:iCs/>
        </w:rPr>
        <w:t>Meltzer’s</w:t>
      </w:r>
      <w:r w:rsidRPr="00A060EC">
        <w:rPr>
          <w:rFonts w:ascii="Arial" w:eastAsia="Calibri" w:hAnsi="Arial" w:cs="Arial"/>
        </w:rPr>
        <w:t xml:space="preserve"> two consecutive studies were in the USA, with the resulting differences in patient ethnicity and regional allergen exposure being of unknown significance. Different dose regimens of PE were evaluated, with </w:t>
      </w:r>
      <w:r w:rsidRPr="00A060EC">
        <w:rPr>
          <w:rFonts w:ascii="Arial" w:eastAsia="Calibri" w:hAnsi="Arial" w:cs="Arial"/>
          <w:i/>
          <w:iCs/>
        </w:rPr>
        <w:t xml:space="preserve">Horak </w:t>
      </w:r>
      <w:r w:rsidRPr="00A060EC">
        <w:rPr>
          <w:rFonts w:ascii="Arial" w:eastAsia="Calibri" w:hAnsi="Arial" w:cs="Arial"/>
        </w:rPr>
        <w:t xml:space="preserve">including 12mg PE, </w:t>
      </w:r>
      <w:r w:rsidRPr="00A060EC">
        <w:rPr>
          <w:rFonts w:ascii="Arial" w:eastAsia="Calibri" w:hAnsi="Arial" w:cs="Arial"/>
          <w:i/>
          <w:iCs/>
        </w:rPr>
        <w:t xml:space="preserve">Meltzer (2015) </w:t>
      </w:r>
      <w:r w:rsidRPr="00A060EC">
        <w:rPr>
          <w:rFonts w:ascii="Arial" w:eastAsia="Calibri" w:hAnsi="Arial" w:cs="Arial"/>
        </w:rPr>
        <w:t xml:space="preserve">10, 20, 30, 40mg, and </w:t>
      </w:r>
      <w:r w:rsidRPr="00A060EC">
        <w:rPr>
          <w:rFonts w:ascii="Arial" w:eastAsia="Calibri" w:hAnsi="Arial" w:cs="Arial"/>
          <w:i/>
          <w:iCs/>
        </w:rPr>
        <w:t>Meltzer (2016)</w:t>
      </w:r>
      <w:r w:rsidRPr="00A060EC">
        <w:rPr>
          <w:rFonts w:ascii="Arial" w:eastAsia="Calibri" w:hAnsi="Arial" w:cs="Arial"/>
        </w:rPr>
        <w:t xml:space="preserve"> 30mg modified release PE. Whilst this increases heterogeneity to the intervention of oral PE, it does allow for the possibility of dose-ranging analysis. Additionally, the postulation that PE’s efficacy is limited by the maximum FDA approved dose of 10mg may be explored.</w:t>
      </w:r>
    </w:p>
    <w:p w14:paraId="3AE4E363" w14:textId="18AD249F" w:rsidR="00BC28EC" w:rsidRDefault="00BC28EC" w:rsidP="001A12C9">
      <w:pPr>
        <w:jc w:val="both"/>
        <w:rPr>
          <w:rFonts w:eastAsia="Calibri" w:cstheme="minorHAnsi"/>
        </w:rPr>
      </w:pPr>
    </w:p>
    <w:p w14:paraId="1C044B13" w14:textId="77777777" w:rsidR="00AA6CFA" w:rsidRDefault="00AA6CFA" w:rsidP="001A12C9">
      <w:pPr>
        <w:jc w:val="both"/>
        <w:rPr>
          <w:rFonts w:eastAsia="Calibri" w:cstheme="minorHAnsi"/>
        </w:rPr>
      </w:pPr>
    </w:p>
    <w:p w14:paraId="01A6C756" w14:textId="77777777" w:rsidR="00AA6CFA" w:rsidRDefault="00AA6CFA" w:rsidP="001A12C9">
      <w:pPr>
        <w:jc w:val="both"/>
        <w:rPr>
          <w:rFonts w:eastAsia="Calibri" w:cstheme="minorHAnsi"/>
        </w:rPr>
      </w:pPr>
    </w:p>
    <w:p w14:paraId="105421CA" w14:textId="77777777" w:rsidR="00AA6CFA" w:rsidRDefault="00AA6CFA" w:rsidP="001A12C9">
      <w:pPr>
        <w:jc w:val="both"/>
        <w:rPr>
          <w:rFonts w:eastAsia="Calibri" w:cstheme="minorHAnsi"/>
        </w:rPr>
      </w:pPr>
    </w:p>
    <w:p w14:paraId="7C9D9317" w14:textId="77777777" w:rsidR="00AA6CFA" w:rsidRDefault="00AA6CFA" w:rsidP="001A12C9">
      <w:pPr>
        <w:jc w:val="both"/>
        <w:rPr>
          <w:rFonts w:eastAsia="Calibri" w:cstheme="minorHAnsi"/>
        </w:rPr>
      </w:pPr>
    </w:p>
    <w:p w14:paraId="4D448AFA" w14:textId="77777777" w:rsidR="00AA6CFA" w:rsidRDefault="00AA6CFA" w:rsidP="001A12C9">
      <w:pPr>
        <w:jc w:val="both"/>
        <w:rPr>
          <w:rFonts w:eastAsia="Calibri" w:cstheme="minorHAnsi"/>
        </w:rPr>
      </w:pPr>
    </w:p>
    <w:p w14:paraId="0860C2EA" w14:textId="77777777" w:rsidR="00AA6CFA" w:rsidRDefault="00AA6CFA" w:rsidP="001A12C9">
      <w:pPr>
        <w:jc w:val="both"/>
        <w:rPr>
          <w:rFonts w:eastAsia="Calibri" w:cstheme="minorHAnsi"/>
        </w:rPr>
      </w:pPr>
    </w:p>
    <w:p w14:paraId="50E9B0B7" w14:textId="77777777" w:rsidR="00AA6CFA" w:rsidRDefault="00AA6CFA" w:rsidP="001A12C9">
      <w:pPr>
        <w:jc w:val="both"/>
        <w:rPr>
          <w:rFonts w:eastAsia="Calibri" w:cstheme="minorHAnsi"/>
        </w:rPr>
      </w:pPr>
    </w:p>
    <w:p w14:paraId="40AC94AE" w14:textId="77777777" w:rsidR="00AA6CFA" w:rsidRDefault="00AA6CFA" w:rsidP="001A12C9">
      <w:pPr>
        <w:jc w:val="both"/>
        <w:rPr>
          <w:rFonts w:eastAsia="Calibri" w:cstheme="minorHAnsi"/>
        </w:rPr>
      </w:pPr>
    </w:p>
    <w:p w14:paraId="62D88E77" w14:textId="77777777" w:rsidR="00AA6CFA" w:rsidRDefault="00AA6CFA" w:rsidP="001A12C9">
      <w:pPr>
        <w:jc w:val="both"/>
        <w:rPr>
          <w:rFonts w:eastAsia="Calibri" w:cstheme="minorHAnsi"/>
        </w:rPr>
      </w:pPr>
    </w:p>
    <w:p w14:paraId="5F7CEF36" w14:textId="77777777" w:rsidR="00AA6CFA" w:rsidRDefault="00AA6CFA" w:rsidP="001A12C9">
      <w:pPr>
        <w:jc w:val="both"/>
        <w:rPr>
          <w:rFonts w:eastAsia="Calibri" w:cstheme="minorHAnsi"/>
        </w:rPr>
      </w:pPr>
    </w:p>
    <w:p w14:paraId="74BBF564" w14:textId="77777777" w:rsidR="00AA6CFA" w:rsidRDefault="00AA6CFA" w:rsidP="001A12C9">
      <w:pPr>
        <w:jc w:val="both"/>
        <w:rPr>
          <w:rFonts w:eastAsia="Calibri" w:cstheme="minorHAnsi"/>
        </w:rPr>
      </w:pPr>
    </w:p>
    <w:p w14:paraId="6A0C7A15" w14:textId="7E5990CB" w:rsidR="002F2F4D" w:rsidRDefault="002F2F4D" w:rsidP="001A12C9">
      <w:pPr>
        <w:tabs>
          <w:tab w:val="left" w:pos="1080"/>
        </w:tabs>
        <w:jc w:val="both"/>
        <w:rPr>
          <w:rFonts w:ascii="Arial" w:hAnsi="Arial"/>
          <w:b/>
        </w:rPr>
      </w:pPr>
      <w:r>
        <w:rPr>
          <w:rFonts w:ascii="Arial" w:hAnsi="Arial"/>
          <w:b/>
        </w:rPr>
        <w:t>Table 2.</w:t>
      </w:r>
      <w:r w:rsidRPr="00DC3180">
        <w:rPr>
          <w:rFonts w:ascii="Arial" w:hAnsi="Arial"/>
          <w:b/>
        </w:rPr>
        <w:tab/>
      </w:r>
      <w:r>
        <w:rPr>
          <w:rFonts w:ascii="Arial" w:hAnsi="Arial"/>
          <w:b/>
        </w:rPr>
        <w:t>Summary of RCTs</w:t>
      </w:r>
    </w:p>
    <w:p w14:paraId="62664DCE" w14:textId="77777777" w:rsidR="002F2F4D" w:rsidRPr="002F2F4D" w:rsidRDefault="002F2F4D" w:rsidP="001A12C9">
      <w:pPr>
        <w:tabs>
          <w:tab w:val="left" w:pos="1080"/>
        </w:tabs>
        <w:jc w:val="both"/>
        <w:rPr>
          <w:rFonts w:eastAsia="Calibri" w:cstheme="minorHAnsi"/>
          <w:b/>
          <w:bCs/>
        </w:rPr>
      </w:pPr>
    </w:p>
    <w:tbl>
      <w:tblPr>
        <w:tblStyle w:val="TableGrid"/>
        <w:tblW w:w="9775" w:type="dxa"/>
        <w:tblLayout w:type="fixed"/>
        <w:tblLook w:val="06A0" w:firstRow="1" w:lastRow="0" w:firstColumn="1" w:lastColumn="0" w:noHBand="1" w:noVBand="1"/>
      </w:tblPr>
      <w:tblGrid>
        <w:gridCol w:w="1037"/>
        <w:gridCol w:w="2217"/>
        <w:gridCol w:w="1150"/>
        <w:gridCol w:w="894"/>
        <w:gridCol w:w="1278"/>
        <w:gridCol w:w="510"/>
        <w:gridCol w:w="383"/>
        <w:gridCol w:w="2306"/>
      </w:tblGrid>
      <w:tr w:rsidR="001A12C9" w:rsidRPr="00BA353C" w14:paraId="45148B30" w14:textId="77777777" w:rsidTr="00251F2A">
        <w:trPr>
          <w:trHeight w:val="335"/>
        </w:trPr>
        <w:tc>
          <w:tcPr>
            <w:tcW w:w="1037" w:type="dxa"/>
            <w:tcBorders>
              <w:top w:val="single" w:sz="6" w:space="0" w:color="8EA9DB"/>
              <w:left w:val="single" w:sz="6" w:space="0" w:color="8EA9DB"/>
              <w:bottom w:val="single" w:sz="6" w:space="0" w:color="8EA9DB"/>
              <w:right w:val="nil"/>
            </w:tcBorders>
            <w:shd w:val="clear" w:color="auto" w:fill="4F81BD" w:themeFill="accent1"/>
            <w:vAlign w:val="bottom"/>
          </w:tcPr>
          <w:p w14:paraId="673CE407" w14:textId="3CA7E4D1"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lastRenderedPageBreak/>
              <w:t>First author</w:t>
            </w:r>
            <w:r>
              <w:rPr>
                <w:rFonts w:ascii="Arial" w:hAnsi="Arial" w:cs="Arial"/>
                <w:b/>
                <w:bCs/>
                <w:color w:val="FFFFFF" w:themeColor="background1"/>
                <w:sz w:val="20"/>
                <w:szCs w:val="20"/>
              </w:rPr>
              <w:t>, year</w:t>
            </w:r>
          </w:p>
        </w:tc>
        <w:tc>
          <w:tcPr>
            <w:tcW w:w="2217" w:type="dxa"/>
            <w:tcBorders>
              <w:top w:val="single" w:sz="6" w:space="0" w:color="8EA9DB"/>
              <w:left w:val="nil"/>
              <w:bottom w:val="single" w:sz="6" w:space="0" w:color="8EA9DB"/>
              <w:right w:val="nil"/>
            </w:tcBorders>
            <w:shd w:val="clear" w:color="auto" w:fill="4F81BD" w:themeFill="accent1"/>
            <w:vAlign w:val="bottom"/>
          </w:tcPr>
          <w:p w14:paraId="2604C1A7"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Study name </w:t>
            </w:r>
          </w:p>
        </w:tc>
        <w:tc>
          <w:tcPr>
            <w:tcW w:w="1150" w:type="dxa"/>
            <w:tcBorders>
              <w:top w:val="single" w:sz="6" w:space="0" w:color="8EA9DB"/>
              <w:left w:val="nil"/>
              <w:bottom w:val="single" w:sz="6" w:space="0" w:color="8EA9DB"/>
              <w:right w:val="nil"/>
            </w:tcBorders>
            <w:shd w:val="clear" w:color="auto" w:fill="4F81BD" w:themeFill="accent1"/>
            <w:vAlign w:val="bottom"/>
          </w:tcPr>
          <w:p w14:paraId="6EF15D36"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Study type </w:t>
            </w:r>
          </w:p>
        </w:tc>
        <w:tc>
          <w:tcPr>
            <w:tcW w:w="894" w:type="dxa"/>
            <w:tcBorders>
              <w:top w:val="single" w:sz="6" w:space="0" w:color="8EA9DB"/>
              <w:left w:val="nil"/>
              <w:bottom w:val="single" w:sz="6" w:space="0" w:color="8EA9DB"/>
              <w:right w:val="nil"/>
            </w:tcBorders>
            <w:shd w:val="clear" w:color="auto" w:fill="4F81BD" w:themeFill="accent1"/>
            <w:vAlign w:val="bottom"/>
          </w:tcPr>
          <w:p w14:paraId="3C91D32F"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Country </w:t>
            </w:r>
          </w:p>
        </w:tc>
        <w:tc>
          <w:tcPr>
            <w:tcW w:w="1278" w:type="dxa"/>
            <w:tcBorders>
              <w:top w:val="single" w:sz="6" w:space="0" w:color="8EA9DB"/>
              <w:left w:val="nil"/>
              <w:bottom w:val="single" w:sz="6" w:space="0" w:color="8EA9DB"/>
              <w:right w:val="nil"/>
            </w:tcBorders>
            <w:shd w:val="clear" w:color="auto" w:fill="4F81BD" w:themeFill="accent1"/>
            <w:vAlign w:val="bottom"/>
          </w:tcPr>
          <w:p w14:paraId="415F8193"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 xml:space="preserve">Sample size </w:t>
            </w:r>
          </w:p>
        </w:tc>
        <w:tc>
          <w:tcPr>
            <w:tcW w:w="893" w:type="dxa"/>
            <w:gridSpan w:val="2"/>
            <w:tcBorders>
              <w:top w:val="single" w:sz="6" w:space="0" w:color="8EA9DB"/>
              <w:left w:val="nil"/>
              <w:bottom w:val="single" w:sz="6" w:space="0" w:color="8EA9DB"/>
              <w:right w:val="nil"/>
            </w:tcBorders>
            <w:shd w:val="clear" w:color="auto" w:fill="4F81BD" w:themeFill="accent1"/>
            <w:vAlign w:val="bottom"/>
          </w:tcPr>
          <w:p w14:paraId="07FAB388"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color w:val="FFFFFF" w:themeColor="background1"/>
                <w:sz w:val="20"/>
                <w:szCs w:val="20"/>
              </w:rPr>
              <w:t xml:space="preserve">% </w:t>
            </w:r>
            <w:r w:rsidRPr="00BA353C">
              <w:rPr>
                <w:rFonts w:ascii="Arial" w:hAnsi="Arial" w:cs="Arial"/>
                <w:b/>
                <w:bCs/>
                <w:color w:val="FFFFFF" w:themeColor="background1"/>
                <w:sz w:val="20"/>
                <w:szCs w:val="20"/>
              </w:rPr>
              <w:t>Female</w:t>
            </w:r>
            <w:r w:rsidRPr="00BA353C">
              <w:rPr>
                <w:rFonts w:ascii="Arial" w:hAnsi="Arial" w:cs="Arial"/>
                <w:b/>
                <w:color w:val="FFFFFF" w:themeColor="background1"/>
                <w:sz w:val="20"/>
                <w:szCs w:val="20"/>
              </w:rPr>
              <w:t xml:space="preserve"> </w:t>
            </w:r>
          </w:p>
        </w:tc>
        <w:tc>
          <w:tcPr>
            <w:tcW w:w="2306" w:type="dxa"/>
            <w:tcBorders>
              <w:top w:val="single" w:sz="6" w:space="0" w:color="8EA9DB"/>
              <w:left w:val="nil"/>
              <w:bottom w:val="single" w:sz="6" w:space="0" w:color="8EA9DB"/>
              <w:right w:val="nil"/>
            </w:tcBorders>
            <w:shd w:val="clear" w:color="auto" w:fill="4F81BD" w:themeFill="accent1"/>
            <w:vAlign w:val="bottom"/>
          </w:tcPr>
          <w:p w14:paraId="37C614B1" w14:textId="77777777" w:rsidR="00871D9E" w:rsidRPr="00BA353C" w:rsidRDefault="00871D9E" w:rsidP="001A12C9">
            <w:pPr>
              <w:spacing w:line="259" w:lineRule="auto"/>
              <w:jc w:val="both"/>
              <w:rPr>
                <w:rFonts w:ascii="Arial" w:hAnsi="Arial" w:cs="Arial"/>
                <w:color w:val="FFFFFF" w:themeColor="background1"/>
                <w:sz w:val="20"/>
                <w:szCs w:val="20"/>
              </w:rPr>
            </w:pPr>
            <w:r w:rsidRPr="00BA353C">
              <w:rPr>
                <w:rFonts w:ascii="Arial" w:hAnsi="Arial" w:cs="Arial"/>
                <w:b/>
                <w:bCs/>
                <w:color w:val="FFFFFF" w:themeColor="background1"/>
                <w:sz w:val="20"/>
                <w:szCs w:val="20"/>
              </w:rPr>
              <w:t>Age range and median</w:t>
            </w:r>
          </w:p>
        </w:tc>
      </w:tr>
      <w:tr w:rsidR="00A07CB6" w:rsidRPr="00BA353C" w14:paraId="4145CADE" w14:textId="77777777" w:rsidTr="00251F2A">
        <w:trPr>
          <w:trHeight w:val="1018"/>
        </w:trPr>
        <w:tc>
          <w:tcPr>
            <w:tcW w:w="1037" w:type="dxa"/>
            <w:tcBorders>
              <w:top w:val="single" w:sz="6" w:space="0" w:color="8EA9DB"/>
              <w:left w:val="single" w:sz="6" w:space="0" w:color="8EA9DB"/>
              <w:bottom w:val="single" w:sz="6" w:space="0" w:color="8EA9DB"/>
              <w:right w:val="nil"/>
            </w:tcBorders>
            <w:shd w:val="clear" w:color="auto" w:fill="D9E1F2"/>
            <w:vAlign w:val="bottom"/>
          </w:tcPr>
          <w:p w14:paraId="402C95D1" w14:textId="1CAA14AB"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Horak, Friedrich</w:t>
            </w:r>
            <w:r>
              <w:rPr>
                <w:rFonts w:ascii="Arial" w:hAnsi="Arial" w:cs="Arial"/>
                <w:color w:val="000000" w:themeColor="text1"/>
                <w:sz w:val="20"/>
                <w:szCs w:val="20"/>
              </w:rPr>
              <w:t>, 2009</w:t>
            </w:r>
          </w:p>
        </w:tc>
        <w:tc>
          <w:tcPr>
            <w:tcW w:w="2217" w:type="dxa"/>
            <w:tcBorders>
              <w:top w:val="single" w:sz="6" w:space="0" w:color="8EA9DB"/>
              <w:left w:val="nil"/>
              <w:bottom w:val="single" w:sz="6" w:space="0" w:color="8EA9DB"/>
              <w:right w:val="nil"/>
            </w:tcBorders>
            <w:shd w:val="clear" w:color="auto" w:fill="D9E1F2"/>
            <w:vAlign w:val="bottom"/>
          </w:tcPr>
          <w:p w14:paraId="097C438D" w14:textId="0EB04B45"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A placebo-controlled study of the nasal decongestant effect of PE and pseudoephedrine in the Vienna Challenge Chamber</w:t>
            </w:r>
          </w:p>
        </w:tc>
        <w:tc>
          <w:tcPr>
            <w:tcW w:w="1150" w:type="dxa"/>
            <w:tcBorders>
              <w:top w:val="single" w:sz="6" w:space="0" w:color="8EA9DB"/>
              <w:left w:val="nil"/>
              <w:bottom w:val="single" w:sz="6" w:space="0" w:color="8EA9DB"/>
              <w:right w:val="nil"/>
            </w:tcBorders>
            <w:shd w:val="clear" w:color="auto" w:fill="D9E1F2"/>
            <w:vAlign w:val="bottom"/>
          </w:tcPr>
          <w:p w14:paraId="2B80A637"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RCT (crossover study)</w:t>
            </w:r>
          </w:p>
        </w:tc>
        <w:tc>
          <w:tcPr>
            <w:tcW w:w="894" w:type="dxa"/>
            <w:tcBorders>
              <w:top w:val="single" w:sz="6" w:space="0" w:color="8EA9DB"/>
              <w:left w:val="nil"/>
              <w:bottom w:val="single" w:sz="6" w:space="0" w:color="8EA9DB"/>
              <w:right w:val="nil"/>
            </w:tcBorders>
            <w:shd w:val="clear" w:color="auto" w:fill="D9E1F2"/>
            <w:vAlign w:val="bottom"/>
          </w:tcPr>
          <w:p w14:paraId="017552A4" w14:textId="1C445349"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Austria</w:t>
            </w:r>
          </w:p>
        </w:tc>
        <w:tc>
          <w:tcPr>
            <w:tcW w:w="1278" w:type="dxa"/>
            <w:tcBorders>
              <w:top w:val="single" w:sz="6" w:space="0" w:color="8EA9DB"/>
              <w:left w:val="nil"/>
              <w:bottom w:val="single" w:sz="6" w:space="0" w:color="8EA9DB"/>
              <w:right w:val="nil"/>
            </w:tcBorders>
            <w:shd w:val="clear" w:color="auto" w:fill="D9E1F2"/>
            <w:vAlign w:val="bottom"/>
          </w:tcPr>
          <w:p w14:paraId="0CF01C12" w14:textId="043BDA5C"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39 patients</w:t>
            </w:r>
          </w:p>
        </w:tc>
        <w:tc>
          <w:tcPr>
            <w:tcW w:w="510" w:type="dxa"/>
            <w:tcBorders>
              <w:top w:val="single" w:sz="6" w:space="0" w:color="8EA9DB"/>
              <w:left w:val="nil"/>
              <w:bottom w:val="single" w:sz="6" w:space="0" w:color="8EA9DB"/>
              <w:right w:val="nil"/>
            </w:tcBorders>
            <w:shd w:val="clear" w:color="auto" w:fill="D9E1F2"/>
            <w:vAlign w:val="bottom"/>
          </w:tcPr>
          <w:p w14:paraId="7271A4BF"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59%</w:t>
            </w:r>
          </w:p>
        </w:tc>
        <w:tc>
          <w:tcPr>
            <w:tcW w:w="2689" w:type="dxa"/>
            <w:gridSpan w:val="2"/>
            <w:tcBorders>
              <w:top w:val="single" w:sz="6" w:space="0" w:color="8EA9DB"/>
              <w:left w:val="nil"/>
              <w:bottom w:val="single" w:sz="6" w:space="0" w:color="8EA9DB"/>
              <w:right w:val="nil"/>
            </w:tcBorders>
            <w:shd w:val="clear" w:color="auto" w:fill="D9E1F2"/>
            <w:vAlign w:val="bottom"/>
          </w:tcPr>
          <w:p w14:paraId="0CCA204C" w14:textId="0734AFCD"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range 19-46, median 27</w:t>
            </w:r>
          </w:p>
        </w:tc>
      </w:tr>
      <w:tr w:rsidR="00AA6CFA" w:rsidRPr="00BA353C" w14:paraId="00FAA7EE" w14:textId="77777777" w:rsidTr="00251F2A">
        <w:trPr>
          <w:trHeight w:val="1011"/>
        </w:trPr>
        <w:tc>
          <w:tcPr>
            <w:tcW w:w="1037" w:type="dxa"/>
            <w:tcBorders>
              <w:top w:val="single" w:sz="6" w:space="0" w:color="8EA9DB"/>
              <w:left w:val="single" w:sz="6" w:space="0" w:color="8EA9DB"/>
              <w:bottom w:val="single" w:sz="6" w:space="0" w:color="8EA9DB"/>
              <w:right w:val="nil"/>
            </w:tcBorders>
            <w:vAlign w:val="bottom"/>
          </w:tcPr>
          <w:p w14:paraId="2D847686" w14:textId="3BD51300"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Meltzer, Eli</w:t>
            </w:r>
            <w:r>
              <w:rPr>
                <w:rFonts w:ascii="Arial" w:hAnsi="Arial" w:cs="Arial"/>
                <w:color w:val="000000" w:themeColor="text1"/>
                <w:sz w:val="20"/>
                <w:szCs w:val="20"/>
              </w:rPr>
              <w:t>, 2015</w:t>
            </w:r>
          </w:p>
        </w:tc>
        <w:tc>
          <w:tcPr>
            <w:tcW w:w="2217" w:type="dxa"/>
            <w:tcBorders>
              <w:top w:val="single" w:sz="6" w:space="0" w:color="8EA9DB"/>
              <w:left w:val="nil"/>
              <w:bottom w:val="single" w:sz="6" w:space="0" w:color="8EA9DB"/>
              <w:right w:val="nil"/>
            </w:tcBorders>
            <w:vAlign w:val="bottom"/>
          </w:tcPr>
          <w:p w14:paraId="4DC3BE48"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 xml:space="preserve">Oral PE HCl for Nasal congestion in seasonal allergic rhinitis: A </w:t>
            </w:r>
            <w:proofErr w:type="spellStart"/>
            <w:r w:rsidRPr="00BA353C">
              <w:rPr>
                <w:rFonts w:ascii="Arial" w:hAnsi="Arial" w:cs="Arial"/>
                <w:color w:val="000000" w:themeColor="text1"/>
                <w:sz w:val="20"/>
                <w:szCs w:val="20"/>
              </w:rPr>
              <w:t>randomised</w:t>
            </w:r>
            <w:proofErr w:type="spellEnd"/>
            <w:r w:rsidRPr="00BA353C">
              <w:rPr>
                <w:rFonts w:ascii="Arial" w:hAnsi="Arial" w:cs="Arial"/>
                <w:color w:val="000000" w:themeColor="text1"/>
                <w:sz w:val="20"/>
                <w:szCs w:val="20"/>
              </w:rPr>
              <w:t>, open-label, placebo control study</w:t>
            </w:r>
          </w:p>
        </w:tc>
        <w:tc>
          <w:tcPr>
            <w:tcW w:w="1150" w:type="dxa"/>
            <w:tcBorders>
              <w:top w:val="single" w:sz="6" w:space="0" w:color="8EA9DB"/>
              <w:left w:val="nil"/>
              <w:bottom w:val="single" w:sz="6" w:space="0" w:color="8EA9DB"/>
              <w:right w:val="nil"/>
            </w:tcBorders>
            <w:vAlign w:val="bottom"/>
          </w:tcPr>
          <w:p w14:paraId="4A86BB13"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RCT</w:t>
            </w:r>
          </w:p>
        </w:tc>
        <w:tc>
          <w:tcPr>
            <w:tcW w:w="894" w:type="dxa"/>
            <w:tcBorders>
              <w:top w:val="single" w:sz="6" w:space="0" w:color="8EA9DB"/>
              <w:left w:val="nil"/>
              <w:bottom w:val="single" w:sz="6" w:space="0" w:color="8EA9DB"/>
              <w:right w:val="nil"/>
            </w:tcBorders>
            <w:vAlign w:val="bottom"/>
          </w:tcPr>
          <w:p w14:paraId="2DC39BAC" w14:textId="0B48FDAE"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USA</w:t>
            </w:r>
          </w:p>
        </w:tc>
        <w:tc>
          <w:tcPr>
            <w:tcW w:w="1278" w:type="dxa"/>
            <w:tcBorders>
              <w:top w:val="single" w:sz="6" w:space="0" w:color="8EA9DB"/>
              <w:left w:val="nil"/>
              <w:bottom w:val="single" w:sz="6" w:space="0" w:color="8EA9DB"/>
              <w:right w:val="nil"/>
            </w:tcBorders>
            <w:vAlign w:val="bottom"/>
          </w:tcPr>
          <w:p w14:paraId="4437F22C" w14:textId="0A38A42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539 patients with allergic rhinitis</w:t>
            </w:r>
          </w:p>
        </w:tc>
        <w:tc>
          <w:tcPr>
            <w:tcW w:w="893" w:type="dxa"/>
            <w:gridSpan w:val="2"/>
            <w:tcBorders>
              <w:top w:val="single" w:sz="6" w:space="0" w:color="8EA9DB"/>
              <w:left w:val="nil"/>
              <w:bottom w:val="single" w:sz="6" w:space="0" w:color="8EA9DB"/>
              <w:right w:val="nil"/>
            </w:tcBorders>
            <w:vAlign w:val="bottom"/>
          </w:tcPr>
          <w:p w14:paraId="31524FE9"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60.30%</w:t>
            </w:r>
          </w:p>
        </w:tc>
        <w:tc>
          <w:tcPr>
            <w:tcW w:w="2306" w:type="dxa"/>
            <w:tcBorders>
              <w:top w:val="single" w:sz="6" w:space="0" w:color="8EA9DB"/>
              <w:left w:val="nil"/>
              <w:bottom w:val="single" w:sz="6" w:space="0" w:color="8EA9DB"/>
              <w:right w:val="nil"/>
            </w:tcBorders>
            <w:vAlign w:val="bottom"/>
          </w:tcPr>
          <w:p w14:paraId="3DD073E3"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range 18-77, median 39</w:t>
            </w:r>
          </w:p>
        </w:tc>
      </w:tr>
      <w:tr w:rsidR="001A12C9" w:rsidRPr="00BA353C" w14:paraId="6325C736" w14:textId="77777777" w:rsidTr="00251F2A">
        <w:trPr>
          <w:trHeight w:val="1514"/>
        </w:trPr>
        <w:tc>
          <w:tcPr>
            <w:tcW w:w="1037" w:type="dxa"/>
            <w:tcBorders>
              <w:top w:val="single" w:sz="6" w:space="0" w:color="8EA9DB"/>
              <w:left w:val="single" w:sz="6" w:space="0" w:color="8EA9DB"/>
              <w:bottom w:val="single" w:sz="6" w:space="0" w:color="8EA9DB"/>
              <w:right w:val="nil"/>
            </w:tcBorders>
            <w:shd w:val="clear" w:color="auto" w:fill="D9E1F2"/>
            <w:vAlign w:val="bottom"/>
          </w:tcPr>
          <w:p w14:paraId="2B090E7C" w14:textId="48B375F1"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Meltzer, Eli</w:t>
            </w:r>
            <w:r>
              <w:rPr>
                <w:rFonts w:ascii="Arial" w:hAnsi="Arial" w:cs="Arial"/>
                <w:color w:val="000000" w:themeColor="text1"/>
                <w:sz w:val="20"/>
                <w:szCs w:val="20"/>
              </w:rPr>
              <w:t>, 2016</w:t>
            </w:r>
          </w:p>
        </w:tc>
        <w:tc>
          <w:tcPr>
            <w:tcW w:w="2217" w:type="dxa"/>
            <w:tcBorders>
              <w:top w:val="single" w:sz="6" w:space="0" w:color="8EA9DB"/>
              <w:left w:val="nil"/>
              <w:bottom w:val="single" w:sz="6" w:space="0" w:color="8EA9DB"/>
              <w:right w:val="nil"/>
            </w:tcBorders>
            <w:shd w:val="clear" w:color="auto" w:fill="D9E1F2"/>
            <w:vAlign w:val="bottom"/>
          </w:tcPr>
          <w:p w14:paraId="157D674B" w14:textId="63FFBAE6"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 xml:space="preserve">PE hydrochloride modified release tablets for nasal congestion: a </w:t>
            </w:r>
            <w:proofErr w:type="spellStart"/>
            <w:r w:rsidRPr="00BA353C">
              <w:rPr>
                <w:rFonts w:ascii="Arial" w:hAnsi="Arial" w:cs="Arial"/>
                <w:color w:val="000000" w:themeColor="text1"/>
                <w:sz w:val="20"/>
                <w:szCs w:val="20"/>
              </w:rPr>
              <w:t>randomised</w:t>
            </w:r>
            <w:proofErr w:type="spellEnd"/>
            <w:r w:rsidRPr="00BA353C">
              <w:rPr>
                <w:rFonts w:ascii="Arial" w:hAnsi="Arial" w:cs="Arial"/>
                <w:color w:val="000000" w:themeColor="text1"/>
                <w:sz w:val="20"/>
                <w:szCs w:val="20"/>
              </w:rPr>
              <w:t>, placebo-controlled trial in allergic rhinitis</w:t>
            </w:r>
          </w:p>
        </w:tc>
        <w:tc>
          <w:tcPr>
            <w:tcW w:w="1150" w:type="dxa"/>
            <w:tcBorders>
              <w:top w:val="single" w:sz="6" w:space="0" w:color="8EA9DB"/>
              <w:left w:val="nil"/>
              <w:bottom w:val="single" w:sz="6" w:space="0" w:color="8EA9DB"/>
              <w:right w:val="nil"/>
            </w:tcBorders>
            <w:shd w:val="clear" w:color="auto" w:fill="D9E1F2"/>
            <w:vAlign w:val="bottom"/>
          </w:tcPr>
          <w:p w14:paraId="4FEE5371"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RCT</w:t>
            </w:r>
          </w:p>
        </w:tc>
        <w:tc>
          <w:tcPr>
            <w:tcW w:w="894" w:type="dxa"/>
            <w:tcBorders>
              <w:top w:val="single" w:sz="6" w:space="0" w:color="8EA9DB"/>
              <w:left w:val="nil"/>
              <w:bottom w:val="single" w:sz="6" w:space="0" w:color="8EA9DB"/>
              <w:right w:val="nil"/>
            </w:tcBorders>
            <w:shd w:val="clear" w:color="auto" w:fill="D9E1F2"/>
            <w:vAlign w:val="bottom"/>
          </w:tcPr>
          <w:p w14:paraId="0503EA29" w14:textId="64B1EACF"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USA</w:t>
            </w:r>
          </w:p>
        </w:tc>
        <w:tc>
          <w:tcPr>
            <w:tcW w:w="1278" w:type="dxa"/>
            <w:tcBorders>
              <w:top w:val="single" w:sz="6" w:space="0" w:color="8EA9DB"/>
              <w:left w:val="nil"/>
              <w:bottom w:val="single" w:sz="6" w:space="0" w:color="8EA9DB"/>
              <w:right w:val="nil"/>
            </w:tcBorders>
            <w:shd w:val="clear" w:color="auto" w:fill="D9E1F2"/>
            <w:vAlign w:val="bottom"/>
          </w:tcPr>
          <w:p w14:paraId="023AE96F"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575 patients with allergic rhinitis: 288 in PE group, 287 in placebo group</w:t>
            </w:r>
          </w:p>
        </w:tc>
        <w:tc>
          <w:tcPr>
            <w:tcW w:w="893" w:type="dxa"/>
            <w:gridSpan w:val="2"/>
            <w:tcBorders>
              <w:top w:val="single" w:sz="6" w:space="0" w:color="8EA9DB"/>
              <w:left w:val="nil"/>
              <w:bottom w:val="single" w:sz="6" w:space="0" w:color="8EA9DB"/>
              <w:right w:val="nil"/>
            </w:tcBorders>
            <w:shd w:val="clear" w:color="auto" w:fill="D9E1F2"/>
            <w:vAlign w:val="bottom"/>
          </w:tcPr>
          <w:p w14:paraId="291A0631" w14:textId="1889FE90"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61.1% in PE, 61.7% in placebo group</w:t>
            </w:r>
          </w:p>
        </w:tc>
        <w:tc>
          <w:tcPr>
            <w:tcW w:w="2306" w:type="dxa"/>
            <w:tcBorders>
              <w:top w:val="single" w:sz="6" w:space="0" w:color="8EA9DB"/>
              <w:left w:val="nil"/>
              <w:bottom w:val="single" w:sz="6" w:space="0" w:color="8EA9DB"/>
              <w:right w:val="nil"/>
            </w:tcBorders>
            <w:shd w:val="clear" w:color="auto" w:fill="D9E1F2"/>
            <w:vAlign w:val="bottom"/>
          </w:tcPr>
          <w:p w14:paraId="666C487D" w14:textId="77777777" w:rsidR="00871D9E" w:rsidRPr="00BA353C" w:rsidRDefault="00871D9E" w:rsidP="001A12C9">
            <w:pPr>
              <w:spacing w:line="259" w:lineRule="auto"/>
              <w:jc w:val="both"/>
              <w:rPr>
                <w:rFonts w:ascii="Arial" w:hAnsi="Arial" w:cs="Arial"/>
                <w:color w:val="000000" w:themeColor="text1"/>
                <w:sz w:val="20"/>
                <w:szCs w:val="20"/>
              </w:rPr>
            </w:pPr>
            <w:r w:rsidRPr="00BA353C">
              <w:rPr>
                <w:rFonts w:ascii="Arial" w:hAnsi="Arial" w:cs="Arial"/>
                <w:color w:val="000000" w:themeColor="text1"/>
                <w:sz w:val="20"/>
                <w:szCs w:val="20"/>
              </w:rPr>
              <w:t>range 18-80, median 40 in PE group; range 18-77, median 41 in placebo group</w:t>
            </w:r>
          </w:p>
        </w:tc>
      </w:tr>
    </w:tbl>
    <w:p w14:paraId="5B2445B1" w14:textId="77777777" w:rsidR="002F2F4D" w:rsidRDefault="002F2F4D" w:rsidP="001A12C9">
      <w:pPr>
        <w:jc w:val="both"/>
        <w:rPr>
          <w:rFonts w:ascii="Arial" w:eastAsia="Calibri" w:hAnsi="Arial" w:cs="Arial"/>
          <w:color w:val="000000" w:themeColor="text1"/>
        </w:rPr>
      </w:pPr>
    </w:p>
    <w:p w14:paraId="231697BA" w14:textId="77777777" w:rsidR="00251F2A" w:rsidRPr="00251F2A" w:rsidRDefault="00251F2A" w:rsidP="00251F2A">
      <w:pPr>
        <w:rPr>
          <w:rFonts w:eastAsia="Calibri" w:cstheme="minorHAnsi"/>
        </w:rPr>
      </w:pPr>
    </w:p>
    <w:p w14:paraId="17BCD64A" w14:textId="2A9B795A" w:rsidR="00251F2A" w:rsidRPr="00455763" w:rsidRDefault="00251F2A" w:rsidP="00251F2A">
      <w:pPr>
        <w:tabs>
          <w:tab w:val="left" w:pos="1080"/>
        </w:tabs>
        <w:jc w:val="both"/>
        <w:rPr>
          <w:rFonts w:ascii="Arial" w:hAnsi="Arial"/>
          <w:b/>
        </w:rPr>
      </w:pPr>
      <w:r>
        <w:rPr>
          <w:rFonts w:ascii="Arial" w:hAnsi="Arial"/>
          <w:b/>
        </w:rPr>
        <w:t>Table 3.</w:t>
      </w:r>
      <w:r w:rsidRPr="00DC3180">
        <w:rPr>
          <w:rFonts w:ascii="Arial" w:hAnsi="Arial"/>
          <w:b/>
        </w:rPr>
        <w:tab/>
      </w:r>
      <w:r>
        <w:rPr>
          <w:rFonts w:ascii="Arial" w:hAnsi="Arial"/>
          <w:b/>
        </w:rPr>
        <w:t>Interventions and dosing</w:t>
      </w:r>
    </w:p>
    <w:p w14:paraId="3E924327" w14:textId="42758822" w:rsidR="00251F2A" w:rsidRDefault="00251F2A" w:rsidP="00251F2A">
      <w:pPr>
        <w:tabs>
          <w:tab w:val="left" w:pos="1680"/>
        </w:tabs>
        <w:rPr>
          <w:rFonts w:ascii="Arial" w:eastAsia="Calibri" w:hAnsi="Arial" w:cs="Arial"/>
          <w:color w:val="000000" w:themeColor="text1"/>
        </w:rPr>
      </w:pPr>
    </w:p>
    <w:tbl>
      <w:tblPr>
        <w:tblStyle w:val="TableGrid"/>
        <w:tblpPr w:leftFromText="180" w:rightFromText="180" w:vertAnchor="text" w:horzAnchor="margin" w:tblpY="99"/>
        <w:tblW w:w="9780" w:type="dxa"/>
        <w:tblLayout w:type="fixed"/>
        <w:tblLook w:val="06A0" w:firstRow="1" w:lastRow="0" w:firstColumn="1" w:lastColumn="0" w:noHBand="1" w:noVBand="1"/>
      </w:tblPr>
      <w:tblGrid>
        <w:gridCol w:w="1989"/>
        <w:gridCol w:w="3192"/>
        <w:gridCol w:w="1520"/>
        <w:gridCol w:w="1360"/>
        <w:gridCol w:w="1719"/>
      </w:tblGrid>
      <w:tr w:rsidR="00251F2A" w:rsidRPr="00CD3A9D" w14:paraId="7C91CF2F" w14:textId="77777777" w:rsidTr="00251F2A">
        <w:trPr>
          <w:trHeight w:val="748"/>
        </w:trPr>
        <w:tc>
          <w:tcPr>
            <w:tcW w:w="1989" w:type="dxa"/>
            <w:tcBorders>
              <w:top w:val="single" w:sz="6" w:space="0" w:color="8EA9DB"/>
              <w:left w:val="single" w:sz="6" w:space="0" w:color="8EA9DB"/>
              <w:bottom w:val="single" w:sz="6" w:space="0" w:color="8EA9DB"/>
              <w:right w:val="nil"/>
            </w:tcBorders>
            <w:shd w:val="clear" w:color="auto" w:fill="4F81BD" w:themeFill="accent1"/>
            <w:vAlign w:val="bottom"/>
          </w:tcPr>
          <w:p w14:paraId="761E9EF4" w14:textId="77777777" w:rsidR="00251F2A" w:rsidRPr="009A39BA" w:rsidRDefault="00251F2A" w:rsidP="00251F2A">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First author, year</w:t>
            </w:r>
          </w:p>
        </w:tc>
        <w:tc>
          <w:tcPr>
            <w:tcW w:w="3192" w:type="dxa"/>
            <w:tcBorders>
              <w:top w:val="single" w:sz="6" w:space="0" w:color="8EA9DB"/>
              <w:left w:val="nil"/>
              <w:bottom w:val="single" w:sz="6" w:space="0" w:color="8EA9DB"/>
              <w:right w:val="nil"/>
            </w:tcBorders>
            <w:shd w:val="clear" w:color="auto" w:fill="4F81BD" w:themeFill="accent1"/>
            <w:vAlign w:val="bottom"/>
          </w:tcPr>
          <w:p w14:paraId="0FC4E1B7" w14:textId="77777777" w:rsidR="00251F2A" w:rsidRPr="009A39BA" w:rsidRDefault="00251F2A" w:rsidP="00251F2A">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Intervention </w:t>
            </w:r>
          </w:p>
        </w:tc>
        <w:tc>
          <w:tcPr>
            <w:tcW w:w="1520" w:type="dxa"/>
            <w:tcBorders>
              <w:top w:val="single" w:sz="6" w:space="0" w:color="8EA9DB"/>
              <w:left w:val="nil"/>
              <w:bottom w:val="single" w:sz="6" w:space="0" w:color="8EA9DB"/>
              <w:right w:val="nil"/>
            </w:tcBorders>
            <w:shd w:val="clear" w:color="auto" w:fill="4F81BD" w:themeFill="accent1"/>
            <w:vAlign w:val="bottom"/>
          </w:tcPr>
          <w:p w14:paraId="0F13F2B0" w14:textId="77777777" w:rsidR="00251F2A" w:rsidRPr="009A39BA" w:rsidRDefault="00251F2A" w:rsidP="00251F2A">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Intervention dose </w:t>
            </w:r>
          </w:p>
        </w:tc>
        <w:tc>
          <w:tcPr>
            <w:tcW w:w="1360" w:type="dxa"/>
            <w:tcBorders>
              <w:top w:val="single" w:sz="6" w:space="0" w:color="8EA9DB"/>
              <w:left w:val="nil"/>
              <w:bottom w:val="single" w:sz="6" w:space="0" w:color="8EA9DB"/>
              <w:right w:val="nil"/>
            </w:tcBorders>
            <w:shd w:val="clear" w:color="auto" w:fill="4F81BD" w:themeFill="accent1"/>
            <w:vAlign w:val="bottom"/>
          </w:tcPr>
          <w:p w14:paraId="0B520F2D" w14:textId="77777777" w:rsidR="00251F2A" w:rsidRPr="009A39BA" w:rsidRDefault="00251F2A" w:rsidP="00251F2A">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Control </w:t>
            </w:r>
          </w:p>
        </w:tc>
        <w:tc>
          <w:tcPr>
            <w:tcW w:w="1719" w:type="dxa"/>
            <w:tcBorders>
              <w:top w:val="single" w:sz="6" w:space="0" w:color="8EA9DB"/>
              <w:left w:val="nil"/>
              <w:bottom w:val="single" w:sz="6" w:space="0" w:color="8EA9DB"/>
              <w:right w:val="nil"/>
            </w:tcBorders>
            <w:shd w:val="clear" w:color="auto" w:fill="4F81BD" w:themeFill="accent1"/>
            <w:vAlign w:val="bottom"/>
          </w:tcPr>
          <w:p w14:paraId="661CDE87" w14:textId="77777777" w:rsidR="00251F2A" w:rsidRPr="009A39BA" w:rsidRDefault="00251F2A" w:rsidP="00251F2A">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Co-intervention </w:t>
            </w:r>
          </w:p>
        </w:tc>
      </w:tr>
      <w:tr w:rsidR="00251F2A" w:rsidRPr="00CD3A9D" w14:paraId="26FD72D1" w14:textId="77777777" w:rsidTr="00251F2A">
        <w:trPr>
          <w:trHeight w:val="738"/>
        </w:trPr>
        <w:tc>
          <w:tcPr>
            <w:tcW w:w="1989" w:type="dxa"/>
            <w:tcBorders>
              <w:top w:val="single" w:sz="6" w:space="0" w:color="8EA9DB"/>
              <w:left w:val="single" w:sz="6" w:space="0" w:color="8EA9DB"/>
              <w:bottom w:val="single" w:sz="6" w:space="0" w:color="8EA9DB"/>
              <w:right w:val="nil"/>
            </w:tcBorders>
            <w:shd w:val="clear" w:color="auto" w:fill="D9E1F2"/>
            <w:vAlign w:val="bottom"/>
          </w:tcPr>
          <w:p w14:paraId="00C63EBB"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Horak, Friedrich, 2009</w:t>
            </w:r>
          </w:p>
        </w:tc>
        <w:tc>
          <w:tcPr>
            <w:tcW w:w="3192" w:type="dxa"/>
            <w:tcBorders>
              <w:top w:val="single" w:sz="6" w:space="0" w:color="8EA9DB"/>
              <w:left w:val="nil"/>
              <w:bottom w:val="single" w:sz="6" w:space="0" w:color="8EA9DB"/>
              <w:right w:val="nil"/>
            </w:tcBorders>
            <w:shd w:val="clear" w:color="auto" w:fill="D9E1F2"/>
            <w:vAlign w:val="bottom"/>
          </w:tcPr>
          <w:p w14:paraId="50613AC3"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PE </w:t>
            </w:r>
          </w:p>
        </w:tc>
        <w:tc>
          <w:tcPr>
            <w:tcW w:w="1520" w:type="dxa"/>
            <w:tcBorders>
              <w:top w:val="single" w:sz="6" w:space="0" w:color="8EA9DB"/>
              <w:left w:val="nil"/>
              <w:bottom w:val="single" w:sz="6" w:space="0" w:color="8EA9DB"/>
              <w:right w:val="nil"/>
            </w:tcBorders>
            <w:shd w:val="clear" w:color="auto" w:fill="D9E1F2"/>
            <w:vAlign w:val="bottom"/>
          </w:tcPr>
          <w:p w14:paraId="3D1838D6"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12mg </w:t>
            </w:r>
          </w:p>
        </w:tc>
        <w:tc>
          <w:tcPr>
            <w:tcW w:w="1360" w:type="dxa"/>
            <w:tcBorders>
              <w:top w:val="single" w:sz="6" w:space="0" w:color="8EA9DB"/>
              <w:left w:val="nil"/>
              <w:bottom w:val="single" w:sz="6" w:space="0" w:color="8EA9DB"/>
              <w:right w:val="nil"/>
            </w:tcBorders>
            <w:shd w:val="clear" w:color="auto" w:fill="D9E1F2"/>
            <w:vAlign w:val="bottom"/>
          </w:tcPr>
          <w:p w14:paraId="6549418E"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placebo </w:t>
            </w:r>
          </w:p>
        </w:tc>
        <w:tc>
          <w:tcPr>
            <w:tcW w:w="1719" w:type="dxa"/>
            <w:tcBorders>
              <w:top w:val="single" w:sz="6" w:space="0" w:color="8EA9DB"/>
              <w:left w:val="nil"/>
              <w:bottom w:val="single" w:sz="6" w:space="0" w:color="8EA9DB"/>
              <w:right w:val="nil"/>
            </w:tcBorders>
            <w:shd w:val="clear" w:color="auto" w:fill="D9E1F2"/>
            <w:vAlign w:val="bottom"/>
          </w:tcPr>
          <w:p w14:paraId="4664E04B"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nil</w:t>
            </w:r>
          </w:p>
        </w:tc>
      </w:tr>
      <w:tr w:rsidR="00251F2A" w:rsidRPr="00CD3A9D" w14:paraId="6A24C0AA" w14:textId="77777777" w:rsidTr="00251F2A">
        <w:trPr>
          <w:trHeight w:val="943"/>
        </w:trPr>
        <w:tc>
          <w:tcPr>
            <w:tcW w:w="1989" w:type="dxa"/>
            <w:tcBorders>
              <w:top w:val="single" w:sz="6" w:space="0" w:color="8EA9DB"/>
              <w:left w:val="single" w:sz="6" w:space="0" w:color="8EA9DB"/>
              <w:bottom w:val="single" w:sz="6" w:space="0" w:color="8EA9DB"/>
              <w:right w:val="nil"/>
            </w:tcBorders>
            <w:vAlign w:val="bottom"/>
          </w:tcPr>
          <w:p w14:paraId="642A8009"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Meltzer, Eli, 2015</w:t>
            </w:r>
          </w:p>
        </w:tc>
        <w:tc>
          <w:tcPr>
            <w:tcW w:w="3192" w:type="dxa"/>
            <w:tcBorders>
              <w:top w:val="single" w:sz="6" w:space="0" w:color="8EA9DB"/>
              <w:left w:val="nil"/>
              <w:bottom w:val="single" w:sz="6" w:space="0" w:color="8EA9DB"/>
              <w:right w:val="nil"/>
            </w:tcBorders>
            <w:vAlign w:val="bottom"/>
          </w:tcPr>
          <w:p w14:paraId="4D7EB761"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PE (plus 10mg loratadine daily)</w:t>
            </w:r>
          </w:p>
        </w:tc>
        <w:tc>
          <w:tcPr>
            <w:tcW w:w="1520" w:type="dxa"/>
            <w:tcBorders>
              <w:top w:val="single" w:sz="6" w:space="0" w:color="8EA9DB"/>
              <w:left w:val="nil"/>
              <w:bottom w:val="single" w:sz="6" w:space="0" w:color="8EA9DB"/>
              <w:right w:val="nil"/>
            </w:tcBorders>
            <w:vAlign w:val="bottom"/>
          </w:tcPr>
          <w:p w14:paraId="114DE37A"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10-40mg </w:t>
            </w:r>
          </w:p>
        </w:tc>
        <w:tc>
          <w:tcPr>
            <w:tcW w:w="1360" w:type="dxa"/>
            <w:tcBorders>
              <w:top w:val="single" w:sz="6" w:space="0" w:color="8EA9DB"/>
              <w:left w:val="nil"/>
              <w:bottom w:val="single" w:sz="6" w:space="0" w:color="8EA9DB"/>
              <w:right w:val="nil"/>
            </w:tcBorders>
            <w:vAlign w:val="bottom"/>
          </w:tcPr>
          <w:p w14:paraId="741C6DA0"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placebo </w:t>
            </w:r>
          </w:p>
        </w:tc>
        <w:tc>
          <w:tcPr>
            <w:tcW w:w="1719" w:type="dxa"/>
            <w:tcBorders>
              <w:top w:val="single" w:sz="6" w:space="0" w:color="8EA9DB"/>
              <w:left w:val="nil"/>
              <w:bottom w:val="single" w:sz="6" w:space="0" w:color="8EA9DB"/>
              <w:right w:val="nil"/>
            </w:tcBorders>
            <w:vAlign w:val="bottom"/>
          </w:tcPr>
          <w:p w14:paraId="01A676B5"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loratadine 10mg PRN </w:t>
            </w:r>
          </w:p>
        </w:tc>
      </w:tr>
      <w:tr w:rsidR="00251F2A" w:rsidRPr="00CD3A9D" w14:paraId="71E29E47" w14:textId="77777777" w:rsidTr="00251F2A">
        <w:trPr>
          <w:trHeight w:val="934"/>
        </w:trPr>
        <w:tc>
          <w:tcPr>
            <w:tcW w:w="1989" w:type="dxa"/>
            <w:tcBorders>
              <w:top w:val="single" w:sz="6" w:space="0" w:color="8EA9DB"/>
              <w:left w:val="single" w:sz="6" w:space="0" w:color="8EA9DB"/>
              <w:bottom w:val="single" w:sz="6" w:space="0" w:color="8EA9DB"/>
              <w:right w:val="nil"/>
            </w:tcBorders>
            <w:shd w:val="clear" w:color="auto" w:fill="D9E1F2"/>
            <w:vAlign w:val="bottom"/>
          </w:tcPr>
          <w:p w14:paraId="1F001B78"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Meltzer, Eli, 2016</w:t>
            </w:r>
          </w:p>
        </w:tc>
        <w:tc>
          <w:tcPr>
            <w:tcW w:w="3192" w:type="dxa"/>
            <w:tcBorders>
              <w:top w:val="single" w:sz="6" w:space="0" w:color="8EA9DB"/>
              <w:left w:val="nil"/>
              <w:bottom w:val="single" w:sz="6" w:space="0" w:color="8EA9DB"/>
              <w:right w:val="nil"/>
            </w:tcBorders>
            <w:shd w:val="clear" w:color="auto" w:fill="D9E1F2"/>
            <w:vAlign w:val="bottom"/>
          </w:tcPr>
          <w:p w14:paraId="622A8423"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PE (plus PRN 10mg loratadine)</w:t>
            </w:r>
          </w:p>
        </w:tc>
        <w:tc>
          <w:tcPr>
            <w:tcW w:w="1520" w:type="dxa"/>
            <w:tcBorders>
              <w:top w:val="single" w:sz="6" w:space="0" w:color="8EA9DB"/>
              <w:left w:val="nil"/>
              <w:bottom w:val="single" w:sz="6" w:space="0" w:color="8EA9DB"/>
              <w:right w:val="nil"/>
            </w:tcBorders>
            <w:shd w:val="clear" w:color="auto" w:fill="D9E1F2"/>
            <w:vAlign w:val="bottom"/>
          </w:tcPr>
          <w:p w14:paraId="141C1FBD"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30mg </w:t>
            </w:r>
          </w:p>
        </w:tc>
        <w:tc>
          <w:tcPr>
            <w:tcW w:w="1360" w:type="dxa"/>
            <w:tcBorders>
              <w:top w:val="single" w:sz="6" w:space="0" w:color="8EA9DB"/>
              <w:left w:val="nil"/>
              <w:bottom w:val="single" w:sz="6" w:space="0" w:color="8EA9DB"/>
              <w:right w:val="nil"/>
            </w:tcBorders>
            <w:shd w:val="clear" w:color="auto" w:fill="D9E1F2"/>
            <w:vAlign w:val="bottom"/>
          </w:tcPr>
          <w:p w14:paraId="15FA5427"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placebo </w:t>
            </w:r>
          </w:p>
        </w:tc>
        <w:tc>
          <w:tcPr>
            <w:tcW w:w="1719" w:type="dxa"/>
            <w:tcBorders>
              <w:top w:val="single" w:sz="6" w:space="0" w:color="8EA9DB"/>
              <w:left w:val="nil"/>
              <w:bottom w:val="single" w:sz="6" w:space="0" w:color="8EA9DB"/>
              <w:right w:val="nil"/>
            </w:tcBorders>
            <w:shd w:val="clear" w:color="auto" w:fill="D9E1F2"/>
            <w:vAlign w:val="bottom"/>
          </w:tcPr>
          <w:p w14:paraId="3F7B2260" w14:textId="77777777" w:rsidR="00251F2A" w:rsidRPr="009A39BA" w:rsidRDefault="00251F2A" w:rsidP="00251F2A">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loratadine 10mg daily</w:t>
            </w:r>
          </w:p>
        </w:tc>
      </w:tr>
    </w:tbl>
    <w:p w14:paraId="64097D46" w14:textId="0C271107" w:rsidR="00251F2A" w:rsidRPr="00251F2A" w:rsidRDefault="00251F2A" w:rsidP="00251F2A">
      <w:pPr>
        <w:tabs>
          <w:tab w:val="left" w:pos="1680"/>
        </w:tabs>
        <w:rPr>
          <w:rFonts w:eastAsia="Calibri" w:cstheme="minorHAnsi"/>
        </w:rPr>
        <w:sectPr w:rsidR="00251F2A" w:rsidRPr="00251F2A" w:rsidSect="000C756A">
          <w:type w:val="continuous"/>
          <w:pgSz w:w="11906" w:h="16838"/>
          <w:pgMar w:top="1440" w:right="1440" w:bottom="1440" w:left="1440" w:header="720" w:footer="720" w:gutter="0"/>
          <w:cols w:space="720"/>
          <w:titlePg/>
          <w:docGrid w:linePitch="360"/>
        </w:sectPr>
      </w:pPr>
      <w:r>
        <w:rPr>
          <w:rFonts w:eastAsia="Calibri" w:cstheme="minorHAnsi"/>
        </w:rPr>
        <w:tab/>
      </w:r>
    </w:p>
    <w:p w14:paraId="6865D109" w14:textId="4F92CB30" w:rsidR="00D03151" w:rsidRPr="000F4535" w:rsidRDefault="00454BDF" w:rsidP="001A12C9">
      <w:pPr>
        <w:tabs>
          <w:tab w:val="left" w:pos="1080"/>
        </w:tabs>
        <w:jc w:val="both"/>
        <w:rPr>
          <w:rFonts w:ascii="Arial" w:hAnsi="Arial"/>
          <w:b/>
        </w:rPr>
      </w:pPr>
      <w:r>
        <w:rPr>
          <w:rFonts w:ascii="Arial" w:hAnsi="Arial"/>
          <w:b/>
        </w:rPr>
        <w:lastRenderedPageBreak/>
        <w:t>Table 4.</w:t>
      </w:r>
      <w:r w:rsidRPr="00DC3180">
        <w:rPr>
          <w:rFonts w:ascii="Arial" w:hAnsi="Arial"/>
          <w:b/>
        </w:rPr>
        <w:tab/>
      </w:r>
      <w:r>
        <w:rPr>
          <w:rFonts w:ascii="Arial" w:hAnsi="Arial"/>
          <w:b/>
        </w:rPr>
        <w:t>Symptom score change (primary endpoint)</w:t>
      </w:r>
    </w:p>
    <w:tbl>
      <w:tblPr>
        <w:tblStyle w:val="TableGrid"/>
        <w:tblpPr w:leftFromText="180" w:rightFromText="180" w:vertAnchor="text" w:horzAnchor="margin" w:tblpY="58"/>
        <w:tblW w:w="8833" w:type="dxa"/>
        <w:tblLayout w:type="fixed"/>
        <w:tblLook w:val="06A0" w:firstRow="1" w:lastRow="0" w:firstColumn="1" w:lastColumn="0" w:noHBand="1" w:noVBand="1"/>
      </w:tblPr>
      <w:tblGrid>
        <w:gridCol w:w="1534"/>
        <w:gridCol w:w="3654"/>
        <w:gridCol w:w="3645"/>
      </w:tblGrid>
      <w:tr w:rsidR="009A39BA" w:rsidRPr="00CD3A9D" w14:paraId="4A5D650B" w14:textId="77777777" w:rsidTr="009A39BA">
        <w:trPr>
          <w:trHeight w:val="936"/>
        </w:trPr>
        <w:tc>
          <w:tcPr>
            <w:tcW w:w="1534" w:type="dxa"/>
            <w:tcBorders>
              <w:top w:val="single" w:sz="6" w:space="0" w:color="8EA9DB"/>
              <w:left w:val="single" w:sz="6" w:space="0" w:color="8EA9DB"/>
              <w:bottom w:val="single" w:sz="6" w:space="0" w:color="8EA9DB"/>
              <w:right w:val="nil"/>
            </w:tcBorders>
            <w:shd w:val="clear" w:color="auto" w:fill="4F81BD" w:themeFill="accent1"/>
            <w:vAlign w:val="bottom"/>
          </w:tcPr>
          <w:p w14:paraId="5D236245" w14:textId="77777777" w:rsidR="009A39BA" w:rsidRPr="009A39BA" w:rsidRDefault="009A39BA" w:rsidP="001A12C9">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First author, year</w:t>
            </w:r>
          </w:p>
        </w:tc>
        <w:tc>
          <w:tcPr>
            <w:tcW w:w="3654" w:type="dxa"/>
            <w:tcBorders>
              <w:top w:val="single" w:sz="6" w:space="0" w:color="8EA9DB"/>
              <w:left w:val="nil"/>
              <w:bottom w:val="single" w:sz="6" w:space="0" w:color="8EA9DB"/>
              <w:right w:val="nil"/>
            </w:tcBorders>
            <w:shd w:val="clear" w:color="auto" w:fill="4F81BD" w:themeFill="accent1"/>
            <w:vAlign w:val="bottom"/>
          </w:tcPr>
          <w:p w14:paraId="317DC6C9" w14:textId="77777777" w:rsidR="009A39BA" w:rsidRPr="009A39BA" w:rsidRDefault="009A39BA" w:rsidP="001A12C9">
            <w:pPr>
              <w:spacing w:line="259" w:lineRule="auto"/>
              <w:jc w:val="both"/>
              <w:rPr>
                <w:rFonts w:ascii="Arial" w:hAnsi="Arial" w:cs="Arial"/>
                <w:color w:val="FFFFFF" w:themeColor="background1"/>
                <w:sz w:val="20"/>
                <w:szCs w:val="20"/>
              </w:rPr>
            </w:pPr>
            <w:r w:rsidRPr="009A39BA">
              <w:rPr>
                <w:rFonts w:ascii="Arial" w:hAnsi="Arial" w:cs="Arial"/>
                <w:b/>
                <w:bCs/>
                <w:color w:val="FFFFFF" w:themeColor="background1"/>
                <w:sz w:val="20"/>
                <w:szCs w:val="20"/>
              </w:rPr>
              <w:t xml:space="preserve">Outcome PE: symptom reduction mean + standard deviation </w:t>
            </w:r>
          </w:p>
        </w:tc>
        <w:tc>
          <w:tcPr>
            <w:tcW w:w="3645" w:type="dxa"/>
            <w:tcBorders>
              <w:top w:val="single" w:sz="6" w:space="0" w:color="8EA9DB"/>
              <w:left w:val="nil"/>
              <w:bottom w:val="single" w:sz="6" w:space="0" w:color="8EA9DB"/>
              <w:right w:val="nil"/>
            </w:tcBorders>
            <w:shd w:val="clear" w:color="auto" w:fill="4F81BD" w:themeFill="accent1"/>
            <w:vAlign w:val="bottom"/>
          </w:tcPr>
          <w:p w14:paraId="413FDF11" w14:textId="77777777" w:rsidR="009A39BA" w:rsidRPr="009A39BA" w:rsidRDefault="009A39BA" w:rsidP="001A12C9">
            <w:pPr>
              <w:spacing w:line="259" w:lineRule="auto"/>
              <w:jc w:val="both"/>
              <w:rPr>
                <w:rFonts w:ascii="Arial" w:hAnsi="Arial" w:cs="Arial"/>
                <w:color w:val="FFFFFF" w:themeColor="background1"/>
                <w:sz w:val="20"/>
                <w:szCs w:val="20"/>
              </w:rPr>
            </w:pPr>
            <w:r w:rsidRPr="009A39BA">
              <w:rPr>
                <w:rFonts w:ascii="Arial" w:hAnsi="Arial" w:cs="Arial"/>
                <w:b/>
                <w:color w:val="FFFFFF" w:themeColor="background1"/>
                <w:sz w:val="20"/>
                <w:szCs w:val="20"/>
              </w:rPr>
              <w:t xml:space="preserve">Outcome placebo: symptom reduction </w:t>
            </w:r>
            <w:proofErr w:type="gramStart"/>
            <w:r w:rsidRPr="009A39BA">
              <w:rPr>
                <w:rFonts w:ascii="Arial" w:hAnsi="Arial" w:cs="Arial"/>
                <w:b/>
                <w:color w:val="FFFFFF" w:themeColor="background1"/>
                <w:sz w:val="20"/>
                <w:szCs w:val="20"/>
              </w:rPr>
              <w:t>mean</w:t>
            </w:r>
            <w:proofErr w:type="gramEnd"/>
            <w:r w:rsidRPr="009A39BA">
              <w:rPr>
                <w:rFonts w:ascii="Arial" w:hAnsi="Arial" w:cs="Arial"/>
                <w:b/>
                <w:color w:val="FFFFFF" w:themeColor="background1"/>
                <w:sz w:val="20"/>
                <w:szCs w:val="20"/>
              </w:rPr>
              <w:t xml:space="preserve"> and standard deviation </w:t>
            </w:r>
          </w:p>
        </w:tc>
      </w:tr>
      <w:tr w:rsidR="009A39BA" w:rsidRPr="00CD3A9D" w14:paraId="0F0B1069" w14:textId="77777777" w:rsidTr="00E173AA">
        <w:trPr>
          <w:trHeight w:val="881"/>
        </w:trPr>
        <w:tc>
          <w:tcPr>
            <w:tcW w:w="1534" w:type="dxa"/>
            <w:tcBorders>
              <w:top w:val="single" w:sz="6" w:space="0" w:color="8EA9DB"/>
              <w:left w:val="single" w:sz="6" w:space="0" w:color="8EA9DB"/>
              <w:bottom w:val="single" w:sz="6" w:space="0" w:color="8EA9DB"/>
              <w:right w:val="nil"/>
            </w:tcBorders>
            <w:shd w:val="clear" w:color="auto" w:fill="D9E1F2"/>
            <w:vAlign w:val="bottom"/>
          </w:tcPr>
          <w:p w14:paraId="7BFA36FA"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Horak, Friedrich, 2009</w:t>
            </w:r>
          </w:p>
        </w:tc>
        <w:tc>
          <w:tcPr>
            <w:tcW w:w="3654" w:type="dxa"/>
            <w:tcBorders>
              <w:top w:val="single" w:sz="6" w:space="0" w:color="8EA9DB"/>
              <w:left w:val="nil"/>
              <w:bottom w:val="single" w:sz="6" w:space="0" w:color="8EA9DB"/>
              <w:right w:val="nil"/>
            </w:tcBorders>
            <w:shd w:val="clear" w:color="auto" w:fill="D9E1F2"/>
            <w:vAlign w:val="bottom"/>
          </w:tcPr>
          <w:p w14:paraId="491C08CF"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7.1%, (P =0.56)</w:t>
            </w:r>
          </w:p>
        </w:tc>
        <w:tc>
          <w:tcPr>
            <w:tcW w:w="3645" w:type="dxa"/>
            <w:tcBorders>
              <w:top w:val="single" w:sz="6" w:space="0" w:color="8EA9DB"/>
              <w:left w:val="nil"/>
              <w:bottom w:val="single" w:sz="6" w:space="0" w:color="8EA9DB"/>
              <w:right w:val="nil"/>
            </w:tcBorders>
            <w:shd w:val="clear" w:color="auto" w:fill="D9E1F2"/>
            <w:vAlign w:val="bottom"/>
          </w:tcPr>
          <w:p w14:paraId="538ACDEE"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 2.2%, (P=0.56)</w:t>
            </w:r>
          </w:p>
        </w:tc>
      </w:tr>
      <w:tr w:rsidR="009A39BA" w:rsidRPr="00CD3A9D" w14:paraId="768D9CA7" w14:textId="77777777" w:rsidTr="009A39BA">
        <w:trPr>
          <w:trHeight w:val="936"/>
        </w:trPr>
        <w:tc>
          <w:tcPr>
            <w:tcW w:w="1534" w:type="dxa"/>
            <w:tcBorders>
              <w:top w:val="single" w:sz="6" w:space="0" w:color="8EA9DB"/>
              <w:left w:val="single" w:sz="6" w:space="0" w:color="8EA9DB"/>
              <w:bottom w:val="single" w:sz="6" w:space="0" w:color="8EA9DB"/>
              <w:right w:val="nil"/>
            </w:tcBorders>
            <w:vAlign w:val="bottom"/>
          </w:tcPr>
          <w:p w14:paraId="368143AB"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Meltzer, Eli, 2015</w:t>
            </w:r>
          </w:p>
        </w:tc>
        <w:tc>
          <w:tcPr>
            <w:tcW w:w="3654" w:type="dxa"/>
            <w:tcBorders>
              <w:top w:val="single" w:sz="6" w:space="0" w:color="8EA9DB"/>
              <w:left w:val="nil"/>
              <w:bottom w:val="single" w:sz="6" w:space="0" w:color="8EA9DB"/>
              <w:right w:val="nil"/>
            </w:tcBorders>
            <w:vAlign w:val="bottom"/>
          </w:tcPr>
          <w:p w14:paraId="180DC174"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10mg -0.460 ± 0.537, 20mg -0.499 ± 0.504, 30mg -0.508 ± 0.562, 40mg -0.461 ± 0.531, </w:t>
            </w:r>
          </w:p>
        </w:tc>
        <w:tc>
          <w:tcPr>
            <w:tcW w:w="3645" w:type="dxa"/>
            <w:tcBorders>
              <w:top w:val="single" w:sz="6" w:space="0" w:color="8EA9DB"/>
              <w:left w:val="nil"/>
              <w:bottom w:val="single" w:sz="6" w:space="0" w:color="8EA9DB"/>
              <w:right w:val="nil"/>
            </w:tcBorders>
            <w:vAlign w:val="bottom"/>
          </w:tcPr>
          <w:p w14:paraId="62C339CF"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 xml:space="preserve"> -0.428 +/- 0.553</w:t>
            </w:r>
          </w:p>
        </w:tc>
      </w:tr>
      <w:tr w:rsidR="009A39BA" w:rsidRPr="00CD3A9D" w14:paraId="3F415A30" w14:textId="77777777" w:rsidTr="009A39BA">
        <w:trPr>
          <w:trHeight w:val="1374"/>
        </w:trPr>
        <w:tc>
          <w:tcPr>
            <w:tcW w:w="1534" w:type="dxa"/>
            <w:tcBorders>
              <w:top w:val="single" w:sz="6" w:space="0" w:color="8EA9DB"/>
              <w:left w:val="single" w:sz="6" w:space="0" w:color="8EA9DB"/>
              <w:bottom w:val="single" w:sz="6" w:space="0" w:color="8EA9DB"/>
              <w:right w:val="nil"/>
            </w:tcBorders>
            <w:shd w:val="clear" w:color="auto" w:fill="D9E1F2"/>
            <w:vAlign w:val="bottom"/>
          </w:tcPr>
          <w:p w14:paraId="31BFA66F"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Meltzer, Eli, 2016</w:t>
            </w:r>
          </w:p>
        </w:tc>
        <w:tc>
          <w:tcPr>
            <w:tcW w:w="3654" w:type="dxa"/>
            <w:tcBorders>
              <w:top w:val="single" w:sz="6" w:space="0" w:color="8EA9DB"/>
              <w:left w:val="nil"/>
              <w:bottom w:val="single" w:sz="6" w:space="0" w:color="8EA9DB"/>
              <w:right w:val="nil"/>
            </w:tcBorders>
            <w:shd w:val="clear" w:color="auto" w:fill="D9E1F2"/>
            <w:vAlign w:val="bottom"/>
          </w:tcPr>
          <w:p w14:paraId="2060BC3B"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0.394, SD 0.4880 (P =0.265)</w:t>
            </w:r>
          </w:p>
        </w:tc>
        <w:tc>
          <w:tcPr>
            <w:tcW w:w="3645" w:type="dxa"/>
            <w:tcBorders>
              <w:top w:val="single" w:sz="6" w:space="0" w:color="8EA9DB"/>
              <w:left w:val="nil"/>
              <w:bottom w:val="single" w:sz="6" w:space="0" w:color="8EA9DB"/>
              <w:right w:val="nil"/>
            </w:tcBorders>
            <w:shd w:val="clear" w:color="auto" w:fill="D9E1F2"/>
            <w:vAlign w:val="bottom"/>
          </w:tcPr>
          <w:p w14:paraId="3A21D6FC" w14:textId="77777777" w:rsidR="009A39BA" w:rsidRPr="009A39BA" w:rsidRDefault="009A39BA" w:rsidP="001A12C9">
            <w:pPr>
              <w:spacing w:line="259" w:lineRule="auto"/>
              <w:jc w:val="both"/>
              <w:rPr>
                <w:rFonts w:ascii="Arial" w:hAnsi="Arial" w:cs="Arial"/>
                <w:color w:val="000000" w:themeColor="text1"/>
                <w:sz w:val="20"/>
                <w:szCs w:val="20"/>
              </w:rPr>
            </w:pPr>
            <w:r w:rsidRPr="009A39BA">
              <w:rPr>
                <w:rFonts w:ascii="Arial" w:hAnsi="Arial" w:cs="Arial"/>
                <w:color w:val="000000" w:themeColor="text1"/>
                <w:sz w:val="20"/>
                <w:szCs w:val="20"/>
              </w:rPr>
              <w:t>mean 0.412, SD 0.5383 (P=0.265)</w:t>
            </w:r>
          </w:p>
        </w:tc>
      </w:tr>
    </w:tbl>
    <w:p w14:paraId="6F449A79" w14:textId="77777777" w:rsidR="00D03151" w:rsidRDefault="00D03151" w:rsidP="001A12C9">
      <w:pPr>
        <w:jc w:val="both"/>
        <w:rPr>
          <w:rFonts w:eastAsia="Calibri" w:cstheme="minorHAnsi"/>
        </w:rPr>
      </w:pPr>
    </w:p>
    <w:p w14:paraId="0304E843" w14:textId="77777777" w:rsidR="00251F2A" w:rsidRDefault="00251F2A" w:rsidP="001A12C9">
      <w:pPr>
        <w:jc w:val="both"/>
        <w:rPr>
          <w:rFonts w:ascii="Arial" w:hAnsi="Arial"/>
          <w:b/>
        </w:rPr>
      </w:pPr>
    </w:p>
    <w:p w14:paraId="3BB85E6A" w14:textId="27ABC081" w:rsidR="00AD6999" w:rsidRDefault="00B62086" w:rsidP="001A12C9">
      <w:pPr>
        <w:jc w:val="both"/>
        <w:rPr>
          <w:rFonts w:ascii="Arial" w:hAnsi="Arial"/>
          <w:b/>
        </w:rPr>
      </w:pPr>
      <w:r>
        <w:rPr>
          <w:rFonts w:ascii="Arial" w:hAnsi="Arial"/>
          <w:b/>
        </w:rPr>
        <w:t>Table 5.</w:t>
      </w:r>
      <w:r w:rsidRPr="00DC3180">
        <w:rPr>
          <w:rFonts w:ascii="Arial" w:hAnsi="Arial"/>
          <w:b/>
        </w:rPr>
        <w:tab/>
      </w:r>
      <w:r w:rsidR="00E173AA">
        <w:rPr>
          <w:rFonts w:ascii="Arial" w:hAnsi="Arial"/>
          <w:b/>
        </w:rPr>
        <w:t>Nasal airway resistance reduction (secondary endpoint)</w:t>
      </w:r>
    </w:p>
    <w:p w14:paraId="48BE841E" w14:textId="77777777" w:rsidR="00B62086" w:rsidRDefault="00B62086" w:rsidP="001A12C9">
      <w:pPr>
        <w:jc w:val="both"/>
        <w:rPr>
          <w:rFonts w:eastAsia="Calibri" w:cstheme="minorHAnsi"/>
        </w:rPr>
      </w:pPr>
    </w:p>
    <w:tbl>
      <w:tblPr>
        <w:tblStyle w:val="TableGrid"/>
        <w:tblW w:w="8897" w:type="dxa"/>
        <w:tblLayout w:type="fixed"/>
        <w:tblLook w:val="06A0" w:firstRow="1" w:lastRow="0" w:firstColumn="1" w:lastColumn="0" w:noHBand="1" w:noVBand="1"/>
      </w:tblPr>
      <w:tblGrid>
        <w:gridCol w:w="1559"/>
        <w:gridCol w:w="3713"/>
        <w:gridCol w:w="3625"/>
      </w:tblGrid>
      <w:tr w:rsidR="000739E4" w:rsidRPr="00CD3A9D" w14:paraId="6CEA988A" w14:textId="77777777" w:rsidTr="00455763">
        <w:trPr>
          <w:trHeight w:val="563"/>
        </w:trPr>
        <w:tc>
          <w:tcPr>
            <w:tcW w:w="1559" w:type="dxa"/>
            <w:tcBorders>
              <w:top w:val="single" w:sz="6" w:space="0" w:color="8EA9DB"/>
              <w:left w:val="single" w:sz="6" w:space="0" w:color="8EA9DB"/>
              <w:bottom w:val="single" w:sz="6" w:space="0" w:color="8EA9DB"/>
              <w:right w:val="nil"/>
            </w:tcBorders>
            <w:shd w:val="clear" w:color="auto" w:fill="4F81BD" w:themeFill="accent1"/>
            <w:vAlign w:val="bottom"/>
          </w:tcPr>
          <w:p w14:paraId="6F601117" w14:textId="77777777" w:rsidR="000739E4" w:rsidRPr="00CD3A9D" w:rsidRDefault="000739E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First author, year</w:t>
            </w:r>
          </w:p>
        </w:tc>
        <w:tc>
          <w:tcPr>
            <w:tcW w:w="3713" w:type="dxa"/>
            <w:tcBorders>
              <w:top w:val="single" w:sz="6" w:space="0" w:color="8EA9DB"/>
              <w:left w:val="nil"/>
              <w:bottom w:val="single" w:sz="6" w:space="0" w:color="8EA9DB"/>
              <w:right w:val="nil"/>
            </w:tcBorders>
            <w:shd w:val="clear" w:color="auto" w:fill="4F81BD" w:themeFill="accent1"/>
            <w:vAlign w:val="bottom"/>
          </w:tcPr>
          <w:p w14:paraId="537C8B54" w14:textId="77777777" w:rsidR="000739E4" w:rsidRPr="00CD3A9D" w:rsidRDefault="000739E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Outcome intervention: NAR mean + standard deviation </w:t>
            </w:r>
          </w:p>
        </w:tc>
        <w:tc>
          <w:tcPr>
            <w:tcW w:w="3625" w:type="dxa"/>
            <w:tcBorders>
              <w:top w:val="single" w:sz="6" w:space="0" w:color="8EA9DB"/>
              <w:left w:val="nil"/>
              <w:bottom w:val="single" w:sz="6" w:space="0" w:color="8EA9DB"/>
              <w:right w:val="nil"/>
            </w:tcBorders>
            <w:shd w:val="clear" w:color="auto" w:fill="4F81BD" w:themeFill="accent1"/>
            <w:vAlign w:val="bottom"/>
          </w:tcPr>
          <w:p w14:paraId="6BF9E59D" w14:textId="77777777" w:rsidR="000739E4" w:rsidRPr="00CD3A9D" w:rsidRDefault="000739E4"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Outcome placebo: NAR mean + standard deviation </w:t>
            </w:r>
          </w:p>
        </w:tc>
      </w:tr>
      <w:tr w:rsidR="000739E4" w:rsidRPr="00CD3A9D" w14:paraId="54BAB02D" w14:textId="77777777" w:rsidTr="00455763">
        <w:trPr>
          <w:trHeight w:val="950"/>
        </w:trPr>
        <w:tc>
          <w:tcPr>
            <w:tcW w:w="1559" w:type="dxa"/>
            <w:tcBorders>
              <w:top w:val="single" w:sz="6" w:space="0" w:color="8EA9DB"/>
              <w:left w:val="single" w:sz="6" w:space="0" w:color="8EA9DB"/>
              <w:bottom w:val="single" w:sz="6" w:space="0" w:color="8EA9DB"/>
              <w:right w:val="nil"/>
            </w:tcBorders>
            <w:shd w:val="clear" w:color="auto" w:fill="D9E1F2"/>
            <w:vAlign w:val="bottom"/>
          </w:tcPr>
          <w:p w14:paraId="7EEAE489"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Horak, Friedrich, 2009</w:t>
            </w:r>
          </w:p>
        </w:tc>
        <w:tc>
          <w:tcPr>
            <w:tcW w:w="3713" w:type="dxa"/>
            <w:tcBorders>
              <w:top w:val="single" w:sz="6" w:space="0" w:color="8EA9DB"/>
              <w:left w:val="nil"/>
              <w:bottom w:val="single" w:sz="6" w:space="0" w:color="8EA9DB"/>
              <w:right w:val="nil"/>
            </w:tcBorders>
            <w:shd w:val="clear" w:color="auto" w:fill="D9E1F2"/>
            <w:vAlign w:val="bottom"/>
          </w:tcPr>
          <w:p w14:paraId="144E4619"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-30cm/s @ 1hr, 20cm/s @ 2hr, -10cm/s @3hr, 5cm/s @4hr, -20cm/s @ 5hr, -40cm/s @ 6hr (P=0.56)</w:t>
            </w:r>
          </w:p>
        </w:tc>
        <w:tc>
          <w:tcPr>
            <w:tcW w:w="3625" w:type="dxa"/>
            <w:tcBorders>
              <w:top w:val="single" w:sz="6" w:space="0" w:color="8EA9DB"/>
              <w:left w:val="nil"/>
              <w:bottom w:val="single" w:sz="6" w:space="0" w:color="8EA9DB"/>
              <w:right w:val="nil"/>
            </w:tcBorders>
            <w:shd w:val="clear" w:color="auto" w:fill="FFFFFF" w:themeFill="background1"/>
            <w:vAlign w:val="bottom"/>
          </w:tcPr>
          <w:p w14:paraId="19E3D6F8"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-90cm/s @ 1hr, -50cm/s @ 2hr, -35cm/s @ 3hr, -30cm/s @ 4hr, -60cm/s @ 5hr, -55cm/s @ 6hr (P=0.87)</w:t>
            </w:r>
          </w:p>
        </w:tc>
      </w:tr>
      <w:tr w:rsidR="000739E4" w:rsidRPr="00CD3A9D" w14:paraId="6B4C695E" w14:textId="77777777" w:rsidTr="00455763">
        <w:trPr>
          <w:trHeight w:val="468"/>
        </w:trPr>
        <w:tc>
          <w:tcPr>
            <w:tcW w:w="1559" w:type="dxa"/>
            <w:tcBorders>
              <w:top w:val="single" w:sz="6" w:space="0" w:color="8EA9DB"/>
              <w:left w:val="single" w:sz="6" w:space="0" w:color="8EA9DB"/>
              <w:bottom w:val="single" w:sz="6" w:space="0" w:color="8EA9DB"/>
              <w:right w:val="nil"/>
            </w:tcBorders>
            <w:vAlign w:val="bottom"/>
          </w:tcPr>
          <w:p w14:paraId="19057E26"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2015</w:t>
            </w:r>
          </w:p>
        </w:tc>
        <w:tc>
          <w:tcPr>
            <w:tcW w:w="3713" w:type="dxa"/>
            <w:tcBorders>
              <w:top w:val="single" w:sz="6" w:space="0" w:color="8EA9DB"/>
              <w:left w:val="nil"/>
              <w:bottom w:val="single" w:sz="6" w:space="0" w:color="8EA9DB"/>
              <w:right w:val="nil"/>
            </w:tcBorders>
            <w:vAlign w:val="bottom"/>
          </w:tcPr>
          <w:p w14:paraId="02C53C71"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not measured </w:t>
            </w:r>
          </w:p>
        </w:tc>
        <w:tc>
          <w:tcPr>
            <w:tcW w:w="3625" w:type="dxa"/>
            <w:tcBorders>
              <w:top w:val="single" w:sz="6" w:space="0" w:color="8EA9DB"/>
              <w:left w:val="nil"/>
              <w:bottom w:val="single" w:sz="6" w:space="0" w:color="8EA9DB"/>
              <w:right w:val="nil"/>
            </w:tcBorders>
            <w:vAlign w:val="bottom"/>
          </w:tcPr>
          <w:p w14:paraId="63AC7D36"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not measured </w:t>
            </w:r>
          </w:p>
        </w:tc>
      </w:tr>
      <w:tr w:rsidR="000739E4" w:rsidRPr="00CD3A9D" w14:paraId="0EBDB3D9" w14:textId="77777777" w:rsidTr="00455763">
        <w:trPr>
          <w:trHeight w:val="462"/>
        </w:trPr>
        <w:tc>
          <w:tcPr>
            <w:tcW w:w="1559" w:type="dxa"/>
            <w:tcBorders>
              <w:top w:val="single" w:sz="6" w:space="0" w:color="8EA9DB"/>
              <w:left w:val="single" w:sz="6" w:space="0" w:color="8EA9DB"/>
              <w:bottom w:val="single" w:sz="6" w:space="0" w:color="8EA9DB"/>
              <w:right w:val="nil"/>
            </w:tcBorders>
            <w:shd w:val="clear" w:color="auto" w:fill="D9E1F2"/>
            <w:vAlign w:val="bottom"/>
          </w:tcPr>
          <w:p w14:paraId="6D732971"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2016</w:t>
            </w:r>
          </w:p>
        </w:tc>
        <w:tc>
          <w:tcPr>
            <w:tcW w:w="3713" w:type="dxa"/>
            <w:tcBorders>
              <w:top w:val="single" w:sz="6" w:space="0" w:color="8EA9DB"/>
              <w:left w:val="nil"/>
              <w:bottom w:val="single" w:sz="6" w:space="0" w:color="8EA9DB"/>
              <w:right w:val="nil"/>
            </w:tcBorders>
            <w:shd w:val="clear" w:color="auto" w:fill="D9E1F2"/>
            <w:vAlign w:val="bottom"/>
          </w:tcPr>
          <w:p w14:paraId="7609BC46"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c>
          <w:tcPr>
            <w:tcW w:w="3625" w:type="dxa"/>
            <w:tcBorders>
              <w:top w:val="single" w:sz="6" w:space="0" w:color="8EA9DB"/>
              <w:left w:val="nil"/>
              <w:bottom w:val="single" w:sz="6" w:space="0" w:color="8EA9DB"/>
              <w:right w:val="nil"/>
            </w:tcBorders>
            <w:shd w:val="clear" w:color="auto" w:fill="D9E1F2"/>
            <w:vAlign w:val="bottom"/>
          </w:tcPr>
          <w:p w14:paraId="6E88BCBE" w14:textId="77777777" w:rsidR="000739E4" w:rsidRPr="00CD3A9D" w:rsidRDefault="000739E4"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r>
    </w:tbl>
    <w:p w14:paraId="545A6093" w14:textId="77777777" w:rsidR="00455763" w:rsidRDefault="00455763" w:rsidP="001A12C9">
      <w:pPr>
        <w:tabs>
          <w:tab w:val="left" w:pos="1080"/>
        </w:tabs>
        <w:jc w:val="both"/>
        <w:rPr>
          <w:rFonts w:ascii="Arial" w:hAnsi="Arial"/>
          <w:b/>
        </w:rPr>
      </w:pPr>
    </w:p>
    <w:p w14:paraId="0B868233" w14:textId="77777777" w:rsidR="00455763" w:rsidRDefault="00455763" w:rsidP="001A12C9">
      <w:pPr>
        <w:tabs>
          <w:tab w:val="left" w:pos="1080"/>
        </w:tabs>
        <w:jc w:val="both"/>
        <w:rPr>
          <w:rFonts w:ascii="Arial" w:hAnsi="Arial"/>
          <w:b/>
        </w:rPr>
      </w:pPr>
    </w:p>
    <w:p w14:paraId="457E363F" w14:textId="77777777" w:rsidR="00251F2A" w:rsidRDefault="00251F2A" w:rsidP="001A12C9">
      <w:pPr>
        <w:tabs>
          <w:tab w:val="left" w:pos="1080"/>
        </w:tabs>
        <w:jc w:val="both"/>
        <w:rPr>
          <w:rFonts w:ascii="Arial" w:hAnsi="Arial"/>
          <w:b/>
        </w:rPr>
      </w:pPr>
    </w:p>
    <w:p w14:paraId="765E2645" w14:textId="77777777" w:rsidR="00251F2A" w:rsidRDefault="00251F2A" w:rsidP="001A12C9">
      <w:pPr>
        <w:tabs>
          <w:tab w:val="left" w:pos="1080"/>
        </w:tabs>
        <w:jc w:val="both"/>
        <w:rPr>
          <w:rFonts w:ascii="Arial" w:hAnsi="Arial"/>
          <w:b/>
        </w:rPr>
      </w:pPr>
    </w:p>
    <w:p w14:paraId="112FA618" w14:textId="77777777" w:rsidR="00251F2A" w:rsidRDefault="00251F2A" w:rsidP="001A12C9">
      <w:pPr>
        <w:tabs>
          <w:tab w:val="left" w:pos="1080"/>
        </w:tabs>
        <w:jc w:val="both"/>
        <w:rPr>
          <w:rFonts w:ascii="Arial" w:hAnsi="Arial"/>
          <w:b/>
        </w:rPr>
      </w:pPr>
    </w:p>
    <w:p w14:paraId="2C5C0D02" w14:textId="77777777" w:rsidR="00251F2A" w:rsidRDefault="00251F2A" w:rsidP="001A12C9">
      <w:pPr>
        <w:tabs>
          <w:tab w:val="left" w:pos="1080"/>
        </w:tabs>
        <w:jc w:val="both"/>
        <w:rPr>
          <w:rFonts w:ascii="Arial" w:hAnsi="Arial"/>
          <w:b/>
        </w:rPr>
      </w:pPr>
    </w:p>
    <w:p w14:paraId="0EAAEB29" w14:textId="77777777" w:rsidR="00251F2A" w:rsidRDefault="00251F2A" w:rsidP="001A12C9">
      <w:pPr>
        <w:tabs>
          <w:tab w:val="left" w:pos="1080"/>
        </w:tabs>
        <w:jc w:val="both"/>
        <w:rPr>
          <w:rFonts w:ascii="Arial" w:hAnsi="Arial"/>
          <w:b/>
        </w:rPr>
      </w:pPr>
    </w:p>
    <w:p w14:paraId="6590396F" w14:textId="77777777" w:rsidR="00251F2A" w:rsidRDefault="00251F2A" w:rsidP="001A12C9">
      <w:pPr>
        <w:tabs>
          <w:tab w:val="left" w:pos="1080"/>
        </w:tabs>
        <w:jc w:val="both"/>
        <w:rPr>
          <w:rFonts w:ascii="Arial" w:hAnsi="Arial"/>
          <w:b/>
        </w:rPr>
      </w:pPr>
    </w:p>
    <w:p w14:paraId="5F1EACD6" w14:textId="77777777" w:rsidR="00251F2A" w:rsidRDefault="00251F2A" w:rsidP="001A12C9">
      <w:pPr>
        <w:tabs>
          <w:tab w:val="left" w:pos="1080"/>
        </w:tabs>
        <w:jc w:val="both"/>
        <w:rPr>
          <w:rFonts w:ascii="Arial" w:hAnsi="Arial"/>
          <w:b/>
        </w:rPr>
      </w:pPr>
    </w:p>
    <w:p w14:paraId="1C934DB5" w14:textId="77777777" w:rsidR="00251F2A" w:rsidRDefault="00251F2A" w:rsidP="001A12C9">
      <w:pPr>
        <w:tabs>
          <w:tab w:val="left" w:pos="1080"/>
        </w:tabs>
        <w:jc w:val="both"/>
        <w:rPr>
          <w:rFonts w:ascii="Arial" w:hAnsi="Arial"/>
          <w:b/>
        </w:rPr>
      </w:pPr>
    </w:p>
    <w:p w14:paraId="28604DDB" w14:textId="77777777" w:rsidR="00251F2A" w:rsidRDefault="00251F2A" w:rsidP="001A12C9">
      <w:pPr>
        <w:tabs>
          <w:tab w:val="left" w:pos="1080"/>
        </w:tabs>
        <w:jc w:val="both"/>
        <w:rPr>
          <w:rFonts w:ascii="Arial" w:hAnsi="Arial"/>
          <w:b/>
        </w:rPr>
      </w:pPr>
    </w:p>
    <w:p w14:paraId="6FC58B6D" w14:textId="77777777" w:rsidR="00251F2A" w:rsidRDefault="00251F2A" w:rsidP="001A12C9">
      <w:pPr>
        <w:tabs>
          <w:tab w:val="left" w:pos="1080"/>
        </w:tabs>
        <w:jc w:val="both"/>
        <w:rPr>
          <w:rFonts w:ascii="Arial" w:hAnsi="Arial"/>
          <w:b/>
        </w:rPr>
      </w:pPr>
    </w:p>
    <w:p w14:paraId="161EE1F2" w14:textId="77777777" w:rsidR="00251F2A" w:rsidRDefault="00251F2A" w:rsidP="001A12C9">
      <w:pPr>
        <w:tabs>
          <w:tab w:val="left" w:pos="1080"/>
        </w:tabs>
        <w:jc w:val="both"/>
        <w:rPr>
          <w:rFonts w:ascii="Arial" w:hAnsi="Arial"/>
          <w:b/>
        </w:rPr>
      </w:pPr>
    </w:p>
    <w:p w14:paraId="6D78B65A" w14:textId="77777777" w:rsidR="00251F2A" w:rsidRDefault="00251F2A" w:rsidP="001A12C9">
      <w:pPr>
        <w:tabs>
          <w:tab w:val="left" w:pos="1080"/>
        </w:tabs>
        <w:jc w:val="both"/>
        <w:rPr>
          <w:rFonts w:ascii="Arial" w:hAnsi="Arial"/>
          <w:b/>
        </w:rPr>
      </w:pPr>
    </w:p>
    <w:p w14:paraId="3E14D9E5" w14:textId="77777777" w:rsidR="00251F2A" w:rsidRDefault="00251F2A" w:rsidP="001A12C9">
      <w:pPr>
        <w:tabs>
          <w:tab w:val="left" w:pos="1080"/>
        </w:tabs>
        <w:jc w:val="both"/>
        <w:rPr>
          <w:rFonts w:ascii="Arial" w:hAnsi="Arial"/>
          <w:b/>
        </w:rPr>
      </w:pPr>
    </w:p>
    <w:p w14:paraId="425C0386" w14:textId="77777777" w:rsidR="00251F2A" w:rsidRDefault="00251F2A" w:rsidP="001A12C9">
      <w:pPr>
        <w:tabs>
          <w:tab w:val="left" w:pos="1080"/>
        </w:tabs>
        <w:jc w:val="both"/>
        <w:rPr>
          <w:rFonts w:ascii="Arial" w:hAnsi="Arial"/>
          <w:b/>
        </w:rPr>
      </w:pPr>
    </w:p>
    <w:p w14:paraId="5C5B0054" w14:textId="77777777" w:rsidR="00251F2A" w:rsidRDefault="00251F2A" w:rsidP="001A12C9">
      <w:pPr>
        <w:tabs>
          <w:tab w:val="left" w:pos="1080"/>
        </w:tabs>
        <w:jc w:val="both"/>
        <w:rPr>
          <w:rFonts w:ascii="Arial" w:hAnsi="Arial"/>
          <w:b/>
        </w:rPr>
      </w:pPr>
    </w:p>
    <w:p w14:paraId="2E747C40" w14:textId="77777777" w:rsidR="00251F2A" w:rsidRDefault="00251F2A" w:rsidP="001A12C9">
      <w:pPr>
        <w:tabs>
          <w:tab w:val="left" w:pos="1080"/>
        </w:tabs>
        <w:jc w:val="both"/>
        <w:rPr>
          <w:rFonts w:ascii="Arial" w:hAnsi="Arial"/>
          <w:b/>
        </w:rPr>
      </w:pPr>
    </w:p>
    <w:p w14:paraId="17D1B09D" w14:textId="418F8BDB" w:rsidR="00D03151" w:rsidRDefault="00AD6999" w:rsidP="001A12C9">
      <w:pPr>
        <w:tabs>
          <w:tab w:val="left" w:pos="1080"/>
        </w:tabs>
        <w:jc w:val="both"/>
        <w:rPr>
          <w:rFonts w:eastAsia="Calibri" w:cstheme="minorHAnsi"/>
        </w:rPr>
      </w:pPr>
      <w:r>
        <w:rPr>
          <w:rFonts w:ascii="Arial" w:hAnsi="Arial"/>
          <w:b/>
        </w:rPr>
        <w:lastRenderedPageBreak/>
        <w:t>Table 6.</w:t>
      </w:r>
      <w:r w:rsidRPr="00DC3180">
        <w:rPr>
          <w:rFonts w:ascii="Arial" w:hAnsi="Arial"/>
          <w:b/>
        </w:rPr>
        <w:tab/>
      </w:r>
      <w:r>
        <w:rPr>
          <w:rFonts w:ascii="Arial" w:hAnsi="Arial"/>
          <w:b/>
        </w:rPr>
        <w:t>Symptom score baseline; PNIF (secondary endpoint)</w:t>
      </w:r>
    </w:p>
    <w:p w14:paraId="6FC4EEAE" w14:textId="77777777" w:rsidR="00A6199E" w:rsidRDefault="00A6199E" w:rsidP="001A12C9">
      <w:pPr>
        <w:jc w:val="both"/>
        <w:rPr>
          <w:rFonts w:eastAsia="Calibri" w:cstheme="minorHAnsi"/>
        </w:rPr>
      </w:pPr>
    </w:p>
    <w:tbl>
      <w:tblPr>
        <w:tblStyle w:val="TableGrid"/>
        <w:tblW w:w="9392" w:type="dxa"/>
        <w:tblLayout w:type="fixed"/>
        <w:tblLook w:val="06A0" w:firstRow="1" w:lastRow="0" w:firstColumn="1" w:lastColumn="0" w:noHBand="1" w:noVBand="1"/>
      </w:tblPr>
      <w:tblGrid>
        <w:gridCol w:w="1631"/>
        <w:gridCol w:w="1519"/>
        <w:gridCol w:w="3197"/>
        <w:gridCol w:w="3045"/>
      </w:tblGrid>
      <w:tr w:rsidR="00AD6999" w:rsidRPr="00CD3A9D" w14:paraId="7D260D0C" w14:textId="77777777" w:rsidTr="00251F2A">
        <w:trPr>
          <w:trHeight w:val="856"/>
        </w:trPr>
        <w:tc>
          <w:tcPr>
            <w:tcW w:w="1631" w:type="dxa"/>
            <w:tcBorders>
              <w:top w:val="single" w:sz="6" w:space="0" w:color="8EA9DB"/>
              <w:left w:val="single" w:sz="6" w:space="0" w:color="8EA9DB"/>
              <w:bottom w:val="single" w:sz="6" w:space="0" w:color="8EA9DB"/>
              <w:right w:val="nil"/>
            </w:tcBorders>
            <w:shd w:val="clear" w:color="auto" w:fill="4F81BD" w:themeFill="accent1"/>
            <w:vAlign w:val="bottom"/>
          </w:tcPr>
          <w:p w14:paraId="1955BD3D"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First author, year</w:t>
            </w:r>
          </w:p>
        </w:tc>
        <w:tc>
          <w:tcPr>
            <w:tcW w:w="1519" w:type="dxa"/>
            <w:tcBorders>
              <w:top w:val="single" w:sz="6" w:space="0" w:color="8EA9DB"/>
              <w:left w:val="nil"/>
              <w:bottom w:val="single" w:sz="6" w:space="0" w:color="8EA9DB"/>
              <w:right w:val="nil"/>
            </w:tcBorders>
            <w:shd w:val="clear" w:color="auto" w:fill="4F81BD" w:themeFill="accent1"/>
            <w:vAlign w:val="bottom"/>
          </w:tcPr>
          <w:p w14:paraId="09497D0B"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Symptom score baseline</w:t>
            </w:r>
          </w:p>
        </w:tc>
        <w:tc>
          <w:tcPr>
            <w:tcW w:w="3197" w:type="dxa"/>
            <w:tcBorders>
              <w:top w:val="single" w:sz="6" w:space="0" w:color="8EA9DB"/>
              <w:left w:val="nil"/>
              <w:bottom w:val="single" w:sz="6" w:space="0" w:color="8EA9DB"/>
              <w:right w:val="nil"/>
            </w:tcBorders>
            <w:shd w:val="clear" w:color="auto" w:fill="4F81BD" w:themeFill="accent1"/>
            <w:vAlign w:val="bottom"/>
          </w:tcPr>
          <w:p w14:paraId="634EC518"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Mean peak inspiratory nasal flow: PE </w:t>
            </w:r>
          </w:p>
        </w:tc>
        <w:tc>
          <w:tcPr>
            <w:tcW w:w="3045" w:type="dxa"/>
            <w:tcBorders>
              <w:top w:val="single" w:sz="6" w:space="0" w:color="8EA9DB"/>
              <w:left w:val="nil"/>
              <w:bottom w:val="single" w:sz="6" w:space="0" w:color="8EA9DB"/>
              <w:right w:val="nil"/>
            </w:tcBorders>
            <w:shd w:val="clear" w:color="auto" w:fill="4F81BD" w:themeFill="accent1"/>
            <w:vAlign w:val="bottom"/>
          </w:tcPr>
          <w:p w14:paraId="5FEC091A" w14:textId="77777777" w:rsidR="00AD6999" w:rsidRPr="00CD3A9D" w:rsidRDefault="00AD6999"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Mean peak inspiratory nasal flow: placebo </w:t>
            </w:r>
          </w:p>
        </w:tc>
      </w:tr>
      <w:tr w:rsidR="00AD6999" w:rsidRPr="00CD3A9D" w14:paraId="315A6CEB" w14:textId="77777777" w:rsidTr="00251F2A">
        <w:trPr>
          <w:trHeight w:val="1195"/>
        </w:trPr>
        <w:tc>
          <w:tcPr>
            <w:tcW w:w="1631" w:type="dxa"/>
            <w:tcBorders>
              <w:top w:val="single" w:sz="6" w:space="0" w:color="8EA9DB"/>
              <w:left w:val="single" w:sz="6" w:space="0" w:color="8EA9DB"/>
              <w:bottom w:val="single" w:sz="6" w:space="0" w:color="8EA9DB"/>
              <w:right w:val="nil"/>
            </w:tcBorders>
            <w:shd w:val="clear" w:color="auto" w:fill="D9E1F2"/>
            <w:vAlign w:val="bottom"/>
          </w:tcPr>
          <w:p w14:paraId="37CF8710"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Horak, Friedrich, 2009</w:t>
            </w:r>
          </w:p>
        </w:tc>
        <w:tc>
          <w:tcPr>
            <w:tcW w:w="1519" w:type="dxa"/>
            <w:tcBorders>
              <w:top w:val="single" w:sz="6" w:space="0" w:color="8EA9DB"/>
              <w:left w:val="nil"/>
              <w:bottom w:val="single" w:sz="6" w:space="0" w:color="8EA9DB"/>
              <w:right w:val="nil"/>
            </w:tcBorders>
            <w:shd w:val="clear" w:color="auto" w:fill="D9E1F2"/>
            <w:vAlign w:val="bottom"/>
          </w:tcPr>
          <w:p w14:paraId="2F7D3479"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PE 2.20, placebo 2.20</w:t>
            </w:r>
          </w:p>
        </w:tc>
        <w:tc>
          <w:tcPr>
            <w:tcW w:w="3197" w:type="dxa"/>
            <w:tcBorders>
              <w:top w:val="single" w:sz="6" w:space="0" w:color="8EA9DB"/>
              <w:left w:val="nil"/>
              <w:bottom w:val="single" w:sz="6" w:space="0" w:color="8EA9DB"/>
              <w:right w:val="nil"/>
            </w:tcBorders>
            <w:shd w:val="clear" w:color="auto" w:fill="FFFFFF" w:themeFill="background1"/>
            <w:vAlign w:val="bottom"/>
          </w:tcPr>
          <w:p w14:paraId="7152E09E"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-10/m @ 1hr, -2L/m @ 2hr, -10L/m @ 3hr, -15L/m @ 4hr, -15L/m @ 5hr, -17L/m @ 6hr, 'P=0.94</w:t>
            </w:r>
          </w:p>
        </w:tc>
        <w:tc>
          <w:tcPr>
            <w:tcW w:w="3045" w:type="dxa"/>
            <w:tcBorders>
              <w:top w:val="single" w:sz="6" w:space="0" w:color="8EA9DB"/>
              <w:left w:val="nil"/>
              <w:bottom w:val="single" w:sz="6" w:space="0" w:color="8EA9DB"/>
              <w:right w:val="nil"/>
            </w:tcBorders>
            <w:shd w:val="clear" w:color="auto" w:fill="D9E1F2"/>
            <w:vAlign w:val="bottom"/>
          </w:tcPr>
          <w:p w14:paraId="1380055D"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-10L/m @1 </w:t>
            </w:r>
            <w:proofErr w:type="spellStart"/>
            <w:r w:rsidRPr="00CD3A9D">
              <w:rPr>
                <w:rFonts w:cstheme="minorHAnsi"/>
                <w:color w:val="000000" w:themeColor="text1"/>
                <w:sz w:val="20"/>
                <w:szCs w:val="20"/>
              </w:rPr>
              <w:t>hr</w:t>
            </w:r>
            <w:proofErr w:type="spellEnd"/>
            <w:r w:rsidRPr="00CD3A9D">
              <w:rPr>
                <w:rFonts w:cstheme="minorHAnsi"/>
                <w:color w:val="000000" w:themeColor="text1"/>
                <w:sz w:val="20"/>
                <w:szCs w:val="20"/>
              </w:rPr>
              <w:t>, -10L/m @ 2hr, -5L/m @ 3hr, -12L/m @ 4hr, -17L/m @ 5hr, -16L/m @ 6hr (P=0.12)</w:t>
            </w:r>
          </w:p>
        </w:tc>
      </w:tr>
      <w:tr w:rsidR="00AD6999" w:rsidRPr="00CD3A9D" w14:paraId="3B259818" w14:textId="77777777" w:rsidTr="00251F2A">
        <w:trPr>
          <w:trHeight w:val="1197"/>
        </w:trPr>
        <w:tc>
          <w:tcPr>
            <w:tcW w:w="1631" w:type="dxa"/>
            <w:tcBorders>
              <w:top w:val="single" w:sz="6" w:space="0" w:color="8EA9DB"/>
              <w:left w:val="single" w:sz="6" w:space="0" w:color="8EA9DB"/>
              <w:bottom w:val="single" w:sz="6" w:space="0" w:color="8EA9DB"/>
              <w:right w:val="nil"/>
            </w:tcBorders>
            <w:vAlign w:val="bottom"/>
          </w:tcPr>
          <w:p w14:paraId="75114CAF"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2015</w:t>
            </w:r>
          </w:p>
        </w:tc>
        <w:tc>
          <w:tcPr>
            <w:tcW w:w="1519" w:type="dxa"/>
            <w:tcBorders>
              <w:top w:val="single" w:sz="6" w:space="0" w:color="8EA9DB"/>
              <w:left w:val="nil"/>
              <w:bottom w:val="single" w:sz="6" w:space="0" w:color="8EA9DB"/>
              <w:right w:val="nil"/>
            </w:tcBorders>
            <w:vAlign w:val="bottom"/>
          </w:tcPr>
          <w:p w14:paraId="33B7C332"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provided</w:t>
            </w:r>
          </w:p>
        </w:tc>
        <w:tc>
          <w:tcPr>
            <w:tcW w:w="3197" w:type="dxa"/>
            <w:tcBorders>
              <w:top w:val="single" w:sz="6" w:space="0" w:color="8EA9DB"/>
              <w:left w:val="nil"/>
              <w:bottom w:val="single" w:sz="6" w:space="0" w:color="8EA9DB"/>
              <w:right w:val="nil"/>
            </w:tcBorders>
            <w:vAlign w:val="bottom"/>
          </w:tcPr>
          <w:p w14:paraId="2BC8251D"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c>
          <w:tcPr>
            <w:tcW w:w="3045" w:type="dxa"/>
            <w:tcBorders>
              <w:top w:val="single" w:sz="6" w:space="0" w:color="8EA9DB"/>
              <w:left w:val="nil"/>
              <w:bottom w:val="single" w:sz="6" w:space="0" w:color="8EA9DB"/>
              <w:right w:val="nil"/>
            </w:tcBorders>
            <w:vAlign w:val="bottom"/>
          </w:tcPr>
          <w:p w14:paraId="38449C1B"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r>
      <w:tr w:rsidR="00AD6999" w:rsidRPr="00CD3A9D" w14:paraId="2D4DED62" w14:textId="77777777" w:rsidTr="00251F2A">
        <w:trPr>
          <w:trHeight w:val="947"/>
        </w:trPr>
        <w:tc>
          <w:tcPr>
            <w:tcW w:w="1631" w:type="dxa"/>
            <w:tcBorders>
              <w:top w:val="single" w:sz="6" w:space="0" w:color="8EA9DB"/>
              <w:left w:val="single" w:sz="6" w:space="0" w:color="8EA9DB"/>
              <w:bottom w:val="single" w:sz="6" w:space="0" w:color="8EA9DB"/>
              <w:right w:val="nil"/>
            </w:tcBorders>
            <w:shd w:val="clear" w:color="auto" w:fill="D9E1F2"/>
            <w:vAlign w:val="bottom"/>
          </w:tcPr>
          <w:p w14:paraId="2C4893DB"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2016</w:t>
            </w:r>
          </w:p>
        </w:tc>
        <w:tc>
          <w:tcPr>
            <w:tcW w:w="1519" w:type="dxa"/>
            <w:tcBorders>
              <w:top w:val="single" w:sz="6" w:space="0" w:color="8EA9DB"/>
              <w:left w:val="nil"/>
              <w:bottom w:val="single" w:sz="6" w:space="0" w:color="8EA9DB"/>
              <w:right w:val="nil"/>
            </w:tcBorders>
            <w:shd w:val="clear" w:color="auto" w:fill="D9E1F2"/>
            <w:vAlign w:val="bottom"/>
          </w:tcPr>
          <w:p w14:paraId="775D08CE"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PE 2.357, placebo 2.271</w:t>
            </w:r>
          </w:p>
        </w:tc>
        <w:tc>
          <w:tcPr>
            <w:tcW w:w="3197" w:type="dxa"/>
            <w:tcBorders>
              <w:top w:val="single" w:sz="6" w:space="0" w:color="8EA9DB"/>
              <w:left w:val="nil"/>
              <w:bottom w:val="single" w:sz="6" w:space="0" w:color="8EA9DB"/>
              <w:right w:val="nil"/>
            </w:tcBorders>
            <w:shd w:val="clear" w:color="auto" w:fill="D9E1F2"/>
            <w:vAlign w:val="bottom"/>
          </w:tcPr>
          <w:p w14:paraId="4727B548"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c>
          <w:tcPr>
            <w:tcW w:w="3045" w:type="dxa"/>
            <w:tcBorders>
              <w:top w:val="single" w:sz="6" w:space="0" w:color="8EA9DB"/>
              <w:left w:val="nil"/>
              <w:bottom w:val="single" w:sz="6" w:space="0" w:color="8EA9DB"/>
              <w:right w:val="nil"/>
            </w:tcBorders>
            <w:shd w:val="clear" w:color="auto" w:fill="D9E1F2"/>
            <w:vAlign w:val="bottom"/>
          </w:tcPr>
          <w:p w14:paraId="59625B1A" w14:textId="77777777" w:rsidR="00AD6999" w:rsidRPr="00CD3A9D" w:rsidRDefault="00AD6999"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not measured</w:t>
            </w:r>
          </w:p>
        </w:tc>
      </w:tr>
    </w:tbl>
    <w:p w14:paraId="41A13F39" w14:textId="77777777" w:rsidR="00A6199E" w:rsidRDefault="00A6199E" w:rsidP="001A12C9">
      <w:pPr>
        <w:jc w:val="both"/>
        <w:rPr>
          <w:rFonts w:eastAsia="Calibri" w:cstheme="minorHAnsi"/>
        </w:rPr>
      </w:pPr>
    </w:p>
    <w:p w14:paraId="25E202E0" w14:textId="77777777" w:rsidR="00A07CB6" w:rsidRDefault="00A07CB6" w:rsidP="001A12C9">
      <w:pPr>
        <w:tabs>
          <w:tab w:val="left" w:pos="1080"/>
        </w:tabs>
        <w:jc w:val="both"/>
        <w:rPr>
          <w:rFonts w:ascii="Arial" w:hAnsi="Arial"/>
          <w:b/>
        </w:rPr>
      </w:pPr>
    </w:p>
    <w:p w14:paraId="6F402395" w14:textId="5764F16A" w:rsidR="00C21973" w:rsidRDefault="00C21973" w:rsidP="001A12C9">
      <w:pPr>
        <w:tabs>
          <w:tab w:val="left" w:pos="1080"/>
        </w:tabs>
        <w:jc w:val="both"/>
        <w:rPr>
          <w:rFonts w:ascii="Arial" w:hAnsi="Arial"/>
          <w:b/>
        </w:rPr>
      </w:pPr>
      <w:r>
        <w:rPr>
          <w:rFonts w:ascii="Arial" w:hAnsi="Arial"/>
          <w:b/>
        </w:rPr>
        <w:t>Table 7.</w:t>
      </w:r>
      <w:r w:rsidRPr="00DC3180">
        <w:rPr>
          <w:rFonts w:ascii="Arial" w:hAnsi="Arial"/>
          <w:b/>
        </w:rPr>
        <w:tab/>
      </w:r>
      <w:r>
        <w:rPr>
          <w:rFonts w:ascii="Arial" w:hAnsi="Arial"/>
          <w:b/>
        </w:rPr>
        <w:t>Additional study information</w:t>
      </w:r>
    </w:p>
    <w:p w14:paraId="44572D19" w14:textId="77777777" w:rsidR="00C21973" w:rsidRDefault="00C21973" w:rsidP="001A12C9">
      <w:pPr>
        <w:tabs>
          <w:tab w:val="left" w:pos="1080"/>
        </w:tabs>
        <w:jc w:val="both"/>
        <w:rPr>
          <w:rFonts w:eastAsia="Calibri" w:cstheme="minorHAnsi"/>
        </w:rPr>
      </w:pPr>
    </w:p>
    <w:tbl>
      <w:tblPr>
        <w:tblStyle w:val="TableGrid"/>
        <w:tblpPr w:leftFromText="180" w:rightFromText="180" w:vertAnchor="text" w:horzAnchor="margin" w:tblpY="4"/>
        <w:tblW w:w="9423" w:type="dxa"/>
        <w:tblLayout w:type="fixed"/>
        <w:tblLook w:val="06A0" w:firstRow="1" w:lastRow="0" w:firstColumn="1" w:lastColumn="0" w:noHBand="1" w:noVBand="1"/>
      </w:tblPr>
      <w:tblGrid>
        <w:gridCol w:w="847"/>
        <w:gridCol w:w="153"/>
        <w:gridCol w:w="798"/>
        <w:gridCol w:w="88"/>
        <w:gridCol w:w="847"/>
        <w:gridCol w:w="904"/>
        <w:gridCol w:w="1204"/>
        <w:gridCol w:w="1102"/>
        <w:gridCol w:w="1282"/>
        <w:gridCol w:w="2198"/>
      </w:tblGrid>
      <w:tr w:rsidR="003E2C37" w:rsidRPr="00CD3A9D" w14:paraId="13D993AB" w14:textId="77777777" w:rsidTr="00251F2A">
        <w:trPr>
          <w:trHeight w:val="1170"/>
        </w:trPr>
        <w:tc>
          <w:tcPr>
            <w:tcW w:w="1000" w:type="dxa"/>
            <w:gridSpan w:val="2"/>
            <w:tcBorders>
              <w:top w:val="single" w:sz="6" w:space="0" w:color="8EA9DB"/>
              <w:left w:val="single" w:sz="6" w:space="0" w:color="8EA9DB"/>
              <w:bottom w:val="single" w:sz="6" w:space="0" w:color="8EA9DB"/>
              <w:right w:val="nil"/>
            </w:tcBorders>
            <w:shd w:val="clear" w:color="auto" w:fill="4F81BD" w:themeFill="accent1"/>
            <w:vAlign w:val="bottom"/>
          </w:tcPr>
          <w:p w14:paraId="79146A00" w14:textId="77777777" w:rsidR="00C21973" w:rsidRPr="00CD3A9D" w:rsidRDefault="00C21973"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First author, year</w:t>
            </w:r>
          </w:p>
        </w:tc>
        <w:tc>
          <w:tcPr>
            <w:tcW w:w="886" w:type="dxa"/>
            <w:gridSpan w:val="2"/>
            <w:tcBorders>
              <w:top w:val="single" w:sz="6" w:space="0" w:color="8EA9DB"/>
              <w:left w:val="nil"/>
              <w:bottom w:val="single" w:sz="6" w:space="0" w:color="8EA9DB"/>
              <w:right w:val="nil"/>
            </w:tcBorders>
            <w:shd w:val="clear" w:color="auto" w:fill="4F81BD" w:themeFill="accent1"/>
            <w:vAlign w:val="bottom"/>
          </w:tcPr>
          <w:p w14:paraId="1F336A27" w14:textId="77777777" w:rsidR="00C21973" w:rsidRPr="00CD3A9D" w:rsidRDefault="00C21973"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Duration of treatment </w:t>
            </w:r>
          </w:p>
        </w:tc>
        <w:tc>
          <w:tcPr>
            <w:tcW w:w="847" w:type="dxa"/>
            <w:tcBorders>
              <w:top w:val="single" w:sz="6" w:space="0" w:color="8EA9DB"/>
              <w:left w:val="nil"/>
              <w:bottom w:val="single" w:sz="6" w:space="0" w:color="8EA9DB"/>
              <w:right w:val="nil"/>
            </w:tcBorders>
            <w:shd w:val="clear" w:color="auto" w:fill="4F81BD" w:themeFill="accent1"/>
            <w:vAlign w:val="bottom"/>
          </w:tcPr>
          <w:p w14:paraId="127C203B" w14:textId="77777777" w:rsidR="00C21973" w:rsidRPr="00CD3A9D" w:rsidRDefault="00C21973"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 xml:space="preserve">Follow-up period </w:t>
            </w:r>
          </w:p>
        </w:tc>
        <w:tc>
          <w:tcPr>
            <w:tcW w:w="904" w:type="dxa"/>
            <w:tcBorders>
              <w:top w:val="single" w:sz="6" w:space="0" w:color="8EA9DB"/>
              <w:left w:val="nil"/>
              <w:bottom w:val="single" w:sz="6" w:space="0" w:color="8EA9DB"/>
              <w:right w:val="nil"/>
            </w:tcBorders>
            <w:shd w:val="clear" w:color="auto" w:fill="4F81BD" w:themeFill="accent1"/>
            <w:vAlign w:val="bottom"/>
          </w:tcPr>
          <w:p w14:paraId="3EED248A" w14:textId="77777777" w:rsidR="00C21973" w:rsidRPr="00CD3A9D" w:rsidRDefault="00C21973"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Adverse events PE and %</w:t>
            </w:r>
          </w:p>
        </w:tc>
        <w:tc>
          <w:tcPr>
            <w:tcW w:w="1204" w:type="dxa"/>
            <w:tcBorders>
              <w:top w:val="single" w:sz="6" w:space="0" w:color="8EA9DB"/>
              <w:left w:val="nil"/>
              <w:bottom w:val="single" w:sz="6" w:space="0" w:color="8EA9DB"/>
              <w:right w:val="nil"/>
            </w:tcBorders>
            <w:shd w:val="clear" w:color="auto" w:fill="4F81BD" w:themeFill="accent1"/>
            <w:vAlign w:val="bottom"/>
          </w:tcPr>
          <w:p w14:paraId="2A9FA950" w14:textId="77777777" w:rsidR="00C21973" w:rsidRPr="00CD3A9D" w:rsidRDefault="00C21973"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Adverse effects placebo and %</w:t>
            </w:r>
          </w:p>
        </w:tc>
        <w:tc>
          <w:tcPr>
            <w:tcW w:w="1102" w:type="dxa"/>
            <w:tcBorders>
              <w:top w:val="single" w:sz="6" w:space="0" w:color="8EA9DB"/>
              <w:left w:val="nil"/>
              <w:bottom w:val="single" w:sz="6" w:space="0" w:color="8EA9DB"/>
              <w:right w:val="nil"/>
            </w:tcBorders>
            <w:shd w:val="clear" w:color="auto" w:fill="4F81BD" w:themeFill="accent1"/>
            <w:vAlign w:val="bottom"/>
          </w:tcPr>
          <w:p w14:paraId="4A2F1A1C" w14:textId="77777777" w:rsidR="00C21973" w:rsidRPr="00CD3A9D" w:rsidRDefault="00C21973" w:rsidP="001A12C9">
            <w:pPr>
              <w:spacing w:line="259" w:lineRule="auto"/>
              <w:jc w:val="both"/>
              <w:rPr>
                <w:rFonts w:cstheme="minorHAnsi"/>
                <w:color w:val="FFFFFF" w:themeColor="background1"/>
                <w:sz w:val="20"/>
                <w:szCs w:val="20"/>
              </w:rPr>
            </w:pPr>
            <w:r w:rsidRPr="00CD3A9D">
              <w:rPr>
                <w:rFonts w:cstheme="minorHAnsi"/>
                <w:b/>
                <w:bCs/>
                <w:color w:val="FFFFFF" w:themeColor="background1"/>
                <w:sz w:val="20"/>
                <w:szCs w:val="20"/>
              </w:rPr>
              <w:t>Adverse effects total and %</w:t>
            </w:r>
          </w:p>
        </w:tc>
        <w:tc>
          <w:tcPr>
            <w:tcW w:w="1282" w:type="dxa"/>
            <w:tcBorders>
              <w:top w:val="single" w:sz="6" w:space="0" w:color="8EA9DB"/>
              <w:left w:val="nil"/>
              <w:bottom w:val="single" w:sz="6" w:space="0" w:color="8EA9DB"/>
              <w:right w:val="nil"/>
            </w:tcBorders>
            <w:shd w:val="clear" w:color="auto" w:fill="4F81BD" w:themeFill="accent1"/>
            <w:vAlign w:val="bottom"/>
          </w:tcPr>
          <w:p w14:paraId="0C0978EB" w14:textId="77777777" w:rsidR="00C21973" w:rsidRPr="00CD3A9D" w:rsidRDefault="00C21973" w:rsidP="001A12C9">
            <w:pPr>
              <w:spacing w:line="259" w:lineRule="auto"/>
              <w:jc w:val="both"/>
              <w:rPr>
                <w:color w:val="FFFFFF" w:themeColor="background1"/>
                <w:sz w:val="20"/>
                <w:szCs w:val="20"/>
              </w:rPr>
            </w:pPr>
            <w:r w:rsidRPr="00CD3A9D">
              <w:rPr>
                <w:b/>
                <w:bCs/>
                <w:color w:val="FFFFFF" w:themeColor="background1"/>
                <w:sz w:val="20"/>
                <w:szCs w:val="20"/>
              </w:rPr>
              <w:t>Dropout</w:t>
            </w:r>
            <w:r w:rsidRPr="00CD3A9D">
              <w:rPr>
                <w:b/>
                <w:color w:val="FFFFFF" w:themeColor="background1"/>
                <w:sz w:val="20"/>
                <w:szCs w:val="20"/>
              </w:rPr>
              <w:t xml:space="preserve"> rates (number and %)</w:t>
            </w:r>
          </w:p>
        </w:tc>
        <w:tc>
          <w:tcPr>
            <w:tcW w:w="2198" w:type="dxa"/>
            <w:tcBorders>
              <w:top w:val="single" w:sz="6" w:space="0" w:color="8EA9DB"/>
              <w:left w:val="nil"/>
              <w:bottom w:val="single" w:sz="6" w:space="0" w:color="8EA9DB"/>
              <w:right w:val="nil"/>
            </w:tcBorders>
            <w:shd w:val="clear" w:color="auto" w:fill="4F81BD" w:themeFill="accent1"/>
            <w:vAlign w:val="bottom"/>
          </w:tcPr>
          <w:p w14:paraId="6270938E" w14:textId="77777777" w:rsidR="00C21973" w:rsidRPr="00CD3A9D" w:rsidRDefault="00C21973" w:rsidP="001A12C9">
            <w:pPr>
              <w:spacing w:line="259" w:lineRule="auto"/>
              <w:jc w:val="both"/>
              <w:rPr>
                <w:color w:val="FFFFFF" w:themeColor="background1"/>
                <w:sz w:val="20"/>
                <w:szCs w:val="20"/>
              </w:rPr>
            </w:pPr>
            <w:r w:rsidRPr="00CD3A9D">
              <w:rPr>
                <w:b/>
                <w:color w:val="FFFFFF" w:themeColor="background1"/>
                <w:sz w:val="20"/>
                <w:szCs w:val="20"/>
              </w:rPr>
              <w:t xml:space="preserve">Medication </w:t>
            </w:r>
            <w:r w:rsidRPr="00CD3A9D">
              <w:rPr>
                <w:b/>
                <w:bCs/>
                <w:color w:val="FFFFFF" w:themeColor="background1"/>
                <w:sz w:val="20"/>
                <w:szCs w:val="20"/>
              </w:rPr>
              <w:t>adherence</w:t>
            </w:r>
            <w:r w:rsidRPr="00CD3A9D">
              <w:rPr>
                <w:b/>
                <w:color w:val="FFFFFF" w:themeColor="background1"/>
                <w:sz w:val="20"/>
                <w:szCs w:val="20"/>
              </w:rPr>
              <w:t xml:space="preserve"> </w:t>
            </w:r>
          </w:p>
        </w:tc>
      </w:tr>
      <w:tr w:rsidR="003E2C37" w:rsidRPr="00CD3A9D" w14:paraId="7E8F7935" w14:textId="77777777" w:rsidTr="00251F2A">
        <w:trPr>
          <w:trHeight w:val="1170"/>
        </w:trPr>
        <w:tc>
          <w:tcPr>
            <w:tcW w:w="847" w:type="dxa"/>
            <w:tcBorders>
              <w:top w:val="single" w:sz="6" w:space="0" w:color="8EA9DB"/>
              <w:left w:val="single" w:sz="6" w:space="0" w:color="8EA9DB"/>
              <w:bottom w:val="single" w:sz="6" w:space="0" w:color="8EA9DB"/>
              <w:right w:val="nil"/>
            </w:tcBorders>
            <w:shd w:val="clear" w:color="auto" w:fill="D9E1F2"/>
            <w:vAlign w:val="bottom"/>
          </w:tcPr>
          <w:p w14:paraId="1D02BBE0"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Horak, Friedrich, 2009</w:t>
            </w:r>
          </w:p>
        </w:tc>
        <w:tc>
          <w:tcPr>
            <w:tcW w:w="951" w:type="dxa"/>
            <w:gridSpan w:val="2"/>
            <w:tcBorders>
              <w:top w:val="single" w:sz="6" w:space="0" w:color="8EA9DB"/>
              <w:left w:val="nil"/>
              <w:bottom w:val="single" w:sz="6" w:space="0" w:color="8EA9DB"/>
              <w:right w:val="nil"/>
            </w:tcBorders>
            <w:shd w:val="clear" w:color="auto" w:fill="D9E1F2"/>
            <w:vAlign w:val="bottom"/>
          </w:tcPr>
          <w:p w14:paraId="0CEE2F0F"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6 hours </w:t>
            </w:r>
          </w:p>
        </w:tc>
        <w:tc>
          <w:tcPr>
            <w:tcW w:w="935" w:type="dxa"/>
            <w:gridSpan w:val="2"/>
            <w:tcBorders>
              <w:top w:val="single" w:sz="6" w:space="0" w:color="8EA9DB"/>
              <w:left w:val="nil"/>
              <w:bottom w:val="single" w:sz="6" w:space="0" w:color="8EA9DB"/>
              <w:right w:val="nil"/>
            </w:tcBorders>
            <w:shd w:val="clear" w:color="auto" w:fill="D9E1F2"/>
            <w:vAlign w:val="bottom"/>
          </w:tcPr>
          <w:p w14:paraId="28900C25"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904" w:type="dxa"/>
            <w:tcBorders>
              <w:top w:val="single" w:sz="6" w:space="0" w:color="8EA9DB"/>
              <w:left w:val="nil"/>
              <w:bottom w:val="single" w:sz="6" w:space="0" w:color="8EA9DB"/>
              <w:right w:val="nil"/>
            </w:tcBorders>
            <w:shd w:val="clear" w:color="auto" w:fill="D9E1F2"/>
            <w:vAlign w:val="bottom"/>
          </w:tcPr>
          <w:p w14:paraId="392EBC09"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1204" w:type="dxa"/>
            <w:tcBorders>
              <w:top w:val="single" w:sz="6" w:space="0" w:color="8EA9DB"/>
              <w:left w:val="nil"/>
              <w:bottom w:val="single" w:sz="6" w:space="0" w:color="8EA9DB"/>
              <w:right w:val="nil"/>
            </w:tcBorders>
            <w:shd w:val="clear" w:color="auto" w:fill="D9E1F2"/>
            <w:vAlign w:val="bottom"/>
          </w:tcPr>
          <w:p w14:paraId="50F081E1"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1102" w:type="dxa"/>
            <w:tcBorders>
              <w:top w:val="single" w:sz="6" w:space="0" w:color="8EA9DB"/>
              <w:left w:val="nil"/>
              <w:bottom w:val="single" w:sz="6" w:space="0" w:color="8EA9DB"/>
              <w:right w:val="nil"/>
            </w:tcBorders>
            <w:shd w:val="clear" w:color="auto" w:fill="D9E1F2"/>
            <w:vAlign w:val="bottom"/>
          </w:tcPr>
          <w:p w14:paraId="35B3820F"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0</w:t>
            </w:r>
          </w:p>
        </w:tc>
        <w:tc>
          <w:tcPr>
            <w:tcW w:w="1282" w:type="dxa"/>
            <w:tcBorders>
              <w:top w:val="single" w:sz="6" w:space="0" w:color="8EA9DB"/>
              <w:left w:val="nil"/>
              <w:bottom w:val="single" w:sz="6" w:space="0" w:color="8EA9DB"/>
              <w:right w:val="nil"/>
            </w:tcBorders>
            <w:shd w:val="clear" w:color="auto" w:fill="D9E1F2"/>
            <w:vAlign w:val="bottom"/>
          </w:tcPr>
          <w:p w14:paraId="429153D0"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2.63%</w:t>
            </w:r>
          </w:p>
        </w:tc>
        <w:tc>
          <w:tcPr>
            <w:tcW w:w="2198" w:type="dxa"/>
            <w:tcBorders>
              <w:top w:val="single" w:sz="6" w:space="0" w:color="8EA9DB"/>
              <w:left w:val="nil"/>
              <w:bottom w:val="single" w:sz="6" w:space="0" w:color="8EA9DB"/>
              <w:right w:val="nil"/>
            </w:tcBorders>
            <w:shd w:val="clear" w:color="auto" w:fill="D9E1F2"/>
            <w:vAlign w:val="bottom"/>
          </w:tcPr>
          <w:p w14:paraId="5C492EA6" w14:textId="77777777" w:rsidR="00C21973" w:rsidRPr="00CD3A9D" w:rsidRDefault="00C21973" w:rsidP="001A12C9">
            <w:pPr>
              <w:spacing w:line="259" w:lineRule="auto"/>
              <w:jc w:val="both"/>
              <w:rPr>
                <w:color w:val="000000" w:themeColor="text1"/>
                <w:sz w:val="20"/>
                <w:szCs w:val="20"/>
              </w:rPr>
            </w:pPr>
            <w:r w:rsidRPr="00CD3A9D">
              <w:rPr>
                <w:color w:val="000000" w:themeColor="text1"/>
                <w:sz w:val="20"/>
                <w:szCs w:val="20"/>
              </w:rPr>
              <w:t xml:space="preserve"> 100%</w:t>
            </w:r>
          </w:p>
        </w:tc>
      </w:tr>
      <w:tr w:rsidR="003E2C37" w:rsidRPr="00CD3A9D" w14:paraId="0D086132" w14:textId="77777777" w:rsidTr="00251F2A">
        <w:trPr>
          <w:trHeight w:val="1170"/>
        </w:trPr>
        <w:tc>
          <w:tcPr>
            <w:tcW w:w="847" w:type="dxa"/>
            <w:tcBorders>
              <w:top w:val="single" w:sz="6" w:space="0" w:color="8EA9DB"/>
              <w:left w:val="single" w:sz="6" w:space="0" w:color="8EA9DB"/>
              <w:bottom w:val="single" w:sz="6" w:space="0" w:color="8EA9DB"/>
              <w:right w:val="nil"/>
            </w:tcBorders>
            <w:vAlign w:val="bottom"/>
          </w:tcPr>
          <w:p w14:paraId="6129DD77"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2015</w:t>
            </w:r>
          </w:p>
        </w:tc>
        <w:tc>
          <w:tcPr>
            <w:tcW w:w="951" w:type="dxa"/>
            <w:gridSpan w:val="2"/>
            <w:tcBorders>
              <w:top w:val="single" w:sz="6" w:space="0" w:color="8EA9DB"/>
              <w:left w:val="nil"/>
              <w:bottom w:val="single" w:sz="6" w:space="0" w:color="8EA9DB"/>
              <w:right w:val="nil"/>
            </w:tcBorders>
            <w:vAlign w:val="bottom"/>
          </w:tcPr>
          <w:p w14:paraId="1E21F7C6"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7 days </w:t>
            </w:r>
          </w:p>
        </w:tc>
        <w:tc>
          <w:tcPr>
            <w:tcW w:w="935" w:type="dxa"/>
            <w:gridSpan w:val="2"/>
            <w:tcBorders>
              <w:top w:val="single" w:sz="6" w:space="0" w:color="8EA9DB"/>
              <w:left w:val="nil"/>
              <w:bottom w:val="single" w:sz="6" w:space="0" w:color="8EA9DB"/>
              <w:right w:val="nil"/>
            </w:tcBorders>
            <w:vAlign w:val="bottom"/>
          </w:tcPr>
          <w:p w14:paraId="182B1CBB"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3-4 weeks </w:t>
            </w:r>
          </w:p>
        </w:tc>
        <w:tc>
          <w:tcPr>
            <w:tcW w:w="904" w:type="dxa"/>
            <w:tcBorders>
              <w:top w:val="single" w:sz="6" w:space="0" w:color="8EA9DB"/>
              <w:left w:val="nil"/>
              <w:bottom w:val="single" w:sz="6" w:space="0" w:color="8EA9DB"/>
              <w:right w:val="nil"/>
            </w:tcBorders>
            <w:vAlign w:val="bottom"/>
          </w:tcPr>
          <w:p w14:paraId="48F9F572"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94 (21.56%)</w:t>
            </w:r>
          </w:p>
        </w:tc>
        <w:tc>
          <w:tcPr>
            <w:tcW w:w="1204" w:type="dxa"/>
            <w:tcBorders>
              <w:top w:val="single" w:sz="6" w:space="0" w:color="8EA9DB"/>
              <w:left w:val="nil"/>
              <w:bottom w:val="single" w:sz="6" w:space="0" w:color="8EA9DB"/>
              <w:right w:val="nil"/>
            </w:tcBorders>
            <w:vAlign w:val="bottom"/>
          </w:tcPr>
          <w:p w14:paraId="3849E324"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5 (4.85%)</w:t>
            </w:r>
          </w:p>
        </w:tc>
        <w:tc>
          <w:tcPr>
            <w:tcW w:w="1102" w:type="dxa"/>
            <w:tcBorders>
              <w:top w:val="single" w:sz="6" w:space="0" w:color="8EA9DB"/>
              <w:left w:val="nil"/>
              <w:bottom w:val="single" w:sz="6" w:space="0" w:color="8EA9DB"/>
              <w:right w:val="nil"/>
            </w:tcBorders>
            <w:vAlign w:val="bottom"/>
          </w:tcPr>
          <w:p w14:paraId="059BB5EC"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99 (18.4%)</w:t>
            </w:r>
          </w:p>
        </w:tc>
        <w:tc>
          <w:tcPr>
            <w:tcW w:w="1282" w:type="dxa"/>
            <w:tcBorders>
              <w:top w:val="single" w:sz="6" w:space="0" w:color="8EA9DB"/>
              <w:left w:val="nil"/>
              <w:bottom w:val="single" w:sz="6" w:space="0" w:color="8EA9DB"/>
              <w:right w:val="nil"/>
            </w:tcBorders>
            <w:vAlign w:val="bottom"/>
          </w:tcPr>
          <w:p w14:paraId="419ECA0B"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5.90%</w:t>
            </w:r>
          </w:p>
        </w:tc>
        <w:tc>
          <w:tcPr>
            <w:tcW w:w="2198" w:type="dxa"/>
            <w:tcBorders>
              <w:top w:val="single" w:sz="6" w:space="0" w:color="8EA9DB"/>
              <w:left w:val="nil"/>
              <w:bottom w:val="single" w:sz="6" w:space="0" w:color="8EA9DB"/>
              <w:right w:val="nil"/>
            </w:tcBorders>
            <w:vAlign w:val="bottom"/>
          </w:tcPr>
          <w:p w14:paraId="03B9E164"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10mg 79.9 ± 18.0, 20mg 80.5 ± 15.1, 20mg 78.9 ± 19.1, 30mg 77.3 ± 19.9, and 40mg ± </w:t>
            </w:r>
            <w:proofErr w:type="gramStart"/>
            <w:r w:rsidRPr="00CD3A9D">
              <w:rPr>
                <w:rFonts w:cstheme="minorHAnsi"/>
                <w:color w:val="000000" w:themeColor="text1"/>
                <w:sz w:val="20"/>
                <w:szCs w:val="20"/>
              </w:rPr>
              <w:t>83.7  15</w:t>
            </w:r>
            <w:proofErr w:type="gramEnd"/>
            <w:r w:rsidRPr="00CD3A9D">
              <w:rPr>
                <w:rFonts w:cstheme="minorHAnsi"/>
                <w:color w:val="000000" w:themeColor="text1"/>
                <w:sz w:val="20"/>
                <w:szCs w:val="20"/>
              </w:rPr>
              <w:t>.3</w:t>
            </w:r>
          </w:p>
        </w:tc>
      </w:tr>
      <w:tr w:rsidR="003E2C37" w:rsidRPr="00CD3A9D" w14:paraId="6F9F25E5" w14:textId="77777777" w:rsidTr="00251F2A">
        <w:trPr>
          <w:trHeight w:val="1170"/>
        </w:trPr>
        <w:tc>
          <w:tcPr>
            <w:tcW w:w="847" w:type="dxa"/>
            <w:tcBorders>
              <w:top w:val="single" w:sz="6" w:space="0" w:color="8EA9DB"/>
              <w:left w:val="single" w:sz="6" w:space="0" w:color="8EA9DB"/>
              <w:bottom w:val="single" w:sz="6" w:space="0" w:color="8EA9DB"/>
              <w:right w:val="nil"/>
            </w:tcBorders>
            <w:shd w:val="clear" w:color="auto" w:fill="D9E1F2"/>
            <w:vAlign w:val="bottom"/>
          </w:tcPr>
          <w:p w14:paraId="1585608E"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Meltzer, Eli, 2016</w:t>
            </w:r>
          </w:p>
        </w:tc>
        <w:tc>
          <w:tcPr>
            <w:tcW w:w="951" w:type="dxa"/>
            <w:gridSpan w:val="2"/>
            <w:tcBorders>
              <w:top w:val="single" w:sz="6" w:space="0" w:color="8EA9DB"/>
              <w:left w:val="nil"/>
              <w:bottom w:val="single" w:sz="6" w:space="0" w:color="8EA9DB"/>
              <w:right w:val="nil"/>
            </w:tcBorders>
            <w:shd w:val="clear" w:color="auto" w:fill="D9E1F2"/>
            <w:vAlign w:val="bottom"/>
          </w:tcPr>
          <w:p w14:paraId="38D5F390"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3.8 days </w:t>
            </w:r>
          </w:p>
        </w:tc>
        <w:tc>
          <w:tcPr>
            <w:tcW w:w="935" w:type="dxa"/>
            <w:gridSpan w:val="2"/>
            <w:tcBorders>
              <w:top w:val="single" w:sz="6" w:space="0" w:color="8EA9DB"/>
              <w:left w:val="nil"/>
              <w:bottom w:val="single" w:sz="6" w:space="0" w:color="8EA9DB"/>
              <w:right w:val="nil"/>
            </w:tcBorders>
            <w:shd w:val="clear" w:color="auto" w:fill="D9E1F2"/>
            <w:vAlign w:val="bottom"/>
          </w:tcPr>
          <w:p w14:paraId="02EDBC33"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 xml:space="preserve">3-4 weeks </w:t>
            </w:r>
          </w:p>
        </w:tc>
        <w:tc>
          <w:tcPr>
            <w:tcW w:w="904" w:type="dxa"/>
            <w:tcBorders>
              <w:top w:val="single" w:sz="6" w:space="0" w:color="8EA9DB"/>
              <w:left w:val="nil"/>
              <w:bottom w:val="single" w:sz="6" w:space="0" w:color="8EA9DB"/>
              <w:right w:val="nil"/>
            </w:tcBorders>
            <w:shd w:val="clear" w:color="auto" w:fill="D9E1F2"/>
            <w:vAlign w:val="bottom"/>
          </w:tcPr>
          <w:p w14:paraId="75599EAE"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44 (15.3%)</w:t>
            </w:r>
          </w:p>
        </w:tc>
        <w:tc>
          <w:tcPr>
            <w:tcW w:w="1204" w:type="dxa"/>
            <w:tcBorders>
              <w:top w:val="single" w:sz="6" w:space="0" w:color="8EA9DB"/>
              <w:left w:val="nil"/>
              <w:bottom w:val="single" w:sz="6" w:space="0" w:color="8EA9DB"/>
              <w:right w:val="nil"/>
            </w:tcBorders>
            <w:shd w:val="clear" w:color="auto" w:fill="D9E1F2"/>
            <w:vAlign w:val="bottom"/>
          </w:tcPr>
          <w:p w14:paraId="0A297539"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45 (15.7%)</w:t>
            </w:r>
          </w:p>
        </w:tc>
        <w:tc>
          <w:tcPr>
            <w:tcW w:w="1102" w:type="dxa"/>
            <w:tcBorders>
              <w:top w:val="single" w:sz="6" w:space="0" w:color="8EA9DB"/>
              <w:left w:val="nil"/>
              <w:bottom w:val="single" w:sz="6" w:space="0" w:color="8EA9DB"/>
              <w:right w:val="nil"/>
            </w:tcBorders>
            <w:shd w:val="clear" w:color="auto" w:fill="D9E1F2"/>
            <w:vAlign w:val="bottom"/>
          </w:tcPr>
          <w:p w14:paraId="7382C76C"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89 (15.5%)</w:t>
            </w:r>
          </w:p>
        </w:tc>
        <w:tc>
          <w:tcPr>
            <w:tcW w:w="1282" w:type="dxa"/>
            <w:tcBorders>
              <w:top w:val="single" w:sz="6" w:space="0" w:color="8EA9DB"/>
              <w:left w:val="nil"/>
              <w:bottom w:val="single" w:sz="6" w:space="0" w:color="8EA9DB"/>
              <w:right w:val="nil"/>
            </w:tcBorders>
            <w:shd w:val="clear" w:color="auto" w:fill="D9E1F2"/>
            <w:vAlign w:val="bottom"/>
          </w:tcPr>
          <w:p w14:paraId="7B297184"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1 (.0.03%)</w:t>
            </w:r>
          </w:p>
        </w:tc>
        <w:tc>
          <w:tcPr>
            <w:tcW w:w="2198" w:type="dxa"/>
            <w:tcBorders>
              <w:top w:val="single" w:sz="6" w:space="0" w:color="8EA9DB"/>
              <w:left w:val="nil"/>
              <w:bottom w:val="single" w:sz="6" w:space="0" w:color="8EA9DB"/>
              <w:right w:val="nil"/>
            </w:tcBorders>
            <w:shd w:val="clear" w:color="auto" w:fill="D9E1F2"/>
            <w:vAlign w:val="bottom"/>
          </w:tcPr>
          <w:p w14:paraId="7FF4DBBF" w14:textId="77777777" w:rsidR="00C21973" w:rsidRPr="00CD3A9D" w:rsidRDefault="00C21973" w:rsidP="001A12C9">
            <w:pPr>
              <w:spacing w:line="259" w:lineRule="auto"/>
              <w:jc w:val="both"/>
              <w:rPr>
                <w:rFonts w:cstheme="minorHAnsi"/>
                <w:color w:val="000000" w:themeColor="text1"/>
                <w:sz w:val="20"/>
                <w:szCs w:val="20"/>
              </w:rPr>
            </w:pPr>
            <w:r w:rsidRPr="00CD3A9D">
              <w:rPr>
                <w:rFonts w:cstheme="minorHAnsi"/>
                <w:color w:val="000000" w:themeColor="text1"/>
                <w:sz w:val="20"/>
                <w:szCs w:val="20"/>
              </w:rPr>
              <w:t>99.97%</w:t>
            </w:r>
          </w:p>
        </w:tc>
      </w:tr>
    </w:tbl>
    <w:p w14:paraId="530E11F8" w14:textId="77777777" w:rsidR="00AD6999" w:rsidRDefault="00AD6999" w:rsidP="001A12C9">
      <w:pPr>
        <w:tabs>
          <w:tab w:val="left" w:pos="1080"/>
        </w:tabs>
        <w:jc w:val="both"/>
        <w:rPr>
          <w:rFonts w:ascii="Arial" w:hAnsi="Arial"/>
          <w:b/>
        </w:rPr>
      </w:pPr>
    </w:p>
    <w:p w14:paraId="0E82CA95" w14:textId="77777777" w:rsidR="00B62086" w:rsidRDefault="00B62086" w:rsidP="001A12C9">
      <w:pPr>
        <w:tabs>
          <w:tab w:val="left" w:pos="1080"/>
        </w:tabs>
        <w:jc w:val="both"/>
        <w:rPr>
          <w:rFonts w:ascii="Arial" w:hAnsi="Arial"/>
          <w:b/>
        </w:rPr>
      </w:pPr>
    </w:p>
    <w:p w14:paraId="60A8843E" w14:textId="77777777" w:rsidR="00455763" w:rsidRDefault="00455763" w:rsidP="001A12C9">
      <w:pPr>
        <w:tabs>
          <w:tab w:val="left" w:pos="1080"/>
        </w:tabs>
        <w:jc w:val="both"/>
        <w:rPr>
          <w:rFonts w:ascii="Arial" w:hAnsi="Arial"/>
          <w:b/>
        </w:rPr>
      </w:pPr>
    </w:p>
    <w:p w14:paraId="40A8DC65" w14:textId="77777777" w:rsidR="00455763" w:rsidRDefault="00455763" w:rsidP="001A12C9">
      <w:pPr>
        <w:tabs>
          <w:tab w:val="left" w:pos="1080"/>
        </w:tabs>
        <w:jc w:val="both"/>
        <w:rPr>
          <w:rFonts w:ascii="Arial" w:hAnsi="Arial"/>
          <w:b/>
        </w:rPr>
      </w:pPr>
    </w:p>
    <w:p w14:paraId="0567CA87" w14:textId="77777777" w:rsidR="00455763" w:rsidRDefault="00455763" w:rsidP="001A12C9">
      <w:pPr>
        <w:tabs>
          <w:tab w:val="left" w:pos="1080"/>
        </w:tabs>
        <w:jc w:val="both"/>
        <w:rPr>
          <w:rFonts w:ascii="Arial" w:hAnsi="Arial"/>
          <w:b/>
        </w:rPr>
      </w:pPr>
    </w:p>
    <w:p w14:paraId="0944983A" w14:textId="77777777" w:rsidR="00455763" w:rsidRDefault="00455763" w:rsidP="001A12C9">
      <w:pPr>
        <w:tabs>
          <w:tab w:val="left" w:pos="1080"/>
        </w:tabs>
        <w:jc w:val="both"/>
        <w:rPr>
          <w:rFonts w:ascii="Arial" w:hAnsi="Arial"/>
          <w:b/>
        </w:rPr>
      </w:pPr>
    </w:p>
    <w:p w14:paraId="0248A309" w14:textId="4C6DA62D" w:rsidR="00393BE3" w:rsidRDefault="00393BE3" w:rsidP="001A12C9">
      <w:pPr>
        <w:tabs>
          <w:tab w:val="left" w:pos="1080"/>
        </w:tabs>
        <w:jc w:val="both"/>
        <w:rPr>
          <w:rFonts w:ascii="Arial" w:hAnsi="Arial"/>
          <w:b/>
        </w:rPr>
      </w:pPr>
      <w:r>
        <w:rPr>
          <w:rFonts w:ascii="Arial" w:hAnsi="Arial"/>
          <w:b/>
        </w:rPr>
        <w:t>Table 8. Risk of bias assessment</w:t>
      </w:r>
    </w:p>
    <w:p w14:paraId="3E4E9B1A" w14:textId="77777777" w:rsidR="00D03151" w:rsidRDefault="00D03151" w:rsidP="001A12C9">
      <w:pPr>
        <w:jc w:val="both"/>
        <w:rPr>
          <w:rFonts w:eastAsia="Calibri" w:cstheme="minorHAnsi"/>
        </w:rPr>
      </w:pPr>
    </w:p>
    <w:tbl>
      <w:tblPr>
        <w:tblStyle w:val="TableGrid"/>
        <w:tblW w:w="0" w:type="auto"/>
        <w:tblLayout w:type="fixed"/>
        <w:tblLook w:val="04A0" w:firstRow="1" w:lastRow="0" w:firstColumn="1" w:lastColumn="0" w:noHBand="0" w:noVBand="1"/>
      </w:tblPr>
      <w:tblGrid>
        <w:gridCol w:w="1290"/>
        <w:gridCol w:w="1290"/>
        <w:gridCol w:w="1290"/>
        <w:gridCol w:w="1290"/>
        <w:gridCol w:w="1290"/>
        <w:gridCol w:w="1290"/>
        <w:gridCol w:w="1290"/>
      </w:tblGrid>
      <w:tr w:rsidR="00C66611" w:rsidRPr="003B2AD5" w14:paraId="32DCB5E9" w14:textId="77777777" w:rsidTr="003F336C">
        <w:tc>
          <w:tcPr>
            <w:tcW w:w="1290" w:type="dxa"/>
            <w:tcBorders>
              <w:top w:val="single" w:sz="8" w:space="0" w:color="auto"/>
              <w:left w:val="single" w:sz="8" w:space="0" w:color="auto"/>
              <w:bottom w:val="single" w:sz="8" w:space="0" w:color="auto"/>
              <w:right w:val="single" w:sz="8" w:space="0" w:color="auto"/>
            </w:tcBorders>
          </w:tcPr>
          <w:p w14:paraId="763E5E39"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First author + year</w:t>
            </w:r>
          </w:p>
        </w:tc>
        <w:tc>
          <w:tcPr>
            <w:tcW w:w="1290" w:type="dxa"/>
            <w:tcBorders>
              <w:top w:val="single" w:sz="8" w:space="0" w:color="auto"/>
              <w:left w:val="single" w:sz="8" w:space="0" w:color="auto"/>
              <w:bottom w:val="single" w:sz="8" w:space="0" w:color="auto"/>
              <w:right w:val="single" w:sz="8" w:space="0" w:color="auto"/>
            </w:tcBorders>
          </w:tcPr>
          <w:p w14:paraId="51B1B46E"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1</w:t>
            </w:r>
          </w:p>
        </w:tc>
        <w:tc>
          <w:tcPr>
            <w:tcW w:w="1290" w:type="dxa"/>
            <w:tcBorders>
              <w:top w:val="single" w:sz="8" w:space="0" w:color="auto"/>
              <w:left w:val="single" w:sz="8" w:space="0" w:color="auto"/>
              <w:bottom w:val="single" w:sz="8" w:space="0" w:color="auto"/>
              <w:right w:val="single" w:sz="8" w:space="0" w:color="auto"/>
            </w:tcBorders>
          </w:tcPr>
          <w:p w14:paraId="2963C664"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2 </w:t>
            </w:r>
          </w:p>
        </w:tc>
        <w:tc>
          <w:tcPr>
            <w:tcW w:w="1290" w:type="dxa"/>
            <w:tcBorders>
              <w:top w:val="single" w:sz="8" w:space="0" w:color="auto"/>
              <w:left w:val="single" w:sz="8" w:space="0" w:color="auto"/>
              <w:bottom w:val="single" w:sz="8" w:space="0" w:color="auto"/>
              <w:right w:val="single" w:sz="8" w:space="0" w:color="auto"/>
            </w:tcBorders>
          </w:tcPr>
          <w:p w14:paraId="73BEA96A"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3 </w:t>
            </w:r>
          </w:p>
        </w:tc>
        <w:tc>
          <w:tcPr>
            <w:tcW w:w="1290" w:type="dxa"/>
            <w:tcBorders>
              <w:top w:val="single" w:sz="8" w:space="0" w:color="auto"/>
              <w:left w:val="single" w:sz="8" w:space="0" w:color="auto"/>
              <w:bottom w:val="single" w:sz="8" w:space="0" w:color="auto"/>
              <w:right w:val="single" w:sz="8" w:space="0" w:color="auto"/>
            </w:tcBorders>
          </w:tcPr>
          <w:p w14:paraId="74764576"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4 </w:t>
            </w:r>
          </w:p>
        </w:tc>
        <w:tc>
          <w:tcPr>
            <w:tcW w:w="1290" w:type="dxa"/>
            <w:tcBorders>
              <w:top w:val="single" w:sz="8" w:space="0" w:color="auto"/>
              <w:left w:val="single" w:sz="8" w:space="0" w:color="auto"/>
              <w:bottom w:val="single" w:sz="8" w:space="0" w:color="auto"/>
              <w:right w:val="single" w:sz="8" w:space="0" w:color="auto"/>
            </w:tcBorders>
          </w:tcPr>
          <w:p w14:paraId="7853A6BE"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5</w:t>
            </w:r>
          </w:p>
        </w:tc>
        <w:tc>
          <w:tcPr>
            <w:tcW w:w="1290" w:type="dxa"/>
            <w:tcBorders>
              <w:top w:val="single" w:sz="8" w:space="0" w:color="auto"/>
              <w:left w:val="single" w:sz="8" w:space="0" w:color="auto"/>
              <w:bottom w:val="single" w:sz="8" w:space="0" w:color="auto"/>
              <w:right w:val="single" w:sz="8" w:space="0" w:color="auto"/>
            </w:tcBorders>
          </w:tcPr>
          <w:p w14:paraId="3C30B000"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Overall risk of bias </w:t>
            </w:r>
          </w:p>
        </w:tc>
      </w:tr>
      <w:tr w:rsidR="00C66611" w:rsidRPr="003B2AD5" w14:paraId="26AD0528" w14:textId="77777777" w:rsidTr="003F336C">
        <w:tc>
          <w:tcPr>
            <w:tcW w:w="1290" w:type="dxa"/>
            <w:tcBorders>
              <w:top w:val="single" w:sz="8" w:space="0" w:color="auto"/>
              <w:left w:val="single" w:sz="8" w:space="0" w:color="auto"/>
              <w:bottom w:val="single" w:sz="8" w:space="0" w:color="auto"/>
              <w:right w:val="single" w:sz="8" w:space="0" w:color="auto"/>
            </w:tcBorders>
          </w:tcPr>
          <w:p w14:paraId="583B712D"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Horak (2009)</w:t>
            </w:r>
          </w:p>
        </w:tc>
        <w:tc>
          <w:tcPr>
            <w:tcW w:w="1290" w:type="dxa"/>
            <w:tcBorders>
              <w:top w:val="single" w:sz="8" w:space="0" w:color="auto"/>
              <w:left w:val="single" w:sz="8" w:space="0" w:color="auto"/>
              <w:bottom w:val="single" w:sz="8" w:space="0" w:color="auto"/>
              <w:right w:val="single" w:sz="8" w:space="0" w:color="auto"/>
            </w:tcBorders>
          </w:tcPr>
          <w:p w14:paraId="7B71BAC3"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5516CEDD"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670AD038"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24E2EFAD"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311198F0"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0B2507E8"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Low</w:t>
            </w:r>
          </w:p>
        </w:tc>
      </w:tr>
      <w:tr w:rsidR="00C66611" w:rsidRPr="003B2AD5" w14:paraId="3A3BE9F7" w14:textId="77777777" w:rsidTr="003F336C">
        <w:tc>
          <w:tcPr>
            <w:tcW w:w="1290" w:type="dxa"/>
            <w:tcBorders>
              <w:top w:val="single" w:sz="8" w:space="0" w:color="auto"/>
              <w:left w:val="single" w:sz="8" w:space="0" w:color="auto"/>
              <w:bottom w:val="single" w:sz="8" w:space="0" w:color="auto"/>
              <w:right w:val="single" w:sz="8" w:space="0" w:color="auto"/>
            </w:tcBorders>
          </w:tcPr>
          <w:p w14:paraId="56AB9A02"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Meltzer (2015)</w:t>
            </w:r>
          </w:p>
        </w:tc>
        <w:tc>
          <w:tcPr>
            <w:tcW w:w="1290" w:type="dxa"/>
            <w:tcBorders>
              <w:top w:val="single" w:sz="8" w:space="0" w:color="auto"/>
              <w:left w:val="single" w:sz="8" w:space="0" w:color="auto"/>
              <w:bottom w:val="single" w:sz="8" w:space="0" w:color="auto"/>
              <w:right w:val="single" w:sz="8" w:space="0" w:color="auto"/>
            </w:tcBorders>
          </w:tcPr>
          <w:p w14:paraId="10402DB3"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0925DFE2"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0D0A88E4"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6832579C"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6E57F222"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3EF0E2DC"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Some concerns</w:t>
            </w:r>
            <w:r w:rsidRPr="003B2AD5">
              <w:rPr>
                <w:rFonts w:ascii="Arial" w:hAnsi="Arial" w:cs="Arial"/>
                <w:sz w:val="20"/>
                <w:szCs w:val="20"/>
              </w:rPr>
              <w:t xml:space="preserve"> </w:t>
            </w:r>
          </w:p>
        </w:tc>
      </w:tr>
      <w:tr w:rsidR="00C66611" w:rsidRPr="003B2AD5" w14:paraId="6B08571D" w14:textId="77777777" w:rsidTr="003F336C">
        <w:tc>
          <w:tcPr>
            <w:tcW w:w="1290" w:type="dxa"/>
            <w:tcBorders>
              <w:top w:val="single" w:sz="8" w:space="0" w:color="auto"/>
              <w:left w:val="single" w:sz="8" w:space="0" w:color="auto"/>
              <w:bottom w:val="single" w:sz="8" w:space="0" w:color="auto"/>
              <w:right w:val="single" w:sz="8" w:space="0" w:color="auto"/>
            </w:tcBorders>
          </w:tcPr>
          <w:p w14:paraId="278B6C9E"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Meltzer (2016)</w:t>
            </w:r>
          </w:p>
        </w:tc>
        <w:tc>
          <w:tcPr>
            <w:tcW w:w="1290" w:type="dxa"/>
            <w:tcBorders>
              <w:top w:val="single" w:sz="8" w:space="0" w:color="auto"/>
              <w:left w:val="single" w:sz="8" w:space="0" w:color="auto"/>
              <w:bottom w:val="single" w:sz="8" w:space="0" w:color="auto"/>
              <w:right w:val="single" w:sz="8" w:space="0" w:color="auto"/>
            </w:tcBorders>
          </w:tcPr>
          <w:p w14:paraId="2AD2B29B"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 xml:space="preserve">+ </w:t>
            </w:r>
          </w:p>
        </w:tc>
        <w:tc>
          <w:tcPr>
            <w:tcW w:w="1290" w:type="dxa"/>
            <w:tcBorders>
              <w:top w:val="single" w:sz="8" w:space="0" w:color="auto"/>
              <w:left w:val="single" w:sz="8" w:space="0" w:color="auto"/>
              <w:bottom w:val="single" w:sz="8" w:space="0" w:color="auto"/>
              <w:right w:val="single" w:sz="8" w:space="0" w:color="auto"/>
            </w:tcBorders>
          </w:tcPr>
          <w:p w14:paraId="701AA98A"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49E70D0A"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3FEC26DA"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1290" w:type="dxa"/>
            <w:tcBorders>
              <w:top w:val="single" w:sz="8" w:space="0" w:color="auto"/>
              <w:left w:val="single" w:sz="8" w:space="0" w:color="auto"/>
              <w:bottom w:val="single" w:sz="8" w:space="0" w:color="auto"/>
              <w:right w:val="single" w:sz="8" w:space="0" w:color="auto"/>
            </w:tcBorders>
          </w:tcPr>
          <w:p w14:paraId="619B5A73"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1290" w:type="dxa"/>
            <w:tcBorders>
              <w:top w:val="single" w:sz="8" w:space="0" w:color="auto"/>
              <w:left w:val="single" w:sz="8" w:space="0" w:color="auto"/>
              <w:bottom w:val="single" w:sz="8" w:space="0" w:color="auto"/>
              <w:right w:val="single" w:sz="8" w:space="0" w:color="auto"/>
            </w:tcBorders>
          </w:tcPr>
          <w:p w14:paraId="1FE9E524"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Low</w:t>
            </w:r>
            <w:r w:rsidRPr="003B2AD5">
              <w:rPr>
                <w:rFonts w:ascii="Arial" w:hAnsi="Arial" w:cs="Arial"/>
                <w:sz w:val="20"/>
                <w:szCs w:val="20"/>
              </w:rPr>
              <w:t xml:space="preserve"> </w:t>
            </w:r>
          </w:p>
        </w:tc>
      </w:tr>
    </w:tbl>
    <w:p w14:paraId="3A02E6DA" w14:textId="77777777" w:rsidR="00C66611" w:rsidRPr="003B2AD5" w:rsidRDefault="00C66611" w:rsidP="001A12C9">
      <w:pPr>
        <w:jc w:val="both"/>
        <w:rPr>
          <w:rFonts w:ascii="Arial" w:hAnsi="Arial" w:cs="Arial"/>
        </w:rPr>
      </w:pPr>
      <w:r w:rsidRPr="003B2AD5">
        <w:rPr>
          <w:rFonts w:ascii="Arial" w:eastAsia="Calibri" w:hAnsi="Arial" w:cs="Arial"/>
        </w:rPr>
        <w:t xml:space="preserve"> </w:t>
      </w:r>
    </w:p>
    <w:tbl>
      <w:tblPr>
        <w:tblStyle w:val="TableGrid"/>
        <w:tblW w:w="0" w:type="auto"/>
        <w:tblLayout w:type="fixed"/>
        <w:tblLook w:val="04A0" w:firstRow="1" w:lastRow="0" w:firstColumn="1" w:lastColumn="0" w:noHBand="0" w:noVBand="1"/>
      </w:tblPr>
      <w:tblGrid>
        <w:gridCol w:w="1275"/>
        <w:gridCol w:w="7800"/>
      </w:tblGrid>
      <w:tr w:rsidR="00C66611" w:rsidRPr="003B2AD5" w14:paraId="3E6F2D4F" w14:textId="77777777" w:rsidTr="003F336C">
        <w:tc>
          <w:tcPr>
            <w:tcW w:w="1275" w:type="dxa"/>
            <w:tcBorders>
              <w:top w:val="single" w:sz="8" w:space="0" w:color="auto"/>
              <w:left w:val="single" w:sz="8" w:space="0" w:color="auto"/>
              <w:bottom w:val="single" w:sz="8" w:space="0" w:color="auto"/>
              <w:right w:val="single" w:sz="8" w:space="0" w:color="auto"/>
            </w:tcBorders>
          </w:tcPr>
          <w:p w14:paraId="1C5F01A7"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1</w:t>
            </w:r>
          </w:p>
        </w:tc>
        <w:tc>
          <w:tcPr>
            <w:tcW w:w="7800" w:type="dxa"/>
            <w:tcBorders>
              <w:top w:val="single" w:sz="8" w:space="0" w:color="auto"/>
              <w:left w:val="single" w:sz="8" w:space="0" w:color="auto"/>
              <w:bottom w:val="single" w:sz="8" w:space="0" w:color="auto"/>
              <w:right w:val="single" w:sz="8" w:space="0" w:color="auto"/>
            </w:tcBorders>
          </w:tcPr>
          <w:p w14:paraId="03CF2FF3"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arising from </w:t>
            </w:r>
            <w:proofErr w:type="spellStart"/>
            <w:r w:rsidRPr="003B2AD5">
              <w:rPr>
                <w:rFonts w:ascii="Arial" w:hAnsi="Arial" w:cs="Arial"/>
                <w:sz w:val="20"/>
                <w:szCs w:val="20"/>
              </w:rPr>
              <w:t>randomisation</w:t>
            </w:r>
            <w:proofErr w:type="spellEnd"/>
            <w:r w:rsidRPr="003B2AD5">
              <w:rPr>
                <w:rFonts w:ascii="Arial" w:hAnsi="Arial" w:cs="Arial"/>
                <w:sz w:val="20"/>
                <w:szCs w:val="20"/>
              </w:rPr>
              <w:t xml:space="preserve"> process</w:t>
            </w:r>
          </w:p>
        </w:tc>
      </w:tr>
      <w:tr w:rsidR="00C66611" w:rsidRPr="003B2AD5" w14:paraId="0FCC8E0C" w14:textId="77777777" w:rsidTr="003F336C">
        <w:tc>
          <w:tcPr>
            <w:tcW w:w="1275" w:type="dxa"/>
            <w:tcBorders>
              <w:top w:val="single" w:sz="8" w:space="0" w:color="auto"/>
              <w:left w:val="single" w:sz="8" w:space="0" w:color="auto"/>
              <w:bottom w:val="single" w:sz="8" w:space="0" w:color="auto"/>
              <w:right w:val="single" w:sz="8" w:space="0" w:color="auto"/>
            </w:tcBorders>
          </w:tcPr>
          <w:p w14:paraId="4A29F3BC"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Domain 2</w:t>
            </w:r>
          </w:p>
        </w:tc>
        <w:tc>
          <w:tcPr>
            <w:tcW w:w="7800" w:type="dxa"/>
            <w:tcBorders>
              <w:top w:val="single" w:sz="8" w:space="0" w:color="auto"/>
              <w:left w:val="single" w:sz="8" w:space="0" w:color="auto"/>
              <w:bottom w:val="single" w:sz="8" w:space="0" w:color="auto"/>
              <w:right w:val="single" w:sz="8" w:space="0" w:color="auto"/>
            </w:tcBorders>
          </w:tcPr>
          <w:p w14:paraId="46784A70"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Deviations from the intended interventions </w:t>
            </w:r>
          </w:p>
        </w:tc>
      </w:tr>
      <w:tr w:rsidR="00C66611" w:rsidRPr="003B2AD5" w14:paraId="1ED613FE" w14:textId="77777777" w:rsidTr="003F336C">
        <w:tc>
          <w:tcPr>
            <w:tcW w:w="1275" w:type="dxa"/>
            <w:tcBorders>
              <w:top w:val="single" w:sz="8" w:space="0" w:color="auto"/>
              <w:left w:val="single" w:sz="8" w:space="0" w:color="auto"/>
              <w:bottom w:val="single" w:sz="8" w:space="0" w:color="auto"/>
              <w:right w:val="single" w:sz="8" w:space="0" w:color="auto"/>
            </w:tcBorders>
          </w:tcPr>
          <w:p w14:paraId="3572104B"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3 </w:t>
            </w:r>
          </w:p>
        </w:tc>
        <w:tc>
          <w:tcPr>
            <w:tcW w:w="7800" w:type="dxa"/>
            <w:tcBorders>
              <w:top w:val="single" w:sz="8" w:space="0" w:color="auto"/>
              <w:left w:val="single" w:sz="8" w:space="0" w:color="auto"/>
              <w:bottom w:val="single" w:sz="8" w:space="0" w:color="auto"/>
              <w:right w:val="single" w:sz="8" w:space="0" w:color="auto"/>
            </w:tcBorders>
          </w:tcPr>
          <w:p w14:paraId="73E7CDFB"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due to missing data </w:t>
            </w:r>
          </w:p>
        </w:tc>
      </w:tr>
      <w:tr w:rsidR="00C66611" w:rsidRPr="003B2AD5" w14:paraId="4E2E66EF" w14:textId="77777777" w:rsidTr="003F336C">
        <w:tc>
          <w:tcPr>
            <w:tcW w:w="1275" w:type="dxa"/>
            <w:tcBorders>
              <w:top w:val="single" w:sz="8" w:space="0" w:color="auto"/>
              <w:left w:val="single" w:sz="8" w:space="0" w:color="auto"/>
              <w:bottom w:val="single" w:sz="8" w:space="0" w:color="auto"/>
              <w:right w:val="single" w:sz="8" w:space="0" w:color="auto"/>
            </w:tcBorders>
          </w:tcPr>
          <w:p w14:paraId="15C9A9DA"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4 </w:t>
            </w:r>
          </w:p>
        </w:tc>
        <w:tc>
          <w:tcPr>
            <w:tcW w:w="7800" w:type="dxa"/>
            <w:tcBorders>
              <w:top w:val="single" w:sz="8" w:space="0" w:color="auto"/>
              <w:left w:val="single" w:sz="8" w:space="0" w:color="auto"/>
              <w:bottom w:val="single" w:sz="8" w:space="0" w:color="auto"/>
              <w:right w:val="single" w:sz="8" w:space="0" w:color="auto"/>
            </w:tcBorders>
          </w:tcPr>
          <w:p w14:paraId="7485DAF9"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in measurement of the outcome </w:t>
            </w:r>
          </w:p>
        </w:tc>
      </w:tr>
      <w:tr w:rsidR="00C66611" w:rsidRPr="003B2AD5" w14:paraId="7A6F4FC4" w14:textId="77777777" w:rsidTr="003F336C">
        <w:tc>
          <w:tcPr>
            <w:tcW w:w="1275" w:type="dxa"/>
            <w:tcBorders>
              <w:top w:val="single" w:sz="8" w:space="0" w:color="auto"/>
              <w:left w:val="single" w:sz="8" w:space="0" w:color="auto"/>
              <w:bottom w:val="single" w:sz="8" w:space="0" w:color="auto"/>
              <w:right w:val="single" w:sz="8" w:space="0" w:color="auto"/>
            </w:tcBorders>
          </w:tcPr>
          <w:p w14:paraId="652FCEFD"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Domain 5 </w:t>
            </w:r>
          </w:p>
        </w:tc>
        <w:tc>
          <w:tcPr>
            <w:tcW w:w="7800" w:type="dxa"/>
            <w:tcBorders>
              <w:top w:val="single" w:sz="8" w:space="0" w:color="auto"/>
              <w:left w:val="single" w:sz="8" w:space="0" w:color="auto"/>
              <w:bottom w:val="single" w:sz="8" w:space="0" w:color="auto"/>
              <w:right w:val="single" w:sz="8" w:space="0" w:color="auto"/>
            </w:tcBorders>
          </w:tcPr>
          <w:p w14:paraId="7624BCE3"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Risk of bias in selection of the reported result </w:t>
            </w:r>
          </w:p>
        </w:tc>
      </w:tr>
    </w:tbl>
    <w:p w14:paraId="1B54036C" w14:textId="77777777" w:rsidR="00C66611" w:rsidRPr="003B2AD5" w:rsidRDefault="00C66611" w:rsidP="001A12C9">
      <w:pPr>
        <w:jc w:val="both"/>
        <w:rPr>
          <w:rFonts w:ascii="Arial" w:eastAsia="Calibri" w:hAnsi="Arial" w:cs="Arial"/>
        </w:rPr>
      </w:pPr>
    </w:p>
    <w:p w14:paraId="01140B66" w14:textId="77777777" w:rsidR="00C66611" w:rsidRPr="003B2AD5" w:rsidRDefault="00C66611" w:rsidP="001A12C9">
      <w:pPr>
        <w:jc w:val="both"/>
        <w:rPr>
          <w:rFonts w:ascii="Arial" w:hAnsi="Arial" w:cs="Arial"/>
        </w:rPr>
      </w:pPr>
      <w:r w:rsidRPr="003B2AD5">
        <w:rPr>
          <w:rFonts w:ascii="Arial" w:eastAsia="Calibri" w:hAnsi="Arial" w:cs="Arial"/>
        </w:rPr>
        <w:t xml:space="preserve">Findings </w:t>
      </w:r>
    </w:p>
    <w:tbl>
      <w:tblPr>
        <w:tblStyle w:val="TableGrid"/>
        <w:tblW w:w="0" w:type="auto"/>
        <w:tblLayout w:type="fixed"/>
        <w:tblLook w:val="04A0" w:firstRow="1" w:lastRow="0" w:firstColumn="1" w:lastColumn="0" w:noHBand="0" w:noVBand="1"/>
      </w:tblPr>
      <w:tblGrid>
        <w:gridCol w:w="1125"/>
        <w:gridCol w:w="2550"/>
      </w:tblGrid>
      <w:tr w:rsidR="00C66611" w:rsidRPr="003B2AD5" w14:paraId="5A03479F" w14:textId="77777777" w:rsidTr="003F336C">
        <w:tc>
          <w:tcPr>
            <w:tcW w:w="1125" w:type="dxa"/>
            <w:tcBorders>
              <w:top w:val="single" w:sz="8" w:space="0" w:color="auto"/>
              <w:left w:val="single" w:sz="8" w:space="0" w:color="auto"/>
              <w:bottom w:val="single" w:sz="8" w:space="0" w:color="auto"/>
              <w:right w:val="single" w:sz="8" w:space="0" w:color="auto"/>
            </w:tcBorders>
          </w:tcPr>
          <w:p w14:paraId="7905EE44"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green"/>
              </w:rPr>
              <w:t>+</w:t>
            </w:r>
          </w:p>
        </w:tc>
        <w:tc>
          <w:tcPr>
            <w:tcW w:w="2550" w:type="dxa"/>
            <w:tcBorders>
              <w:top w:val="single" w:sz="8" w:space="0" w:color="auto"/>
              <w:left w:val="single" w:sz="8" w:space="0" w:color="auto"/>
              <w:bottom w:val="single" w:sz="8" w:space="0" w:color="auto"/>
              <w:right w:val="single" w:sz="8" w:space="0" w:color="auto"/>
            </w:tcBorders>
          </w:tcPr>
          <w:p w14:paraId="739298F8"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Low risk </w:t>
            </w:r>
          </w:p>
        </w:tc>
      </w:tr>
      <w:tr w:rsidR="00C66611" w:rsidRPr="003B2AD5" w14:paraId="29D468CB" w14:textId="77777777" w:rsidTr="003F336C">
        <w:tc>
          <w:tcPr>
            <w:tcW w:w="1125" w:type="dxa"/>
            <w:tcBorders>
              <w:top w:val="single" w:sz="8" w:space="0" w:color="auto"/>
              <w:left w:val="single" w:sz="8" w:space="0" w:color="auto"/>
              <w:bottom w:val="single" w:sz="8" w:space="0" w:color="auto"/>
              <w:right w:val="single" w:sz="8" w:space="0" w:color="auto"/>
            </w:tcBorders>
          </w:tcPr>
          <w:p w14:paraId="4ADF7D65"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yellow"/>
              </w:rPr>
              <w:t>!</w:t>
            </w:r>
          </w:p>
        </w:tc>
        <w:tc>
          <w:tcPr>
            <w:tcW w:w="2550" w:type="dxa"/>
            <w:tcBorders>
              <w:top w:val="single" w:sz="8" w:space="0" w:color="auto"/>
              <w:left w:val="single" w:sz="8" w:space="0" w:color="auto"/>
              <w:bottom w:val="single" w:sz="8" w:space="0" w:color="auto"/>
              <w:right w:val="single" w:sz="8" w:space="0" w:color="auto"/>
            </w:tcBorders>
          </w:tcPr>
          <w:p w14:paraId="7ADA7556"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 xml:space="preserve">Some concerns </w:t>
            </w:r>
          </w:p>
        </w:tc>
      </w:tr>
      <w:tr w:rsidR="00C66611" w:rsidRPr="003B2AD5" w14:paraId="6552D77A" w14:textId="77777777" w:rsidTr="003F336C">
        <w:tc>
          <w:tcPr>
            <w:tcW w:w="1125" w:type="dxa"/>
            <w:tcBorders>
              <w:top w:val="single" w:sz="8" w:space="0" w:color="auto"/>
              <w:left w:val="single" w:sz="8" w:space="0" w:color="auto"/>
              <w:bottom w:val="single" w:sz="8" w:space="0" w:color="auto"/>
              <w:right w:val="single" w:sz="8" w:space="0" w:color="auto"/>
            </w:tcBorders>
          </w:tcPr>
          <w:p w14:paraId="54C4F3A9" w14:textId="77777777" w:rsidR="00C66611" w:rsidRPr="003B2AD5" w:rsidRDefault="00C66611" w:rsidP="001A12C9">
            <w:pPr>
              <w:jc w:val="both"/>
              <w:rPr>
                <w:rFonts w:ascii="Arial" w:hAnsi="Arial" w:cs="Arial"/>
                <w:sz w:val="20"/>
                <w:szCs w:val="20"/>
              </w:rPr>
            </w:pPr>
            <w:r w:rsidRPr="003B2AD5">
              <w:rPr>
                <w:rFonts w:ascii="Arial" w:hAnsi="Arial" w:cs="Arial"/>
                <w:sz w:val="20"/>
                <w:szCs w:val="20"/>
                <w:highlight w:val="red"/>
              </w:rPr>
              <w:t>-</w:t>
            </w:r>
          </w:p>
        </w:tc>
        <w:tc>
          <w:tcPr>
            <w:tcW w:w="2550" w:type="dxa"/>
            <w:tcBorders>
              <w:top w:val="single" w:sz="8" w:space="0" w:color="auto"/>
              <w:left w:val="single" w:sz="8" w:space="0" w:color="auto"/>
              <w:bottom w:val="single" w:sz="8" w:space="0" w:color="auto"/>
              <w:right w:val="single" w:sz="8" w:space="0" w:color="auto"/>
            </w:tcBorders>
          </w:tcPr>
          <w:p w14:paraId="22C471EA" w14:textId="77777777" w:rsidR="00C66611" w:rsidRPr="003B2AD5" w:rsidRDefault="00C66611" w:rsidP="001A12C9">
            <w:pPr>
              <w:jc w:val="both"/>
              <w:rPr>
                <w:rFonts w:ascii="Arial" w:hAnsi="Arial" w:cs="Arial"/>
                <w:sz w:val="20"/>
                <w:szCs w:val="20"/>
              </w:rPr>
            </w:pPr>
            <w:r w:rsidRPr="003B2AD5">
              <w:rPr>
                <w:rFonts w:ascii="Arial" w:hAnsi="Arial" w:cs="Arial"/>
                <w:sz w:val="20"/>
                <w:szCs w:val="20"/>
              </w:rPr>
              <w:t>High risk</w:t>
            </w:r>
          </w:p>
        </w:tc>
      </w:tr>
    </w:tbl>
    <w:p w14:paraId="36214960" w14:textId="77777777" w:rsidR="00C66611" w:rsidRPr="00CD3A9D" w:rsidRDefault="00C66611" w:rsidP="001A12C9">
      <w:pPr>
        <w:jc w:val="both"/>
        <w:rPr>
          <w:rFonts w:eastAsia="Calibri" w:cstheme="minorHAnsi"/>
          <w:color w:val="0070C0"/>
          <w:sz w:val="24"/>
          <w:szCs w:val="24"/>
        </w:rPr>
      </w:pPr>
    </w:p>
    <w:p w14:paraId="3463FE0E" w14:textId="77777777" w:rsidR="00D03151" w:rsidRDefault="00D03151" w:rsidP="001A12C9">
      <w:pPr>
        <w:jc w:val="both"/>
        <w:rPr>
          <w:rFonts w:eastAsia="Calibri" w:cstheme="minorHAnsi"/>
        </w:rPr>
      </w:pPr>
    </w:p>
    <w:p w14:paraId="00ABD57B" w14:textId="77777777" w:rsidR="00153B6C" w:rsidRPr="00153B6C" w:rsidRDefault="00153B6C" w:rsidP="001A12C9">
      <w:pPr>
        <w:jc w:val="both"/>
        <w:rPr>
          <w:rFonts w:ascii="Arial" w:hAnsi="Arial" w:cs="Arial"/>
          <w:lang w:val="en-AU" w:eastAsia="en-GB"/>
        </w:rPr>
      </w:pPr>
      <w:r w:rsidRPr="00153B6C">
        <w:rPr>
          <w:rStyle w:val="normaltextrun"/>
          <w:rFonts w:ascii="Arial" w:hAnsi="Arial" w:cs="Arial"/>
        </w:rPr>
        <w:t>The three studies evaluated different dose regimens of phenylephrine, with </w:t>
      </w:r>
      <w:r w:rsidRPr="00153B6C">
        <w:rPr>
          <w:rStyle w:val="normaltextrun"/>
          <w:rFonts w:ascii="Arial" w:hAnsi="Arial" w:cs="Arial"/>
          <w:i/>
          <w:iCs/>
        </w:rPr>
        <w:t>Horak </w:t>
      </w:r>
      <w:r w:rsidRPr="00153B6C">
        <w:rPr>
          <w:rStyle w:val="normaltextrun"/>
          <w:rFonts w:ascii="Arial" w:hAnsi="Arial" w:cs="Arial"/>
        </w:rPr>
        <w:t>including only 12mg PE, </w:t>
      </w:r>
      <w:r w:rsidRPr="00153B6C">
        <w:rPr>
          <w:rStyle w:val="normaltextrun"/>
          <w:rFonts w:ascii="Arial" w:hAnsi="Arial" w:cs="Arial"/>
          <w:i/>
          <w:iCs/>
        </w:rPr>
        <w:t>Meltzer (2015) </w:t>
      </w:r>
      <w:r w:rsidRPr="00153B6C">
        <w:rPr>
          <w:rStyle w:val="normaltextrun"/>
          <w:rFonts w:ascii="Arial" w:hAnsi="Arial" w:cs="Arial"/>
        </w:rPr>
        <w:t>10, 20, 30, 40mg, and </w:t>
      </w:r>
      <w:r w:rsidRPr="00153B6C">
        <w:rPr>
          <w:rStyle w:val="normaltextrun"/>
          <w:rFonts w:ascii="Arial" w:hAnsi="Arial" w:cs="Arial"/>
          <w:i/>
          <w:iCs/>
        </w:rPr>
        <w:t>Meltzer (2016)</w:t>
      </w:r>
      <w:r w:rsidRPr="00153B6C">
        <w:rPr>
          <w:rStyle w:val="normaltextrun"/>
          <w:rFonts w:ascii="Arial" w:hAnsi="Arial" w:cs="Arial"/>
        </w:rPr>
        <w:t> 30mg modified release PE.</w:t>
      </w:r>
      <w:r w:rsidRPr="00153B6C">
        <w:rPr>
          <w:rStyle w:val="eop"/>
          <w:rFonts w:ascii="Arial" w:hAnsi="Arial" w:cs="Arial"/>
        </w:rPr>
        <w:t> </w:t>
      </w:r>
      <w:r w:rsidRPr="00153B6C">
        <w:rPr>
          <w:rFonts w:ascii="Arial" w:hAnsi="Arial" w:cs="Arial"/>
          <w:shd w:val="clear" w:color="auto" w:fill="FFFFFF"/>
          <w:lang w:val="en-AU" w:eastAsia="en-GB"/>
        </w:rPr>
        <w:t>2 out of the 3 trials were conducted in the US and one in Austria with sample sizes ranging from 39-575 subjects. Inclusion and exclusion criteria across the studies were remarkably similar, resulting in a highly homogenous patient population.</w:t>
      </w:r>
    </w:p>
    <w:p w14:paraId="5B2980FC" w14:textId="529108E0" w:rsidR="00153B6C" w:rsidRDefault="00153B6C" w:rsidP="001A12C9">
      <w:pPr>
        <w:pStyle w:val="paragraph"/>
        <w:spacing w:before="0" w:beforeAutospacing="0" w:after="0" w:afterAutospacing="0"/>
        <w:jc w:val="both"/>
        <w:textAlignment w:val="baseline"/>
        <w:rPr>
          <w:rStyle w:val="normaltextrun"/>
          <w:rFonts w:ascii="Arial" w:hAnsi="Arial" w:cs="Arial"/>
          <w:sz w:val="20"/>
          <w:szCs w:val="20"/>
          <w:lang w:val="en-GB"/>
        </w:rPr>
      </w:pPr>
      <w:r w:rsidRPr="00153B6C">
        <w:rPr>
          <w:rStyle w:val="normaltextrun"/>
          <w:rFonts w:ascii="Arial" w:hAnsi="Arial" w:cs="Arial"/>
          <w:sz w:val="20"/>
          <w:szCs w:val="20"/>
          <w:lang w:val="en-GB"/>
        </w:rPr>
        <w:t>An attempt was made to consolidate the findings of the results from these trials together. However, due to different scoring systems and different measures being used the degree of heterogeneity</w:t>
      </w:r>
      <w:r w:rsidR="009D5153">
        <w:rPr>
          <w:rStyle w:val="normaltextrun"/>
          <w:rFonts w:ascii="Arial" w:hAnsi="Arial" w:cs="Arial"/>
          <w:sz w:val="20"/>
          <w:szCs w:val="20"/>
          <w:lang w:val="en-GB"/>
        </w:rPr>
        <w:t xml:space="preserve"> made it </w:t>
      </w:r>
      <w:r w:rsidR="00F5495F">
        <w:rPr>
          <w:rStyle w:val="normaltextrun"/>
          <w:rFonts w:ascii="Arial" w:hAnsi="Arial" w:cs="Arial"/>
          <w:sz w:val="20"/>
          <w:szCs w:val="20"/>
          <w:lang w:val="en-GB"/>
        </w:rPr>
        <w:t>impossible to conduct further synthesis such as meta-analysis.</w:t>
      </w:r>
    </w:p>
    <w:p w14:paraId="615A77C0" w14:textId="77777777" w:rsidR="003B2AD5" w:rsidRDefault="003B2AD5" w:rsidP="001A12C9">
      <w:pPr>
        <w:pStyle w:val="paragraph"/>
        <w:spacing w:before="0" w:beforeAutospacing="0" w:after="0" w:afterAutospacing="0"/>
        <w:jc w:val="both"/>
        <w:textAlignment w:val="baseline"/>
        <w:rPr>
          <w:rStyle w:val="normaltextrun"/>
          <w:rFonts w:ascii="Arial" w:hAnsi="Arial" w:cs="Arial"/>
          <w:sz w:val="20"/>
          <w:szCs w:val="20"/>
          <w:lang w:val="en-GB"/>
        </w:rPr>
      </w:pPr>
    </w:p>
    <w:p w14:paraId="633B6B22" w14:textId="74BC571D" w:rsidR="00CE783B" w:rsidRDefault="00F8577B" w:rsidP="001A12C9">
      <w:pPr>
        <w:jc w:val="both"/>
        <w:rPr>
          <w:rFonts w:ascii="Arial" w:eastAsia="Calibri" w:hAnsi="Arial" w:cs="Arial"/>
          <w:b/>
          <w:bCs/>
          <w:sz w:val="22"/>
          <w:szCs w:val="22"/>
        </w:rPr>
      </w:pPr>
      <w:r w:rsidRPr="00236056">
        <w:rPr>
          <w:rFonts w:ascii="Arial" w:eastAsia="Calibri" w:hAnsi="Arial" w:cs="Arial"/>
          <w:b/>
          <w:bCs/>
          <w:sz w:val="22"/>
          <w:szCs w:val="22"/>
        </w:rPr>
        <w:t xml:space="preserve">3.1 </w:t>
      </w:r>
      <w:r w:rsidR="00CE783B" w:rsidRPr="00236056">
        <w:rPr>
          <w:rFonts w:ascii="Arial" w:eastAsia="Calibri" w:hAnsi="Arial" w:cs="Arial"/>
          <w:b/>
          <w:bCs/>
          <w:sz w:val="22"/>
          <w:szCs w:val="22"/>
        </w:rPr>
        <w:t xml:space="preserve">Subjective effect on nasal congestion scores </w:t>
      </w:r>
    </w:p>
    <w:p w14:paraId="688CC4BD" w14:textId="77777777" w:rsidR="003B2AD5" w:rsidRPr="00236056" w:rsidRDefault="003B2AD5" w:rsidP="001A12C9">
      <w:pPr>
        <w:jc w:val="both"/>
        <w:rPr>
          <w:rFonts w:ascii="Arial" w:eastAsia="Calibri" w:hAnsi="Arial" w:cs="Arial"/>
          <w:b/>
          <w:bCs/>
          <w:sz w:val="22"/>
          <w:szCs w:val="22"/>
        </w:rPr>
      </w:pPr>
    </w:p>
    <w:p w14:paraId="7989DA2E" w14:textId="1297D43C" w:rsidR="00CE783B" w:rsidRPr="00CD3A9D" w:rsidRDefault="00CE783B" w:rsidP="001A12C9">
      <w:pPr>
        <w:jc w:val="both"/>
        <w:rPr>
          <w:rFonts w:eastAsia="Calibri" w:cstheme="minorHAnsi"/>
        </w:rPr>
      </w:pPr>
      <w:r w:rsidRPr="00CD3A9D">
        <w:rPr>
          <w:rFonts w:eastAsia="Calibri" w:cstheme="minorHAnsi"/>
        </w:rPr>
        <w:t xml:space="preserve">The self-reported decongestive effects of PE in these 3 studies can be seen in </w:t>
      </w:r>
      <w:r w:rsidRPr="00CD3A9D">
        <w:rPr>
          <w:rFonts w:eastAsia="Calibri" w:cstheme="minorHAnsi"/>
          <w:i/>
          <w:iCs/>
        </w:rPr>
        <w:t xml:space="preserve">table </w:t>
      </w:r>
      <w:r w:rsidR="006E2913">
        <w:rPr>
          <w:rFonts w:eastAsia="Calibri" w:cstheme="minorHAnsi"/>
          <w:i/>
          <w:iCs/>
        </w:rPr>
        <w:t>4</w:t>
      </w:r>
      <w:r w:rsidRPr="00CD3A9D">
        <w:rPr>
          <w:rFonts w:eastAsia="Calibri" w:cstheme="minorHAnsi"/>
        </w:rPr>
        <w:t>. Each study used different symptom scoring systems but were similar in that scores were self-reported and compared to a baseline pre-treatment score for changes in congestion. All three studies demonstrated no statistically significant improvement with PE compared with a placebo in their self-reported symptom scores.</w:t>
      </w:r>
    </w:p>
    <w:p w14:paraId="388406F4" w14:textId="77777777" w:rsidR="00CE783B" w:rsidRPr="00CD3A9D" w:rsidRDefault="00CE783B" w:rsidP="001A12C9">
      <w:pPr>
        <w:jc w:val="both"/>
        <w:rPr>
          <w:rFonts w:eastAsia="Calibri" w:cstheme="minorHAnsi"/>
        </w:rPr>
      </w:pPr>
      <w:r w:rsidRPr="00CD3A9D">
        <w:rPr>
          <w:rFonts w:eastAsia="Calibri" w:cstheme="minorHAnsi"/>
        </w:rPr>
        <w:t xml:space="preserve">The </w:t>
      </w:r>
      <w:r w:rsidRPr="00CD3A9D">
        <w:rPr>
          <w:rFonts w:eastAsia="Calibri" w:cstheme="minorHAnsi"/>
          <w:i/>
          <w:iCs/>
        </w:rPr>
        <w:t>Horak</w:t>
      </w:r>
      <w:r w:rsidRPr="00CD3A9D">
        <w:rPr>
          <w:rFonts w:eastAsia="Calibri" w:cstheme="minorHAnsi"/>
        </w:rPr>
        <w:t xml:space="preserve"> study found no statistically significant change in rhinomanometry or PNIF in patients with allergic rhinitis treated with a single dose of oral PE. Regarding decreasing nasal congestion score at any evaluation time, the average first 6-hourly baseline decrease nasal congestion score was 7.1% in the PE group compared to 2.2% in the placebo group (P = 0.56). Based on these results no significant effect was seen in the analysis of nasal congestion scores. It was also noted that results between these two groups were similar in the first</w:t>
      </w:r>
      <w:r w:rsidRPr="00CD3A9D">
        <w:rPr>
          <w:rFonts w:eastAsia="Calibri" w:cstheme="minorHAnsi"/>
          <w:lang w:val="en-AU"/>
        </w:rPr>
        <w:t xml:space="preserve"> 4-6 hours after dosing, with scores of 0.19-0.16 and 0.18-0.12 respectively. It is worth noting that the third arm of this study evaluated pseudoephedrine under the same protocols, which did produce a statistically significant reduction in nasal congestion scores and rhinomanometry. </w:t>
      </w:r>
    </w:p>
    <w:p w14:paraId="247AF1A2" w14:textId="77777777" w:rsidR="00CE783B" w:rsidRPr="00CD3A9D" w:rsidRDefault="00CE783B" w:rsidP="001A12C9">
      <w:pPr>
        <w:jc w:val="both"/>
        <w:rPr>
          <w:rFonts w:eastAsia="Calibri" w:cstheme="minorHAnsi"/>
        </w:rPr>
      </w:pPr>
      <w:r w:rsidRPr="00CD3A9D">
        <w:rPr>
          <w:rFonts w:eastAsia="Calibri" w:cstheme="minorHAnsi"/>
          <w:i/>
          <w:iCs/>
        </w:rPr>
        <w:t>Meltzer 2016</w:t>
      </w:r>
      <w:r w:rsidRPr="00CD3A9D">
        <w:rPr>
          <w:rFonts w:eastAsia="Calibri" w:cstheme="minorHAnsi"/>
        </w:rPr>
        <w:t xml:space="preserve"> showed the placebo group mean daily symptom score change was -0.412 (P=0.2655), and -0.394 (P=0.2655) for PEH-MR 30mg. Therefore, PE MR 30mg was found to have no statistically significant reduction of nasal congestion score over placebo in allergic rhinitis patients. </w:t>
      </w:r>
      <w:r>
        <w:rPr>
          <w:rFonts w:eastAsia="Calibri" w:cstheme="minorHAnsi"/>
        </w:rPr>
        <w:t>T</w:t>
      </w:r>
      <w:r w:rsidRPr="00CD3A9D">
        <w:rPr>
          <w:rFonts w:eastAsia="Calibri" w:cstheme="minorHAnsi"/>
        </w:rPr>
        <w:t xml:space="preserve">he primary end point of the 2015 Meltzer study was the mean change from baseline over the 7-day at-home treatment period in reflective nasal congestion scores. The </w:t>
      </w:r>
      <w:r w:rsidRPr="00CD3A9D">
        <w:rPr>
          <w:rFonts w:eastAsia="Calibri" w:cstheme="minorHAnsi"/>
        </w:rPr>
        <w:lastRenderedPageBreak/>
        <w:t xml:space="preserve">researchers concluded that none of the active PE treatment groups had any statistically significant change from baseline scores compared to the placebo arm. The mean and the standard deviation change from baseline in nasal congestion </w:t>
      </w:r>
      <w:r w:rsidRPr="00CD3A9D">
        <w:rPr>
          <w:rFonts w:eastAsia="Segoe UI" w:cstheme="minorHAnsi"/>
        </w:rPr>
        <w:t xml:space="preserve">scores in the </w:t>
      </w:r>
      <w:r w:rsidRPr="00CD3A9D">
        <w:rPr>
          <w:rFonts w:eastAsia="Calibri" w:cstheme="minorHAnsi"/>
        </w:rPr>
        <w:t xml:space="preserve">10mg, 20mg, 30mg, 40mg PE groups and placebo were -0.460 ± 0.537, -0.499 ± 0.504, -0.508 ± 0.562, -0.461 ± 0.531 and –0.428 ± 0.553 respectively. </w:t>
      </w:r>
    </w:p>
    <w:p w14:paraId="50571D6D" w14:textId="77777777" w:rsidR="00236056" w:rsidRDefault="00236056" w:rsidP="001A12C9">
      <w:pPr>
        <w:jc w:val="both"/>
        <w:rPr>
          <w:rFonts w:eastAsia="Calibri" w:cstheme="minorHAnsi"/>
          <w:color w:val="0070C0"/>
          <w:sz w:val="24"/>
          <w:szCs w:val="24"/>
        </w:rPr>
      </w:pPr>
    </w:p>
    <w:p w14:paraId="0EC31C88" w14:textId="3077B50D" w:rsidR="00947E81" w:rsidRDefault="00236056" w:rsidP="001A12C9">
      <w:pPr>
        <w:jc w:val="both"/>
        <w:rPr>
          <w:rFonts w:ascii="Arial" w:eastAsia="Calibri" w:hAnsi="Arial" w:cs="Arial"/>
          <w:b/>
          <w:bCs/>
          <w:sz w:val="22"/>
          <w:szCs w:val="22"/>
        </w:rPr>
      </w:pPr>
      <w:r w:rsidRPr="00236056">
        <w:rPr>
          <w:rFonts w:ascii="Arial" w:eastAsia="Calibri" w:hAnsi="Arial" w:cs="Arial"/>
          <w:b/>
          <w:bCs/>
          <w:sz w:val="22"/>
          <w:szCs w:val="22"/>
        </w:rPr>
        <w:t xml:space="preserve">3.2 </w:t>
      </w:r>
      <w:r w:rsidR="00CE783B" w:rsidRPr="00236056">
        <w:rPr>
          <w:rFonts w:ascii="Arial" w:eastAsia="Calibri" w:hAnsi="Arial" w:cs="Arial"/>
          <w:b/>
          <w:bCs/>
          <w:sz w:val="22"/>
          <w:szCs w:val="22"/>
        </w:rPr>
        <w:t>Effect on Nasal Airway resistance</w:t>
      </w:r>
    </w:p>
    <w:p w14:paraId="03C75F2E" w14:textId="77777777" w:rsidR="00947E81" w:rsidRPr="00236056" w:rsidRDefault="00947E81" w:rsidP="001A12C9">
      <w:pPr>
        <w:jc w:val="both"/>
        <w:rPr>
          <w:rFonts w:ascii="Arial" w:eastAsia="Calibri" w:hAnsi="Arial" w:cs="Arial"/>
          <w:b/>
          <w:bCs/>
          <w:sz w:val="22"/>
          <w:szCs w:val="22"/>
        </w:rPr>
      </w:pPr>
    </w:p>
    <w:p w14:paraId="2E68988C" w14:textId="0D35A880" w:rsidR="00CE783B" w:rsidRDefault="00CE783B" w:rsidP="001A12C9">
      <w:pPr>
        <w:jc w:val="both"/>
        <w:rPr>
          <w:rFonts w:eastAsia="Calibri" w:cstheme="minorHAnsi"/>
          <w:lang w:val="en-AU"/>
        </w:rPr>
      </w:pPr>
      <w:r w:rsidRPr="00CD3A9D">
        <w:rPr>
          <w:rFonts w:eastAsia="Calibri" w:cstheme="minorHAnsi"/>
        </w:rPr>
        <w:t xml:space="preserve">Only one study evaluated the effect PE has on nasal airway resistance which was the </w:t>
      </w:r>
      <w:proofErr w:type="spellStart"/>
      <w:r w:rsidRPr="00CD3A9D">
        <w:rPr>
          <w:rFonts w:eastAsia="Calibri" w:cstheme="minorHAnsi"/>
        </w:rPr>
        <w:t>randomised</w:t>
      </w:r>
      <w:proofErr w:type="spellEnd"/>
      <w:r w:rsidRPr="00CD3A9D">
        <w:rPr>
          <w:rFonts w:eastAsia="Calibri" w:cstheme="minorHAnsi"/>
        </w:rPr>
        <w:t xml:space="preserve"> 3-way cross over study completed by </w:t>
      </w:r>
      <w:r w:rsidRPr="00CD3A9D">
        <w:rPr>
          <w:rFonts w:eastAsia="Calibri" w:cstheme="minorHAnsi"/>
          <w:i/>
          <w:iCs/>
        </w:rPr>
        <w:t>Horak et al</w:t>
      </w:r>
      <w:r w:rsidRPr="00CD3A9D">
        <w:rPr>
          <w:rFonts w:eastAsia="Calibri" w:cstheme="minorHAnsi"/>
        </w:rPr>
        <w:t>. The results of rhinomanometry and PNIF were consistent with the results of nasal decongestion scores. PE had no significant effect on nasal airflow compared with placebo as evidenced by the rhinometry results (P = 0.12). When the results are averaged over the first</w:t>
      </w:r>
      <w:r w:rsidRPr="00CD3A9D">
        <w:rPr>
          <w:rFonts w:eastAsia="Calibri" w:cstheme="minorHAnsi"/>
          <w:lang w:val="en-AU"/>
        </w:rPr>
        <w:t xml:space="preserve"> 6 hours, PNIF showed no effect on nasal airflow with PE (P=0.94) compared to the placebo. Values of nasal airway resistance between the two groups can be seen in </w:t>
      </w:r>
      <w:r w:rsidRPr="00CD3A9D">
        <w:rPr>
          <w:rFonts w:eastAsia="Calibri" w:cstheme="minorHAnsi"/>
          <w:i/>
          <w:iCs/>
          <w:lang w:val="en-AU"/>
        </w:rPr>
        <w:t xml:space="preserve">table </w:t>
      </w:r>
      <w:r w:rsidR="0078232E">
        <w:rPr>
          <w:rFonts w:eastAsia="Calibri" w:cstheme="minorHAnsi"/>
          <w:i/>
          <w:iCs/>
          <w:lang w:val="en-AU"/>
        </w:rPr>
        <w:t>5</w:t>
      </w:r>
      <w:r w:rsidRPr="00CD3A9D">
        <w:rPr>
          <w:rFonts w:eastAsia="Calibri" w:cstheme="minorHAnsi"/>
          <w:lang w:val="en-AU"/>
        </w:rPr>
        <w:t xml:space="preserve">. </w:t>
      </w:r>
    </w:p>
    <w:p w14:paraId="3F307BFA" w14:textId="77777777" w:rsidR="005E4D1F" w:rsidRDefault="005E4D1F" w:rsidP="001A12C9">
      <w:pPr>
        <w:jc w:val="both"/>
        <w:rPr>
          <w:rFonts w:eastAsia="Calibri" w:cstheme="minorHAnsi"/>
          <w:lang w:val="en-AU"/>
        </w:rPr>
      </w:pPr>
    </w:p>
    <w:p w14:paraId="7DB1074D" w14:textId="42F8ACBB" w:rsidR="00CE783B" w:rsidRDefault="00236056" w:rsidP="001A12C9">
      <w:pPr>
        <w:jc w:val="both"/>
        <w:rPr>
          <w:rFonts w:ascii="Arial" w:eastAsia="Calibri" w:hAnsi="Arial" w:cs="Arial"/>
          <w:b/>
          <w:bCs/>
          <w:sz w:val="22"/>
          <w:szCs w:val="22"/>
          <w:lang w:val="en-AU"/>
        </w:rPr>
      </w:pPr>
      <w:r w:rsidRPr="00236056">
        <w:rPr>
          <w:rFonts w:ascii="Arial" w:eastAsia="Calibri" w:hAnsi="Arial" w:cs="Arial"/>
          <w:b/>
          <w:bCs/>
          <w:sz w:val="22"/>
          <w:szCs w:val="22"/>
          <w:lang w:val="en-AU"/>
        </w:rPr>
        <w:t xml:space="preserve">3.3 </w:t>
      </w:r>
      <w:r w:rsidR="00CE783B" w:rsidRPr="00236056">
        <w:rPr>
          <w:rFonts w:ascii="Arial" w:eastAsia="Calibri" w:hAnsi="Arial" w:cs="Arial"/>
          <w:b/>
          <w:bCs/>
          <w:sz w:val="22"/>
          <w:szCs w:val="22"/>
          <w:lang w:val="en-AU"/>
        </w:rPr>
        <w:t>Adverse reactions</w:t>
      </w:r>
    </w:p>
    <w:p w14:paraId="6CD0A8CF" w14:textId="77777777" w:rsidR="00947E81" w:rsidRPr="00236056" w:rsidRDefault="00947E81" w:rsidP="001A12C9">
      <w:pPr>
        <w:jc w:val="both"/>
        <w:rPr>
          <w:rFonts w:ascii="Arial" w:eastAsia="Calibri" w:hAnsi="Arial" w:cs="Arial"/>
          <w:b/>
          <w:bCs/>
          <w:sz w:val="22"/>
          <w:szCs w:val="22"/>
        </w:rPr>
      </w:pPr>
    </w:p>
    <w:p w14:paraId="0B720A04" w14:textId="77777777" w:rsidR="00CE783B" w:rsidRPr="00C27AA8" w:rsidRDefault="00CE783B" w:rsidP="001A12C9">
      <w:pPr>
        <w:jc w:val="both"/>
        <w:rPr>
          <w:rFonts w:eastAsia="Calibri" w:cstheme="minorHAnsi"/>
          <w:color w:val="0070C0"/>
          <w:sz w:val="24"/>
          <w:szCs w:val="24"/>
        </w:rPr>
      </w:pPr>
      <w:r w:rsidRPr="00CD3A9D">
        <w:rPr>
          <w:rFonts w:eastAsia="Calibri" w:cstheme="minorHAnsi"/>
          <w:lang w:val="en-AU"/>
        </w:rPr>
        <w:t xml:space="preserve">In </w:t>
      </w:r>
      <w:r w:rsidRPr="00CD3A9D">
        <w:rPr>
          <w:rFonts w:eastAsia="Calibri" w:cstheme="minorHAnsi"/>
          <w:i/>
          <w:iCs/>
          <w:lang w:val="en-AU"/>
        </w:rPr>
        <w:t>Horak et al</w:t>
      </w:r>
      <w:r w:rsidRPr="00CD3A9D">
        <w:rPr>
          <w:rFonts w:eastAsia="Calibri" w:cstheme="minorHAnsi"/>
          <w:lang w:val="en-AU"/>
        </w:rPr>
        <w:t>., no significant adverse effects were reported by the participants in the single dose study with no changes in vital signs after administration of treatment. The results of this study illustrate that a single dose of 12mg PE was safe and tolerated well by patients.</w:t>
      </w:r>
    </w:p>
    <w:p w14:paraId="30F6E471" w14:textId="77777777" w:rsidR="00CE783B" w:rsidRPr="00CD3A9D" w:rsidRDefault="00CE783B" w:rsidP="001A12C9">
      <w:pPr>
        <w:jc w:val="both"/>
        <w:rPr>
          <w:rFonts w:eastAsia="Calibri" w:cstheme="minorHAnsi"/>
        </w:rPr>
      </w:pPr>
      <w:r w:rsidRPr="00CD3A9D">
        <w:rPr>
          <w:rFonts w:eastAsia="Calibri" w:cstheme="minorHAnsi"/>
          <w:lang w:val="en-AU"/>
        </w:rPr>
        <w:t xml:space="preserve">In the 2015 </w:t>
      </w:r>
      <w:r w:rsidRPr="00CD3A9D">
        <w:rPr>
          <w:rFonts w:eastAsia="Calibri" w:cstheme="minorHAnsi"/>
          <w:i/>
          <w:iCs/>
          <w:lang w:val="en-AU"/>
        </w:rPr>
        <w:t>Meltzer et al.</w:t>
      </w:r>
      <w:r w:rsidRPr="00CD3A9D">
        <w:rPr>
          <w:rFonts w:eastAsia="Calibri" w:cstheme="minorHAnsi"/>
          <w:lang w:val="en-AU"/>
        </w:rPr>
        <w:t xml:space="preserve"> study, at least 1 treatment emergency adverse event was reported in 89 of 575 patients (15.5%). The most common adverse events were nervous system disorders (23 of 575 [4.0%]). The most common emergency in this group were headaches, occurring in 17 of 575 patients (3.0%), 9 of 288 (3.1%) in the PE group and 8/287 (2.8%) in the placebo group. No significant adverse events, deaths, or discontinuations due to medications were reported. The 2016 </w:t>
      </w:r>
      <w:r w:rsidRPr="00CD3A9D">
        <w:rPr>
          <w:rFonts w:eastAsia="Calibri" w:cstheme="minorHAnsi"/>
          <w:i/>
          <w:iCs/>
          <w:lang w:val="en-AU"/>
        </w:rPr>
        <w:t>Meltzer et al.</w:t>
      </w:r>
      <w:r w:rsidRPr="00CD3A9D">
        <w:rPr>
          <w:rFonts w:eastAsia="Calibri" w:cstheme="minorHAnsi"/>
          <w:lang w:val="en-AU"/>
        </w:rPr>
        <w:t xml:space="preserve"> Study recorded 18.4% of participants having an adverse event, which included headache, dry mouth, and nausea. More serious adverse events were experienced by some participants including chest pain and first-degree heart block, both of which resolved upon PE cessation. Dose related increases in systolic blood pressure and dose related decreases in heart rate were observed on follow up with patients on day 1. 5.9% of participants discontinued early due to adverse effects, loss to follow up and withdrawal. No deaths were reported during the trial. </w:t>
      </w:r>
    </w:p>
    <w:p w14:paraId="0D652428" w14:textId="77777777" w:rsidR="00CE783B" w:rsidRDefault="00CE783B" w:rsidP="001A12C9">
      <w:pPr>
        <w:pStyle w:val="paragraph"/>
        <w:spacing w:before="0" w:beforeAutospacing="0" w:after="0" w:afterAutospacing="0"/>
        <w:jc w:val="both"/>
        <w:textAlignment w:val="baseline"/>
        <w:rPr>
          <w:rStyle w:val="normaltextrun"/>
          <w:rFonts w:ascii="Arial" w:hAnsi="Arial" w:cs="Arial"/>
          <w:sz w:val="20"/>
          <w:szCs w:val="20"/>
          <w:lang w:val="en-GB"/>
        </w:rPr>
      </w:pPr>
    </w:p>
    <w:p w14:paraId="780772E3" w14:textId="440803A8" w:rsidR="00780CF3" w:rsidRDefault="00780CF3" w:rsidP="001A12C9">
      <w:pPr>
        <w:pStyle w:val="Head1"/>
        <w:spacing w:after="0"/>
        <w:jc w:val="both"/>
        <w:rPr>
          <w:rFonts w:ascii="Arial" w:hAnsi="Arial" w:cs="Arial"/>
        </w:rPr>
      </w:pPr>
      <w:r>
        <w:rPr>
          <w:rFonts w:ascii="Arial" w:hAnsi="Arial" w:cs="Arial"/>
        </w:rPr>
        <w:t>4. DISCUSSION</w:t>
      </w:r>
    </w:p>
    <w:p w14:paraId="7B5184DA" w14:textId="77777777" w:rsidR="0042208C" w:rsidRDefault="0042208C" w:rsidP="001A12C9">
      <w:pPr>
        <w:jc w:val="both"/>
        <w:rPr>
          <w:rFonts w:ascii="Arial" w:eastAsia="Calibri" w:hAnsi="Arial" w:cs="Arial"/>
        </w:rPr>
      </w:pPr>
    </w:p>
    <w:p w14:paraId="6F2B4298" w14:textId="77777777" w:rsidR="0039149F" w:rsidRDefault="0042208C" w:rsidP="001A12C9">
      <w:pPr>
        <w:jc w:val="both"/>
        <w:rPr>
          <w:rFonts w:ascii="Arial" w:eastAsia="Calibri" w:hAnsi="Arial" w:cs="Arial"/>
          <w:lang w:val="en-AU"/>
        </w:rPr>
      </w:pPr>
      <w:r w:rsidRPr="0042208C">
        <w:rPr>
          <w:rFonts w:ascii="Arial" w:eastAsia="Calibri" w:hAnsi="Arial" w:cs="Arial"/>
          <w:lang w:val="en-AU"/>
        </w:rPr>
        <w:t xml:space="preserve">Despite broad inclusion criteria and search strategy in this review update, only three randomised control trials evaluating the decongestant capacity of PE have been published since Hatton’s review. This is alarming considering universal adoption of PE as a safe and efficacious alternative to pseudoephedrine. This may be due to lack of overall interest in the scientific community, and financial disincentive from the perspective of pharmaceutical companies which tend to sponsor such trials. These three studies, in contrast to the previous review, are far more recently published and utilise modern methodologies. Recent publication also means that more detailed analysis of the studies is possible in this review update, whereas </w:t>
      </w:r>
      <w:r w:rsidRPr="0042208C">
        <w:rPr>
          <w:rFonts w:ascii="Arial" w:eastAsia="Calibri" w:hAnsi="Arial" w:cs="Arial"/>
          <w:i/>
          <w:lang w:val="en-AU"/>
        </w:rPr>
        <w:t xml:space="preserve">Hatton et al. </w:t>
      </w:r>
      <w:r w:rsidRPr="0042208C">
        <w:rPr>
          <w:rFonts w:ascii="Arial" w:eastAsia="Calibri" w:hAnsi="Arial" w:cs="Arial"/>
          <w:lang w:val="en-AU"/>
        </w:rPr>
        <w:t xml:space="preserve">state that many of their trials were missing data or lacked detailed protocols. </w:t>
      </w:r>
      <w:r w:rsidRPr="0042208C">
        <w:rPr>
          <w:rFonts w:ascii="Arial" w:eastAsia="Calibri" w:hAnsi="Arial" w:cs="Arial"/>
        </w:rPr>
        <w:t xml:space="preserve">As was the case with </w:t>
      </w:r>
      <w:r w:rsidRPr="0042208C">
        <w:rPr>
          <w:rFonts w:ascii="Arial" w:eastAsia="Calibri" w:hAnsi="Arial" w:cs="Arial"/>
          <w:i/>
        </w:rPr>
        <w:t>Hatton’s</w:t>
      </w:r>
      <w:r w:rsidRPr="0042208C">
        <w:rPr>
          <w:rFonts w:ascii="Arial" w:eastAsia="Calibri" w:hAnsi="Arial" w:cs="Arial"/>
        </w:rPr>
        <w:t xml:space="preserve"> systematic review, included studies used varying methodologies, scoring systems, and statistical analysis, meaning that patient-reported data could not be aggregated and only the results of the statistical hypothesis testing of observed changes within each study are presented.</w:t>
      </w:r>
      <w:r w:rsidRPr="0042208C">
        <w:rPr>
          <w:rFonts w:ascii="Arial" w:eastAsia="Calibri" w:hAnsi="Arial" w:cs="Arial"/>
          <w:lang w:val="en-AU"/>
        </w:rPr>
        <w:t xml:space="preserve"> </w:t>
      </w:r>
    </w:p>
    <w:p w14:paraId="5F41363D" w14:textId="77777777" w:rsidR="0039149F" w:rsidRDefault="0039149F" w:rsidP="001A12C9">
      <w:pPr>
        <w:jc w:val="both"/>
        <w:rPr>
          <w:rFonts w:ascii="Arial" w:eastAsia="Calibri" w:hAnsi="Arial" w:cs="Arial"/>
          <w:lang w:val="en-AU"/>
        </w:rPr>
      </w:pPr>
    </w:p>
    <w:p w14:paraId="2466B42E" w14:textId="5BD3967E" w:rsidR="0042208C" w:rsidRDefault="0042208C" w:rsidP="001A12C9">
      <w:pPr>
        <w:jc w:val="both"/>
        <w:rPr>
          <w:rFonts w:ascii="Arial" w:eastAsia="Calibri" w:hAnsi="Arial" w:cs="Arial"/>
        </w:rPr>
      </w:pPr>
      <w:r w:rsidRPr="0042208C">
        <w:rPr>
          <w:rFonts w:ascii="Arial" w:eastAsia="Calibri" w:hAnsi="Arial" w:cs="Arial"/>
        </w:rPr>
        <w:t xml:space="preserve">The primary end point was consistent across the studies, being the mean change in subjective symptom score from baseline. </w:t>
      </w:r>
      <w:r w:rsidRPr="0042208C">
        <w:rPr>
          <w:rFonts w:ascii="Arial" w:eastAsia="Calibri" w:hAnsi="Arial" w:cs="Arial"/>
          <w:i/>
          <w:iCs/>
        </w:rPr>
        <w:t xml:space="preserve">Horak </w:t>
      </w:r>
      <w:r w:rsidRPr="0042208C">
        <w:rPr>
          <w:rFonts w:ascii="Arial" w:eastAsia="Calibri" w:hAnsi="Arial" w:cs="Arial"/>
        </w:rPr>
        <w:t xml:space="preserve">also included secondary end points of change in rhinomanometry and peak nasal inspiratory flow (PNIF). However, duration of treatment </w:t>
      </w:r>
      <w:r w:rsidRPr="0042208C">
        <w:rPr>
          <w:rFonts w:ascii="Arial" w:eastAsia="Calibri" w:hAnsi="Arial" w:cs="Arial"/>
        </w:rPr>
        <w:lastRenderedPageBreak/>
        <w:t xml:space="preserve">varied, with </w:t>
      </w:r>
      <w:proofErr w:type="spellStart"/>
      <w:r w:rsidRPr="0042208C">
        <w:rPr>
          <w:rFonts w:ascii="Arial" w:eastAsia="Calibri" w:hAnsi="Arial" w:cs="Arial"/>
          <w:i/>
          <w:iCs/>
        </w:rPr>
        <w:t>Horak</w:t>
      </w:r>
      <w:proofErr w:type="spellEnd"/>
      <w:r w:rsidRPr="0042208C">
        <w:rPr>
          <w:rFonts w:ascii="Arial" w:eastAsia="Calibri" w:hAnsi="Arial" w:cs="Arial"/>
          <w:i/>
          <w:iCs/>
        </w:rPr>
        <w:t xml:space="preserve"> </w:t>
      </w:r>
      <w:proofErr w:type="spellStart"/>
      <w:r w:rsidRPr="0042208C">
        <w:rPr>
          <w:rFonts w:ascii="Arial" w:eastAsia="Calibri" w:hAnsi="Arial" w:cs="Arial"/>
        </w:rPr>
        <w:t>analysing</w:t>
      </w:r>
      <w:proofErr w:type="spellEnd"/>
      <w:r w:rsidRPr="0042208C">
        <w:rPr>
          <w:rFonts w:ascii="Arial" w:eastAsia="Calibri" w:hAnsi="Arial" w:cs="Arial"/>
        </w:rPr>
        <w:t xml:space="preserve"> a 6-hour treatment period within a controlled environment (</w:t>
      </w:r>
      <w:r w:rsidRPr="0042208C">
        <w:rPr>
          <w:rFonts w:ascii="Arial" w:eastAsia="Calibri" w:hAnsi="Arial" w:cs="Arial"/>
          <w:i/>
          <w:iCs/>
        </w:rPr>
        <w:t>Vienna Challenge Chamber),</w:t>
      </w:r>
      <w:r w:rsidRPr="0042208C">
        <w:rPr>
          <w:rFonts w:ascii="Arial" w:eastAsia="Calibri" w:hAnsi="Arial" w:cs="Arial"/>
        </w:rPr>
        <w:t xml:space="preserve"> </w:t>
      </w:r>
      <w:r w:rsidRPr="0042208C">
        <w:rPr>
          <w:rFonts w:ascii="Arial" w:eastAsia="Calibri" w:hAnsi="Arial" w:cs="Arial"/>
          <w:i/>
          <w:iCs/>
        </w:rPr>
        <w:t xml:space="preserve">Meltzer 2015 </w:t>
      </w:r>
      <w:r w:rsidRPr="0042208C">
        <w:rPr>
          <w:rFonts w:ascii="Arial" w:eastAsia="Calibri" w:hAnsi="Arial" w:cs="Arial"/>
        </w:rPr>
        <w:t xml:space="preserve">3.8 days, and </w:t>
      </w:r>
      <w:r w:rsidRPr="0042208C">
        <w:rPr>
          <w:rFonts w:ascii="Arial" w:eastAsia="Calibri" w:hAnsi="Arial" w:cs="Arial"/>
          <w:i/>
          <w:iCs/>
        </w:rPr>
        <w:t xml:space="preserve">Meltzer 2016 </w:t>
      </w:r>
      <w:r w:rsidRPr="0042208C">
        <w:rPr>
          <w:rFonts w:ascii="Arial" w:eastAsia="Calibri" w:hAnsi="Arial" w:cs="Arial"/>
        </w:rPr>
        <w:t xml:space="preserve">7-day treatment period. In the </w:t>
      </w:r>
      <w:r w:rsidRPr="0042208C">
        <w:rPr>
          <w:rFonts w:ascii="Arial" w:eastAsia="Calibri" w:hAnsi="Arial" w:cs="Arial"/>
          <w:i/>
          <w:iCs/>
        </w:rPr>
        <w:t xml:space="preserve">Meltzer </w:t>
      </w:r>
      <w:r w:rsidRPr="0042208C">
        <w:rPr>
          <w:rFonts w:ascii="Arial" w:eastAsia="Calibri" w:hAnsi="Arial" w:cs="Arial"/>
        </w:rPr>
        <w:t>trials, patients self-administered either intervention or placebo at home over this time and were also responsible for completing daily symptom scores.</w:t>
      </w:r>
    </w:p>
    <w:p w14:paraId="6C68F05B" w14:textId="77777777" w:rsidR="00780CF3" w:rsidRPr="0042208C" w:rsidRDefault="00780CF3" w:rsidP="001A12C9">
      <w:pPr>
        <w:jc w:val="both"/>
        <w:rPr>
          <w:rFonts w:ascii="Arial" w:eastAsia="Calibri" w:hAnsi="Arial" w:cs="Arial"/>
          <w:lang w:val="en-AU"/>
        </w:rPr>
      </w:pPr>
    </w:p>
    <w:p w14:paraId="131B1EBB" w14:textId="77777777" w:rsidR="0042208C" w:rsidRDefault="0042208C" w:rsidP="001A12C9">
      <w:pPr>
        <w:pStyle w:val="paragraph"/>
        <w:spacing w:before="0" w:beforeAutospacing="0" w:after="0" w:afterAutospacing="0"/>
        <w:jc w:val="both"/>
        <w:textAlignment w:val="baseline"/>
        <w:rPr>
          <w:rStyle w:val="eop"/>
          <w:rFonts w:ascii="Arial" w:hAnsi="Arial" w:cs="Arial"/>
          <w:sz w:val="20"/>
          <w:szCs w:val="20"/>
          <w:lang w:val="en-GB"/>
        </w:rPr>
      </w:pPr>
      <w:r w:rsidRPr="0042208C">
        <w:rPr>
          <w:rStyle w:val="normaltextrun"/>
          <w:rFonts w:ascii="Arial" w:hAnsi="Arial" w:cs="Arial"/>
          <w:sz w:val="20"/>
          <w:szCs w:val="20"/>
          <w:lang w:val="en-GB"/>
        </w:rPr>
        <w:t xml:space="preserve">Whilst these studies were reasonably well conducted there were several areas of concern that could have led to issues regarding bias. In </w:t>
      </w:r>
      <w:r w:rsidRPr="0042208C">
        <w:rPr>
          <w:rStyle w:val="normaltextrun"/>
          <w:rFonts w:ascii="Arial" w:hAnsi="Arial" w:cs="Arial"/>
          <w:i/>
          <w:iCs/>
          <w:sz w:val="20"/>
          <w:szCs w:val="20"/>
          <w:lang w:val="en-GB"/>
        </w:rPr>
        <w:t>Horak et al</w:t>
      </w:r>
      <w:r w:rsidRPr="0042208C">
        <w:rPr>
          <w:rStyle w:val="normaltextrun"/>
          <w:rFonts w:ascii="Arial" w:hAnsi="Arial" w:cs="Arial"/>
          <w:sz w:val="20"/>
          <w:szCs w:val="20"/>
          <w:lang w:val="en-GB"/>
        </w:rPr>
        <w:t>, the use subjective measurements such as nasal congestion scores and symptom questionnaires is susceptible to recall bias. It was noted during the study that there was evidence of recall bias favouring the effect of pseudoephedrine over the placebo and phenylephrine groups. This problem was also identified in the Meltzer 2015 and 2016 studies. There was moderate risk of bias in Meltzer et al. (2015) due to concerns in several areas. The authors of this trial noted some patients were potentially aware of what drug they were receiving during the trial (open label). This was because the intervention (phenylephrine) and placebo pill were not identical. it was identified during this trial that there was concomitant use of a loratadine decongestant which could have impacted the outcomes of the trial. </w:t>
      </w:r>
      <w:r w:rsidRPr="0042208C">
        <w:rPr>
          <w:rStyle w:val="eop"/>
          <w:rFonts w:ascii="Arial" w:hAnsi="Arial" w:cs="Arial"/>
          <w:sz w:val="20"/>
          <w:szCs w:val="20"/>
          <w:lang w:val="en-GB"/>
        </w:rPr>
        <w:t> </w:t>
      </w:r>
    </w:p>
    <w:p w14:paraId="5E0A6A43" w14:textId="77777777" w:rsidR="0039149F" w:rsidRPr="0042208C" w:rsidRDefault="0039149F" w:rsidP="001A12C9">
      <w:pPr>
        <w:pStyle w:val="paragraph"/>
        <w:spacing w:before="0" w:beforeAutospacing="0" w:after="0" w:afterAutospacing="0"/>
        <w:jc w:val="both"/>
        <w:textAlignment w:val="baseline"/>
        <w:rPr>
          <w:rFonts w:ascii="Arial" w:hAnsi="Arial" w:cs="Arial"/>
          <w:sz w:val="20"/>
          <w:szCs w:val="20"/>
          <w:lang w:val="en-GB"/>
        </w:rPr>
      </w:pPr>
    </w:p>
    <w:p w14:paraId="1276B37E" w14:textId="77777777" w:rsidR="0042208C" w:rsidRPr="0042208C" w:rsidRDefault="0042208C" w:rsidP="001A12C9">
      <w:pPr>
        <w:pStyle w:val="paragraph"/>
        <w:spacing w:before="0" w:beforeAutospacing="0" w:after="0" w:afterAutospacing="0"/>
        <w:jc w:val="both"/>
        <w:textAlignment w:val="baseline"/>
        <w:rPr>
          <w:rFonts w:ascii="Arial" w:hAnsi="Arial" w:cs="Arial"/>
          <w:sz w:val="20"/>
          <w:szCs w:val="20"/>
          <w:lang w:val="en-GB"/>
        </w:rPr>
      </w:pPr>
      <w:r w:rsidRPr="0042208C">
        <w:rPr>
          <w:rStyle w:val="normaltextrun"/>
          <w:rFonts w:ascii="Arial" w:hAnsi="Arial" w:cs="Arial"/>
          <w:sz w:val="20"/>
          <w:szCs w:val="20"/>
          <w:lang w:val="en-GB"/>
        </w:rPr>
        <w:t xml:space="preserve">This review has some limitations. Efficacy outcome measures heavily relied on patient symptomatic scores and diary entries rather than objective measures, the exception being </w:t>
      </w:r>
      <w:r w:rsidRPr="0042208C">
        <w:rPr>
          <w:rStyle w:val="normaltextrun"/>
          <w:rFonts w:ascii="Arial" w:hAnsi="Arial" w:cs="Arial"/>
          <w:i/>
          <w:iCs/>
          <w:sz w:val="20"/>
          <w:szCs w:val="20"/>
          <w:lang w:val="en-GB"/>
        </w:rPr>
        <w:t>Horak et al</w:t>
      </w:r>
      <w:r w:rsidRPr="0042208C">
        <w:rPr>
          <w:rStyle w:val="normaltextrun"/>
          <w:rFonts w:ascii="Arial" w:hAnsi="Arial" w:cs="Arial"/>
          <w:sz w:val="20"/>
          <w:szCs w:val="20"/>
          <w:lang w:val="en-GB"/>
        </w:rPr>
        <w:t>. It must also be noted however that the studies assessed in this report solely focused on patients with nasal congestion in association with allergic rhinitis. The results of this study however could conceivably generalise to individuals with nasal congestion from other causes such as the common cold or sinusitis. </w:t>
      </w:r>
      <w:r w:rsidRPr="0042208C">
        <w:rPr>
          <w:rStyle w:val="eop"/>
          <w:rFonts w:ascii="Arial" w:hAnsi="Arial" w:cs="Arial"/>
          <w:sz w:val="20"/>
          <w:szCs w:val="20"/>
          <w:lang w:val="en-GB"/>
        </w:rPr>
        <w:t> </w:t>
      </w:r>
    </w:p>
    <w:p w14:paraId="17F5FD72" w14:textId="77777777" w:rsidR="00D03151" w:rsidRDefault="00D03151" w:rsidP="001A12C9">
      <w:pPr>
        <w:jc w:val="both"/>
        <w:rPr>
          <w:rFonts w:eastAsia="Calibri" w:cstheme="minorHAnsi"/>
        </w:rPr>
      </w:pPr>
    </w:p>
    <w:p w14:paraId="4E96F661" w14:textId="526DAA41" w:rsidR="00B01FCD" w:rsidRDefault="0039149F" w:rsidP="001A12C9">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3CB1310" w14:textId="77777777" w:rsidR="00947E81" w:rsidRDefault="00947E81" w:rsidP="001A12C9">
      <w:pPr>
        <w:pStyle w:val="ConcHead"/>
        <w:spacing w:after="0"/>
        <w:jc w:val="both"/>
        <w:rPr>
          <w:rFonts w:ascii="Arial" w:hAnsi="Arial" w:cs="Arial"/>
        </w:rPr>
      </w:pPr>
    </w:p>
    <w:p w14:paraId="5E750E02" w14:textId="17029B13" w:rsidR="00C230E1" w:rsidRDefault="00C230E1" w:rsidP="001A12C9">
      <w:pPr>
        <w:jc w:val="both"/>
        <w:rPr>
          <w:rFonts w:eastAsia="Calibri" w:cstheme="minorHAnsi"/>
          <w:lang w:val="en-AU"/>
        </w:rPr>
      </w:pPr>
      <w:r w:rsidRPr="00CD3A9D">
        <w:rPr>
          <w:rFonts w:eastAsia="Calibri" w:cstheme="minorHAnsi"/>
          <w:lang w:val="en-AU"/>
        </w:rPr>
        <w:t xml:space="preserve">This systematic review update further supports </w:t>
      </w:r>
      <w:r w:rsidRPr="00CD3A9D">
        <w:rPr>
          <w:rFonts w:eastAsia="Calibri" w:cstheme="minorHAnsi"/>
          <w:i/>
          <w:iCs/>
          <w:lang w:val="en-AU"/>
        </w:rPr>
        <w:t xml:space="preserve">Hatton et </w:t>
      </w:r>
      <w:proofErr w:type="spellStart"/>
      <w:r w:rsidRPr="00CD3A9D">
        <w:rPr>
          <w:rFonts w:eastAsia="Calibri" w:cstheme="minorHAnsi"/>
          <w:i/>
          <w:iCs/>
          <w:lang w:val="en-AU"/>
        </w:rPr>
        <w:t>al’</w:t>
      </w:r>
      <w:r w:rsidRPr="00CD3A9D">
        <w:rPr>
          <w:rFonts w:eastAsia="Calibri" w:cstheme="minorHAnsi"/>
          <w:lang w:val="en-AU"/>
        </w:rPr>
        <w:t>s</w:t>
      </w:r>
      <w:proofErr w:type="spellEnd"/>
      <w:r w:rsidRPr="00CD3A9D">
        <w:rPr>
          <w:rFonts w:eastAsia="Calibri" w:cstheme="minorHAnsi"/>
          <w:lang w:val="en-AU"/>
        </w:rPr>
        <w:t xml:space="preserve"> conclusion that oral PE is not efficacious when taken at safe doses. The three most recent randomised control trials published fail to demonstrate any benefit for oral PE over placebo as a decongestant. This is demonstrated by the lack of statistically significant reduction in subjective symptom scores across the three studies. This hypothesis is further supported by lack of any change in objective measures of decongestion such as rhinomanometry in the </w:t>
      </w:r>
      <w:r w:rsidRPr="00CD3A9D">
        <w:rPr>
          <w:rFonts w:eastAsia="Calibri" w:cstheme="minorHAnsi"/>
          <w:i/>
          <w:iCs/>
          <w:lang w:val="en-AU"/>
        </w:rPr>
        <w:t xml:space="preserve">Horak </w:t>
      </w:r>
      <w:r w:rsidRPr="00CD3A9D">
        <w:rPr>
          <w:rFonts w:eastAsia="Calibri" w:cstheme="minorHAnsi"/>
          <w:lang w:val="en-AU"/>
        </w:rPr>
        <w:t xml:space="preserve">study. </w:t>
      </w:r>
    </w:p>
    <w:p w14:paraId="46F7495D" w14:textId="77777777" w:rsidR="0039149F" w:rsidRPr="00C27AA8" w:rsidRDefault="0039149F" w:rsidP="001A12C9">
      <w:pPr>
        <w:jc w:val="both"/>
        <w:rPr>
          <w:rFonts w:eastAsia="Calibri" w:cstheme="minorHAnsi"/>
          <w:color w:val="0070C0"/>
          <w:sz w:val="24"/>
          <w:szCs w:val="24"/>
        </w:rPr>
      </w:pPr>
    </w:p>
    <w:p w14:paraId="4BA74A80" w14:textId="6C1930A3" w:rsidR="00C230E1" w:rsidRDefault="00C230E1" w:rsidP="001A12C9">
      <w:pPr>
        <w:jc w:val="both"/>
        <w:rPr>
          <w:rFonts w:eastAsia="Calibri"/>
          <w:lang w:val="en-AU"/>
        </w:rPr>
      </w:pPr>
      <w:r w:rsidRPr="00CD3A9D">
        <w:rPr>
          <w:rFonts w:eastAsia="Calibri"/>
          <w:lang w:val="en-AU"/>
        </w:rPr>
        <w:t>Whilst the pharmacological principles behind this use of PE are sound, this does not seem to result in clinically significant patient outcomes. Reasons for this may include low bioavailability at 38% orally due to drug metabolism. PE undergoes extensive biotransformation in the gastrointestinal tract and liver whereas alternative decongestants like pseudoephedrine and phenylpropanolamine are readily and completely absorbed (</w:t>
      </w:r>
      <w:r w:rsidR="00770D43">
        <w:rPr>
          <w:rFonts w:eastAsia="Calibri"/>
          <w:lang w:val="en-AU"/>
        </w:rPr>
        <w:t xml:space="preserve">National </w:t>
      </w:r>
      <w:proofErr w:type="spellStart"/>
      <w:r w:rsidR="00770D43">
        <w:rPr>
          <w:rFonts w:eastAsia="Calibri"/>
          <w:lang w:val="en-AU"/>
        </w:rPr>
        <w:t>Center</w:t>
      </w:r>
      <w:proofErr w:type="spellEnd"/>
      <w:r w:rsidR="00770D43">
        <w:rPr>
          <w:rFonts w:eastAsia="Calibri"/>
          <w:lang w:val="en-AU"/>
        </w:rPr>
        <w:t xml:space="preserve"> for Biotechnology Information</w:t>
      </w:r>
      <w:r w:rsidR="00F52ECD">
        <w:rPr>
          <w:rFonts w:eastAsia="Calibri"/>
          <w:lang w:val="en-AU"/>
        </w:rPr>
        <w:t>, 2021</w:t>
      </w:r>
      <w:r w:rsidRPr="00CD3A9D">
        <w:rPr>
          <w:rFonts w:eastAsia="Calibri"/>
          <w:lang w:val="en-AU"/>
        </w:rPr>
        <w:t xml:space="preserve">). </w:t>
      </w:r>
    </w:p>
    <w:p w14:paraId="17105F4B" w14:textId="77777777" w:rsidR="0039149F" w:rsidRPr="00CD3A9D" w:rsidRDefault="0039149F" w:rsidP="001A12C9">
      <w:pPr>
        <w:jc w:val="both"/>
        <w:rPr>
          <w:rFonts w:eastAsia="Calibri"/>
          <w:lang w:val="en-AU"/>
        </w:rPr>
      </w:pPr>
    </w:p>
    <w:p w14:paraId="6BE2004A" w14:textId="39DAB475" w:rsidR="00C230E1" w:rsidRPr="00CD3A9D" w:rsidRDefault="00C230E1" w:rsidP="001A12C9">
      <w:pPr>
        <w:jc w:val="both"/>
        <w:rPr>
          <w:rFonts w:eastAsia="Calibri" w:cstheme="minorHAnsi"/>
          <w:lang w:val="en-AU"/>
        </w:rPr>
      </w:pPr>
      <w:r w:rsidRPr="00CD3A9D">
        <w:rPr>
          <w:rFonts w:eastAsia="Calibri" w:cstheme="minorHAnsi"/>
          <w:lang w:val="en-AU"/>
        </w:rPr>
        <w:t>Given that PE may lead to serious, albeit rare adverse effects, combined with ongoing failure to demonstrate efficacy, its widespread use is likely to cause more harm than good. It would seem likely that PE’s current registration status is that of a ‘grandfathered’ product. At the commencement of the Therapeutic Goods Act 1989 in February 1991, many products then on the market were added to the ARTG (“grandfathered”). At the time, it was indicated by TGA that these products would be reviewed as required and when resources allowed (</w:t>
      </w:r>
      <w:r w:rsidR="00770D43">
        <w:rPr>
          <w:rFonts w:eastAsia="Calibri" w:cstheme="minorHAnsi"/>
          <w:lang w:val="en-AU"/>
        </w:rPr>
        <w:t xml:space="preserve">McEwen, </w:t>
      </w:r>
      <w:r w:rsidR="0036304E">
        <w:rPr>
          <w:rFonts w:eastAsia="Calibri" w:cstheme="minorHAnsi"/>
          <w:lang w:val="en-AU"/>
        </w:rPr>
        <w:t>2007</w:t>
      </w:r>
      <w:r w:rsidRPr="00CD3A9D">
        <w:rPr>
          <w:rFonts w:eastAsia="Calibri" w:cstheme="minorHAnsi"/>
          <w:lang w:val="en-AU"/>
        </w:rPr>
        <w:t xml:space="preserve">). </w:t>
      </w:r>
      <w:r w:rsidRPr="00CD3A9D">
        <w:rPr>
          <w:rFonts w:eastAsia="Calibri" w:cstheme="minorHAnsi"/>
        </w:rPr>
        <w:t>Based on this review, we recommend that the TGA review the efficacy and safety of this common ingredient in decongestant products.</w:t>
      </w:r>
    </w:p>
    <w:p w14:paraId="41E4857C" w14:textId="77777777" w:rsidR="00790ADA" w:rsidRPr="00FB3A86" w:rsidRDefault="00790ADA" w:rsidP="001A12C9">
      <w:pPr>
        <w:pStyle w:val="Body"/>
        <w:spacing w:after="0"/>
        <w:rPr>
          <w:rFonts w:ascii="Arial" w:hAnsi="Arial" w:cs="Arial"/>
        </w:rPr>
      </w:pPr>
    </w:p>
    <w:p w14:paraId="3811963F" w14:textId="77777777" w:rsidR="00315186" w:rsidRPr="00315186" w:rsidRDefault="00315186" w:rsidP="001A12C9">
      <w:pPr>
        <w:jc w:val="both"/>
      </w:pPr>
      <w:bookmarkStart w:id="0" w:name="_GoBack"/>
      <w:bookmarkEnd w:id="0"/>
    </w:p>
    <w:p w14:paraId="5998B8C2" w14:textId="77777777" w:rsidR="00C66540" w:rsidRDefault="00C66540" w:rsidP="001A12C9">
      <w:pPr>
        <w:pStyle w:val="ReferHead"/>
        <w:spacing w:after="0"/>
        <w:jc w:val="both"/>
        <w:rPr>
          <w:rFonts w:ascii="Arial" w:hAnsi="Arial" w:cs="Arial"/>
          <w:b w:val="0"/>
          <w:caps w:val="0"/>
          <w:sz w:val="20"/>
        </w:rPr>
      </w:pPr>
    </w:p>
    <w:p w14:paraId="2A115CD7" w14:textId="77777777" w:rsidR="00C66540" w:rsidRDefault="00C66540" w:rsidP="001A12C9">
      <w:pPr>
        <w:pStyle w:val="ReferHead"/>
        <w:spacing w:after="0"/>
        <w:jc w:val="both"/>
        <w:rPr>
          <w:rFonts w:ascii="Arial" w:hAnsi="Arial" w:cs="Arial"/>
          <w:b w:val="0"/>
          <w:caps w:val="0"/>
          <w:sz w:val="20"/>
        </w:rPr>
      </w:pPr>
    </w:p>
    <w:p w14:paraId="10803D5A" w14:textId="77777777" w:rsidR="00C66540" w:rsidRPr="00C66540" w:rsidRDefault="00C66540" w:rsidP="00C66540">
      <w:pPr>
        <w:pStyle w:val="ReferHead"/>
        <w:jc w:val="both"/>
        <w:rPr>
          <w:rFonts w:ascii="Arial" w:hAnsi="Arial" w:cs="Arial"/>
          <w:b w:val="0"/>
          <w:caps w:val="0"/>
          <w:sz w:val="20"/>
        </w:rPr>
      </w:pPr>
      <w:r w:rsidRPr="00C66540">
        <w:rPr>
          <w:rFonts w:ascii="Arial" w:hAnsi="Arial" w:cs="Arial"/>
          <w:b w:val="0"/>
          <w:caps w:val="0"/>
          <w:sz w:val="20"/>
        </w:rPr>
        <w:t>COMPETING INTERESTS DISCLAIMER:</w:t>
      </w:r>
    </w:p>
    <w:p w14:paraId="127C4976" w14:textId="22BE6C0E" w:rsidR="00C66540" w:rsidRDefault="00C66540" w:rsidP="00C66540">
      <w:pPr>
        <w:pStyle w:val="ReferHead"/>
        <w:spacing w:after="0"/>
        <w:jc w:val="both"/>
        <w:rPr>
          <w:rFonts w:ascii="Arial" w:hAnsi="Arial" w:cs="Arial"/>
          <w:b w:val="0"/>
          <w:caps w:val="0"/>
          <w:sz w:val="20"/>
        </w:rPr>
      </w:pPr>
      <w:r w:rsidRPr="00C6654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B0DBD9D" w14:textId="77777777" w:rsidR="00C66540" w:rsidRDefault="00C66540" w:rsidP="001A12C9">
      <w:pPr>
        <w:pStyle w:val="ReferHead"/>
        <w:spacing w:after="0"/>
        <w:jc w:val="both"/>
        <w:rPr>
          <w:rFonts w:ascii="Arial" w:hAnsi="Arial" w:cs="Arial"/>
          <w:b w:val="0"/>
          <w:caps w:val="0"/>
          <w:sz w:val="20"/>
        </w:rPr>
      </w:pPr>
    </w:p>
    <w:p w14:paraId="5E028A29" w14:textId="77777777" w:rsidR="00C66540" w:rsidRPr="00BE7FED" w:rsidRDefault="00C66540" w:rsidP="001A12C9">
      <w:pPr>
        <w:pStyle w:val="ReferHead"/>
        <w:spacing w:after="0"/>
        <w:jc w:val="both"/>
        <w:rPr>
          <w:rFonts w:ascii="Arial" w:hAnsi="Arial" w:cs="Arial"/>
          <w:b w:val="0"/>
          <w:caps w:val="0"/>
          <w:sz w:val="20"/>
        </w:rPr>
      </w:pPr>
    </w:p>
    <w:p w14:paraId="402844DB" w14:textId="77777777" w:rsidR="002B685A" w:rsidRDefault="002B685A" w:rsidP="001A12C9">
      <w:pPr>
        <w:pStyle w:val="ReferHead"/>
        <w:spacing w:after="0"/>
        <w:jc w:val="both"/>
        <w:rPr>
          <w:rFonts w:ascii="Arial" w:hAnsi="Arial" w:cs="Arial"/>
          <w:b w:val="0"/>
          <w:caps w:val="0"/>
          <w:sz w:val="20"/>
        </w:rPr>
      </w:pPr>
    </w:p>
    <w:p w14:paraId="75724154" w14:textId="33CF3E3E" w:rsidR="004D4277" w:rsidRDefault="00B01FCD" w:rsidP="001A12C9">
      <w:pPr>
        <w:pStyle w:val="ReferHead"/>
        <w:spacing w:after="0"/>
        <w:jc w:val="both"/>
        <w:rPr>
          <w:rFonts w:ascii="Arial" w:hAnsi="Arial" w:cs="Arial"/>
        </w:rPr>
      </w:pPr>
      <w:r w:rsidRPr="00FB3A86">
        <w:rPr>
          <w:rFonts w:ascii="Arial" w:hAnsi="Arial" w:cs="Arial"/>
        </w:rPr>
        <w:t>References</w:t>
      </w:r>
    </w:p>
    <w:p w14:paraId="6C3A9C90" w14:textId="77777777" w:rsidR="005E4D1F" w:rsidRDefault="005E4D1F" w:rsidP="001A12C9">
      <w:pPr>
        <w:pStyle w:val="ReferHead"/>
        <w:spacing w:after="0"/>
        <w:jc w:val="both"/>
        <w:rPr>
          <w:rFonts w:ascii="Arial" w:hAnsi="Arial" w:cs="Arial"/>
          <w:b w:val="0"/>
        </w:rPr>
      </w:pPr>
    </w:p>
    <w:p w14:paraId="7BAF8ED9" w14:textId="77777777" w:rsidR="0051730A" w:rsidRPr="00B12128" w:rsidRDefault="0051730A" w:rsidP="001A12C9">
      <w:pPr>
        <w:pStyle w:val="ListParagraph"/>
        <w:numPr>
          <w:ilvl w:val="0"/>
          <w:numId w:val="34"/>
        </w:numPr>
        <w:spacing w:after="0"/>
        <w:jc w:val="both"/>
        <w:rPr>
          <w:rFonts w:eastAsiaTheme="minorEastAsia" w:cstheme="minorHAnsi"/>
          <w:sz w:val="20"/>
          <w:szCs w:val="20"/>
        </w:rPr>
      </w:pPr>
      <w:r w:rsidRPr="00B12128">
        <w:rPr>
          <w:rFonts w:cstheme="minorHAnsi"/>
          <w:sz w:val="20"/>
          <w:szCs w:val="20"/>
        </w:rPr>
        <w:t>The Australian Lung Foundation. Respiratory Infectious disease burden in Australia. Published March 2007. Accessed January 2, 2021. https://www.thoracic.org.au/journal-publishing/command/download_file/id/21/filename/Respiratory_Infectious_Disease_Burden_in_Australia,_Edition_1,_March_2007_ [PDF].pdf</w:t>
      </w:r>
    </w:p>
    <w:p w14:paraId="190820F5"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A. Mark Fendrick, MD</w:t>
      </w:r>
      <w:r w:rsidRPr="00CD3A9D">
        <w:rPr>
          <w:rFonts w:cstheme="minorHAnsi"/>
          <w:color w:val="333333"/>
          <w:sz w:val="20"/>
          <w:szCs w:val="20"/>
        </w:rPr>
        <w:t xml:space="preserve">; </w:t>
      </w:r>
      <w:r w:rsidRPr="00CD3A9D">
        <w:rPr>
          <w:rFonts w:cstheme="minorHAnsi"/>
          <w:sz w:val="20"/>
          <w:szCs w:val="20"/>
        </w:rPr>
        <w:t>Arnold S. Monto, MD</w:t>
      </w:r>
      <w:r w:rsidRPr="00CD3A9D">
        <w:rPr>
          <w:rFonts w:cstheme="minorHAnsi"/>
          <w:color w:val="333333"/>
          <w:sz w:val="20"/>
          <w:szCs w:val="20"/>
        </w:rPr>
        <w:t xml:space="preserve">; </w:t>
      </w:r>
      <w:r w:rsidRPr="00CD3A9D">
        <w:rPr>
          <w:rFonts w:cstheme="minorHAnsi"/>
          <w:sz w:val="20"/>
          <w:szCs w:val="20"/>
        </w:rPr>
        <w:t>Brian Nightingale, PhD</w:t>
      </w:r>
      <w:r w:rsidRPr="00CD3A9D">
        <w:rPr>
          <w:rFonts w:cstheme="minorHAnsi"/>
          <w:color w:val="333333"/>
          <w:sz w:val="20"/>
          <w:szCs w:val="20"/>
        </w:rPr>
        <w:t xml:space="preserve">; </w:t>
      </w:r>
      <w:r w:rsidRPr="00CD3A9D">
        <w:rPr>
          <w:rFonts w:cstheme="minorHAnsi"/>
          <w:color w:val="444444"/>
          <w:sz w:val="20"/>
          <w:szCs w:val="20"/>
        </w:rPr>
        <w:t xml:space="preserve">et al. The Economic Burden of Non-Influenza Related Viral Respiratory Tract Infection in The United States. Published February 24, 2003. Accessed January 2, 2021. </w:t>
      </w:r>
      <w:r w:rsidRPr="00CD3A9D">
        <w:rPr>
          <w:rFonts w:cstheme="minorHAnsi"/>
          <w:sz w:val="20"/>
          <w:szCs w:val="20"/>
        </w:rPr>
        <w:t>https://jamanetwork.com/journals/jamainternalmedicine/fullarticle/215118</w:t>
      </w:r>
    </w:p>
    <w:p w14:paraId="67E50FDF"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eastAsiaTheme="minorEastAsia" w:cstheme="minorHAnsi"/>
          <w:sz w:val="20"/>
          <w:szCs w:val="20"/>
        </w:rPr>
        <w:t xml:space="preserve">Registration of products containing PE in place of pseudoephedrine [Internet]. Therapeutic Goods Administration (TGA). 2021 [cited 20 February 2021]. Available from: https://www.tga.gov.au/registration-products-containing-PE-place-pseudoephedrine </w:t>
      </w:r>
    </w:p>
    <w:p w14:paraId="599ED90B" w14:textId="77777777" w:rsidR="0051730A" w:rsidRPr="00CD3A9D" w:rsidRDefault="0051730A" w:rsidP="001A12C9">
      <w:pPr>
        <w:pStyle w:val="ListParagraph"/>
        <w:numPr>
          <w:ilvl w:val="0"/>
          <w:numId w:val="34"/>
        </w:numPr>
        <w:spacing w:after="0"/>
        <w:jc w:val="both"/>
        <w:rPr>
          <w:rFonts w:eastAsiaTheme="minorEastAsia"/>
          <w:sz w:val="20"/>
          <w:szCs w:val="20"/>
        </w:rPr>
      </w:pPr>
      <w:r w:rsidRPr="00CD3A9D">
        <w:rPr>
          <w:sz w:val="20"/>
          <w:szCs w:val="20"/>
        </w:rPr>
        <w:t xml:space="preserve">Eccles, R. Substitution of PE for pseudoephedrine as a nasal decongestant, </w:t>
      </w:r>
      <w:proofErr w:type="gramStart"/>
      <w:r w:rsidRPr="00CD3A9D">
        <w:rPr>
          <w:sz w:val="20"/>
          <w:szCs w:val="20"/>
        </w:rPr>
        <w:t>An</w:t>
      </w:r>
      <w:proofErr w:type="gramEnd"/>
      <w:r w:rsidRPr="00CD3A9D">
        <w:rPr>
          <w:sz w:val="20"/>
          <w:szCs w:val="20"/>
        </w:rPr>
        <w:t xml:space="preserve"> illogical way to control methamphetamine abuse. Published November 20, 2006. Accessed January 2, 2021. https://bpspubs.onlinelibrary.wiley.com/doi/10.1111/j.1365-2125.2006.02833.x</w:t>
      </w:r>
    </w:p>
    <w:p w14:paraId="3DF95E94" w14:textId="77777777" w:rsidR="0051730A" w:rsidRPr="00CD3A9D" w:rsidRDefault="0051730A" w:rsidP="001A12C9">
      <w:pPr>
        <w:pStyle w:val="ListParagraph"/>
        <w:numPr>
          <w:ilvl w:val="0"/>
          <w:numId w:val="34"/>
        </w:numPr>
        <w:spacing w:after="0"/>
        <w:jc w:val="both"/>
        <w:rPr>
          <w:rFonts w:cstheme="minorHAnsi"/>
          <w:sz w:val="20"/>
          <w:szCs w:val="20"/>
        </w:rPr>
      </w:pPr>
      <w:r w:rsidRPr="00CD3A9D">
        <w:rPr>
          <w:rFonts w:cstheme="minorHAnsi"/>
          <w:sz w:val="20"/>
          <w:szCs w:val="20"/>
        </w:rPr>
        <w:t xml:space="preserve">Hatton RC, Winterstein AG, McKelvey RP, Shuster J, </w:t>
      </w:r>
      <w:proofErr w:type="spellStart"/>
      <w:r w:rsidRPr="00CD3A9D">
        <w:rPr>
          <w:rFonts w:cstheme="minorHAnsi"/>
          <w:sz w:val="20"/>
          <w:szCs w:val="20"/>
        </w:rPr>
        <w:t>Hendeles</w:t>
      </w:r>
      <w:proofErr w:type="spellEnd"/>
      <w:r w:rsidRPr="00CD3A9D">
        <w:rPr>
          <w:rFonts w:cstheme="minorHAnsi"/>
          <w:sz w:val="20"/>
          <w:szCs w:val="20"/>
        </w:rPr>
        <w:t xml:space="preserve"> L. Efficacy and safety of oral PE: systematic review and meta-analysis. Published January 30, 2007. Accessed January 2, 2021. </w:t>
      </w:r>
    </w:p>
    <w:p w14:paraId="22AE169B"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The University of Edinburgh. Preclinical Systematic Review and Meta-analysis Facility (</w:t>
      </w:r>
      <w:proofErr w:type="spellStart"/>
      <w:r w:rsidRPr="00CD3A9D">
        <w:rPr>
          <w:rFonts w:cstheme="minorHAnsi"/>
          <w:sz w:val="20"/>
          <w:szCs w:val="20"/>
        </w:rPr>
        <w:t>SyRF</w:t>
      </w:r>
      <w:proofErr w:type="spellEnd"/>
      <w:r w:rsidRPr="00CD3A9D">
        <w:rPr>
          <w:rFonts w:cstheme="minorHAnsi"/>
          <w:sz w:val="20"/>
          <w:szCs w:val="20"/>
        </w:rPr>
        <w:t>). Published 2014. Accessed February 6, 2021. http://syrf.org.uk/systematic-review/</w:t>
      </w:r>
    </w:p>
    <w:p w14:paraId="0BA5ECB0"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Bond University Institute for Evidence-Based Healthcare. Robot Search. Published 2020. Accessed January 4, 2021. https://robotsearch.vortext.systems/</w:t>
      </w:r>
    </w:p>
    <w:p w14:paraId="7775CE23" w14:textId="77777777" w:rsidR="0051730A" w:rsidRPr="00CD3A9D" w:rsidRDefault="0051730A" w:rsidP="001A12C9">
      <w:pPr>
        <w:pStyle w:val="ListParagraph"/>
        <w:numPr>
          <w:ilvl w:val="0"/>
          <w:numId w:val="34"/>
        </w:numPr>
        <w:spacing w:after="0"/>
        <w:jc w:val="both"/>
        <w:rPr>
          <w:rStyle w:val="Hyperlink"/>
          <w:rFonts w:eastAsiaTheme="minorEastAsia" w:cstheme="minorHAnsi"/>
          <w:sz w:val="20"/>
          <w:szCs w:val="20"/>
        </w:rPr>
      </w:pPr>
      <w:r w:rsidRPr="00CD3A9D">
        <w:rPr>
          <w:rFonts w:eastAsia="Arial" w:cstheme="minorHAnsi"/>
          <w:color w:val="222222"/>
          <w:sz w:val="20"/>
          <w:szCs w:val="20"/>
        </w:rPr>
        <w:t xml:space="preserve">Clark J, </w:t>
      </w:r>
      <w:proofErr w:type="spellStart"/>
      <w:r w:rsidRPr="00CD3A9D">
        <w:rPr>
          <w:rFonts w:eastAsia="Arial" w:cstheme="minorHAnsi"/>
          <w:color w:val="222222"/>
          <w:sz w:val="20"/>
          <w:szCs w:val="20"/>
        </w:rPr>
        <w:t>Glasziou</w:t>
      </w:r>
      <w:proofErr w:type="spellEnd"/>
      <w:r w:rsidRPr="00CD3A9D">
        <w:rPr>
          <w:rFonts w:eastAsia="Arial" w:cstheme="minorHAnsi"/>
          <w:color w:val="222222"/>
          <w:sz w:val="20"/>
          <w:szCs w:val="20"/>
        </w:rPr>
        <w:t xml:space="preserve"> P, Del Mar C, Bannach-Brown A, Stehlik P, Scott AM. (2020). A full systematic review was completed in 2 weeks using automation tools: a case study. J Clin </w:t>
      </w:r>
      <w:proofErr w:type="spellStart"/>
      <w:r w:rsidRPr="00CD3A9D">
        <w:rPr>
          <w:rFonts w:eastAsia="Arial" w:cstheme="minorHAnsi"/>
          <w:color w:val="222222"/>
          <w:sz w:val="20"/>
          <w:szCs w:val="20"/>
        </w:rPr>
        <w:t>Epidemiol</w:t>
      </w:r>
      <w:proofErr w:type="spellEnd"/>
      <w:r w:rsidRPr="00CD3A9D">
        <w:rPr>
          <w:rFonts w:eastAsia="Arial" w:cstheme="minorHAnsi"/>
          <w:color w:val="222222"/>
          <w:sz w:val="20"/>
          <w:szCs w:val="20"/>
        </w:rPr>
        <w:t xml:space="preserve">. 2020 Jan 28; 121:81-90. </w:t>
      </w:r>
      <w:proofErr w:type="spellStart"/>
      <w:r w:rsidRPr="00CD3A9D">
        <w:rPr>
          <w:rFonts w:eastAsia="Arial" w:cstheme="minorHAnsi"/>
          <w:color w:val="222222"/>
          <w:sz w:val="20"/>
          <w:szCs w:val="20"/>
        </w:rPr>
        <w:t>doi</w:t>
      </w:r>
      <w:proofErr w:type="spellEnd"/>
      <w:r w:rsidRPr="00CD3A9D">
        <w:rPr>
          <w:rFonts w:eastAsia="Arial" w:cstheme="minorHAnsi"/>
          <w:color w:val="222222"/>
          <w:sz w:val="20"/>
          <w:szCs w:val="20"/>
        </w:rPr>
        <w:t xml:space="preserve">: 10.1016/j.jclinepi.2020.01.008. Citation: </w:t>
      </w:r>
      <w:r w:rsidRPr="00CD3A9D">
        <w:rPr>
          <w:rFonts w:eastAsia="Arial" w:cstheme="minorHAnsi"/>
          <w:sz w:val="20"/>
          <w:szCs w:val="20"/>
        </w:rPr>
        <w:t>https://www.ncbi.nlm.nih.gov/pubmed/32004673</w:t>
      </w:r>
    </w:p>
    <w:p w14:paraId="7D720960"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 xml:space="preserve">Bond University Institute for Evidence-Based Healthcare. </w:t>
      </w:r>
      <w:proofErr w:type="spellStart"/>
      <w:r w:rsidRPr="00CD3A9D">
        <w:rPr>
          <w:rFonts w:cstheme="minorHAnsi"/>
          <w:sz w:val="20"/>
          <w:szCs w:val="20"/>
        </w:rPr>
        <w:t>Disputatron</w:t>
      </w:r>
      <w:proofErr w:type="spellEnd"/>
      <w:r w:rsidRPr="00CD3A9D">
        <w:rPr>
          <w:rFonts w:cstheme="minorHAnsi"/>
          <w:sz w:val="20"/>
          <w:szCs w:val="20"/>
        </w:rPr>
        <w:t xml:space="preserve"> Reference Resolver. Published 2020. Accessed February 5, 2021. https://sr-accelerator.com/#/disputatron </w:t>
      </w:r>
    </w:p>
    <w:p w14:paraId="1ADEA109"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cstheme="minorHAnsi"/>
          <w:sz w:val="20"/>
          <w:szCs w:val="20"/>
        </w:rPr>
        <w:t>Cochrane Library. Revised Cochrane Risk of Bias Tool for Randomised Trials (</w:t>
      </w:r>
      <w:proofErr w:type="spellStart"/>
      <w:r w:rsidRPr="00CD3A9D">
        <w:rPr>
          <w:rFonts w:cstheme="minorHAnsi"/>
          <w:sz w:val="20"/>
          <w:szCs w:val="20"/>
        </w:rPr>
        <w:t>RoB</w:t>
      </w:r>
      <w:proofErr w:type="spellEnd"/>
      <w:r w:rsidRPr="00CD3A9D">
        <w:rPr>
          <w:rFonts w:cstheme="minorHAnsi"/>
          <w:sz w:val="20"/>
          <w:szCs w:val="20"/>
        </w:rPr>
        <w:t xml:space="preserve"> 2). Published August 22, 2019. Accessed February 4, 2021. https://drive.google.com/file/d/19R9savfPdCHC8XLz2iiMvL_71lPJERWK/view </w:t>
      </w:r>
    </w:p>
    <w:p w14:paraId="69D4A52B"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eastAsiaTheme="minorEastAsia" w:cstheme="minorHAnsi"/>
          <w:sz w:val="20"/>
          <w:szCs w:val="20"/>
        </w:rPr>
        <w:t xml:space="preserve">Eccles R. Substitution of PE for pseudoephedrine as a nasal </w:t>
      </w:r>
      <w:proofErr w:type="spellStart"/>
      <w:r w:rsidRPr="00CD3A9D">
        <w:rPr>
          <w:rFonts w:eastAsiaTheme="minorEastAsia" w:cstheme="minorHAnsi"/>
          <w:sz w:val="20"/>
          <w:szCs w:val="20"/>
        </w:rPr>
        <w:t>decongeststant</w:t>
      </w:r>
      <w:proofErr w:type="spellEnd"/>
      <w:r w:rsidRPr="00CD3A9D">
        <w:rPr>
          <w:rFonts w:eastAsiaTheme="minorEastAsia" w:cstheme="minorHAnsi"/>
          <w:sz w:val="20"/>
          <w:szCs w:val="20"/>
        </w:rPr>
        <w:t>. An illogical way to control methamphetamine abuse. British Journal of Clinical Pharmacology. 2007;63(1):10-14.</w:t>
      </w:r>
    </w:p>
    <w:p w14:paraId="1DD146BA" w14:textId="77777777" w:rsidR="0051730A" w:rsidRPr="00CD3A9D" w:rsidRDefault="0051730A" w:rsidP="001A12C9">
      <w:pPr>
        <w:pStyle w:val="ListParagraph"/>
        <w:numPr>
          <w:ilvl w:val="0"/>
          <w:numId w:val="34"/>
        </w:numPr>
        <w:spacing w:after="0"/>
        <w:jc w:val="both"/>
        <w:rPr>
          <w:rFonts w:eastAsiaTheme="minorEastAsia" w:cstheme="minorHAnsi"/>
          <w:sz w:val="20"/>
          <w:szCs w:val="20"/>
        </w:rPr>
      </w:pPr>
      <w:r w:rsidRPr="00CD3A9D">
        <w:rPr>
          <w:rFonts w:eastAsiaTheme="minorEastAsia" w:cstheme="minorHAnsi"/>
          <w:sz w:val="20"/>
          <w:szCs w:val="20"/>
        </w:rPr>
        <w:t xml:space="preserve">Brown E. Clandestine Methamphetamine Manufacturing [Internet]. Sog.unc.edu. 2021 [cited 15 February 2021]. Available from: </w:t>
      </w:r>
      <w:r w:rsidRPr="00CD3A9D">
        <w:rPr>
          <w:rFonts w:eastAsiaTheme="minorEastAsia" w:cstheme="minorHAnsi"/>
          <w:sz w:val="20"/>
          <w:szCs w:val="20"/>
        </w:rPr>
        <w:lastRenderedPageBreak/>
        <w:t>https://www.sog.unc.edu/sites/www.sog.unc.edu/files/course_materials/UNC_Meth_Presentation_29Oct2015_0.pdf</w:t>
      </w:r>
    </w:p>
    <w:p w14:paraId="00931AD3" w14:textId="231BEF5C" w:rsidR="0051730A" w:rsidRPr="00CD3A9D" w:rsidRDefault="004E2464" w:rsidP="001A12C9">
      <w:pPr>
        <w:pStyle w:val="ListParagraph"/>
        <w:numPr>
          <w:ilvl w:val="0"/>
          <w:numId w:val="34"/>
        </w:numPr>
        <w:spacing w:after="0"/>
        <w:jc w:val="both"/>
        <w:rPr>
          <w:rFonts w:eastAsiaTheme="minorEastAsia" w:cstheme="minorHAnsi"/>
          <w:sz w:val="20"/>
          <w:szCs w:val="20"/>
        </w:rPr>
      </w:pPr>
      <w:r>
        <w:rPr>
          <w:rFonts w:eastAsiaTheme="minorEastAsia" w:cstheme="minorHAnsi"/>
          <w:sz w:val="20"/>
          <w:szCs w:val="20"/>
        </w:rPr>
        <w:t>The Pharmacy Guild of Australia</w:t>
      </w:r>
      <w:r w:rsidR="0051730A" w:rsidRPr="00CD3A9D">
        <w:rPr>
          <w:rFonts w:eastAsiaTheme="minorEastAsia" w:cstheme="minorHAnsi"/>
          <w:sz w:val="20"/>
          <w:szCs w:val="20"/>
        </w:rPr>
        <w:t>. Guild.org.au. 2020 [cited 15 February 2021]. Available from: https://www.guild.org.au/guild-branches/nsw/professional-services/health-services/pseudoephedrine-recording</w:t>
      </w:r>
    </w:p>
    <w:p w14:paraId="2678CE8C" w14:textId="77777777" w:rsidR="0051730A" w:rsidRPr="00CD3A9D" w:rsidRDefault="0051730A" w:rsidP="001A12C9">
      <w:pPr>
        <w:pStyle w:val="Bibliography"/>
        <w:numPr>
          <w:ilvl w:val="0"/>
          <w:numId w:val="34"/>
        </w:numPr>
        <w:jc w:val="both"/>
        <w:rPr>
          <w:rFonts w:cstheme="minorHAnsi"/>
          <w:noProof/>
          <w:sz w:val="20"/>
          <w:szCs w:val="20"/>
          <w:lang w:val="en-GB"/>
        </w:rPr>
      </w:pPr>
      <w:r w:rsidRPr="00CD3A9D">
        <w:rPr>
          <w:rFonts w:cstheme="minorHAnsi"/>
          <w:noProof/>
          <w:sz w:val="20"/>
          <w:szCs w:val="20"/>
          <w:lang w:val="en-GB"/>
        </w:rPr>
        <w:t xml:space="preserve">Cochrane Training, 2020 [cited 13 March 2021]. </w:t>
      </w:r>
      <w:r w:rsidRPr="00CD3A9D">
        <w:rPr>
          <w:rFonts w:cstheme="minorHAnsi"/>
          <w:i/>
          <w:iCs/>
          <w:noProof/>
          <w:sz w:val="20"/>
          <w:szCs w:val="20"/>
          <w:lang w:val="en-GB"/>
        </w:rPr>
        <w:t xml:space="preserve">Review Manager (RevMan). </w:t>
      </w:r>
      <w:r w:rsidRPr="00CD3A9D">
        <w:rPr>
          <w:rFonts w:cstheme="minorHAnsi"/>
          <w:noProof/>
          <w:sz w:val="20"/>
          <w:szCs w:val="20"/>
          <w:lang w:val="en-GB"/>
        </w:rPr>
        <w:t xml:space="preserve">Available from https://training.cochrane.org/online-learning/core-software-cochrane-reviews/revman. </w:t>
      </w:r>
    </w:p>
    <w:p w14:paraId="039885B0"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 xml:space="preserve">Yepes-Nuñez J, </w:t>
      </w:r>
      <w:proofErr w:type="spellStart"/>
      <w:r w:rsidRPr="00CD3A9D">
        <w:rPr>
          <w:rFonts w:cstheme="minorHAnsi"/>
          <w:color w:val="000000"/>
          <w:sz w:val="20"/>
          <w:szCs w:val="20"/>
          <w:shd w:val="clear" w:color="auto" w:fill="FFFFFF"/>
        </w:rPr>
        <w:t>Bartra</w:t>
      </w:r>
      <w:proofErr w:type="spellEnd"/>
      <w:r w:rsidRPr="00CD3A9D">
        <w:rPr>
          <w:rFonts w:cstheme="minorHAnsi"/>
          <w:color w:val="000000"/>
          <w:sz w:val="20"/>
          <w:szCs w:val="20"/>
          <w:shd w:val="clear" w:color="auto" w:fill="FFFFFF"/>
        </w:rPr>
        <w:t xml:space="preserve"> J, Muñoz-Cano R, Sánchez-López J, Serrano C, </w:t>
      </w:r>
      <w:proofErr w:type="spellStart"/>
      <w:r w:rsidRPr="00CD3A9D">
        <w:rPr>
          <w:rFonts w:cstheme="minorHAnsi"/>
          <w:color w:val="000000"/>
          <w:sz w:val="20"/>
          <w:szCs w:val="20"/>
          <w:shd w:val="clear" w:color="auto" w:fill="FFFFFF"/>
        </w:rPr>
        <w:t>Mullol</w:t>
      </w:r>
      <w:proofErr w:type="spellEnd"/>
      <w:r w:rsidRPr="00CD3A9D">
        <w:rPr>
          <w:rFonts w:cstheme="minorHAnsi"/>
          <w:color w:val="000000"/>
          <w:sz w:val="20"/>
          <w:szCs w:val="20"/>
          <w:shd w:val="clear" w:color="auto" w:fill="FFFFFF"/>
        </w:rPr>
        <w:t xml:space="preserve"> J et al. Assessment of nasal obstruction: Correlation between subjective and objective techniques. </w:t>
      </w:r>
      <w:proofErr w:type="spellStart"/>
      <w:r w:rsidRPr="00CD3A9D">
        <w:rPr>
          <w:rFonts w:cstheme="minorHAnsi"/>
          <w:color w:val="000000"/>
          <w:sz w:val="20"/>
          <w:szCs w:val="20"/>
          <w:shd w:val="clear" w:color="auto" w:fill="FFFFFF"/>
        </w:rPr>
        <w:t>Allergologia</w:t>
      </w:r>
      <w:proofErr w:type="spellEnd"/>
      <w:r w:rsidRPr="00CD3A9D">
        <w:rPr>
          <w:rFonts w:cstheme="minorHAnsi"/>
          <w:color w:val="000000"/>
          <w:sz w:val="20"/>
          <w:szCs w:val="20"/>
          <w:shd w:val="clear" w:color="auto" w:fill="FFFFFF"/>
        </w:rPr>
        <w:t xml:space="preserve"> et </w:t>
      </w:r>
      <w:proofErr w:type="spellStart"/>
      <w:r w:rsidRPr="00CD3A9D">
        <w:rPr>
          <w:rFonts w:cstheme="minorHAnsi"/>
          <w:color w:val="000000"/>
          <w:sz w:val="20"/>
          <w:szCs w:val="20"/>
          <w:shd w:val="clear" w:color="auto" w:fill="FFFFFF"/>
        </w:rPr>
        <w:t>Immunopathologia</w:t>
      </w:r>
      <w:proofErr w:type="spellEnd"/>
      <w:r w:rsidRPr="00CD3A9D">
        <w:rPr>
          <w:rFonts w:cstheme="minorHAnsi"/>
          <w:color w:val="000000"/>
          <w:sz w:val="20"/>
          <w:szCs w:val="20"/>
          <w:shd w:val="clear" w:color="auto" w:fill="FFFFFF"/>
        </w:rPr>
        <w:t xml:space="preserve">. 2013;41(6):397-401. </w:t>
      </w:r>
    </w:p>
    <w:p w14:paraId="0D4D7217"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Janin A, Monnet J. Bioavailability of paracetamol, PE hydrochloride and guaifenesin in a fixed-combination syrup versus an oral reference product. Journal of International Medical Research. 2014;42(2):347-359.</w:t>
      </w:r>
    </w:p>
    <w:p w14:paraId="6F1EA093"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 xml:space="preserve"> Janin A, Monnet J. Bioavailability of paracetamol, PE hydrochloride and guaifenesin in a fixed-combination syrup versus an oral reference product. Journal of International Medical Research. 2014;42(2):347-359</w:t>
      </w:r>
    </w:p>
    <w:p w14:paraId="05032326"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 xml:space="preserve">2. Search the TGA website [Internet]. Therapeutic Goods Administration (TGA). 2021 [cited 14 July 2021]. Available from: https://tga-search.clients.funnelback.com/s/search.html?query=PE&amp;collection=tga-artg&amp;start_rank=51 </w:t>
      </w:r>
    </w:p>
    <w:p w14:paraId="228FA8C8" w14:textId="77777777" w:rsidR="005E4D1F" w:rsidRPr="003C0BE7" w:rsidRDefault="005E4D1F" w:rsidP="001A12C9">
      <w:pPr>
        <w:pStyle w:val="Bibliography"/>
        <w:numPr>
          <w:ilvl w:val="0"/>
          <w:numId w:val="34"/>
        </w:numPr>
        <w:jc w:val="both"/>
        <w:rPr>
          <w:rFonts w:cstheme="minorHAnsi"/>
          <w:color w:val="000000"/>
          <w:sz w:val="20"/>
          <w:szCs w:val="20"/>
          <w:shd w:val="clear" w:color="auto" w:fill="FFFFFF"/>
        </w:rPr>
      </w:pPr>
      <w:r w:rsidRPr="00A12531">
        <w:rPr>
          <w:rFonts w:cstheme="minorHAnsi"/>
          <w:color w:val="000000"/>
          <w:sz w:val="20"/>
          <w:szCs w:val="20"/>
          <w:shd w:val="clear" w:color="auto" w:fill="FFFFFF"/>
          <w:lang w:val="en-GB"/>
        </w:rPr>
        <w:t xml:space="preserve">National </w:t>
      </w:r>
      <w:proofErr w:type="spellStart"/>
      <w:r w:rsidRPr="00A12531">
        <w:rPr>
          <w:rFonts w:cstheme="minorHAnsi"/>
          <w:color w:val="000000"/>
          <w:sz w:val="20"/>
          <w:szCs w:val="20"/>
          <w:shd w:val="clear" w:color="auto" w:fill="FFFFFF"/>
          <w:lang w:val="en-GB"/>
        </w:rPr>
        <w:t>Center</w:t>
      </w:r>
      <w:proofErr w:type="spellEnd"/>
      <w:r w:rsidRPr="00A12531">
        <w:rPr>
          <w:rFonts w:cstheme="minorHAnsi"/>
          <w:color w:val="000000"/>
          <w:sz w:val="20"/>
          <w:szCs w:val="20"/>
          <w:shd w:val="clear" w:color="auto" w:fill="FFFFFF"/>
          <w:lang w:val="en-GB"/>
        </w:rPr>
        <w:t xml:space="preserve"> for Biotechnology Information (2025). PubChem Compound Summary for CID 7028, Pseudoephedrine. Retrieved </w:t>
      </w:r>
      <w:r>
        <w:rPr>
          <w:rFonts w:cstheme="minorHAnsi"/>
          <w:color w:val="000000"/>
          <w:sz w:val="20"/>
          <w:szCs w:val="20"/>
          <w:shd w:val="clear" w:color="auto" w:fill="FFFFFF"/>
          <w:lang w:val="en-GB"/>
        </w:rPr>
        <w:t>July 16, 2021</w:t>
      </w:r>
      <w:r w:rsidRPr="00A12531">
        <w:rPr>
          <w:rFonts w:cstheme="minorHAnsi"/>
          <w:color w:val="000000"/>
          <w:sz w:val="20"/>
          <w:szCs w:val="20"/>
          <w:shd w:val="clear" w:color="auto" w:fill="FFFFFF"/>
          <w:lang w:val="en-GB"/>
        </w:rPr>
        <w:t xml:space="preserve"> from </w:t>
      </w:r>
      <w:hyperlink r:id="rId18" w:history="1">
        <w:r w:rsidRPr="00A12531">
          <w:rPr>
            <w:rStyle w:val="Hyperlink"/>
            <w:rFonts w:cstheme="minorHAnsi"/>
            <w:sz w:val="20"/>
            <w:szCs w:val="20"/>
            <w:shd w:val="clear" w:color="auto" w:fill="FFFFFF"/>
            <w:lang w:val="en-GB"/>
          </w:rPr>
          <w:t>https://pubchem.ncbi.nlm.nih.gov/compound/Pseudoephedrine</w:t>
        </w:r>
      </w:hyperlink>
      <w:r w:rsidRPr="00A12531">
        <w:rPr>
          <w:rFonts w:cstheme="minorHAnsi"/>
          <w:color w:val="000000"/>
          <w:sz w:val="20"/>
          <w:szCs w:val="20"/>
          <w:shd w:val="clear" w:color="auto" w:fill="FFFFFF"/>
          <w:lang w:val="en-GB"/>
        </w:rPr>
        <w:t>.</w:t>
      </w:r>
    </w:p>
    <w:p w14:paraId="0BD4E804" w14:textId="77777777" w:rsidR="0051730A" w:rsidRPr="00CD3A9D" w:rsidRDefault="0051730A" w:rsidP="001A12C9">
      <w:pPr>
        <w:pStyle w:val="Bibliography"/>
        <w:numPr>
          <w:ilvl w:val="0"/>
          <w:numId w:val="34"/>
        </w:numPr>
        <w:jc w:val="both"/>
        <w:rPr>
          <w:rFonts w:cstheme="minorHAnsi"/>
          <w:color w:val="000000"/>
          <w:sz w:val="20"/>
          <w:szCs w:val="20"/>
          <w:shd w:val="clear" w:color="auto" w:fill="FFFFFF"/>
        </w:rPr>
      </w:pPr>
      <w:r w:rsidRPr="00CD3A9D">
        <w:rPr>
          <w:rFonts w:cstheme="minorHAnsi"/>
          <w:color w:val="000000"/>
          <w:sz w:val="20"/>
          <w:szCs w:val="20"/>
          <w:shd w:val="clear" w:color="auto" w:fill="FFFFFF"/>
        </w:rPr>
        <w:t>McEwen J. A history of Therapeutic Goods Regulation in Australia. Commonwealth of Australia 2007. ISBN 978-0-9804229-0-0</w:t>
      </w:r>
    </w:p>
    <w:p w14:paraId="6C5FF4F2" w14:textId="1DF5C765" w:rsidR="0051730A" w:rsidRPr="00FB3A86" w:rsidRDefault="0051730A" w:rsidP="001A12C9">
      <w:pPr>
        <w:pStyle w:val="Appendix"/>
        <w:spacing w:after="0"/>
        <w:jc w:val="both"/>
        <w:rPr>
          <w:rFonts w:ascii="Arial" w:hAnsi="Arial" w:cs="Arial"/>
          <w:b w:val="0"/>
        </w:rPr>
        <w:sectPr w:rsidR="0051730A" w:rsidRPr="00FB3A86" w:rsidSect="000C756A">
          <w:headerReference w:type="even" r:id="rId19"/>
          <w:headerReference w:type="default" r:id="rId20"/>
          <w:footerReference w:type="default" r:id="rId21"/>
          <w:headerReference w:type="first" r:id="rId22"/>
          <w:pgSz w:w="12240" w:h="15840"/>
          <w:pgMar w:top="1440" w:right="2016" w:bottom="2016" w:left="2016" w:header="720" w:footer="1123" w:gutter="0"/>
          <w:cols w:space="720"/>
          <w:docGrid w:linePitch="272"/>
        </w:sectPr>
      </w:pPr>
    </w:p>
    <w:p w14:paraId="3844E891" w14:textId="77777777" w:rsidR="00B01FCD" w:rsidRPr="00FB3A86" w:rsidRDefault="00B01FCD" w:rsidP="001A12C9">
      <w:pPr>
        <w:pStyle w:val="Appendix"/>
        <w:spacing w:after="0"/>
        <w:jc w:val="both"/>
        <w:rPr>
          <w:rFonts w:ascii="Arial" w:hAnsi="Arial" w:cs="Arial"/>
          <w:b w:val="0"/>
        </w:rPr>
      </w:pPr>
    </w:p>
    <w:sectPr w:rsidR="00B01FCD" w:rsidRPr="00FB3A86" w:rsidSect="000C75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28DB1" w14:textId="77777777" w:rsidR="00040EBE" w:rsidRDefault="00040EBE" w:rsidP="00C37E61">
      <w:r>
        <w:separator/>
      </w:r>
    </w:p>
  </w:endnote>
  <w:endnote w:type="continuationSeparator" w:id="0">
    <w:p w14:paraId="78FCFC7D" w14:textId="77777777" w:rsidR="00040EBE" w:rsidRDefault="00040E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C91D" w14:textId="77777777" w:rsidR="000C756A" w:rsidRDefault="000C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829E" w14:textId="77777777" w:rsidR="000C756A" w:rsidRDefault="000C7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FCBA" w14:textId="77777777" w:rsidR="009E048A" w:rsidRDefault="009E048A">
    <w:pPr>
      <w:pStyle w:val="Footer"/>
      <w:rPr>
        <w:rFonts w:ascii="Arial" w:hAnsi="Arial" w:cs="Arial"/>
        <w:sz w:val="16"/>
      </w:rPr>
    </w:pPr>
  </w:p>
  <w:p w14:paraId="70672A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DC6CFC" w14:textId="77777777" w:rsidR="009E048A" w:rsidRDefault="009E048A">
    <w:pPr>
      <w:pStyle w:val="Footer"/>
      <w:rPr>
        <w:rFonts w:ascii="Arial" w:hAnsi="Arial" w:cs="Arial"/>
        <w:sz w:val="16"/>
      </w:rPr>
    </w:pPr>
  </w:p>
  <w:p w14:paraId="634DE66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4B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C83E" w14:textId="77777777" w:rsidR="00040EBE" w:rsidRDefault="00040EBE" w:rsidP="00C37E61">
      <w:r>
        <w:separator/>
      </w:r>
    </w:p>
  </w:footnote>
  <w:footnote w:type="continuationSeparator" w:id="0">
    <w:p w14:paraId="63D2E9DF" w14:textId="77777777" w:rsidR="00040EBE" w:rsidRDefault="00040E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EC50" w14:textId="2D829DD8" w:rsidR="000C756A" w:rsidRDefault="000C756A">
    <w:pPr>
      <w:pStyle w:val="Header"/>
    </w:pPr>
    <w:r>
      <w:rPr>
        <w:noProof/>
      </w:rPr>
      <w:pict w14:anchorId="141CB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A826" w14:textId="49F2AECB" w:rsidR="000C756A" w:rsidRDefault="000C756A">
    <w:pPr>
      <w:pStyle w:val="Header"/>
    </w:pPr>
    <w:r>
      <w:rPr>
        <w:noProof/>
      </w:rPr>
      <w:pict w14:anchorId="35C4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C09F" w14:textId="0EF119AA" w:rsidR="00296529" w:rsidRPr="00296529" w:rsidRDefault="000C756A" w:rsidP="00296529">
    <w:pPr>
      <w:ind w:left="2160"/>
      <w:jc w:val="center"/>
      <w:rPr>
        <w:rFonts w:ascii="Times New Roman" w:eastAsia="Calibri" w:hAnsi="Times New Roman"/>
        <w:i/>
        <w:sz w:val="18"/>
        <w:szCs w:val="22"/>
      </w:rPr>
    </w:pPr>
    <w:r>
      <w:rPr>
        <w:noProof/>
      </w:rPr>
      <w:pict w14:anchorId="518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1159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A141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5708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E269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E571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3336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8C1F" w14:textId="53BF0CFC" w:rsidR="000C756A" w:rsidRDefault="000C756A">
    <w:pPr>
      <w:pStyle w:val="Header"/>
    </w:pPr>
    <w:r>
      <w:rPr>
        <w:noProof/>
      </w:rPr>
      <w:pict w14:anchorId="3556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0231" w14:textId="064D6B18" w:rsidR="004B09E7" w:rsidRDefault="000C756A">
    <w:pPr>
      <w:pStyle w:val="Header"/>
      <w:jc w:val="center"/>
    </w:pPr>
    <w:r>
      <w:rPr>
        <w:noProof/>
      </w:rPr>
      <w:pict w14:anchorId="1B9D8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4"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1284762235"/>
        <w:docPartObj>
          <w:docPartGallery w:val="Page Numbers (Top of Page)"/>
          <w:docPartUnique/>
        </w:docPartObj>
      </w:sdtPr>
      <w:sdtEndPr>
        <w:rPr>
          <w:noProof/>
        </w:rPr>
      </w:sdtEndPr>
      <w:sdtContent>
        <w:r w:rsidR="004B09E7">
          <w:fldChar w:fldCharType="begin"/>
        </w:r>
        <w:r w:rsidR="004B09E7">
          <w:instrText xml:space="preserve"> PAGE   \* MERGEFORMAT </w:instrText>
        </w:r>
        <w:r w:rsidR="004B09E7">
          <w:fldChar w:fldCharType="separate"/>
        </w:r>
        <w:r w:rsidR="004B09E7">
          <w:rPr>
            <w:noProof/>
          </w:rPr>
          <w:t>2</w:t>
        </w:r>
        <w:r w:rsidR="004B09E7">
          <w:rPr>
            <w:noProof/>
          </w:rPr>
          <w:fldChar w:fldCharType="end"/>
        </w:r>
      </w:sdtContent>
    </w:sdt>
  </w:p>
  <w:p w14:paraId="3C33D8D5" w14:textId="77777777" w:rsidR="004B09E7" w:rsidRDefault="004B09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623C" w14:textId="5104FD1B" w:rsidR="000C756A" w:rsidRDefault="000C756A">
    <w:pPr>
      <w:pStyle w:val="Header"/>
    </w:pPr>
    <w:r>
      <w:rPr>
        <w:noProof/>
      </w:rPr>
      <w:pict w14:anchorId="7B4CE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B191" w14:textId="24F89A75" w:rsidR="000C756A" w:rsidRDefault="000C756A">
    <w:pPr>
      <w:pStyle w:val="Header"/>
    </w:pPr>
    <w:r>
      <w:rPr>
        <w:noProof/>
      </w:rPr>
      <w:pict w14:anchorId="79AE0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6"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C4C0" w14:textId="60082CDC" w:rsidR="000C756A" w:rsidRDefault="000C756A">
    <w:pPr>
      <w:pStyle w:val="Header"/>
    </w:pPr>
    <w:r>
      <w:rPr>
        <w:noProof/>
      </w:rPr>
      <w:pict w14:anchorId="46EBD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7"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3D94" w14:textId="4908E543" w:rsidR="000C756A" w:rsidRDefault="000C756A">
    <w:pPr>
      <w:pStyle w:val="Header"/>
    </w:pPr>
    <w:r>
      <w:rPr>
        <w:noProof/>
      </w:rPr>
      <w:pict w14:anchorId="4D3A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3865"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5F401D"/>
    <w:multiLevelType w:val="hybridMultilevel"/>
    <w:tmpl w:val="FA9253E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F4AE1"/>
    <w:multiLevelType w:val="hybridMultilevel"/>
    <w:tmpl w:val="720A896E"/>
    <w:lvl w:ilvl="0" w:tplc="E018AC34">
      <w:start w:val="1"/>
      <w:numFmt w:val="decimal"/>
      <w:lvlText w:val="%1."/>
      <w:lvlJc w:val="left"/>
      <w:pPr>
        <w:ind w:left="786" w:hanging="360"/>
      </w:pPr>
      <w:rPr>
        <w:color w:val="auto"/>
      </w:rPr>
    </w:lvl>
    <w:lvl w:ilvl="1" w:tplc="557AA356">
      <w:start w:val="1"/>
      <w:numFmt w:val="lowerLetter"/>
      <w:lvlText w:val="%2."/>
      <w:lvlJc w:val="left"/>
      <w:pPr>
        <w:ind w:left="1440" w:hanging="360"/>
      </w:pPr>
    </w:lvl>
    <w:lvl w:ilvl="2" w:tplc="8C787BA0">
      <w:start w:val="1"/>
      <w:numFmt w:val="lowerRoman"/>
      <w:lvlText w:val="%3."/>
      <w:lvlJc w:val="right"/>
      <w:pPr>
        <w:ind w:left="2160" w:hanging="180"/>
      </w:pPr>
    </w:lvl>
    <w:lvl w:ilvl="3" w:tplc="1924EFD8">
      <w:start w:val="1"/>
      <w:numFmt w:val="decimal"/>
      <w:lvlText w:val="%4."/>
      <w:lvlJc w:val="left"/>
      <w:pPr>
        <w:ind w:left="2880" w:hanging="360"/>
      </w:pPr>
    </w:lvl>
    <w:lvl w:ilvl="4" w:tplc="B476BBD4">
      <w:start w:val="1"/>
      <w:numFmt w:val="lowerLetter"/>
      <w:lvlText w:val="%5."/>
      <w:lvlJc w:val="left"/>
      <w:pPr>
        <w:ind w:left="3600" w:hanging="360"/>
      </w:pPr>
    </w:lvl>
    <w:lvl w:ilvl="5" w:tplc="42F63636">
      <w:start w:val="1"/>
      <w:numFmt w:val="lowerRoman"/>
      <w:lvlText w:val="%6."/>
      <w:lvlJc w:val="right"/>
      <w:pPr>
        <w:ind w:left="4320" w:hanging="180"/>
      </w:pPr>
    </w:lvl>
    <w:lvl w:ilvl="6" w:tplc="294A519A">
      <w:start w:val="1"/>
      <w:numFmt w:val="decimal"/>
      <w:lvlText w:val="%7."/>
      <w:lvlJc w:val="left"/>
      <w:pPr>
        <w:ind w:left="5040" w:hanging="360"/>
      </w:pPr>
    </w:lvl>
    <w:lvl w:ilvl="7" w:tplc="13AE50FE">
      <w:start w:val="1"/>
      <w:numFmt w:val="lowerLetter"/>
      <w:lvlText w:val="%8."/>
      <w:lvlJc w:val="left"/>
      <w:pPr>
        <w:ind w:left="5760" w:hanging="360"/>
      </w:pPr>
    </w:lvl>
    <w:lvl w:ilvl="8" w:tplc="733C3E0A">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80830C4"/>
    <w:multiLevelType w:val="hybridMultilevel"/>
    <w:tmpl w:val="B150F8D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BF24BA6"/>
    <w:multiLevelType w:val="hybridMultilevel"/>
    <w:tmpl w:val="F9FE48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9"/>
  </w:num>
  <w:num w:numId="32">
    <w:abstractNumId w:val="17"/>
  </w:num>
  <w:num w:numId="33">
    <w:abstractNumId w:val="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498"/>
    <w:rsid w:val="00025745"/>
    <w:rsid w:val="00030174"/>
    <w:rsid w:val="00040EBE"/>
    <w:rsid w:val="0004579C"/>
    <w:rsid w:val="000460CB"/>
    <w:rsid w:val="000538FC"/>
    <w:rsid w:val="0006184E"/>
    <w:rsid w:val="000633A3"/>
    <w:rsid w:val="0007251C"/>
    <w:rsid w:val="000739E4"/>
    <w:rsid w:val="0008222A"/>
    <w:rsid w:val="0009303B"/>
    <w:rsid w:val="000941E9"/>
    <w:rsid w:val="00094DFB"/>
    <w:rsid w:val="00097E29"/>
    <w:rsid w:val="000A47FA"/>
    <w:rsid w:val="000A65D3"/>
    <w:rsid w:val="000B1E33"/>
    <w:rsid w:val="000C756A"/>
    <w:rsid w:val="000D28BA"/>
    <w:rsid w:val="000D689F"/>
    <w:rsid w:val="000E7B7B"/>
    <w:rsid w:val="000E7D62"/>
    <w:rsid w:val="000F4535"/>
    <w:rsid w:val="00103357"/>
    <w:rsid w:val="00123C9F"/>
    <w:rsid w:val="00126190"/>
    <w:rsid w:val="00130F17"/>
    <w:rsid w:val="001320BF"/>
    <w:rsid w:val="00153B6C"/>
    <w:rsid w:val="00163BC4"/>
    <w:rsid w:val="00177335"/>
    <w:rsid w:val="00191062"/>
    <w:rsid w:val="00192B72"/>
    <w:rsid w:val="001A12C9"/>
    <w:rsid w:val="001A29D8"/>
    <w:rsid w:val="001A5CAA"/>
    <w:rsid w:val="001B0427"/>
    <w:rsid w:val="001D3A51"/>
    <w:rsid w:val="001D5218"/>
    <w:rsid w:val="001E10D2"/>
    <w:rsid w:val="001E25B4"/>
    <w:rsid w:val="001E44FE"/>
    <w:rsid w:val="00200595"/>
    <w:rsid w:val="00204835"/>
    <w:rsid w:val="00231920"/>
    <w:rsid w:val="0023195C"/>
    <w:rsid w:val="00236056"/>
    <w:rsid w:val="0024282C"/>
    <w:rsid w:val="002460DC"/>
    <w:rsid w:val="00250985"/>
    <w:rsid w:val="00251F2A"/>
    <w:rsid w:val="002556F6"/>
    <w:rsid w:val="00283105"/>
    <w:rsid w:val="00284C4C"/>
    <w:rsid w:val="00287E68"/>
    <w:rsid w:val="00296529"/>
    <w:rsid w:val="002B27FB"/>
    <w:rsid w:val="002B685A"/>
    <w:rsid w:val="002C57D2"/>
    <w:rsid w:val="002E0D56"/>
    <w:rsid w:val="002F2F4D"/>
    <w:rsid w:val="00315186"/>
    <w:rsid w:val="0033343E"/>
    <w:rsid w:val="003512C2"/>
    <w:rsid w:val="0036304E"/>
    <w:rsid w:val="00371545"/>
    <w:rsid w:val="00371FB6"/>
    <w:rsid w:val="003763C1"/>
    <w:rsid w:val="00376BBE"/>
    <w:rsid w:val="0039149F"/>
    <w:rsid w:val="0039224F"/>
    <w:rsid w:val="00393BE3"/>
    <w:rsid w:val="003A160E"/>
    <w:rsid w:val="003A3321"/>
    <w:rsid w:val="003A43A4"/>
    <w:rsid w:val="003A7E18"/>
    <w:rsid w:val="003B2AD5"/>
    <w:rsid w:val="003C4C86"/>
    <w:rsid w:val="003C5714"/>
    <w:rsid w:val="003C6258"/>
    <w:rsid w:val="003E2904"/>
    <w:rsid w:val="003E2C37"/>
    <w:rsid w:val="00401927"/>
    <w:rsid w:val="0041027F"/>
    <w:rsid w:val="00412222"/>
    <w:rsid w:val="00412475"/>
    <w:rsid w:val="0042208C"/>
    <w:rsid w:val="00423789"/>
    <w:rsid w:val="00424EEC"/>
    <w:rsid w:val="00431CC9"/>
    <w:rsid w:val="00440F43"/>
    <w:rsid w:val="00441B6F"/>
    <w:rsid w:val="00446221"/>
    <w:rsid w:val="00450E62"/>
    <w:rsid w:val="004539DB"/>
    <w:rsid w:val="00454BDF"/>
    <w:rsid w:val="00455763"/>
    <w:rsid w:val="00471A80"/>
    <w:rsid w:val="00483982"/>
    <w:rsid w:val="004B09E7"/>
    <w:rsid w:val="004C3BC3"/>
    <w:rsid w:val="004C48E4"/>
    <w:rsid w:val="004D305E"/>
    <w:rsid w:val="004D4277"/>
    <w:rsid w:val="004D64C0"/>
    <w:rsid w:val="004E2464"/>
    <w:rsid w:val="00502516"/>
    <w:rsid w:val="005041FE"/>
    <w:rsid w:val="00505F06"/>
    <w:rsid w:val="00506828"/>
    <w:rsid w:val="0051730A"/>
    <w:rsid w:val="0053056E"/>
    <w:rsid w:val="00554FDA"/>
    <w:rsid w:val="005638F1"/>
    <w:rsid w:val="005907EC"/>
    <w:rsid w:val="005C784C"/>
    <w:rsid w:val="005D17F6"/>
    <w:rsid w:val="005D443D"/>
    <w:rsid w:val="005D5C37"/>
    <w:rsid w:val="005E4D1F"/>
    <w:rsid w:val="005E5539"/>
    <w:rsid w:val="00602BF5"/>
    <w:rsid w:val="00617FDD"/>
    <w:rsid w:val="00633614"/>
    <w:rsid w:val="00633F68"/>
    <w:rsid w:val="00636EB2"/>
    <w:rsid w:val="006375B8"/>
    <w:rsid w:val="00661BC2"/>
    <w:rsid w:val="0066510A"/>
    <w:rsid w:val="006661FB"/>
    <w:rsid w:val="00673F9F"/>
    <w:rsid w:val="00675359"/>
    <w:rsid w:val="00686953"/>
    <w:rsid w:val="00687DEA"/>
    <w:rsid w:val="00687E67"/>
    <w:rsid w:val="006967F7"/>
    <w:rsid w:val="006A250C"/>
    <w:rsid w:val="006A4535"/>
    <w:rsid w:val="006B1B2E"/>
    <w:rsid w:val="006B21D3"/>
    <w:rsid w:val="006B34B3"/>
    <w:rsid w:val="006B57D0"/>
    <w:rsid w:val="006D30FF"/>
    <w:rsid w:val="006D6940"/>
    <w:rsid w:val="006E2913"/>
    <w:rsid w:val="006E6168"/>
    <w:rsid w:val="006F11EC"/>
    <w:rsid w:val="0070082C"/>
    <w:rsid w:val="0071015B"/>
    <w:rsid w:val="007369E6"/>
    <w:rsid w:val="00746E59"/>
    <w:rsid w:val="00754C9A"/>
    <w:rsid w:val="0075599A"/>
    <w:rsid w:val="00761D52"/>
    <w:rsid w:val="00770D43"/>
    <w:rsid w:val="0077749E"/>
    <w:rsid w:val="00780CF3"/>
    <w:rsid w:val="0078232E"/>
    <w:rsid w:val="00790ADA"/>
    <w:rsid w:val="007D2288"/>
    <w:rsid w:val="007D6FA3"/>
    <w:rsid w:val="007E088F"/>
    <w:rsid w:val="007F7B32"/>
    <w:rsid w:val="00804BC2"/>
    <w:rsid w:val="0081431A"/>
    <w:rsid w:val="008271DC"/>
    <w:rsid w:val="0083216F"/>
    <w:rsid w:val="00832CE8"/>
    <w:rsid w:val="008403BC"/>
    <w:rsid w:val="00860000"/>
    <w:rsid w:val="00863BD3"/>
    <w:rsid w:val="008641ED"/>
    <w:rsid w:val="00866D66"/>
    <w:rsid w:val="008671C6"/>
    <w:rsid w:val="00871D9E"/>
    <w:rsid w:val="00875803"/>
    <w:rsid w:val="008B459E"/>
    <w:rsid w:val="008E13AE"/>
    <w:rsid w:val="008E1506"/>
    <w:rsid w:val="008E710C"/>
    <w:rsid w:val="008F69D6"/>
    <w:rsid w:val="00901FBE"/>
    <w:rsid w:val="00902823"/>
    <w:rsid w:val="009035AF"/>
    <w:rsid w:val="00915CA6"/>
    <w:rsid w:val="00927834"/>
    <w:rsid w:val="00947E81"/>
    <w:rsid w:val="009500A6"/>
    <w:rsid w:val="009530A6"/>
    <w:rsid w:val="00954A7A"/>
    <w:rsid w:val="009565C4"/>
    <w:rsid w:val="00957C18"/>
    <w:rsid w:val="0096408D"/>
    <w:rsid w:val="009659BA"/>
    <w:rsid w:val="009758D4"/>
    <w:rsid w:val="00983040"/>
    <w:rsid w:val="009A39BA"/>
    <w:rsid w:val="009B3FB9"/>
    <w:rsid w:val="009C2465"/>
    <w:rsid w:val="009C7D69"/>
    <w:rsid w:val="009D35A0"/>
    <w:rsid w:val="009D5153"/>
    <w:rsid w:val="009D7EB7"/>
    <w:rsid w:val="009E048A"/>
    <w:rsid w:val="009E08E9"/>
    <w:rsid w:val="009E3DB9"/>
    <w:rsid w:val="009E6E35"/>
    <w:rsid w:val="009F0EDA"/>
    <w:rsid w:val="00A03443"/>
    <w:rsid w:val="00A03B96"/>
    <w:rsid w:val="00A05B19"/>
    <w:rsid w:val="00A060EC"/>
    <w:rsid w:val="00A07CB6"/>
    <w:rsid w:val="00A1134E"/>
    <w:rsid w:val="00A14E85"/>
    <w:rsid w:val="00A1721B"/>
    <w:rsid w:val="00A175A9"/>
    <w:rsid w:val="00A24E6D"/>
    <w:rsid w:val="00A24E7E"/>
    <w:rsid w:val="00A258C3"/>
    <w:rsid w:val="00A347C0"/>
    <w:rsid w:val="00A51034"/>
    <w:rsid w:val="00A51431"/>
    <w:rsid w:val="00A539AD"/>
    <w:rsid w:val="00A6199E"/>
    <w:rsid w:val="00A67B67"/>
    <w:rsid w:val="00A94063"/>
    <w:rsid w:val="00AA6219"/>
    <w:rsid w:val="00AA6CFA"/>
    <w:rsid w:val="00AA74E0"/>
    <w:rsid w:val="00AB703F"/>
    <w:rsid w:val="00AC083D"/>
    <w:rsid w:val="00AC6BB8"/>
    <w:rsid w:val="00AD6999"/>
    <w:rsid w:val="00AE008F"/>
    <w:rsid w:val="00AE3E82"/>
    <w:rsid w:val="00B01FCD"/>
    <w:rsid w:val="00B11F59"/>
    <w:rsid w:val="00B1776C"/>
    <w:rsid w:val="00B3722B"/>
    <w:rsid w:val="00B44A64"/>
    <w:rsid w:val="00B52583"/>
    <w:rsid w:val="00B52896"/>
    <w:rsid w:val="00B62086"/>
    <w:rsid w:val="00B73141"/>
    <w:rsid w:val="00B84A8A"/>
    <w:rsid w:val="00B95236"/>
    <w:rsid w:val="00B96BD9"/>
    <w:rsid w:val="00BA1B01"/>
    <w:rsid w:val="00BA2641"/>
    <w:rsid w:val="00BA353C"/>
    <w:rsid w:val="00BB37AA"/>
    <w:rsid w:val="00BB5E52"/>
    <w:rsid w:val="00BC28EC"/>
    <w:rsid w:val="00BC53A0"/>
    <w:rsid w:val="00BE62AD"/>
    <w:rsid w:val="00BE7FED"/>
    <w:rsid w:val="00BF121F"/>
    <w:rsid w:val="00BF1F80"/>
    <w:rsid w:val="00C166EF"/>
    <w:rsid w:val="00C17EB0"/>
    <w:rsid w:val="00C21973"/>
    <w:rsid w:val="00C230E1"/>
    <w:rsid w:val="00C27F5F"/>
    <w:rsid w:val="00C30A0F"/>
    <w:rsid w:val="00C37E61"/>
    <w:rsid w:val="00C66540"/>
    <w:rsid w:val="00C66611"/>
    <w:rsid w:val="00C70F1B"/>
    <w:rsid w:val="00C71A47"/>
    <w:rsid w:val="00C74324"/>
    <w:rsid w:val="00C7464C"/>
    <w:rsid w:val="00C85588"/>
    <w:rsid w:val="00C85895"/>
    <w:rsid w:val="00CB06B2"/>
    <w:rsid w:val="00CC377D"/>
    <w:rsid w:val="00CD6755"/>
    <w:rsid w:val="00CD6856"/>
    <w:rsid w:val="00CE0089"/>
    <w:rsid w:val="00CE783B"/>
    <w:rsid w:val="00CE793C"/>
    <w:rsid w:val="00CF193C"/>
    <w:rsid w:val="00CF3B63"/>
    <w:rsid w:val="00D03151"/>
    <w:rsid w:val="00D173F1"/>
    <w:rsid w:val="00D41D60"/>
    <w:rsid w:val="00D452F6"/>
    <w:rsid w:val="00D47CC2"/>
    <w:rsid w:val="00D74CB0"/>
    <w:rsid w:val="00D8295D"/>
    <w:rsid w:val="00D84D77"/>
    <w:rsid w:val="00DA24DE"/>
    <w:rsid w:val="00DB763A"/>
    <w:rsid w:val="00DC2A65"/>
    <w:rsid w:val="00DD319D"/>
    <w:rsid w:val="00DE15F0"/>
    <w:rsid w:val="00DE5663"/>
    <w:rsid w:val="00DE78AA"/>
    <w:rsid w:val="00E053D0"/>
    <w:rsid w:val="00E12B12"/>
    <w:rsid w:val="00E15994"/>
    <w:rsid w:val="00E173AA"/>
    <w:rsid w:val="00E21E07"/>
    <w:rsid w:val="00E3114E"/>
    <w:rsid w:val="00E31A70"/>
    <w:rsid w:val="00E35B02"/>
    <w:rsid w:val="00E43320"/>
    <w:rsid w:val="00E62E2E"/>
    <w:rsid w:val="00E66496"/>
    <w:rsid w:val="00E66B35"/>
    <w:rsid w:val="00E66E10"/>
    <w:rsid w:val="00E72346"/>
    <w:rsid w:val="00E769F6"/>
    <w:rsid w:val="00E8407C"/>
    <w:rsid w:val="00E84F3C"/>
    <w:rsid w:val="00E90DC2"/>
    <w:rsid w:val="00EA012C"/>
    <w:rsid w:val="00EC6A55"/>
    <w:rsid w:val="00ED0288"/>
    <w:rsid w:val="00EE52CB"/>
    <w:rsid w:val="00EE77C7"/>
    <w:rsid w:val="00EF581D"/>
    <w:rsid w:val="00EF7FD8"/>
    <w:rsid w:val="00F06F59"/>
    <w:rsid w:val="00F17988"/>
    <w:rsid w:val="00F216EB"/>
    <w:rsid w:val="00F242DF"/>
    <w:rsid w:val="00F3615F"/>
    <w:rsid w:val="00F469F0"/>
    <w:rsid w:val="00F52ECD"/>
    <w:rsid w:val="00F53273"/>
    <w:rsid w:val="00F5495F"/>
    <w:rsid w:val="00F623DC"/>
    <w:rsid w:val="00F755E4"/>
    <w:rsid w:val="00F77D02"/>
    <w:rsid w:val="00F8577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B974D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4D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B09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84D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B09E7"/>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4B09E7"/>
    <w:rPr>
      <w:rFonts w:ascii="Helvetica" w:hAnsi="Helvetica"/>
    </w:rPr>
  </w:style>
  <w:style w:type="paragraph" w:styleId="Caption">
    <w:name w:val="caption"/>
    <w:basedOn w:val="Normal"/>
    <w:next w:val="Normal"/>
    <w:unhideWhenUsed/>
    <w:qFormat/>
    <w:rsid w:val="004B09E7"/>
    <w:pPr>
      <w:spacing w:after="200"/>
    </w:pPr>
    <w:rPr>
      <w:i/>
      <w:iCs/>
      <w:color w:val="1F497D" w:themeColor="text2"/>
      <w:sz w:val="18"/>
      <w:szCs w:val="18"/>
    </w:rPr>
  </w:style>
  <w:style w:type="paragraph" w:customStyle="1" w:styleId="paragraph">
    <w:name w:val="paragraph"/>
    <w:basedOn w:val="Normal"/>
    <w:rsid w:val="00153B6C"/>
    <w:pPr>
      <w:spacing w:before="100" w:beforeAutospacing="1" w:after="100" w:afterAutospacing="1"/>
    </w:pPr>
    <w:rPr>
      <w:rFonts w:ascii="Times New Roman" w:hAnsi="Times New Roman"/>
      <w:sz w:val="24"/>
      <w:szCs w:val="24"/>
      <w:lang w:val="en-AU" w:eastAsia="en-GB"/>
    </w:rPr>
  </w:style>
  <w:style w:type="character" w:customStyle="1" w:styleId="normaltextrun">
    <w:name w:val="normaltextrun"/>
    <w:basedOn w:val="DefaultParagraphFont"/>
    <w:rsid w:val="00153B6C"/>
  </w:style>
  <w:style w:type="character" w:customStyle="1" w:styleId="eop">
    <w:name w:val="eop"/>
    <w:basedOn w:val="DefaultParagraphFont"/>
    <w:rsid w:val="00153B6C"/>
  </w:style>
  <w:style w:type="paragraph" w:styleId="ListParagraph">
    <w:name w:val="List Paragraph"/>
    <w:basedOn w:val="Normal"/>
    <w:uiPriority w:val="34"/>
    <w:qFormat/>
    <w:rsid w:val="0051730A"/>
    <w:pPr>
      <w:spacing w:after="160" w:line="259" w:lineRule="auto"/>
      <w:ind w:left="720"/>
      <w:contextualSpacing/>
    </w:pPr>
    <w:rPr>
      <w:rFonts w:asciiTheme="minorHAnsi" w:eastAsiaTheme="minorHAnsi" w:hAnsiTheme="minorHAnsi" w:cstheme="minorBidi"/>
      <w:sz w:val="22"/>
      <w:szCs w:val="22"/>
      <w:lang w:val="en-GB"/>
    </w:rPr>
  </w:style>
  <w:style w:type="paragraph" w:styleId="Bibliography">
    <w:name w:val="Bibliography"/>
    <w:basedOn w:val="Normal"/>
    <w:next w:val="Normal"/>
    <w:uiPriority w:val="37"/>
    <w:unhideWhenUsed/>
    <w:rsid w:val="0051730A"/>
    <w:pPr>
      <w:spacing w:after="160" w:line="259" w:lineRule="auto"/>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chem.ncbi.nlm.nih.gov/compound/Pseudoephedrin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AD3A-7B93-4878-A038-A3189EF0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4886</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2025-10-07T07:28:00Z</dcterms:created>
  <dcterms:modified xsi:type="dcterms:W3CDTF">2025-10-08T07:37:00Z</dcterms:modified>
</cp:coreProperties>
</file>