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85F4E" w14:textId="77777777" w:rsidR="00754C9A" w:rsidRDefault="00754C9A" w:rsidP="00441B6F">
      <w:pPr>
        <w:pStyle w:val="Title"/>
        <w:spacing w:after="0"/>
        <w:jc w:val="both"/>
        <w:rPr>
          <w:rFonts w:ascii="Arial" w:hAnsi="Arial" w:cs="Arial"/>
        </w:rPr>
      </w:pPr>
    </w:p>
    <w:p w14:paraId="32ED2202" w14:textId="5B90707F" w:rsidR="00163BC4" w:rsidRPr="00163BC4" w:rsidRDefault="00D13B2A" w:rsidP="00441B6F">
      <w:pPr>
        <w:pStyle w:val="Author"/>
        <w:spacing w:line="240" w:lineRule="auto"/>
        <w:rPr>
          <w:rFonts w:ascii="Arial" w:hAnsi="Arial" w:cs="Arial"/>
          <w:bCs/>
          <w:iCs/>
          <w:kern w:val="28"/>
          <w:sz w:val="36"/>
        </w:rPr>
      </w:pPr>
      <w:proofErr w:type="spellStart"/>
      <w:r>
        <w:rPr>
          <w:rFonts w:ascii="Arial" w:hAnsi="Arial" w:cs="Arial"/>
          <w:bCs/>
          <w:iCs/>
          <w:kern w:val="28"/>
          <w:sz w:val="36"/>
        </w:rPr>
        <w:t>Coprocessed</w:t>
      </w:r>
      <w:proofErr w:type="spellEnd"/>
      <w:r>
        <w:rPr>
          <w:rFonts w:ascii="Arial" w:hAnsi="Arial" w:cs="Arial"/>
          <w:bCs/>
          <w:iCs/>
          <w:kern w:val="28"/>
          <w:sz w:val="36"/>
        </w:rPr>
        <w:t xml:space="preserve"> terbinafine by solid dispersion in </w:t>
      </w:r>
      <w:proofErr w:type="gramStart"/>
      <w:r>
        <w:rPr>
          <w:rFonts w:ascii="Arial" w:hAnsi="Arial" w:cs="Arial"/>
          <w:bCs/>
          <w:iCs/>
          <w:kern w:val="28"/>
          <w:sz w:val="36"/>
        </w:rPr>
        <w:t>a</w:t>
      </w:r>
      <w:proofErr w:type="gramEnd"/>
      <w:r>
        <w:rPr>
          <w:rFonts w:ascii="Arial" w:hAnsi="Arial" w:cs="Arial"/>
          <w:bCs/>
          <w:iCs/>
          <w:kern w:val="28"/>
          <w:sz w:val="36"/>
        </w:rPr>
        <w:t xml:space="preserve"> HME: an enhanced solubility </w:t>
      </w:r>
      <w:proofErr w:type="spellStart"/>
      <w:r>
        <w:rPr>
          <w:rFonts w:ascii="Arial" w:hAnsi="Arial" w:cs="Arial"/>
          <w:bCs/>
          <w:iCs/>
          <w:kern w:val="28"/>
          <w:sz w:val="36"/>
        </w:rPr>
        <w:t>QbD</w:t>
      </w:r>
      <w:proofErr w:type="spellEnd"/>
      <w:r>
        <w:rPr>
          <w:rFonts w:ascii="Arial" w:hAnsi="Arial" w:cs="Arial"/>
          <w:bCs/>
          <w:iCs/>
          <w:kern w:val="28"/>
          <w:sz w:val="36"/>
        </w:rPr>
        <w:t xml:space="preserve"> approach</w:t>
      </w:r>
    </w:p>
    <w:p w14:paraId="4E3E6511" w14:textId="77777777" w:rsidR="00A258C3" w:rsidRPr="00790ADA" w:rsidRDefault="00A258C3" w:rsidP="00441B6F">
      <w:pPr>
        <w:pStyle w:val="Author"/>
        <w:spacing w:line="240" w:lineRule="auto"/>
        <w:jc w:val="both"/>
        <w:rPr>
          <w:rFonts w:ascii="Arial" w:hAnsi="Arial" w:cs="Arial"/>
          <w:sz w:val="36"/>
        </w:rPr>
      </w:pPr>
    </w:p>
    <w:p w14:paraId="74C49185" w14:textId="77777777" w:rsidR="002C57D2" w:rsidRPr="00CA0E21" w:rsidRDefault="002C57D2" w:rsidP="00441B6F">
      <w:pPr>
        <w:pStyle w:val="Affiliation"/>
        <w:spacing w:after="0" w:line="240" w:lineRule="auto"/>
        <w:jc w:val="both"/>
        <w:rPr>
          <w:rFonts w:ascii="Arial" w:hAnsi="Arial" w:cs="Arial"/>
          <w:lang w:val="es-MX"/>
        </w:rPr>
      </w:pPr>
    </w:p>
    <w:p w14:paraId="340F87E3" w14:textId="4936F16D" w:rsidR="00B01FCD" w:rsidRPr="00FB3A86" w:rsidRDefault="00DD7BD3" w:rsidP="00441B6F">
      <w:pPr>
        <w:pStyle w:val="Copyright"/>
        <w:spacing w:after="0" w:line="240" w:lineRule="auto"/>
        <w:jc w:val="both"/>
        <w:rPr>
          <w:rFonts w:ascii="Arial" w:hAnsi="Arial" w:cs="Arial"/>
        </w:rPr>
        <w:sectPr w:rsidR="00B01FCD" w:rsidRPr="00FB3A86" w:rsidSect="004C0D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9E45836" wp14:editId="4EDB2C15">
                <wp:extent cx="5303520" cy="635"/>
                <wp:effectExtent l="15240" t="10795" r="15240" b="17780"/>
                <wp:docPr id="6977260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CA70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2DCF0F2" w14:textId="21D418D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1459D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F08604" w14:textId="77777777" w:rsidTr="001E44FE">
        <w:tc>
          <w:tcPr>
            <w:tcW w:w="9576" w:type="dxa"/>
            <w:shd w:val="clear" w:color="auto" w:fill="F2F2F2"/>
          </w:tcPr>
          <w:p w14:paraId="6598909B" w14:textId="41E56131" w:rsidR="00505F06" w:rsidRPr="00BA1B01" w:rsidRDefault="00197D3C" w:rsidP="00441B6F">
            <w:pPr>
              <w:pStyle w:val="Body"/>
              <w:spacing w:after="0"/>
              <w:rPr>
                <w:rFonts w:ascii="Arial" w:eastAsia="Calibri" w:hAnsi="Arial" w:cs="Arial"/>
                <w:szCs w:val="22"/>
              </w:rPr>
            </w:pPr>
            <w:r w:rsidRPr="00197D3C">
              <w:rPr>
                <w:rFonts w:ascii="Arial" w:eastAsia="Calibri" w:hAnsi="Arial" w:cs="Arial"/>
                <w:szCs w:val="22"/>
              </w:rPr>
              <w:t>The formulation of hydrophobic drugs, such as terbinafine hydrochloride (</w:t>
            </w:r>
            <w:proofErr w:type="spellStart"/>
            <w:r w:rsidRPr="00197D3C">
              <w:rPr>
                <w:rFonts w:ascii="Arial" w:eastAsia="Calibri" w:hAnsi="Arial" w:cs="Arial"/>
                <w:szCs w:val="22"/>
              </w:rPr>
              <w:t>TbHCl</w:t>
            </w:r>
            <w:proofErr w:type="spellEnd"/>
            <w:r w:rsidRPr="00197D3C">
              <w:rPr>
                <w:rFonts w:ascii="Arial" w:eastAsia="Calibri" w:hAnsi="Arial" w:cs="Arial"/>
                <w:szCs w:val="22"/>
              </w:rPr>
              <w:t xml:space="preserve">), presents significant challenges due to their low aqueous solubility, which severely limits oral bioavailability. This study explores the application of hot-melt extrusion (HME) to enhance the dissolution rate of </w:t>
            </w:r>
            <w:proofErr w:type="spellStart"/>
            <w:r w:rsidRPr="00197D3C">
              <w:rPr>
                <w:rFonts w:ascii="Arial" w:eastAsia="Calibri" w:hAnsi="Arial" w:cs="Arial"/>
                <w:szCs w:val="22"/>
              </w:rPr>
              <w:t>TbHCl</w:t>
            </w:r>
            <w:proofErr w:type="spellEnd"/>
            <w:r w:rsidRPr="00197D3C">
              <w:rPr>
                <w:rFonts w:ascii="Arial" w:eastAsia="Calibri" w:hAnsi="Arial" w:cs="Arial"/>
                <w:szCs w:val="22"/>
              </w:rPr>
              <w:t xml:space="preserve"> through the development of solid dispersions (SDs) employing extrusion-grade polymers, namely polyvinylpyrrolidone-vinyl acetate copolymer (PVP VA64) and </w:t>
            </w:r>
            <w:proofErr w:type="spellStart"/>
            <w:r w:rsidRPr="00197D3C">
              <w:rPr>
                <w:rFonts w:ascii="Arial" w:eastAsia="Calibri" w:hAnsi="Arial" w:cs="Arial"/>
                <w:szCs w:val="22"/>
              </w:rPr>
              <w:t>Soluplus</w:t>
            </w:r>
            <w:proofErr w:type="spellEnd"/>
            <w:r w:rsidRPr="00197D3C">
              <w:rPr>
                <w:rFonts w:ascii="Arial" w:eastAsia="Calibri" w:hAnsi="Arial" w:cs="Arial"/>
                <w:szCs w:val="22"/>
              </w:rPr>
              <w:t>®. A Quality by Design (</w:t>
            </w:r>
            <w:proofErr w:type="spellStart"/>
            <w:r w:rsidRPr="00197D3C">
              <w:rPr>
                <w:rFonts w:ascii="Arial" w:eastAsia="Calibri" w:hAnsi="Arial" w:cs="Arial"/>
                <w:szCs w:val="22"/>
              </w:rPr>
              <w:t>QbD</w:t>
            </w:r>
            <w:proofErr w:type="spellEnd"/>
            <w:r w:rsidRPr="00197D3C">
              <w:rPr>
                <w:rFonts w:ascii="Arial" w:eastAsia="Calibri" w:hAnsi="Arial" w:cs="Arial"/>
                <w:szCs w:val="22"/>
              </w:rPr>
              <w:t xml:space="preserve">) framework was adopted, integrating risk assessment tools and design of experiments (DoE) methodologies to identify critical material attributes (CMAs) and critical process parameters (CPPs) impacting dissolution performance. Results demonstrated that both the type and concentration of the polymer significantly influenced the dissolution behavior, with </w:t>
            </w:r>
            <w:proofErr w:type="spellStart"/>
            <w:r w:rsidRPr="00197D3C">
              <w:rPr>
                <w:rFonts w:ascii="Arial" w:eastAsia="Calibri" w:hAnsi="Arial" w:cs="Arial"/>
                <w:szCs w:val="22"/>
              </w:rPr>
              <w:t>Soluplus</w:t>
            </w:r>
            <w:proofErr w:type="spellEnd"/>
            <w:r w:rsidRPr="00197D3C">
              <w:rPr>
                <w:rFonts w:ascii="Arial" w:eastAsia="Calibri" w:hAnsi="Arial" w:cs="Arial"/>
                <w:szCs w:val="22"/>
              </w:rPr>
              <w:t xml:space="preserve">® exhibiting superior performance attributable to its dual solubilization mechanisms. The optimized formulation, containing 42.2% </w:t>
            </w:r>
            <w:proofErr w:type="spellStart"/>
            <w:r w:rsidRPr="00197D3C">
              <w:rPr>
                <w:rFonts w:ascii="Arial" w:eastAsia="Calibri" w:hAnsi="Arial" w:cs="Arial"/>
                <w:szCs w:val="22"/>
              </w:rPr>
              <w:t>Soluplus</w:t>
            </w:r>
            <w:proofErr w:type="spellEnd"/>
            <w:r w:rsidRPr="00197D3C">
              <w:rPr>
                <w:rFonts w:ascii="Arial" w:eastAsia="Calibri" w:hAnsi="Arial" w:cs="Arial"/>
                <w:szCs w:val="22"/>
              </w:rPr>
              <w:t xml:space="preserve">® and an extrusion residence time of 15.88 minutes, achieved a 2.03-fold increase in dissolution rate compared to the untreated drug. Solid-state characterization indicated that HME effectively reduced </w:t>
            </w:r>
            <w:proofErr w:type="spellStart"/>
            <w:r w:rsidRPr="00197D3C">
              <w:rPr>
                <w:rFonts w:ascii="Arial" w:eastAsia="Calibri" w:hAnsi="Arial" w:cs="Arial"/>
                <w:szCs w:val="22"/>
              </w:rPr>
              <w:t>TbHCl</w:t>
            </w:r>
            <w:proofErr w:type="spellEnd"/>
            <w:r w:rsidRPr="00197D3C">
              <w:rPr>
                <w:rFonts w:ascii="Arial" w:eastAsia="Calibri" w:hAnsi="Arial" w:cs="Arial"/>
                <w:szCs w:val="22"/>
              </w:rPr>
              <w:t xml:space="preserve"> crystallinity, thereby improving wettability and solubility, and resulting in the formation of a microfine solid dispersion with </w:t>
            </w:r>
            <w:proofErr w:type="spellStart"/>
            <w:r w:rsidRPr="00197D3C">
              <w:rPr>
                <w:rFonts w:ascii="Arial" w:eastAsia="Calibri" w:hAnsi="Arial" w:cs="Arial"/>
                <w:szCs w:val="22"/>
              </w:rPr>
              <w:t>Soluplus</w:t>
            </w:r>
            <w:proofErr w:type="spellEnd"/>
            <w:r w:rsidRPr="00197D3C">
              <w:rPr>
                <w:rFonts w:ascii="Arial" w:eastAsia="Calibri" w:hAnsi="Arial" w:cs="Arial"/>
                <w:szCs w:val="22"/>
              </w:rPr>
              <w:t>®. These findings underscore the potential of HME as a viable strategy for the co-processing of active pharmaceutical ingredients, offering an effective approach to addressing the solubility limitations of poorly water-soluble drugs</w:t>
            </w:r>
            <w:r>
              <w:rPr>
                <w:rFonts w:ascii="Arial" w:eastAsia="Calibri" w:hAnsi="Arial" w:cs="Arial"/>
                <w:szCs w:val="22"/>
              </w:rPr>
              <w:t>.</w:t>
            </w:r>
          </w:p>
        </w:tc>
      </w:tr>
    </w:tbl>
    <w:p w14:paraId="2E521D06" w14:textId="77777777" w:rsidR="00636EB2" w:rsidRDefault="00636EB2" w:rsidP="00441B6F">
      <w:pPr>
        <w:pStyle w:val="Body"/>
        <w:spacing w:after="0"/>
        <w:rPr>
          <w:rFonts w:ascii="Arial" w:hAnsi="Arial" w:cs="Arial"/>
          <w:i/>
        </w:rPr>
      </w:pPr>
    </w:p>
    <w:p w14:paraId="1F30334B" w14:textId="7B722842" w:rsidR="00A24E7E" w:rsidRDefault="00A24E7E" w:rsidP="00441B6F">
      <w:pPr>
        <w:pStyle w:val="Body"/>
        <w:spacing w:after="0"/>
        <w:rPr>
          <w:rFonts w:ascii="Arial" w:hAnsi="Arial" w:cs="Arial"/>
          <w:i/>
        </w:rPr>
      </w:pPr>
      <w:r>
        <w:rPr>
          <w:rFonts w:ascii="Arial" w:hAnsi="Arial" w:cs="Arial"/>
          <w:i/>
        </w:rPr>
        <w:t xml:space="preserve">Keywords: </w:t>
      </w:r>
      <w:r w:rsidR="00197D3C" w:rsidRPr="00197D3C">
        <w:rPr>
          <w:rFonts w:ascii="Arial" w:hAnsi="Arial" w:cs="Arial"/>
          <w:i/>
        </w:rPr>
        <w:t>Extrusion (HME), Solid dispersions (SDs), Dissolution rate, Quality by Design (</w:t>
      </w:r>
      <w:proofErr w:type="spellStart"/>
      <w:r w:rsidR="00197D3C" w:rsidRPr="00197D3C">
        <w:rPr>
          <w:rFonts w:ascii="Arial" w:hAnsi="Arial" w:cs="Arial"/>
          <w:i/>
        </w:rPr>
        <w:t>QbD</w:t>
      </w:r>
      <w:proofErr w:type="spellEnd"/>
      <w:r w:rsidR="00197D3C" w:rsidRPr="00197D3C">
        <w:rPr>
          <w:rFonts w:ascii="Arial" w:hAnsi="Arial" w:cs="Arial"/>
          <w:i/>
        </w:rPr>
        <w:t>), Factorial design, Differential Scanning Calorimetry (DSC), Formulation, Glass transition(s), X-ray Powder Diffraction (XRD)</w:t>
      </w:r>
    </w:p>
    <w:p w14:paraId="70F58CF0" w14:textId="77777777" w:rsidR="00505F06" w:rsidRDefault="00505F06" w:rsidP="00441B6F">
      <w:pPr>
        <w:pStyle w:val="Body"/>
        <w:spacing w:after="0"/>
        <w:rPr>
          <w:rFonts w:ascii="Arial" w:hAnsi="Arial" w:cs="Arial"/>
          <w:i/>
        </w:rPr>
      </w:pPr>
    </w:p>
    <w:p w14:paraId="136582EE" w14:textId="77777777" w:rsidR="00A03B48" w:rsidRPr="00A24E7E" w:rsidRDefault="00A03B48" w:rsidP="00441B6F">
      <w:pPr>
        <w:pStyle w:val="Body"/>
        <w:spacing w:after="0"/>
        <w:rPr>
          <w:rFonts w:ascii="Arial" w:hAnsi="Arial" w:cs="Arial"/>
          <w:i/>
        </w:rPr>
      </w:pPr>
    </w:p>
    <w:p w14:paraId="172CD21E" w14:textId="0A5C64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85975A" w14:textId="77777777" w:rsidR="00790ADA" w:rsidRPr="00FB3A86" w:rsidRDefault="00790ADA" w:rsidP="00441B6F">
      <w:pPr>
        <w:pStyle w:val="AbstHead"/>
        <w:spacing w:after="0"/>
        <w:jc w:val="both"/>
        <w:rPr>
          <w:rFonts w:ascii="Arial" w:hAnsi="Arial" w:cs="Arial"/>
        </w:rPr>
      </w:pPr>
    </w:p>
    <w:p w14:paraId="7A6603E2" w14:textId="77777777" w:rsidR="00197D3C" w:rsidRPr="00197D3C" w:rsidRDefault="00197D3C" w:rsidP="00197D3C">
      <w:pPr>
        <w:pStyle w:val="Body"/>
        <w:rPr>
          <w:rFonts w:ascii="Arial" w:hAnsi="Arial" w:cs="Arial"/>
        </w:rPr>
      </w:pPr>
      <w:r w:rsidRPr="00197D3C">
        <w:rPr>
          <w:rFonts w:ascii="Arial" w:hAnsi="Arial" w:cs="Arial"/>
        </w:rPr>
        <w:t>Pharmaceutical compounds characterized by high hydrophobicity and, consequently, limited aqueous solubility present significant challenges in drug formulation. Their inherent physicochemical attributes—such as elongated hydrocarbon chains, nonpolar functional groups, and high molecular weight—substantially hinder oral bioavailability by restricting dissolution and subsequent absorption within the gastrointestinal tract. [1–5]</w:t>
      </w:r>
    </w:p>
    <w:p w14:paraId="36AFE665" w14:textId="77777777" w:rsidR="00197D3C" w:rsidRPr="00197D3C" w:rsidRDefault="00197D3C" w:rsidP="00197D3C">
      <w:pPr>
        <w:pStyle w:val="Body"/>
        <w:rPr>
          <w:rFonts w:ascii="Arial" w:hAnsi="Arial" w:cs="Arial"/>
        </w:rPr>
      </w:pPr>
      <w:r w:rsidRPr="00197D3C">
        <w:rPr>
          <w:rFonts w:ascii="Arial" w:hAnsi="Arial" w:cs="Arial"/>
        </w:rPr>
        <w:t>Terbinafine hydrochloride (</w:t>
      </w:r>
      <w:proofErr w:type="spellStart"/>
      <w:r w:rsidRPr="00197D3C">
        <w:rPr>
          <w:rFonts w:ascii="Arial" w:hAnsi="Arial" w:cs="Arial"/>
        </w:rPr>
        <w:t>TbHCl</w:t>
      </w:r>
      <w:proofErr w:type="spellEnd"/>
      <w:r w:rsidRPr="00197D3C">
        <w:rPr>
          <w:rFonts w:ascii="Arial" w:hAnsi="Arial" w:cs="Arial"/>
        </w:rPr>
        <w:t xml:space="preserve">) is a broad-spectrum antifungal agent belonging to the allylamine class, which acts through the irreversible inhibition of the enzyme squalene epoxidase. This mechanism disrupts fungal cell membrane synthesis by preventing ergosterol formation, leading to cellular accumulation of squalene and eventual cell death. According to the Biopharmaceutics Classification System (BCS), </w:t>
      </w:r>
      <w:proofErr w:type="spellStart"/>
      <w:r w:rsidRPr="00197D3C">
        <w:rPr>
          <w:rFonts w:ascii="Arial" w:hAnsi="Arial" w:cs="Arial"/>
        </w:rPr>
        <w:t>TbHCl</w:t>
      </w:r>
      <w:proofErr w:type="spellEnd"/>
      <w:r w:rsidRPr="00197D3C">
        <w:rPr>
          <w:rFonts w:ascii="Arial" w:hAnsi="Arial" w:cs="Arial"/>
        </w:rPr>
        <w:t xml:space="preserve"> is classified as a Class II drug [6], characterized by low aqueous solubility (883.42 µg/mL at pH 3.0) and relatively high permeability, with an estimated absorption of approximately 70%. [7]</w:t>
      </w:r>
    </w:p>
    <w:p w14:paraId="15267CBF" w14:textId="77777777" w:rsidR="00197D3C" w:rsidRPr="00197D3C" w:rsidRDefault="00197D3C" w:rsidP="00197D3C">
      <w:pPr>
        <w:pStyle w:val="Body"/>
        <w:rPr>
          <w:rFonts w:ascii="Arial" w:hAnsi="Arial" w:cs="Arial"/>
        </w:rPr>
      </w:pPr>
      <w:r w:rsidRPr="00197D3C">
        <w:rPr>
          <w:rFonts w:ascii="Arial" w:hAnsi="Arial" w:cs="Arial"/>
        </w:rPr>
        <w:lastRenderedPageBreak/>
        <w:t xml:space="preserve">Due to its poor water solubility, the formulation of </w:t>
      </w:r>
      <w:proofErr w:type="spellStart"/>
      <w:r w:rsidRPr="00197D3C">
        <w:rPr>
          <w:rFonts w:ascii="Arial" w:hAnsi="Arial" w:cs="Arial"/>
        </w:rPr>
        <w:t>TbHCl</w:t>
      </w:r>
      <w:proofErr w:type="spellEnd"/>
      <w:r w:rsidRPr="00197D3C">
        <w:rPr>
          <w:rFonts w:ascii="Arial" w:hAnsi="Arial" w:cs="Arial"/>
        </w:rPr>
        <w:t xml:space="preserve"> for oral administration presents significant challenges in achieving optimal bioavailability. To address these limitations, several formulation strategies have been explored to improve its dissolution rate and, consequently, its therapeutic performance. These include </w:t>
      </w:r>
      <w:proofErr w:type="spellStart"/>
      <w:r w:rsidRPr="00197D3C">
        <w:rPr>
          <w:rFonts w:ascii="Arial" w:hAnsi="Arial" w:cs="Arial"/>
        </w:rPr>
        <w:t>cosolvency</w:t>
      </w:r>
      <w:proofErr w:type="spellEnd"/>
      <w:r w:rsidRPr="00197D3C">
        <w:rPr>
          <w:rFonts w:ascii="Arial" w:hAnsi="Arial" w:cs="Arial"/>
        </w:rPr>
        <w:t xml:space="preserve"> approaches [8], solid dispersions (SD) [9–11], inclusion complexes with cyclodextrin [12], </w:t>
      </w:r>
      <w:proofErr w:type="spellStart"/>
      <w:r w:rsidRPr="00197D3C">
        <w:rPr>
          <w:rFonts w:ascii="Arial" w:hAnsi="Arial" w:cs="Arial"/>
        </w:rPr>
        <w:t>oro</w:t>
      </w:r>
      <w:proofErr w:type="spellEnd"/>
      <w:r w:rsidRPr="00197D3C">
        <w:rPr>
          <w:rFonts w:ascii="Arial" w:hAnsi="Arial" w:cs="Arial"/>
        </w:rPr>
        <w:t>-dispersible tablets [13], microemulsions [14,15], self-</w:t>
      </w:r>
      <w:proofErr w:type="spellStart"/>
      <w:r w:rsidRPr="00197D3C">
        <w:rPr>
          <w:rFonts w:ascii="Arial" w:hAnsi="Arial" w:cs="Arial"/>
        </w:rPr>
        <w:t>microemulsifying</w:t>
      </w:r>
      <w:proofErr w:type="spellEnd"/>
      <w:r w:rsidRPr="00197D3C">
        <w:rPr>
          <w:rFonts w:ascii="Arial" w:hAnsi="Arial" w:cs="Arial"/>
        </w:rPr>
        <w:t xml:space="preserve"> drug delivery systems (SMEDDS) [16], and lipid-based nanostructured delivery systems [17]. Additional approaches include solid lipid nanoparticles (SLNs) [18] and film-forming systems [19].</w:t>
      </w:r>
    </w:p>
    <w:p w14:paraId="008C6CE1" w14:textId="77777777" w:rsidR="00197D3C" w:rsidRPr="00197D3C" w:rsidRDefault="00197D3C" w:rsidP="00197D3C">
      <w:pPr>
        <w:pStyle w:val="Body"/>
        <w:rPr>
          <w:rFonts w:ascii="Arial" w:hAnsi="Arial" w:cs="Arial"/>
        </w:rPr>
      </w:pPr>
      <w:r w:rsidRPr="00197D3C">
        <w:rPr>
          <w:rFonts w:ascii="Arial" w:hAnsi="Arial" w:cs="Arial"/>
        </w:rPr>
        <w:t>Solid dispersions are typically classified into three generations, depending on the nature of the carrier and the physical state of the drug:</w:t>
      </w:r>
    </w:p>
    <w:p w14:paraId="26399DC6" w14:textId="3841F67C" w:rsidR="00197D3C" w:rsidRPr="00197D3C" w:rsidRDefault="00197D3C" w:rsidP="00197D3C">
      <w:pPr>
        <w:pStyle w:val="Body"/>
        <w:spacing w:after="0"/>
        <w:ind w:left="425"/>
        <w:rPr>
          <w:rFonts w:ascii="Arial" w:hAnsi="Arial" w:cs="Arial"/>
        </w:rPr>
      </w:pPr>
      <w:r w:rsidRPr="00197D3C">
        <w:rPr>
          <w:rFonts w:ascii="Arial" w:hAnsi="Arial" w:cs="Arial"/>
        </w:rPr>
        <w:t>•First-generation: crystalline drug in crystalline or amorphous matrices (e.g., mannitol, urea).</w:t>
      </w:r>
    </w:p>
    <w:p w14:paraId="0B668AF4" w14:textId="4F9050B7" w:rsidR="00197D3C" w:rsidRPr="00197D3C" w:rsidRDefault="00197D3C" w:rsidP="00197D3C">
      <w:pPr>
        <w:pStyle w:val="Body"/>
        <w:spacing w:after="0"/>
        <w:ind w:left="425"/>
        <w:rPr>
          <w:rFonts w:ascii="Arial" w:hAnsi="Arial" w:cs="Arial"/>
        </w:rPr>
      </w:pPr>
      <w:r w:rsidRPr="00197D3C">
        <w:rPr>
          <w:rFonts w:ascii="Arial" w:hAnsi="Arial" w:cs="Arial"/>
        </w:rPr>
        <w:t>•Second-generation: amorphous dispersions using hydrophilic amorphous polymers (e.g., PVP, PEG).</w:t>
      </w:r>
    </w:p>
    <w:p w14:paraId="77ED5F55" w14:textId="15B231D9" w:rsidR="00197D3C" w:rsidRPr="00197D3C" w:rsidRDefault="00197D3C" w:rsidP="00197D3C">
      <w:pPr>
        <w:pStyle w:val="Body"/>
        <w:spacing w:after="0"/>
        <w:ind w:left="425"/>
        <w:rPr>
          <w:rFonts w:ascii="Arial" w:hAnsi="Arial" w:cs="Arial"/>
        </w:rPr>
      </w:pPr>
      <w:r w:rsidRPr="00197D3C">
        <w:rPr>
          <w:rFonts w:ascii="Arial" w:hAnsi="Arial" w:cs="Arial"/>
        </w:rPr>
        <w:t xml:space="preserve">•Third-generation: incorporation of surfactants or solubilizers into the polymer matrix (e.g., </w:t>
      </w:r>
      <w:proofErr w:type="spellStart"/>
      <w:r w:rsidRPr="00197D3C">
        <w:rPr>
          <w:rFonts w:ascii="Arial" w:hAnsi="Arial" w:cs="Arial"/>
        </w:rPr>
        <w:t>Soluplus</w:t>
      </w:r>
      <w:proofErr w:type="spellEnd"/>
      <w:r w:rsidRPr="00197D3C">
        <w:rPr>
          <w:rFonts w:ascii="Arial" w:hAnsi="Arial" w:cs="Arial"/>
        </w:rPr>
        <w:t>®, Poloxamer).</w:t>
      </w:r>
    </w:p>
    <w:p w14:paraId="686F3A46" w14:textId="14025A2B" w:rsidR="00197D3C" w:rsidRPr="00197D3C" w:rsidRDefault="00197D3C" w:rsidP="00197D3C">
      <w:pPr>
        <w:pStyle w:val="Body"/>
        <w:ind w:left="425"/>
        <w:rPr>
          <w:rFonts w:ascii="Arial" w:hAnsi="Arial" w:cs="Arial"/>
        </w:rPr>
      </w:pPr>
      <w:r w:rsidRPr="00197D3C">
        <w:rPr>
          <w:rFonts w:ascii="Arial" w:hAnsi="Arial" w:cs="Arial"/>
        </w:rPr>
        <w:t>•Fou</w:t>
      </w:r>
      <w:r w:rsidR="00C53062">
        <w:rPr>
          <w:rFonts w:ascii="Arial" w:hAnsi="Arial" w:cs="Arial"/>
        </w:rPr>
        <w:t>r</w:t>
      </w:r>
      <w:r w:rsidRPr="00197D3C">
        <w:rPr>
          <w:rFonts w:ascii="Arial" w:hAnsi="Arial" w:cs="Arial"/>
        </w:rPr>
        <w:t>th</w:t>
      </w:r>
      <w:r w:rsidR="00C53062">
        <w:rPr>
          <w:rFonts w:ascii="Arial" w:hAnsi="Arial" w:cs="Arial"/>
        </w:rPr>
        <w:t>-</w:t>
      </w:r>
      <w:r w:rsidRPr="00C53062">
        <w:rPr>
          <w:rFonts w:ascii="Arial" w:hAnsi="Arial" w:cs="Arial"/>
        </w:rPr>
        <w:t>genera</w:t>
      </w:r>
      <w:r w:rsidR="0098475A" w:rsidRPr="00C53062">
        <w:rPr>
          <w:rFonts w:ascii="Arial" w:hAnsi="Arial" w:cs="Arial"/>
        </w:rPr>
        <w:t>t</w:t>
      </w:r>
      <w:r w:rsidRPr="00C53062">
        <w:rPr>
          <w:rFonts w:ascii="Arial" w:hAnsi="Arial" w:cs="Arial"/>
        </w:rPr>
        <w:t>ion</w:t>
      </w:r>
      <w:r w:rsidRPr="00197D3C">
        <w:rPr>
          <w:rFonts w:ascii="Arial" w:hAnsi="Arial" w:cs="Arial"/>
        </w:rPr>
        <w:t>: is a controlled release solid dispersion containing poorly water-soluble drugs with a short half-life (e.g. ethyl cellulose, Eudragit) [20]</w:t>
      </w:r>
    </w:p>
    <w:p w14:paraId="0E1B715D" w14:textId="77777777" w:rsidR="00197D3C" w:rsidRPr="00197D3C" w:rsidRDefault="00197D3C" w:rsidP="00197D3C">
      <w:pPr>
        <w:pStyle w:val="Body"/>
        <w:rPr>
          <w:rFonts w:ascii="Arial" w:hAnsi="Arial" w:cs="Arial"/>
        </w:rPr>
      </w:pPr>
      <w:r w:rsidRPr="00197D3C">
        <w:rPr>
          <w:rFonts w:ascii="Arial" w:hAnsi="Arial" w:cs="Arial"/>
        </w:rPr>
        <w:t>In this study, two extrusion-grade polymers—</w:t>
      </w:r>
      <w:proofErr w:type="spellStart"/>
      <w:r w:rsidRPr="00197D3C">
        <w:rPr>
          <w:rFonts w:ascii="Arial" w:hAnsi="Arial" w:cs="Arial"/>
        </w:rPr>
        <w:t>Soluplus</w:t>
      </w:r>
      <w:proofErr w:type="spellEnd"/>
      <w:r w:rsidRPr="00197D3C">
        <w:rPr>
          <w:rFonts w:ascii="Arial" w:hAnsi="Arial" w:cs="Arial"/>
        </w:rPr>
        <w:t>® and PVP VA64—were selected as carriers for SDs prepared by hot-melt extrusion (HME), for getting third generation solid dispersions.</w:t>
      </w:r>
    </w:p>
    <w:p w14:paraId="4DD8BFC5" w14:textId="77777777" w:rsidR="00197D3C" w:rsidRPr="00197D3C" w:rsidRDefault="00197D3C" w:rsidP="00197D3C">
      <w:pPr>
        <w:pStyle w:val="Body"/>
        <w:rPr>
          <w:rFonts w:ascii="Arial" w:hAnsi="Arial" w:cs="Arial"/>
        </w:rPr>
      </w:pPr>
      <w:r w:rsidRPr="00197D3C">
        <w:rPr>
          <w:rFonts w:ascii="Arial" w:hAnsi="Arial" w:cs="Arial"/>
        </w:rPr>
        <w:t xml:space="preserve">In the context of solid dispersion formulations for </w:t>
      </w:r>
      <w:proofErr w:type="spellStart"/>
      <w:r w:rsidRPr="00197D3C">
        <w:rPr>
          <w:rFonts w:ascii="Arial" w:hAnsi="Arial" w:cs="Arial"/>
        </w:rPr>
        <w:t>TbHCl</w:t>
      </w:r>
      <w:proofErr w:type="spellEnd"/>
      <w:r w:rsidRPr="00197D3C">
        <w:rPr>
          <w:rFonts w:ascii="Arial" w:hAnsi="Arial" w:cs="Arial"/>
        </w:rPr>
        <w:t xml:space="preserve">, various preparation techniques have been employed, such as solvent evaporation [9,10], melt fusion [9], and melt granulation [21]. Arunprasad et al. reported approximately a 40% enhancement in dissolution rate when solid dispersions were formulated using polyethylene glycol 6000 (PEG 6000) and polyvinylpyrrolidone K30 (PVP K30) [9,22]. Likewise, Kumar et al. [9] observed a 20% increase in the percentage of drug dissolved at 60 minutes compared to the pure drug, using PVP K30 as a carrier. Karekar et al. employed Poloxamer 188 as a carrier matrix by melt granulation technique, achieving a 2.6-fold enhancement in the dissolution rate relative to the pure drug, employing a 1:1 drug-to-Poloxamer 188 </w:t>
      </w:r>
      <w:proofErr w:type="gramStart"/>
      <w:r w:rsidRPr="00197D3C">
        <w:rPr>
          <w:rFonts w:ascii="Arial" w:hAnsi="Arial" w:cs="Arial"/>
        </w:rPr>
        <w:t>ratio.[</w:t>
      </w:r>
      <w:proofErr w:type="gramEnd"/>
      <w:r w:rsidRPr="00197D3C">
        <w:rPr>
          <w:rFonts w:ascii="Arial" w:hAnsi="Arial" w:cs="Arial"/>
        </w:rPr>
        <w:t>21]</w:t>
      </w:r>
    </w:p>
    <w:p w14:paraId="0F41D13F" w14:textId="77777777" w:rsidR="00197D3C" w:rsidRPr="00197D3C" w:rsidRDefault="00197D3C" w:rsidP="00197D3C">
      <w:pPr>
        <w:pStyle w:val="Body"/>
        <w:rPr>
          <w:rFonts w:ascii="Arial" w:hAnsi="Arial" w:cs="Arial"/>
        </w:rPr>
      </w:pPr>
      <w:r w:rsidRPr="00197D3C">
        <w:rPr>
          <w:rFonts w:ascii="Arial" w:hAnsi="Arial" w:cs="Arial"/>
        </w:rPr>
        <w:t xml:space="preserve">To date, no processes for obtaining SD of </w:t>
      </w:r>
      <w:proofErr w:type="spellStart"/>
      <w:r w:rsidRPr="00197D3C">
        <w:rPr>
          <w:rFonts w:ascii="Arial" w:hAnsi="Arial" w:cs="Arial"/>
        </w:rPr>
        <w:t>TbHCl</w:t>
      </w:r>
      <w:proofErr w:type="spellEnd"/>
      <w:r w:rsidRPr="00197D3C">
        <w:rPr>
          <w:rFonts w:ascii="Arial" w:hAnsi="Arial" w:cs="Arial"/>
        </w:rPr>
        <w:t xml:space="preserve"> using the hot-melt extrusion (HME) method have been reported in the literature. Additionally, the use of </w:t>
      </w:r>
      <w:proofErr w:type="spellStart"/>
      <w:r w:rsidRPr="00197D3C">
        <w:rPr>
          <w:rFonts w:ascii="Arial" w:hAnsi="Arial" w:cs="Arial"/>
        </w:rPr>
        <w:t>Soluplus</w:t>
      </w:r>
      <w:proofErr w:type="spellEnd"/>
      <w:r w:rsidRPr="00197D3C">
        <w:rPr>
          <w:rFonts w:ascii="Arial" w:hAnsi="Arial" w:cs="Arial"/>
        </w:rPr>
        <w:t xml:space="preserve"> or PVP VA64—two polymers extensively studied for SD fabrication—has not been explored in this context. Moreover, the effect of a polymer that combines two solubilization mechanisms, as is the case with </w:t>
      </w:r>
      <w:proofErr w:type="spellStart"/>
      <w:r w:rsidRPr="00197D3C">
        <w:rPr>
          <w:rFonts w:ascii="Arial" w:hAnsi="Arial" w:cs="Arial"/>
        </w:rPr>
        <w:t>Soluplus</w:t>
      </w:r>
      <w:proofErr w:type="spellEnd"/>
      <w:r w:rsidRPr="00197D3C">
        <w:rPr>
          <w:rFonts w:ascii="Arial" w:hAnsi="Arial" w:cs="Arial"/>
        </w:rPr>
        <w:t xml:space="preserve"> -which can improve solubility forming a matrix or micellar structures- has not yet been investigated. [23,24]</w:t>
      </w:r>
    </w:p>
    <w:p w14:paraId="6B0507D8" w14:textId="77777777" w:rsidR="00197D3C" w:rsidRPr="00197D3C" w:rsidRDefault="00197D3C" w:rsidP="00197D3C">
      <w:pPr>
        <w:pStyle w:val="Body"/>
        <w:rPr>
          <w:rFonts w:ascii="Arial" w:hAnsi="Arial" w:cs="Arial"/>
        </w:rPr>
      </w:pPr>
      <w:r w:rsidRPr="00197D3C">
        <w:rPr>
          <w:rFonts w:ascii="Arial" w:hAnsi="Arial" w:cs="Arial"/>
        </w:rPr>
        <w:t xml:space="preserve">Both PVP VA64 and </w:t>
      </w:r>
      <w:proofErr w:type="spellStart"/>
      <w:r w:rsidRPr="00197D3C">
        <w:rPr>
          <w:rFonts w:ascii="Arial" w:hAnsi="Arial" w:cs="Arial"/>
        </w:rPr>
        <w:t>Soluplus</w:t>
      </w:r>
      <w:proofErr w:type="spellEnd"/>
      <w:r w:rsidRPr="00197D3C">
        <w:rPr>
          <w:rFonts w:ascii="Arial" w:hAnsi="Arial" w:cs="Arial"/>
        </w:rPr>
        <w:t xml:space="preserve"> have only recently, within the past decade, been introduced for improving drug solubility through the HME manufacturing method. [25–28]</w:t>
      </w:r>
    </w:p>
    <w:p w14:paraId="3B0ADEE2" w14:textId="77777777" w:rsidR="00197D3C" w:rsidRPr="00197D3C" w:rsidRDefault="00197D3C" w:rsidP="00197D3C">
      <w:pPr>
        <w:pStyle w:val="Body"/>
        <w:rPr>
          <w:rFonts w:ascii="Arial" w:hAnsi="Arial" w:cs="Arial"/>
        </w:rPr>
      </w:pPr>
      <w:r w:rsidRPr="00197D3C">
        <w:rPr>
          <w:rFonts w:ascii="Arial" w:hAnsi="Arial" w:cs="Arial"/>
        </w:rPr>
        <w:t>HME is one of the most widely employed methods to produce SD. The process involves feeding raw materials at elevated temperatures into an extrusion chamber, equipped with one or two screws, where the materials are melted and subsequently formed into a matrix to obtain a uniform product. The application of high shear forces to the molten materials promotes intimate mixing, which often facilitates the dispersion of the active pharmaceutical ingredient at a molecular level. In the final stage of the process, the extrudate is cooled until solidification is achieved. [29,30]</w:t>
      </w:r>
    </w:p>
    <w:p w14:paraId="2B154FDB" w14:textId="77777777" w:rsidR="00197D3C" w:rsidRPr="00197D3C" w:rsidRDefault="00197D3C" w:rsidP="00197D3C">
      <w:pPr>
        <w:pStyle w:val="Body"/>
        <w:rPr>
          <w:rFonts w:ascii="Arial" w:hAnsi="Arial" w:cs="Arial"/>
        </w:rPr>
      </w:pPr>
      <w:r w:rsidRPr="00197D3C">
        <w:rPr>
          <w:rFonts w:ascii="Arial" w:hAnsi="Arial" w:cs="Arial"/>
        </w:rPr>
        <w:lastRenderedPageBreak/>
        <w:t>Quality by Design (</w:t>
      </w:r>
      <w:proofErr w:type="spellStart"/>
      <w:r w:rsidRPr="00197D3C">
        <w:rPr>
          <w:rFonts w:ascii="Arial" w:hAnsi="Arial" w:cs="Arial"/>
        </w:rPr>
        <w:t>QbD</w:t>
      </w:r>
      <w:proofErr w:type="spellEnd"/>
      <w:r w:rsidRPr="00197D3C">
        <w:rPr>
          <w:rFonts w:ascii="Arial" w:hAnsi="Arial" w:cs="Arial"/>
        </w:rPr>
        <w:t>) is a systematic approach to product development that relies on risk assessment (RA) and the implementation of Design of Experiments (DoE) to determine the critical process parameters and material attributes necessary to achieve the target product profile. This approach is comprehensively described in the International Conference on Harmonization guideline ICH Q8, which emphasizes knowledge management [31], RA [32], and DoE [33] as fundamental steps for its implementation. [34,35]</w:t>
      </w:r>
    </w:p>
    <w:p w14:paraId="6BA55089" w14:textId="77777777" w:rsidR="00197D3C" w:rsidRPr="00197D3C" w:rsidRDefault="00197D3C" w:rsidP="00197D3C">
      <w:pPr>
        <w:pStyle w:val="Body"/>
        <w:rPr>
          <w:rFonts w:ascii="Arial" w:hAnsi="Arial" w:cs="Arial"/>
        </w:rPr>
      </w:pPr>
      <w:r w:rsidRPr="00197D3C">
        <w:rPr>
          <w:rFonts w:ascii="Arial" w:hAnsi="Arial" w:cs="Arial"/>
        </w:rPr>
        <w:t>In the present study, critical material attributes (CMA) and critical process parameters (CPP) impacting the performance of terbinafine hydrochloride (</w:t>
      </w:r>
      <w:proofErr w:type="spellStart"/>
      <w:r w:rsidRPr="00197D3C">
        <w:rPr>
          <w:rFonts w:ascii="Arial" w:hAnsi="Arial" w:cs="Arial"/>
        </w:rPr>
        <w:t>TbHCl</w:t>
      </w:r>
      <w:proofErr w:type="spellEnd"/>
      <w:r w:rsidRPr="00197D3C">
        <w:rPr>
          <w:rFonts w:ascii="Arial" w:hAnsi="Arial" w:cs="Arial"/>
        </w:rPr>
        <w:t xml:space="preserve">) extrudates were identified using RA tools. The type of polymer (A) and the polymer concentration (B) were identified as CMA, while screw speed (C) and residence time (D) were determined as CPP. High and low levels for these variables were established based on preliminary studies. Critical quality attributes (CQA) were defined as the physicochemical properties necessary, within appropriate limits, to ensure the desired quality of the product. For the HME process employed in the fabrication of the solid </w:t>
      </w:r>
      <w:proofErr w:type="spellStart"/>
      <w:r w:rsidRPr="00197D3C">
        <w:rPr>
          <w:rFonts w:ascii="Arial" w:hAnsi="Arial" w:cs="Arial"/>
        </w:rPr>
        <w:t>dispersión</w:t>
      </w:r>
      <w:proofErr w:type="spellEnd"/>
      <w:r w:rsidRPr="00197D3C">
        <w:rPr>
          <w:rFonts w:ascii="Arial" w:hAnsi="Arial" w:cs="Arial"/>
        </w:rPr>
        <w:t>, dissolution rate—represented by the slope of the linear regression of the dissolution profile from 5 to 60 minutes (Y1)—and the amount of drug released at 60 minutes (Y2) were selected as key performance indicators.</w:t>
      </w:r>
    </w:p>
    <w:p w14:paraId="0D8B35C9" w14:textId="400F78A7" w:rsidR="00790ADA" w:rsidRPr="00FB3A86" w:rsidRDefault="00197D3C" w:rsidP="00197D3C">
      <w:pPr>
        <w:pStyle w:val="Body"/>
        <w:rPr>
          <w:rFonts w:ascii="Arial" w:hAnsi="Arial" w:cs="Arial"/>
        </w:rPr>
      </w:pPr>
      <w:r w:rsidRPr="00197D3C">
        <w:rPr>
          <w:rFonts w:ascii="Arial" w:hAnsi="Arial" w:cs="Arial"/>
        </w:rPr>
        <w:t xml:space="preserve">The novelty of the present study lies in the exploration of HME for the development of </w:t>
      </w:r>
      <w:proofErr w:type="spellStart"/>
      <w:r w:rsidRPr="00197D3C">
        <w:rPr>
          <w:rFonts w:ascii="Arial" w:hAnsi="Arial" w:cs="Arial"/>
        </w:rPr>
        <w:t>TbHCl</w:t>
      </w:r>
      <w:proofErr w:type="spellEnd"/>
      <w:r w:rsidRPr="00197D3C">
        <w:rPr>
          <w:rFonts w:ascii="Arial" w:hAnsi="Arial" w:cs="Arial"/>
        </w:rPr>
        <w:t xml:space="preserve"> solid dispersions using PVP VA64 and </w:t>
      </w:r>
      <w:proofErr w:type="spellStart"/>
      <w:r w:rsidRPr="00197D3C">
        <w:rPr>
          <w:rFonts w:ascii="Arial" w:hAnsi="Arial" w:cs="Arial"/>
        </w:rPr>
        <w:t>Soluplus</w:t>
      </w:r>
      <w:proofErr w:type="spellEnd"/>
      <w:r w:rsidRPr="00197D3C">
        <w:rPr>
          <w:rFonts w:ascii="Arial" w:hAnsi="Arial" w:cs="Arial"/>
        </w:rPr>
        <w:t>, two extrusion-grade polymers suitable for the formulation of third-generation SDs. The primary objective was to obtain a prototype of a co-processed active pharmaceutical ingredient with an enhanced dissolution rate, while maintaining its chemical identity and the highest possible drug loading while still achieving a significant enhancement in the dissolution rate. This balance is essential to ensure that the resulting formulation is both pharmaceutically effective and suitable for further processing into immediate-release dosage forms.</w:t>
      </w:r>
    </w:p>
    <w:p w14:paraId="309B1A17" w14:textId="2AF9AC6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944B56D" w14:textId="77777777" w:rsidR="00790ADA" w:rsidRPr="00FB3A86" w:rsidRDefault="00790ADA" w:rsidP="00441B6F">
      <w:pPr>
        <w:pStyle w:val="AbstHead"/>
        <w:spacing w:after="0"/>
        <w:jc w:val="both"/>
        <w:rPr>
          <w:rFonts w:ascii="Arial" w:hAnsi="Arial" w:cs="Arial"/>
        </w:rPr>
      </w:pPr>
    </w:p>
    <w:p w14:paraId="0DF35B74" w14:textId="5572809C" w:rsidR="005E64F8" w:rsidRPr="005E64F8" w:rsidRDefault="005E64F8" w:rsidP="005E64F8">
      <w:pPr>
        <w:pStyle w:val="Body"/>
        <w:rPr>
          <w:rFonts w:ascii="Arial" w:hAnsi="Arial" w:cs="Arial"/>
        </w:rPr>
      </w:pPr>
      <w:r>
        <w:rPr>
          <w:rFonts w:ascii="Arial" w:hAnsi="Arial" w:cs="Arial"/>
        </w:rPr>
        <w:t xml:space="preserve">2.1 </w:t>
      </w:r>
      <w:r w:rsidRPr="005E64F8">
        <w:rPr>
          <w:rFonts w:ascii="Arial" w:hAnsi="Arial" w:cs="Arial"/>
        </w:rPr>
        <w:t>Materials</w:t>
      </w:r>
    </w:p>
    <w:p w14:paraId="4C0822E5" w14:textId="77777777" w:rsidR="005E64F8" w:rsidRDefault="005E64F8" w:rsidP="005E64F8">
      <w:pPr>
        <w:pStyle w:val="Body"/>
        <w:rPr>
          <w:rFonts w:ascii="Arial" w:hAnsi="Arial" w:cs="Arial"/>
        </w:rPr>
      </w:pPr>
      <w:r w:rsidRPr="005E64F8">
        <w:rPr>
          <w:rFonts w:ascii="Arial" w:hAnsi="Arial" w:cs="Arial"/>
        </w:rPr>
        <w:t>Terbinafine hydrochloride (</w:t>
      </w:r>
      <w:proofErr w:type="spellStart"/>
      <w:r w:rsidRPr="005E64F8">
        <w:rPr>
          <w:rFonts w:ascii="Arial" w:hAnsi="Arial" w:cs="Arial"/>
        </w:rPr>
        <w:t>TbHCl</w:t>
      </w:r>
      <w:proofErr w:type="spellEnd"/>
      <w:r w:rsidRPr="005E64F8">
        <w:rPr>
          <w:rFonts w:ascii="Arial" w:hAnsi="Arial" w:cs="Arial"/>
        </w:rPr>
        <w:t xml:space="preserve">), kindly donated by </w:t>
      </w:r>
      <w:proofErr w:type="spellStart"/>
      <w:r w:rsidRPr="005E64F8">
        <w:rPr>
          <w:rFonts w:ascii="Arial" w:hAnsi="Arial" w:cs="Arial"/>
        </w:rPr>
        <w:t>Moléculas</w:t>
      </w:r>
      <w:proofErr w:type="spellEnd"/>
      <w:r w:rsidRPr="005E64F8">
        <w:rPr>
          <w:rFonts w:ascii="Arial" w:hAnsi="Arial" w:cs="Arial"/>
        </w:rPr>
        <w:t xml:space="preserve"> </w:t>
      </w:r>
      <w:proofErr w:type="spellStart"/>
      <w:r w:rsidRPr="005E64F8">
        <w:rPr>
          <w:rFonts w:ascii="Arial" w:hAnsi="Arial" w:cs="Arial"/>
        </w:rPr>
        <w:t>Finas</w:t>
      </w:r>
      <w:proofErr w:type="spellEnd"/>
      <w:r w:rsidRPr="005E64F8">
        <w:rPr>
          <w:rFonts w:ascii="Arial" w:hAnsi="Arial" w:cs="Arial"/>
        </w:rPr>
        <w:t xml:space="preserve"> S.A. de C.V. (Mexico), was obtained as a beige-colored powder. The selected polymeric carriers were </w:t>
      </w:r>
      <w:proofErr w:type="spellStart"/>
      <w:r w:rsidRPr="005E64F8">
        <w:rPr>
          <w:rFonts w:ascii="Arial" w:hAnsi="Arial" w:cs="Arial"/>
        </w:rPr>
        <w:t>Soluplus</w:t>
      </w:r>
      <w:proofErr w:type="spellEnd"/>
      <w:r w:rsidRPr="005E64F8">
        <w:rPr>
          <w:rFonts w:ascii="Arial" w:hAnsi="Arial" w:cs="Arial"/>
        </w:rPr>
        <w:t>® and polyvinylpyrrolidone vinyl acetate copolymer (PVP VA64), both generously provided by BASF de México. An overview of the key physicochemical properties of the selected polymers is provided in Table 1. Xylitol was purchased from Sigma-Aldrich. The dissolution medium was prepared using hydrochloric acid (HCl) from JT Baker.</w:t>
      </w:r>
    </w:p>
    <w:p w14:paraId="599062FE" w14:textId="112AF186" w:rsidR="00A03B48" w:rsidRDefault="00A03B48" w:rsidP="00A03B48">
      <w:pPr>
        <w:pStyle w:val="List2"/>
        <w:spacing w:before="240" w:after="120"/>
        <w:ind w:left="0" w:firstLine="0"/>
        <w:jc w:val="center"/>
        <w:rPr>
          <w:rFonts w:ascii="Arial" w:eastAsia="Times New Roman" w:hAnsi="Arial" w:cs="Arial"/>
          <w:color w:val="000000"/>
          <w:sz w:val="20"/>
          <w:szCs w:val="20"/>
        </w:rPr>
      </w:pPr>
      <w:r w:rsidRPr="00A03B48">
        <w:rPr>
          <w:rFonts w:ascii="Arial" w:hAnsi="Arial" w:cs="Arial"/>
          <w:sz w:val="20"/>
          <w:szCs w:val="20"/>
        </w:rPr>
        <w:t xml:space="preserve">Table 1. Key physicochemical properties of the selected polymers </w:t>
      </w:r>
      <w:r w:rsidRPr="00A03B48">
        <w:rPr>
          <w:rFonts w:ascii="Arial" w:eastAsia="Times New Roman" w:hAnsi="Arial" w:cs="Arial"/>
          <w:color w:val="000000"/>
          <w:sz w:val="20"/>
          <w:szCs w:val="20"/>
        </w:rPr>
        <w:fldChar w:fldCharType="begin" w:fldLock="1"/>
      </w:r>
      <w:r w:rsidR="001B7968">
        <w:rPr>
          <w:rFonts w:ascii="Arial" w:hAnsi="Arial" w:cs="Arial"/>
          <w:sz w:val="20"/>
          <w:szCs w:val="20"/>
        </w:rPr>
        <w:instrText>ADDIN CSL_CITATION {"citationItems":[{"id":"ITEM-1","itemData":{"DOI":"10.3390/pharmaceutics12090795","ISSN":"19994923","abstract":"Three-dimensional (3D) printing offers the greatest potential to revolutionize the future of pharmaceutical manufacturing by overcoming challenges of conventional pharmaceutical operations and focusing design and production of dosage forms on the patient’s needs. Of the many technologies available, fusion deposition modelling (FDM) is considered of the lowest cost and higher reproducibility and accessibility, offering clear advantages in drug delivery. FDM requires in-house production of filaments of drug-containing thermoplastic polymers by hot-melt extrusion (HME), and the prospect of connecting the two technologies has been under investigation. The ability to integrate HME and FDM and predict and tailor the filaments’ properties will extend the range of printable polymers/formulations. Hence, this work revises the properties of the most common pharmaceutical-grade polymers used and their effect on extrudability, printability, and printing outcome, providing suitable processing windows for different raw materials. As a result, formulation selection will be more straightforward (considering the characteristics of drug and desired dosage form or release profile) and the processes setup will be more expedite (avoiding or mitigating typical processing issues), thus guaranteeing the success of both HME and FDM. Relevant techniques used to characterize filaments and 3D-printed dosage forms as an essential component for the evaluation of the quality output are also presented.","author":[{"dropping-particle":"","family":"Pereira","given":"Gabriela G.","non-dropping-particle":"","parse-names":false,"suffix":""},{"dropping-particle":"","family":"Figueiredo","given":"Sara","non-dropping-particle":"","parse-names":false,"suffix":""},{"dropping-particle":"","family":"Fernandes","given":"Ana Isabel","non-dropping-particle":"","parse-names":false,"suffix":""},{"dropping-particle":"","family":"Pinto","given":"João F.","non-dropping-particle":"","parse-names":false,"suffix":""}],"container-title":"Pharmaceutics","id":"ITEM-1","issue":"9","issued":{"date-parts":[["2020"]]},"page":"1-63","title":"Polymer selection for hot-melt extrusion coupled to fused deposition modelling in pharmaceutics","type":"article-journal","volume":"12"},"uris":["http://www.mendeley.com/documents/?uuid=242822e3-ad74-4646-8d84-a800ce4b495d"]},{"id":"ITEM-2","itemData":{"ISBN":"9783000394157","author":[{"dropping-particle":"","family":"BASF","given":"","non-dropping-particle":"","parse-names":false,"suffix":""}],"editor":[{"dropping-particle":"","family":"Reintjes","given":"Thomas","non-dropping-particle":"","parse-names":false,"suffix":""}],"id":"ITEM-2","issued":{"date-parts":[["2011"]]},"number-of-pages":"1-130","publisher-place":"Lampertheim, Germany","title":"Solubility Enhancement with BASF Pharma Polymers. Solubilizer Compendium","type":"book"},"uris":["http://www.mendeley.com/documents/?uuid=fa5f19f9-850e-4ff9-b7c2-ee0cd53ba5c5"]}],"mendeley":{"formattedCitation":"(BASF, 2011; Pereira &lt;i&gt;et al.&lt;/i&gt;, 2020)","plainTextFormattedCitation":"(BASF, 2011; Pereira et al., 2020)","previouslyFormattedCitation":"[1,37]"},"properties":{"noteIndex":0},"schema":"https://github.com/citation-style-language/schema/raw/master/csl-citation.json"}</w:instrText>
      </w:r>
      <w:r w:rsidRPr="00A03B48">
        <w:rPr>
          <w:rFonts w:ascii="Arial" w:eastAsia="Times New Roman" w:hAnsi="Arial" w:cs="Arial"/>
          <w:color w:val="000000"/>
          <w:sz w:val="20"/>
          <w:szCs w:val="20"/>
        </w:rPr>
        <w:fldChar w:fldCharType="separate"/>
      </w:r>
      <w:r w:rsidR="001B7968" w:rsidRPr="001B7968">
        <w:rPr>
          <w:rFonts w:ascii="Arial" w:hAnsi="Arial" w:cs="Arial"/>
          <w:noProof/>
          <w:sz w:val="20"/>
          <w:szCs w:val="20"/>
        </w:rPr>
        <w:t xml:space="preserve">(BASF, 2011; Pereira </w:t>
      </w:r>
      <w:r w:rsidR="001B7968" w:rsidRPr="001B7968">
        <w:rPr>
          <w:rFonts w:ascii="Arial" w:hAnsi="Arial" w:cs="Arial"/>
          <w:i/>
          <w:noProof/>
          <w:sz w:val="20"/>
          <w:szCs w:val="20"/>
        </w:rPr>
        <w:t>et al.</w:t>
      </w:r>
      <w:r w:rsidR="001B7968" w:rsidRPr="001B7968">
        <w:rPr>
          <w:rFonts w:ascii="Arial" w:hAnsi="Arial" w:cs="Arial"/>
          <w:noProof/>
          <w:sz w:val="20"/>
          <w:szCs w:val="20"/>
        </w:rPr>
        <w:t>, 2020)</w:t>
      </w:r>
      <w:r w:rsidRPr="00A03B48">
        <w:rPr>
          <w:rFonts w:ascii="Arial" w:eastAsia="Times New Roman" w:hAnsi="Arial" w:cs="Arial"/>
          <w:color w:val="000000"/>
          <w:sz w:val="20"/>
          <w:szCs w:val="20"/>
        </w:rPr>
        <w:fldChar w:fldCharType="end"/>
      </w:r>
    </w:p>
    <w:p w14:paraId="00DA3656" w14:textId="77777777" w:rsidR="007B58B7" w:rsidRPr="00A03B48" w:rsidRDefault="007B58B7" w:rsidP="00A03B48">
      <w:pPr>
        <w:pStyle w:val="List2"/>
        <w:spacing w:before="240" w:after="120"/>
        <w:ind w:left="0" w:firstLine="0"/>
        <w:jc w:val="center"/>
        <w:rPr>
          <w:rFonts w:ascii="Arial" w:hAnsi="Arial" w:cs="Arial"/>
          <w:sz w:val="20"/>
          <w:szCs w:val="20"/>
        </w:rPr>
      </w:pPr>
    </w:p>
    <w:tbl>
      <w:tblPr>
        <w:tblStyle w:val="PlainTable2"/>
        <w:tblW w:w="0" w:type="auto"/>
        <w:jc w:val="center"/>
        <w:tblLook w:val="04A0" w:firstRow="1" w:lastRow="0" w:firstColumn="1" w:lastColumn="0" w:noHBand="0" w:noVBand="1"/>
      </w:tblPr>
      <w:tblGrid>
        <w:gridCol w:w="3324"/>
        <w:gridCol w:w="2271"/>
        <w:gridCol w:w="2613"/>
      </w:tblGrid>
      <w:tr w:rsidR="00A03B48" w:rsidRPr="00A03B48" w14:paraId="6517F69E" w14:textId="77777777" w:rsidTr="005876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7F7F7F" w:themeColor="text1" w:themeTint="80"/>
              <w:left w:val="nil"/>
              <w:right w:val="nil"/>
            </w:tcBorders>
            <w:vAlign w:val="center"/>
            <w:hideMark/>
          </w:tcPr>
          <w:p w14:paraId="13329B32" w14:textId="77777777" w:rsidR="00A03B48" w:rsidRPr="00A03B48" w:rsidRDefault="00A03B48" w:rsidP="00587681">
            <w:pPr>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Characteristic</w:t>
            </w:r>
          </w:p>
        </w:tc>
        <w:tc>
          <w:tcPr>
            <w:tcW w:w="2426" w:type="dxa"/>
            <w:tcBorders>
              <w:top w:val="single" w:sz="4" w:space="0" w:color="7F7F7F" w:themeColor="text1" w:themeTint="80"/>
              <w:left w:val="nil"/>
              <w:right w:val="nil"/>
            </w:tcBorders>
            <w:vAlign w:val="center"/>
            <w:hideMark/>
          </w:tcPr>
          <w:p w14:paraId="17787661" w14:textId="77777777" w:rsidR="00A03B48" w:rsidRPr="00A03B48" w:rsidRDefault="00A03B48" w:rsidP="0058768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PVP VA64</w:t>
            </w:r>
            <w:r w:rsidRPr="00A03B48">
              <w:rPr>
                <w:rFonts w:ascii="Arial" w:eastAsia="Times New Roman" w:hAnsi="Arial" w:cs="Arial"/>
                <w:color w:val="000000"/>
                <w:sz w:val="20"/>
                <w:szCs w:val="20"/>
                <w:vertAlign w:val="superscript"/>
                <w:lang w:val="en-US"/>
              </w:rPr>
              <w:t>®</w:t>
            </w:r>
          </w:p>
        </w:tc>
        <w:tc>
          <w:tcPr>
            <w:tcW w:w="2819" w:type="dxa"/>
            <w:tcBorders>
              <w:top w:val="single" w:sz="4" w:space="0" w:color="7F7F7F" w:themeColor="text1" w:themeTint="80"/>
              <w:left w:val="nil"/>
              <w:right w:val="nil"/>
            </w:tcBorders>
            <w:vAlign w:val="center"/>
            <w:hideMark/>
          </w:tcPr>
          <w:p w14:paraId="036216F9" w14:textId="77777777" w:rsidR="00A03B48" w:rsidRPr="00A03B48" w:rsidRDefault="00A03B48" w:rsidP="0058768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20"/>
                <w:lang w:val="en-US"/>
              </w:rPr>
            </w:pPr>
            <w:proofErr w:type="spellStart"/>
            <w:r w:rsidRPr="00A03B48">
              <w:rPr>
                <w:rFonts w:ascii="Arial" w:eastAsia="Times New Roman" w:hAnsi="Arial" w:cs="Arial"/>
                <w:color w:val="000000"/>
                <w:sz w:val="20"/>
                <w:szCs w:val="20"/>
                <w:lang w:val="en-US"/>
              </w:rPr>
              <w:t>Soluplus</w:t>
            </w:r>
            <w:proofErr w:type="spellEnd"/>
            <w:r w:rsidRPr="00A03B48">
              <w:rPr>
                <w:rFonts w:ascii="Arial" w:eastAsia="Times New Roman" w:hAnsi="Arial" w:cs="Arial"/>
                <w:color w:val="000000"/>
                <w:sz w:val="20"/>
                <w:szCs w:val="20"/>
                <w:vertAlign w:val="superscript"/>
                <w:lang w:val="en-US"/>
              </w:rPr>
              <w:t>®</w:t>
            </w:r>
          </w:p>
        </w:tc>
      </w:tr>
      <w:tr w:rsidR="00A03B48" w:rsidRPr="00A03B48" w14:paraId="0636032E" w14:textId="77777777" w:rsidTr="005876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vAlign w:val="center"/>
            <w:hideMark/>
          </w:tcPr>
          <w:p w14:paraId="635CF306" w14:textId="77777777" w:rsidR="00A03B48" w:rsidRPr="00A03B48" w:rsidRDefault="00A03B48" w:rsidP="00587681">
            <w:pPr>
              <w:rPr>
                <w:rFonts w:ascii="Arial" w:eastAsia="Times New Roman" w:hAnsi="Arial" w:cs="Arial"/>
                <w:b w:val="0"/>
                <w:color w:val="000000"/>
                <w:sz w:val="20"/>
                <w:szCs w:val="20"/>
                <w:lang w:val="en-US"/>
              </w:rPr>
            </w:pPr>
            <w:proofErr w:type="spellStart"/>
            <w:r w:rsidRPr="00A03B48">
              <w:rPr>
                <w:rFonts w:ascii="Arial" w:eastAsia="Times New Roman" w:hAnsi="Arial" w:cs="Arial"/>
                <w:color w:val="000000"/>
                <w:sz w:val="20"/>
                <w:szCs w:val="20"/>
                <w:lang w:val="en-US"/>
              </w:rPr>
              <w:t>Thermoplasticity</w:t>
            </w:r>
            <w:proofErr w:type="spellEnd"/>
          </w:p>
        </w:tc>
        <w:tc>
          <w:tcPr>
            <w:tcW w:w="2426" w:type="dxa"/>
            <w:tcBorders>
              <w:left w:val="nil"/>
              <w:right w:val="nil"/>
            </w:tcBorders>
            <w:vAlign w:val="center"/>
            <w:hideMark/>
          </w:tcPr>
          <w:p w14:paraId="7FE40F08"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Yes</w:t>
            </w:r>
          </w:p>
        </w:tc>
        <w:tc>
          <w:tcPr>
            <w:tcW w:w="2819" w:type="dxa"/>
            <w:tcBorders>
              <w:left w:val="nil"/>
              <w:right w:val="nil"/>
            </w:tcBorders>
            <w:vAlign w:val="center"/>
            <w:hideMark/>
          </w:tcPr>
          <w:p w14:paraId="6B21AEA6"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Yes</w:t>
            </w:r>
          </w:p>
        </w:tc>
      </w:tr>
      <w:tr w:rsidR="00A03B48" w:rsidRPr="00A03B48" w14:paraId="0BFE3FD6" w14:textId="77777777" w:rsidTr="00587681">
        <w:trPr>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nil"/>
              <w:right w:val="nil"/>
            </w:tcBorders>
            <w:vAlign w:val="center"/>
            <w:hideMark/>
          </w:tcPr>
          <w:p w14:paraId="6124AC56" w14:textId="77777777" w:rsidR="00A03B48" w:rsidRPr="00A03B48" w:rsidRDefault="00A03B48" w:rsidP="00587681">
            <w:pPr>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Glass transition temperature (</w:t>
            </w:r>
            <w:proofErr w:type="spellStart"/>
            <w:r w:rsidRPr="00A03B48">
              <w:rPr>
                <w:rFonts w:ascii="Arial" w:eastAsia="Times New Roman" w:hAnsi="Arial" w:cs="Arial"/>
                <w:color w:val="000000"/>
                <w:sz w:val="20"/>
                <w:szCs w:val="20"/>
                <w:lang w:val="en-US"/>
              </w:rPr>
              <w:t>Tg</w:t>
            </w:r>
            <w:proofErr w:type="spellEnd"/>
            <w:r w:rsidRPr="00A03B48">
              <w:rPr>
                <w:rFonts w:ascii="Arial" w:eastAsia="Times New Roman" w:hAnsi="Arial" w:cs="Arial"/>
                <w:color w:val="000000"/>
                <w:sz w:val="20"/>
                <w:szCs w:val="20"/>
                <w:lang w:val="en-US"/>
              </w:rPr>
              <w:t>)</w:t>
            </w:r>
          </w:p>
        </w:tc>
        <w:tc>
          <w:tcPr>
            <w:tcW w:w="2426" w:type="dxa"/>
            <w:tcBorders>
              <w:top w:val="nil"/>
              <w:left w:val="nil"/>
              <w:bottom w:val="nil"/>
              <w:right w:val="nil"/>
            </w:tcBorders>
            <w:vAlign w:val="center"/>
            <w:hideMark/>
          </w:tcPr>
          <w:p w14:paraId="56F45B06" w14:textId="77777777" w:rsidR="00A03B48" w:rsidRPr="00A03B48" w:rsidRDefault="00A03B48" w:rsidP="005876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101 °C</w:t>
            </w:r>
          </w:p>
        </w:tc>
        <w:tc>
          <w:tcPr>
            <w:tcW w:w="2819" w:type="dxa"/>
            <w:tcBorders>
              <w:top w:val="nil"/>
              <w:left w:val="nil"/>
              <w:bottom w:val="nil"/>
              <w:right w:val="nil"/>
            </w:tcBorders>
            <w:vAlign w:val="center"/>
            <w:hideMark/>
          </w:tcPr>
          <w:p w14:paraId="7754D1B7" w14:textId="77777777" w:rsidR="00A03B48" w:rsidRPr="00A03B48" w:rsidRDefault="00A03B48" w:rsidP="005876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70 °C</w:t>
            </w:r>
          </w:p>
        </w:tc>
      </w:tr>
      <w:tr w:rsidR="00A03B48" w:rsidRPr="00A03B48" w14:paraId="4E4751AC" w14:textId="77777777" w:rsidTr="005876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vAlign w:val="center"/>
            <w:hideMark/>
          </w:tcPr>
          <w:p w14:paraId="33E3AD04" w14:textId="77777777" w:rsidR="00A03B48" w:rsidRPr="00A03B48" w:rsidRDefault="00A03B48" w:rsidP="00587681">
            <w:pPr>
              <w:rPr>
                <w:rFonts w:ascii="Arial" w:eastAsia="Times New Roman" w:hAnsi="Arial" w:cs="Arial"/>
                <w:color w:val="000000"/>
                <w:sz w:val="20"/>
                <w:szCs w:val="20"/>
                <w:lang w:val="en-US"/>
              </w:rPr>
            </w:pPr>
            <w:r w:rsidRPr="00A03B48">
              <w:rPr>
                <w:rFonts w:ascii="Arial" w:eastAsia="Times New Roman" w:hAnsi="Arial" w:cs="Arial"/>
                <w:color w:val="000000"/>
                <w:sz w:val="20"/>
                <w:szCs w:val="20"/>
                <w:lang w:val="en-US"/>
              </w:rPr>
              <w:t>Thermal stability (degradation temperature)</w:t>
            </w:r>
          </w:p>
        </w:tc>
        <w:tc>
          <w:tcPr>
            <w:tcW w:w="2426" w:type="dxa"/>
            <w:tcBorders>
              <w:left w:val="nil"/>
              <w:right w:val="nil"/>
            </w:tcBorders>
            <w:vAlign w:val="center"/>
            <w:hideMark/>
          </w:tcPr>
          <w:p w14:paraId="407135BD"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roofErr w:type="gramStart"/>
            <w:r w:rsidRPr="00A03B48">
              <w:rPr>
                <w:rFonts w:ascii="Arial" w:hAnsi="Arial" w:cs="Arial"/>
                <w:color w:val="000000"/>
                <w:sz w:val="20"/>
                <w:szCs w:val="20"/>
                <w:lang w:val="en-US"/>
              </w:rPr>
              <w:t>Yes  (</w:t>
            </w:r>
            <w:proofErr w:type="gramEnd"/>
            <w:r w:rsidRPr="00A03B48">
              <w:rPr>
                <w:rFonts w:ascii="Arial" w:hAnsi="Arial" w:cs="Arial"/>
                <w:color w:val="000000"/>
                <w:sz w:val="20"/>
                <w:szCs w:val="20"/>
                <w:lang w:val="en-US"/>
              </w:rPr>
              <w:t>270 °C)</w:t>
            </w:r>
          </w:p>
        </w:tc>
        <w:tc>
          <w:tcPr>
            <w:tcW w:w="2819" w:type="dxa"/>
            <w:tcBorders>
              <w:left w:val="nil"/>
              <w:right w:val="nil"/>
            </w:tcBorders>
            <w:vAlign w:val="center"/>
            <w:hideMark/>
          </w:tcPr>
          <w:p w14:paraId="522771D8"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roofErr w:type="gramStart"/>
            <w:r w:rsidRPr="00A03B48">
              <w:rPr>
                <w:rFonts w:ascii="Arial" w:hAnsi="Arial" w:cs="Arial"/>
                <w:color w:val="000000"/>
                <w:sz w:val="20"/>
                <w:szCs w:val="20"/>
                <w:lang w:val="en-US"/>
              </w:rPr>
              <w:t>Yes  (</w:t>
            </w:r>
            <w:proofErr w:type="gramEnd"/>
            <w:r w:rsidRPr="00A03B48">
              <w:rPr>
                <w:rFonts w:ascii="Arial" w:hAnsi="Arial" w:cs="Arial"/>
                <w:color w:val="000000"/>
                <w:sz w:val="20"/>
                <w:szCs w:val="20"/>
                <w:lang w:val="en-US"/>
              </w:rPr>
              <w:t>278 °C)</w:t>
            </w:r>
          </w:p>
        </w:tc>
      </w:tr>
      <w:tr w:rsidR="00A03B48" w:rsidRPr="00A03B48" w14:paraId="34717D14" w14:textId="77777777" w:rsidTr="00587681">
        <w:trPr>
          <w:jc w:val="center"/>
        </w:trPr>
        <w:tc>
          <w:tcPr>
            <w:cnfStyle w:val="001000000000" w:firstRow="0" w:lastRow="0" w:firstColumn="1" w:lastColumn="0" w:oddVBand="0" w:evenVBand="0" w:oddHBand="0" w:evenHBand="0" w:firstRowFirstColumn="0" w:firstRowLastColumn="0" w:lastRowFirstColumn="0" w:lastRowLastColumn="0"/>
            <w:tcW w:w="3544" w:type="dxa"/>
            <w:tcBorders>
              <w:top w:val="nil"/>
              <w:left w:val="nil"/>
              <w:bottom w:val="single" w:sz="4" w:space="0" w:color="7F7F7F" w:themeColor="text1" w:themeTint="80"/>
              <w:right w:val="nil"/>
            </w:tcBorders>
            <w:vAlign w:val="center"/>
            <w:hideMark/>
          </w:tcPr>
          <w:p w14:paraId="21150409" w14:textId="77777777" w:rsidR="00A03B48" w:rsidRPr="00A03B48" w:rsidRDefault="00A03B48" w:rsidP="00587681">
            <w:pPr>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Hygroscopicity</w:t>
            </w:r>
          </w:p>
        </w:tc>
        <w:tc>
          <w:tcPr>
            <w:tcW w:w="2426" w:type="dxa"/>
            <w:tcBorders>
              <w:top w:val="nil"/>
              <w:left w:val="nil"/>
              <w:bottom w:val="single" w:sz="4" w:space="0" w:color="7F7F7F" w:themeColor="text1" w:themeTint="80"/>
              <w:right w:val="nil"/>
            </w:tcBorders>
            <w:vAlign w:val="center"/>
            <w:hideMark/>
          </w:tcPr>
          <w:p w14:paraId="3E488ADC" w14:textId="77777777" w:rsidR="00A03B48" w:rsidRPr="00A03B48" w:rsidRDefault="00A03B48" w:rsidP="005876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Low</w:t>
            </w:r>
          </w:p>
        </w:tc>
        <w:tc>
          <w:tcPr>
            <w:tcW w:w="2819" w:type="dxa"/>
            <w:tcBorders>
              <w:top w:val="nil"/>
              <w:left w:val="nil"/>
              <w:bottom w:val="single" w:sz="4" w:space="0" w:color="7F7F7F" w:themeColor="text1" w:themeTint="80"/>
              <w:right w:val="nil"/>
            </w:tcBorders>
            <w:vAlign w:val="center"/>
            <w:hideMark/>
          </w:tcPr>
          <w:p w14:paraId="0003FF9B" w14:textId="77777777" w:rsidR="00A03B48" w:rsidRPr="00A03B48" w:rsidRDefault="00A03B48" w:rsidP="0058768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Low</w:t>
            </w:r>
          </w:p>
        </w:tc>
      </w:tr>
      <w:tr w:rsidR="00A03B48" w:rsidRPr="00A03B48" w14:paraId="226E7C13" w14:textId="77777777" w:rsidTr="005876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vAlign w:val="center"/>
            <w:hideMark/>
          </w:tcPr>
          <w:p w14:paraId="00D842B6" w14:textId="77777777" w:rsidR="00A03B48" w:rsidRPr="00A03B48" w:rsidRDefault="00A03B48" w:rsidP="00587681">
            <w:pPr>
              <w:rPr>
                <w:rFonts w:ascii="Arial" w:eastAsia="Times New Roman" w:hAnsi="Arial" w:cs="Arial"/>
                <w:b w:val="0"/>
                <w:color w:val="000000"/>
                <w:sz w:val="20"/>
                <w:szCs w:val="20"/>
                <w:lang w:val="en-US"/>
              </w:rPr>
            </w:pPr>
            <w:r w:rsidRPr="00A03B48">
              <w:rPr>
                <w:rFonts w:ascii="Arial" w:eastAsia="Times New Roman" w:hAnsi="Arial" w:cs="Arial"/>
                <w:color w:val="000000"/>
                <w:sz w:val="20"/>
                <w:szCs w:val="20"/>
                <w:lang w:val="en-US"/>
              </w:rPr>
              <w:t>Solubilization mechanism</w:t>
            </w:r>
          </w:p>
        </w:tc>
        <w:tc>
          <w:tcPr>
            <w:tcW w:w="2426" w:type="dxa"/>
            <w:tcBorders>
              <w:left w:val="nil"/>
              <w:right w:val="nil"/>
            </w:tcBorders>
            <w:vAlign w:val="center"/>
            <w:hideMark/>
          </w:tcPr>
          <w:p w14:paraId="0383E446"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Hydrophilic matrix</w:t>
            </w:r>
          </w:p>
        </w:tc>
        <w:tc>
          <w:tcPr>
            <w:tcW w:w="2819" w:type="dxa"/>
            <w:tcBorders>
              <w:left w:val="nil"/>
              <w:right w:val="nil"/>
            </w:tcBorders>
            <w:vAlign w:val="center"/>
            <w:hideMark/>
          </w:tcPr>
          <w:p w14:paraId="75D90A56" w14:textId="77777777" w:rsidR="00A03B48" w:rsidRPr="00A03B48" w:rsidRDefault="00A03B48" w:rsidP="0058768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A03B48">
              <w:rPr>
                <w:rFonts w:ascii="Arial" w:hAnsi="Arial" w:cs="Arial"/>
                <w:color w:val="000000"/>
                <w:sz w:val="20"/>
                <w:szCs w:val="20"/>
                <w:lang w:val="en-US"/>
              </w:rPr>
              <w:t>Hydrophilic matrix and surfactant properties</w:t>
            </w:r>
          </w:p>
        </w:tc>
      </w:tr>
    </w:tbl>
    <w:p w14:paraId="6F2F760B" w14:textId="438A7103" w:rsidR="005E64F8" w:rsidRPr="005E64F8" w:rsidRDefault="005E64F8" w:rsidP="00A03B48">
      <w:pPr>
        <w:pStyle w:val="Body"/>
        <w:spacing w:before="240"/>
        <w:rPr>
          <w:rFonts w:ascii="Arial" w:hAnsi="Arial" w:cs="Arial"/>
        </w:rPr>
      </w:pPr>
      <w:r>
        <w:rPr>
          <w:rFonts w:ascii="Arial" w:hAnsi="Arial" w:cs="Arial"/>
        </w:rPr>
        <w:t xml:space="preserve">2.2 </w:t>
      </w:r>
      <w:r w:rsidRPr="005E64F8">
        <w:rPr>
          <w:rFonts w:ascii="Arial" w:hAnsi="Arial" w:cs="Arial"/>
        </w:rPr>
        <w:t>Methods</w:t>
      </w:r>
    </w:p>
    <w:p w14:paraId="0AD06F72" w14:textId="253BE014" w:rsidR="005E64F8" w:rsidRPr="005E64F8" w:rsidRDefault="005E64F8" w:rsidP="005E64F8">
      <w:pPr>
        <w:pStyle w:val="Body"/>
        <w:rPr>
          <w:rFonts w:ascii="Arial" w:hAnsi="Arial" w:cs="Arial"/>
        </w:rPr>
      </w:pPr>
      <w:r>
        <w:rPr>
          <w:rFonts w:ascii="Arial" w:hAnsi="Arial" w:cs="Arial"/>
        </w:rPr>
        <w:lastRenderedPageBreak/>
        <w:t xml:space="preserve">2.2.1 </w:t>
      </w:r>
      <w:r w:rsidRPr="005E64F8">
        <w:rPr>
          <w:rFonts w:ascii="Arial" w:hAnsi="Arial" w:cs="Arial"/>
        </w:rPr>
        <w:t>Risk Assessment (RA) and QTPP</w:t>
      </w:r>
    </w:p>
    <w:p w14:paraId="79502E2B" w14:textId="77777777" w:rsidR="005E64F8" w:rsidRDefault="005E64F8" w:rsidP="005E64F8">
      <w:pPr>
        <w:pStyle w:val="Body"/>
        <w:rPr>
          <w:rFonts w:ascii="Arial" w:hAnsi="Arial" w:cs="Arial"/>
        </w:rPr>
      </w:pPr>
      <w:r w:rsidRPr="005E64F8">
        <w:rPr>
          <w:rFonts w:ascii="Arial" w:hAnsi="Arial" w:cs="Arial"/>
        </w:rPr>
        <w:t xml:space="preserve">A Quality Target Product Profile (QTPP) was defined to enhance the dissolution of </w:t>
      </w:r>
      <w:proofErr w:type="spellStart"/>
      <w:r w:rsidRPr="005E64F8">
        <w:rPr>
          <w:rFonts w:ascii="Arial" w:hAnsi="Arial" w:cs="Arial"/>
        </w:rPr>
        <w:t>TbHCl</w:t>
      </w:r>
      <w:proofErr w:type="spellEnd"/>
      <w:r w:rsidRPr="005E64F8">
        <w:rPr>
          <w:rFonts w:ascii="Arial" w:hAnsi="Arial" w:cs="Arial"/>
        </w:rPr>
        <w:t xml:space="preserve">. Critical Material Attributes (CMAs) and Critical Process Parameters (CPPs) were identified through an Ishikawa diagram (Figure 1) and a Risk Estimation Matrix (Table 2), categorizing risk levels as high, medium, or low. High risk was assigned where scientific data were lacking or variability in outcomes was high. </w:t>
      </w:r>
    </w:p>
    <w:p w14:paraId="002FCC44" w14:textId="77777777" w:rsidR="00C53062" w:rsidRDefault="00C53062" w:rsidP="00C53062">
      <w:pPr>
        <w:pStyle w:val="Body"/>
        <w:spacing w:after="0"/>
        <w:jc w:val="center"/>
        <w:rPr>
          <w:rFonts w:ascii="Arial" w:hAnsi="Arial" w:cs="Arial"/>
        </w:rPr>
      </w:pPr>
      <w:r>
        <w:rPr>
          <w:noProof/>
        </w:rPr>
        <w:drawing>
          <wp:inline distT="0" distB="0" distL="0" distR="0" wp14:anchorId="7B6B35DD" wp14:editId="5AFE5CF0">
            <wp:extent cx="4884081" cy="2484000"/>
            <wp:effectExtent l="0" t="0" r="0" b="0"/>
            <wp:docPr id="169554616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46164" name="Imagen 1" descr="Diagrama&#10;&#10;El contenido generado por IA puede ser incorrecto."/>
                    <pic:cNvPicPr/>
                  </pic:nvPicPr>
                  <pic:blipFill rotWithShape="1">
                    <a:blip r:embed="rId14" cstate="print">
                      <a:extLst>
                        <a:ext uri="{28A0092B-C50C-407E-A947-70E740481C1C}">
                          <a14:useLocalDpi xmlns:a14="http://schemas.microsoft.com/office/drawing/2010/main" val="0"/>
                        </a:ext>
                      </a:extLst>
                    </a:blip>
                    <a:srcRect l="9998" t="13168" r="10873" b="15283"/>
                    <a:stretch/>
                  </pic:blipFill>
                  <pic:spPr bwMode="auto">
                    <a:xfrm>
                      <a:off x="0" y="0"/>
                      <a:ext cx="4884081" cy="2484000"/>
                    </a:xfrm>
                    <a:prstGeom prst="rect">
                      <a:avLst/>
                    </a:prstGeom>
                    <a:ln>
                      <a:noFill/>
                    </a:ln>
                    <a:extLst>
                      <a:ext uri="{53640926-AAD7-44D8-BBD7-CCE9431645EC}">
                        <a14:shadowObscured xmlns:a14="http://schemas.microsoft.com/office/drawing/2010/main"/>
                      </a:ext>
                    </a:extLst>
                  </pic:spPr>
                </pic:pic>
              </a:graphicData>
            </a:graphic>
          </wp:inline>
        </w:drawing>
      </w:r>
    </w:p>
    <w:p w14:paraId="44BC007B" w14:textId="77777777" w:rsidR="00C53062" w:rsidRPr="00A03B48" w:rsidRDefault="00C53062" w:rsidP="00C53062">
      <w:pPr>
        <w:spacing w:after="240"/>
        <w:jc w:val="center"/>
        <w:rPr>
          <w:rFonts w:ascii="Arial" w:hAnsi="Arial" w:cs="Arial"/>
        </w:rPr>
      </w:pPr>
      <w:r w:rsidRPr="00A03B48">
        <w:rPr>
          <w:rFonts w:ascii="Arial" w:hAnsi="Arial" w:cs="Arial"/>
        </w:rPr>
        <w:t xml:space="preserve">Figure 1: Ishikawa fish bone diagram for factors detection on the CQAs of </w:t>
      </w:r>
      <w:proofErr w:type="spellStart"/>
      <w:r w:rsidRPr="00A03B48">
        <w:rPr>
          <w:rFonts w:ascii="Arial" w:hAnsi="Arial" w:cs="Arial"/>
        </w:rPr>
        <w:t>TbHCl</w:t>
      </w:r>
      <w:proofErr w:type="spellEnd"/>
      <w:r w:rsidRPr="00A03B48">
        <w:rPr>
          <w:rFonts w:ascii="Arial" w:hAnsi="Arial" w:cs="Arial"/>
        </w:rPr>
        <w:t xml:space="preserve"> extrudates</w:t>
      </w:r>
    </w:p>
    <w:p w14:paraId="73CDEFF6" w14:textId="77777777" w:rsidR="00C53062" w:rsidRDefault="00C53062" w:rsidP="00A03B48">
      <w:pPr>
        <w:pStyle w:val="List2"/>
        <w:spacing w:before="240" w:after="120"/>
        <w:ind w:left="0" w:firstLine="0"/>
        <w:contextualSpacing w:val="0"/>
        <w:jc w:val="center"/>
        <w:rPr>
          <w:rFonts w:ascii="Arial" w:hAnsi="Arial" w:cs="Arial"/>
          <w:sz w:val="20"/>
          <w:szCs w:val="20"/>
        </w:rPr>
      </w:pPr>
    </w:p>
    <w:p w14:paraId="366966B6" w14:textId="07FC441E" w:rsidR="00A03B48" w:rsidRPr="00A03B48" w:rsidRDefault="00A03B48" w:rsidP="00A03B48">
      <w:pPr>
        <w:pStyle w:val="List2"/>
        <w:spacing w:before="240" w:after="120"/>
        <w:ind w:left="0" w:firstLine="0"/>
        <w:contextualSpacing w:val="0"/>
        <w:jc w:val="center"/>
        <w:rPr>
          <w:rFonts w:ascii="Arial" w:hAnsi="Arial" w:cs="Arial"/>
          <w:sz w:val="20"/>
          <w:szCs w:val="20"/>
        </w:rPr>
      </w:pPr>
      <w:r w:rsidRPr="00A03B48">
        <w:rPr>
          <w:rFonts w:ascii="Arial" w:hAnsi="Arial" w:cs="Arial"/>
          <w:sz w:val="20"/>
          <w:szCs w:val="20"/>
        </w:rPr>
        <w:t xml:space="preserve">Table 2. Risk assessment of potential factors affecting CQAs of </w:t>
      </w:r>
      <w:proofErr w:type="spellStart"/>
      <w:r w:rsidRPr="00A03B48">
        <w:rPr>
          <w:rFonts w:ascii="Arial" w:hAnsi="Arial" w:cs="Arial"/>
          <w:sz w:val="20"/>
          <w:szCs w:val="20"/>
        </w:rPr>
        <w:t>TbHCl</w:t>
      </w:r>
      <w:proofErr w:type="spellEnd"/>
      <w:r w:rsidRPr="00A03B48">
        <w:rPr>
          <w:rFonts w:ascii="Arial" w:hAnsi="Arial" w:cs="Arial"/>
          <w:sz w:val="20"/>
          <w:szCs w:val="20"/>
        </w:rPr>
        <w:t xml:space="preserve"> extrudates </w:t>
      </w:r>
    </w:p>
    <w:tbl>
      <w:tblPr>
        <w:tblStyle w:val="PlainTable2"/>
        <w:tblW w:w="9503" w:type="dxa"/>
        <w:tblInd w:w="-426" w:type="dxa"/>
        <w:tblLook w:val="04A0" w:firstRow="1" w:lastRow="0" w:firstColumn="1" w:lastColumn="0" w:noHBand="0" w:noVBand="1"/>
      </w:tblPr>
      <w:tblGrid>
        <w:gridCol w:w="1810"/>
        <w:gridCol w:w="1298"/>
        <w:gridCol w:w="1017"/>
        <w:gridCol w:w="1553"/>
        <w:gridCol w:w="1389"/>
        <w:gridCol w:w="1162"/>
        <w:gridCol w:w="1274"/>
      </w:tblGrid>
      <w:tr w:rsidR="00A03B48" w:rsidRPr="00A03B48" w14:paraId="29BB32FF" w14:textId="77777777" w:rsidTr="00587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vMerge w:val="restart"/>
            <w:vAlign w:val="center"/>
          </w:tcPr>
          <w:p w14:paraId="04961F0D" w14:textId="77777777" w:rsidR="00A03B48" w:rsidRPr="001B7968" w:rsidRDefault="00A03B48" w:rsidP="00587681">
            <w:pPr>
              <w:pStyle w:val="List2"/>
              <w:ind w:left="0" w:firstLine="0"/>
              <w:contextualSpacing w:val="0"/>
              <w:jc w:val="center"/>
              <w:rPr>
                <w:rFonts w:ascii="Arial" w:hAnsi="Arial" w:cs="Arial"/>
                <w:sz w:val="20"/>
                <w:szCs w:val="20"/>
                <w:lang w:val="en-US"/>
              </w:rPr>
            </w:pPr>
            <w:r w:rsidRPr="001B7968">
              <w:rPr>
                <w:rFonts w:ascii="Arial" w:hAnsi="Arial" w:cs="Arial"/>
                <w:sz w:val="20"/>
                <w:szCs w:val="20"/>
                <w:lang w:val="en-US"/>
              </w:rPr>
              <w:t>CQA</w:t>
            </w:r>
          </w:p>
        </w:tc>
        <w:tc>
          <w:tcPr>
            <w:tcW w:w="7693" w:type="dxa"/>
            <w:gridSpan w:val="6"/>
          </w:tcPr>
          <w:p w14:paraId="0E31DB6A" w14:textId="77777777" w:rsidR="00A03B48" w:rsidRPr="001B7968" w:rsidRDefault="00A03B48" w:rsidP="00587681">
            <w:pPr>
              <w:pStyle w:val="List2"/>
              <w:ind w:left="0" w:firstLine="0"/>
              <w:contextualSpacing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Material attributes</w:t>
            </w:r>
          </w:p>
        </w:tc>
      </w:tr>
      <w:tr w:rsidR="00A03B48" w:rsidRPr="00A03B48" w14:paraId="3F69831A" w14:textId="77777777" w:rsidTr="0058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vMerge/>
          </w:tcPr>
          <w:p w14:paraId="0DA0310A" w14:textId="77777777" w:rsidR="00A03B48" w:rsidRPr="001B7968" w:rsidRDefault="00A03B48" w:rsidP="00587681">
            <w:pPr>
              <w:pStyle w:val="List2"/>
              <w:ind w:left="0" w:firstLine="0"/>
              <w:contextualSpacing w:val="0"/>
              <w:jc w:val="center"/>
              <w:rPr>
                <w:rFonts w:ascii="Arial" w:hAnsi="Arial" w:cs="Arial"/>
                <w:sz w:val="20"/>
                <w:szCs w:val="20"/>
                <w:lang w:val="en-US"/>
              </w:rPr>
            </w:pPr>
          </w:p>
        </w:tc>
        <w:tc>
          <w:tcPr>
            <w:tcW w:w="1298" w:type="dxa"/>
          </w:tcPr>
          <w:p w14:paraId="5585FC49"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gramStart"/>
            <w:r w:rsidRPr="001B7968">
              <w:rPr>
                <w:rFonts w:ascii="Arial" w:hAnsi="Arial" w:cs="Arial"/>
                <w:sz w:val="20"/>
                <w:szCs w:val="20"/>
                <w:lang w:val="en-US"/>
              </w:rPr>
              <w:t>Qty  of</w:t>
            </w:r>
            <w:proofErr w:type="gramEnd"/>
            <w:r w:rsidRPr="001B7968">
              <w:rPr>
                <w:rFonts w:ascii="Arial" w:hAnsi="Arial" w:cs="Arial"/>
                <w:sz w:val="20"/>
                <w:szCs w:val="20"/>
                <w:lang w:val="en-US"/>
              </w:rPr>
              <w:t xml:space="preserve"> polymer</w:t>
            </w:r>
          </w:p>
        </w:tc>
        <w:tc>
          <w:tcPr>
            <w:tcW w:w="1017" w:type="dxa"/>
          </w:tcPr>
          <w:p w14:paraId="102C6A71"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Type of polymer</w:t>
            </w:r>
          </w:p>
        </w:tc>
        <w:tc>
          <w:tcPr>
            <w:tcW w:w="1553" w:type="dxa"/>
          </w:tcPr>
          <w:p w14:paraId="12FC3670" w14:textId="77777777" w:rsidR="00A03B48" w:rsidRPr="001B7968" w:rsidRDefault="00A03B48" w:rsidP="00587681">
            <w:pPr>
              <w:pStyle w:val="List2"/>
              <w:ind w:left="0" w:firstLine="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spellStart"/>
            <w:r w:rsidRPr="001B7968">
              <w:rPr>
                <w:rFonts w:ascii="Arial" w:hAnsi="Arial" w:cs="Arial"/>
                <w:sz w:val="20"/>
                <w:szCs w:val="20"/>
                <w:lang w:val="en-US"/>
              </w:rPr>
              <w:t>Termoplasticity</w:t>
            </w:r>
            <w:proofErr w:type="spellEnd"/>
          </w:p>
        </w:tc>
        <w:tc>
          <w:tcPr>
            <w:tcW w:w="1389" w:type="dxa"/>
          </w:tcPr>
          <w:p w14:paraId="70C121CE"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Solubility</w:t>
            </w:r>
          </w:p>
        </w:tc>
        <w:tc>
          <w:tcPr>
            <w:tcW w:w="1162" w:type="dxa"/>
          </w:tcPr>
          <w:p w14:paraId="3C3AC1BD"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Plasticizer</w:t>
            </w:r>
          </w:p>
        </w:tc>
        <w:tc>
          <w:tcPr>
            <w:tcW w:w="1274" w:type="dxa"/>
          </w:tcPr>
          <w:p w14:paraId="35274AB3"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Moisture content</w:t>
            </w:r>
          </w:p>
        </w:tc>
      </w:tr>
      <w:tr w:rsidR="00A03B48" w:rsidRPr="00A03B48" w14:paraId="7C2DFFC7" w14:textId="77777777" w:rsidTr="00587681">
        <w:tc>
          <w:tcPr>
            <w:cnfStyle w:val="001000000000" w:firstRow="0" w:lastRow="0" w:firstColumn="1" w:lastColumn="0" w:oddVBand="0" w:evenVBand="0" w:oddHBand="0" w:evenHBand="0" w:firstRowFirstColumn="0" w:firstRowLastColumn="0" w:lastRowFirstColumn="0" w:lastRowLastColumn="0"/>
            <w:tcW w:w="1810" w:type="dxa"/>
          </w:tcPr>
          <w:p w14:paraId="4DD760A0" w14:textId="77777777" w:rsidR="00A03B48" w:rsidRPr="001B7968" w:rsidRDefault="00A03B48" w:rsidP="00587681">
            <w:pPr>
              <w:pStyle w:val="List2"/>
              <w:ind w:left="0" w:firstLine="0"/>
              <w:contextualSpacing w:val="0"/>
              <w:jc w:val="center"/>
              <w:rPr>
                <w:rFonts w:ascii="Arial" w:hAnsi="Arial" w:cs="Arial"/>
                <w:sz w:val="20"/>
                <w:szCs w:val="20"/>
                <w:lang w:val="en-US"/>
              </w:rPr>
            </w:pPr>
            <w:r w:rsidRPr="001B7968">
              <w:rPr>
                <w:rFonts w:ascii="Arial" w:hAnsi="Arial" w:cs="Arial"/>
                <w:sz w:val="20"/>
                <w:szCs w:val="20"/>
                <w:lang w:val="en-US"/>
              </w:rPr>
              <w:t>Dissolution rate</w:t>
            </w:r>
          </w:p>
        </w:tc>
        <w:tc>
          <w:tcPr>
            <w:tcW w:w="1298" w:type="dxa"/>
            <w:vAlign w:val="center"/>
          </w:tcPr>
          <w:p w14:paraId="5AA2AE58"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1B7968">
              <w:rPr>
                <w:rFonts w:ascii="Arial" w:hAnsi="Arial" w:cs="Arial"/>
                <w:b/>
                <w:bCs/>
                <w:color w:val="FF0000"/>
                <w:sz w:val="20"/>
                <w:szCs w:val="20"/>
                <w:lang w:val="en-US"/>
              </w:rPr>
              <w:t>High</w:t>
            </w:r>
          </w:p>
        </w:tc>
        <w:tc>
          <w:tcPr>
            <w:tcW w:w="1017" w:type="dxa"/>
            <w:vAlign w:val="center"/>
          </w:tcPr>
          <w:p w14:paraId="2E07461A"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1B7968">
              <w:rPr>
                <w:rFonts w:ascii="Arial" w:hAnsi="Arial" w:cs="Arial"/>
                <w:b/>
                <w:bCs/>
                <w:color w:val="FF0000"/>
                <w:sz w:val="20"/>
                <w:szCs w:val="20"/>
                <w:lang w:val="en-US"/>
              </w:rPr>
              <w:t>High</w:t>
            </w:r>
          </w:p>
        </w:tc>
        <w:tc>
          <w:tcPr>
            <w:tcW w:w="1553" w:type="dxa"/>
            <w:vAlign w:val="center"/>
          </w:tcPr>
          <w:p w14:paraId="68192F01"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389" w:type="dxa"/>
            <w:vAlign w:val="center"/>
          </w:tcPr>
          <w:p w14:paraId="292D3838"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162" w:type="dxa"/>
            <w:vAlign w:val="center"/>
          </w:tcPr>
          <w:p w14:paraId="46D283AD"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274" w:type="dxa"/>
            <w:vAlign w:val="center"/>
          </w:tcPr>
          <w:p w14:paraId="15125AB1"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r>
      <w:tr w:rsidR="00A03B48" w:rsidRPr="00A03B48" w14:paraId="3CE5D47F" w14:textId="77777777" w:rsidTr="0058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vMerge w:val="restart"/>
            <w:vAlign w:val="center"/>
          </w:tcPr>
          <w:p w14:paraId="0BBA8070" w14:textId="77777777" w:rsidR="00A03B48" w:rsidRPr="001B7968" w:rsidRDefault="00A03B48" w:rsidP="00587681">
            <w:pPr>
              <w:pStyle w:val="List2"/>
              <w:ind w:left="0" w:firstLine="0"/>
              <w:contextualSpacing w:val="0"/>
              <w:jc w:val="center"/>
              <w:rPr>
                <w:rFonts w:ascii="Arial" w:hAnsi="Arial" w:cs="Arial"/>
                <w:sz w:val="20"/>
                <w:szCs w:val="20"/>
                <w:lang w:val="en-US"/>
              </w:rPr>
            </w:pPr>
            <w:r w:rsidRPr="001B7968">
              <w:rPr>
                <w:rFonts w:ascii="Arial" w:hAnsi="Arial" w:cs="Arial"/>
                <w:sz w:val="20"/>
                <w:szCs w:val="20"/>
                <w:lang w:val="en-US"/>
              </w:rPr>
              <w:t>CQA</w:t>
            </w:r>
          </w:p>
        </w:tc>
        <w:tc>
          <w:tcPr>
            <w:tcW w:w="7693" w:type="dxa"/>
            <w:gridSpan w:val="6"/>
            <w:vAlign w:val="center"/>
          </w:tcPr>
          <w:p w14:paraId="0CDE0801"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1B7968">
              <w:rPr>
                <w:rFonts w:ascii="Arial" w:hAnsi="Arial" w:cs="Arial"/>
                <w:b/>
                <w:bCs/>
                <w:sz w:val="20"/>
                <w:szCs w:val="20"/>
                <w:lang w:val="en-US"/>
              </w:rPr>
              <w:t>Process parameters</w:t>
            </w:r>
          </w:p>
        </w:tc>
      </w:tr>
      <w:tr w:rsidR="00A03B48" w:rsidRPr="00A03B48" w14:paraId="3531984D" w14:textId="77777777" w:rsidTr="00587681">
        <w:tc>
          <w:tcPr>
            <w:cnfStyle w:val="001000000000" w:firstRow="0" w:lastRow="0" w:firstColumn="1" w:lastColumn="0" w:oddVBand="0" w:evenVBand="0" w:oddHBand="0" w:evenHBand="0" w:firstRowFirstColumn="0" w:firstRowLastColumn="0" w:lastRowFirstColumn="0" w:lastRowLastColumn="0"/>
            <w:tcW w:w="1810" w:type="dxa"/>
            <w:vMerge/>
          </w:tcPr>
          <w:p w14:paraId="5815E693" w14:textId="77777777" w:rsidR="00A03B48" w:rsidRPr="001B7968" w:rsidRDefault="00A03B48" w:rsidP="00587681">
            <w:pPr>
              <w:pStyle w:val="List2"/>
              <w:ind w:left="0" w:firstLine="0"/>
              <w:contextualSpacing w:val="0"/>
              <w:jc w:val="center"/>
              <w:rPr>
                <w:rFonts w:ascii="Arial" w:hAnsi="Arial" w:cs="Arial"/>
                <w:sz w:val="20"/>
                <w:szCs w:val="20"/>
                <w:lang w:val="en-US"/>
              </w:rPr>
            </w:pPr>
          </w:p>
        </w:tc>
        <w:tc>
          <w:tcPr>
            <w:tcW w:w="1298" w:type="dxa"/>
            <w:vAlign w:val="center"/>
          </w:tcPr>
          <w:p w14:paraId="5B3B7875"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Extrusion temperature</w:t>
            </w:r>
          </w:p>
        </w:tc>
        <w:tc>
          <w:tcPr>
            <w:tcW w:w="1017" w:type="dxa"/>
            <w:vAlign w:val="center"/>
          </w:tcPr>
          <w:p w14:paraId="1388FF4B"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Mixing time</w:t>
            </w:r>
          </w:p>
        </w:tc>
        <w:tc>
          <w:tcPr>
            <w:tcW w:w="1553" w:type="dxa"/>
            <w:vAlign w:val="center"/>
          </w:tcPr>
          <w:p w14:paraId="09B68B1C"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Speed roller</w:t>
            </w:r>
          </w:p>
        </w:tc>
        <w:tc>
          <w:tcPr>
            <w:tcW w:w="1389" w:type="dxa"/>
            <w:vAlign w:val="center"/>
          </w:tcPr>
          <w:p w14:paraId="3B0360C1"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Torque roller</w:t>
            </w:r>
          </w:p>
        </w:tc>
        <w:tc>
          <w:tcPr>
            <w:tcW w:w="1162" w:type="dxa"/>
            <w:vAlign w:val="center"/>
          </w:tcPr>
          <w:p w14:paraId="0BA38CB4"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Residence time</w:t>
            </w:r>
          </w:p>
        </w:tc>
        <w:tc>
          <w:tcPr>
            <w:tcW w:w="1274" w:type="dxa"/>
            <w:vAlign w:val="center"/>
          </w:tcPr>
          <w:p w14:paraId="1C599EE6" w14:textId="77777777" w:rsidR="00A03B48" w:rsidRPr="001B7968" w:rsidRDefault="00A03B48" w:rsidP="00587681">
            <w:pPr>
              <w:pStyle w:val="List2"/>
              <w:ind w:left="0" w:firstLine="0"/>
              <w:contextualSpacing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B7968">
              <w:rPr>
                <w:rFonts w:ascii="Arial" w:hAnsi="Arial" w:cs="Arial"/>
                <w:sz w:val="20"/>
                <w:szCs w:val="20"/>
                <w:lang w:val="en-US"/>
              </w:rPr>
              <w:t>Twin screw speed</w:t>
            </w:r>
          </w:p>
        </w:tc>
      </w:tr>
      <w:tr w:rsidR="00A03B48" w:rsidRPr="00A03B48" w14:paraId="5390CCEB" w14:textId="77777777" w:rsidTr="00587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dxa"/>
          </w:tcPr>
          <w:p w14:paraId="4AAC8508" w14:textId="77777777" w:rsidR="00A03B48" w:rsidRPr="001B7968" w:rsidRDefault="00A03B48" w:rsidP="00587681">
            <w:pPr>
              <w:pStyle w:val="List2"/>
              <w:ind w:left="0" w:firstLine="0"/>
              <w:contextualSpacing w:val="0"/>
              <w:jc w:val="center"/>
              <w:rPr>
                <w:rFonts w:ascii="Arial" w:hAnsi="Arial" w:cs="Arial"/>
                <w:sz w:val="20"/>
                <w:szCs w:val="20"/>
                <w:lang w:val="en-US"/>
              </w:rPr>
            </w:pPr>
            <w:r w:rsidRPr="001B7968">
              <w:rPr>
                <w:rFonts w:ascii="Arial" w:hAnsi="Arial" w:cs="Arial"/>
                <w:sz w:val="20"/>
                <w:szCs w:val="20"/>
                <w:lang w:val="en-US"/>
              </w:rPr>
              <w:t>Dissolution rate</w:t>
            </w:r>
          </w:p>
        </w:tc>
        <w:tc>
          <w:tcPr>
            <w:tcW w:w="1298" w:type="dxa"/>
            <w:vAlign w:val="center"/>
          </w:tcPr>
          <w:p w14:paraId="5778738C"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FFC000"/>
                <w:sz w:val="20"/>
                <w:szCs w:val="20"/>
                <w:lang w:val="en-US"/>
              </w:rPr>
              <w:t>Medium</w:t>
            </w:r>
          </w:p>
        </w:tc>
        <w:tc>
          <w:tcPr>
            <w:tcW w:w="1017" w:type="dxa"/>
            <w:vAlign w:val="center"/>
          </w:tcPr>
          <w:p w14:paraId="42F5B46D"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553" w:type="dxa"/>
            <w:vAlign w:val="center"/>
          </w:tcPr>
          <w:p w14:paraId="67178905"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00B050"/>
                <w:sz w:val="20"/>
                <w:szCs w:val="20"/>
                <w:lang w:val="en-US"/>
              </w:rPr>
              <w:t>Low</w:t>
            </w:r>
          </w:p>
        </w:tc>
        <w:tc>
          <w:tcPr>
            <w:tcW w:w="1389" w:type="dxa"/>
            <w:vAlign w:val="center"/>
          </w:tcPr>
          <w:p w14:paraId="0CF07357"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B050"/>
                <w:sz w:val="20"/>
                <w:szCs w:val="20"/>
                <w:lang w:val="en-US"/>
              </w:rPr>
            </w:pPr>
            <w:r w:rsidRPr="001B7968">
              <w:rPr>
                <w:rFonts w:ascii="Arial" w:hAnsi="Arial" w:cs="Arial"/>
                <w:b/>
                <w:bCs/>
                <w:color w:val="FFC000"/>
                <w:sz w:val="20"/>
                <w:szCs w:val="20"/>
                <w:lang w:val="en-US"/>
              </w:rPr>
              <w:t>Medium</w:t>
            </w:r>
          </w:p>
        </w:tc>
        <w:tc>
          <w:tcPr>
            <w:tcW w:w="1162" w:type="dxa"/>
            <w:vAlign w:val="center"/>
          </w:tcPr>
          <w:p w14:paraId="7F858101"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0"/>
                <w:szCs w:val="20"/>
                <w:lang w:val="en-US"/>
              </w:rPr>
            </w:pPr>
            <w:r w:rsidRPr="001B7968">
              <w:rPr>
                <w:rFonts w:ascii="Arial" w:hAnsi="Arial" w:cs="Arial"/>
                <w:b/>
                <w:bCs/>
                <w:color w:val="FF0000"/>
                <w:sz w:val="20"/>
                <w:szCs w:val="20"/>
                <w:lang w:val="en-US"/>
              </w:rPr>
              <w:t>High</w:t>
            </w:r>
          </w:p>
        </w:tc>
        <w:tc>
          <w:tcPr>
            <w:tcW w:w="1274" w:type="dxa"/>
            <w:vAlign w:val="center"/>
          </w:tcPr>
          <w:p w14:paraId="3FB3109A" w14:textId="77777777" w:rsidR="00A03B48" w:rsidRPr="001B7968" w:rsidRDefault="00A03B48" w:rsidP="00587681">
            <w:pPr>
              <w:pStyle w:val="List2"/>
              <w:ind w:left="0" w:firstLine="0"/>
              <w:contextualSpacing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20"/>
                <w:szCs w:val="20"/>
                <w:lang w:val="en-US"/>
              </w:rPr>
            </w:pPr>
            <w:r w:rsidRPr="001B7968">
              <w:rPr>
                <w:rFonts w:ascii="Arial" w:hAnsi="Arial" w:cs="Arial"/>
                <w:b/>
                <w:bCs/>
                <w:color w:val="FF0000"/>
                <w:sz w:val="20"/>
                <w:szCs w:val="20"/>
                <w:lang w:val="en-US"/>
              </w:rPr>
              <w:t>High</w:t>
            </w:r>
          </w:p>
        </w:tc>
      </w:tr>
      <w:tr w:rsidR="00A03B48" w:rsidRPr="00DB26DB" w14:paraId="581D829A" w14:textId="77777777" w:rsidTr="00587681">
        <w:tc>
          <w:tcPr>
            <w:cnfStyle w:val="001000000000" w:firstRow="0" w:lastRow="0" w:firstColumn="1" w:lastColumn="0" w:oddVBand="0" w:evenVBand="0" w:oddHBand="0" w:evenHBand="0" w:firstRowFirstColumn="0" w:firstRowLastColumn="0" w:lastRowFirstColumn="0" w:lastRowLastColumn="0"/>
            <w:tcW w:w="9503" w:type="dxa"/>
            <w:gridSpan w:val="7"/>
            <w:tcBorders>
              <w:top w:val="single" w:sz="4" w:space="0" w:color="7F7F7F" w:themeColor="text1" w:themeTint="80"/>
              <w:bottom w:val="nil"/>
            </w:tcBorders>
          </w:tcPr>
          <w:p w14:paraId="75123F91" w14:textId="77777777" w:rsidR="00A03B48" w:rsidRPr="00A03B48" w:rsidRDefault="00A03B48" w:rsidP="00587681">
            <w:pPr>
              <w:pStyle w:val="List2"/>
              <w:ind w:left="0" w:firstLine="0"/>
              <w:contextualSpacing w:val="0"/>
              <w:rPr>
                <w:rFonts w:ascii="Arial" w:hAnsi="Arial" w:cs="Arial"/>
                <w:b w:val="0"/>
                <w:bCs w:val="0"/>
                <w:color w:val="FF0000"/>
                <w:sz w:val="16"/>
                <w:szCs w:val="16"/>
                <w:lang w:val="en-US"/>
              </w:rPr>
            </w:pPr>
            <w:r w:rsidRPr="00A03B48">
              <w:rPr>
                <w:rFonts w:ascii="Arial" w:hAnsi="Arial" w:cs="Arial"/>
                <w:b w:val="0"/>
                <w:bCs w:val="0"/>
                <w:sz w:val="16"/>
                <w:szCs w:val="16"/>
                <w:lang w:val="en-US"/>
              </w:rPr>
              <w:t>Qty: quantity. Low: not required research, Medium: research could be required, High: research is required</w:t>
            </w:r>
          </w:p>
        </w:tc>
      </w:tr>
    </w:tbl>
    <w:p w14:paraId="14082BF3" w14:textId="6EACE24D" w:rsidR="005E64F8" w:rsidRPr="005E64F8" w:rsidRDefault="005E64F8" w:rsidP="005E64F8">
      <w:pPr>
        <w:pStyle w:val="Body"/>
        <w:rPr>
          <w:rFonts w:ascii="Arial" w:hAnsi="Arial" w:cs="Arial"/>
        </w:rPr>
      </w:pPr>
      <w:r>
        <w:rPr>
          <w:rFonts w:ascii="Arial" w:hAnsi="Arial" w:cs="Arial"/>
        </w:rPr>
        <w:t xml:space="preserve">2.2.2 </w:t>
      </w:r>
      <w:r w:rsidRPr="005E64F8">
        <w:rPr>
          <w:rFonts w:ascii="Arial" w:hAnsi="Arial" w:cs="Arial"/>
        </w:rPr>
        <w:t>Design of Experiments (DoE)</w:t>
      </w:r>
    </w:p>
    <w:p w14:paraId="188AB45D" w14:textId="77777777" w:rsidR="005E64F8" w:rsidRPr="005E64F8" w:rsidRDefault="005E64F8" w:rsidP="005E64F8">
      <w:pPr>
        <w:pStyle w:val="Body"/>
        <w:rPr>
          <w:rFonts w:ascii="Arial" w:hAnsi="Arial" w:cs="Arial"/>
        </w:rPr>
      </w:pPr>
      <w:r w:rsidRPr="005E64F8">
        <w:rPr>
          <w:rFonts w:ascii="Arial" w:hAnsi="Arial" w:cs="Arial"/>
        </w:rPr>
        <w:t>Based on the initial risk assessment and preliminary feasibility studies, a 2</w:t>
      </w:r>
      <w:r w:rsidRPr="005E64F8">
        <w:rPr>
          <w:rFonts w:ascii="Arial" w:hAnsi="Arial" w:cs="Arial"/>
          <w:vertAlign w:val="superscript"/>
        </w:rPr>
        <w:t>k</w:t>
      </w:r>
      <w:r w:rsidRPr="005E64F8">
        <w:rPr>
          <w:rFonts w:ascii="Arial" w:hAnsi="Arial" w:cs="Arial"/>
        </w:rPr>
        <w:t xml:space="preserve"> factorial screening design with four factors at two levels was selected. The independent variables (</w:t>
      </w:r>
      <w:proofErr w:type="spellStart"/>
      <w:r w:rsidRPr="005E64F8">
        <w:rPr>
          <w:rFonts w:ascii="Arial" w:hAnsi="Arial" w:cs="Arial"/>
        </w:rPr>
        <w:t>Xs</w:t>
      </w:r>
      <w:proofErr w:type="spellEnd"/>
      <w:r w:rsidRPr="005E64F8">
        <w:rPr>
          <w:rFonts w:ascii="Arial" w:hAnsi="Arial" w:cs="Arial"/>
        </w:rPr>
        <w:t>) and response variables are detailed in Table 3. This initial design comprised a total of 16 experimental runs. Following the analysis of the main effects, the experimental plan was expanded into a Central Composite Design (CCD) by incorporating axial points, resulting in 11 additional runs, which were combined with the results of the 2</w:t>
      </w:r>
      <w:r w:rsidRPr="005E64F8">
        <w:rPr>
          <w:rFonts w:ascii="Arial" w:hAnsi="Arial" w:cs="Arial"/>
          <w:vertAlign w:val="superscript"/>
        </w:rPr>
        <w:t>k</w:t>
      </w:r>
      <w:r w:rsidRPr="005E64F8">
        <w:rPr>
          <w:rFonts w:ascii="Arial" w:hAnsi="Arial" w:cs="Arial"/>
        </w:rPr>
        <w:t xml:space="preserve"> design. This second stage </w:t>
      </w:r>
      <w:r w:rsidRPr="005E64F8">
        <w:rPr>
          <w:rFonts w:ascii="Arial" w:hAnsi="Arial" w:cs="Arial"/>
        </w:rPr>
        <w:lastRenderedPageBreak/>
        <w:t>allowed the development of a predictive model -capturing non-linear and quadratic interactions- to describe the dissolution behavior and guide the selection of an optimized formulation. This two-phase design strategy allowed us to ensure efficient variable screening through the 2⁴ factorial design, followed by fine-tuning and modeling of the most relevant factors via the CCD.</w:t>
      </w:r>
    </w:p>
    <w:p w14:paraId="1C361846" w14:textId="77777777" w:rsidR="005E64F8" w:rsidRDefault="005E64F8" w:rsidP="005E64F8">
      <w:pPr>
        <w:pStyle w:val="Body"/>
        <w:rPr>
          <w:rFonts w:ascii="Arial" w:hAnsi="Arial" w:cs="Arial"/>
        </w:rPr>
      </w:pPr>
      <w:r w:rsidRPr="005E64F8">
        <w:rPr>
          <w:rFonts w:ascii="Arial" w:hAnsi="Arial" w:cs="Arial"/>
        </w:rPr>
        <w:t xml:space="preserve">The selected responses were the dissolution profile slope and the percentage of drug dissolved at 60 minutes. The experimental runs and the transition to the CCD are summarized in Table 3. Data analysis was performed using </w:t>
      </w:r>
      <w:proofErr w:type="spellStart"/>
      <w:r w:rsidRPr="005E64F8">
        <w:rPr>
          <w:rFonts w:ascii="Arial" w:hAnsi="Arial" w:cs="Arial"/>
        </w:rPr>
        <w:t>Statgraphics</w:t>
      </w:r>
      <w:proofErr w:type="spellEnd"/>
      <w:r w:rsidRPr="005E64F8">
        <w:rPr>
          <w:rFonts w:ascii="Arial" w:hAnsi="Arial" w:cs="Arial"/>
        </w:rPr>
        <w:t xml:space="preserve"> Centurion XIV software, and Analysis of Variance (ANOVA) was applied to assess the results.</w:t>
      </w:r>
    </w:p>
    <w:p w14:paraId="41141B29" w14:textId="079A49AB" w:rsidR="00A03B48" w:rsidRPr="00A03B48" w:rsidRDefault="00A03B48" w:rsidP="00A03B48">
      <w:pPr>
        <w:spacing w:line="360" w:lineRule="auto"/>
        <w:jc w:val="center"/>
        <w:rPr>
          <w:rFonts w:ascii="Arial" w:hAnsi="Arial" w:cs="Arial"/>
        </w:rPr>
      </w:pPr>
      <w:r w:rsidRPr="00A03B48">
        <w:rPr>
          <w:rFonts w:ascii="Arial" w:hAnsi="Arial" w:cs="Arial"/>
        </w:rPr>
        <w:t>Table 3. DoE attributes</w:t>
      </w:r>
    </w:p>
    <w:tbl>
      <w:tblPr>
        <w:tblStyle w:val="PlainTable2"/>
        <w:tblW w:w="8789" w:type="dxa"/>
        <w:tblLayout w:type="fixed"/>
        <w:tblLook w:val="04A0" w:firstRow="1" w:lastRow="0" w:firstColumn="1" w:lastColumn="0" w:noHBand="0" w:noVBand="1"/>
      </w:tblPr>
      <w:tblGrid>
        <w:gridCol w:w="1275"/>
        <w:gridCol w:w="960"/>
        <w:gridCol w:w="598"/>
        <w:gridCol w:w="1042"/>
        <w:gridCol w:w="92"/>
        <w:gridCol w:w="851"/>
        <w:gridCol w:w="283"/>
        <w:gridCol w:w="567"/>
        <w:gridCol w:w="567"/>
        <w:gridCol w:w="284"/>
        <w:gridCol w:w="796"/>
        <w:gridCol w:w="765"/>
        <w:gridCol w:w="709"/>
      </w:tblGrid>
      <w:tr w:rsidR="00A03B48" w:rsidRPr="00A03B48" w14:paraId="59C8E7F7" w14:textId="77777777" w:rsidTr="00C53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13"/>
          </w:tcPr>
          <w:p w14:paraId="3B62D66D" w14:textId="77777777" w:rsidR="00A03B48" w:rsidRPr="00A03B48" w:rsidRDefault="00A03B48" w:rsidP="00C53062">
            <w:pPr>
              <w:spacing w:line="276" w:lineRule="auto"/>
              <w:ind w:left="-108"/>
              <w:jc w:val="center"/>
              <w:rPr>
                <w:rFonts w:ascii="Arial" w:hAnsi="Arial" w:cs="Arial"/>
                <w:kern w:val="0"/>
                <w:sz w:val="20"/>
                <w:szCs w:val="20"/>
              </w:rPr>
            </w:pPr>
            <w:r w:rsidRPr="00A03B48">
              <w:rPr>
                <w:rFonts w:ascii="Arial" w:hAnsi="Arial" w:cs="Arial"/>
                <w:kern w:val="0"/>
                <w:sz w:val="20"/>
                <w:szCs w:val="20"/>
              </w:rPr>
              <w:t xml:space="preserve">Screening </w:t>
            </w:r>
            <w:proofErr w:type="spellStart"/>
            <w:r w:rsidRPr="00A03B48">
              <w:rPr>
                <w:rFonts w:ascii="Arial" w:hAnsi="Arial" w:cs="Arial"/>
                <w:kern w:val="0"/>
                <w:sz w:val="20"/>
                <w:szCs w:val="20"/>
              </w:rPr>
              <w:t>design</w:t>
            </w:r>
            <w:proofErr w:type="spellEnd"/>
          </w:p>
        </w:tc>
      </w:tr>
      <w:tr w:rsidR="00A03B48" w:rsidRPr="00A03B48" w14:paraId="505775CF"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tcPr>
          <w:p w14:paraId="0B77DCCE" w14:textId="6F701585" w:rsidR="00A03B48" w:rsidRPr="00A03B48" w:rsidRDefault="00A03B48" w:rsidP="00587681">
            <w:pPr>
              <w:spacing w:line="276" w:lineRule="auto"/>
              <w:jc w:val="center"/>
              <w:rPr>
                <w:rFonts w:ascii="Arial" w:hAnsi="Arial" w:cs="Arial"/>
                <w:kern w:val="0"/>
                <w:sz w:val="20"/>
                <w:szCs w:val="20"/>
                <w:lang w:val="en-US"/>
              </w:rPr>
            </w:pPr>
            <w:r w:rsidRPr="00A03B48">
              <w:rPr>
                <w:rFonts w:ascii="Arial" w:hAnsi="Arial" w:cs="Arial"/>
                <w:kern w:val="0"/>
                <w:sz w:val="20"/>
                <w:szCs w:val="20"/>
                <w:lang w:val="en-US"/>
              </w:rPr>
              <w:t xml:space="preserve">Independent Factors </w:t>
            </w:r>
          </w:p>
        </w:tc>
        <w:tc>
          <w:tcPr>
            <w:tcW w:w="1640" w:type="dxa"/>
            <w:gridSpan w:val="2"/>
          </w:tcPr>
          <w:p w14:paraId="062E12EC" w14:textId="77777777" w:rsidR="00DC2FC7"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lang w:val="en-US"/>
              </w:rPr>
            </w:pPr>
            <w:proofErr w:type="spellStart"/>
            <w:r w:rsidRPr="00A03B48">
              <w:rPr>
                <w:rFonts w:ascii="Arial" w:hAnsi="Arial" w:cs="Arial"/>
                <w:kern w:val="0"/>
                <w:sz w:val="20"/>
                <w:szCs w:val="20"/>
              </w:rPr>
              <w:t>Name</w:t>
            </w:r>
            <w:proofErr w:type="spellEnd"/>
            <w:r w:rsidR="00DC2FC7" w:rsidRPr="00A03B48">
              <w:rPr>
                <w:rFonts w:ascii="Arial" w:hAnsi="Arial" w:cs="Arial"/>
                <w:kern w:val="0"/>
                <w:sz w:val="20"/>
                <w:szCs w:val="20"/>
                <w:lang w:val="en-US"/>
              </w:rPr>
              <w:t xml:space="preserve"> </w:t>
            </w:r>
          </w:p>
          <w:p w14:paraId="105E77CC" w14:textId="19A91241" w:rsidR="00A03B48" w:rsidRPr="00A03B48" w:rsidRDefault="00DC2FC7"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lang w:val="en-US"/>
              </w:rPr>
              <w:t>CMA and CPPs</w:t>
            </w:r>
          </w:p>
        </w:tc>
        <w:tc>
          <w:tcPr>
            <w:tcW w:w="1226" w:type="dxa"/>
            <w:gridSpan w:val="3"/>
          </w:tcPr>
          <w:p w14:paraId="13267FFD"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Type</w:t>
            </w:r>
            <w:proofErr w:type="spellEnd"/>
          </w:p>
        </w:tc>
        <w:tc>
          <w:tcPr>
            <w:tcW w:w="1134" w:type="dxa"/>
            <w:gridSpan w:val="2"/>
          </w:tcPr>
          <w:p w14:paraId="4708CD33"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Units</w:t>
            </w:r>
            <w:proofErr w:type="spellEnd"/>
          </w:p>
        </w:tc>
        <w:tc>
          <w:tcPr>
            <w:tcW w:w="1080" w:type="dxa"/>
            <w:gridSpan w:val="2"/>
          </w:tcPr>
          <w:p w14:paraId="37B4F186"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Level</w:t>
            </w:r>
            <w:proofErr w:type="spellEnd"/>
            <w:r w:rsidRPr="00A03B48">
              <w:rPr>
                <w:rFonts w:ascii="Arial" w:hAnsi="Arial" w:cs="Arial"/>
                <w:kern w:val="0"/>
                <w:sz w:val="20"/>
                <w:szCs w:val="20"/>
              </w:rPr>
              <w:t xml:space="preserve"> 1</w:t>
            </w:r>
          </w:p>
          <w:p w14:paraId="33A26CE9"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w:t>
            </w:r>
          </w:p>
        </w:tc>
        <w:tc>
          <w:tcPr>
            <w:tcW w:w="1474" w:type="dxa"/>
            <w:gridSpan w:val="2"/>
          </w:tcPr>
          <w:p w14:paraId="7938E834"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Level</w:t>
            </w:r>
            <w:proofErr w:type="spellEnd"/>
            <w:r w:rsidRPr="00A03B48">
              <w:rPr>
                <w:rFonts w:ascii="Arial" w:hAnsi="Arial" w:cs="Arial"/>
                <w:kern w:val="0"/>
                <w:sz w:val="20"/>
                <w:szCs w:val="20"/>
              </w:rPr>
              <w:t xml:space="preserve"> 2</w:t>
            </w:r>
          </w:p>
          <w:p w14:paraId="173110A0"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w:t>
            </w:r>
          </w:p>
        </w:tc>
      </w:tr>
      <w:tr w:rsidR="00A03B48" w:rsidRPr="00A03B48" w14:paraId="6981C109" w14:textId="77777777" w:rsidTr="00C53062">
        <w:tc>
          <w:tcPr>
            <w:cnfStyle w:val="001000000000" w:firstRow="0" w:lastRow="0" w:firstColumn="1" w:lastColumn="0" w:oddVBand="0" w:evenVBand="0" w:oddHBand="0" w:evenHBand="0" w:firstRowFirstColumn="0" w:firstRowLastColumn="0" w:lastRowFirstColumn="0" w:lastRowLastColumn="0"/>
            <w:tcW w:w="2235" w:type="dxa"/>
            <w:gridSpan w:val="2"/>
          </w:tcPr>
          <w:p w14:paraId="464F5C11"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A</w:t>
            </w:r>
          </w:p>
        </w:tc>
        <w:tc>
          <w:tcPr>
            <w:tcW w:w="1640" w:type="dxa"/>
            <w:gridSpan w:val="2"/>
          </w:tcPr>
          <w:p w14:paraId="6D8BD828"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Polymer</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type</w:t>
            </w:r>
            <w:proofErr w:type="spellEnd"/>
          </w:p>
        </w:tc>
        <w:tc>
          <w:tcPr>
            <w:tcW w:w="1226" w:type="dxa"/>
            <w:gridSpan w:val="3"/>
          </w:tcPr>
          <w:p w14:paraId="28F06A86"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Categoric</w:t>
            </w:r>
            <w:proofErr w:type="spellEnd"/>
          </w:p>
        </w:tc>
        <w:tc>
          <w:tcPr>
            <w:tcW w:w="1134" w:type="dxa"/>
            <w:gridSpan w:val="2"/>
          </w:tcPr>
          <w:p w14:paraId="2A33510D"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Nominal</w:t>
            </w:r>
          </w:p>
        </w:tc>
        <w:tc>
          <w:tcPr>
            <w:tcW w:w="1080" w:type="dxa"/>
            <w:gridSpan w:val="2"/>
          </w:tcPr>
          <w:p w14:paraId="0DB9264F"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PVPVA 64</w:t>
            </w:r>
          </w:p>
        </w:tc>
        <w:tc>
          <w:tcPr>
            <w:tcW w:w="1474" w:type="dxa"/>
            <w:gridSpan w:val="2"/>
          </w:tcPr>
          <w:p w14:paraId="12FF5C39"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Soluplus</w:t>
            </w:r>
            <w:proofErr w:type="spellEnd"/>
          </w:p>
        </w:tc>
      </w:tr>
      <w:tr w:rsidR="00A03B48" w:rsidRPr="00A03B48" w14:paraId="1144A9D0"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tcPr>
          <w:p w14:paraId="31D7574E"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B</w:t>
            </w:r>
          </w:p>
        </w:tc>
        <w:tc>
          <w:tcPr>
            <w:tcW w:w="1640" w:type="dxa"/>
            <w:gridSpan w:val="2"/>
          </w:tcPr>
          <w:p w14:paraId="2D3D076E"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Qty</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of</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polymer</w:t>
            </w:r>
            <w:proofErr w:type="spellEnd"/>
          </w:p>
        </w:tc>
        <w:tc>
          <w:tcPr>
            <w:tcW w:w="1226" w:type="dxa"/>
            <w:gridSpan w:val="3"/>
          </w:tcPr>
          <w:p w14:paraId="1952D45D"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Numeric</w:t>
            </w:r>
            <w:proofErr w:type="spellEnd"/>
          </w:p>
        </w:tc>
        <w:tc>
          <w:tcPr>
            <w:tcW w:w="1134" w:type="dxa"/>
            <w:gridSpan w:val="2"/>
          </w:tcPr>
          <w:p w14:paraId="19A9BF9E"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 (w/w)</w:t>
            </w:r>
          </w:p>
        </w:tc>
        <w:tc>
          <w:tcPr>
            <w:tcW w:w="1080" w:type="dxa"/>
            <w:gridSpan w:val="2"/>
          </w:tcPr>
          <w:p w14:paraId="2028BCFC"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20</w:t>
            </w:r>
          </w:p>
        </w:tc>
        <w:tc>
          <w:tcPr>
            <w:tcW w:w="1474" w:type="dxa"/>
            <w:gridSpan w:val="2"/>
          </w:tcPr>
          <w:p w14:paraId="55E6C5F2"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45</w:t>
            </w:r>
          </w:p>
        </w:tc>
      </w:tr>
      <w:tr w:rsidR="00A03B48" w:rsidRPr="00A03B48" w14:paraId="65F57D50" w14:textId="77777777" w:rsidTr="00C53062">
        <w:tc>
          <w:tcPr>
            <w:cnfStyle w:val="001000000000" w:firstRow="0" w:lastRow="0" w:firstColumn="1" w:lastColumn="0" w:oddVBand="0" w:evenVBand="0" w:oddHBand="0" w:evenHBand="0" w:firstRowFirstColumn="0" w:firstRowLastColumn="0" w:lastRowFirstColumn="0" w:lastRowLastColumn="0"/>
            <w:tcW w:w="2235" w:type="dxa"/>
            <w:gridSpan w:val="2"/>
          </w:tcPr>
          <w:p w14:paraId="12333C53"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C</w:t>
            </w:r>
          </w:p>
        </w:tc>
        <w:tc>
          <w:tcPr>
            <w:tcW w:w="1640" w:type="dxa"/>
            <w:gridSpan w:val="2"/>
          </w:tcPr>
          <w:p w14:paraId="529DF2A0"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Screw</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speed</w:t>
            </w:r>
            <w:proofErr w:type="spellEnd"/>
          </w:p>
        </w:tc>
        <w:tc>
          <w:tcPr>
            <w:tcW w:w="1226" w:type="dxa"/>
            <w:gridSpan w:val="3"/>
          </w:tcPr>
          <w:p w14:paraId="1071BFFE"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Numeric</w:t>
            </w:r>
            <w:proofErr w:type="spellEnd"/>
          </w:p>
        </w:tc>
        <w:tc>
          <w:tcPr>
            <w:tcW w:w="1134" w:type="dxa"/>
            <w:gridSpan w:val="2"/>
          </w:tcPr>
          <w:p w14:paraId="76DF1AE8"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rpm</w:t>
            </w:r>
          </w:p>
        </w:tc>
        <w:tc>
          <w:tcPr>
            <w:tcW w:w="1080" w:type="dxa"/>
            <w:gridSpan w:val="2"/>
          </w:tcPr>
          <w:p w14:paraId="681839DA"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25</w:t>
            </w:r>
          </w:p>
        </w:tc>
        <w:tc>
          <w:tcPr>
            <w:tcW w:w="1474" w:type="dxa"/>
            <w:gridSpan w:val="2"/>
          </w:tcPr>
          <w:p w14:paraId="04705EE7"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100</w:t>
            </w:r>
          </w:p>
        </w:tc>
      </w:tr>
      <w:tr w:rsidR="00A03B48" w:rsidRPr="00A03B48" w14:paraId="0041809F"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tcPr>
          <w:p w14:paraId="15D54526"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D</w:t>
            </w:r>
          </w:p>
        </w:tc>
        <w:tc>
          <w:tcPr>
            <w:tcW w:w="1640" w:type="dxa"/>
            <w:gridSpan w:val="2"/>
          </w:tcPr>
          <w:p w14:paraId="31CA898A"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Residence</w:t>
            </w:r>
            <w:proofErr w:type="spellEnd"/>
            <w:r w:rsidRPr="00A03B48">
              <w:rPr>
                <w:rFonts w:ascii="Arial" w:hAnsi="Arial" w:cs="Arial"/>
                <w:kern w:val="0"/>
                <w:sz w:val="20"/>
                <w:szCs w:val="20"/>
              </w:rPr>
              <w:t xml:space="preserve"> time</w:t>
            </w:r>
          </w:p>
        </w:tc>
        <w:tc>
          <w:tcPr>
            <w:tcW w:w="1226" w:type="dxa"/>
            <w:gridSpan w:val="3"/>
          </w:tcPr>
          <w:p w14:paraId="420B3897"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Numeric</w:t>
            </w:r>
            <w:proofErr w:type="spellEnd"/>
          </w:p>
        </w:tc>
        <w:tc>
          <w:tcPr>
            <w:tcW w:w="1134" w:type="dxa"/>
            <w:gridSpan w:val="2"/>
          </w:tcPr>
          <w:p w14:paraId="4386E14E"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min</w:t>
            </w:r>
          </w:p>
        </w:tc>
        <w:tc>
          <w:tcPr>
            <w:tcW w:w="1080" w:type="dxa"/>
            <w:gridSpan w:val="2"/>
          </w:tcPr>
          <w:p w14:paraId="287E4F1E"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5</w:t>
            </w:r>
          </w:p>
        </w:tc>
        <w:tc>
          <w:tcPr>
            <w:tcW w:w="1474" w:type="dxa"/>
            <w:gridSpan w:val="2"/>
          </w:tcPr>
          <w:p w14:paraId="10AE0D50"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20</w:t>
            </w:r>
          </w:p>
        </w:tc>
      </w:tr>
      <w:tr w:rsidR="00A03B48" w:rsidRPr="00A03B48" w14:paraId="3F4A2676" w14:textId="77777777" w:rsidTr="00C53062">
        <w:trPr>
          <w:trHeight w:val="131"/>
        </w:trPr>
        <w:tc>
          <w:tcPr>
            <w:cnfStyle w:val="001000000000" w:firstRow="0" w:lastRow="0" w:firstColumn="1" w:lastColumn="0" w:oddVBand="0" w:evenVBand="0" w:oddHBand="0" w:evenHBand="0" w:firstRowFirstColumn="0" w:firstRowLastColumn="0" w:lastRowFirstColumn="0" w:lastRowLastColumn="0"/>
            <w:tcW w:w="2235" w:type="dxa"/>
            <w:gridSpan w:val="2"/>
            <w:vMerge w:val="restart"/>
          </w:tcPr>
          <w:p w14:paraId="6BEFFCF8" w14:textId="77777777" w:rsidR="00A03B48" w:rsidRPr="00A03B48" w:rsidRDefault="00A03B48" w:rsidP="00587681">
            <w:pPr>
              <w:spacing w:line="276" w:lineRule="auto"/>
              <w:jc w:val="center"/>
              <w:rPr>
                <w:rFonts w:ascii="Arial" w:hAnsi="Arial" w:cs="Arial"/>
                <w:kern w:val="0"/>
                <w:sz w:val="20"/>
                <w:szCs w:val="20"/>
              </w:rPr>
            </w:pPr>
            <w:proofErr w:type="spellStart"/>
            <w:r w:rsidRPr="00A03B48">
              <w:rPr>
                <w:rFonts w:ascii="Arial" w:hAnsi="Arial" w:cs="Arial"/>
                <w:kern w:val="0"/>
                <w:sz w:val="20"/>
                <w:szCs w:val="20"/>
              </w:rPr>
              <w:t>Dependent</w:t>
            </w:r>
            <w:proofErr w:type="spellEnd"/>
            <w:r w:rsidRPr="00A03B48">
              <w:rPr>
                <w:rFonts w:ascii="Arial" w:hAnsi="Arial" w:cs="Arial"/>
                <w:kern w:val="0"/>
                <w:sz w:val="20"/>
                <w:szCs w:val="20"/>
              </w:rPr>
              <w:t xml:space="preserve"> variables responses (</w:t>
            </w:r>
            <w:proofErr w:type="spellStart"/>
            <w:r w:rsidRPr="00A03B48">
              <w:rPr>
                <w:rFonts w:ascii="Arial" w:hAnsi="Arial" w:cs="Arial"/>
                <w:kern w:val="0"/>
                <w:sz w:val="20"/>
                <w:szCs w:val="20"/>
              </w:rPr>
              <w:t>CQAs</w:t>
            </w:r>
            <w:proofErr w:type="spellEnd"/>
            <w:r w:rsidRPr="00A03B48">
              <w:rPr>
                <w:rFonts w:ascii="Arial" w:hAnsi="Arial" w:cs="Arial"/>
                <w:kern w:val="0"/>
                <w:sz w:val="20"/>
                <w:szCs w:val="20"/>
              </w:rPr>
              <w:t>)</w:t>
            </w:r>
          </w:p>
        </w:tc>
        <w:tc>
          <w:tcPr>
            <w:tcW w:w="1640" w:type="dxa"/>
            <w:gridSpan w:val="2"/>
          </w:tcPr>
          <w:p w14:paraId="70C8B28C"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Slope</w:t>
            </w:r>
            <w:proofErr w:type="spellEnd"/>
          </w:p>
        </w:tc>
        <w:tc>
          <w:tcPr>
            <w:tcW w:w="1226" w:type="dxa"/>
            <w:gridSpan w:val="3"/>
          </w:tcPr>
          <w:p w14:paraId="5E76A835"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1134" w:type="dxa"/>
            <w:gridSpan w:val="2"/>
          </w:tcPr>
          <w:p w14:paraId="091FE322"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Y1</w:t>
            </w:r>
          </w:p>
        </w:tc>
        <w:tc>
          <w:tcPr>
            <w:tcW w:w="1080" w:type="dxa"/>
            <w:gridSpan w:val="2"/>
          </w:tcPr>
          <w:p w14:paraId="275935B7"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c>
          <w:tcPr>
            <w:tcW w:w="1474" w:type="dxa"/>
            <w:gridSpan w:val="2"/>
          </w:tcPr>
          <w:p w14:paraId="246E8752" w14:textId="77777777" w:rsidR="00A03B48" w:rsidRPr="00A03B48" w:rsidRDefault="00A03B48" w:rsidP="0058768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p>
        </w:tc>
      </w:tr>
      <w:tr w:rsidR="00A03B48" w:rsidRPr="00A03B48" w14:paraId="3DC39522"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gridSpan w:val="2"/>
            <w:vMerge/>
          </w:tcPr>
          <w:p w14:paraId="1AB25642" w14:textId="77777777" w:rsidR="00A03B48" w:rsidRPr="00A03B48" w:rsidRDefault="00A03B48" w:rsidP="00587681">
            <w:pPr>
              <w:spacing w:line="276" w:lineRule="auto"/>
              <w:jc w:val="both"/>
              <w:rPr>
                <w:rFonts w:ascii="Arial" w:hAnsi="Arial" w:cs="Arial"/>
                <w:kern w:val="0"/>
                <w:sz w:val="20"/>
                <w:szCs w:val="20"/>
              </w:rPr>
            </w:pPr>
          </w:p>
        </w:tc>
        <w:tc>
          <w:tcPr>
            <w:tcW w:w="2866" w:type="dxa"/>
            <w:gridSpan w:val="5"/>
          </w:tcPr>
          <w:p w14:paraId="46A3F034" w14:textId="77777777" w:rsidR="00A03B48" w:rsidRPr="00A03B48" w:rsidRDefault="00A03B48" w:rsidP="0058768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 xml:space="preserve">% </w:t>
            </w:r>
            <w:proofErr w:type="spellStart"/>
            <w:r w:rsidRPr="00A03B48">
              <w:rPr>
                <w:rFonts w:ascii="Arial" w:hAnsi="Arial" w:cs="Arial"/>
                <w:kern w:val="0"/>
                <w:sz w:val="20"/>
                <w:szCs w:val="20"/>
              </w:rPr>
              <w:t>drug</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release</w:t>
            </w:r>
            <w:proofErr w:type="spellEnd"/>
            <w:r w:rsidRPr="00A03B48">
              <w:rPr>
                <w:rFonts w:ascii="Arial" w:hAnsi="Arial" w:cs="Arial"/>
                <w:kern w:val="0"/>
                <w:sz w:val="20"/>
                <w:szCs w:val="20"/>
              </w:rPr>
              <w:t xml:space="preserve"> in 60 min</w:t>
            </w:r>
          </w:p>
        </w:tc>
        <w:tc>
          <w:tcPr>
            <w:tcW w:w="1134" w:type="dxa"/>
            <w:gridSpan w:val="2"/>
          </w:tcPr>
          <w:p w14:paraId="1A42C6A5"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Y2</w:t>
            </w:r>
          </w:p>
        </w:tc>
        <w:tc>
          <w:tcPr>
            <w:tcW w:w="1080" w:type="dxa"/>
            <w:gridSpan w:val="2"/>
          </w:tcPr>
          <w:p w14:paraId="0ECB73EC"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
        </w:tc>
        <w:tc>
          <w:tcPr>
            <w:tcW w:w="1474" w:type="dxa"/>
            <w:gridSpan w:val="2"/>
          </w:tcPr>
          <w:p w14:paraId="2E2ADF41" w14:textId="77777777" w:rsidR="00A03B48" w:rsidRPr="00A03B48" w:rsidRDefault="00A03B48" w:rsidP="0058768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
        </w:tc>
      </w:tr>
      <w:tr w:rsidR="00A03B48" w:rsidRPr="00A03B48" w14:paraId="287517B7" w14:textId="77777777" w:rsidTr="00C53062">
        <w:tc>
          <w:tcPr>
            <w:cnfStyle w:val="001000000000" w:firstRow="0" w:lastRow="0" w:firstColumn="1" w:lastColumn="0" w:oddVBand="0" w:evenVBand="0" w:oddHBand="0" w:evenHBand="0" w:firstRowFirstColumn="0" w:firstRowLastColumn="0" w:lastRowFirstColumn="0" w:lastRowLastColumn="0"/>
            <w:tcW w:w="8789" w:type="dxa"/>
            <w:gridSpan w:val="13"/>
            <w:shd w:val="clear" w:color="auto" w:fill="C4BC96" w:themeFill="background2" w:themeFillShade="BF"/>
          </w:tcPr>
          <w:p w14:paraId="133D0EFF" w14:textId="77777777" w:rsidR="00A03B48" w:rsidRPr="00A03B48" w:rsidRDefault="00A03B48" w:rsidP="00587681">
            <w:pPr>
              <w:spacing w:line="276" w:lineRule="auto"/>
              <w:jc w:val="both"/>
              <w:rPr>
                <w:rFonts w:ascii="Arial" w:hAnsi="Arial" w:cs="Arial"/>
                <w:kern w:val="0"/>
                <w:sz w:val="20"/>
                <w:szCs w:val="20"/>
              </w:rPr>
            </w:pPr>
          </w:p>
        </w:tc>
      </w:tr>
      <w:tr w:rsidR="00A03B48" w:rsidRPr="00A03B48" w14:paraId="520E5834"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9" w:type="dxa"/>
            <w:gridSpan w:val="13"/>
          </w:tcPr>
          <w:p w14:paraId="2F1BA179" w14:textId="77777777" w:rsidR="00A03B48" w:rsidRPr="00A03B48" w:rsidRDefault="00A03B48" w:rsidP="00587681">
            <w:pPr>
              <w:spacing w:line="276" w:lineRule="auto"/>
              <w:jc w:val="center"/>
              <w:rPr>
                <w:rFonts w:ascii="Arial" w:hAnsi="Arial" w:cs="Arial"/>
                <w:kern w:val="0"/>
                <w:sz w:val="20"/>
                <w:szCs w:val="20"/>
                <w:lang w:val="en-US"/>
              </w:rPr>
            </w:pPr>
            <w:r w:rsidRPr="00A03B48">
              <w:rPr>
                <w:rFonts w:ascii="Arial" w:hAnsi="Arial" w:cs="Arial"/>
                <w:kern w:val="0"/>
                <w:sz w:val="20"/>
                <w:szCs w:val="20"/>
                <w:lang w:val="en-US"/>
              </w:rPr>
              <w:t xml:space="preserve">Central composite design (CCD) with stars </w:t>
            </w:r>
          </w:p>
        </w:tc>
      </w:tr>
      <w:tr w:rsidR="00A03B48" w:rsidRPr="00A03B48" w14:paraId="1B09D294" w14:textId="77777777" w:rsidTr="00C53062">
        <w:tc>
          <w:tcPr>
            <w:cnfStyle w:val="001000000000" w:firstRow="0" w:lastRow="0" w:firstColumn="1" w:lastColumn="0" w:oddVBand="0" w:evenVBand="0" w:oddHBand="0" w:evenHBand="0" w:firstRowFirstColumn="0" w:firstRowLastColumn="0" w:lastRowFirstColumn="0" w:lastRowLastColumn="0"/>
            <w:tcW w:w="1275" w:type="dxa"/>
            <w:vAlign w:val="center"/>
          </w:tcPr>
          <w:p w14:paraId="0B5A940B"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Factor</w:t>
            </w:r>
          </w:p>
        </w:tc>
        <w:tc>
          <w:tcPr>
            <w:tcW w:w="1558" w:type="dxa"/>
            <w:gridSpan w:val="2"/>
            <w:vAlign w:val="center"/>
          </w:tcPr>
          <w:p w14:paraId="2CEE129C"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Name</w:t>
            </w:r>
            <w:proofErr w:type="spellEnd"/>
          </w:p>
        </w:tc>
        <w:tc>
          <w:tcPr>
            <w:tcW w:w="1134" w:type="dxa"/>
            <w:gridSpan w:val="2"/>
            <w:vAlign w:val="center"/>
          </w:tcPr>
          <w:p w14:paraId="444CAF62"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Type</w:t>
            </w:r>
            <w:proofErr w:type="spellEnd"/>
          </w:p>
        </w:tc>
        <w:tc>
          <w:tcPr>
            <w:tcW w:w="851" w:type="dxa"/>
            <w:vAlign w:val="center"/>
          </w:tcPr>
          <w:p w14:paraId="4CF10BBB"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Units</w:t>
            </w:r>
            <w:proofErr w:type="spellEnd"/>
          </w:p>
        </w:tc>
        <w:tc>
          <w:tcPr>
            <w:tcW w:w="850" w:type="dxa"/>
            <w:gridSpan w:val="2"/>
          </w:tcPr>
          <w:p w14:paraId="565BE990"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p>
          <w:p w14:paraId="1F1C10FB"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b/>
                <w:bCs/>
                <w:kern w:val="0"/>
                <w:sz w:val="20"/>
                <w:szCs w:val="20"/>
              </w:rPr>
              <w:t>1</w:t>
            </w:r>
          </w:p>
        </w:tc>
        <w:tc>
          <w:tcPr>
            <w:tcW w:w="851" w:type="dxa"/>
            <w:gridSpan w:val="2"/>
          </w:tcPr>
          <w:p w14:paraId="12C43498"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r w:rsidRPr="00A03B48">
              <w:rPr>
                <w:rFonts w:ascii="Arial" w:hAnsi="Arial" w:cs="Arial"/>
                <w:b/>
                <w:bCs/>
                <w:kern w:val="0"/>
                <w:sz w:val="20"/>
                <w:szCs w:val="20"/>
              </w:rPr>
              <w:t xml:space="preserve"> </w:t>
            </w:r>
          </w:p>
          <w:p w14:paraId="0C2262AB"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b/>
                <w:bCs/>
                <w:kern w:val="0"/>
                <w:sz w:val="20"/>
                <w:szCs w:val="20"/>
              </w:rPr>
              <w:t>2</w:t>
            </w:r>
          </w:p>
        </w:tc>
        <w:tc>
          <w:tcPr>
            <w:tcW w:w="796" w:type="dxa"/>
          </w:tcPr>
          <w:p w14:paraId="1E2FFD7C"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r w:rsidRPr="00A03B48">
              <w:rPr>
                <w:rFonts w:ascii="Arial" w:hAnsi="Arial" w:cs="Arial"/>
                <w:b/>
                <w:bCs/>
                <w:kern w:val="0"/>
                <w:sz w:val="20"/>
                <w:szCs w:val="20"/>
              </w:rPr>
              <w:t xml:space="preserve"> 3</w:t>
            </w:r>
          </w:p>
        </w:tc>
        <w:tc>
          <w:tcPr>
            <w:tcW w:w="765" w:type="dxa"/>
          </w:tcPr>
          <w:p w14:paraId="321C3CD7"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r w:rsidRPr="00A03B48">
              <w:rPr>
                <w:rFonts w:ascii="Arial" w:hAnsi="Arial" w:cs="Arial"/>
                <w:b/>
                <w:bCs/>
                <w:kern w:val="0"/>
                <w:sz w:val="20"/>
                <w:szCs w:val="20"/>
              </w:rPr>
              <w:t xml:space="preserve"> 4</w:t>
            </w:r>
          </w:p>
        </w:tc>
        <w:tc>
          <w:tcPr>
            <w:tcW w:w="709" w:type="dxa"/>
          </w:tcPr>
          <w:p w14:paraId="0056BFD4"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b/>
                <w:bCs/>
                <w:kern w:val="0"/>
                <w:sz w:val="20"/>
                <w:szCs w:val="20"/>
              </w:rPr>
              <w:t>Level</w:t>
            </w:r>
            <w:proofErr w:type="spellEnd"/>
            <w:r w:rsidRPr="00A03B48">
              <w:rPr>
                <w:rFonts w:ascii="Arial" w:hAnsi="Arial" w:cs="Arial"/>
                <w:b/>
                <w:bCs/>
                <w:kern w:val="0"/>
                <w:sz w:val="20"/>
                <w:szCs w:val="20"/>
              </w:rPr>
              <w:t xml:space="preserve"> 5</w:t>
            </w:r>
          </w:p>
        </w:tc>
      </w:tr>
      <w:tr w:rsidR="00A03B48" w:rsidRPr="00A03B48" w14:paraId="40A4E4F8"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Pr>
          <w:p w14:paraId="62E031D6"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A</w:t>
            </w:r>
          </w:p>
        </w:tc>
        <w:tc>
          <w:tcPr>
            <w:tcW w:w="1558" w:type="dxa"/>
            <w:gridSpan w:val="2"/>
          </w:tcPr>
          <w:p w14:paraId="4DE4BE33" w14:textId="77777777" w:rsidR="00A03B48" w:rsidRPr="00A03B48" w:rsidRDefault="00A03B48" w:rsidP="0058768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Qty</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of</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polymer</w:t>
            </w:r>
            <w:proofErr w:type="spellEnd"/>
          </w:p>
        </w:tc>
        <w:tc>
          <w:tcPr>
            <w:tcW w:w="1134" w:type="dxa"/>
            <w:gridSpan w:val="2"/>
          </w:tcPr>
          <w:p w14:paraId="5B61941A"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Numeric</w:t>
            </w:r>
            <w:proofErr w:type="spellEnd"/>
          </w:p>
        </w:tc>
        <w:tc>
          <w:tcPr>
            <w:tcW w:w="851" w:type="dxa"/>
          </w:tcPr>
          <w:p w14:paraId="497B80A9"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 (w/w)</w:t>
            </w:r>
          </w:p>
        </w:tc>
        <w:tc>
          <w:tcPr>
            <w:tcW w:w="850" w:type="dxa"/>
            <w:gridSpan w:val="2"/>
          </w:tcPr>
          <w:p w14:paraId="2203BDB8"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14.32</w:t>
            </w:r>
          </w:p>
        </w:tc>
        <w:tc>
          <w:tcPr>
            <w:tcW w:w="851" w:type="dxa"/>
            <w:gridSpan w:val="2"/>
          </w:tcPr>
          <w:p w14:paraId="04920C05"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20</w:t>
            </w:r>
          </w:p>
        </w:tc>
        <w:tc>
          <w:tcPr>
            <w:tcW w:w="796" w:type="dxa"/>
          </w:tcPr>
          <w:p w14:paraId="71E3DCED"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32.5</w:t>
            </w:r>
          </w:p>
        </w:tc>
        <w:tc>
          <w:tcPr>
            <w:tcW w:w="765" w:type="dxa"/>
          </w:tcPr>
          <w:p w14:paraId="4D9F6A61"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45</w:t>
            </w:r>
          </w:p>
        </w:tc>
        <w:tc>
          <w:tcPr>
            <w:tcW w:w="709" w:type="dxa"/>
          </w:tcPr>
          <w:p w14:paraId="77C0F5DC"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63.63</w:t>
            </w:r>
          </w:p>
        </w:tc>
      </w:tr>
      <w:tr w:rsidR="00A03B48" w:rsidRPr="00A03B48" w14:paraId="2D2C278A" w14:textId="77777777" w:rsidTr="00C53062">
        <w:tc>
          <w:tcPr>
            <w:cnfStyle w:val="001000000000" w:firstRow="0" w:lastRow="0" w:firstColumn="1" w:lastColumn="0" w:oddVBand="0" w:evenVBand="0" w:oddHBand="0" w:evenHBand="0" w:firstRowFirstColumn="0" w:firstRowLastColumn="0" w:lastRowFirstColumn="0" w:lastRowLastColumn="0"/>
            <w:tcW w:w="1275" w:type="dxa"/>
          </w:tcPr>
          <w:p w14:paraId="10F0D53D" w14:textId="77777777" w:rsidR="00A03B48" w:rsidRPr="00A03B48" w:rsidRDefault="00A03B48" w:rsidP="00587681">
            <w:pPr>
              <w:spacing w:line="276" w:lineRule="auto"/>
              <w:jc w:val="center"/>
              <w:rPr>
                <w:rFonts w:ascii="Arial" w:hAnsi="Arial" w:cs="Arial"/>
                <w:kern w:val="0"/>
                <w:sz w:val="20"/>
                <w:szCs w:val="20"/>
              </w:rPr>
            </w:pPr>
            <w:r w:rsidRPr="00A03B48">
              <w:rPr>
                <w:rFonts w:ascii="Arial" w:hAnsi="Arial" w:cs="Arial"/>
                <w:kern w:val="0"/>
                <w:sz w:val="20"/>
                <w:szCs w:val="20"/>
              </w:rPr>
              <w:t>B</w:t>
            </w:r>
          </w:p>
        </w:tc>
        <w:tc>
          <w:tcPr>
            <w:tcW w:w="1558" w:type="dxa"/>
            <w:gridSpan w:val="2"/>
          </w:tcPr>
          <w:p w14:paraId="02314228" w14:textId="77777777" w:rsidR="00A03B48" w:rsidRPr="00A03B48" w:rsidRDefault="00A03B48" w:rsidP="0058768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Residence</w:t>
            </w:r>
            <w:proofErr w:type="spellEnd"/>
            <w:r w:rsidRPr="00A03B48">
              <w:rPr>
                <w:rFonts w:ascii="Arial" w:hAnsi="Arial" w:cs="Arial"/>
                <w:kern w:val="0"/>
                <w:sz w:val="20"/>
                <w:szCs w:val="20"/>
              </w:rPr>
              <w:t xml:space="preserve"> time</w:t>
            </w:r>
          </w:p>
        </w:tc>
        <w:tc>
          <w:tcPr>
            <w:tcW w:w="1134" w:type="dxa"/>
            <w:gridSpan w:val="2"/>
          </w:tcPr>
          <w:p w14:paraId="36C3A677"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roofErr w:type="spellStart"/>
            <w:r w:rsidRPr="00A03B48">
              <w:rPr>
                <w:rFonts w:ascii="Arial" w:hAnsi="Arial" w:cs="Arial"/>
                <w:kern w:val="0"/>
                <w:sz w:val="20"/>
                <w:szCs w:val="20"/>
              </w:rPr>
              <w:t>Numeric</w:t>
            </w:r>
            <w:proofErr w:type="spellEnd"/>
          </w:p>
        </w:tc>
        <w:tc>
          <w:tcPr>
            <w:tcW w:w="851" w:type="dxa"/>
          </w:tcPr>
          <w:p w14:paraId="0AD5E3F9"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min</w:t>
            </w:r>
          </w:p>
        </w:tc>
        <w:tc>
          <w:tcPr>
            <w:tcW w:w="850" w:type="dxa"/>
            <w:gridSpan w:val="2"/>
          </w:tcPr>
          <w:p w14:paraId="4A978F8A"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3.39</w:t>
            </w:r>
          </w:p>
        </w:tc>
        <w:tc>
          <w:tcPr>
            <w:tcW w:w="851" w:type="dxa"/>
            <w:gridSpan w:val="2"/>
          </w:tcPr>
          <w:p w14:paraId="336A70EF"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5</w:t>
            </w:r>
          </w:p>
        </w:tc>
        <w:tc>
          <w:tcPr>
            <w:tcW w:w="796" w:type="dxa"/>
          </w:tcPr>
          <w:p w14:paraId="157B4576"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7.5</w:t>
            </w:r>
          </w:p>
        </w:tc>
        <w:tc>
          <w:tcPr>
            <w:tcW w:w="765" w:type="dxa"/>
          </w:tcPr>
          <w:p w14:paraId="35248208"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20</w:t>
            </w:r>
          </w:p>
        </w:tc>
        <w:tc>
          <w:tcPr>
            <w:tcW w:w="709" w:type="dxa"/>
          </w:tcPr>
          <w:p w14:paraId="549D2F4B"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25.1</w:t>
            </w:r>
          </w:p>
        </w:tc>
      </w:tr>
      <w:tr w:rsidR="00A03B48" w:rsidRPr="00A03B48" w14:paraId="7088B846" w14:textId="77777777" w:rsidTr="00C53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vMerge w:val="restart"/>
          </w:tcPr>
          <w:p w14:paraId="11F5A410" w14:textId="77777777" w:rsidR="00A03B48" w:rsidRPr="00A03B48" w:rsidRDefault="00A03B48" w:rsidP="00587681">
            <w:pPr>
              <w:spacing w:line="276" w:lineRule="auto"/>
              <w:rPr>
                <w:rFonts w:ascii="Arial" w:hAnsi="Arial" w:cs="Arial"/>
                <w:kern w:val="0"/>
                <w:sz w:val="20"/>
                <w:szCs w:val="20"/>
              </w:rPr>
            </w:pPr>
            <w:proofErr w:type="spellStart"/>
            <w:r w:rsidRPr="00A03B48">
              <w:rPr>
                <w:rFonts w:ascii="Arial" w:hAnsi="Arial" w:cs="Arial"/>
                <w:kern w:val="0"/>
                <w:sz w:val="20"/>
                <w:szCs w:val="20"/>
              </w:rPr>
              <w:t>Dependent</w:t>
            </w:r>
            <w:proofErr w:type="spellEnd"/>
            <w:r w:rsidRPr="00A03B48">
              <w:rPr>
                <w:rFonts w:ascii="Arial" w:hAnsi="Arial" w:cs="Arial"/>
                <w:kern w:val="0"/>
                <w:sz w:val="20"/>
                <w:szCs w:val="20"/>
              </w:rPr>
              <w:t xml:space="preserve"> variables</w:t>
            </w:r>
          </w:p>
        </w:tc>
        <w:tc>
          <w:tcPr>
            <w:tcW w:w="2692" w:type="dxa"/>
            <w:gridSpan w:val="4"/>
          </w:tcPr>
          <w:p w14:paraId="17A3C5DE" w14:textId="77777777" w:rsidR="00A03B48" w:rsidRPr="00A03B48" w:rsidRDefault="00A03B48" w:rsidP="0058768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kern w:val="0"/>
                <w:sz w:val="20"/>
                <w:szCs w:val="20"/>
              </w:rPr>
            </w:pPr>
            <w:proofErr w:type="spellStart"/>
            <w:r w:rsidRPr="00A03B48">
              <w:rPr>
                <w:rFonts w:ascii="Arial" w:hAnsi="Arial" w:cs="Arial"/>
                <w:kern w:val="0"/>
                <w:sz w:val="20"/>
                <w:szCs w:val="20"/>
              </w:rPr>
              <w:t>Slope</w:t>
            </w:r>
            <w:proofErr w:type="spellEnd"/>
          </w:p>
        </w:tc>
        <w:tc>
          <w:tcPr>
            <w:tcW w:w="851" w:type="dxa"/>
          </w:tcPr>
          <w:p w14:paraId="00EA9724"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Y1</w:t>
            </w:r>
          </w:p>
        </w:tc>
        <w:tc>
          <w:tcPr>
            <w:tcW w:w="850" w:type="dxa"/>
            <w:gridSpan w:val="2"/>
          </w:tcPr>
          <w:p w14:paraId="42B4EA1D"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c>
          <w:tcPr>
            <w:tcW w:w="851" w:type="dxa"/>
            <w:gridSpan w:val="2"/>
          </w:tcPr>
          <w:p w14:paraId="3186308E"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c>
          <w:tcPr>
            <w:tcW w:w="796" w:type="dxa"/>
          </w:tcPr>
          <w:p w14:paraId="04018A9C"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c>
          <w:tcPr>
            <w:tcW w:w="765" w:type="dxa"/>
          </w:tcPr>
          <w:p w14:paraId="4A2F400A"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c>
          <w:tcPr>
            <w:tcW w:w="709" w:type="dxa"/>
          </w:tcPr>
          <w:p w14:paraId="11B89069" w14:textId="77777777" w:rsidR="00A03B48" w:rsidRPr="00A03B48" w:rsidRDefault="00A03B48" w:rsidP="00587681">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0"/>
                <w:sz w:val="20"/>
                <w:szCs w:val="20"/>
              </w:rPr>
            </w:pPr>
          </w:p>
        </w:tc>
      </w:tr>
      <w:tr w:rsidR="00A03B48" w:rsidRPr="00A03B48" w14:paraId="65802CDF" w14:textId="77777777" w:rsidTr="00C53062">
        <w:tc>
          <w:tcPr>
            <w:cnfStyle w:val="001000000000" w:firstRow="0" w:lastRow="0" w:firstColumn="1" w:lastColumn="0" w:oddVBand="0" w:evenVBand="0" w:oddHBand="0" w:evenHBand="0" w:firstRowFirstColumn="0" w:firstRowLastColumn="0" w:lastRowFirstColumn="0" w:lastRowLastColumn="0"/>
            <w:tcW w:w="1275" w:type="dxa"/>
            <w:vMerge/>
          </w:tcPr>
          <w:p w14:paraId="4812551B" w14:textId="77777777" w:rsidR="00A03B48" w:rsidRPr="00A03B48" w:rsidRDefault="00A03B48" w:rsidP="00587681">
            <w:pPr>
              <w:spacing w:line="276" w:lineRule="auto"/>
              <w:jc w:val="center"/>
              <w:rPr>
                <w:rFonts w:ascii="Arial" w:hAnsi="Arial" w:cs="Arial"/>
                <w:kern w:val="0"/>
                <w:sz w:val="20"/>
                <w:szCs w:val="20"/>
              </w:rPr>
            </w:pPr>
          </w:p>
        </w:tc>
        <w:tc>
          <w:tcPr>
            <w:tcW w:w="2692" w:type="dxa"/>
            <w:gridSpan w:val="4"/>
          </w:tcPr>
          <w:p w14:paraId="0257DA6F" w14:textId="77777777" w:rsidR="00A03B48" w:rsidRPr="00A03B48" w:rsidRDefault="00A03B48" w:rsidP="0058768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kern w:val="0"/>
                <w:sz w:val="20"/>
                <w:szCs w:val="20"/>
              </w:rPr>
            </w:pPr>
            <w:r w:rsidRPr="00A03B48">
              <w:rPr>
                <w:rFonts w:ascii="Arial" w:hAnsi="Arial" w:cs="Arial"/>
                <w:kern w:val="0"/>
                <w:sz w:val="20"/>
                <w:szCs w:val="20"/>
              </w:rPr>
              <w:t xml:space="preserve">% </w:t>
            </w:r>
            <w:proofErr w:type="spellStart"/>
            <w:r w:rsidRPr="00A03B48">
              <w:rPr>
                <w:rFonts w:ascii="Arial" w:hAnsi="Arial" w:cs="Arial"/>
                <w:kern w:val="0"/>
                <w:sz w:val="20"/>
                <w:szCs w:val="20"/>
              </w:rPr>
              <w:t>drug</w:t>
            </w:r>
            <w:proofErr w:type="spellEnd"/>
            <w:r w:rsidRPr="00A03B48">
              <w:rPr>
                <w:rFonts w:ascii="Arial" w:hAnsi="Arial" w:cs="Arial"/>
                <w:kern w:val="0"/>
                <w:sz w:val="20"/>
                <w:szCs w:val="20"/>
              </w:rPr>
              <w:t xml:space="preserve"> </w:t>
            </w:r>
            <w:proofErr w:type="spellStart"/>
            <w:r w:rsidRPr="00A03B48">
              <w:rPr>
                <w:rFonts w:ascii="Arial" w:hAnsi="Arial" w:cs="Arial"/>
                <w:kern w:val="0"/>
                <w:sz w:val="20"/>
                <w:szCs w:val="20"/>
              </w:rPr>
              <w:t>release</w:t>
            </w:r>
            <w:proofErr w:type="spellEnd"/>
            <w:r w:rsidRPr="00A03B48">
              <w:rPr>
                <w:rFonts w:ascii="Arial" w:hAnsi="Arial" w:cs="Arial"/>
                <w:kern w:val="0"/>
                <w:sz w:val="20"/>
                <w:szCs w:val="20"/>
              </w:rPr>
              <w:t xml:space="preserve"> in 60 min</w:t>
            </w:r>
          </w:p>
        </w:tc>
        <w:tc>
          <w:tcPr>
            <w:tcW w:w="851" w:type="dxa"/>
          </w:tcPr>
          <w:p w14:paraId="7F637DD5"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r w:rsidRPr="00A03B48">
              <w:rPr>
                <w:rFonts w:ascii="Arial" w:hAnsi="Arial" w:cs="Arial"/>
                <w:kern w:val="0"/>
                <w:sz w:val="20"/>
                <w:szCs w:val="20"/>
              </w:rPr>
              <w:t>Y2</w:t>
            </w:r>
          </w:p>
        </w:tc>
        <w:tc>
          <w:tcPr>
            <w:tcW w:w="850" w:type="dxa"/>
            <w:gridSpan w:val="2"/>
          </w:tcPr>
          <w:p w14:paraId="26DF4659"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tcW w:w="851" w:type="dxa"/>
            <w:gridSpan w:val="2"/>
          </w:tcPr>
          <w:p w14:paraId="5E9A9960"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tcW w:w="796" w:type="dxa"/>
          </w:tcPr>
          <w:p w14:paraId="6BFAD7EE"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tcW w:w="765" w:type="dxa"/>
          </w:tcPr>
          <w:p w14:paraId="113AC06C"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c>
          <w:tcPr>
            <w:tcW w:w="709" w:type="dxa"/>
          </w:tcPr>
          <w:p w14:paraId="15F4A58F" w14:textId="77777777" w:rsidR="00A03B48" w:rsidRPr="00A03B48" w:rsidRDefault="00A03B48" w:rsidP="0058768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kern w:val="0"/>
                <w:sz w:val="20"/>
                <w:szCs w:val="20"/>
              </w:rPr>
            </w:pPr>
          </w:p>
        </w:tc>
      </w:tr>
    </w:tbl>
    <w:p w14:paraId="624DE9A7" w14:textId="255B682F" w:rsidR="005E64F8" w:rsidRPr="005E64F8" w:rsidRDefault="005E64F8" w:rsidP="00A03B48">
      <w:pPr>
        <w:pStyle w:val="Body"/>
        <w:spacing w:before="240"/>
        <w:rPr>
          <w:rFonts w:ascii="Arial" w:hAnsi="Arial" w:cs="Arial"/>
        </w:rPr>
      </w:pPr>
      <w:r>
        <w:rPr>
          <w:rFonts w:ascii="Arial" w:hAnsi="Arial" w:cs="Arial"/>
        </w:rPr>
        <w:t xml:space="preserve">2.2.3 </w:t>
      </w:r>
      <w:r w:rsidRPr="005E64F8">
        <w:rPr>
          <w:rFonts w:ascii="Arial" w:hAnsi="Arial" w:cs="Arial"/>
        </w:rPr>
        <w:t>Manufacturing Process</w:t>
      </w:r>
    </w:p>
    <w:p w14:paraId="62099CA8" w14:textId="77777777" w:rsidR="005E64F8" w:rsidRPr="005E64F8" w:rsidRDefault="005E64F8" w:rsidP="005E64F8">
      <w:pPr>
        <w:pStyle w:val="Body"/>
        <w:rPr>
          <w:rFonts w:ascii="Arial" w:hAnsi="Arial" w:cs="Arial"/>
        </w:rPr>
      </w:pPr>
      <w:r w:rsidRPr="005E64F8">
        <w:rPr>
          <w:rFonts w:ascii="Arial" w:hAnsi="Arial" w:cs="Arial"/>
        </w:rPr>
        <w:t xml:space="preserve">Batches of 4 g consisting of </w:t>
      </w:r>
      <w:proofErr w:type="spellStart"/>
      <w:r w:rsidRPr="005E64F8">
        <w:rPr>
          <w:rFonts w:ascii="Arial" w:hAnsi="Arial" w:cs="Arial"/>
        </w:rPr>
        <w:t>TbHCl</w:t>
      </w:r>
      <w:proofErr w:type="spellEnd"/>
      <w:r w:rsidRPr="005E64F8">
        <w:rPr>
          <w:rFonts w:ascii="Arial" w:hAnsi="Arial" w:cs="Arial"/>
        </w:rPr>
        <w:t xml:space="preserve"> and polymer were processed using a Thermo Scientific HAAKE Minilab co-rotating twin-screw extruder (Waltham, MA), featuring 11 cm screws and a valve to control residence time within the extrusion chamber. SD were produced at 110°C with a feeding time of 5 minutes. Other processing parameters were adjusted according to the experimental design.</w:t>
      </w:r>
    </w:p>
    <w:p w14:paraId="0A9A7A8B" w14:textId="7A37F1A9" w:rsidR="007E0240" w:rsidRDefault="007E0240" w:rsidP="005E64F8">
      <w:pPr>
        <w:pStyle w:val="Body"/>
        <w:spacing w:after="0"/>
        <w:rPr>
          <w:rFonts w:ascii="Arial" w:hAnsi="Arial" w:cs="Arial"/>
        </w:rPr>
      </w:pPr>
      <w:r w:rsidRPr="007E0240">
        <w:rPr>
          <w:rFonts w:ascii="Arial" w:hAnsi="Arial" w:cs="Arial"/>
        </w:rPr>
        <w:t>In this study, xylitol was incorporated as a functional excipient to improve the processability of terbinafine–polymer blends during HME. Its low melting point (~94 °C), plasticizing effect, and non-hygroscopic nature helped reduce melt viscosity and extrusion torque, particularly when processing high-</w:t>
      </w:r>
      <w:proofErr w:type="spellStart"/>
      <w:r w:rsidRPr="007E0240">
        <w:rPr>
          <w:rFonts w:ascii="Arial" w:hAnsi="Arial" w:cs="Arial"/>
        </w:rPr>
        <w:t>Tg</w:t>
      </w:r>
      <w:proofErr w:type="spellEnd"/>
      <w:r w:rsidRPr="007E0240">
        <w:rPr>
          <w:rFonts w:ascii="Arial" w:hAnsi="Arial" w:cs="Arial"/>
        </w:rPr>
        <w:t xml:space="preserve"> polymers such as PVP VA64. Previous reports have demonstrated that polyols like xylitol act as transient plasticizers, enhancing melt flow and enabling extrusion at lower temperatures without compromising API integrity or dispersion homogeneity</w:t>
      </w:r>
      <w:r>
        <w:rPr>
          <w:rFonts w:ascii="Arial" w:hAnsi="Arial" w:cs="Arial"/>
        </w:rPr>
        <w:t>.</w:t>
      </w:r>
      <w:r w:rsidRPr="007E0240">
        <w:rPr>
          <w:rFonts w:ascii="Arial" w:hAnsi="Arial" w:cs="Arial"/>
        </w:rPr>
        <w:t xml:space="preserve"> [36]</w:t>
      </w:r>
    </w:p>
    <w:p w14:paraId="4751A0F7" w14:textId="77777777" w:rsidR="007E0240" w:rsidRDefault="007E0240" w:rsidP="005E64F8">
      <w:pPr>
        <w:pStyle w:val="Body"/>
        <w:spacing w:after="0"/>
        <w:rPr>
          <w:rFonts w:ascii="Arial" w:hAnsi="Arial" w:cs="Arial"/>
        </w:rPr>
      </w:pPr>
    </w:p>
    <w:p w14:paraId="5ED70621" w14:textId="35BA4E11" w:rsidR="00790ADA" w:rsidRDefault="005E64F8" w:rsidP="005E64F8">
      <w:pPr>
        <w:pStyle w:val="Body"/>
        <w:spacing w:after="0"/>
        <w:rPr>
          <w:rFonts w:ascii="Arial" w:hAnsi="Arial" w:cs="Arial"/>
        </w:rPr>
      </w:pPr>
      <w:r w:rsidRPr="005E64F8">
        <w:rPr>
          <w:rFonts w:ascii="Arial" w:hAnsi="Arial" w:cs="Arial"/>
        </w:rPr>
        <w:lastRenderedPageBreak/>
        <w:t xml:space="preserve">Additionally, two physical mixtures of </w:t>
      </w:r>
      <w:proofErr w:type="spellStart"/>
      <w:r w:rsidRPr="005E64F8">
        <w:rPr>
          <w:rFonts w:ascii="Arial" w:hAnsi="Arial" w:cs="Arial"/>
        </w:rPr>
        <w:t>TbHCl-Soluplus</w:t>
      </w:r>
      <w:proofErr w:type="spellEnd"/>
      <w:r w:rsidRPr="005E64F8">
        <w:rPr>
          <w:rFonts w:ascii="Arial" w:hAnsi="Arial" w:cs="Arial"/>
        </w:rPr>
        <w:t>® and TbHCl-PVPVA64® (1:1 w/w) were prepared for comparative analysis against the extrudates.</w:t>
      </w:r>
    </w:p>
    <w:p w14:paraId="601D0156" w14:textId="77777777" w:rsidR="007E0240" w:rsidRDefault="007E0240" w:rsidP="005E64F8">
      <w:pPr>
        <w:pStyle w:val="Body"/>
        <w:spacing w:after="0"/>
        <w:rPr>
          <w:rFonts w:ascii="Arial" w:hAnsi="Arial" w:cs="Arial"/>
        </w:rPr>
      </w:pPr>
    </w:p>
    <w:p w14:paraId="743B12AF" w14:textId="75D91C66" w:rsidR="007E0240" w:rsidRPr="007E0240" w:rsidRDefault="007E0240" w:rsidP="007E0240">
      <w:pPr>
        <w:pStyle w:val="Body"/>
        <w:rPr>
          <w:rFonts w:ascii="Arial" w:hAnsi="Arial" w:cs="Arial"/>
        </w:rPr>
      </w:pPr>
      <w:r>
        <w:rPr>
          <w:rFonts w:ascii="Arial" w:hAnsi="Arial" w:cs="Arial"/>
        </w:rPr>
        <w:t xml:space="preserve">2.2.4 </w:t>
      </w:r>
      <w:r w:rsidRPr="007E0240">
        <w:rPr>
          <w:rFonts w:ascii="Arial" w:hAnsi="Arial" w:cs="Arial"/>
        </w:rPr>
        <w:t>Solid Dispersion Evaluation</w:t>
      </w:r>
    </w:p>
    <w:p w14:paraId="1643C9C9" w14:textId="21A4D22C" w:rsidR="007E0240" w:rsidRPr="007E0240" w:rsidRDefault="007E0240" w:rsidP="007E0240">
      <w:pPr>
        <w:pStyle w:val="Body"/>
        <w:rPr>
          <w:rFonts w:ascii="Arial" w:hAnsi="Arial" w:cs="Arial"/>
        </w:rPr>
      </w:pPr>
      <w:r w:rsidRPr="007E0240">
        <w:rPr>
          <w:rFonts w:ascii="Arial" w:hAnsi="Arial" w:cs="Arial"/>
        </w:rPr>
        <w:t>Differential Scanning Calorimetry (DSC)</w:t>
      </w:r>
      <w:r>
        <w:rPr>
          <w:rFonts w:ascii="Arial" w:hAnsi="Arial" w:cs="Arial"/>
        </w:rPr>
        <w:t xml:space="preserve">: </w:t>
      </w:r>
      <w:r w:rsidRPr="007E0240">
        <w:rPr>
          <w:rFonts w:ascii="Arial" w:hAnsi="Arial" w:cs="Arial"/>
        </w:rPr>
        <w:t xml:space="preserve">Samples (n=3) of the extrudate filaments were ground in a mortar and pestle and sieved through a US #80 mesh. Approximately 15 mg (equivalent to </w:t>
      </w:r>
      <w:proofErr w:type="spellStart"/>
      <w:r w:rsidRPr="007E0240">
        <w:rPr>
          <w:rFonts w:ascii="Arial" w:hAnsi="Arial" w:cs="Arial"/>
        </w:rPr>
        <w:t>TbHCl</w:t>
      </w:r>
      <w:proofErr w:type="spellEnd"/>
      <w:r w:rsidRPr="007E0240">
        <w:rPr>
          <w:rFonts w:ascii="Arial" w:hAnsi="Arial" w:cs="Arial"/>
        </w:rPr>
        <w:t xml:space="preserve"> content) of each sample were accurately weighed and sealed in 40 </w:t>
      </w:r>
      <w:proofErr w:type="spellStart"/>
      <w:r w:rsidRPr="007E0240">
        <w:rPr>
          <w:rFonts w:ascii="Arial" w:hAnsi="Arial" w:cs="Arial"/>
        </w:rPr>
        <w:t>μL</w:t>
      </w:r>
      <w:proofErr w:type="spellEnd"/>
      <w:r w:rsidRPr="007E0240">
        <w:rPr>
          <w:rFonts w:ascii="Arial" w:hAnsi="Arial" w:cs="Arial"/>
        </w:rPr>
        <w:t xml:space="preserve"> aluminum pans. DSC measurements were conducted using a PerkinElmer DSC 7 calorimeter (Waltham, MA) under a heating rate of 10°C/min. Data were analyzed using Pyris software.</w:t>
      </w:r>
    </w:p>
    <w:p w14:paraId="54DC3943" w14:textId="101107FF" w:rsidR="007E0240" w:rsidRPr="007E0240" w:rsidRDefault="007E0240" w:rsidP="007E0240">
      <w:pPr>
        <w:pStyle w:val="Body"/>
        <w:rPr>
          <w:rFonts w:ascii="Arial" w:hAnsi="Arial" w:cs="Arial"/>
        </w:rPr>
      </w:pPr>
      <w:r w:rsidRPr="007E0240">
        <w:rPr>
          <w:rFonts w:ascii="Arial" w:hAnsi="Arial" w:cs="Arial"/>
        </w:rPr>
        <w:t>Powder X-ray Diffraction (PXRD)</w:t>
      </w:r>
      <w:r>
        <w:rPr>
          <w:rFonts w:ascii="Arial" w:hAnsi="Arial" w:cs="Arial"/>
        </w:rPr>
        <w:t xml:space="preserve">: </w:t>
      </w:r>
      <w:r w:rsidRPr="007E0240">
        <w:rPr>
          <w:rFonts w:ascii="Arial" w:hAnsi="Arial" w:cs="Arial"/>
        </w:rPr>
        <w:t xml:space="preserve">X-ray diffraction patterns were obtained using a Rigaku </w:t>
      </w:r>
      <w:proofErr w:type="spellStart"/>
      <w:r w:rsidRPr="007E0240">
        <w:rPr>
          <w:rFonts w:ascii="Arial" w:hAnsi="Arial" w:cs="Arial"/>
        </w:rPr>
        <w:t>SmartLab</w:t>
      </w:r>
      <w:proofErr w:type="spellEnd"/>
      <w:r w:rsidRPr="007E0240">
        <w:rPr>
          <w:rFonts w:ascii="Arial" w:hAnsi="Arial" w:cs="Arial"/>
        </w:rPr>
        <w:t xml:space="preserve"> diffractometer (Tokyo, Japan) with </w:t>
      </w:r>
      <w:proofErr w:type="spellStart"/>
      <w:r w:rsidRPr="007E0240">
        <w:rPr>
          <w:rFonts w:ascii="Arial" w:hAnsi="Arial" w:cs="Arial"/>
        </w:rPr>
        <w:t>CuK</w:t>
      </w:r>
      <w:proofErr w:type="spellEnd"/>
      <w:r w:rsidRPr="007E0240">
        <w:rPr>
          <w:rFonts w:ascii="Arial" w:hAnsi="Arial" w:cs="Arial"/>
        </w:rPr>
        <w:t xml:space="preserve">α radiation at 40 kV and 44 mA. Scans were performed over a 2θ range of 5° to 40°, at a scanning rate of 4°/min and a step size of 0.002°. Individual excipients, physical mixtures, and extrudates from the experimental designs were analyzed. Characteristic peaks of pure </w:t>
      </w:r>
      <w:proofErr w:type="spellStart"/>
      <w:r w:rsidRPr="007E0240">
        <w:rPr>
          <w:rFonts w:ascii="Arial" w:hAnsi="Arial" w:cs="Arial"/>
        </w:rPr>
        <w:t>TbHCl</w:t>
      </w:r>
      <w:proofErr w:type="spellEnd"/>
      <w:r w:rsidRPr="007E0240">
        <w:rPr>
          <w:rFonts w:ascii="Arial" w:hAnsi="Arial" w:cs="Arial"/>
        </w:rPr>
        <w:t xml:space="preserve"> were identified and their intensities were compared with those observed in solid dispersions.</w:t>
      </w:r>
    </w:p>
    <w:p w14:paraId="74C82CBB" w14:textId="19A3D358" w:rsidR="007E0240" w:rsidRPr="00FB3A86" w:rsidRDefault="007E0240" w:rsidP="007E0240">
      <w:pPr>
        <w:pStyle w:val="Body"/>
        <w:rPr>
          <w:rFonts w:ascii="Arial" w:hAnsi="Arial" w:cs="Arial"/>
        </w:rPr>
      </w:pPr>
      <w:r w:rsidRPr="007E0240">
        <w:rPr>
          <w:rFonts w:ascii="Arial" w:hAnsi="Arial" w:cs="Arial"/>
        </w:rPr>
        <w:t>Dissolution Studies</w:t>
      </w:r>
      <w:r>
        <w:rPr>
          <w:rFonts w:ascii="Arial" w:hAnsi="Arial" w:cs="Arial"/>
        </w:rPr>
        <w:t xml:space="preserve">: </w:t>
      </w:r>
      <w:r w:rsidRPr="007E0240">
        <w:rPr>
          <w:rFonts w:ascii="Arial" w:hAnsi="Arial" w:cs="Arial"/>
        </w:rPr>
        <w:t xml:space="preserve">Dissolution testing was performed in triplicate (n=3) using the USP Apparatus I (basket method). Samples equivalent to 15 mg of </w:t>
      </w:r>
      <w:proofErr w:type="spellStart"/>
      <w:r w:rsidRPr="007E0240">
        <w:rPr>
          <w:rFonts w:ascii="Arial" w:hAnsi="Arial" w:cs="Arial"/>
        </w:rPr>
        <w:t>TbHCl</w:t>
      </w:r>
      <w:proofErr w:type="spellEnd"/>
      <w:r w:rsidRPr="007E0240">
        <w:rPr>
          <w:rFonts w:ascii="Arial" w:hAnsi="Arial" w:cs="Arial"/>
        </w:rPr>
        <w:t xml:space="preserve"> were placed in 900 mL of 0.001 N HCl solution, following the method reported by </w:t>
      </w:r>
      <w:proofErr w:type="spellStart"/>
      <w:r w:rsidRPr="007E0240">
        <w:rPr>
          <w:rFonts w:ascii="Arial" w:hAnsi="Arial" w:cs="Arial"/>
        </w:rPr>
        <w:t>Kuminek</w:t>
      </w:r>
      <w:proofErr w:type="spellEnd"/>
      <w:r w:rsidRPr="007E0240">
        <w:rPr>
          <w:rFonts w:ascii="Arial" w:hAnsi="Arial" w:cs="Arial"/>
        </w:rPr>
        <w:t xml:space="preserve"> et al. [7]. Samples (5 mL) were withdrawn at predetermined intervals (5, 10, 15, 20, 30, 40, 50, and 60 minutes) and replaced with fresh dissolution medium to maintain sink conditions. Drug concentration was determined via UV spectrophotometry at 222 nm using quartz cuvettes and quantified against a standard calibration curve. The cumulative percentage dissolved was calculated to determine the dissolution rate (slope of the dissolution profile) and the percentage dissolved at 60 minutes.</w:t>
      </w:r>
    </w:p>
    <w:p w14:paraId="7A12FD59" w14:textId="77777777" w:rsidR="00902823" w:rsidRDefault="00000F8F" w:rsidP="00DC2FC7">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8E259C" w14:textId="77777777" w:rsidR="00790ADA" w:rsidRPr="00FB3A86" w:rsidRDefault="00790ADA" w:rsidP="00441B6F">
      <w:pPr>
        <w:pStyle w:val="Head1"/>
        <w:spacing w:after="0"/>
        <w:jc w:val="both"/>
        <w:rPr>
          <w:rFonts w:ascii="Arial" w:hAnsi="Arial" w:cs="Arial"/>
        </w:rPr>
      </w:pPr>
    </w:p>
    <w:p w14:paraId="23C59BB0" w14:textId="04809F1E" w:rsidR="007E0240" w:rsidRPr="007E0240" w:rsidRDefault="007E0240" w:rsidP="007E0240">
      <w:pPr>
        <w:pStyle w:val="Body"/>
        <w:rPr>
          <w:rFonts w:ascii="Arial" w:hAnsi="Arial" w:cs="Arial"/>
        </w:rPr>
      </w:pPr>
      <w:r>
        <w:rPr>
          <w:rFonts w:ascii="Arial" w:hAnsi="Arial" w:cs="Arial"/>
        </w:rPr>
        <w:t xml:space="preserve">3.1 </w:t>
      </w:r>
      <w:r w:rsidRPr="007E0240">
        <w:rPr>
          <w:rFonts w:ascii="Arial" w:hAnsi="Arial" w:cs="Arial"/>
        </w:rPr>
        <w:t>Calorimetric Studies and XRPD Patterns</w:t>
      </w:r>
    </w:p>
    <w:p w14:paraId="6EF2816E" w14:textId="73176231" w:rsidR="007E0240" w:rsidRDefault="007E0240" w:rsidP="007E0240">
      <w:pPr>
        <w:pStyle w:val="Body"/>
        <w:rPr>
          <w:rFonts w:ascii="Arial" w:hAnsi="Arial" w:cs="Arial"/>
        </w:rPr>
      </w:pPr>
      <w:r w:rsidRPr="007E0240">
        <w:rPr>
          <w:rFonts w:ascii="Arial" w:hAnsi="Arial" w:cs="Arial"/>
        </w:rPr>
        <w:t xml:space="preserve">The results obtained for PVP VA64 and </w:t>
      </w:r>
      <w:proofErr w:type="spellStart"/>
      <w:r w:rsidRPr="007E0240">
        <w:rPr>
          <w:rFonts w:ascii="Arial" w:hAnsi="Arial" w:cs="Arial"/>
        </w:rPr>
        <w:t>Soluplus</w:t>
      </w:r>
      <w:proofErr w:type="spellEnd"/>
      <w:r w:rsidRPr="007E0240">
        <w:rPr>
          <w:rFonts w:ascii="Arial" w:hAnsi="Arial" w:cs="Arial"/>
        </w:rPr>
        <w:t>® are shown in Figure 2</w:t>
      </w:r>
      <w:r w:rsidR="002C5392">
        <w:rPr>
          <w:rFonts w:ascii="Arial" w:hAnsi="Arial" w:cs="Arial"/>
        </w:rPr>
        <w:t xml:space="preserve"> </w:t>
      </w:r>
      <w:proofErr w:type="gramStart"/>
      <w:r w:rsidR="00483BF2" w:rsidRPr="00C53062">
        <w:rPr>
          <w:rFonts w:ascii="Arial" w:hAnsi="Arial" w:cs="Arial"/>
        </w:rPr>
        <w:t>A,B</w:t>
      </w:r>
      <w:proofErr w:type="gramEnd"/>
      <w:r w:rsidRPr="00C53062">
        <w:rPr>
          <w:rFonts w:ascii="Arial" w:hAnsi="Arial" w:cs="Arial"/>
        </w:rPr>
        <w:t>,</w:t>
      </w:r>
      <w:r w:rsidR="00483BF2" w:rsidRPr="00C53062">
        <w:rPr>
          <w:rFonts w:ascii="Arial" w:hAnsi="Arial" w:cs="Arial"/>
        </w:rPr>
        <w:t xml:space="preserve"> and 2</w:t>
      </w:r>
      <w:r w:rsidR="002C5392" w:rsidRPr="00C53062">
        <w:rPr>
          <w:rFonts w:ascii="Arial" w:hAnsi="Arial" w:cs="Arial"/>
        </w:rPr>
        <w:t xml:space="preserve"> </w:t>
      </w:r>
      <w:r w:rsidR="00483BF2" w:rsidRPr="00C53062">
        <w:rPr>
          <w:rFonts w:ascii="Arial" w:hAnsi="Arial" w:cs="Arial"/>
        </w:rPr>
        <w:t>C,D</w:t>
      </w:r>
      <w:r w:rsidRPr="007E0240">
        <w:rPr>
          <w:rFonts w:ascii="Arial" w:hAnsi="Arial" w:cs="Arial"/>
        </w:rPr>
        <w:t xml:space="preserve"> respectively. The pure </w:t>
      </w:r>
      <w:proofErr w:type="spellStart"/>
      <w:r w:rsidRPr="007E0240">
        <w:rPr>
          <w:rFonts w:ascii="Arial" w:hAnsi="Arial" w:cs="Arial"/>
        </w:rPr>
        <w:t>TbHCl</w:t>
      </w:r>
      <w:proofErr w:type="spellEnd"/>
      <w:r w:rsidRPr="007E0240">
        <w:rPr>
          <w:rFonts w:ascii="Arial" w:hAnsi="Arial" w:cs="Arial"/>
        </w:rPr>
        <w:t xml:space="preserve"> sample exhibited a melting endotherm at 213.4°C, consistent with values reported in the literature. The glass transition temperatures (</w:t>
      </w:r>
      <w:proofErr w:type="spellStart"/>
      <w:r w:rsidRPr="007E0240">
        <w:rPr>
          <w:rFonts w:ascii="Arial" w:hAnsi="Arial" w:cs="Arial"/>
        </w:rPr>
        <w:t>Tg</w:t>
      </w:r>
      <w:proofErr w:type="spellEnd"/>
      <w:r w:rsidRPr="007E0240">
        <w:rPr>
          <w:rFonts w:ascii="Arial" w:hAnsi="Arial" w:cs="Arial"/>
        </w:rPr>
        <w:t xml:space="preserve">) of both polymers were experimentally recorded at 90°C for PVP VA64 and 91°C for </w:t>
      </w:r>
      <w:proofErr w:type="spellStart"/>
      <w:r w:rsidRPr="007E0240">
        <w:rPr>
          <w:rFonts w:ascii="Arial" w:hAnsi="Arial" w:cs="Arial"/>
        </w:rPr>
        <w:t>Soluplus</w:t>
      </w:r>
      <w:proofErr w:type="spellEnd"/>
      <w:r w:rsidRPr="007E0240">
        <w:rPr>
          <w:rFonts w:ascii="Arial" w:hAnsi="Arial" w:cs="Arial"/>
        </w:rPr>
        <w:t>®. These values differ slightly from those reported in the literature [1,37], a discrepancy that may be attributed to residual moisture in the test polymer samples. This experimental determination was crucial in selecting the optimal processing temperature for the extrusion process.</w:t>
      </w:r>
    </w:p>
    <w:p w14:paraId="5FE1550D" w14:textId="77777777" w:rsidR="003C0EB4" w:rsidRDefault="003C0EB4" w:rsidP="0068179C">
      <w:pPr>
        <w:pStyle w:val="List2"/>
        <w:spacing w:after="0"/>
        <w:ind w:left="-284" w:firstLine="0"/>
        <w:contextualSpacing w:val="0"/>
        <w:jc w:val="center"/>
        <w:rPr>
          <w:sz w:val="20"/>
          <w:szCs w:val="20"/>
        </w:rPr>
      </w:pPr>
      <w:r w:rsidRPr="007E0240">
        <w:rPr>
          <w:noProof/>
          <w:sz w:val="20"/>
          <w:szCs w:val="20"/>
        </w:rPr>
        <w:lastRenderedPageBreak/>
        <w:drawing>
          <wp:inline distT="0" distB="0" distL="0" distR="0" wp14:anchorId="309C9D4E" wp14:editId="034B8385">
            <wp:extent cx="5612130" cy="4359275"/>
            <wp:effectExtent l="0" t="0" r="7620" b="3175"/>
            <wp:docPr id="160121370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13702" name="Imagen 1" descr="Diagrama&#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5612130" cy="4359275"/>
                    </a:xfrm>
                    <a:prstGeom prst="rect">
                      <a:avLst/>
                    </a:prstGeom>
                  </pic:spPr>
                </pic:pic>
              </a:graphicData>
            </a:graphic>
          </wp:inline>
        </w:drawing>
      </w:r>
    </w:p>
    <w:p w14:paraId="6288AE89" w14:textId="77777777" w:rsidR="003C0EB4" w:rsidRPr="003C0EB4" w:rsidRDefault="003C0EB4" w:rsidP="003C0EB4">
      <w:pPr>
        <w:pStyle w:val="List2"/>
        <w:spacing w:before="240" w:after="0"/>
        <w:ind w:left="0" w:firstLine="0"/>
        <w:contextualSpacing w:val="0"/>
        <w:jc w:val="center"/>
        <w:rPr>
          <w:rFonts w:ascii="Arial" w:eastAsia="Times New Roman" w:hAnsi="Arial" w:cs="Arial"/>
          <w:sz w:val="20"/>
          <w:szCs w:val="20"/>
        </w:rPr>
      </w:pPr>
      <w:r w:rsidRPr="003C0EB4">
        <w:rPr>
          <w:rFonts w:ascii="Arial" w:eastAsia="Times New Roman" w:hAnsi="Arial" w:cs="Arial"/>
          <w:sz w:val="20"/>
          <w:szCs w:val="20"/>
        </w:rPr>
        <w:t>Figure 2 DSC thermograms and XRPD patterns SD (only key results are shown)</w:t>
      </w:r>
    </w:p>
    <w:p w14:paraId="685C58A3" w14:textId="77777777" w:rsidR="007E0240" w:rsidRPr="007E0240" w:rsidRDefault="007E0240" w:rsidP="003C0EB4">
      <w:pPr>
        <w:pStyle w:val="Body"/>
        <w:spacing w:before="240"/>
        <w:rPr>
          <w:rFonts w:ascii="Arial" w:hAnsi="Arial" w:cs="Arial"/>
        </w:rPr>
      </w:pPr>
      <w:r w:rsidRPr="007E0240">
        <w:rPr>
          <w:rFonts w:ascii="Arial" w:hAnsi="Arial" w:cs="Arial"/>
        </w:rPr>
        <w:t xml:space="preserve">The physical mixtures (PM) displayed a reduction in the enthalpy of fusion of </w:t>
      </w:r>
      <w:proofErr w:type="spellStart"/>
      <w:r w:rsidRPr="007E0240">
        <w:rPr>
          <w:rFonts w:ascii="Arial" w:hAnsi="Arial" w:cs="Arial"/>
        </w:rPr>
        <w:t>TbHCl</w:t>
      </w:r>
      <w:proofErr w:type="spellEnd"/>
      <w:r w:rsidRPr="007E0240">
        <w:rPr>
          <w:rFonts w:ascii="Arial" w:hAnsi="Arial" w:cs="Arial"/>
        </w:rPr>
        <w:t xml:space="preserve">, primarily due to the dilution effect from the polymer carriers. In the solid dispersions manufactured with </w:t>
      </w:r>
      <w:proofErr w:type="spellStart"/>
      <w:r w:rsidRPr="007E0240">
        <w:rPr>
          <w:rFonts w:ascii="Arial" w:hAnsi="Arial" w:cs="Arial"/>
        </w:rPr>
        <w:t>Soluplus</w:t>
      </w:r>
      <w:proofErr w:type="spellEnd"/>
      <w:r w:rsidRPr="007E0240">
        <w:rPr>
          <w:rFonts w:ascii="Arial" w:hAnsi="Arial" w:cs="Arial"/>
        </w:rPr>
        <w:t xml:space="preserve">® (Figure 2C), the characteristic melting peak of </w:t>
      </w:r>
      <w:proofErr w:type="spellStart"/>
      <w:r w:rsidRPr="007E0240">
        <w:rPr>
          <w:rFonts w:ascii="Arial" w:hAnsi="Arial" w:cs="Arial"/>
        </w:rPr>
        <w:t>TbHCl</w:t>
      </w:r>
      <w:proofErr w:type="spellEnd"/>
      <w:r w:rsidRPr="007E0240">
        <w:rPr>
          <w:rFonts w:ascii="Arial" w:hAnsi="Arial" w:cs="Arial"/>
        </w:rPr>
        <w:t xml:space="preserve"> was absent, suggesting that the drug was either molecularly dispersed or solubilized within the molten polymer matrix. In contrast, for PVP VA64, a significant reduction in the melting point was observed; however, even after the extrusion process, a residual melting peak was detected near 193°C, representing a shift of approximately 20°C (Figure 2A).</w:t>
      </w:r>
    </w:p>
    <w:p w14:paraId="39C152D6" w14:textId="77777777" w:rsidR="007E0240" w:rsidRDefault="007E0240" w:rsidP="007E0240">
      <w:pPr>
        <w:pStyle w:val="Body"/>
        <w:rPr>
          <w:rFonts w:ascii="Arial" w:hAnsi="Arial" w:cs="Arial"/>
        </w:rPr>
      </w:pPr>
      <w:r w:rsidRPr="007E0240">
        <w:rPr>
          <w:rFonts w:ascii="Arial" w:hAnsi="Arial" w:cs="Arial"/>
        </w:rPr>
        <w:t xml:space="preserve">In the X-ray diffraction (XRD) results for both polymers, the characteristic peaks of </w:t>
      </w:r>
      <w:proofErr w:type="spellStart"/>
      <w:r w:rsidRPr="007E0240">
        <w:rPr>
          <w:rFonts w:ascii="Arial" w:hAnsi="Arial" w:cs="Arial"/>
        </w:rPr>
        <w:t>TbHCl</w:t>
      </w:r>
      <w:proofErr w:type="spellEnd"/>
      <w:r w:rsidRPr="007E0240">
        <w:rPr>
          <w:rFonts w:ascii="Arial" w:hAnsi="Arial" w:cs="Arial"/>
        </w:rPr>
        <w:t xml:space="preserve"> remained present in the solid dispersions (SDs), suggesting that microcrystalline solid dispersions were obtained (Figure 2B y 2D).</w:t>
      </w:r>
    </w:p>
    <w:p w14:paraId="4893AB9E" w14:textId="3B617CBA" w:rsidR="007E0240" w:rsidRPr="007E0240" w:rsidRDefault="007E0240" w:rsidP="007E0240">
      <w:pPr>
        <w:pStyle w:val="Body"/>
        <w:rPr>
          <w:rFonts w:ascii="Arial" w:hAnsi="Arial" w:cs="Arial"/>
        </w:rPr>
      </w:pPr>
      <w:r w:rsidRPr="007E0240">
        <w:rPr>
          <w:rFonts w:ascii="Arial" w:hAnsi="Arial" w:cs="Arial"/>
        </w:rPr>
        <w:t xml:space="preserve">Preliminary dissolution studies of physical mixtures of </w:t>
      </w:r>
      <w:proofErr w:type="spellStart"/>
      <w:r w:rsidRPr="007E0240">
        <w:rPr>
          <w:rFonts w:ascii="Arial" w:hAnsi="Arial" w:cs="Arial"/>
        </w:rPr>
        <w:t>TbHCl</w:t>
      </w:r>
      <w:proofErr w:type="spellEnd"/>
      <w:r w:rsidRPr="007E0240">
        <w:rPr>
          <w:rFonts w:ascii="Arial" w:hAnsi="Arial" w:cs="Arial"/>
        </w:rPr>
        <w:t xml:space="preserve"> and solubilizing polymers at a 1:1 ratio (w/w) demonstrated that both polymers enhanced the dissolution rate compared to the pure drug. Moreover, calorimetric studies indicated drug–polymer interactions, evidenced by a reduction and shift in the drug’s melting point within the physical mixtures</w:t>
      </w:r>
      <w:r w:rsidR="00C53062">
        <w:rPr>
          <w:rFonts w:ascii="Arial" w:hAnsi="Arial" w:cs="Arial"/>
        </w:rPr>
        <w:t xml:space="preserve"> </w:t>
      </w:r>
      <w:r w:rsidRPr="007E0240">
        <w:rPr>
          <w:rFonts w:ascii="Arial" w:hAnsi="Arial" w:cs="Arial"/>
        </w:rPr>
        <w:t>[38].</w:t>
      </w:r>
    </w:p>
    <w:p w14:paraId="642B9800" w14:textId="77777777" w:rsidR="007E0240" w:rsidRDefault="007E0240" w:rsidP="007E0240">
      <w:pPr>
        <w:pStyle w:val="Body"/>
        <w:rPr>
          <w:rFonts w:ascii="Arial" w:hAnsi="Arial" w:cs="Arial"/>
        </w:rPr>
      </w:pPr>
      <w:r w:rsidRPr="007E0240">
        <w:rPr>
          <w:rFonts w:ascii="Arial" w:hAnsi="Arial" w:cs="Arial"/>
        </w:rPr>
        <w:t xml:space="preserve">Additionally, both PVP VA64 and </w:t>
      </w:r>
      <w:proofErr w:type="spellStart"/>
      <w:r w:rsidRPr="007E0240">
        <w:rPr>
          <w:rFonts w:ascii="Arial" w:hAnsi="Arial" w:cs="Arial"/>
        </w:rPr>
        <w:t>Soluplus</w:t>
      </w:r>
      <w:proofErr w:type="spellEnd"/>
      <w:r w:rsidRPr="007E0240">
        <w:rPr>
          <w:rFonts w:ascii="Arial" w:hAnsi="Arial" w:cs="Arial"/>
        </w:rPr>
        <w:t xml:space="preserve"> exhibit properties favorable for hot-melt extrusion, including a glass transition temperature (</w:t>
      </w:r>
      <w:proofErr w:type="spellStart"/>
      <w:r w:rsidRPr="007E0240">
        <w:rPr>
          <w:rFonts w:ascii="Arial" w:hAnsi="Arial" w:cs="Arial"/>
        </w:rPr>
        <w:t>Tg</w:t>
      </w:r>
      <w:proofErr w:type="spellEnd"/>
      <w:r w:rsidRPr="007E0240">
        <w:rPr>
          <w:rFonts w:ascii="Arial" w:hAnsi="Arial" w:cs="Arial"/>
        </w:rPr>
        <w:t xml:space="preserve">) lower than the processing temperature and sufficient thermal stability. Furthermore, </w:t>
      </w:r>
      <w:proofErr w:type="spellStart"/>
      <w:r w:rsidRPr="007E0240">
        <w:rPr>
          <w:rFonts w:ascii="Arial" w:hAnsi="Arial" w:cs="Arial"/>
        </w:rPr>
        <w:t>Soluplus</w:t>
      </w:r>
      <w:proofErr w:type="spellEnd"/>
      <w:r w:rsidRPr="007E0240">
        <w:rPr>
          <w:rFonts w:ascii="Arial" w:hAnsi="Arial" w:cs="Arial"/>
        </w:rPr>
        <w:t xml:space="preserve"> offers dual solubilization mechanisms, </w:t>
      </w:r>
      <w:r w:rsidRPr="007E0240">
        <w:rPr>
          <w:rFonts w:ascii="Arial" w:hAnsi="Arial" w:cs="Arial"/>
        </w:rPr>
        <w:lastRenderedPageBreak/>
        <w:t>enhancing its potential as a carrier. Results of the experimental designs (screening and central composite with star points) are presented in Table 4.</w:t>
      </w:r>
    </w:p>
    <w:p w14:paraId="37E45537" w14:textId="77777777" w:rsidR="003C0EB4" w:rsidRPr="009C3C4B" w:rsidRDefault="003C0EB4" w:rsidP="003C0EB4">
      <w:pPr>
        <w:spacing w:line="360" w:lineRule="auto"/>
        <w:jc w:val="center"/>
      </w:pPr>
      <w:r w:rsidRPr="002D096F">
        <w:t xml:space="preserve">Table </w:t>
      </w:r>
      <w:r>
        <w:t>4</w:t>
      </w:r>
      <w:r w:rsidRPr="002D096F">
        <w:t xml:space="preserve">. Results from </w:t>
      </w:r>
      <w:r>
        <w:t>DoE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306"/>
        <w:gridCol w:w="1418"/>
        <w:gridCol w:w="1230"/>
        <w:gridCol w:w="1140"/>
        <w:gridCol w:w="1217"/>
        <w:gridCol w:w="960"/>
        <w:gridCol w:w="937"/>
      </w:tblGrid>
      <w:tr w:rsidR="003C0EB4" w:rsidRPr="0042725B" w14:paraId="71EB919B" w14:textId="77777777" w:rsidTr="003C0EB4">
        <w:trPr>
          <w:jc w:val="center"/>
        </w:trPr>
        <w:tc>
          <w:tcPr>
            <w:tcW w:w="8424" w:type="dxa"/>
            <w:gridSpan w:val="7"/>
            <w:shd w:val="clear" w:color="auto" w:fill="D9D9D9" w:themeFill="background1" w:themeFillShade="D9"/>
          </w:tcPr>
          <w:p w14:paraId="4DA5EFC1" w14:textId="77777777" w:rsidR="003C0EB4" w:rsidRPr="002E7A6B" w:rsidRDefault="003C0EB4" w:rsidP="00587681">
            <w:pPr>
              <w:jc w:val="center"/>
              <w:rPr>
                <w:b/>
                <w:bCs/>
                <w:sz w:val="20"/>
                <w:szCs w:val="20"/>
              </w:rPr>
            </w:pPr>
            <w:r>
              <w:rPr>
                <w:b/>
                <w:bCs/>
                <w:sz w:val="20"/>
                <w:szCs w:val="20"/>
              </w:rPr>
              <w:t>Screening design</w:t>
            </w:r>
          </w:p>
        </w:tc>
      </w:tr>
      <w:tr w:rsidR="003C0EB4" w:rsidRPr="0042725B" w14:paraId="7006A589" w14:textId="77777777" w:rsidTr="003C0EB4">
        <w:trPr>
          <w:jc w:val="center"/>
        </w:trPr>
        <w:tc>
          <w:tcPr>
            <w:tcW w:w="1306" w:type="dxa"/>
            <w:vAlign w:val="center"/>
          </w:tcPr>
          <w:p w14:paraId="753DE6FC" w14:textId="77777777" w:rsidR="003C0EB4" w:rsidRPr="002E7A6B" w:rsidRDefault="003C0EB4" w:rsidP="00587681">
            <w:pPr>
              <w:jc w:val="center"/>
              <w:rPr>
                <w:b/>
                <w:bCs/>
                <w:sz w:val="20"/>
                <w:szCs w:val="20"/>
              </w:rPr>
            </w:pPr>
            <w:r w:rsidRPr="002E7A6B">
              <w:rPr>
                <w:b/>
                <w:bCs/>
                <w:sz w:val="20"/>
                <w:szCs w:val="20"/>
              </w:rPr>
              <w:t xml:space="preserve">Experiment </w:t>
            </w:r>
          </w:p>
        </w:tc>
        <w:tc>
          <w:tcPr>
            <w:tcW w:w="1496" w:type="dxa"/>
            <w:vAlign w:val="center"/>
          </w:tcPr>
          <w:p w14:paraId="62D33F2A" w14:textId="77777777" w:rsidR="003C0EB4" w:rsidRPr="002E7A6B" w:rsidRDefault="003C0EB4" w:rsidP="00587681">
            <w:pPr>
              <w:jc w:val="center"/>
              <w:rPr>
                <w:b/>
                <w:bCs/>
                <w:sz w:val="20"/>
                <w:szCs w:val="20"/>
              </w:rPr>
            </w:pPr>
            <w:r w:rsidRPr="002E7A6B">
              <w:rPr>
                <w:b/>
                <w:bCs/>
                <w:sz w:val="20"/>
                <w:szCs w:val="20"/>
              </w:rPr>
              <w:t>Polymer</w:t>
            </w:r>
          </w:p>
        </w:tc>
        <w:tc>
          <w:tcPr>
            <w:tcW w:w="1275" w:type="dxa"/>
            <w:vAlign w:val="center"/>
          </w:tcPr>
          <w:p w14:paraId="5D2B2491" w14:textId="77777777" w:rsidR="003C0EB4" w:rsidRPr="002E7A6B" w:rsidRDefault="003C0EB4" w:rsidP="00587681">
            <w:pPr>
              <w:jc w:val="center"/>
              <w:rPr>
                <w:b/>
                <w:bCs/>
                <w:sz w:val="20"/>
                <w:szCs w:val="20"/>
              </w:rPr>
            </w:pPr>
            <w:r w:rsidRPr="002E7A6B">
              <w:rPr>
                <w:b/>
                <w:bCs/>
                <w:sz w:val="20"/>
                <w:szCs w:val="20"/>
              </w:rPr>
              <w:t>% polymer</w:t>
            </w:r>
          </w:p>
          <w:p w14:paraId="5B26C79C" w14:textId="77777777" w:rsidR="003C0EB4" w:rsidRPr="002E7A6B" w:rsidRDefault="003C0EB4" w:rsidP="00587681">
            <w:pPr>
              <w:jc w:val="center"/>
              <w:rPr>
                <w:b/>
                <w:bCs/>
                <w:sz w:val="20"/>
                <w:szCs w:val="20"/>
              </w:rPr>
            </w:pPr>
            <w:r w:rsidRPr="002E7A6B">
              <w:rPr>
                <w:b/>
                <w:bCs/>
                <w:sz w:val="20"/>
                <w:szCs w:val="20"/>
              </w:rPr>
              <w:t>(%W/W)</w:t>
            </w:r>
          </w:p>
        </w:tc>
        <w:tc>
          <w:tcPr>
            <w:tcW w:w="1204" w:type="dxa"/>
            <w:vAlign w:val="center"/>
          </w:tcPr>
          <w:p w14:paraId="79C48BF4" w14:textId="77777777" w:rsidR="003C0EB4" w:rsidRPr="002E7A6B" w:rsidRDefault="003C0EB4" w:rsidP="00587681">
            <w:pPr>
              <w:jc w:val="center"/>
              <w:rPr>
                <w:b/>
                <w:bCs/>
                <w:sz w:val="20"/>
                <w:szCs w:val="20"/>
              </w:rPr>
            </w:pPr>
            <w:r w:rsidRPr="002E7A6B">
              <w:rPr>
                <w:b/>
                <w:bCs/>
                <w:sz w:val="20"/>
                <w:szCs w:val="20"/>
              </w:rPr>
              <w:t xml:space="preserve">Screw speed (SS) </w:t>
            </w:r>
          </w:p>
          <w:p w14:paraId="0439F925" w14:textId="77777777" w:rsidR="003C0EB4" w:rsidRPr="002E7A6B" w:rsidRDefault="003C0EB4" w:rsidP="00587681">
            <w:pPr>
              <w:jc w:val="center"/>
              <w:rPr>
                <w:b/>
                <w:bCs/>
                <w:sz w:val="20"/>
                <w:szCs w:val="20"/>
              </w:rPr>
            </w:pPr>
            <w:r w:rsidRPr="002E7A6B">
              <w:rPr>
                <w:b/>
                <w:bCs/>
                <w:sz w:val="20"/>
                <w:szCs w:val="20"/>
              </w:rPr>
              <w:t>(rpm)</w:t>
            </w:r>
          </w:p>
        </w:tc>
        <w:tc>
          <w:tcPr>
            <w:tcW w:w="1217" w:type="dxa"/>
            <w:vAlign w:val="center"/>
          </w:tcPr>
          <w:p w14:paraId="3F17AA54" w14:textId="77777777" w:rsidR="003C0EB4" w:rsidRPr="002E7A6B" w:rsidRDefault="003C0EB4" w:rsidP="00587681">
            <w:pPr>
              <w:jc w:val="center"/>
              <w:rPr>
                <w:b/>
                <w:bCs/>
                <w:sz w:val="20"/>
                <w:szCs w:val="20"/>
              </w:rPr>
            </w:pPr>
            <w:r w:rsidRPr="002E7A6B">
              <w:rPr>
                <w:b/>
                <w:bCs/>
                <w:sz w:val="20"/>
                <w:szCs w:val="20"/>
              </w:rPr>
              <w:t xml:space="preserve">Residence time (RT) </w:t>
            </w:r>
          </w:p>
          <w:p w14:paraId="09EE209A" w14:textId="77777777" w:rsidR="003C0EB4" w:rsidRPr="002E7A6B" w:rsidRDefault="003C0EB4" w:rsidP="00587681">
            <w:pPr>
              <w:jc w:val="center"/>
              <w:rPr>
                <w:b/>
                <w:bCs/>
                <w:sz w:val="20"/>
                <w:szCs w:val="20"/>
              </w:rPr>
            </w:pPr>
            <w:r w:rsidRPr="002E7A6B">
              <w:rPr>
                <w:b/>
                <w:bCs/>
                <w:sz w:val="20"/>
                <w:szCs w:val="20"/>
              </w:rPr>
              <w:t>(min)</w:t>
            </w:r>
          </w:p>
          <w:p w14:paraId="0F655D62" w14:textId="77777777" w:rsidR="003C0EB4" w:rsidRPr="002E7A6B" w:rsidRDefault="003C0EB4" w:rsidP="00587681">
            <w:pPr>
              <w:jc w:val="center"/>
              <w:rPr>
                <w:b/>
                <w:bCs/>
                <w:sz w:val="20"/>
                <w:szCs w:val="20"/>
              </w:rPr>
            </w:pPr>
          </w:p>
        </w:tc>
        <w:tc>
          <w:tcPr>
            <w:tcW w:w="983" w:type="dxa"/>
            <w:vAlign w:val="center"/>
          </w:tcPr>
          <w:p w14:paraId="3EBC3D3C" w14:textId="77777777" w:rsidR="003C0EB4" w:rsidRPr="005628F0" w:rsidRDefault="003C0EB4" w:rsidP="00587681">
            <w:pPr>
              <w:jc w:val="center"/>
              <w:rPr>
                <w:b/>
                <w:bCs/>
                <w:sz w:val="20"/>
                <w:szCs w:val="20"/>
              </w:rPr>
            </w:pPr>
            <w:r w:rsidRPr="005628F0">
              <w:rPr>
                <w:b/>
                <w:bCs/>
                <w:sz w:val="20"/>
                <w:szCs w:val="20"/>
              </w:rPr>
              <w:t>Profile slope</w:t>
            </w:r>
          </w:p>
        </w:tc>
        <w:tc>
          <w:tcPr>
            <w:tcW w:w="943" w:type="dxa"/>
            <w:vAlign w:val="center"/>
          </w:tcPr>
          <w:p w14:paraId="56860F52" w14:textId="77777777" w:rsidR="003C0EB4" w:rsidRPr="005628F0" w:rsidRDefault="003C0EB4" w:rsidP="00587681">
            <w:pPr>
              <w:jc w:val="center"/>
              <w:rPr>
                <w:b/>
                <w:bCs/>
                <w:sz w:val="20"/>
                <w:szCs w:val="20"/>
              </w:rPr>
            </w:pPr>
            <w:r w:rsidRPr="005628F0">
              <w:rPr>
                <w:b/>
                <w:bCs/>
                <w:sz w:val="20"/>
                <w:szCs w:val="20"/>
              </w:rPr>
              <w:t>% release 60 min</w:t>
            </w:r>
          </w:p>
        </w:tc>
      </w:tr>
      <w:tr w:rsidR="003C0EB4" w:rsidRPr="0042725B" w14:paraId="3CDDC98C" w14:textId="77777777" w:rsidTr="003C0EB4">
        <w:trPr>
          <w:jc w:val="center"/>
        </w:trPr>
        <w:tc>
          <w:tcPr>
            <w:tcW w:w="1306" w:type="dxa"/>
          </w:tcPr>
          <w:p w14:paraId="4A09766D" w14:textId="77777777" w:rsidR="003C0EB4" w:rsidRPr="002E7A6B" w:rsidRDefault="003C0EB4" w:rsidP="00587681">
            <w:pPr>
              <w:jc w:val="center"/>
              <w:rPr>
                <w:sz w:val="20"/>
                <w:szCs w:val="20"/>
              </w:rPr>
            </w:pPr>
            <w:r w:rsidRPr="002E7A6B">
              <w:rPr>
                <w:sz w:val="20"/>
                <w:szCs w:val="20"/>
              </w:rPr>
              <w:t>1</w:t>
            </w:r>
          </w:p>
        </w:tc>
        <w:tc>
          <w:tcPr>
            <w:tcW w:w="1496" w:type="dxa"/>
          </w:tcPr>
          <w:p w14:paraId="6810FE99" w14:textId="77777777" w:rsidR="003C0EB4" w:rsidRPr="002E7A6B" w:rsidRDefault="003C0EB4" w:rsidP="00587681">
            <w:pPr>
              <w:jc w:val="center"/>
              <w:rPr>
                <w:sz w:val="20"/>
                <w:szCs w:val="20"/>
              </w:rPr>
            </w:pPr>
            <w:r w:rsidRPr="002E7A6B">
              <w:rPr>
                <w:sz w:val="20"/>
                <w:szCs w:val="20"/>
              </w:rPr>
              <w:t>PVP VA 64</w:t>
            </w:r>
          </w:p>
        </w:tc>
        <w:tc>
          <w:tcPr>
            <w:tcW w:w="1275" w:type="dxa"/>
          </w:tcPr>
          <w:p w14:paraId="6F042CF7" w14:textId="77777777" w:rsidR="003C0EB4" w:rsidRPr="002E7A6B" w:rsidRDefault="003C0EB4" w:rsidP="00587681">
            <w:pPr>
              <w:jc w:val="center"/>
              <w:rPr>
                <w:sz w:val="20"/>
                <w:szCs w:val="20"/>
              </w:rPr>
            </w:pPr>
            <w:r w:rsidRPr="002E7A6B">
              <w:rPr>
                <w:sz w:val="20"/>
                <w:szCs w:val="20"/>
              </w:rPr>
              <w:t>20</w:t>
            </w:r>
          </w:p>
        </w:tc>
        <w:tc>
          <w:tcPr>
            <w:tcW w:w="1204" w:type="dxa"/>
          </w:tcPr>
          <w:p w14:paraId="0E3DE377" w14:textId="77777777" w:rsidR="003C0EB4" w:rsidRPr="002E7A6B" w:rsidRDefault="003C0EB4" w:rsidP="00587681">
            <w:pPr>
              <w:jc w:val="center"/>
              <w:rPr>
                <w:sz w:val="20"/>
                <w:szCs w:val="20"/>
              </w:rPr>
            </w:pPr>
            <w:r w:rsidRPr="002E7A6B">
              <w:rPr>
                <w:sz w:val="20"/>
                <w:szCs w:val="20"/>
              </w:rPr>
              <w:t>25</w:t>
            </w:r>
          </w:p>
        </w:tc>
        <w:tc>
          <w:tcPr>
            <w:tcW w:w="1217" w:type="dxa"/>
          </w:tcPr>
          <w:p w14:paraId="774BF6B6" w14:textId="77777777" w:rsidR="003C0EB4" w:rsidRPr="002E7A6B" w:rsidRDefault="003C0EB4" w:rsidP="00587681">
            <w:pPr>
              <w:jc w:val="center"/>
              <w:rPr>
                <w:sz w:val="20"/>
                <w:szCs w:val="20"/>
              </w:rPr>
            </w:pPr>
            <w:r w:rsidRPr="002E7A6B">
              <w:rPr>
                <w:sz w:val="20"/>
                <w:szCs w:val="20"/>
              </w:rPr>
              <w:t>20</w:t>
            </w:r>
          </w:p>
        </w:tc>
        <w:tc>
          <w:tcPr>
            <w:tcW w:w="983" w:type="dxa"/>
          </w:tcPr>
          <w:p w14:paraId="3844A3F2" w14:textId="77777777" w:rsidR="003C0EB4" w:rsidRPr="002E7A6B" w:rsidRDefault="003C0EB4" w:rsidP="00587681">
            <w:pPr>
              <w:jc w:val="center"/>
              <w:rPr>
                <w:sz w:val="20"/>
                <w:szCs w:val="20"/>
              </w:rPr>
            </w:pPr>
            <w:r w:rsidRPr="009A409D">
              <w:rPr>
                <w:sz w:val="20"/>
                <w:szCs w:val="20"/>
              </w:rPr>
              <w:t>0.2456</w:t>
            </w:r>
          </w:p>
        </w:tc>
        <w:tc>
          <w:tcPr>
            <w:tcW w:w="943" w:type="dxa"/>
            <w:vAlign w:val="center"/>
          </w:tcPr>
          <w:p w14:paraId="3C525042" w14:textId="77777777" w:rsidR="003C0EB4" w:rsidRPr="002E7A6B" w:rsidRDefault="003C0EB4" w:rsidP="00587681">
            <w:pPr>
              <w:jc w:val="center"/>
              <w:rPr>
                <w:sz w:val="20"/>
                <w:szCs w:val="20"/>
              </w:rPr>
            </w:pPr>
            <w:r w:rsidRPr="00DB5778">
              <w:rPr>
                <w:sz w:val="20"/>
                <w:szCs w:val="20"/>
              </w:rPr>
              <w:t>13.67</w:t>
            </w:r>
          </w:p>
        </w:tc>
      </w:tr>
      <w:tr w:rsidR="003C0EB4" w:rsidRPr="0042725B" w14:paraId="103D3632" w14:textId="77777777" w:rsidTr="003C0EB4">
        <w:trPr>
          <w:jc w:val="center"/>
        </w:trPr>
        <w:tc>
          <w:tcPr>
            <w:tcW w:w="1306" w:type="dxa"/>
          </w:tcPr>
          <w:p w14:paraId="2389C3F9" w14:textId="77777777" w:rsidR="003C0EB4" w:rsidRPr="002E7A6B" w:rsidRDefault="003C0EB4" w:rsidP="00587681">
            <w:pPr>
              <w:jc w:val="center"/>
              <w:rPr>
                <w:sz w:val="20"/>
                <w:szCs w:val="20"/>
              </w:rPr>
            </w:pPr>
            <w:r w:rsidRPr="002E7A6B">
              <w:rPr>
                <w:sz w:val="20"/>
                <w:szCs w:val="20"/>
              </w:rPr>
              <w:t>2</w:t>
            </w:r>
          </w:p>
        </w:tc>
        <w:tc>
          <w:tcPr>
            <w:tcW w:w="1496" w:type="dxa"/>
          </w:tcPr>
          <w:p w14:paraId="772FDF33" w14:textId="77777777" w:rsidR="003C0EB4" w:rsidRPr="002E7A6B" w:rsidRDefault="003C0EB4" w:rsidP="00587681">
            <w:pPr>
              <w:jc w:val="center"/>
              <w:rPr>
                <w:sz w:val="20"/>
                <w:szCs w:val="20"/>
              </w:rPr>
            </w:pPr>
            <w:proofErr w:type="spellStart"/>
            <w:r w:rsidRPr="002E7A6B">
              <w:rPr>
                <w:sz w:val="20"/>
                <w:szCs w:val="20"/>
              </w:rPr>
              <w:t>Soluplus</w:t>
            </w:r>
            <w:proofErr w:type="spellEnd"/>
          </w:p>
        </w:tc>
        <w:tc>
          <w:tcPr>
            <w:tcW w:w="1275" w:type="dxa"/>
          </w:tcPr>
          <w:p w14:paraId="0292AD21" w14:textId="77777777" w:rsidR="003C0EB4" w:rsidRPr="002E7A6B" w:rsidRDefault="003C0EB4" w:rsidP="00587681">
            <w:pPr>
              <w:jc w:val="center"/>
              <w:rPr>
                <w:sz w:val="20"/>
                <w:szCs w:val="20"/>
              </w:rPr>
            </w:pPr>
            <w:r w:rsidRPr="002E7A6B">
              <w:rPr>
                <w:sz w:val="20"/>
                <w:szCs w:val="20"/>
              </w:rPr>
              <w:t>20</w:t>
            </w:r>
          </w:p>
        </w:tc>
        <w:tc>
          <w:tcPr>
            <w:tcW w:w="1204" w:type="dxa"/>
          </w:tcPr>
          <w:p w14:paraId="5008795E" w14:textId="77777777" w:rsidR="003C0EB4" w:rsidRPr="002E7A6B" w:rsidRDefault="003C0EB4" w:rsidP="00587681">
            <w:pPr>
              <w:jc w:val="center"/>
              <w:rPr>
                <w:sz w:val="20"/>
                <w:szCs w:val="20"/>
              </w:rPr>
            </w:pPr>
            <w:r w:rsidRPr="002E7A6B">
              <w:rPr>
                <w:sz w:val="20"/>
                <w:szCs w:val="20"/>
              </w:rPr>
              <w:t>25</w:t>
            </w:r>
          </w:p>
        </w:tc>
        <w:tc>
          <w:tcPr>
            <w:tcW w:w="1217" w:type="dxa"/>
          </w:tcPr>
          <w:p w14:paraId="7024F5B2" w14:textId="77777777" w:rsidR="003C0EB4" w:rsidRPr="002E7A6B" w:rsidRDefault="003C0EB4" w:rsidP="00587681">
            <w:pPr>
              <w:jc w:val="center"/>
              <w:rPr>
                <w:sz w:val="20"/>
                <w:szCs w:val="20"/>
              </w:rPr>
            </w:pPr>
            <w:r w:rsidRPr="002E7A6B">
              <w:rPr>
                <w:sz w:val="20"/>
                <w:szCs w:val="20"/>
              </w:rPr>
              <w:t>5</w:t>
            </w:r>
          </w:p>
        </w:tc>
        <w:tc>
          <w:tcPr>
            <w:tcW w:w="983" w:type="dxa"/>
          </w:tcPr>
          <w:p w14:paraId="54F2A9BF" w14:textId="77777777" w:rsidR="003C0EB4" w:rsidRPr="002E7A6B" w:rsidRDefault="003C0EB4" w:rsidP="00587681">
            <w:pPr>
              <w:jc w:val="center"/>
              <w:rPr>
                <w:sz w:val="20"/>
                <w:szCs w:val="20"/>
              </w:rPr>
            </w:pPr>
            <w:r w:rsidRPr="009A409D">
              <w:rPr>
                <w:sz w:val="20"/>
                <w:szCs w:val="20"/>
              </w:rPr>
              <w:t>0.2946</w:t>
            </w:r>
          </w:p>
        </w:tc>
        <w:tc>
          <w:tcPr>
            <w:tcW w:w="943" w:type="dxa"/>
            <w:vAlign w:val="center"/>
          </w:tcPr>
          <w:p w14:paraId="7C66D66E" w14:textId="77777777" w:rsidR="003C0EB4" w:rsidRPr="002E7A6B" w:rsidRDefault="003C0EB4" w:rsidP="00587681">
            <w:pPr>
              <w:jc w:val="center"/>
              <w:rPr>
                <w:sz w:val="20"/>
                <w:szCs w:val="20"/>
              </w:rPr>
            </w:pPr>
            <w:r w:rsidRPr="00DB5778">
              <w:rPr>
                <w:sz w:val="20"/>
                <w:szCs w:val="20"/>
              </w:rPr>
              <w:t>16.18</w:t>
            </w:r>
          </w:p>
        </w:tc>
      </w:tr>
      <w:tr w:rsidR="003C0EB4" w:rsidRPr="0042725B" w14:paraId="1563F94B" w14:textId="77777777" w:rsidTr="003C0EB4">
        <w:trPr>
          <w:jc w:val="center"/>
        </w:trPr>
        <w:tc>
          <w:tcPr>
            <w:tcW w:w="1306" w:type="dxa"/>
          </w:tcPr>
          <w:p w14:paraId="1754D5F0" w14:textId="77777777" w:rsidR="003C0EB4" w:rsidRPr="002E7A6B" w:rsidRDefault="003C0EB4" w:rsidP="00587681">
            <w:pPr>
              <w:jc w:val="center"/>
              <w:rPr>
                <w:sz w:val="20"/>
                <w:szCs w:val="20"/>
              </w:rPr>
            </w:pPr>
            <w:r w:rsidRPr="002E7A6B">
              <w:rPr>
                <w:sz w:val="20"/>
                <w:szCs w:val="20"/>
              </w:rPr>
              <w:t>3</w:t>
            </w:r>
          </w:p>
        </w:tc>
        <w:tc>
          <w:tcPr>
            <w:tcW w:w="1496" w:type="dxa"/>
          </w:tcPr>
          <w:p w14:paraId="2CA00D63" w14:textId="77777777" w:rsidR="003C0EB4" w:rsidRPr="002E7A6B" w:rsidRDefault="003C0EB4" w:rsidP="00587681">
            <w:pPr>
              <w:jc w:val="center"/>
              <w:rPr>
                <w:sz w:val="20"/>
                <w:szCs w:val="20"/>
              </w:rPr>
            </w:pPr>
            <w:proofErr w:type="spellStart"/>
            <w:r w:rsidRPr="002E7A6B">
              <w:rPr>
                <w:sz w:val="20"/>
                <w:szCs w:val="20"/>
              </w:rPr>
              <w:t>Soluplus</w:t>
            </w:r>
            <w:proofErr w:type="spellEnd"/>
          </w:p>
        </w:tc>
        <w:tc>
          <w:tcPr>
            <w:tcW w:w="1275" w:type="dxa"/>
          </w:tcPr>
          <w:p w14:paraId="132E6775" w14:textId="77777777" w:rsidR="003C0EB4" w:rsidRPr="002E7A6B" w:rsidRDefault="003C0EB4" w:rsidP="00587681">
            <w:pPr>
              <w:jc w:val="center"/>
              <w:rPr>
                <w:sz w:val="20"/>
                <w:szCs w:val="20"/>
              </w:rPr>
            </w:pPr>
            <w:r w:rsidRPr="002E7A6B">
              <w:rPr>
                <w:sz w:val="20"/>
                <w:szCs w:val="20"/>
              </w:rPr>
              <w:t>45</w:t>
            </w:r>
          </w:p>
        </w:tc>
        <w:tc>
          <w:tcPr>
            <w:tcW w:w="1204" w:type="dxa"/>
          </w:tcPr>
          <w:p w14:paraId="7643BAD5" w14:textId="77777777" w:rsidR="003C0EB4" w:rsidRPr="002E7A6B" w:rsidRDefault="003C0EB4" w:rsidP="00587681">
            <w:pPr>
              <w:jc w:val="center"/>
              <w:rPr>
                <w:sz w:val="20"/>
                <w:szCs w:val="20"/>
              </w:rPr>
            </w:pPr>
            <w:r w:rsidRPr="002E7A6B">
              <w:rPr>
                <w:sz w:val="20"/>
                <w:szCs w:val="20"/>
              </w:rPr>
              <w:t>100</w:t>
            </w:r>
          </w:p>
        </w:tc>
        <w:tc>
          <w:tcPr>
            <w:tcW w:w="1217" w:type="dxa"/>
          </w:tcPr>
          <w:p w14:paraId="1F637A96" w14:textId="77777777" w:rsidR="003C0EB4" w:rsidRPr="002E7A6B" w:rsidRDefault="003C0EB4" w:rsidP="00587681">
            <w:pPr>
              <w:jc w:val="center"/>
              <w:rPr>
                <w:sz w:val="20"/>
                <w:szCs w:val="20"/>
              </w:rPr>
            </w:pPr>
            <w:r w:rsidRPr="002E7A6B">
              <w:rPr>
                <w:sz w:val="20"/>
                <w:szCs w:val="20"/>
              </w:rPr>
              <w:t>5</w:t>
            </w:r>
          </w:p>
        </w:tc>
        <w:tc>
          <w:tcPr>
            <w:tcW w:w="983" w:type="dxa"/>
          </w:tcPr>
          <w:p w14:paraId="4662940C" w14:textId="77777777" w:rsidR="003C0EB4" w:rsidRPr="002E7A6B" w:rsidRDefault="003C0EB4" w:rsidP="00587681">
            <w:pPr>
              <w:jc w:val="center"/>
              <w:rPr>
                <w:sz w:val="20"/>
                <w:szCs w:val="20"/>
              </w:rPr>
            </w:pPr>
            <w:r w:rsidRPr="009A409D">
              <w:rPr>
                <w:sz w:val="20"/>
                <w:szCs w:val="20"/>
              </w:rPr>
              <w:t>0.4401</w:t>
            </w:r>
          </w:p>
        </w:tc>
        <w:tc>
          <w:tcPr>
            <w:tcW w:w="943" w:type="dxa"/>
            <w:vAlign w:val="center"/>
          </w:tcPr>
          <w:p w14:paraId="4ED67C1B" w14:textId="77777777" w:rsidR="003C0EB4" w:rsidRPr="002E7A6B" w:rsidRDefault="003C0EB4" w:rsidP="00587681">
            <w:pPr>
              <w:jc w:val="center"/>
              <w:rPr>
                <w:sz w:val="20"/>
                <w:szCs w:val="20"/>
              </w:rPr>
            </w:pPr>
            <w:r w:rsidRPr="00DB5778">
              <w:rPr>
                <w:sz w:val="20"/>
                <w:szCs w:val="20"/>
              </w:rPr>
              <w:t>24.18</w:t>
            </w:r>
          </w:p>
        </w:tc>
      </w:tr>
      <w:tr w:rsidR="003C0EB4" w:rsidRPr="0042725B" w14:paraId="07835D34" w14:textId="77777777" w:rsidTr="003C0EB4">
        <w:trPr>
          <w:jc w:val="center"/>
        </w:trPr>
        <w:tc>
          <w:tcPr>
            <w:tcW w:w="1306" w:type="dxa"/>
          </w:tcPr>
          <w:p w14:paraId="375F71C9" w14:textId="77777777" w:rsidR="003C0EB4" w:rsidRPr="002E7A6B" w:rsidRDefault="003C0EB4" w:rsidP="00587681">
            <w:pPr>
              <w:jc w:val="center"/>
              <w:rPr>
                <w:sz w:val="20"/>
                <w:szCs w:val="20"/>
              </w:rPr>
            </w:pPr>
            <w:r w:rsidRPr="002E7A6B">
              <w:rPr>
                <w:sz w:val="20"/>
                <w:szCs w:val="20"/>
              </w:rPr>
              <w:t>4</w:t>
            </w:r>
          </w:p>
        </w:tc>
        <w:tc>
          <w:tcPr>
            <w:tcW w:w="1496" w:type="dxa"/>
          </w:tcPr>
          <w:p w14:paraId="639D070E" w14:textId="77777777" w:rsidR="003C0EB4" w:rsidRPr="002E7A6B" w:rsidRDefault="003C0EB4" w:rsidP="00587681">
            <w:pPr>
              <w:jc w:val="center"/>
              <w:rPr>
                <w:sz w:val="20"/>
                <w:szCs w:val="20"/>
              </w:rPr>
            </w:pPr>
            <w:proofErr w:type="spellStart"/>
            <w:r w:rsidRPr="002E7A6B">
              <w:rPr>
                <w:sz w:val="20"/>
                <w:szCs w:val="20"/>
              </w:rPr>
              <w:t>Soluplus</w:t>
            </w:r>
            <w:proofErr w:type="spellEnd"/>
          </w:p>
        </w:tc>
        <w:tc>
          <w:tcPr>
            <w:tcW w:w="1275" w:type="dxa"/>
          </w:tcPr>
          <w:p w14:paraId="1A249887" w14:textId="77777777" w:rsidR="003C0EB4" w:rsidRPr="002E7A6B" w:rsidRDefault="003C0EB4" w:rsidP="00587681">
            <w:pPr>
              <w:jc w:val="center"/>
              <w:rPr>
                <w:sz w:val="20"/>
                <w:szCs w:val="20"/>
              </w:rPr>
            </w:pPr>
            <w:r w:rsidRPr="002E7A6B">
              <w:rPr>
                <w:sz w:val="20"/>
                <w:szCs w:val="20"/>
              </w:rPr>
              <w:t>45</w:t>
            </w:r>
          </w:p>
        </w:tc>
        <w:tc>
          <w:tcPr>
            <w:tcW w:w="1204" w:type="dxa"/>
          </w:tcPr>
          <w:p w14:paraId="08FC30DD" w14:textId="77777777" w:rsidR="003C0EB4" w:rsidRPr="002E7A6B" w:rsidRDefault="003C0EB4" w:rsidP="00587681">
            <w:pPr>
              <w:jc w:val="center"/>
              <w:rPr>
                <w:sz w:val="20"/>
                <w:szCs w:val="20"/>
              </w:rPr>
            </w:pPr>
            <w:r w:rsidRPr="002E7A6B">
              <w:rPr>
                <w:sz w:val="20"/>
                <w:szCs w:val="20"/>
              </w:rPr>
              <w:t>100</w:t>
            </w:r>
          </w:p>
        </w:tc>
        <w:tc>
          <w:tcPr>
            <w:tcW w:w="1217" w:type="dxa"/>
          </w:tcPr>
          <w:p w14:paraId="4DEB3C24" w14:textId="77777777" w:rsidR="003C0EB4" w:rsidRPr="002E7A6B" w:rsidRDefault="003C0EB4" w:rsidP="00587681">
            <w:pPr>
              <w:jc w:val="center"/>
              <w:rPr>
                <w:sz w:val="20"/>
                <w:szCs w:val="20"/>
              </w:rPr>
            </w:pPr>
            <w:r w:rsidRPr="002E7A6B">
              <w:rPr>
                <w:sz w:val="20"/>
                <w:szCs w:val="20"/>
              </w:rPr>
              <w:t>20</w:t>
            </w:r>
          </w:p>
        </w:tc>
        <w:tc>
          <w:tcPr>
            <w:tcW w:w="983" w:type="dxa"/>
          </w:tcPr>
          <w:p w14:paraId="546F1136" w14:textId="77777777" w:rsidR="003C0EB4" w:rsidRPr="002E7A6B" w:rsidRDefault="003C0EB4" w:rsidP="00587681">
            <w:pPr>
              <w:jc w:val="center"/>
              <w:rPr>
                <w:sz w:val="20"/>
                <w:szCs w:val="20"/>
              </w:rPr>
            </w:pPr>
            <w:r w:rsidRPr="009A409D">
              <w:rPr>
                <w:sz w:val="20"/>
                <w:szCs w:val="20"/>
              </w:rPr>
              <w:t>0.3819</w:t>
            </w:r>
          </w:p>
        </w:tc>
        <w:tc>
          <w:tcPr>
            <w:tcW w:w="943" w:type="dxa"/>
            <w:vAlign w:val="center"/>
          </w:tcPr>
          <w:p w14:paraId="43F4202E" w14:textId="77777777" w:rsidR="003C0EB4" w:rsidRPr="002E7A6B" w:rsidRDefault="003C0EB4" w:rsidP="00587681">
            <w:pPr>
              <w:jc w:val="center"/>
              <w:rPr>
                <w:sz w:val="20"/>
                <w:szCs w:val="20"/>
              </w:rPr>
            </w:pPr>
            <w:r w:rsidRPr="00DB5778">
              <w:rPr>
                <w:sz w:val="20"/>
                <w:szCs w:val="20"/>
              </w:rPr>
              <w:t>20.84</w:t>
            </w:r>
          </w:p>
        </w:tc>
      </w:tr>
      <w:tr w:rsidR="003C0EB4" w14:paraId="2C7FC4D6" w14:textId="77777777" w:rsidTr="003C0EB4">
        <w:trPr>
          <w:jc w:val="center"/>
        </w:trPr>
        <w:tc>
          <w:tcPr>
            <w:tcW w:w="1306" w:type="dxa"/>
          </w:tcPr>
          <w:p w14:paraId="559B5B39" w14:textId="77777777" w:rsidR="003C0EB4" w:rsidRPr="002E7A6B" w:rsidRDefault="003C0EB4" w:rsidP="00587681">
            <w:pPr>
              <w:jc w:val="center"/>
              <w:rPr>
                <w:sz w:val="20"/>
                <w:szCs w:val="20"/>
              </w:rPr>
            </w:pPr>
            <w:r w:rsidRPr="002E7A6B">
              <w:rPr>
                <w:sz w:val="20"/>
                <w:szCs w:val="20"/>
              </w:rPr>
              <w:t>5</w:t>
            </w:r>
          </w:p>
        </w:tc>
        <w:tc>
          <w:tcPr>
            <w:tcW w:w="1496" w:type="dxa"/>
          </w:tcPr>
          <w:p w14:paraId="4407708D" w14:textId="77777777" w:rsidR="003C0EB4" w:rsidRPr="002E7A6B" w:rsidRDefault="003C0EB4" w:rsidP="00587681">
            <w:pPr>
              <w:jc w:val="center"/>
              <w:rPr>
                <w:sz w:val="20"/>
                <w:szCs w:val="20"/>
              </w:rPr>
            </w:pPr>
            <w:r w:rsidRPr="002E7A6B">
              <w:rPr>
                <w:sz w:val="20"/>
                <w:szCs w:val="20"/>
              </w:rPr>
              <w:t>PVP VA 64</w:t>
            </w:r>
          </w:p>
        </w:tc>
        <w:tc>
          <w:tcPr>
            <w:tcW w:w="1275" w:type="dxa"/>
          </w:tcPr>
          <w:p w14:paraId="6C7598B4" w14:textId="77777777" w:rsidR="003C0EB4" w:rsidRPr="002E7A6B" w:rsidRDefault="003C0EB4" w:rsidP="00587681">
            <w:pPr>
              <w:jc w:val="center"/>
              <w:rPr>
                <w:sz w:val="20"/>
                <w:szCs w:val="20"/>
              </w:rPr>
            </w:pPr>
            <w:r w:rsidRPr="002E7A6B">
              <w:rPr>
                <w:sz w:val="20"/>
                <w:szCs w:val="20"/>
              </w:rPr>
              <w:t>45</w:t>
            </w:r>
          </w:p>
        </w:tc>
        <w:tc>
          <w:tcPr>
            <w:tcW w:w="1204" w:type="dxa"/>
          </w:tcPr>
          <w:p w14:paraId="7670162B" w14:textId="77777777" w:rsidR="003C0EB4" w:rsidRDefault="003C0EB4" w:rsidP="00587681">
            <w:pPr>
              <w:jc w:val="center"/>
              <w:rPr>
                <w:sz w:val="20"/>
                <w:szCs w:val="20"/>
              </w:rPr>
            </w:pPr>
            <w:r>
              <w:rPr>
                <w:sz w:val="20"/>
                <w:szCs w:val="20"/>
              </w:rPr>
              <w:t>100</w:t>
            </w:r>
          </w:p>
        </w:tc>
        <w:tc>
          <w:tcPr>
            <w:tcW w:w="1217" w:type="dxa"/>
          </w:tcPr>
          <w:p w14:paraId="450F554C" w14:textId="77777777" w:rsidR="003C0EB4" w:rsidRDefault="003C0EB4" w:rsidP="00587681">
            <w:pPr>
              <w:jc w:val="center"/>
              <w:rPr>
                <w:sz w:val="20"/>
                <w:szCs w:val="20"/>
              </w:rPr>
            </w:pPr>
            <w:r>
              <w:rPr>
                <w:sz w:val="20"/>
                <w:szCs w:val="20"/>
              </w:rPr>
              <w:t>5</w:t>
            </w:r>
          </w:p>
        </w:tc>
        <w:tc>
          <w:tcPr>
            <w:tcW w:w="983" w:type="dxa"/>
          </w:tcPr>
          <w:p w14:paraId="7848312D" w14:textId="77777777" w:rsidR="003C0EB4" w:rsidRDefault="003C0EB4" w:rsidP="00587681">
            <w:pPr>
              <w:jc w:val="center"/>
              <w:rPr>
                <w:sz w:val="20"/>
                <w:szCs w:val="20"/>
              </w:rPr>
            </w:pPr>
            <w:r w:rsidRPr="009A409D">
              <w:rPr>
                <w:sz w:val="20"/>
                <w:szCs w:val="20"/>
              </w:rPr>
              <w:t>0.2471</w:t>
            </w:r>
          </w:p>
        </w:tc>
        <w:tc>
          <w:tcPr>
            <w:tcW w:w="943" w:type="dxa"/>
            <w:vAlign w:val="center"/>
          </w:tcPr>
          <w:p w14:paraId="0493931F" w14:textId="77777777" w:rsidR="003C0EB4" w:rsidRDefault="003C0EB4" w:rsidP="00587681">
            <w:pPr>
              <w:jc w:val="center"/>
              <w:rPr>
                <w:sz w:val="20"/>
                <w:szCs w:val="20"/>
              </w:rPr>
            </w:pPr>
            <w:r w:rsidRPr="00DB5778">
              <w:rPr>
                <w:sz w:val="20"/>
                <w:szCs w:val="20"/>
              </w:rPr>
              <w:t>13.88</w:t>
            </w:r>
          </w:p>
        </w:tc>
      </w:tr>
      <w:tr w:rsidR="003C0EB4" w14:paraId="388EBC69" w14:textId="77777777" w:rsidTr="003C0EB4">
        <w:trPr>
          <w:jc w:val="center"/>
        </w:trPr>
        <w:tc>
          <w:tcPr>
            <w:tcW w:w="1306" w:type="dxa"/>
          </w:tcPr>
          <w:p w14:paraId="3CAEFE8A" w14:textId="77777777" w:rsidR="003C0EB4" w:rsidRDefault="003C0EB4" w:rsidP="00587681">
            <w:pPr>
              <w:jc w:val="center"/>
              <w:rPr>
                <w:sz w:val="20"/>
                <w:szCs w:val="20"/>
              </w:rPr>
            </w:pPr>
            <w:r>
              <w:rPr>
                <w:sz w:val="20"/>
                <w:szCs w:val="20"/>
              </w:rPr>
              <w:t>6</w:t>
            </w:r>
          </w:p>
        </w:tc>
        <w:tc>
          <w:tcPr>
            <w:tcW w:w="1496" w:type="dxa"/>
          </w:tcPr>
          <w:p w14:paraId="2067C1D6"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4783F014" w14:textId="77777777" w:rsidR="003C0EB4" w:rsidRDefault="003C0EB4" w:rsidP="00587681">
            <w:pPr>
              <w:jc w:val="center"/>
              <w:rPr>
                <w:sz w:val="20"/>
                <w:szCs w:val="20"/>
              </w:rPr>
            </w:pPr>
            <w:r>
              <w:rPr>
                <w:sz w:val="20"/>
                <w:szCs w:val="20"/>
              </w:rPr>
              <w:t>45</w:t>
            </w:r>
          </w:p>
        </w:tc>
        <w:tc>
          <w:tcPr>
            <w:tcW w:w="1204" w:type="dxa"/>
          </w:tcPr>
          <w:p w14:paraId="2B9E1818" w14:textId="77777777" w:rsidR="003C0EB4" w:rsidRDefault="003C0EB4" w:rsidP="00587681">
            <w:pPr>
              <w:jc w:val="center"/>
              <w:rPr>
                <w:sz w:val="20"/>
                <w:szCs w:val="20"/>
              </w:rPr>
            </w:pPr>
            <w:r>
              <w:rPr>
                <w:sz w:val="20"/>
                <w:szCs w:val="20"/>
              </w:rPr>
              <w:t>25</w:t>
            </w:r>
          </w:p>
        </w:tc>
        <w:tc>
          <w:tcPr>
            <w:tcW w:w="1217" w:type="dxa"/>
          </w:tcPr>
          <w:p w14:paraId="6B0F089D" w14:textId="77777777" w:rsidR="003C0EB4" w:rsidRDefault="003C0EB4" w:rsidP="00587681">
            <w:pPr>
              <w:jc w:val="center"/>
              <w:rPr>
                <w:sz w:val="20"/>
                <w:szCs w:val="20"/>
              </w:rPr>
            </w:pPr>
            <w:r>
              <w:rPr>
                <w:sz w:val="20"/>
                <w:szCs w:val="20"/>
              </w:rPr>
              <w:t>20</w:t>
            </w:r>
          </w:p>
        </w:tc>
        <w:tc>
          <w:tcPr>
            <w:tcW w:w="983" w:type="dxa"/>
          </w:tcPr>
          <w:p w14:paraId="3ACA5C35" w14:textId="77777777" w:rsidR="003C0EB4" w:rsidRDefault="003C0EB4" w:rsidP="00587681">
            <w:pPr>
              <w:jc w:val="center"/>
              <w:rPr>
                <w:sz w:val="20"/>
                <w:szCs w:val="20"/>
              </w:rPr>
            </w:pPr>
            <w:r w:rsidRPr="009A409D">
              <w:rPr>
                <w:sz w:val="20"/>
                <w:szCs w:val="20"/>
              </w:rPr>
              <w:t>0.4436</w:t>
            </w:r>
          </w:p>
        </w:tc>
        <w:tc>
          <w:tcPr>
            <w:tcW w:w="943" w:type="dxa"/>
            <w:vAlign w:val="center"/>
          </w:tcPr>
          <w:p w14:paraId="004029C3" w14:textId="77777777" w:rsidR="003C0EB4" w:rsidRDefault="003C0EB4" w:rsidP="00587681">
            <w:pPr>
              <w:jc w:val="center"/>
              <w:rPr>
                <w:sz w:val="20"/>
                <w:szCs w:val="20"/>
              </w:rPr>
            </w:pPr>
            <w:r w:rsidRPr="00DB5778">
              <w:rPr>
                <w:sz w:val="20"/>
                <w:szCs w:val="20"/>
              </w:rPr>
              <w:t>25.04</w:t>
            </w:r>
          </w:p>
        </w:tc>
      </w:tr>
      <w:tr w:rsidR="003C0EB4" w14:paraId="56F3836E" w14:textId="77777777" w:rsidTr="003C0EB4">
        <w:trPr>
          <w:jc w:val="center"/>
        </w:trPr>
        <w:tc>
          <w:tcPr>
            <w:tcW w:w="1306" w:type="dxa"/>
          </w:tcPr>
          <w:p w14:paraId="56DEE62E" w14:textId="77777777" w:rsidR="003C0EB4" w:rsidRDefault="003C0EB4" w:rsidP="00587681">
            <w:pPr>
              <w:jc w:val="center"/>
              <w:rPr>
                <w:sz w:val="20"/>
                <w:szCs w:val="20"/>
              </w:rPr>
            </w:pPr>
            <w:r>
              <w:rPr>
                <w:sz w:val="20"/>
                <w:szCs w:val="20"/>
              </w:rPr>
              <w:t>7</w:t>
            </w:r>
          </w:p>
        </w:tc>
        <w:tc>
          <w:tcPr>
            <w:tcW w:w="1496" w:type="dxa"/>
          </w:tcPr>
          <w:p w14:paraId="4031595D" w14:textId="77777777" w:rsidR="003C0EB4" w:rsidRDefault="003C0EB4" w:rsidP="00587681">
            <w:pPr>
              <w:jc w:val="center"/>
              <w:rPr>
                <w:sz w:val="20"/>
                <w:szCs w:val="20"/>
              </w:rPr>
            </w:pPr>
            <w:r>
              <w:rPr>
                <w:sz w:val="20"/>
                <w:szCs w:val="20"/>
              </w:rPr>
              <w:t>PVP VA 64</w:t>
            </w:r>
          </w:p>
        </w:tc>
        <w:tc>
          <w:tcPr>
            <w:tcW w:w="1275" w:type="dxa"/>
          </w:tcPr>
          <w:p w14:paraId="403E18C8" w14:textId="77777777" w:rsidR="003C0EB4" w:rsidRDefault="003C0EB4" w:rsidP="00587681">
            <w:pPr>
              <w:jc w:val="center"/>
              <w:rPr>
                <w:sz w:val="20"/>
                <w:szCs w:val="20"/>
              </w:rPr>
            </w:pPr>
            <w:r>
              <w:rPr>
                <w:sz w:val="20"/>
                <w:szCs w:val="20"/>
              </w:rPr>
              <w:t>20</w:t>
            </w:r>
          </w:p>
        </w:tc>
        <w:tc>
          <w:tcPr>
            <w:tcW w:w="1204" w:type="dxa"/>
          </w:tcPr>
          <w:p w14:paraId="29497BE3" w14:textId="77777777" w:rsidR="003C0EB4" w:rsidRDefault="003C0EB4" w:rsidP="00587681">
            <w:pPr>
              <w:jc w:val="center"/>
              <w:rPr>
                <w:sz w:val="20"/>
                <w:szCs w:val="20"/>
              </w:rPr>
            </w:pPr>
            <w:r>
              <w:rPr>
                <w:sz w:val="20"/>
                <w:szCs w:val="20"/>
              </w:rPr>
              <w:t>100</w:t>
            </w:r>
          </w:p>
        </w:tc>
        <w:tc>
          <w:tcPr>
            <w:tcW w:w="1217" w:type="dxa"/>
          </w:tcPr>
          <w:p w14:paraId="03227508" w14:textId="77777777" w:rsidR="003C0EB4" w:rsidRDefault="003C0EB4" w:rsidP="00587681">
            <w:pPr>
              <w:jc w:val="center"/>
              <w:rPr>
                <w:sz w:val="20"/>
                <w:szCs w:val="20"/>
              </w:rPr>
            </w:pPr>
            <w:r>
              <w:rPr>
                <w:sz w:val="20"/>
                <w:szCs w:val="20"/>
              </w:rPr>
              <w:t>20</w:t>
            </w:r>
          </w:p>
        </w:tc>
        <w:tc>
          <w:tcPr>
            <w:tcW w:w="983" w:type="dxa"/>
          </w:tcPr>
          <w:p w14:paraId="5BF064E8" w14:textId="77777777" w:rsidR="003C0EB4" w:rsidRDefault="003C0EB4" w:rsidP="00587681">
            <w:pPr>
              <w:jc w:val="center"/>
              <w:rPr>
                <w:sz w:val="20"/>
                <w:szCs w:val="20"/>
              </w:rPr>
            </w:pPr>
            <w:r w:rsidRPr="009A409D">
              <w:rPr>
                <w:sz w:val="20"/>
                <w:szCs w:val="20"/>
              </w:rPr>
              <w:t>0.2383</w:t>
            </w:r>
          </w:p>
        </w:tc>
        <w:tc>
          <w:tcPr>
            <w:tcW w:w="943" w:type="dxa"/>
            <w:vAlign w:val="center"/>
          </w:tcPr>
          <w:p w14:paraId="305C108B" w14:textId="77777777" w:rsidR="003C0EB4" w:rsidRDefault="003C0EB4" w:rsidP="00587681">
            <w:pPr>
              <w:jc w:val="center"/>
              <w:rPr>
                <w:sz w:val="20"/>
                <w:szCs w:val="20"/>
              </w:rPr>
            </w:pPr>
            <w:r w:rsidRPr="00DB5778">
              <w:rPr>
                <w:sz w:val="20"/>
                <w:szCs w:val="20"/>
              </w:rPr>
              <w:t>14.41</w:t>
            </w:r>
          </w:p>
        </w:tc>
      </w:tr>
      <w:tr w:rsidR="003C0EB4" w14:paraId="5E58D2C3" w14:textId="77777777" w:rsidTr="003C0EB4">
        <w:trPr>
          <w:jc w:val="center"/>
        </w:trPr>
        <w:tc>
          <w:tcPr>
            <w:tcW w:w="1306" w:type="dxa"/>
          </w:tcPr>
          <w:p w14:paraId="5705F21E" w14:textId="77777777" w:rsidR="003C0EB4" w:rsidRDefault="003C0EB4" w:rsidP="00587681">
            <w:pPr>
              <w:jc w:val="center"/>
              <w:rPr>
                <w:sz w:val="20"/>
                <w:szCs w:val="20"/>
              </w:rPr>
            </w:pPr>
            <w:r>
              <w:rPr>
                <w:sz w:val="20"/>
                <w:szCs w:val="20"/>
              </w:rPr>
              <w:t>8</w:t>
            </w:r>
          </w:p>
        </w:tc>
        <w:tc>
          <w:tcPr>
            <w:tcW w:w="1496" w:type="dxa"/>
          </w:tcPr>
          <w:p w14:paraId="1A265CF7"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4CC93111" w14:textId="77777777" w:rsidR="003C0EB4" w:rsidRDefault="003C0EB4" w:rsidP="00587681">
            <w:pPr>
              <w:jc w:val="center"/>
              <w:rPr>
                <w:sz w:val="20"/>
                <w:szCs w:val="20"/>
              </w:rPr>
            </w:pPr>
            <w:r>
              <w:rPr>
                <w:sz w:val="20"/>
                <w:szCs w:val="20"/>
              </w:rPr>
              <w:t>20</w:t>
            </w:r>
          </w:p>
        </w:tc>
        <w:tc>
          <w:tcPr>
            <w:tcW w:w="1204" w:type="dxa"/>
          </w:tcPr>
          <w:p w14:paraId="5D6C4200" w14:textId="77777777" w:rsidR="003C0EB4" w:rsidRDefault="003C0EB4" w:rsidP="00587681">
            <w:pPr>
              <w:jc w:val="center"/>
              <w:rPr>
                <w:sz w:val="20"/>
                <w:szCs w:val="20"/>
              </w:rPr>
            </w:pPr>
            <w:r>
              <w:rPr>
                <w:sz w:val="20"/>
                <w:szCs w:val="20"/>
              </w:rPr>
              <w:t>100</w:t>
            </w:r>
          </w:p>
        </w:tc>
        <w:tc>
          <w:tcPr>
            <w:tcW w:w="1217" w:type="dxa"/>
          </w:tcPr>
          <w:p w14:paraId="1D2CD843" w14:textId="77777777" w:rsidR="003C0EB4" w:rsidRDefault="003C0EB4" w:rsidP="00587681">
            <w:pPr>
              <w:jc w:val="center"/>
              <w:rPr>
                <w:sz w:val="20"/>
                <w:szCs w:val="20"/>
              </w:rPr>
            </w:pPr>
            <w:r>
              <w:rPr>
                <w:sz w:val="20"/>
                <w:szCs w:val="20"/>
              </w:rPr>
              <w:t>5</w:t>
            </w:r>
          </w:p>
        </w:tc>
        <w:tc>
          <w:tcPr>
            <w:tcW w:w="983" w:type="dxa"/>
          </w:tcPr>
          <w:p w14:paraId="5C714925" w14:textId="77777777" w:rsidR="003C0EB4" w:rsidRDefault="003C0EB4" w:rsidP="00587681">
            <w:pPr>
              <w:jc w:val="center"/>
              <w:rPr>
                <w:sz w:val="20"/>
                <w:szCs w:val="20"/>
              </w:rPr>
            </w:pPr>
            <w:r w:rsidRPr="009A409D">
              <w:rPr>
                <w:sz w:val="20"/>
                <w:szCs w:val="20"/>
              </w:rPr>
              <w:t>0.2496</w:t>
            </w:r>
          </w:p>
        </w:tc>
        <w:tc>
          <w:tcPr>
            <w:tcW w:w="943" w:type="dxa"/>
            <w:vAlign w:val="center"/>
          </w:tcPr>
          <w:p w14:paraId="0110033C" w14:textId="77777777" w:rsidR="003C0EB4" w:rsidRDefault="003C0EB4" w:rsidP="00587681">
            <w:pPr>
              <w:jc w:val="center"/>
              <w:rPr>
                <w:sz w:val="20"/>
                <w:szCs w:val="20"/>
              </w:rPr>
            </w:pPr>
            <w:r w:rsidRPr="00DB5778">
              <w:rPr>
                <w:sz w:val="20"/>
                <w:szCs w:val="20"/>
              </w:rPr>
              <w:t>15.22</w:t>
            </w:r>
          </w:p>
        </w:tc>
      </w:tr>
      <w:tr w:rsidR="003C0EB4" w14:paraId="29664BC7" w14:textId="77777777" w:rsidTr="003C0EB4">
        <w:trPr>
          <w:jc w:val="center"/>
        </w:trPr>
        <w:tc>
          <w:tcPr>
            <w:tcW w:w="1306" w:type="dxa"/>
          </w:tcPr>
          <w:p w14:paraId="109A6500" w14:textId="77777777" w:rsidR="003C0EB4" w:rsidRDefault="003C0EB4" w:rsidP="00587681">
            <w:pPr>
              <w:jc w:val="center"/>
              <w:rPr>
                <w:sz w:val="20"/>
                <w:szCs w:val="20"/>
              </w:rPr>
            </w:pPr>
            <w:r>
              <w:rPr>
                <w:sz w:val="20"/>
                <w:szCs w:val="20"/>
              </w:rPr>
              <w:t>9</w:t>
            </w:r>
          </w:p>
        </w:tc>
        <w:tc>
          <w:tcPr>
            <w:tcW w:w="1496" w:type="dxa"/>
          </w:tcPr>
          <w:p w14:paraId="0E216DFF" w14:textId="77777777" w:rsidR="003C0EB4" w:rsidRDefault="003C0EB4" w:rsidP="00587681">
            <w:pPr>
              <w:jc w:val="center"/>
              <w:rPr>
                <w:sz w:val="20"/>
                <w:szCs w:val="20"/>
              </w:rPr>
            </w:pPr>
            <w:r>
              <w:rPr>
                <w:sz w:val="20"/>
                <w:szCs w:val="20"/>
              </w:rPr>
              <w:t>PVP VA 64</w:t>
            </w:r>
          </w:p>
        </w:tc>
        <w:tc>
          <w:tcPr>
            <w:tcW w:w="1275" w:type="dxa"/>
          </w:tcPr>
          <w:p w14:paraId="33857D92" w14:textId="77777777" w:rsidR="003C0EB4" w:rsidRDefault="003C0EB4" w:rsidP="00587681">
            <w:pPr>
              <w:jc w:val="center"/>
              <w:rPr>
                <w:sz w:val="20"/>
                <w:szCs w:val="20"/>
              </w:rPr>
            </w:pPr>
            <w:r>
              <w:rPr>
                <w:sz w:val="20"/>
                <w:szCs w:val="20"/>
              </w:rPr>
              <w:t>20</w:t>
            </w:r>
          </w:p>
        </w:tc>
        <w:tc>
          <w:tcPr>
            <w:tcW w:w="1204" w:type="dxa"/>
          </w:tcPr>
          <w:p w14:paraId="232F0AC7" w14:textId="77777777" w:rsidR="003C0EB4" w:rsidRDefault="003C0EB4" w:rsidP="00587681">
            <w:pPr>
              <w:jc w:val="center"/>
              <w:rPr>
                <w:sz w:val="20"/>
                <w:szCs w:val="20"/>
              </w:rPr>
            </w:pPr>
            <w:r>
              <w:rPr>
                <w:sz w:val="20"/>
                <w:szCs w:val="20"/>
              </w:rPr>
              <w:t>100</w:t>
            </w:r>
          </w:p>
        </w:tc>
        <w:tc>
          <w:tcPr>
            <w:tcW w:w="1217" w:type="dxa"/>
          </w:tcPr>
          <w:p w14:paraId="5EBD4BBC" w14:textId="77777777" w:rsidR="003C0EB4" w:rsidRDefault="003C0EB4" w:rsidP="00587681">
            <w:pPr>
              <w:jc w:val="center"/>
              <w:rPr>
                <w:sz w:val="20"/>
                <w:szCs w:val="20"/>
              </w:rPr>
            </w:pPr>
            <w:r>
              <w:rPr>
                <w:sz w:val="20"/>
                <w:szCs w:val="20"/>
              </w:rPr>
              <w:t>5</w:t>
            </w:r>
          </w:p>
        </w:tc>
        <w:tc>
          <w:tcPr>
            <w:tcW w:w="983" w:type="dxa"/>
          </w:tcPr>
          <w:p w14:paraId="1F0F442A" w14:textId="77777777" w:rsidR="003C0EB4" w:rsidRDefault="003C0EB4" w:rsidP="00587681">
            <w:pPr>
              <w:jc w:val="center"/>
              <w:rPr>
                <w:sz w:val="20"/>
                <w:szCs w:val="20"/>
              </w:rPr>
            </w:pPr>
            <w:r w:rsidRPr="009A409D">
              <w:rPr>
                <w:sz w:val="20"/>
                <w:szCs w:val="20"/>
              </w:rPr>
              <w:t>0.2094</w:t>
            </w:r>
          </w:p>
        </w:tc>
        <w:tc>
          <w:tcPr>
            <w:tcW w:w="943" w:type="dxa"/>
            <w:vAlign w:val="center"/>
          </w:tcPr>
          <w:p w14:paraId="27B6C312" w14:textId="77777777" w:rsidR="003C0EB4" w:rsidRDefault="003C0EB4" w:rsidP="00587681">
            <w:pPr>
              <w:jc w:val="center"/>
              <w:rPr>
                <w:sz w:val="20"/>
                <w:szCs w:val="20"/>
              </w:rPr>
            </w:pPr>
            <w:r w:rsidRPr="00DB5778">
              <w:rPr>
                <w:sz w:val="20"/>
                <w:szCs w:val="20"/>
              </w:rPr>
              <w:t>12.08</w:t>
            </w:r>
          </w:p>
        </w:tc>
      </w:tr>
      <w:tr w:rsidR="003C0EB4" w14:paraId="2CB919DB" w14:textId="77777777" w:rsidTr="003C0EB4">
        <w:trPr>
          <w:jc w:val="center"/>
        </w:trPr>
        <w:tc>
          <w:tcPr>
            <w:tcW w:w="1306" w:type="dxa"/>
          </w:tcPr>
          <w:p w14:paraId="5475DAA6" w14:textId="77777777" w:rsidR="003C0EB4" w:rsidRDefault="003C0EB4" w:rsidP="00587681">
            <w:pPr>
              <w:jc w:val="center"/>
              <w:rPr>
                <w:sz w:val="20"/>
                <w:szCs w:val="20"/>
              </w:rPr>
            </w:pPr>
            <w:r>
              <w:rPr>
                <w:sz w:val="20"/>
                <w:szCs w:val="20"/>
              </w:rPr>
              <w:t>10</w:t>
            </w:r>
          </w:p>
        </w:tc>
        <w:tc>
          <w:tcPr>
            <w:tcW w:w="1496" w:type="dxa"/>
          </w:tcPr>
          <w:p w14:paraId="4851E57A"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08DD44A0" w14:textId="77777777" w:rsidR="003C0EB4" w:rsidRDefault="003C0EB4" w:rsidP="00587681">
            <w:pPr>
              <w:jc w:val="center"/>
              <w:rPr>
                <w:sz w:val="20"/>
                <w:szCs w:val="20"/>
              </w:rPr>
            </w:pPr>
            <w:r>
              <w:rPr>
                <w:sz w:val="20"/>
                <w:szCs w:val="20"/>
              </w:rPr>
              <w:t>45</w:t>
            </w:r>
          </w:p>
        </w:tc>
        <w:tc>
          <w:tcPr>
            <w:tcW w:w="1204" w:type="dxa"/>
          </w:tcPr>
          <w:p w14:paraId="2B9E76A8" w14:textId="77777777" w:rsidR="003C0EB4" w:rsidRDefault="003C0EB4" w:rsidP="00587681">
            <w:pPr>
              <w:jc w:val="center"/>
              <w:rPr>
                <w:sz w:val="20"/>
                <w:szCs w:val="20"/>
              </w:rPr>
            </w:pPr>
            <w:r>
              <w:rPr>
                <w:sz w:val="20"/>
                <w:szCs w:val="20"/>
              </w:rPr>
              <w:t>25</w:t>
            </w:r>
          </w:p>
        </w:tc>
        <w:tc>
          <w:tcPr>
            <w:tcW w:w="1217" w:type="dxa"/>
          </w:tcPr>
          <w:p w14:paraId="793ADE46" w14:textId="77777777" w:rsidR="003C0EB4" w:rsidRDefault="003C0EB4" w:rsidP="00587681">
            <w:pPr>
              <w:jc w:val="center"/>
              <w:rPr>
                <w:sz w:val="20"/>
                <w:szCs w:val="20"/>
              </w:rPr>
            </w:pPr>
            <w:r>
              <w:rPr>
                <w:sz w:val="20"/>
                <w:szCs w:val="20"/>
              </w:rPr>
              <w:t>5</w:t>
            </w:r>
          </w:p>
        </w:tc>
        <w:tc>
          <w:tcPr>
            <w:tcW w:w="983" w:type="dxa"/>
          </w:tcPr>
          <w:p w14:paraId="626E1C10" w14:textId="77777777" w:rsidR="003C0EB4" w:rsidRDefault="003C0EB4" w:rsidP="00587681">
            <w:pPr>
              <w:jc w:val="center"/>
              <w:rPr>
                <w:sz w:val="20"/>
                <w:szCs w:val="20"/>
              </w:rPr>
            </w:pPr>
            <w:r w:rsidRPr="009A409D">
              <w:rPr>
                <w:sz w:val="20"/>
                <w:szCs w:val="20"/>
              </w:rPr>
              <w:t>0.3890</w:t>
            </w:r>
          </w:p>
        </w:tc>
        <w:tc>
          <w:tcPr>
            <w:tcW w:w="943" w:type="dxa"/>
            <w:vAlign w:val="center"/>
          </w:tcPr>
          <w:p w14:paraId="35377CBC" w14:textId="77777777" w:rsidR="003C0EB4" w:rsidRDefault="003C0EB4" w:rsidP="00587681">
            <w:pPr>
              <w:jc w:val="center"/>
              <w:rPr>
                <w:sz w:val="20"/>
                <w:szCs w:val="20"/>
              </w:rPr>
            </w:pPr>
            <w:r w:rsidRPr="00DB5778">
              <w:rPr>
                <w:sz w:val="20"/>
                <w:szCs w:val="20"/>
              </w:rPr>
              <w:t>19.32</w:t>
            </w:r>
          </w:p>
        </w:tc>
      </w:tr>
      <w:tr w:rsidR="003C0EB4" w14:paraId="0E48299E" w14:textId="77777777" w:rsidTr="003C0EB4">
        <w:trPr>
          <w:jc w:val="center"/>
        </w:trPr>
        <w:tc>
          <w:tcPr>
            <w:tcW w:w="1306" w:type="dxa"/>
          </w:tcPr>
          <w:p w14:paraId="5421AD11" w14:textId="77777777" w:rsidR="003C0EB4" w:rsidRDefault="003C0EB4" w:rsidP="00587681">
            <w:pPr>
              <w:jc w:val="center"/>
              <w:rPr>
                <w:sz w:val="20"/>
                <w:szCs w:val="20"/>
              </w:rPr>
            </w:pPr>
            <w:r>
              <w:rPr>
                <w:sz w:val="20"/>
                <w:szCs w:val="20"/>
              </w:rPr>
              <w:t>11</w:t>
            </w:r>
          </w:p>
        </w:tc>
        <w:tc>
          <w:tcPr>
            <w:tcW w:w="1496" w:type="dxa"/>
          </w:tcPr>
          <w:p w14:paraId="2AF93C18" w14:textId="77777777" w:rsidR="003C0EB4" w:rsidRDefault="003C0EB4" w:rsidP="00587681">
            <w:pPr>
              <w:jc w:val="center"/>
              <w:rPr>
                <w:sz w:val="20"/>
                <w:szCs w:val="20"/>
              </w:rPr>
            </w:pPr>
            <w:r>
              <w:rPr>
                <w:sz w:val="20"/>
                <w:szCs w:val="20"/>
              </w:rPr>
              <w:t>PVP VA 64</w:t>
            </w:r>
          </w:p>
        </w:tc>
        <w:tc>
          <w:tcPr>
            <w:tcW w:w="1275" w:type="dxa"/>
          </w:tcPr>
          <w:p w14:paraId="3683332B" w14:textId="77777777" w:rsidR="003C0EB4" w:rsidRDefault="003C0EB4" w:rsidP="00587681">
            <w:pPr>
              <w:jc w:val="center"/>
              <w:rPr>
                <w:sz w:val="20"/>
                <w:szCs w:val="20"/>
              </w:rPr>
            </w:pPr>
            <w:r>
              <w:rPr>
                <w:sz w:val="20"/>
                <w:szCs w:val="20"/>
              </w:rPr>
              <w:t>45</w:t>
            </w:r>
          </w:p>
        </w:tc>
        <w:tc>
          <w:tcPr>
            <w:tcW w:w="1204" w:type="dxa"/>
          </w:tcPr>
          <w:p w14:paraId="624ED947" w14:textId="77777777" w:rsidR="003C0EB4" w:rsidRDefault="003C0EB4" w:rsidP="00587681">
            <w:pPr>
              <w:jc w:val="center"/>
              <w:rPr>
                <w:sz w:val="20"/>
                <w:szCs w:val="20"/>
              </w:rPr>
            </w:pPr>
            <w:r>
              <w:rPr>
                <w:sz w:val="20"/>
                <w:szCs w:val="20"/>
              </w:rPr>
              <w:t>25</w:t>
            </w:r>
          </w:p>
        </w:tc>
        <w:tc>
          <w:tcPr>
            <w:tcW w:w="1217" w:type="dxa"/>
          </w:tcPr>
          <w:p w14:paraId="05F25EC6" w14:textId="77777777" w:rsidR="003C0EB4" w:rsidRDefault="003C0EB4" w:rsidP="00587681">
            <w:pPr>
              <w:jc w:val="center"/>
              <w:rPr>
                <w:sz w:val="20"/>
                <w:szCs w:val="20"/>
              </w:rPr>
            </w:pPr>
            <w:r>
              <w:rPr>
                <w:sz w:val="20"/>
                <w:szCs w:val="20"/>
              </w:rPr>
              <w:t>5</w:t>
            </w:r>
          </w:p>
        </w:tc>
        <w:tc>
          <w:tcPr>
            <w:tcW w:w="983" w:type="dxa"/>
          </w:tcPr>
          <w:p w14:paraId="3E2A8D93" w14:textId="77777777" w:rsidR="003C0EB4" w:rsidRDefault="003C0EB4" w:rsidP="00587681">
            <w:pPr>
              <w:jc w:val="center"/>
              <w:rPr>
                <w:sz w:val="20"/>
                <w:szCs w:val="20"/>
              </w:rPr>
            </w:pPr>
            <w:r w:rsidRPr="009A409D">
              <w:rPr>
                <w:sz w:val="20"/>
                <w:szCs w:val="20"/>
              </w:rPr>
              <w:t>0.2287</w:t>
            </w:r>
          </w:p>
        </w:tc>
        <w:tc>
          <w:tcPr>
            <w:tcW w:w="943" w:type="dxa"/>
            <w:vAlign w:val="center"/>
          </w:tcPr>
          <w:p w14:paraId="01860A5C" w14:textId="77777777" w:rsidR="003C0EB4" w:rsidRDefault="003C0EB4" w:rsidP="00587681">
            <w:pPr>
              <w:jc w:val="center"/>
              <w:rPr>
                <w:sz w:val="20"/>
                <w:szCs w:val="20"/>
              </w:rPr>
            </w:pPr>
            <w:r w:rsidRPr="00DB5778">
              <w:rPr>
                <w:sz w:val="20"/>
                <w:szCs w:val="20"/>
              </w:rPr>
              <w:t>10.69</w:t>
            </w:r>
          </w:p>
        </w:tc>
      </w:tr>
      <w:tr w:rsidR="003C0EB4" w14:paraId="3F6E3720" w14:textId="77777777" w:rsidTr="003C0EB4">
        <w:trPr>
          <w:jc w:val="center"/>
        </w:trPr>
        <w:tc>
          <w:tcPr>
            <w:tcW w:w="1306" w:type="dxa"/>
          </w:tcPr>
          <w:p w14:paraId="01713CBD" w14:textId="77777777" w:rsidR="003C0EB4" w:rsidRDefault="003C0EB4" w:rsidP="00587681">
            <w:pPr>
              <w:jc w:val="center"/>
              <w:rPr>
                <w:sz w:val="20"/>
                <w:szCs w:val="20"/>
              </w:rPr>
            </w:pPr>
            <w:r>
              <w:rPr>
                <w:sz w:val="20"/>
                <w:szCs w:val="20"/>
              </w:rPr>
              <w:t>12</w:t>
            </w:r>
          </w:p>
        </w:tc>
        <w:tc>
          <w:tcPr>
            <w:tcW w:w="1496" w:type="dxa"/>
          </w:tcPr>
          <w:p w14:paraId="7033CF53" w14:textId="77777777" w:rsidR="003C0EB4" w:rsidRDefault="003C0EB4" w:rsidP="00587681">
            <w:pPr>
              <w:jc w:val="center"/>
              <w:rPr>
                <w:sz w:val="20"/>
                <w:szCs w:val="20"/>
              </w:rPr>
            </w:pPr>
            <w:r>
              <w:rPr>
                <w:sz w:val="20"/>
                <w:szCs w:val="20"/>
              </w:rPr>
              <w:t>PVP VA 64</w:t>
            </w:r>
          </w:p>
        </w:tc>
        <w:tc>
          <w:tcPr>
            <w:tcW w:w="1275" w:type="dxa"/>
          </w:tcPr>
          <w:p w14:paraId="0EA58F3E" w14:textId="77777777" w:rsidR="003C0EB4" w:rsidRDefault="003C0EB4" w:rsidP="00587681">
            <w:pPr>
              <w:jc w:val="center"/>
              <w:rPr>
                <w:sz w:val="20"/>
                <w:szCs w:val="20"/>
              </w:rPr>
            </w:pPr>
            <w:r>
              <w:rPr>
                <w:sz w:val="20"/>
                <w:szCs w:val="20"/>
              </w:rPr>
              <w:t>20</w:t>
            </w:r>
          </w:p>
        </w:tc>
        <w:tc>
          <w:tcPr>
            <w:tcW w:w="1204" w:type="dxa"/>
          </w:tcPr>
          <w:p w14:paraId="0074E9F6" w14:textId="77777777" w:rsidR="003C0EB4" w:rsidRDefault="003C0EB4" w:rsidP="00587681">
            <w:pPr>
              <w:jc w:val="center"/>
              <w:rPr>
                <w:sz w:val="20"/>
                <w:szCs w:val="20"/>
              </w:rPr>
            </w:pPr>
            <w:r>
              <w:rPr>
                <w:sz w:val="20"/>
                <w:szCs w:val="20"/>
              </w:rPr>
              <w:t>25</w:t>
            </w:r>
          </w:p>
        </w:tc>
        <w:tc>
          <w:tcPr>
            <w:tcW w:w="1217" w:type="dxa"/>
          </w:tcPr>
          <w:p w14:paraId="20402AD5" w14:textId="77777777" w:rsidR="003C0EB4" w:rsidRDefault="003C0EB4" w:rsidP="00587681">
            <w:pPr>
              <w:jc w:val="center"/>
              <w:rPr>
                <w:sz w:val="20"/>
                <w:szCs w:val="20"/>
              </w:rPr>
            </w:pPr>
            <w:r>
              <w:rPr>
                <w:sz w:val="20"/>
                <w:szCs w:val="20"/>
              </w:rPr>
              <w:t>5</w:t>
            </w:r>
          </w:p>
        </w:tc>
        <w:tc>
          <w:tcPr>
            <w:tcW w:w="983" w:type="dxa"/>
          </w:tcPr>
          <w:p w14:paraId="58B7E427" w14:textId="77777777" w:rsidR="003C0EB4" w:rsidRDefault="003C0EB4" w:rsidP="00587681">
            <w:pPr>
              <w:jc w:val="center"/>
              <w:rPr>
                <w:sz w:val="20"/>
                <w:szCs w:val="20"/>
              </w:rPr>
            </w:pPr>
            <w:r w:rsidRPr="009A409D">
              <w:rPr>
                <w:sz w:val="20"/>
                <w:szCs w:val="20"/>
              </w:rPr>
              <w:t>0.1732</w:t>
            </w:r>
          </w:p>
        </w:tc>
        <w:tc>
          <w:tcPr>
            <w:tcW w:w="943" w:type="dxa"/>
            <w:vAlign w:val="center"/>
          </w:tcPr>
          <w:p w14:paraId="21B8890B" w14:textId="77777777" w:rsidR="003C0EB4" w:rsidRDefault="003C0EB4" w:rsidP="00587681">
            <w:pPr>
              <w:jc w:val="center"/>
              <w:rPr>
                <w:sz w:val="20"/>
                <w:szCs w:val="20"/>
              </w:rPr>
            </w:pPr>
            <w:r w:rsidRPr="00DB5778">
              <w:rPr>
                <w:sz w:val="20"/>
                <w:szCs w:val="20"/>
              </w:rPr>
              <w:t>17.45</w:t>
            </w:r>
          </w:p>
        </w:tc>
      </w:tr>
      <w:tr w:rsidR="003C0EB4" w14:paraId="3D5B802A" w14:textId="77777777" w:rsidTr="003C0EB4">
        <w:trPr>
          <w:jc w:val="center"/>
        </w:trPr>
        <w:tc>
          <w:tcPr>
            <w:tcW w:w="1306" w:type="dxa"/>
          </w:tcPr>
          <w:p w14:paraId="02458F16" w14:textId="77777777" w:rsidR="003C0EB4" w:rsidRDefault="003C0EB4" w:rsidP="00587681">
            <w:pPr>
              <w:jc w:val="center"/>
              <w:rPr>
                <w:sz w:val="20"/>
                <w:szCs w:val="20"/>
              </w:rPr>
            </w:pPr>
            <w:r>
              <w:rPr>
                <w:sz w:val="20"/>
                <w:szCs w:val="20"/>
              </w:rPr>
              <w:t>13</w:t>
            </w:r>
          </w:p>
        </w:tc>
        <w:tc>
          <w:tcPr>
            <w:tcW w:w="1496" w:type="dxa"/>
          </w:tcPr>
          <w:p w14:paraId="418EE4E8" w14:textId="77777777" w:rsidR="003C0EB4" w:rsidRDefault="003C0EB4" w:rsidP="00587681">
            <w:pPr>
              <w:jc w:val="center"/>
              <w:rPr>
                <w:sz w:val="20"/>
                <w:szCs w:val="20"/>
              </w:rPr>
            </w:pPr>
            <w:r>
              <w:rPr>
                <w:sz w:val="20"/>
                <w:szCs w:val="20"/>
              </w:rPr>
              <w:t>PVP VA 64</w:t>
            </w:r>
          </w:p>
        </w:tc>
        <w:tc>
          <w:tcPr>
            <w:tcW w:w="1275" w:type="dxa"/>
          </w:tcPr>
          <w:p w14:paraId="21F06EAE" w14:textId="77777777" w:rsidR="003C0EB4" w:rsidRDefault="003C0EB4" w:rsidP="00587681">
            <w:pPr>
              <w:jc w:val="center"/>
              <w:rPr>
                <w:sz w:val="20"/>
                <w:szCs w:val="20"/>
              </w:rPr>
            </w:pPr>
            <w:r>
              <w:rPr>
                <w:sz w:val="20"/>
                <w:szCs w:val="20"/>
              </w:rPr>
              <w:t>45</w:t>
            </w:r>
          </w:p>
        </w:tc>
        <w:tc>
          <w:tcPr>
            <w:tcW w:w="1204" w:type="dxa"/>
          </w:tcPr>
          <w:p w14:paraId="1FD2BDE3" w14:textId="77777777" w:rsidR="003C0EB4" w:rsidRDefault="003C0EB4" w:rsidP="00587681">
            <w:pPr>
              <w:jc w:val="center"/>
              <w:rPr>
                <w:sz w:val="20"/>
                <w:szCs w:val="20"/>
              </w:rPr>
            </w:pPr>
            <w:r>
              <w:rPr>
                <w:sz w:val="20"/>
                <w:szCs w:val="20"/>
              </w:rPr>
              <w:t>100</w:t>
            </w:r>
          </w:p>
        </w:tc>
        <w:tc>
          <w:tcPr>
            <w:tcW w:w="1217" w:type="dxa"/>
          </w:tcPr>
          <w:p w14:paraId="72CB7B8A" w14:textId="77777777" w:rsidR="003C0EB4" w:rsidRDefault="003C0EB4" w:rsidP="00587681">
            <w:pPr>
              <w:jc w:val="center"/>
              <w:rPr>
                <w:sz w:val="20"/>
                <w:szCs w:val="20"/>
              </w:rPr>
            </w:pPr>
            <w:r>
              <w:rPr>
                <w:sz w:val="20"/>
                <w:szCs w:val="20"/>
              </w:rPr>
              <w:t>20</w:t>
            </w:r>
          </w:p>
        </w:tc>
        <w:tc>
          <w:tcPr>
            <w:tcW w:w="983" w:type="dxa"/>
          </w:tcPr>
          <w:p w14:paraId="034F4151" w14:textId="77777777" w:rsidR="003C0EB4" w:rsidRDefault="003C0EB4" w:rsidP="00587681">
            <w:pPr>
              <w:jc w:val="center"/>
              <w:rPr>
                <w:sz w:val="20"/>
                <w:szCs w:val="20"/>
              </w:rPr>
            </w:pPr>
            <w:r w:rsidRPr="009A409D">
              <w:rPr>
                <w:sz w:val="20"/>
                <w:szCs w:val="20"/>
              </w:rPr>
              <w:t>0.2206</w:t>
            </w:r>
          </w:p>
        </w:tc>
        <w:tc>
          <w:tcPr>
            <w:tcW w:w="943" w:type="dxa"/>
            <w:vAlign w:val="center"/>
          </w:tcPr>
          <w:p w14:paraId="12896E5C" w14:textId="77777777" w:rsidR="003C0EB4" w:rsidRDefault="003C0EB4" w:rsidP="00587681">
            <w:pPr>
              <w:jc w:val="center"/>
              <w:rPr>
                <w:sz w:val="20"/>
                <w:szCs w:val="20"/>
              </w:rPr>
            </w:pPr>
            <w:r w:rsidRPr="00DB5778">
              <w:rPr>
                <w:sz w:val="20"/>
                <w:szCs w:val="20"/>
              </w:rPr>
              <w:t>13.77</w:t>
            </w:r>
          </w:p>
        </w:tc>
      </w:tr>
      <w:tr w:rsidR="003C0EB4" w14:paraId="05662C6A" w14:textId="77777777" w:rsidTr="003C0EB4">
        <w:trPr>
          <w:jc w:val="center"/>
        </w:trPr>
        <w:tc>
          <w:tcPr>
            <w:tcW w:w="1306" w:type="dxa"/>
          </w:tcPr>
          <w:p w14:paraId="7A509356" w14:textId="77777777" w:rsidR="003C0EB4" w:rsidRDefault="003C0EB4" w:rsidP="00587681">
            <w:pPr>
              <w:jc w:val="center"/>
              <w:rPr>
                <w:sz w:val="20"/>
                <w:szCs w:val="20"/>
              </w:rPr>
            </w:pPr>
            <w:r>
              <w:rPr>
                <w:sz w:val="20"/>
                <w:szCs w:val="20"/>
              </w:rPr>
              <w:t>14</w:t>
            </w:r>
          </w:p>
        </w:tc>
        <w:tc>
          <w:tcPr>
            <w:tcW w:w="1496" w:type="dxa"/>
          </w:tcPr>
          <w:p w14:paraId="00314069"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7C809A7D" w14:textId="77777777" w:rsidR="003C0EB4" w:rsidRDefault="003C0EB4" w:rsidP="00587681">
            <w:pPr>
              <w:jc w:val="center"/>
              <w:rPr>
                <w:sz w:val="20"/>
                <w:szCs w:val="20"/>
              </w:rPr>
            </w:pPr>
            <w:r>
              <w:rPr>
                <w:sz w:val="20"/>
                <w:szCs w:val="20"/>
              </w:rPr>
              <w:t>20</w:t>
            </w:r>
          </w:p>
        </w:tc>
        <w:tc>
          <w:tcPr>
            <w:tcW w:w="1204" w:type="dxa"/>
          </w:tcPr>
          <w:p w14:paraId="6CB39CE7" w14:textId="77777777" w:rsidR="003C0EB4" w:rsidRDefault="003C0EB4" w:rsidP="00587681">
            <w:pPr>
              <w:jc w:val="center"/>
              <w:rPr>
                <w:sz w:val="20"/>
                <w:szCs w:val="20"/>
              </w:rPr>
            </w:pPr>
            <w:r>
              <w:rPr>
                <w:sz w:val="20"/>
                <w:szCs w:val="20"/>
              </w:rPr>
              <w:t>100</w:t>
            </w:r>
          </w:p>
        </w:tc>
        <w:tc>
          <w:tcPr>
            <w:tcW w:w="1217" w:type="dxa"/>
          </w:tcPr>
          <w:p w14:paraId="41973CEF" w14:textId="77777777" w:rsidR="003C0EB4" w:rsidRDefault="003C0EB4" w:rsidP="00587681">
            <w:pPr>
              <w:jc w:val="center"/>
              <w:rPr>
                <w:sz w:val="20"/>
                <w:szCs w:val="20"/>
              </w:rPr>
            </w:pPr>
            <w:r>
              <w:rPr>
                <w:sz w:val="20"/>
                <w:szCs w:val="20"/>
              </w:rPr>
              <w:t>20</w:t>
            </w:r>
          </w:p>
        </w:tc>
        <w:tc>
          <w:tcPr>
            <w:tcW w:w="983" w:type="dxa"/>
          </w:tcPr>
          <w:p w14:paraId="62096FC5" w14:textId="77777777" w:rsidR="003C0EB4" w:rsidRDefault="003C0EB4" w:rsidP="00587681">
            <w:pPr>
              <w:jc w:val="center"/>
              <w:rPr>
                <w:sz w:val="20"/>
                <w:szCs w:val="20"/>
              </w:rPr>
            </w:pPr>
            <w:r w:rsidRPr="009A409D">
              <w:rPr>
                <w:sz w:val="20"/>
                <w:szCs w:val="20"/>
              </w:rPr>
              <w:t>0.2468</w:t>
            </w:r>
          </w:p>
        </w:tc>
        <w:tc>
          <w:tcPr>
            <w:tcW w:w="943" w:type="dxa"/>
            <w:vAlign w:val="center"/>
          </w:tcPr>
          <w:p w14:paraId="1F11B554" w14:textId="77777777" w:rsidR="003C0EB4" w:rsidRDefault="003C0EB4" w:rsidP="00587681">
            <w:pPr>
              <w:jc w:val="center"/>
              <w:rPr>
                <w:sz w:val="20"/>
                <w:szCs w:val="20"/>
              </w:rPr>
            </w:pPr>
            <w:r w:rsidRPr="00DB5778">
              <w:rPr>
                <w:sz w:val="20"/>
                <w:szCs w:val="20"/>
              </w:rPr>
              <w:t>15.67</w:t>
            </w:r>
          </w:p>
        </w:tc>
      </w:tr>
      <w:tr w:rsidR="003C0EB4" w14:paraId="72A457FF" w14:textId="77777777" w:rsidTr="003C0EB4">
        <w:trPr>
          <w:jc w:val="center"/>
        </w:trPr>
        <w:tc>
          <w:tcPr>
            <w:tcW w:w="1306" w:type="dxa"/>
          </w:tcPr>
          <w:p w14:paraId="3BC28A44" w14:textId="77777777" w:rsidR="003C0EB4" w:rsidRDefault="003C0EB4" w:rsidP="00587681">
            <w:pPr>
              <w:jc w:val="center"/>
              <w:rPr>
                <w:sz w:val="20"/>
                <w:szCs w:val="20"/>
              </w:rPr>
            </w:pPr>
            <w:r>
              <w:rPr>
                <w:sz w:val="20"/>
                <w:szCs w:val="20"/>
              </w:rPr>
              <w:t>15</w:t>
            </w:r>
          </w:p>
        </w:tc>
        <w:tc>
          <w:tcPr>
            <w:tcW w:w="1496" w:type="dxa"/>
          </w:tcPr>
          <w:p w14:paraId="313F2F8A" w14:textId="77777777" w:rsidR="003C0EB4" w:rsidRDefault="003C0EB4" w:rsidP="00587681">
            <w:pPr>
              <w:jc w:val="center"/>
              <w:rPr>
                <w:sz w:val="20"/>
                <w:szCs w:val="20"/>
              </w:rPr>
            </w:pPr>
            <w:r>
              <w:rPr>
                <w:sz w:val="20"/>
                <w:szCs w:val="20"/>
              </w:rPr>
              <w:t>PVP VA 64</w:t>
            </w:r>
          </w:p>
        </w:tc>
        <w:tc>
          <w:tcPr>
            <w:tcW w:w="1275" w:type="dxa"/>
          </w:tcPr>
          <w:p w14:paraId="600F9CFE" w14:textId="77777777" w:rsidR="003C0EB4" w:rsidRDefault="003C0EB4" w:rsidP="00587681">
            <w:pPr>
              <w:jc w:val="center"/>
              <w:rPr>
                <w:sz w:val="20"/>
                <w:szCs w:val="20"/>
              </w:rPr>
            </w:pPr>
            <w:r>
              <w:rPr>
                <w:sz w:val="20"/>
                <w:szCs w:val="20"/>
              </w:rPr>
              <w:t>45</w:t>
            </w:r>
          </w:p>
        </w:tc>
        <w:tc>
          <w:tcPr>
            <w:tcW w:w="1204" w:type="dxa"/>
          </w:tcPr>
          <w:p w14:paraId="5206B0A3" w14:textId="77777777" w:rsidR="003C0EB4" w:rsidRDefault="003C0EB4" w:rsidP="00587681">
            <w:pPr>
              <w:jc w:val="center"/>
              <w:rPr>
                <w:sz w:val="20"/>
                <w:szCs w:val="20"/>
              </w:rPr>
            </w:pPr>
            <w:r>
              <w:rPr>
                <w:sz w:val="20"/>
                <w:szCs w:val="20"/>
              </w:rPr>
              <w:t>25</w:t>
            </w:r>
          </w:p>
        </w:tc>
        <w:tc>
          <w:tcPr>
            <w:tcW w:w="1217" w:type="dxa"/>
          </w:tcPr>
          <w:p w14:paraId="65B33A6C" w14:textId="77777777" w:rsidR="003C0EB4" w:rsidRDefault="003C0EB4" w:rsidP="00587681">
            <w:pPr>
              <w:jc w:val="center"/>
              <w:rPr>
                <w:sz w:val="20"/>
                <w:szCs w:val="20"/>
              </w:rPr>
            </w:pPr>
            <w:r>
              <w:rPr>
                <w:sz w:val="20"/>
                <w:szCs w:val="20"/>
              </w:rPr>
              <w:t>20</w:t>
            </w:r>
          </w:p>
        </w:tc>
        <w:tc>
          <w:tcPr>
            <w:tcW w:w="983" w:type="dxa"/>
          </w:tcPr>
          <w:p w14:paraId="27D53FF1" w14:textId="77777777" w:rsidR="003C0EB4" w:rsidRDefault="003C0EB4" w:rsidP="00587681">
            <w:pPr>
              <w:jc w:val="center"/>
              <w:rPr>
                <w:sz w:val="20"/>
                <w:szCs w:val="20"/>
              </w:rPr>
            </w:pPr>
            <w:r w:rsidRPr="009A409D">
              <w:rPr>
                <w:sz w:val="20"/>
                <w:szCs w:val="20"/>
              </w:rPr>
              <w:t>0.2386</w:t>
            </w:r>
          </w:p>
        </w:tc>
        <w:tc>
          <w:tcPr>
            <w:tcW w:w="943" w:type="dxa"/>
            <w:vAlign w:val="center"/>
          </w:tcPr>
          <w:p w14:paraId="3B02B9F2" w14:textId="77777777" w:rsidR="003C0EB4" w:rsidRDefault="003C0EB4" w:rsidP="00587681">
            <w:pPr>
              <w:jc w:val="center"/>
              <w:rPr>
                <w:sz w:val="20"/>
                <w:szCs w:val="20"/>
              </w:rPr>
            </w:pPr>
            <w:r w:rsidRPr="00DB5778">
              <w:rPr>
                <w:sz w:val="20"/>
                <w:szCs w:val="20"/>
              </w:rPr>
              <w:t>13.56</w:t>
            </w:r>
          </w:p>
        </w:tc>
      </w:tr>
      <w:tr w:rsidR="003C0EB4" w14:paraId="7AB57DA6" w14:textId="77777777" w:rsidTr="003C0EB4">
        <w:trPr>
          <w:jc w:val="center"/>
        </w:trPr>
        <w:tc>
          <w:tcPr>
            <w:tcW w:w="1306" w:type="dxa"/>
          </w:tcPr>
          <w:p w14:paraId="25D0BEBC" w14:textId="77777777" w:rsidR="003C0EB4" w:rsidRDefault="003C0EB4" w:rsidP="00587681">
            <w:pPr>
              <w:jc w:val="center"/>
              <w:rPr>
                <w:sz w:val="20"/>
                <w:szCs w:val="20"/>
              </w:rPr>
            </w:pPr>
            <w:r>
              <w:rPr>
                <w:sz w:val="20"/>
                <w:szCs w:val="20"/>
              </w:rPr>
              <w:t>16</w:t>
            </w:r>
          </w:p>
        </w:tc>
        <w:tc>
          <w:tcPr>
            <w:tcW w:w="1496" w:type="dxa"/>
          </w:tcPr>
          <w:p w14:paraId="5431F7C1"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1BFA8F91" w14:textId="77777777" w:rsidR="003C0EB4" w:rsidRDefault="003C0EB4" w:rsidP="00587681">
            <w:pPr>
              <w:jc w:val="center"/>
              <w:rPr>
                <w:sz w:val="20"/>
                <w:szCs w:val="20"/>
              </w:rPr>
            </w:pPr>
            <w:r>
              <w:rPr>
                <w:sz w:val="20"/>
                <w:szCs w:val="20"/>
              </w:rPr>
              <w:t>20</w:t>
            </w:r>
          </w:p>
        </w:tc>
        <w:tc>
          <w:tcPr>
            <w:tcW w:w="1204" w:type="dxa"/>
          </w:tcPr>
          <w:p w14:paraId="76626917" w14:textId="77777777" w:rsidR="003C0EB4" w:rsidRDefault="003C0EB4" w:rsidP="00587681">
            <w:pPr>
              <w:jc w:val="center"/>
              <w:rPr>
                <w:sz w:val="20"/>
                <w:szCs w:val="20"/>
              </w:rPr>
            </w:pPr>
            <w:r>
              <w:rPr>
                <w:sz w:val="20"/>
                <w:szCs w:val="20"/>
              </w:rPr>
              <w:t>25</w:t>
            </w:r>
          </w:p>
        </w:tc>
        <w:tc>
          <w:tcPr>
            <w:tcW w:w="1217" w:type="dxa"/>
          </w:tcPr>
          <w:p w14:paraId="38669922" w14:textId="77777777" w:rsidR="003C0EB4" w:rsidRDefault="003C0EB4" w:rsidP="00587681">
            <w:pPr>
              <w:jc w:val="center"/>
              <w:rPr>
                <w:sz w:val="20"/>
                <w:szCs w:val="20"/>
              </w:rPr>
            </w:pPr>
            <w:r>
              <w:rPr>
                <w:sz w:val="20"/>
                <w:szCs w:val="20"/>
              </w:rPr>
              <w:t>20</w:t>
            </w:r>
          </w:p>
        </w:tc>
        <w:tc>
          <w:tcPr>
            <w:tcW w:w="983" w:type="dxa"/>
          </w:tcPr>
          <w:p w14:paraId="530D77E8" w14:textId="77777777" w:rsidR="003C0EB4" w:rsidRDefault="003C0EB4" w:rsidP="00587681">
            <w:pPr>
              <w:jc w:val="center"/>
              <w:rPr>
                <w:sz w:val="20"/>
                <w:szCs w:val="20"/>
              </w:rPr>
            </w:pPr>
            <w:r w:rsidRPr="009A409D">
              <w:rPr>
                <w:sz w:val="20"/>
                <w:szCs w:val="20"/>
              </w:rPr>
              <w:t>0.2500</w:t>
            </w:r>
          </w:p>
        </w:tc>
        <w:tc>
          <w:tcPr>
            <w:tcW w:w="943" w:type="dxa"/>
            <w:vAlign w:val="center"/>
          </w:tcPr>
          <w:p w14:paraId="46BDCEDB" w14:textId="77777777" w:rsidR="003C0EB4" w:rsidRDefault="003C0EB4" w:rsidP="00587681">
            <w:pPr>
              <w:jc w:val="center"/>
              <w:rPr>
                <w:sz w:val="20"/>
                <w:szCs w:val="20"/>
              </w:rPr>
            </w:pPr>
            <w:r w:rsidRPr="00DB5778">
              <w:rPr>
                <w:sz w:val="20"/>
                <w:szCs w:val="20"/>
              </w:rPr>
              <w:t>14.06</w:t>
            </w:r>
          </w:p>
        </w:tc>
      </w:tr>
      <w:tr w:rsidR="003C0EB4" w14:paraId="53B3338D" w14:textId="77777777" w:rsidTr="003C0EB4">
        <w:trPr>
          <w:jc w:val="center"/>
        </w:trPr>
        <w:tc>
          <w:tcPr>
            <w:tcW w:w="1306" w:type="dxa"/>
            <w:shd w:val="clear" w:color="auto" w:fill="D9D9D9" w:themeFill="background1" w:themeFillShade="D9"/>
          </w:tcPr>
          <w:p w14:paraId="1FA23E32" w14:textId="77777777" w:rsidR="003C0EB4" w:rsidRDefault="003C0EB4" w:rsidP="00587681">
            <w:pPr>
              <w:jc w:val="center"/>
              <w:rPr>
                <w:sz w:val="20"/>
                <w:szCs w:val="20"/>
              </w:rPr>
            </w:pPr>
          </w:p>
        </w:tc>
        <w:tc>
          <w:tcPr>
            <w:tcW w:w="1496" w:type="dxa"/>
          </w:tcPr>
          <w:p w14:paraId="2E38C56E" w14:textId="77777777" w:rsidR="003C0EB4" w:rsidRDefault="003C0EB4" w:rsidP="00587681">
            <w:pPr>
              <w:jc w:val="center"/>
              <w:rPr>
                <w:sz w:val="20"/>
                <w:szCs w:val="20"/>
              </w:rPr>
            </w:pPr>
            <w:proofErr w:type="spellStart"/>
            <w:r>
              <w:rPr>
                <w:sz w:val="20"/>
                <w:szCs w:val="20"/>
              </w:rPr>
              <w:t>TbHCl</w:t>
            </w:r>
            <w:proofErr w:type="spellEnd"/>
          </w:p>
        </w:tc>
        <w:tc>
          <w:tcPr>
            <w:tcW w:w="1275" w:type="dxa"/>
            <w:shd w:val="clear" w:color="auto" w:fill="D9D9D9" w:themeFill="background1" w:themeFillShade="D9"/>
          </w:tcPr>
          <w:p w14:paraId="52FAC874" w14:textId="77777777" w:rsidR="003C0EB4" w:rsidRDefault="003C0EB4" w:rsidP="00587681">
            <w:pPr>
              <w:jc w:val="center"/>
              <w:rPr>
                <w:sz w:val="20"/>
                <w:szCs w:val="20"/>
              </w:rPr>
            </w:pPr>
          </w:p>
        </w:tc>
        <w:tc>
          <w:tcPr>
            <w:tcW w:w="1204" w:type="dxa"/>
            <w:shd w:val="clear" w:color="auto" w:fill="D9D9D9" w:themeFill="background1" w:themeFillShade="D9"/>
          </w:tcPr>
          <w:p w14:paraId="79E8EC85" w14:textId="77777777" w:rsidR="003C0EB4" w:rsidRDefault="003C0EB4" w:rsidP="00587681">
            <w:pPr>
              <w:jc w:val="center"/>
              <w:rPr>
                <w:sz w:val="20"/>
                <w:szCs w:val="20"/>
              </w:rPr>
            </w:pPr>
          </w:p>
        </w:tc>
        <w:tc>
          <w:tcPr>
            <w:tcW w:w="1217" w:type="dxa"/>
            <w:shd w:val="clear" w:color="auto" w:fill="D9D9D9" w:themeFill="background1" w:themeFillShade="D9"/>
          </w:tcPr>
          <w:p w14:paraId="77C6971C" w14:textId="77777777" w:rsidR="003C0EB4" w:rsidRDefault="003C0EB4" w:rsidP="00587681">
            <w:pPr>
              <w:jc w:val="center"/>
              <w:rPr>
                <w:sz w:val="20"/>
                <w:szCs w:val="20"/>
              </w:rPr>
            </w:pPr>
          </w:p>
        </w:tc>
        <w:tc>
          <w:tcPr>
            <w:tcW w:w="983" w:type="dxa"/>
          </w:tcPr>
          <w:p w14:paraId="18A0037D" w14:textId="77777777" w:rsidR="003C0EB4" w:rsidRPr="009A409D" w:rsidRDefault="003C0EB4" w:rsidP="00587681">
            <w:pPr>
              <w:jc w:val="center"/>
              <w:rPr>
                <w:sz w:val="20"/>
                <w:szCs w:val="20"/>
              </w:rPr>
            </w:pPr>
            <w:r w:rsidRPr="00A85855">
              <w:rPr>
                <w:sz w:val="20"/>
                <w:szCs w:val="20"/>
              </w:rPr>
              <w:t>0.2161</w:t>
            </w:r>
          </w:p>
        </w:tc>
        <w:tc>
          <w:tcPr>
            <w:tcW w:w="943" w:type="dxa"/>
          </w:tcPr>
          <w:p w14:paraId="4DB27EB1" w14:textId="77777777" w:rsidR="003C0EB4" w:rsidRPr="00DB5778" w:rsidRDefault="003C0EB4" w:rsidP="00587681">
            <w:pPr>
              <w:jc w:val="center"/>
              <w:rPr>
                <w:sz w:val="20"/>
                <w:szCs w:val="20"/>
              </w:rPr>
            </w:pPr>
            <w:r>
              <w:rPr>
                <w:sz w:val="20"/>
                <w:szCs w:val="20"/>
              </w:rPr>
              <w:t>14.95</w:t>
            </w:r>
          </w:p>
        </w:tc>
      </w:tr>
      <w:tr w:rsidR="003C0EB4" w14:paraId="615CCEF3" w14:textId="77777777" w:rsidTr="003C0EB4">
        <w:trPr>
          <w:jc w:val="center"/>
        </w:trPr>
        <w:tc>
          <w:tcPr>
            <w:tcW w:w="1306" w:type="dxa"/>
            <w:shd w:val="clear" w:color="auto" w:fill="D9D9D9" w:themeFill="background1" w:themeFillShade="D9"/>
          </w:tcPr>
          <w:p w14:paraId="1CCD8D9A" w14:textId="77777777" w:rsidR="003C0EB4" w:rsidRDefault="003C0EB4" w:rsidP="00587681">
            <w:pPr>
              <w:jc w:val="center"/>
              <w:rPr>
                <w:sz w:val="20"/>
                <w:szCs w:val="20"/>
              </w:rPr>
            </w:pPr>
          </w:p>
        </w:tc>
        <w:tc>
          <w:tcPr>
            <w:tcW w:w="1496" w:type="dxa"/>
          </w:tcPr>
          <w:p w14:paraId="14BE1D92" w14:textId="77777777" w:rsidR="003C0EB4" w:rsidRDefault="003C0EB4" w:rsidP="00587681">
            <w:pPr>
              <w:jc w:val="center"/>
              <w:rPr>
                <w:sz w:val="20"/>
                <w:szCs w:val="20"/>
              </w:rPr>
            </w:pPr>
            <w:r>
              <w:rPr>
                <w:sz w:val="20"/>
                <w:szCs w:val="20"/>
              </w:rPr>
              <w:t>PM</w:t>
            </w:r>
            <w:r w:rsidRPr="00CD208A">
              <w:rPr>
                <w:sz w:val="20"/>
                <w:szCs w:val="20"/>
              </w:rPr>
              <w:t xml:space="preserve"> 1</w:t>
            </w:r>
          </w:p>
        </w:tc>
        <w:tc>
          <w:tcPr>
            <w:tcW w:w="1275" w:type="dxa"/>
            <w:shd w:val="clear" w:color="auto" w:fill="D9D9D9" w:themeFill="background1" w:themeFillShade="D9"/>
          </w:tcPr>
          <w:p w14:paraId="5C812E99" w14:textId="77777777" w:rsidR="003C0EB4" w:rsidRDefault="003C0EB4" w:rsidP="00587681">
            <w:pPr>
              <w:jc w:val="center"/>
              <w:rPr>
                <w:sz w:val="20"/>
                <w:szCs w:val="20"/>
              </w:rPr>
            </w:pPr>
          </w:p>
        </w:tc>
        <w:tc>
          <w:tcPr>
            <w:tcW w:w="1204" w:type="dxa"/>
            <w:shd w:val="clear" w:color="auto" w:fill="D9D9D9" w:themeFill="background1" w:themeFillShade="D9"/>
          </w:tcPr>
          <w:p w14:paraId="62E58523" w14:textId="77777777" w:rsidR="003C0EB4" w:rsidRDefault="003C0EB4" w:rsidP="00587681">
            <w:pPr>
              <w:jc w:val="center"/>
              <w:rPr>
                <w:sz w:val="20"/>
                <w:szCs w:val="20"/>
              </w:rPr>
            </w:pPr>
          </w:p>
        </w:tc>
        <w:tc>
          <w:tcPr>
            <w:tcW w:w="1217" w:type="dxa"/>
            <w:shd w:val="clear" w:color="auto" w:fill="D9D9D9" w:themeFill="background1" w:themeFillShade="D9"/>
          </w:tcPr>
          <w:p w14:paraId="1A317C97" w14:textId="77777777" w:rsidR="003C0EB4" w:rsidRDefault="003C0EB4" w:rsidP="00587681">
            <w:pPr>
              <w:jc w:val="center"/>
              <w:rPr>
                <w:sz w:val="20"/>
                <w:szCs w:val="20"/>
              </w:rPr>
            </w:pPr>
          </w:p>
        </w:tc>
        <w:tc>
          <w:tcPr>
            <w:tcW w:w="983" w:type="dxa"/>
          </w:tcPr>
          <w:p w14:paraId="77855D68" w14:textId="77777777" w:rsidR="003C0EB4" w:rsidRPr="009A409D" w:rsidRDefault="003C0EB4" w:rsidP="00587681">
            <w:pPr>
              <w:jc w:val="center"/>
              <w:rPr>
                <w:sz w:val="20"/>
                <w:szCs w:val="20"/>
              </w:rPr>
            </w:pPr>
            <w:r>
              <w:rPr>
                <w:sz w:val="20"/>
                <w:szCs w:val="20"/>
              </w:rPr>
              <w:t>0.2182</w:t>
            </w:r>
          </w:p>
        </w:tc>
        <w:tc>
          <w:tcPr>
            <w:tcW w:w="943" w:type="dxa"/>
          </w:tcPr>
          <w:p w14:paraId="525D5398" w14:textId="77777777" w:rsidR="003C0EB4" w:rsidRPr="00DB5778" w:rsidRDefault="003C0EB4" w:rsidP="00587681">
            <w:pPr>
              <w:jc w:val="center"/>
              <w:rPr>
                <w:sz w:val="20"/>
                <w:szCs w:val="20"/>
              </w:rPr>
            </w:pPr>
            <w:r>
              <w:rPr>
                <w:sz w:val="20"/>
                <w:szCs w:val="20"/>
              </w:rPr>
              <w:t>12.10</w:t>
            </w:r>
          </w:p>
        </w:tc>
      </w:tr>
      <w:tr w:rsidR="003C0EB4" w14:paraId="79E5DC45" w14:textId="77777777" w:rsidTr="003C0EB4">
        <w:trPr>
          <w:jc w:val="center"/>
        </w:trPr>
        <w:tc>
          <w:tcPr>
            <w:tcW w:w="1306" w:type="dxa"/>
            <w:shd w:val="clear" w:color="auto" w:fill="D9D9D9" w:themeFill="background1" w:themeFillShade="D9"/>
          </w:tcPr>
          <w:p w14:paraId="407C2D39" w14:textId="77777777" w:rsidR="003C0EB4" w:rsidRDefault="003C0EB4" w:rsidP="00587681">
            <w:pPr>
              <w:jc w:val="center"/>
              <w:rPr>
                <w:sz w:val="20"/>
                <w:szCs w:val="20"/>
              </w:rPr>
            </w:pPr>
          </w:p>
        </w:tc>
        <w:tc>
          <w:tcPr>
            <w:tcW w:w="1496" w:type="dxa"/>
          </w:tcPr>
          <w:p w14:paraId="76DFC197" w14:textId="77777777" w:rsidR="003C0EB4" w:rsidRDefault="003C0EB4" w:rsidP="00587681">
            <w:pPr>
              <w:jc w:val="center"/>
              <w:rPr>
                <w:sz w:val="20"/>
                <w:szCs w:val="20"/>
              </w:rPr>
            </w:pPr>
            <w:r>
              <w:rPr>
                <w:sz w:val="20"/>
                <w:szCs w:val="20"/>
              </w:rPr>
              <w:t>PM</w:t>
            </w:r>
            <w:r w:rsidRPr="00CD208A">
              <w:rPr>
                <w:sz w:val="20"/>
                <w:szCs w:val="20"/>
              </w:rPr>
              <w:t xml:space="preserve"> 2</w:t>
            </w:r>
          </w:p>
        </w:tc>
        <w:tc>
          <w:tcPr>
            <w:tcW w:w="1275" w:type="dxa"/>
            <w:shd w:val="clear" w:color="auto" w:fill="D9D9D9" w:themeFill="background1" w:themeFillShade="D9"/>
          </w:tcPr>
          <w:p w14:paraId="0112AE8D" w14:textId="77777777" w:rsidR="003C0EB4" w:rsidRDefault="003C0EB4" w:rsidP="00587681">
            <w:pPr>
              <w:jc w:val="center"/>
              <w:rPr>
                <w:sz w:val="20"/>
                <w:szCs w:val="20"/>
              </w:rPr>
            </w:pPr>
          </w:p>
        </w:tc>
        <w:tc>
          <w:tcPr>
            <w:tcW w:w="1204" w:type="dxa"/>
            <w:shd w:val="clear" w:color="auto" w:fill="D9D9D9" w:themeFill="background1" w:themeFillShade="D9"/>
          </w:tcPr>
          <w:p w14:paraId="44BF11E4" w14:textId="77777777" w:rsidR="003C0EB4" w:rsidRDefault="003C0EB4" w:rsidP="00587681">
            <w:pPr>
              <w:jc w:val="center"/>
              <w:rPr>
                <w:sz w:val="20"/>
                <w:szCs w:val="20"/>
              </w:rPr>
            </w:pPr>
          </w:p>
        </w:tc>
        <w:tc>
          <w:tcPr>
            <w:tcW w:w="1217" w:type="dxa"/>
            <w:shd w:val="clear" w:color="auto" w:fill="D9D9D9" w:themeFill="background1" w:themeFillShade="D9"/>
          </w:tcPr>
          <w:p w14:paraId="711E3A48" w14:textId="77777777" w:rsidR="003C0EB4" w:rsidRDefault="003C0EB4" w:rsidP="00587681">
            <w:pPr>
              <w:jc w:val="center"/>
              <w:rPr>
                <w:sz w:val="20"/>
                <w:szCs w:val="20"/>
              </w:rPr>
            </w:pPr>
          </w:p>
        </w:tc>
        <w:tc>
          <w:tcPr>
            <w:tcW w:w="983" w:type="dxa"/>
          </w:tcPr>
          <w:p w14:paraId="2FAEDB63" w14:textId="77777777" w:rsidR="003C0EB4" w:rsidRPr="009A409D" w:rsidRDefault="003C0EB4" w:rsidP="00587681">
            <w:pPr>
              <w:jc w:val="center"/>
              <w:rPr>
                <w:sz w:val="20"/>
                <w:szCs w:val="20"/>
              </w:rPr>
            </w:pPr>
            <w:r>
              <w:rPr>
                <w:sz w:val="20"/>
                <w:szCs w:val="20"/>
              </w:rPr>
              <w:t>0.3123</w:t>
            </w:r>
          </w:p>
        </w:tc>
        <w:tc>
          <w:tcPr>
            <w:tcW w:w="943" w:type="dxa"/>
          </w:tcPr>
          <w:p w14:paraId="622328EC" w14:textId="77777777" w:rsidR="003C0EB4" w:rsidRPr="00DB5778" w:rsidRDefault="003C0EB4" w:rsidP="00587681">
            <w:pPr>
              <w:jc w:val="center"/>
              <w:rPr>
                <w:sz w:val="20"/>
                <w:szCs w:val="20"/>
              </w:rPr>
            </w:pPr>
            <w:r>
              <w:rPr>
                <w:sz w:val="20"/>
                <w:szCs w:val="20"/>
              </w:rPr>
              <w:t>18.10</w:t>
            </w:r>
          </w:p>
        </w:tc>
      </w:tr>
      <w:tr w:rsidR="003C0EB4" w14:paraId="72ACEA7D" w14:textId="77777777" w:rsidTr="003C0EB4">
        <w:trPr>
          <w:jc w:val="center"/>
        </w:trPr>
        <w:tc>
          <w:tcPr>
            <w:tcW w:w="8424" w:type="dxa"/>
            <w:gridSpan w:val="7"/>
            <w:shd w:val="clear" w:color="auto" w:fill="C4BC96" w:themeFill="background2" w:themeFillShade="BF"/>
          </w:tcPr>
          <w:p w14:paraId="02402A8C" w14:textId="77777777" w:rsidR="003C0EB4" w:rsidRDefault="003C0EB4" w:rsidP="00587681">
            <w:pPr>
              <w:jc w:val="center"/>
              <w:rPr>
                <w:sz w:val="20"/>
                <w:szCs w:val="20"/>
              </w:rPr>
            </w:pPr>
          </w:p>
        </w:tc>
      </w:tr>
      <w:tr w:rsidR="003C0EB4" w14:paraId="71C29200" w14:textId="77777777" w:rsidTr="003C0EB4">
        <w:trPr>
          <w:jc w:val="center"/>
        </w:trPr>
        <w:tc>
          <w:tcPr>
            <w:tcW w:w="8424" w:type="dxa"/>
            <w:gridSpan w:val="7"/>
          </w:tcPr>
          <w:p w14:paraId="6EACAF00" w14:textId="77777777" w:rsidR="003C0EB4" w:rsidRPr="008B496E" w:rsidRDefault="003C0EB4" w:rsidP="00587681">
            <w:pPr>
              <w:jc w:val="center"/>
              <w:rPr>
                <w:b/>
                <w:bCs/>
                <w:sz w:val="20"/>
                <w:szCs w:val="20"/>
              </w:rPr>
            </w:pPr>
            <w:r w:rsidRPr="008B496E">
              <w:rPr>
                <w:b/>
                <w:bCs/>
                <w:sz w:val="20"/>
                <w:szCs w:val="20"/>
              </w:rPr>
              <w:t xml:space="preserve">Central composite design </w:t>
            </w:r>
            <w:r>
              <w:rPr>
                <w:b/>
                <w:bCs/>
                <w:sz w:val="20"/>
                <w:szCs w:val="20"/>
              </w:rPr>
              <w:t xml:space="preserve">(CCD) </w:t>
            </w:r>
            <w:r w:rsidRPr="008B496E">
              <w:rPr>
                <w:b/>
                <w:bCs/>
                <w:sz w:val="20"/>
                <w:szCs w:val="20"/>
              </w:rPr>
              <w:t>with stars</w:t>
            </w:r>
          </w:p>
        </w:tc>
      </w:tr>
      <w:tr w:rsidR="003C0EB4" w14:paraId="5F074870" w14:textId="77777777" w:rsidTr="003C0EB4">
        <w:trPr>
          <w:jc w:val="center"/>
        </w:trPr>
        <w:tc>
          <w:tcPr>
            <w:tcW w:w="1306" w:type="dxa"/>
          </w:tcPr>
          <w:p w14:paraId="506805B5" w14:textId="77777777" w:rsidR="003C0EB4" w:rsidRDefault="003C0EB4" w:rsidP="00587681">
            <w:pPr>
              <w:jc w:val="center"/>
              <w:rPr>
                <w:sz w:val="20"/>
                <w:szCs w:val="20"/>
              </w:rPr>
            </w:pPr>
            <w:r>
              <w:rPr>
                <w:sz w:val="20"/>
                <w:szCs w:val="20"/>
              </w:rPr>
              <w:t>17</w:t>
            </w:r>
          </w:p>
        </w:tc>
        <w:tc>
          <w:tcPr>
            <w:tcW w:w="1496" w:type="dxa"/>
          </w:tcPr>
          <w:p w14:paraId="41AFC666"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0F5B0223" w14:textId="77777777" w:rsidR="003C0EB4" w:rsidRDefault="003C0EB4" w:rsidP="00587681">
            <w:pPr>
              <w:jc w:val="center"/>
              <w:rPr>
                <w:sz w:val="20"/>
                <w:szCs w:val="20"/>
              </w:rPr>
            </w:pPr>
            <w:r>
              <w:rPr>
                <w:sz w:val="20"/>
                <w:szCs w:val="20"/>
              </w:rPr>
              <w:t>45</w:t>
            </w:r>
          </w:p>
        </w:tc>
        <w:tc>
          <w:tcPr>
            <w:tcW w:w="1204" w:type="dxa"/>
          </w:tcPr>
          <w:p w14:paraId="316DAC57" w14:textId="77777777" w:rsidR="003C0EB4" w:rsidRDefault="003C0EB4" w:rsidP="00587681">
            <w:pPr>
              <w:jc w:val="center"/>
              <w:rPr>
                <w:sz w:val="20"/>
                <w:szCs w:val="20"/>
              </w:rPr>
            </w:pPr>
            <w:r>
              <w:rPr>
                <w:sz w:val="20"/>
                <w:szCs w:val="20"/>
              </w:rPr>
              <w:t>N/A</w:t>
            </w:r>
          </w:p>
        </w:tc>
        <w:tc>
          <w:tcPr>
            <w:tcW w:w="1217" w:type="dxa"/>
          </w:tcPr>
          <w:p w14:paraId="57796536" w14:textId="77777777" w:rsidR="003C0EB4" w:rsidRDefault="003C0EB4" w:rsidP="00587681">
            <w:pPr>
              <w:jc w:val="center"/>
              <w:rPr>
                <w:sz w:val="20"/>
                <w:szCs w:val="20"/>
              </w:rPr>
            </w:pPr>
            <w:r>
              <w:rPr>
                <w:sz w:val="20"/>
                <w:szCs w:val="20"/>
              </w:rPr>
              <w:t>5</w:t>
            </w:r>
          </w:p>
        </w:tc>
        <w:tc>
          <w:tcPr>
            <w:tcW w:w="983" w:type="dxa"/>
            <w:vAlign w:val="bottom"/>
          </w:tcPr>
          <w:p w14:paraId="672CC020" w14:textId="77777777" w:rsidR="003C0EB4" w:rsidRDefault="003C0EB4" w:rsidP="00587681">
            <w:pPr>
              <w:jc w:val="center"/>
              <w:rPr>
                <w:sz w:val="20"/>
                <w:szCs w:val="20"/>
              </w:rPr>
            </w:pPr>
            <w:r w:rsidRPr="004F1077">
              <w:rPr>
                <w:sz w:val="20"/>
                <w:szCs w:val="20"/>
              </w:rPr>
              <w:t>0.3890</w:t>
            </w:r>
          </w:p>
        </w:tc>
        <w:tc>
          <w:tcPr>
            <w:tcW w:w="943" w:type="dxa"/>
            <w:vAlign w:val="center"/>
          </w:tcPr>
          <w:p w14:paraId="3AD380F7" w14:textId="77777777" w:rsidR="003C0EB4" w:rsidRDefault="003C0EB4" w:rsidP="00587681">
            <w:pPr>
              <w:jc w:val="center"/>
              <w:rPr>
                <w:sz w:val="20"/>
                <w:szCs w:val="20"/>
              </w:rPr>
            </w:pPr>
            <w:r w:rsidRPr="004F1077">
              <w:rPr>
                <w:sz w:val="20"/>
                <w:szCs w:val="20"/>
              </w:rPr>
              <w:t>19.32</w:t>
            </w:r>
          </w:p>
        </w:tc>
      </w:tr>
      <w:tr w:rsidR="003C0EB4" w14:paraId="480CAA42" w14:textId="77777777" w:rsidTr="003C0EB4">
        <w:trPr>
          <w:jc w:val="center"/>
        </w:trPr>
        <w:tc>
          <w:tcPr>
            <w:tcW w:w="1306" w:type="dxa"/>
          </w:tcPr>
          <w:p w14:paraId="3572E02F" w14:textId="77777777" w:rsidR="003C0EB4" w:rsidRDefault="003C0EB4" w:rsidP="00587681">
            <w:pPr>
              <w:jc w:val="center"/>
              <w:rPr>
                <w:sz w:val="20"/>
                <w:szCs w:val="20"/>
              </w:rPr>
            </w:pPr>
            <w:r>
              <w:rPr>
                <w:sz w:val="20"/>
                <w:szCs w:val="20"/>
              </w:rPr>
              <w:t>18</w:t>
            </w:r>
          </w:p>
        </w:tc>
        <w:tc>
          <w:tcPr>
            <w:tcW w:w="1496" w:type="dxa"/>
          </w:tcPr>
          <w:p w14:paraId="130F2958"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47B1C645" w14:textId="77777777" w:rsidR="003C0EB4" w:rsidRDefault="003C0EB4" w:rsidP="00587681">
            <w:pPr>
              <w:jc w:val="center"/>
              <w:rPr>
                <w:sz w:val="20"/>
                <w:szCs w:val="20"/>
              </w:rPr>
            </w:pPr>
            <w:r>
              <w:rPr>
                <w:sz w:val="20"/>
                <w:szCs w:val="20"/>
              </w:rPr>
              <w:t>32.5</w:t>
            </w:r>
          </w:p>
        </w:tc>
        <w:tc>
          <w:tcPr>
            <w:tcW w:w="1204" w:type="dxa"/>
          </w:tcPr>
          <w:p w14:paraId="0A1032D7" w14:textId="77777777" w:rsidR="003C0EB4" w:rsidRPr="004F1077" w:rsidRDefault="003C0EB4" w:rsidP="00587681">
            <w:pPr>
              <w:jc w:val="center"/>
              <w:rPr>
                <w:sz w:val="20"/>
                <w:szCs w:val="20"/>
              </w:rPr>
            </w:pPr>
            <w:r>
              <w:rPr>
                <w:sz w:val="20"/>
                <w:szCs w:val="20"/>
              </w:rPr>
              <w:t>N/A</w:t>
            </w:r>
          </w:p>
        </w:tc>
        <w:tc>
          <w:tcPr>
            <w:tcW w:w="1217" w:type="dxa"/>
          </w:tcPr>
          <w:p w14:paraId="2A7B198E" w14:textId="77777777" w:rsidR="003C0EB4" w:rsidRPr="004F1077" w:rsidRDefault="003C0EB4" w:rsidP="00587681">
            <w:pPr>
              <w:jc w:val="center"/>
              <w:rPr>
                <w:sz w:val="20"/>
                <w:szCs w:val="20"/>
              </w:rPr>
            </w:pPr>
            <w:r>
              <w:rPr>
                <w:sz w:val="20"/>
                <w:szCs w:val="20"/>
              </w:rPr>
              <w:t>3.39</w:t>
            </w:r>
          </w:p>
        </w:tc>
        <w:tc>
          <w:tcPr>
            <w:tcW w:w="983" w:type="dxa"/>
            <w:vAlign w:val="bottom"/>
          </w:tcPr>
          <w:p w14:paraId="4F901FF2" w14:textId="77777777" w:rsidR="003C0EB4" w:rsidRDefault="003C0EB4" w:rsidP="00587681">
            <w:pPr>
              <w:jc w:val="center"/>
              <w:rPr>
                <w:sz w:val="20"/>
                <w:szCs w:val="20"/>
              </w:rPr>
            </w:pPr>
            <w:r w:rsidRPr="004F1077">
              <w:rPr>
                <w:sz w:val="20"/>
                <w:szCs w:val="20"/>
              </w:rPr>
              <w:t>0.3719</w:t>
            </w:r>
          </w:p>
        </w:tc>
        <w:tc>
          <w:tcPr>
            <w:tcW w:w="943" w:type="dxa"/>
            <w:vAlign w:val="center"/>
          </w:tcPr>
          <w:p w14:paraId="67266C11" w14:textId="77777777" w:rsidR="003C0EB4" w:rsidRDefault="003C0EB4" w:rsidP="00587681">
            <w:pPr>
              <w:jc w:val="center"/>
              <w:rPr>
                <w:sz w:val="20"/>
                <w:szCs w:val="20"/>
              </w:rPr>
            </w:pPr>
            <w:r w:rsidRPr="004F1077">
              <w:rPr>
                <w:sz w:val="20"/>
                <w:szCs w:val="20"/>
              </w:rPr>
              <w:t>20.98</w:t>
            </w:r>
          </w:p>
        </w:tc>
      </w:tr>
      <w:tr w:rsidR="003C0EB4" w14:paraId="2DFEC6B4" w14:textId="77777777" w:rsidTr="003C0EB4">
        <w:trPr>
          <w:jc w:val="center"/>
        </w:trPr>
        <w:tc>
          <w:tcPr>
            <w:tcW w:w="1306" w:type="dxa"/>
          </w:tcPr>
          <w:p w14:paraId="28EC76E7" w14:textId="77777777" w:rsidR="003C0EB4" w:rsidRDefault="003C0EB4" w:rsidP="00587681">
            <w:pPr>
              <w:jc w:val="center"/>
              <w:rPr>
                <w:sz w:val="20"/>
                <w:szCs w:val="20"/>
              </w:rPr>
            </w:pPr>
            <w:r>
              <w:rPr>
                <w:sz w:val="20"/>
                <w:szCs w:val="20"/>
              </w:rPr>
              <w:t>19</w:t>
            </w:r>
          </w:p>
        </w:tc>
        <w:tc>
          <w:tcPr>
            <w:tcW w:w="1496" w:type="dxa"/>
          </w:tcPr>
          <w:p w14:paraId="129A35FE" w14:textId="77777777" w:rsidR="003C0EB4" w:rsidRDefault="003C0EB4" w:rsidP="00587681">
            <w:pPr>
              <w:jc w:val="center"/>
              <w:rPr>
                <w:sz w:val="20"/>
                <w:szCs w:val="20"/>
              </w:rPr>
            </w:pPr>
            <w:proofErr w:type="spellStart"/>
            <w:r>
              <w:rPr>
                <w:sz w:val="20"/>
                <w:szCs w:val="20"/>
              </w:rPr>
              <w:t>Soluplus</w:t>
            </w:r>
            <w:proofErr w:type="spellEnd"/>
          </w:p>
        </w:tc>
        <w:tc>
          <w:tcPr>
            <w:tcW w:w="1275" w:type="dxa"/>
          </w:tcPr>
          <w:p w14:paraId="4115FBFC" w14:textId="77777777" w:rsidR="003C0EB4" w:rsidRDefault="003C0EB4" w:rsidP="00587681">
            <w:pPr>
              <w:jc w:val="center"/>
              <w:rPr>
                <w:sz w:val="20"/>
                <w:szCs w:val="20"/>
              </w:rPr>
            </w:pPr>
            <w:r>
              <w:rPr>
                <w:sz w:val="20"/>
                <w:szCs w:val="20"/>
              </w:rPr>
              <w:t>20</w:t>
            </w:r>
          </w:p>
        </w:tc>
        <w:tc>
          <w:tcPr>
            <w:tcW w:w="1204" w:type="dxa"/>
          </w:tcPr>
          <w:p w14:paraId="0370BA8F" w14:textId="77777777" w:rsidR="003C0EB4" w:rsidRPr="004F1077" w:rsidRDefault="003C0EB4" w:rsidP="00587681">
            <w:pPr>
              <w:jc w:val="center"/>
              <w:rPr>
                <w:sz w:val="20"/>
                <w:szCs w:val="20"/>
              </w:rPr>
            </w:pPr>
            <w:r>
              <w:rPr>
                <w:sz w:val="20"/>
                <w:szCs w:val="20"/>
              </w:rPr>
              <w:t>N/A</w:t>
            </w:r>
          </w:p>
        </w:tc>
        <w:tc>
          <w:tcPr>
            <w:tcW w:w="1217" w:type="dxa"/>
          </w:tcPr>
          <w:p w14:paraId="16B1A26B" w14:textId="77777777" w:rsidR="003C0EB4" w:rsidRPr="004F1077" w:rsidRDefault="003C0EB4" w:rsidP="00587681">
            <w:pPr>
              <w:jc w:val="center"/>
              <w:rPr>
                <w:sz w:val="20"/>
                <w:szCs w:val="20"/>
              </w:rPr>
            </w:pPr>
            <w:r>
              <w:rPr>
                <w:sz w:val="20"/>
                <w:szCs w:val="20"/>
              </w:rPr>
              <w:t>5</w:t>
            </w:r>
          </w:p>
        </w:tc>
        <w:tc>
          <w:tcPr>
            <w:tcW w:w="983" w:type="dxa"/>
            <w:vAlign w:val="bottom"/>
          </w:tcPr>
          <w:p w14:paraId="37B0ABA1" w14:textId="77777777" w:rsidR="003C0EB4" w:rsidRDefault="003C0EB4" w:rsidP="00587681">
            <w:pPr>
              <w:jc w:val="center"/>
              <w:rPr>
                <w:sz w:val="20"/>
                <w:szCs w:val="20"/>
              </w:rPr>
            </w:pPr>
            <w:r w:rsidRPr="004F1077">
              <w:rPr>
                <w:sz w:val="20"/>
                <w:szCs w:val="20"/>
              </w:rPr>
              <w:t>0.2946</w:t>
            </w:r>
          </w:p>
        </w:tc>
        <w:tc>
          <w:tcPr>
            <w:tcW w:w="943" w:type="dxa"/>
            <w:vAlign w:val="center"/>
          </w:tcPr>
          <w:p w14:paraId="0FB50147" w14:textId="77777777" w:rsidR="003C0EB4" w:rsidRDefault="003C0EB4" w:rsidP="00587681">
            <w:pPr>
              <w:jc w:val="center"/>
              <w:rPr>
                <w:sz w:val="20"/>
                <w:szCs w:val="20"/>
              </w:rPr>
            </w:pPr>
            <w:r w:rsidRPr="004F1077">
              <w:rPr>
                <w:sz w:val="20"/>
                <w:szCs w:val="20"/>
              </w:rPr>
              <w:t>16.18</w:t>
            </w:r>
          </w:p>
        </w:tc>
      </w:tr>
      <w:tr w:rsidR="003C0EB4" w14:paraId="33962E16" w14:textId="77777777" w:rsidTr="003C0EB4">
        <w:trPr>
          <w:jc w:val="center"/>
        </w:trPr>
        <w:tc>
          <w:tcPr>
            <w:tcW w:w="1306" w:type="dxa"/>
          </w:tcPr>
          <w:p w14:paraId="2219ACED" w14:textId="77777777" w:rsidR="003C0EB4" w:rsidRDefault="003C0EB4" w:rsidP="00587681">
            <w:pPr>
              <w:jc w:val="center"/>
              <w:rPr>
                <w:sz w:val="20"/>
                <w:szCs w:val="20"/>
              </w:rPr>
            </w:pPr>
            <w:r>
              <w:rPr>
                <w:sz w:val="20"/>
                <w:szCs w:val="20"/>
              </w:rPr>
              <w:t>20</w:t>
            </w:r>
          </w:p>
        </w:tc>
        <w:tc>
          <w:tcPr>
            <w:tcW w:w="1496" w:type="dxa"/>
          </w:tcPr>
          <w:p w14:paraId="4E0BC927"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3530BAD4" w14:textId="77777777" w:rsidR="003C0EB4" w:rsidRDefault="003C0EB4" w:rsidP="00587681">
            <w:pPr>
              <w:jc w:val="center"/>
              <w:rPr>
                <w:sz w:val="20"/>
                <w:szCs w:val="20"/>
              </w:rPr>
            </w:pPr>
            <w:r>
              <w:rPr>
                <w:sz w:val="20"/>
                <w:szCs w:val="20"/>
              </w:rPr>
              <w:t>14.32</w:t>
            </w:r>
          </w:p>
        </w:tc>
        <w:tc>
          <w:tcPr>
            <w:tcW w:w="1204" w:type="dxa"/>
          </w:tcPr>
          <w:p w14:paraId="297C32CE" w14:textId="77777777" w:rsidR="003C0EB4" w:rsidRPr="004F1077" w:rsidRDefault="003C0EB4" w:rsidP="00587681">
            <w:pPr>
              <w:jc w:val="center"/>
              <w:rPr>
                <w:sz w:val="20"/>
                <w:szCs w:val="20"/>
              </w:rPr>
            </w:pPr>
            <w:r>
              <w:rPr>
                <w:sz w:val="20"/>
                <w:szCs w:val="20"/>
              </w:rPr>
              <w:t>N/A</w:t>
            </w:r>
          </w:p>
        </w:tc>
        <w:tc>
          <w:tcPr>
            <w:tcW w:w="1217" w:type="dxa"/>
          </w:tcPr>
          <w:p w14:paraId="1CB5CFDF" w14:textId="77777777" w:rsidR="003C0EB4" w:rsidRPr="004F1077" w:rsidRDefault="003C0EB4" w:rsidP="00587681">
            <w:pPr>
              <w:jc w:val="center"/>
              <w:rPr>
                <w:sz w:val="20"/>
                <w:szCs w:val="20"/>
              </w:rPr>
            </w:pPr>
            <w:r>
              <w:rPr>
                <w:sz w:val="20"/>
                <w:szCs w:val="20"/>
              </w:rPr>
              <w:t>7.5</w:t>
            </w:r>
          </w:p>
        </w:tc>
        <w:tc>
          <w:tcPr>
            <w:tcW w:w="983" w:type="dxa"/>
            <w:vAlign w:val="bottom"/>
          </w:tcPr>
          <w:p w14:paraId="05F458FC" w14:textId="77777777" w:rsidR="003C0EB4" w:rsidRDefault="003C0EB4" w:rsidP="00587681">
            <w:pPr>
              <w:jc w:val="center"/>
              <w:rPr>
                <w:sz w:val="20"/>
                <w:szCs w:val="20"/>
              </w:rPr>
            </w:pPr>
            <w:r w:rsidRPr="004F1077">
              <w:rPr>
                <w:sz w:val="20"/>
                <w:szCs w:val="20"/>
              </w:rPr>
              <w:t>0.2967</w:t>
            </w:r>
          </w:p>
        </w:tc>
        <w:tc>
          <w:tcPr>
            <w:tcW w:w="943" w:type="dxa"/>
            <w:vAlign w:val="center"/>
          </w:tcPr>
          <w:p w14:paraId="0A066D27" w14:textId="77777777" w:rsidR="003C0EB4" w:rsidRDefault="003C0EB4" w:rsidP="00587681">
            <w:pPr>
              <w:jc w:val="center"/>
              <w:rPr>
                <w:sz w:val="20"/>
                <w:szCs w:val="20"/>
              </w:rPr>
            </w:pPr>
            <w:r w:rsidRPr="004F1077">
              <w:rPr>
                <w:sz w:val="20"/>
                <w:szCs w:val="20"/>
              </w:rPr>
              <w:t>17.28</w:t>
            </w:r>
          </w:p>
        </w:tc>
      </w:tr>
      <w:tr w:rsidR="003C0EB4" w14:paraId="447922B8" w14:textId="77777777" w:rsidTr="003C0EB4">
        <w:trPr>
          <w:jc w:val="center"/>
        </w:trPr>
        <w:tc>
          <w:tcPr>
            <w:tcW w:w="1306" w:type="dxa"/>
          </w:tcPr>
          <w:p w14:paraId="2372CF52" w14:textId="77777777" w:rsidR="003C0EB4" w:rsidRDefault="003C0EB4" w:rsidP="00587681">
            <w:pPr>
              <w:jc w:val="center"/>
              <w:rPr>
                <w:sz w:val="20"/>
                <w:szCs w:val="20"/>
              </w:rPr>
            </w:pPr>
            <w:r>
              <w:rPr>
                <w:sz w:val="20"/>
                <w:szCs w:val="20"/>
              </w:rPr>
              <w:t>21</w:t>
            </w:r>
          </w:p>
        </w:tc>
        <w:tc>
          <w:tcPr>
            <w:tcW w:w="1496" w:type="dxa"/>
          </w:tcPr>
          <w:p w14:paraId="068841A7"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344B545F" w14:textId="77777777" w:rsidR="003C0EB4" w:rsidRDefault="003C0EB4" w:rsidP="00587681">
            <w:pPr>
              <w:jc w:val="center"/>
              <w:rPr>
                <w:sz w:val="20"/>
                <w:szCs w:val="20"/>
              </w:rPr>
            </w:pPr>
            <w:r>
              <w:rPr>
                <w:sz w:val="20"/>
                <w:szCs w:val="20"/>
              </w:rPr>
              <w:t>45</w:t>
            </w:r>
          </w:p>
        </w:tc>
        <w:tc>
          <w:tcPr>
            <w:tcW w:w="1204" w:type="dxa"/>
          </w:tcPr>
          <w:p w14:paraId="48F09CE6" w14:textId="77777777" w:rsidR="003C0EB4" w:rsidRPr="004F1077" w:rsidRDefault="003C0EB4" w:rsidP="00587681">
            <w:pPr>
              <w:jc w:val="center"/>
              <w:rPr>
                <w:sz w:val="20"/>
                <w:szCs w:val="20"/>
              </w:rPr>
            </w:pPr>
            <w:r>
              <w:rPr>
                <w:sz w:val="20"/>
                <w:szCs w:val="20"/>
              </w:rPr>
              <w:t>N/A</w:t>
            </w:r>
          </w:p>
        </w:tc>
        <w:tc>
          <w:tcPr>
            <w:tcW w:w="1217" w:type="dxa"/>
          </w:tcPr>
          <w:p w14:paraId="51BFFBF8" w14:textId="77777777" w:rsidR="003C0EB4" w:rsidRPr="004F1077" w:rsidRDefault="003C0EB4" w:rsidP="00587681">
            <w:pPr>
              <w:jc w:val="center"/>
              <w:rPr>
                <w:sz w:val="20"/>
                <w:szCs w:val="20"/>
              </w:rPr>
            </w:pPr>
            <w:r>
              <w:rPr>
                <w:sz w:val="20"/>
                <w:szCs w:val="20"/>
              </w:rPr>
              <w:t>20</w:t>
            </w:r>
          </w:p>
        </w:tc>
        <w:tc>
          <w:tcPr>
            <w:tcW w:w="983" w:type="dxa"/>
            <w:vAlign w:val="bottom"/>
          </w:tcPr>
          <w:p w14:paraId="4D323FD2" w14:textId="77777777" w:rsidR="003C0EB4" w:rsidRDefault="003C0EB4" w:rsidP="00587681">
            <w:pPr>
              <w:jc w:val="center"/>
              <w:rPr>
                <w:sz w:val="20"/>
                <w:szCs w:val="20"/>
              </w:rPr>
            </w:pPr>
            <w:r w:rsidRPr="004F1077">
              <w:rPr>
                <w:sz w:val="20"/>
                <w:szCs w:val="20"/>
              </w:rPr>
              <w:t>0.4436</w:t>
            </w:r>
          </w:p>
        </w:tc>
        <w:tc>
          <w:tcPr>
            <w:tcW w:w="943" w:type="dxa"/>
            <w:vAlign w:val="center"/>
          </w:tcPr>
          <w:p w14:paraId="1BC73641" w14:textId="77777777" w:rsidR="003C0EB4" w:rsidRDefault="003C0EB4" w:rsidP="00587681">
            <w:pPr>
              <w:jc w:val="center"/>
              <w:rPr>
                <w:sz w:val="20"/>
                <w:szCs w:val="20"/>
              </w:rPr>
            </w:pPr>
            <w:r w:rsidRPr="004F1077">
              <w:rPr>
                <w:sz w:val="20"/>
                <w:szCs w:val="20"/>
              </w:rPr>
              <w:t>25.04</w:t>
            </w:r>
          </w:p>
        </w:tc>
      </w:tr>
      <w:tr w:rsidR="003C0EB4" w14:paraId="62611BD3" w14:textId="77777777" w:rsidTr="003C0EB4">
        <w:trPr>
          <w:jc w:val="center"/>
        </w:trPr>
        <w:tc>
          <w:tcPr>
            <w:tcW w:w="1306" w:type="dxa"/>
          </w:tcPr>
          <w:p w14:paraId="7635D524" w14:textId="77777777" w:rsidR="003C0EB4" w:rsidRDefault="003C0EB4" w:rsidP="00587681">
            <w:pPr>
              <w:jc w:val="center"/>
              <w:rPr>
                <w:sz w:val="20"/>
                <w:szCs w:val="20"/>
              </w:rPr>
            </w:pPr>
            <w:r>
              <w:rPr>
                <w:sz w:val="20"/>
                <w:szCs w:val="20"/>
              </w:rPr>
              <w:t>22</w:t>
            </w:r>
          </w:p>
        </w:tc>
        <w:tc>
          <w:tcPr>
            <w:tcW w:w="1496" w:type="dxa"/>
          </w:tcPr>
          <w:p w14:paraId="0A3EC04A"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24639440" w14:textId="77777777" w:rsidR="003C0EB4" w:rsidRDefault="003C0EB4" w:rsidP="00587681">
            <w:pPr>
              <w:jc w:val="center"/>
              <w:rPr>
                <w:sz w:val="20"/>
                <w:szCs w:val="20"/>
              </w:rPr>
            </w:pPr>
            <w:r>
              <w:rPr>
                <w:sz w:val="20"/>
                <w:szCs w:val="20"/>
              </w:rPr>
              <w:t>32.5</w:t>
            </w:r>
          </w:p>
        </w:tc>
        <w:tc>
          <w:tcPr>
            <w:tcW w:w="1204" w:type="dxa"/>
          </w:tcPr>
          <w:p w14:paraId="1B3B2C06" w14:textId="77777777" w:rsidR="003C0EB4" w:rsidRPr="004F1077" w:rsidRDefault="003C0EB4" w:rsidP="00587681">
            <w:pPr>
              <w:jc w:val="center"/>
              <w:rPr>
                <w:sz w:val="20"/>
                <w:szCs w:val="20"/>
              </w:rPr>
            </w:pPr>
            <w:r>
              <w:rPr>
                <w:sz w:val="20"/>
                <w:szCs w:val="20"/>
              </w:rPr>
              <w:t>N/A</w:t>
            </w:r>
          </w:p>
        </w:tc>
        <w:tc>
          <w:tcPr>
            <w:tcW w:w="1217" w:type="dxa"/>
          </w:tcPr>
          <w:p w14:paraId="4814B4AD" w14:textId="77777777" w:rsidR="003C0EB4" w:rsidRPr="004F1077" w:rsidRDefault="003C0EB4" w:rsidP="00587681">
            <w:pPr>
              <w:jc w:val="center"/>
              <w:rPr>
                <w:sz w:val="20"/>
                <w:szCs w:val="20"/>
              </w:rPr>
            </w:pPr>
            <w:r>
              <w:rPr>
                <w:sz w:val="20"/>
                <w:szCs w:val="20"/>
              </w:rPr>
              <w:t>7.5</w:t>
            </w:r>
          </w:p>
        </w:tc>
        <w:tc>
          <w:tcPr>
            <w:tcW w:w="983" w:type="dxa"/>
            <w:vAlign w:val="bottom"/>
          </w:tcPr>
          <w:p w14:paraId="5D642A29" w14:textId="77777777" w:rsidR="003C0EB4" w:rsidRDefault="003C0EB4" w:rsidP="00587681">
            <w:pPr>
              <w:jc w:val="center"/>
              <w:rPr>
                <w:sz w:val="20"/>
                <w:szCs w:val="20"/>
              </w:rPr>
            </w:pPr>
            <w:r w:rsidRPr="004F1077">
              <w:rPr>
                <w:sz w:val="20"/>
                <w:szCs w:val="20"/>
              </w:rPr>
              <w:t>0.3839</w:t>
            </w:r>
          </w:p>
        </w:tc>
        <w:tc>
          <w:tcPr>
            <w:tcW w:w="943" w:type="dxa"/>
            <w:vAlign w:val="center"/>
          </w:tcPr>
          <w:p w14:paraId="66B25483" w14:textId="77777777" w:rsidR="003C0EB4" w:rsidRDefault="003C0EB4" w:rsidP="00587681">
            <w:pPr>
              <w:jc w:val="center"/>
              <w:rPr>
                <w:sz w:val="20"/>
                <w:szCs w:val="20"/>
              </w:rPr>
            </w:pPr>
            <w:r w:rsidRPr="004F1077">
              <w:rPr>
                <w:sz w:val="20"/>
                <w:szCs w:val="20"/>
              </w:rPr>
              <w:t>23.52</w:t>
            </w:r>
          </w:p>
        </w:tc>
      </w:tr>
      <w:tr w:rsidR="003C0EB4" w14:paraId="55566DFB" w14:textId="77777777" w:rsidTr="003C0EB4">
        <w:trPr>
          <w:jc w:val="center"/>
        </w:trPr>
        <w:tc>
          <w:tcPr>
            <w:tcW w:w="1306" w:type="dxa"/>
          </w:tcPr>
          <w:p w14:paraId="42755F9E" w14:textId="77777777" w:rsidR="003C0EB4" w:rsidRDefault="003C0EB4" w:rsidP="00587681">
            <w:pPr>
              <w:jc w:val="center"/>
              <w:rPr>
                <w:sz w:val="20"/>
                <w:szCs w:val="20"/>
              </w:rPr>
            </w:pPr>
            <w:r>
              <w:rPr>
                <w:sz w:val="20"/>
                <w:szCs w:val="20"/>
              </w:rPr>
              <w:t>23</w:t>
            </w:r>
          </w:p>
        </w:tc>
        <w:tc>
          <w:tcPr>
            <w:tcW w:w="1496" w:type="dxa"/>
          </w:tcPr>
          <w:p w14:paraId="2BE214CE"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1B44E59A" w14:textId="77777777" w:rsidR="003C0EB4" w:rsidRDefault="003C0EB4" w:rsidP="00587681">
            <w:pPr>
              <w:jc w:val="center"/>
              <w:rPr>
                <w:sz w:val="20"/>
                <w:szCs w:val="20"/>
              </w:rPr>
            </w:pPr>
            <w:r>
              <w:rPr>
                <w:sz w:val="20"/>
                <w:szCs w:val="20"/>
              </w:rPr>
              <w:t>20</w:t>
            </w:r>
          </w:p>
        </w:tc>
        <w:tc>
          <w:tcPr>
            <w:tcW w:w="1204" w:type="dxa"/>
          </w:tcPr>
          <w:p w14:paraId="3D28F25A" w14:textId="77777777" w:rsidR="003C0EB4" w:rsidRPr="004F1077" w:rsidRDefault="003C0EB4" w:rsidP="00587681">
            <w:pPr>
              <w:jc w:val="center"/>
              <w:rPr>
                <w:sz w:val="20"/>
                <w:szCs w:val="20"/>
              </w:rPr>
            </w:pPr>
            <w:r>
              <w:rPr>
                <w:sz w:val="20"/>
                <w:szCs w:val="20"/>
              </w:rPr>
              <w:t>N/A</w:t>
            </w:r>
          </w:p>
        </w:tc>
        <w:tc>
          <w:tcPr>
            <w:tcW w:w="1217" w:type="dxa"/>
          </w:tcPr>
          <w:p w14:paraId="66E64361" w14:textId="77777777" w:rsidR="003C0EB4" w:rsidRPr="004F1077" w:rsidRDefault="003C0EB4" w:rsidP="00587681">
            <w:pPr>
              <w:jc w:val="center"/>
              <w:rPr>
                <w:sz w:val="20"/>
                <w:szCs w:val="20"/>
              </w:rPr>
            </w:pPr>
            <w:r>
              <w:rPr>
                <w:sz w:val="20"/>
                <w:szCs w:val="20"/>
              </w:rPr>
              <w:t>20</w:t>
            </w:r>
          </w:p>
        </w:tc>
        <w:tc>
          <w:tcPr>
            <w:tcW w:w="983" w:type="dxa"/>
            <w:vAlign w:val="bottom"/>
          </w:tcPr>
          <w:p w14:paraId="2AB3D487" w14:textId="77777777" w:rsidR="003C0EB4" w:rsidRDefault="003C0EB4" w:rsidP="00587681">
            <w:pPr>
              <w:jc w:val="center"/>
              <w:rPr>
                <w:sz w:val="20"/>
                <w:szCs w:val="20"/>
              </w:rPr>
            </w:pPr>
            <w:r w:rsidRPr="004F1077">
              <w:rPr>
                <w:sz w:val="20"/>
                <w:szCs w:val="20"/>
              </w:rPr>
              <w:t>0.2500</w:t>
            </w:r>
          </w:p>
        </w:tc>
        <w:tc>
          <w:tcPr>
            <w:tcW w:w="943" w:type="dxa"/>
            <w:vAlign w:val="center"/>
          </w:tcPr>
          <w:p w14:paraId="4FED1549" w14:textId="77777777" w:rsidR="003C0EB4" w:rsidRDefault="003C0EB4" w:rsidP="00587681">
            <w:pPr>
              <w:jc w:val="center"/>
              <w:rPr>
                <w:sz w:val="20"/>
                <w:szCs w:val="20"/>
              </w:rPr>
            </w:pPr>
            <w:r w:rsidRPr="004F1077">
              <w:rPr>
                <w:sz w:val="20"/>
                <w:szCs w:val="20"/>
              </w:rPr>
              <w:t>14.06</w:t>
            </w:r>
          </w:p>
        </w:tc>
      </w:tr>
      <w:tr w:rsidR="003C0EB4" w14:paraId="4FA95435" w14:textId="77777777" w:rsidTr="003C0EB4">
        <w:trPr>
          <w:jc w:val="center"/>
        </w:trPr>
        <w:tc>
          <w:tcPr>
            <w:tcW w:w="1306" w:type="dxa"/>
          </w:tcPr>
          <w:p w14:paraId="6FC61591" w14:textId="77777777" w:rsidR="003C0EB4" w:rsidRDefault="003C0EB4" w:rsidP="00587681">
            <w:pPr>
              <w:jc w:val="center"/>
              <w:rPr>
                <w:sz w:val="20"/>
                <w:szCs w:val="20"/>
              </w:rPr>
            </w:pPr>
            <w:r>
              <w:rPr>
                <w:sz w:val="20"/>
                <w:szCs w:val="20"/>
              </w:rPr>
              <w:t>24</w:t>
            </w:r>
          </w:p>
        </w:tc>
        <w:tc>
          <w:tcPr>
            <w:tcW w:w="1496" w:type="dxa"/>
          </w:tcPr>
          <w:p w14:paraId="1D363E49" w14:textId="77777777" w:rsidR="003C0EB4" w:rsidRDefault="003C0EB4" w:rsidP="00587681">
            <w:pPr>
              <w:jc w:val="center"/>
              <w:rPr>
                <w:sz w:val="20"/>
                <w:szCs w:val="20"/>
              </w:rPr>
            </w:pPr>
            <w:proofErr w:type="spellStart"/>
            <w:r w:rsidRPr="003E3E6B">
              <w:rPr>
                <w:sz w:val="20"/>
                <w:szCs w:val="20"/>
              </w:rPr>
              <w:t>Soluplus</w:t>
            </w:r>
            <w:proofErr w:type="spellEnd"/>
          </w:p>
        </w:tc>
        <w:tc>
          <w:tcPr>
            <w:tcW w:w="1275" w:type="dxa"/>
          </w:tcPr>
          <w:p w14:paraId="45002B7E" w14:textId="77777777" w:rsidR="003C0EB4" w:rsidRDefault="003C0EB4" w:rsidP="00587681">
            <w:pPr>
              <w:jc w:val="center"/>
              <w:rPr>
                <w:sz w:val="20"/>
                <w:szCs w:val="20"/>
              </w:rPr>
            </w:pPr>
            <w:r>
              <w:rPr>
                <w:sz w:val="20"/>
                <w:szCs w:val="20"/>
              </w:rPr>
              <w:t>32.5</w:t>
            </w:r>
          </w:p>
        </w:tc>
        <w:tc>
          <w:tcPr>
            <w:tcW w:w="1204" w:type="dxa"/>
          </w:tcPr>
          <w:p w14:paraId="32916AB9" w14:textId="77777777" w:rsidR="003C0EB4" w:rsidRPr="004F1077" w:rsidRDefault="003C0EB4" w:rsidP="00587681">
            <w:pPr>
              <w:jc w:val="center"/>
              <w:rPr>
                <w:sz w:val="20"/>
                <w:szCs w:val="20"/>
              </w:rPr>
            </w:pPr>
            <w:r>
              <w:rPr>
                <w:sz w:val="20"/>
                <w:szCs w:val="20"/>
              </w:rPr>
              <w:t>N/A</w:t>
            </w:r>
          </w:p>
        </w:tc>
        <w:tc>
          <w:tcPr>
            <w:tcW w:w="1217" w:type="dxa"/>
          </w:tcPr>
          <w:p w14:paraId="0FB80EE8" w14:textId="77777777" w:rsidR="003C0EB4" w:rsidRPr="004F1077" w:rsidRDefault="003C0EB4" w:rsidP="00587681">
            <w:pPr>
              <w:jc w:val="center"/>
              <w:rPr>
                <w:sz w:val="20"/>
                <w:szCs w:val="20"/>
              </w:rPr>
            </w:pPr>
            <w:r>
              <w:rPr>
                <w:sz w:val="20"/>
                <w:szCs w:val="20"/>
              </w:rPr>
              <w:t>7.5</w:t>
            </w:r>
          </w:p>
        </w:tc>
        <w:tc>
          <w:tcPr>
            <w:tcW w:w="983" w:type="dxa"/>
            <w:vAlign w:val="bottom"/>
          </w:tcPr>
          <w:p w14:paraId="232089A3" w14:textId="77777777" w:rsidR="003C0EB4" w:rsidRDefault="003C0EB4" w:rsidP="00587681">
            <w:pPr>
              <w:jc w:val="center"/>
              <w:rPr>
                <w:sz w:val="20"/>
                <w:szCs w:val="20"/>
              </w:rPr>
            </w:pPr>
            <w:r w:rsidRPr="004F1077">
              <w:rPr>
                <w:sz w:val="20"/>
                <w:szCs w:val="20"/>
              </w:rPr>
              <w:t>0.4118</w:t>
            </w:r>
          </w:p>
        </w:tc>
        <w:tc>
          <w:tcPr>
            <w:tcW w:w="943" w:type="dxa"/>
            <w:vAlign w:val="center"/>
          </w:tcPr>
          <w:p w14:paraId="324D0443" w14:textId="77777777" w:rsidR="003C0EB4" w:rsidRDefault="003C0EB4" w:rsidP="00587681">
            <w:pPr>
              <w:jc w:val="center"/>
              <w:rPr>
                <w:sz w:val="20"/>
                <w:szCs w:val="20"/>
              </w:rPr>
            </w:pPr>
            <w:r w:rsidRPr="004F1077">
              <w:rPr>
                <w:sz w:val="20"/>
                <w:szCs w:val="20"/>
              </w:rPr>
              <w:t>24.41</w:t>
            </w:r>
          </w:p>
        </w:tc>
      </w:tr>
    </w:tbl>
    <w:p w14:paraId="77731C67" w14:textId="47A43589" w:rsidR="007E0240" w:rsidRPr="007E0240" w:rsidRDefault="007E0240" w:rsidP="003C0EB4">
      <w:pPr>
        <w:pStyle w:val="Body"/>
        <w:spacing w:before="240"/>
        <w:rPr>
          <w:rFonts w:ascii="Arial" w:hAnsi="Arial" w:cs="Arial"/>
        </w:rPr>
      </w:pPr>
      <w:r>
        <w:rPr>
          <w:rFonts w:ascii="Arial" w:hAnsi="Arial" w:cs="Arial"/>
        </w:rPr>
        <w:t xml:space="preserve">3.2 </w:t>
      </w:r>
      <w:r w:rsidRPr="007E0240">
        <w:rPr>
          <w:rFonts w:ascii="Arial" w:hAnsi="Arial" w:cs="Arial"/>
        </w:rPr>
        <w:t>Dissolution Studies</w:t>
      </w:r>
    </w:p>
    <w:p w14:paraId="1615848C" w14:textId="77777777" w:rsidR="007E0240" w:rsidRPr="007E0240" w:rsidRDefault="007E0240" w:rsidP="007E0240">
      <w:pPr>
        <w:pStyle w:val="Body"/>
        <w:rPr>
          <w:rFonts w:ascii="Arial" w:hAnsi="Arial" w:cs="Arial"/>
        </w:rPr>
      </w:pPr>
      <w:r w:rsidRPr="007E0240">
        <w:rPr>
          <w:rFonts w:ascii="Arial" w:hAnsi="Arial" w:cs="Arial"/>
        </w:rPr>
        <w:t xml:space="preserve">The dissolution rate results are presented in Table 4. As shown, there was an increase both in the percentage of drug dissolved at 60 minutes—from 14.95% to 25%—and in the dissolution rate—from 0.2161 to 0.4436—representing a 2.03-fold enhancement in dissolution rate compared to pure </w:t>
      </w:r>
      <w:proofErr w:type="spellStart"/>
      <w:r w:rsidRPr="007E0240">
        <w:rPr>
          <w:rFonts w:ascii="Arial" w:hAnsi="Arial" w:cs="Arial"/>
        </w:rPr>
        <w:t>TbHCl</w:t>
      </w:r>
      <w:proofErr w:type="spellEnd"/>
      <w:r w:rsidRPr="007E0240">
        <w:rPr>
          <w:rFonts w:ascii="Arial" w:hAnsi="Arial" w:cs="Arial"/>
        </w:rPr>
        <w:t>.</w:t>
      </w:r>
    </w:p>
    <w:p w14:paraId="528A9C57" w14:textId="77777777" w:rsidR="007E0240" w:rsidRDefault="007E0240" w:rsidP="007E0240">
      <w:pPr>
        <w:pStyle w:val="Body"/>
        <w:rPr>
          <w:rFonts w:ascii="Arial" w:hAnsi="Arial" w:cs="Arial"/>
        </w:rPr>
      </w:pPr>
      <w:r w:rsidRPr="007E0240">
        <w:rPr>
          <w:rFonts w:ascii="Arial" w:hAnsi="Arial" w:cs="Arial"/>
        </w:rPr>
        <w:t xml:space="preserve">According to the Pareto chart from the factorial analysis (Figure 3A), the dissolution rate was significantly influenced by three variables: the type of polymer, the polymer concentration, and the quadratic interaction between polymer type and concentration. Solid dispersions manufactured with </w:t>
      </w:r>
      <w:proofErr w:type="spellStart"/>
      <w:r w:rsidRPr="007E0240">
        <w:rPr>
          <w:rFonts w:ascii="Arial" w:hAnsi="Arial" w:cs="Arial"/>
        </w:rPr>
        <w:t>Soluplus</w:t>
      </w:r>
      <w:proofErr w:type="spellEnd"/>
      <w:r w:rsidRPr="007E0240">
        <w:rPr>
          <w:rFonts w:ascii="Arial" w:hAnsi="Arial" w:cs="Arial"/>
        </w:rPr>
        <w:t xml:space="preserve"> exhibited the greatest increase in dissolution rate. This effect may </w:t>
      </w:r>
      <w:r w:rsidRPr="007E0240">
        <w:rPr>
          <w:rFonts w:ascii="Arial" w:hAnsi="Arial" w:cs="Arial"/>
        </w:rPr>
        <w:lastRenderedPageBreak/>
        <w:t xml:space="preserve">be attributed to the dual solubilization mechanisms inherent to </w:t>
      </w:r>
      <w:proofErr w:type="spellStart"/>
      <w:r w:rsidRPr="007E0240">
        <w:rPr>
          <w:rFonts w:ascii="Arial" w:hAnsi="Arial" w:cs="Arial"/>
        </w:rPr>
        <w:t>Soluplus</w:t>
      </w:r>
      <w:proofErr w:type="spellEnd"/>
      <w:r w:rsidRPr="007E0240">
        <w:rPr>
          <w:rFonts w:ascii="Arial" w:hAnsi="Arial" w:cs="Arial"/>
        </w:rPr>
        <w:t>, including complex formation and micelle formation.</w:t>
      </w:r>
    </w:p>
    <w:p w14:paraId="2A9C9943" w14:textId="77777777" w:rsidR="007E0240" w:rsidRPr="007E0240" w:rsidRDefault="007E0240" w:rsidP="0068179C">
      <w:pPr>
        <w:pStyle w:val="Body"/>
        <w:spacing w:before="240"/>
        <w:rPr>
          <w:rFonts w:ascii="Arial" w:hAnsi="Arial" w:cs="Arial"/>
        </w:rPr>
      </w:pPr>
      <w:r w:rsidRPr="007E0240">
        <w:rPr>
          <w:rFonts w:ascii="Arial" w:hAnsi="Arial" w:cs="Arial"/>
        </w:rPr>
        <w:t>Regarding the percentage of drug dissolved at 60 minutes (Figure 3B), it was found that the polymer type, the quadratic effects of factors A and B, and the polymer concentration significantly increased the drug release at 60 minutes. However, when PVP VA64 was used as the carrier, an increase in polymer concentration did not significantly impact either the dissolution rate or the percentage dissolved at 60 minutes, as illustrated in Figures 5A and 5B.</w:t>
      </w:r>
    </w:p>
    <w:p w14:paraId="54B06925" w14:textId="77777777" w:rsidR="007E0240" w:rsidRDefault="007E0240" w:rsidP="007E0240">
      <w:pPr>
        <w:pStyle w:val="Body"/>
        <w:rPr>
          <w:rFonts w:ascii="Arial" w:hAnsi="Arial" w:cs="Arial"/>
        </w:rPr>
      </w:pPr>
      <w:r w:rsidRPr="007E0240">
        <w:rPr>
          <w:rFonts w:ascii="Arial" w:hAnsi="Arial" w:cs="Arial"/>
        </w:rPr>
        <w:t xml:space="preserve">The enhancement of the dissolution profiles of </w:t>
      </w:r>
      <w:proofErr w:type="spellStart"/>
      <w:r w:rsidRPr="007E0240">
        <w:rPr>
          <w:rFonts w:ascii="Arial" w:hAnsi="Arial" w:cs="Arial"/>
        </w:rPr>
        <w:t>TbHCl</w:t>
      </w:r>
      <w:proofErr w:type="spellEnd"/>
      <w:r w:rsidRPr="007E0240">
        <w:rPr>
          <w:rFonts w:ascii="Arial" w:hAnsi="Arial" w:cs="Arial"/>
        </w:rPr>
        <w:t xml:space="preserve"> can be attributed to three key factors: (a) the reduction in the crystallinity of </w:t>
      </w:r>
      <w:proofErr w:type="spellStart"/>
      <w:r w:rsidRPr="007E0240">
        <w:rPr>
          <w:rFonts w:ascii="Arial" w:hAnsi="Arial" w:cs="Arial"/>
        </w:rPr>
        <w:t>TbHCl</w:t>
      </w:r>
      <w:proofErr w:type="spellEnd"/>
      <w:r w:rsidRPr="007E0240">
        <w:rPr>
          <w:rFonts w:ascii="Arial" w:hAnsi="Arial" w:cs="Arial"/>
        </w:rPr>
        <w:t xml:space="preserve"> (Figure 2A and 2C), indicated by the significant decrease in the heat of fusion (</w:t>
      </w:r>
      <w:proofErr w:type="spellStart"/>
      <w:r w:rsidRPr="007E0240">
        <w:rPr>
          <w:rFonts w:ascii="Arial" w:hAnsi="Arial" w:cs="Arial"/>
        </w:rPr>
        <w:t>ΔHf</w:t>
      </w:r>
      <w:proofErr w:type="spellEnd"/>
      <w:r w:rsidRPr="007E0240">
        <w:rPr>
          <w:rFonts w:ascii="Arial" w:hAnsi="Arial" w:cs="Arial"/>
        </w:rPr>
        <w:t xml:space="preserve">) of </w:t>
      </w:r>
      <w:proofErr w:type="spellStart"/>
      <w:r w:rsidRPr="007E0240">
        <w:rPr>
          <w:rFonts w:ascii="Arial" w:hAnsi="Arial" w:cs="Arial"/>
        </w:rPr>
        <w:t>TbHCl</w:t>
      </w:r>
      <w:proofErr w:type="spellEnd"/>
      <w:r w:rsidRPr="007E0240">
        <w:rPr>
          <w:rFonts w:ascii="Arial" w:hAnsi="Arial" w:cs="Arial"/>
        </w:rPr>
        <w:t xml:space="preserve">, (b) the increase in wettability due to its embedding in a water-soluble polymer, and (c) likely, the reduction of the particle size of the </w:t>
      </w:r>
      <w:proofErr w:type="spellStart"/>
      <w:r w:rsidRPr="007E0240">
        <w:rPr>
          <w:rFonts w:ascii="Arial" w:hAnsi="Arial" w:cs="Arial"/>
        </w:rPr>
        <w:t>TbHCl</w:t>
      </w:r>
      <w:proofErr w:type="spellEnd"/>
      <w:r w:rsidRPr="007E0240">
        <w:rPr>
          <w:rFonts w:ascii="Arial" w:hAnsi="Arial" w:cs="Arial"/>
        </w:rPr>
        <w:t xml:space="preserve"> crystals to a near-molecular level. The diminished effect of PVP VA64 on the dissolution rate may be related to its high viscosity. This phenomenon could lead to the formation of a diffusion layer near the dissolution surface, thereby slowing down the drug release from the polymeric network of solid dispersion.</w:t>
      </w:r>
    </w:p>
    <w:p w14:paraId="0EBE8710" w14:textId="7C9AB3F6" w:rsidR="007E0240" w:rsidRPr="007E0240" w:rsidRDefault="007E0240" w:rsidP="007E0240">
      <w:pPr>
        <w:pStyle w:val="Body"/>
        <w:rPr>
          <w:rFonts w:ascii="Arial" w:hAnsi="Arial" w:cs="Arial"/>
        </w:rPr>
      </w:pPr>
      <w:r>
        <w:rPr>
          <w:rFonts w:ascii="Arial" w:hAnsi="Arial" w:cs="Arial"/>
        </w:rPr>
        <w:t xml:space="preserve">3.3 </w:t>
      </w:r>
      <w:r w:rsidRPr="007E0240">
        <w:rPr>
          <w:rFonts w:ascii="Arial" w:hAnsi="Arial" w:cs="Arial"/>
        </w:rPr>
        <w:t>Optimization Through Design of Experiments (DoE)</w:t>
      </w:r>
    </w:p>
    <w:p w14:paraId="3E502364" w14:textId="77777777" w:rsidR="007E0240" w:rsidRPr="007E0240" w:rsidRDefault="007E0240" w:rsidP="007E0240">
      <w:pPr>
        <w:pStyle w:val="Body"/>
        <w:rPr>
          <w:rFonts w:ascii="Arial" w:hAnsi="Arial" w:cs="Arial"/>
        </w:rPr>
      </w:pPr>
      <w:r w:rsidRPr="007E0240">
        <w:rPr>
          <w:rFonts w:ascii="Arial" w:hAnsi="Arial" w:cs="Arial"/>
        </w:rPr>
        <w:t xml:space="preserve">From the screening design results, it was found that SD showed a greater increase in dissolution rate when fabricated with </w:t>
      </w:r>
      <w:proofErr w:type="spellStart"/>
      <w:r w:rsidRPr="007E0240">
        <w:rPr>
          <w:rFonts w:ascii="Arial" w:hAnsi="Arial" w:cs="Arial"/>
        </w:rPr>
        <w:t>Soluplus</w:t>
      </w:r>
      <w:proofErr w:type="spellEnd"/>
      <w:r w:rsidRPr="007E0240">
        <w:rPr>
          <w:rFonts w:ascii="Arial" w:hAnsi="Arial" w:cs="Arial"/>
        </w:rPr>
        <w:t xml:space="preserve">. Based on this, the central composite design was continued for this polymer only. The results obtained are shown in Table 4. Regarding the calorimetric studies, the thermal event behaviors were maintained, with the disappearance of the fusion peak. In X-ray diffraction studies, the characteristic peaks of pure </w:t>
      </w:r>
      <w:proofErr w:type="spellStart"/>
      <w:r w:rsidRPr="007E0240">
        <w:rPr>
          <w:rFonts w:ascii="Arial" w:hAnsi="Arial" w:cs="Arial"/>
        </w:rPr>
        <w:t>TbHCl</w:t>
      </w:r>
      <w:proofErr w:type="spellEnd"/>
      <w:r w:rsidRPr="007E0240">
        <w:rPr>
          <w:rFonts w:ascii="Arial" w:hAnsi="Arial" w:cs="Arial"/>
        </w:rPr>
        <w:t xml:space="preserve"> remained (Figure 6B).</w:t>
      </w:r>
    </w:p>
    <w:p w14:paraId="236A7E1C" w14:textId="77777777" w:rsidR="007E0240" w:rsidRPr="007E0240" w:rsidRDefault="007E0240" w:rsidP="007E0240">
      <w:pPr>
        <w:pStyle w:val="Body"/>
        <w:rPr>
          <w:rFonts w:ascii="Arial" w:hAnsi="Arial" w:cs="Arial"/>
        </w:rPr>
      </w:pPr>
      <w:r w:rsidRPr="007E0240">
        <w:rPr>
          <w:rFonts w:ascii="Arial" w:hAnsi="Arial" w:cs="Arial"/>
        </w:rPr>
        <w:t xml:space="preserve">The increase in dissolution rate with the increased polymer concentration used during fabrication was confirmed. As shown in Figure 6A, the dissolution profiles exhibit a higher dissolution rate compared to pure </w:t>
      </w:r>
      <w:proofErr w:type="spellStart"/>
      <w:r w:rsidRPr="007E0240">
        <w:rPr>
          <w:rFonts w:ascii="Arial" w:hAnsi="Arial" w:cs="Arial"/>
        </w:rPr>
        <w:t>TbHCl</w:t>
      </w:r>
      <w:proofErr w:type="spellEnd"/>
      <w:r w:rsidRPr="007E0240">
        <w:rPr>
          <w:rFonts w:ascii="Arial" w:hAnsi="Arial" w:cs="Arial"/>
        </w:rPr>
        <w:t xml:space="preserve"> (represented in red) and the physical mixture (PM) at 45% (in cyan).</w:t>
      </w:r>
    </w:p>
    <w:p w14:paraId="5E826915" w14:textId="533583C6" w:rsidR="007E0240" w:rsidRDefault="007E0240" w:rsidP="007E0240">
      <w:pPr>
        <w:spacing w:after="240" w:line="360" w:lineRule="auto"/>
        <w:jc w:val="center"/>
        <w:rPr>
          <w:rFonts w:eastAsiaTheme="minorEastAsia"/>
          <w:lang w:val="es-MX"/>
        </w:rPr>
      </w:pPr>
      <m:oMath>
        <m:r>
          <w:rPr>
            <w:rFonts w:ascii="Cambria Math" w:hAnsi="Cambria Math" w:cs="Arial"/>
          </w:rPr>
          <m:t>Y</m:t>
        </m:r>
        <m:r>
          <m:rPr>
            <m:sty m:val="p"/>
          </m:rPr>
          <w:rPr>
            <w:rFonts w:ascii="Cambria Math" w:hAnsi="Cambria Math" w:cs="Arial"/>
            <w:lang w:val="es-MX"/>
          </w:rPr>
          <m:t>1=0.392412+0.063206</m:t>
        </m:r>
        <m:r>
          <w:rPr>
            <w:rFonts w:ascii="Cambria Math" w:hAnsi="Cambria Math" w:cs="Arial"/>
          </w:rPr>
          <m:t>A</m:t>
        </m:r>
        <m:r>
          <m:rPr>
            <m:sty m:val="p"/>
          </m:rPr>
          <w:rPr>
            <w:rFonts w:ascii="Cambria Math" w:hAnsi="Cambria Math" w:cs="Arial"/>
            <w:lang w:val="es-MX"/>
          </w:rPr>
          <m:t>+0.0163114B-</m:t>
        </m:r>
        <m:sSup>
          <m:sSupPr>
            <m:ctrlPr>
              <w:rPr>
                <w:rFonts w:ascii="Cambria Math" w:hAnsi="Cambria Math" w:cs="Arial"/>
              </w:rPr>
            </m:ctrlPr>
          </m:sSupPr>
          <m:e>
            <m:r>
              <w:rPr>
                <w:rFonts w:ascii="Cambria Math" w:hAnsi="Cambria Math" w:cs="Arial"/>
                <w:lang w:val="es-MX"/>
              </w:rPr>
              <m:t>0.022291</m:t>
            </m:r>
            <m:r>
              <w:rPr>
                <w:rFonts w:ascii="Cambria Math" w:hAnsi="Cambria Math" w:cs="Arial"/>
              </w:rPr>
              <m:t>B</m:t>
            </m:r>
          </m:e>
          <m:sup>
            <m:r>
              <m:rPr>
                <m:sty m:val="p"/>
              </m:rPr>
              <w:rPr>
                <w:rFonts w:ascii="Cambria Math" w:hAnsi="Cambria Math" w:cs="Arial"/>
                <w:lang w:val="es-MX"/>
              </w:rPr>
              <m:t>2</m:t>
            </m:r>
          </m:sup>
        </m:sSup>
        <m:r>
          <w:rPr>
            <w:rFonts w:ascii="Cambria Math" w:hAnsi="Cambria Math" w:cs="Arial"/>
            <w:lang w:val="es-MX"/>
          </w:rPr>
          <m:t>+0.0248</m:t>
        </m:r>
        <m:r>
          <w:rPr>
            <w:rFonts w:ascii="Cambria Math" w:hAnsi="Cambria Math" w:cs="Arial"/>
          </w:rPr>
          <m:t>AB</m:t>
        </m:r>
      </m:oMath>
      <w:r w:rsidRPr="0098475A">
        <w:rPr>
          <w:rFonts w:ascii="Arial" w:hAnsi="Arial" w:cs="Arial"/>
          <w:lang w:val="es-MX"/>
        </w:rPr>
        <w:t>……..</w:t>
      </w:r>
      <w:r w:rsidRPr="00F6303B">
        <w:rPr>
          <w:rFonts w:eastAsiaTheme="minorEastAsia"/>
          <w:lang w:val="es-MX"/>
        </w:rPr>
        <w:t>Ecuación 1</w:t>
      </w:r>
    </w:p>
    <w:p w14:paraId="2B3A47D2" w14:textId="77777777" w:rsidR="007B58B7" w:rsidRDefault="007B58B7" w:rsidP="00C53062">
      <w:pPr>
        <w:pStyle w:val="List2"/>
        <w:spacing w:after="0" w:line="240" w:lineRule="auto"/>
        <w:ind w:left="-284" w:firstLine="0"/>
        <w:contextualSpacing w:val="0"/>
        <w:jc w:val="right"/>
      </w:pPr>
      <w:r>
        <w:rPr>
          <w:noProof/>
        </w:rPr>
        <w:lastRenderedPageBreak/>
        <w:drawing>
          <wp:inline distT="0" distB="0" distL="0" distR="0" wp14:anchorId="7BC6EC36" wp14:editId="52C313A5">
            <wp:extent cx="5651848" cy="4356100"/>
            <wp:effectExtent l="0" t="0" r="0" b="0"/>
            <wp:docPr id="369603652" name="Imagen 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03652" name="Imagen 4" descr="Interfaz de usuario gráfica&#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5661474" cy="4363519"/>
                    </a:xfrm>
                    <a:prstGeom prst="rect">
                      <a:avLst/>
                    </a:prstGeom>
                  </pic:spPr>
                </pic:pic>
              </a:graphicData>
            </a:graphic>
          </wp:inline>
        </w:drawing>
      </w:r>
    </w:p>
    <w:p w14:paraId="6CAD0FA7" w14:textId="23E19363" w:rsidR="0068179C" w:rsidRDefault="007B58B7" w:rsidP="007B58B7">
      <w:pPr>
        <w:spacing w:after="240" w:line="360" w:lineRule="auto"/>
        <w:jc w:val="center"/>
        <w:rPr>
          <w:rFonts w:ascii="Arial" w:hAnsi="Arial" w:cs="Arial"/>
        </w:rPr>
      </w:pPr>
      <w:r w:rsidRPr="0068179C">
        <w:rPr>
          <w:rFonts w:ascii="Arial" w:hAnsi="Arial" w:cs="Arial"/>
        </w:rPr>
        <w:t>Figure 3. Factorial design results</w:t>
      </w:r>
      <w:r w:rsidR="00483BF2">
        <w:rPr>
          <w:rFonts w:ascii="Arial" w:hAnsi="Arial" w:cs="Arial"/>
        </w:rPr>
        <w:t>: A and B Pareto Charts and C and D Interaction Plots.</w:t>
      </w:r>
    </w:p>
    <w:p w14:paraId="09F46C7D" w14:textId="6D31A2F5" w:rsidR="007B58B7" w:rsidRPr="007B58B7" w:rsidRDefault="002442E4" w:rsidP="002442E4">
      <w:pPr>
        <w:pStyle w:val="List2"/>
        <w:spacing w:after="0"/>
        <w:ind w:left="-567" w:right="-1290" w:firstLine="0"/>
        <w:contextualSpacing w:val="0"/>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14:anchorId="244593AE" wp14:editId="5FE49059">
            <wp:extent cx="6082518" cy="1752577"/>
            <wp:effectExtent l="0" t="0" r="0" b="635"/>
            <wp:docPr id="1362036154" name="Imagen 3"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36154" name="Imagen 3" descr="Interfaz de usuario gráfica, Aplicación, Word&#10;&#10;El contenido generado por IA puede ser incorrecto."/>
                    <pic:cNvPicPr/>
                  </pic:nvPicPr>
                  <pic:blipFill>
                    <a:blip r:embed="rId17">
                      <a:extLst>
                        <a:ext uri="{28A0092B-C50C-407E-A947-70E740481C1C}">
                          <a14:useLocalDpi xmlns:a14="http://schemas.microsoft.com/office/drawing/2010/main" val="0"/>
                        </a:ext>
                      </a:extLst>
                    </a:blip>
                    <a:stretch>
                      <a:fillRect/>
                    </a:stretch>
                  </pic:blipFill>
                  <pic:spPr>
                    <a:xfrm>
                      <a:off x="0" y="0"/>
                      <a:ext cx="6093704" cy="1755800"/>
                    </a:xfrm>
                    <a:prstGeom prst="rect">
                      <a:avLst/>
                    </a:prstGeom>
                  </pic:spPr>
                </pic:pic>
              </a:graphicData>
            </a:graphic>
          </wp:inline>
        </w:drawing>
      </w:r>
    </w:p>
    <w:p w14:paraId="1C2E5F4B" w14:textId="6AA1910B" w:rsidR="007B58B7" w:rsidRPr="007B58B7" w:rsidRDefault="007B58B7" w:rsidP="007B58B7">
      <w:pPr>
        <w:pStyle w:val="List2"/>
        <w:spacing w:after="240" w:line="240" w:lineRule="auto"/>
        <w:ind w:left="0" w:firstLine="0"/>
        <w:contextualSpacing w:val="0"/>
        <w:jc w:val="center"/>
        <w:rPr>
          <w:rFonts w:ascii="Arial" w:eastAsia="Times New Roman" w:hAnsi="Arial" w:cs="Arial"/>
          <w:sz w:val="20"/>
          <w:szCs w:val="20"/>
        </w:rPr>
      </w:pPr>
      <w:r w:rsidRPr="007B58B7">
        <w:rPr>
          <w:rFonts w:ascii="Arial" w:eastAsia="Times New Roman" w:hAnsi="Arial" w:cs="Arial"/>
          <w:sz w:val="20"/>
          <w:szCs w:val="20"/>
        </w:rPr>
        <w:t xml:space="preserve">Figure 4. </w:t>
      </w:r>
      <w:r w:rsidR="00B8294E">
        <w:rPr>
          <w:rFonts w:ascii="Arial" w:eastAsia="Times New Roman" w:hAnsi="Arial" w:cs="Arial"/>
          <w:sz w:val="20"/>
          <w:szCs w:val="20"/>
        </w:rPr>
        <w:t>Pareto charts</w:t>
      </w:r>
      <w:r w:rsidRPr="007B58B7">
        <w:rPr>
          <w:rFonts w:ascii="Arial" w:eastAsia="Times New Roman" w:hAnsi="Arial" w:cs="Arial"/>
          <w:sz w:val="20"/>
          <w:szCs w:val="20"/>
        </w:rPr>
        <w:t xml:space="preserve"> </w:t>
      </w:r>
      <w:r w:rsidR="00B8294E">
        <w:rPr>
          <w:rFonts w:ascii="Arial" w:eastAsia="Times New Roman" w:hAnsi="Arial" w:cs="Arial"/>
          <w:sz w:val="20"/>
          <w:szCs w:val="20"/>
        </w:rPr>
        <w:t>c</w:t>
      </w:r>
      <w:r w:rsidRPr="007B58B7">
        <w:rPr>
          <w:rFonts w:ascii="Arial" w:eastAsia="Times New Roman" w:hAnsi="Arial" w:cs="Arial"/>
          <w:sz w:val="20"/>
          <w:szCs w:val="20"/>
        </w:rPr>
        <w:t xml:space="preserve">entral composite design with stars </w:t>
      </w:r>
    </w:p>
    <w:p w14:paraId="3D072058" w14:textId="61124E03" w:rsidR="007B58B7" w:rsidRDefault="002442E4" w:rsidP="007B58B7">
      <w:pPr>
        <w:pStyle w:val="List2"/>
        <w:spacing w:after="120" w:line="240" w:lineRule="auto"/>
        <w:ind w:left="0" w:firstLine="0"/>
        <w:contextualSpacing w:val="0"/>
        <w:jc w:val="center"/>
        <w:rPr>
          <w:sz w:val="20"/>
          <w:szCs w:val="20"/>
        </w:rPr>
      </w:pPr>
      <w:r>
        <w:rPr>
          <w:noProof/>
          <w:sz w:val="20"/>
          <w:szCs w:val="20"/>
        </w:rPr>
        <w:lastRenderedPageBreak/>
        <w:drawing>
          <wp:inline distT="0" distB="0" distL="0" distR="0" wp14:anchorId="1647B883" wp14:editId="56E45818">
            <wp:extent cx="5212080" cy="1686560"/>
            <wp:effectExtent l="0" t="0" r="7620" b="8890"/>
            <wp:docPr id="570951790" name="Imagen 4"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51790" name="Imagen 4" descr="Interfaz de usuario gráfica, Aplicación, Word&#10;&#10;El contenido generado por IA puede ser incorrecto."/>
                    <pic:cNvPicPr/>
                  </pic:nvPicPr>
                  <pic:blipFill>
                    <a:blip r:embed="rId18">
                      <a:extLst>
                        <a:ext uri="{28A0092B-C50C-407E-A947-70E740481C1C}">
                          <a14:useLocalDpi xmlns:a14="http://schemas.microsoft.com/office/drawing/2010/main" val="0"/>
                        </a:ext>
                      </a:extLst>
                    </a:blip>
                    <a:stretch>
                      <a:fillRect/>
                    </a:stretch>
                  </pic:blipFill>
                  <pic:spPr>
                    <a:xfrm>
                      <a:off x="0" y="0"/>
                      <a:ext cx="5212080" cy="1686560"/>
                    </a:xfrm>
                    <a:prstGeom prst="rect">
                      <a:avLst/>
                    </a:prstGeom>
                  </pic:spPr>
                </pic:pic>
              </a:graphicData>
            </a:graphic>
          </wp:inline>
        </w:drawing>
      </w:r>
      <w:r w:rsidR="007B58B7" w:rsidRPr="00F37400">
        <w:rPr>
          <w:sz w:val="20"/>
          <w:szCs w:val="20"/>
        </w:rPr>
        <w:t xml:space="preserve">     </w:t>
      </w:r>
    </w:p>
    <w:p w14:paraId="557095BA" w14:textId="0D54BC7A" w:rsidR="007B58B7" w:rsidRDefault="007B58B7" w:rsidP="007B58B7">
      <w:pPr>
        <w:pStyle w:val="List2"/>
        <w:spacing w:after="120" w:line="240" w:lineRule="auto"/>
        <w:ind w:left="0" w:firstLine="0"/>
        <w:contextualSpacing w:val="0"/>
        <w:jc w:val="center"/>
        <w:rPr>
          <w:rFonts w:ascii="Arial" w:eastAsia="Times New Roman" w:hAnsi="Arial" w:cs="Arial"/>
          <w:sz w:val="20"/>
          <w:szCs w:val="20"/>
        </w:rPr>
      </w:pPr>
      <w:r w:rsidRPr="0068179C">
        <w:rPr>
          <w:rFonts w:ascii="Arial" w:eastAsia="Times New Roman" w:hAnsi="Arial" w:cs="Arial"/>
          <w:sz w:val="20"/>
          <w:szCs w:val="20"/>
        </w:rPr>
        <w:t xml:space="preserve">Figure 5. Interaction plots </w:t>
      </w:r>
      <w:r w:rsidR="002442E4">
        <w:rPr>
          <w:rFonts w:ascii="Arial" w:eastAsia="Times New Roman" w:hAnsi="Arial" w:cs="Arial"/>
          <w:sz w:val="20"/>
          <w:szCs w:val="20"/>
        </w:rPr>
        <w:t>central composite design with stars</w:t>
      </w:r>
    </w:p>
    <w:p w14:paraId="7290F68B" w14:textId="77777777" w:rsidR="00BC7702" w:rsidRPr="002442E4" w:rsidRDefault="00BC7702" w:rsidP="007B58B7">
      <w:pPr>
        <w:pStyle w:val="List2"/>
        <w:spacing w:after="120" w:line="240" w:lineRule="auto"/>
        <w:ind w:left="0" w:firstLine="0"/>
        <w:contextualSpacing w:val="0"/>
        <w:jc w:val="center"/>
        <w:rPr>
          <w:rFonts w:ascii="Arial" w:eastAsia="Times New Roman" w:hAnsi="Arial" w:cs="Arial"/>
          <w:sz w:val="20"/>
          <w:szCs w:val="20"/>
        </w:rPr>
      </w:pPr>
    </w:p>
    <w:p w14:paraId="0926DD54" w14:textId="77777777" w:rsidR="007B58B7" w:rsidRPr="007B58B7" w:rsidRDefault="007B58B7" w:rsidP="007B58B7">
      <w:pPr>
        <w:pStyle w:val="List2"/>
        <w:spacing w:before="240" w:after="0"/>
        <w:ind w:left="0" w:firstLine="0"/>
        <w:contextualSpacing w:val="0"/>
        <w:rPr>
          <w:rFonts w:ascii="Arial" w:eastAsia="Times New Roman" w:hAnsi="Arial" w:cs="Arial"/>
          <w:sz w:val="20"/>
          <w:szCs w:val="20"/>
        </w:rPr>
      </w:pPr>
      <w:r w:rsidRPr="007B58B7">
        <w:rPr>
          <w:rFonts w:ascii="Arial" w:eastAsia="Times New Roman" w:hAnsi="Arial" w:cs="Arial"/>
          <w:sz w:val="20"/>
          <w:szCs w:val="20"/>
        </w:rPr>
        <w:t>A) Dissolution profiles                                                                B) XDR patterns</w:t>
      </w:r>
    </w:p>
    <w:tbl>
      <w:tblPr>
        <w:tblStyle w:val="TableGrid"/>
        <w:tblW w:w="11415" w:type="dxa"/>
        <w:tblInd w:w="-1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5646"/>
      </w:tblGrid>
      <w:tr w:rsidR="007B58B7" w14:paraId="0458DE01" w14:textId="77777777" w:rsidTr="00587681">
        <w:tc>
          <w:tcPr>
            <w:tcW w:w="5769" w:type="dxa"/>
          </w:tcPr>
          <w:p w14:paraId="3305A247" w14:textId="77777777" w:rsidR="007B58B7" w:rsidRDefault="007B58B7" w:rsidP="00587681">
            <w:pPr>
              <w:pStyle w:val="List2"/>
              <w:spacing w:after="240"/>
              <w:ind w:left="0" w:firstLine="0"/>
              <w:contextualSpacing w:val="0"/>
              <w:jc w:val="both"/>
              <w:rPr>
                <w:sz w:val="20"/>
                <w:szCs w:val="20"/>
              </w:rPr>
            </w:pPr>
            <w:r>
              <w:rPr>
                <w:noProof/>
                <w:sz w:val="20"/>
                <w:szCs w:val="20"/>
              </w:rPr>
              <w:drawing>
                <wp:inline distT="0" distB="0" distL="0" distR="0" wp14:anchorId="60497400" wp14:editId="7CF40135">
                  <wp:extent cx="3526366" cy="1963420"/>
                  <wp:effectExtent l="0" t="0" r="0" b="0"/>
                  <wp:docPr id="713828109" name="Imagen 1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28109" name="Imagen 11" descr="Gráfico, Gráfico de líneas&#10;&#10;El contenido generado por IA puede ser incorrec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64774" cy="1984805"/>
                          </a:xfrm>
                          <a:prstGeom prst="rect">
                            <a:avLst/>
                          </a:prstGeom>
                          <a:noFill/>
                        </pic:spPr>
                      </pic:pic>
                    </a:graphicData>
                  </a:graphic>
                </wp:inline>
              </w:drawing>
            </w:r>
          </w:p>
        </w:tc>
        <w:tc>
          <w:tcPr>
            <w:tcW w:w="5646" w:type="dxa"/>
          </w:tcPr>
          <w:p w14:paraId="7A2F518F" w14:textId="77777777" w:rsidR="007B58B7" w:rsidRDefault="007B58B7" w:rsidP="00587681">
            <w:pPr>
              <w:pStyle w:val="List2"/>
              <w:spacing w:after="240"/>
              <w:ind w:left="0" w:right="-147" w:firstLine="0"/>
              <w:contextualSpacing w:val="0"/>
              <w:jc w:val="both"/>
              <w:rPr>
                <w:sz w:val="20"/>
                <w:szCs w:val="20"/>
              </w:rPr>
            </w:pPr>
            <w:r w:rsidRPr="0068179C">
              <w:rPr>
                <w:noProof/>
                <w:sz w:val="20"/>
                <w:szCs w:val="20"/>
              </w:rPr>
              <w:drawing>
                <wp:inline distT="0" distB="0" distL="0" distR="0" wp14:anchorId="37DF4CF5" wp14:editId="0C9832D7">
                  <wp:extent cx="3440430" cy="1952625"/>
                  <wp:effectExtent l="0" t="0" r="7620" b="9525"/>
                  <wp:docPr id="933282928"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82928" name="Imagen 1" descr="Gráfico, Gráfico de líneas&#10;&#10;El contenido generado por IA puede ser incorrecto."/>
                          <pic:cNvPicPr/>
                        </pic:nvPicPr>
                        <pic:blipFill>
                          <a:blip r:embed="rId20">
                            <a:extLst>
                              <a:ext uri="{28A0092B-C50C-407E-A947-70E740481C1C}">
                                <a14:useLocalDpi xmlns:a14="http://schemas.microsoft.com/office/drawing/2010/main" val="0"/>
                              </a:ext>
                            </a:extLst>
                          </a:blip>
                          <a:stretch>
                            <a:fillRect/>
                          </a:stretch>
                        </pic:blipFill>
                        <pic:spPr>
                          <a:xfrm>
                            <a:off x="0" y="0"/>
                            <a:ext cx="3440430" cy="1952625"/>
                          </a:xfrm>
                          <a:prstGeom prst="rect">
                            <a:avLst/>
                          </a:prstGeom>
                        </pic:spPr>
                      </pic:pic>
                    </a:graphicData>
                  </a:graphic>
                </wp:inline>
              </w:drawing>
            </w:r>
          </w:p>
        </w:tc>
      </w:tr>
    </w:tbl>
    <w:p w14:paraId="553A55E6" w14:textId="465D758E" w:rsidR="007B58B7" w:rsidRDefault="007B58B7" w:rsidP="007B58B7">
      <w:pPr>
        <w:pStyle w:val="List2"/>
        <w:spacing w:before="240" w:after="240"/>
        <w:ind w:left="0" w:firstLine="0"/>
        <w:contextualSpacing w:val="0"/>
        <w:jc w:val="center"/>
        <w:rPr>
          <w:rFonts w:ascii="Arial" w:eastAsia="Times New Roman" w:hAnsi="Arial" w:cs="Arial"/>
          <w:sz w:val="20"/>
          <w:szCs w:val="20"/>
        </w:rPr>
      </w:pPr>
      <w:r w:rsidRPr="007B58B7">
        <w:rPr>
          <w:rFonts w:ascii="Arial" w:eastAsia="Times New Roman" w:hAnsi="Arial" w:cs="Arial"/>
          <w:sz w:val="20"/>
          <w:szCs w:val="20"/>
        </w:rPr>
        <w:t xml:space="preserve">Figure 6. </w:t>
      </w:r>
      <w:r w:rsidR="00C53062">
        <w:rPr>
          <w:rFonts w:ascii="Arial" w:eastAsia="Times New Roman" w:hAnsi="Arial" w:cs="Arial"/>
          <w:sz w:val="20"/>
          <w:szCs w:val="20"/>
        </w:rPr>
        <w:t xml:space="preserve">Representative </w:t>
      </w:r>
      <w:r w:rsidR="008B41D7">
        <w:rPr>
          <w:rFonts w:ascii="Arial" w:eastAsia="Times New Roman" w:hAnsi="Arial" w:cs="Arial"/>
          <w:sz w:val="20"/>
          <w:szCs w:val="20"/>
        </w:rPr>
        <w:t>d</w:t>
      </w:r>
      <w:r w:rsidRPr="007B58B7">
        <w:rPr>
          <w:rFonts w:ascii="Arial" w:eastAsia="Times New Roman" w:hAnsi="Arial" w:cs="Arial"/>
          <w:sz w:val="20"/>
          <w:szCs w:val="20"/>
        </w:rPr>
        <w:t>issolution profiles y XDR patterns for central composite design with stars</w:t>
      </w:r>
    </w:p>
    <w:p w14:paraId="09643A67" w14:textId="679FBC76" w:rsidR="002C5392" w:rsidRPr="00221F5C" w:rsidRDefault="002C5392" w:rsidP="002C5392">
      <w:pPr>
        <w:pStyle w:val="Body"/>
        <w:rPr>
          <w:rFonts w:ascii="Arial" w:hAnsi="Arial" w:cs="Arial"/>
          <w:highlight w:val="yellow"/>
        </w:rPr>
      </w:pPr>
      <w:r w:rsidRPr="007E0240">
        <w:rPr>
          <w:rFonts w:ascii="Arial" w:hAnsi="Arial" w:cs="Arial"/>
        </w:rPr>
        <w:t>The response surfaces generated (Figures 7A and 7B) demonstrated pronounced curvature for both the dissolution rate and the percentage dissolved at 60 minutes. This nonlinearity was influenced by the main effect and the quadratic term of the polymer type, the interaction between polymer type and polymer concentration, as well as the quadratic effect of polymer concentration. The experimental data exhibited an excellent fit to the mathematical model described by Equation 1 (r</w:t>
      </w:r>
      <w:r w:rsidRPr="0068179C">
        <w:rPr>
          <w:rFonts w:ascii="Arial" w:hAnsi="Arial" w:cs="Arial"/>
          <w:vertAlign w:val="superscript"/>
        </w:rPr>
        <w:t>2</w:t>
      </w:r>
      <w:r w:rsidRPr="007E0240">
        <w:rPr>
          <w:rFonts w:ascii="Arial" w:hAnsi="Arial" w:cs="Arial"/>
        </w:rPr>
        <w:t>=83.9396%), supporting its predictive capability for dissolution rate behavior.</w:t>
      </w:r>
      <w:r>
        <w:rPr>
          <w:rFonts w:ascii="Arial" w:hAnsi="Arial" w:cs="Arial"/>
        </w:rPr>
        <w:t xml:space="preserve"> </w:t>
      </w:r>
    </w:p>
    <w:p w14:paraId="1EB73BDE" w14:textId="77777777" w:rsidR="008B41D7" w:rsidRDefault="008B41D7" w:rsidP="007B58B7">
      <w:pPr>
        <w:pStyle w:val="List2"/>
        <w:spacing w:before="240" w:after="0"/>
        <w:ind w:left="0" w:firstLine="0"/>
        <w:contextualSpacing w:val="0"/>
        <w:rPr>
          <w:rFonts w:ascii="Arial" w:eastAsia="Times New Roman" w:hAnsi="Arial" w:cs="Arial"/>
          <w:sz w:val="20"/>
          <w:szCs w:val="20"/>
        </w:rPr>
      </w:pPr>
    </w:p>
    <w:p w14:paraId="5BACF810" w14:textId="77777777" w:rsidR="008B41D7" w:rsidRDefault="008B41D7" w:rsidP="007B58B7">
      <w:pPr>
        <w:pStyle w:val="List2"/>
        <w:spacing w:before="240" w:after="0"/>
        <w:ind w:left="0" w:firstLine="0"/>
        <w:contextualSpacing w:val="0"/>
        <w:rPr>
          <w:rFonts w:ascii="Arial" w:eastAsia="Times New Roman" w:hAnsi="Arial" w:cs="Arial"/>
          <w:sz w:val="20"/>
          <w:szCs w:val="20"/>
        </w:rPr>
      </w:pPr>
    </w:p>
    <w:p w14:paraId="3B219BCA" w14:textId="77777777" w:rsidR="008B41D7" w:rsidRDefault="008B41D7" w:rsidP="007B58B7">
      <w:pPr>
        <w:pStyle w:val="List2"/>
        <w:spacing w:before="240" w:after="0"/>
        <w:ind w:left="0" w:firstLine="0"/>
        <w:contextualSpacing w:val="0"/>
        <w:rPr>
          <w:rFonts w:ascii="Arial" w:eastAsia="Times New Roman" w:hAnsi="Arial" w:cs="Arial"/>
          <w:sz w:val="20"/>
          <w:szCs w:val="20"/>
        </w:rPr>
      </w:pPr>
    </w:p>
    <w:p w14:paraId="569506CE" w14:textId="77777777" w:rsidR="008B41D7" w:rsidRDefault="008B41D7" w:rsidP="007B58B7">
      <w:pPr>
        <w:pStyle w:val="List2"/>
        <w:spacing w:before="240" w:after="0"/>
        <w:ind w:left="0" w:firstLine="0"/>
        <w:contextualSpacing w:val="0"/>
        <w:rPr>
          <w:rFonts w:ascii="Arial" w:eastAsia="Times New Roman" w:hAnsi="Arial" w:cs="Arial"/>
          <w:sz w:val="20"/>
          <w:szCs w:val="20"/>
        </w:rPr>
      </w:pPr>
    </w:p>
    <w:p w14:paraId="6CBCBB84" w14:textId="77777777" w:rsidR="008B41D7" w:rsidRDefault="008B41D7" w:rsidP="007B58B7">
      <w:pPr>
        <w:pStyle w:val="List2"/>
        <w:spacing w:before="240" w:after="0"/>
        <w:ind w:left="0" w:firstLine="0"/>
        <w:contextualSpacing w:val="0"/>
        <w:rPr>
          <w:rFonts w:ascii="Arial" w:eastAsia="Times New Roman" w:hAnsi="Arial" w:cs="Arial"/>
          <w:sz w:val="20"/>
          <w:szCs w:val="20"/>
        </w:rPr>
      </w:pPr>
    </w:p>
    <w:p w14:paraId="27CB213A" w14:textId="324A7023" w:rsidR="007B58B7" w:rsidRPr="008B41D7" w:rsidRDefault="007B58B7" w:rsidP="007B58B7">
      <w:pPr>
        <w:pStyle w:val="List2"/>
        <w:spacing w:before="240" w:after="0"/>
        <w:ind w:left="0" w:firstLine="0"/>
        <w:contextualSpacing w:val="0"/>
        <w:rPr>
          <w:rFonts w:ascii="Arial" w:eastAsia="Times New Roman" w:hAnsi="Arial" w:cs="Arial"/>
          <w:b/>
          <w:bCs/>
          <w:sz w:val="20"/>
          <w:szCs w:val="20"/>
        </w:rPr>
      </w:pPr>
      <w:r w:rsidRPr="008B41D7">
        <w:rPr>
          <w:rFonts w:ascii="Arial" w:eastAsia="Times New Roman" w:hAnsi="Arial" w:cs="Arial"/>
          <w:b/>
          <w:bCs/>
          <w:sz w:val="20"/>
          <w:szCs w:val="20"/>
        </w:rPr>
        <w:lastRenderedPageBreak/>
        <w:t>A) Dissolution rate                                                          B) % dissolved 60 min</w:t>
      </w:r>
    </w:p>
    <w:p w14:paraId="36C67840" w14:textId="77777777" w:rsidR="007B58B7" w:rsidRPr="00DA6557" w:rsidRDefault="007B58B7" w:rsidP="00375ACD">
      <w:pPr>
        <w:pStyle w:val="List2"/>
        <w:spacing w:after="0"/>
        <w:ind w:left="-1134" w:right="-516" w:firstLine="0"/>
        <w:contextualSpacing w:val="0"/>
        <w:rPr>
          <w:sz w:val="20"/>
          <w:szCs w:val="20"/>
        </w:rPr>
      </w:pPr>
      <w:r>
        <w:rPr>
          <w:sz w:val="20"/>
          <w:szCs w:val="20"/>
        </w:rPr>
        <w:t xml:space="preserve">  </w:t>
      </w:r>
      <w:r w:rsidRPr="00DA13EA">
        <w:rPr>
          <w:noProof/>
          <w:sz w:val="20"/>
          <w:szCs w:val="20"/>
        </w:rPr>
        <w:drawing>
          <wp:inline distT="0" distB="0" distL="0" distR="0" wp14:anchorId="77000258" wp14:editId="5666D4AA">
            <wp:extent cx="3060000" cy="1683663"/>
            <wp:effectExtent l="0" t="0" r="0" b="0"/>
            <wp:docPr id="101892968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a:extLst>
                        <a:ext uri="{28A0092B-C50C-407E-A947-70E740481C1C}">
                          <a14:useLocalDpi xmlns:a14="http://schemas.microsoft.com/office/drawing/2010/main" val="0"/>
                        </a:ext>
                      </a:extLst>
                    </a:blip>
                    <a:srcRect l="16797" t="17066" b="9687"/>
                    <a:stretch/>
                  </pic:blipFill>
                  <pic:spPr bwMode="auto">
                    <a:xfrm>
                      <a:off x="0" y="0"/>
                      <a:ext cx="3060000" cy="1683663"/>
                    </a:xfrm>
                    <a:prstGeom prst="rect">
                      <a:avLst/>
                    </a:prstGeom>
                    <a:noFill/>
                    <a:ln>
                      <a:noFill/>
                    </a:ln>
                    <a:extLst>
                      <a:ext uri="{53640926-AAD7-44D8-BBD7-CCE9431645EC}">
                        <a14:shadowObscured xmlns:a14="http://schemas.microsoft.com/office/drawing/2010/main"/>
                      </a:ext>
                    </a:extLst>
                  </pic:spPr>
                </pic:pic>
              </a:graphicData>
            </a:graphic>
          </wp:inline>
        </w:drawing>
      </w:r>
      <w:r>
        <w:rPr>
          <w:sz w:val="20"/>
          <w:szCs w:val="20"/>
        </w:rPr>
        <w:t xml:space="preserve">         </w:t>
      </w:r>
      <w:r w:rsidRPr="00DA6557">
        <w:rPr>
          <w:noProof/>
          <w:sz w:val="20"/>
          <w:szCs w:val="20"/>
        </w:rPr>
        <w:drawing>
          <wp:inline distT="0" distB="0" distL="0" distR="0" wp14:anchorId="41F970C6" wp14:editId="19682ECE">
            <wp:extent cx="2863055" cy="1688465"/>
            <wp:effectExtent l="0" t="0" r="0" b="0"/>
            <wp:docPr id="105045897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a:extLst>
                        <a:ext uri="{28A0092B-C50C-407E-A947-70E740481C1C}">
                          <a14:useLocalDpi xmlns:a14="http://schemas.microsoft.com/office/drawing/2010/main" val="0"/>
                        </a:ext>
                      </a:extLst>
                    </a:blip>
                    <a:srcRect l="17833" t="15163" r="4413" b="11468"/>
                    <a:stretch/>
                  </pic:blipFill>
                  <pic:spPr bwMode="auto">
                    <a:xfrm>
                      <a:off x="0" y="0"/>
                      <a:ext cx="2874657" cy="1695307"/>
                    </a:xfrm>
                    <a:prstGeom prst="rect">
                      <a:avLst/>
                    </a:prstGeom>
                    <a:noFill/>
                    <a:ln>
                      <a:noFill/>
                    </a:ln>
                    <a:extLst>
                      <a:ext uri="{53640926-AAD7-44D8-BBD7-CCE9431645EC}">
                        <a14:shadowObscured xmlns:a14="http://schemas.microsoft.com/office/drawing/2010/main"/>
                      </a:ext>
                    </a:extLst>
                  </pic:spPr>
                </pic:pic>
              </a:graphicData>
            </a:graphic>
          </wp:inline>
        </w:drawing>
      </w:r>
    </w:p>
    <w:p w14:paraId="7419C525" w14:textId="0CD7AC39" w:rsidR="007B58B7" w:rsidRPr="007B58B7" w:rsidRDefault="007B58B7" w:rsidP="00375ACD">
      <w:pPr>
        <w:pStyle w:val="List2"/>
        <w:spacing w:after="0"/>
        <w:ind w:left="0" w:firstLine="0"/>
        <w:contextualSpacing w:val="0"/>
        <w:jc w:val="center"/>
        <w:rPr>
          <w:rFonts w:ascii="Arial" w:eastAsia="Times New Roman" w:hAnsi="Arial" w:cs="Arial"/>
          <w:sz w:val="20"/>
          <w:szCs w:val="20"/>
        </w:rPr>
      </w:pPr>
      <w:r w:rsidRPr="007B58B7">
        <w:rPr>
          <w:rFonts w:ascii="Arial" w:eastAsia="Times New Roman" w:hAnsi="Arial" w:cs="Arial"/>
          <w:sz w:val="20"/>
          <w:szCs w:val="20"/>
        </w:rPr>
        <w:t>Figure 7. Surface re</w:t>
      </w:r>
      <w:r w:rsidR="002C5392">
        <w:rPr>
          <w:rFonts w:ascii="Arial" w:eastAsia="Times New Roman" w:hAnsi="Arial" w:cs="Arial"/>
          <w:sz w:val="20"/>
          <w:szCs w:val="20"/>
        </w:rPr>
        <w:t>s</w:t>
      </w:r>
      <w:r w:rsidRPr="007B58B7">
        <w:rPr>
          <w:rFonts w:ascii="Arial" w:eastAsia="Times New Roman" w:hAnsi="Arial" w:cs="Arial"/>
          <w:sz w:val="20"/>
          <w:szCs w:val="20"/>
        </w:rPr>
        <w:t>ponses for central composite design with stars</w:t>
      </w:r>
    </w:p>
    <w:p w14:paraId="0D119CB0" w14:textId="770B5AE5" w:rsidR="007E0240" w:rsidRPr="007E0240" w:rsidRDefault="007E0240" w:rsidP="00375ACD">
      <w:pPr>
        <w:pStyle w:val="Body"/>
        <w:spacing w:before="240"/>
        <w:rPr>
          <w:rFonts w:ascii="Arial" w:hAnsi="Arial" w:cs="Arial"/>
        </w:rPr>
      </w:pPr>
      <w:r>
        <w:rPr>
          <w:rFonts w:ascii="Arial" w:hAnsi="Arial" w:cs="Arial"/>
        </w:rPr>
        <w:t xml:space="preserve">3.4 </w:t>
      </w:r>
      <w:r w:rsidRPr="007E0240">
        <w:rPr>
          <w:rFonts w:ascii="Arial" w:hAnsi="Arial" w:cs="Arial"/>
        </w:rPr>
        <w:t>Discussion</w:t>
      </w:r>
    </w:p>
    <w:p w14:paraId="77B4C2A2" w14:textId="77777777" w:rsidR="007E0240" w:rsidRPr="007E0240" w:rsidRDefault="007E0240" w:rsidP="007E0240">
      <w:pPr>
        <w:pStyle w:val="Body"/>
        <w:rPr>
          <w:rFonts w:ascii="Arial" w:hAnsi="Arial" w:cs="Arial"/>
        </w:rPr>
      </w:pPr>
      <w:r w:rsidRPr="007E0240">
        <w:rPr>
          <w:rFonts w:ascii="Arial" w:hAnsi="Arial" w:cs="Arial"/>
        </w:rPr>
        <w:t>The present study investigated the development of terbinafine hydrochloride (</w:t>
      </w:r>
      <w:proofErr w:type="spellStart"/>
      <w:r w:rsidRPr="007E0240">
        <w:rPr>
          <w:rFonts w:ascii="Arial" w:hAnsi="Arial" w:cs="Arial"/>
        </w:rPr>
        <w:t>TbHCl</w:t>
      </w:r>
      <w:proofErr w:type="spellEnd"/>
      <w:r w:rsidRPr="007E0240">
        <w:rPr>
          <w:rFonts w:ascii="Arial" w:hAnsi="Arial" w:cs="Arial"/>
        </w:rPr>
        <w:t>) solid dispersions (SDs) via hot-melt extrusion (HME) under a Quality by Design (</w:t>
      </w:r>
      <w:proofErr w:type="spellStart"/>
      <w:r w:rsidRPr="007E0240">
        <w:rPr>
          <w:rFonts w:ascii="Arial" w:hAnsi="Arial" w:cs="Arial"/>
        </w:rPr>
        <w:t>QbD</w:t>
      </w:r>
      <w:proofErr w:type="spellEnd"/>
      <w:r w:rsidRPr="007E0240">
        <w:rPr>
          <w:rFonts w:ascii="Arial" w:hAnsi="Arial" w:cs="Arial"/>
        </w:rPr>
        <w:t xml:space="preserve">) approach, using </w:t>
      </w:r>
      <w:proofErr w:type="spellStart"/>
      <w:r w:rsidRPr="007E0240">
        <w:rPr>
          <w:rFonts w:ascii="Arial" w:hAnsi="Arial" w:cs="Arial"/>
        </w:rPr>
        <w:t>Soluplus</w:t>
      </w:r>
      <w:proofErr w:type="spellEnd"/>
      <w:r w:rsidRPr="007E0240">
        <w:rPr>
          <w:rFonts w:ascii="Arial" w:hAnsi="Arial" w:cs="Arial"/>
        </w:rPr>
        <w:t>® and PVP VA64 as polymeric carriers. The results demonstrate that formulation composition—particularly polymer type and concentration—had a decisive impact on dissolution performance, whereas process parameters such as screw speed and residence time had secondary effects within the evaluated ranges.</w:t>
      </w:r>
    </w:p>
    <w:p w14:paraId="6C9BB19E" w14:textId="77777777" w:rsidR="007E0240" w:rsidRPr="007E0240" w:rsidRDefault="007E0240" w:rsidP="007E0240">
      <w:pPr>
        <w:pStyle w:val="Body"/>
        <w:rPr>
          <w:rFonts w:ascii="Arial" w:hAnsi="Arial" w:cs="Arial"/>
        </w:rPr>
      </w:pPr>
      <w:proofErr w:type="spellStart"/>
      <w:r w:rsidRPr="007E0240">
        <w:rPr>
          <w:rFonts w:ascii="Arial" w:hAnsi="Arial" w:cs="Arial"/>
        </w:rPr>
        <w:t>Soluplus</w:t>
      </w:r>
      <w:proofErr w:type="spellEnd"/>
      <w:r w:rsidRPr="007E0240">
        <w:rPr>
          <w:rFonts w:ascii="Arial" w:hAnsi="Arial" w:cs="Arial"/>
        </w:rPr>
        <w:t xml:space="preserve">®-based SDs showed superior dissolution enhancement compared to PVP VA64 systems at equivalent drug loadings. This can be attributed to the amphiphilic nature of </w:t>
      </w:r>
      <w:proofErr w:type="spellStart"/>
      <w:r w:rsidRPr="007E0240">
        <w:rPr>
          <w:rFonts w:ascii="Arial" w:hAnsi="Arial" w:cs="Arial"/>
        </w:rPr>
        <w:t>Soluplus</w:t>
      </w:r>
      <w:proofErr w:type="spellEnd"/>
      <w:r w:rsidRPr="007E0240">
        <w:rPr>
          <w:rFonts w:ascii="Arial" w:hAnsi="Arial" w:cs="Arial"/>
        </w:rPr>
        <w:t xml:space="preserve">®, which enables both micellar solubilization above its critical micelle concentration (CMC) and molecular interactions with the hydrophobic drug. The dissolution rate improvement was more pronounced at higher </w:t>
      </w:r>
      <w:proofErr w:type="spellStart"/>
      <w:r w:rsidRPr="007E0240">
        <w:rPr>
          <w:rFonts w:ascii="Arial" w:hAnsi="Arial" w:cs="Arial"/>
        </w:rPr>
        <w:t>Soluplus</w:t>
      </w:r>
      <w:proofErr w:type="spellEnd"/>
      <w:r w:rsidRPr="007E0240">
        <w:rPr>
          <w:rFonts w:ascii="Arial" w:hAnsi="Arial" w:cs="Arial"/>
        </w:rPr>
        <w:t>® contents, consistent with previous reports for poorly soluble BCS class II drugs. In contrast, PVP VA64-based systems relied primarily on polymer erosion and wettability improvement, which translated into slower drug release under the same dissolution conditions.</w:t>
      </w:r>
    </w:p>
    <w:p w14:paraId="2BF9E27A" w14:textId="77777777" w:rsidR="007E0240" w:rsidRPr="007E0240" w:rsidRDefault="007E0240" w:rsidP="007E0240">
      <w:pPr>
        <w:pStyle w:val="Body"/>
        <w:rPr>
          <w:rFonts w:ascii="Arial" w:hAnsi="Arial" w:cs="Arial"/>
        </w:rPr>
      </w:pPr>
      <w:r w:rsidRPr="007E0240">
        <w:rPr>
          <w:rFonts w:ascii="Arial" w:hAnsi="Arial" w:cs="Arial"/>
        </w:rPr>
        <w:t>Inclusion of xylitol at ≤10% w/w facilitated extrusion by lowering melt viscosity and torque, particularly for high-</w:t>
      </w:r>
      <w:proofErr w:type="spellStart"/>
      <w:r w:rsidRPr="007E0240">
        <w:rPr>
          <w:rFonts w:ascii="Arial" w:hAnsi="Arial" w:cs="Arial"/>
        </w:rPr>
        <w:t>Tg</w:t>
      </w:r>
      <w:proofErr w:type="spellEnd"/>
      <w:r w:rsidRPr="007E0240">
        <w:rPr>
          <w:rFonts w:ascii="Arial" w:hAnsi="Arial" w:cs="Arial"/>
        </w:rPr>
        <w:t xml:space="preserve"> PVP VA64 formulations. Although xylitol can improve wettability and generate aqueous channels upon dissolution, its low concentration in this study minimized its direct influence on dissolution behavior. This approach avoided confounding effects in the DoE analysis, ensuring that the observed dissolution enhancement could be attributed primarily to polymer properties.</w:t>
      </w:r>
    </w:p>
    <w:p w14:paraId="2C722156" w14:textId="77777777" w:rsidR="007E0240" w:rsidRPr="007E0240" w:rsidRDefault="007E0240" w:rsidP="007E0240">
      <w:pPr>
        <w:pStyle w:val="Body"/>
        <w:rPr>
          <w:rFonts w:ascii="Arial" w:hAnsi="Arial" w:cs="Arial"/>
        </w:rPr>
      </w:pPr>
      <w:r w:rsidRPr="007E0240">
        <w:rPr>
          <w:rFonts w:ascii="Arial" w:hAnsi="Arial" w:cs="Arial"/>
        </w:rPr>
        <w:t xml:space="preserve">XRPD and DSC analyses confirmed that the optimized SDs contained terbinafine in a mixed crystalline–amorphous state, rather than fully amorphous. The partial amorphization, together with improved dispersion of the drug within the polymer matrix, contributed to the observed dissolution enhancement. </w:t>
      </w:r>
    </w:p>
    <w:p w14:paraId="3175B0DE" w14:textId="77777777" w:rsidR="007E0240" w:rsidRPr="007E0240" w:rsidRDefault="007E0240" w:rsidP="007E0240">
      <w:pPr>
        <w:pStyle w:val="Body"/>
        <w:rPr>
          <w:rFonts w:ascii="Arial" w:hAnsi="Arial" w:cs="Arial"/>
        </w:rPr>
      </w:pPr>
      <w:r w:rsidRPr="007E0240">
        <w:rPr>
          <w:rFonts w:ascii="Arial" w:hAnsi="Arial" w:cs="Arial"/>
        </w:rPr>
        <w:t>The two-stage DoE strategy—initial full factorial screening followed by central composite design (CCD)—allowed systematic identification and modeling of critical factors. The CCD model predicted dissolution behavior within the studied design space, and the selected formulation fell within the region of maximum predicted dissolution rate. Although the predictive capability of Equation 1 was supported by model fit statistics (r²), explicit validation runs should be performed in future work to confirm model robustness.</w:t>
      </w:r>
    </w:p>
    <w:p w14:paraId="0B0EF936" w14:textId="77777777" w:rsidR="007E0240" w:rsidRPr="007E0240" w:rsidRDefault="007E0240" w:rsidP="007E0240">
      <w:pPr>
        <w:pStyle w:val="Body"/>
        <w:rPr>
          <w:rFonts w:ascii="Arial" w:hAnsi="Arial" w:cs="Arial"/>
        </w:rPr>
      </w:pPr>
      <w:r w:rsidRPr="007E0240">
        <w:rPr>
          <w:rFonts w:ascii="Arial" w:hAnsi="Arial" w:cs="Arial"/>
        </w:rPr>
        <w:lastRenderedPageBreak/>
        <w:t xml:space="preserve">The selected prototype represents an optimized compromise among key formulation and processing parameters, including elevated drug loading (to reduce tablet dimensions), substantial enhancement of dissolution rate, acceptable extrusion torque, and favorable downstream processability. Specifically, the formulation comprises 42.2% </w:t>
      </w:r>
      <w:proofErr w:type="spellStart"/>
      <w:r w:rsidRPr="007E0240">
        <w:rPr>
          <w:rFonts w:ascii="Arial" w:hAnsi="Arial" w:cs="Arial"/>
        </w:rPr>
        <w:t>soluplus</w:t>
      </w:r>
      <w:proofErr w:type="spellEnd"/>
      <w:r w:rsidRPr="007E0240">
        <w:rPr>
          <w:rFonts w:ascii="Arial" w:hAnsi="Arial" w:cs="Arial"/>
        </w:rPr>
        <w:t xml:space="preserve"> and exhibits a residence time of 15.88 minutes, resulting in a 2.03-fold increase in dissolution rate compared to the untreated drug. A high degree of API ensures uniformity, while adequate densification of the extrudate improves both flowability and compressibility during downstream manufacturing processes. Although these characteristics were not the primary focus of the present study, their consideration underscores their relevance for the successful translation of the formulation into scalable and robust production processes.</w:t>
      </w:r>
    </w:p>
    <w:p w14:paraId="587B47CF" w14:textId="77777777" w:rsidR="007E0240" w:rsidRPr="007E0240" w:rsidRDefault="007E0240" w:rsidP="007E0240">
      <w:pPr>
        <w:pStyle w:val="Body"/>
        <w:rPr>
          <w:rFonts w:ascii="Arial" w:hAnsi="Arial" w:cs="Arial"/>
        </w:rPr>
      </w:pPr>
      <w:r w:rsidRPr="007E0240">
        <w:rPr>
          <w:rFonts w:ascii="Arial" w:hAnsi="Arial" w:cs="Arial"/>
        </w:rPr>
        <w:t xml:space="preserve">While the present study followed </w:t>
      </w:r>
      <w:proofErr w:type="spellStart"/>
      <w:r w:rsidRPr="007E0240">
        <w:rPr>
          <w:rFonts w:ascii="Arial" w:hAnsi="Arial" w:cs="Arial"/>
        </w:rPr>
        <w:t>QbD</w:t>
      </w:r>
      <w:proofErr w:type="spellEnd"/>
      <w:r w:rsidRPr="007E0240">
        <w:rPr>
          <w:rFonts w:ascii="Arial" w:hAnsi="Arial" w:cs="Arial"/>
        </w:rPr>
        <w:t xml:space="preserve"> principles by linking CMAs and CPPs to dissolution performance through risk assessment and DoE, the mechanistic understanding of crystallinity changes and particle size reduction could be expanded. Future studies should include in-line or off-line particle size characterization of the dispersed API to clarify the contributions of amorphization versus size reduction.</w:t>
      </w:r>
    </w:p>
    <w:p w14:paraId="2993768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9361F23" w14:textId="77777777" w:rsidR="00790ADA" w:rsidRPr="00FB3A86" w:rsidRDefault="00790ADA" w:rsidP="00441B6F">
      <w:pPr>
        <w:pStyle w:val="ConcHead"/>
        <w:spacing w:after="0"/>
        <w:jc w:val="both"/>
        <w:rPr>
          <w:rFonts w:ascii="Arial" w:hAnsi="Arial" w:cs="Arial"/>
        </w:rPr>
      </w:pPr>
    </w:p>
    <w:p w14:paraId="55C2E2D6" w14:textId="77777777" w:rsidR="00375ACD" w:rsidRDefault="00375ACD" w:rsidP="00375ACD">
      <w:pPr>
        <w:pStyle w:val="Body"/>
        <w:spacing w:after="0"/>
        <w:rPr>
          <w:rFonts w:ascii="Arial" w:hAnsi="Arial" w:cs="Arial"/>
        </w:rPr>
      </w:pPr>
      <w:r w:rsidRPr="007E0240">
        <w:rPr>
          <w:rFonts w:ascii="Arial" w:hAnsi="Arial" w:cs="Arial"/>
        </w:rPr>
        <w:t xml:space="preserve">In summary, the optimized </w:t>
      </w:r>
      <w:proofErr w:type="spellStart"/>
      <w:r w:rsidRPr="007E0240">
        <w:rPr>
          <w:rFonts w:ascii="Arial" w:hAnsi="Arial" w:cs="Arial"/>
        </w:rPr>
        <w:t>TbHCl</w:t>
      </w:r>
      <w:proofErr w:type="spellEnd"/>
      <w:r w:rsidRPr="007E0240">
        <w:rPr>
          <w:rFonts w:ascii="Arial" w:hAnsi="Arial" w:cs="Arial"/>
        </w:rPr>
        <w:t xml:space="preserve"> SD formulation, produced via HME with </w:t>
      </w:r>
      <w:proofErr w:type="spellStart"/>
      <w:r w:rsidRPr="007E0240">
        <w:rPr>
          <w:rFonts w:ascii="Arial" w:hAnsi="Arial" w:cs="Arial"/>
        </w:rPr>
        <w:t>Soluplus</w:t>
      </w:r>
      <w:proofErr w:type="spellEnd"/>
      <w:r w:rsidRPr="007E0240">
        <w:rPr>
          <w:rFonts w:ascii="Arial" w:hAnsi="Arial" w:cs="Arial"/>
        </w:rPr>
        <w:t>® at high drug loading, demonstrated significant dissolution rate improvement while maintaining processability. The study provides a systematic foundation for scale-up and further optimization, though additional work is required to translate these findings into final dosage form performance.</w:t>
      </w:r>
    </w:p>
    <w:p w14:paraId="7E9B2B4D" w14:textId="77777777" w:rsidR="00790ADA" w:rsidRPr="00FB3A86" w:rsidRDefault="00790ADA" w:rsidP="00441B6F">
      <w:pPr>
        <w:pStyle w:val="Body"/>
        <w:spacing w:after="0"/>
        <w:rPr>
          <w:rFonts w:ascii="Arial" w:hAnsi="Arial" w:cs="Arial"/>
        </w:rPr>
      </w:pPr>
    </w:p>
    <w:p w14:paraId="41CC6B68" w14:textId="77777777" w:rsidR="00315186" w:rsidRPr="00315186" w:rsidRDefault="00315186" w:rsidP="00441B6F"/>
    <w:p w14:paraId="03AB26FD" w14:textId="77777777" w:rsidR="002B685A" w:rsidRDefault="002B685A" w:rsidP="00441B6F">
      <w:pPr>
        <w:pStyle w:val="ReferHead"/>
        <w:spacing w:after="0"/>
        <w:jc w:val="both"/>
        <w:rPr>
          <w:rFonts w:ascii="Arial" w:hAnsi="Arial" w:cs="Arial"/>
          <w:b w:val="0"/>
          <w:caps w:val="0"/>
          <w:sz w:val="20"/>
        </w:rPr>
      </w:pPr>
    </w:p>
    <w:p w14:paraId="5803641E" w14:textId="77777777" w:rsidR="002B685A" w:rsidRDefault="002B685A" w:rsidP="00441B6F">
      <w:pPr>
        <w:pStyle w:val="ReferHead"/>
        <w:spacing w:after="0"/>
        <w:jc w:val="both"/>
        <w:rPr>
          <w:rFonts w:ascii="Arial" w:hAnsi="Arial" w:cs="Arial"/>
          <w:bCs/>
        </w:rPr>
      </w:pPr>
      <w:r w:rsidRPr="00E77F88">
        <w:rPr>
          <w:rFonts w:ascii="Arial" w:hAnsi="Arial" w:cs="Arial"/>
          <w:bCs/>
        </w:rPr>
        <w:t>Consent (where</w:t>
      </w:r>
      <w:r w:rsidR="007369E6" w:rsidRPr="00E77F88">
        <w:rPr>
          <w:rFonts w:ascii="Arial" w:hAnsi="Arial" w:cs="Arial"/>
          <w:bCs/>
        </w:rPr>
        <w:t xml:space="preserve"> </w:t>
      </w:r>
      <w:r w:rsidRPr="00E77F88">
        <w:rPr>
          <w:rFonts w:ascii="Arial" w:hAnsi="Arial" w:cs="Arial"/>
          <w:bCs/>
        </w:rPr>
        <w:t>ever applicable)</w:t>
      </w:r>
    </w:p>
    <w:p w14:paraId="1524B32F" w14:textId="7698E60B" w:rsidR="002B685A" w:rsidRPr="002B685A" w:rsidRDefault="00E77F88" w:rsidP="00441B6F">
      <w:pPr>
        <w:pStyle w:val="ReferHead"/>
        <w:spacing w:after="0"/>
        <w:jc w:val="both"/>
        <w:rPr>
          <w:rFonts w:ascii="Arial" w:hAnsi="Arial" w:cs="Arial"/>
          <w:bCs/>
        </w:rPr>
      </w:pPr>
      <w:r>
        <w:rPr>
          <w:rFonts w:ascii="Arial" w:hAnsi="Arial" w:cs="Arial"/>
          <w:b w:val="0"/>
          <w:caps w:val="0"/>
          <w:sz w:val="20"/>
        </w:rPr>
        <w:t>N</w:t>
      </w:r>
      <w:r w:rsidR="0098475A" w:rsidRPr="00E77F88">
        <w:rPr>
          <w:rFonts w:ascii="Arial" w:hAnsi="Arial" w:cs="Arial"/>
          <w:b w:val="0"/>
          <w:caps w:val="0"/>
          <w:sz w:val="20"/>
        </w:rPr>
        <w:t>ot applicable</w:t>
      </w:r>
    </w:p>
    <w:p w14:paraId="624C95D8" w14:textId="77777777" w:rsidR="001A29D8" w:rsidRDefault="001A29D8" w:rsidP="00441B6F">
      <w:pPr>
        <w:pStyle w:val="ReferHead"/>
        <w:spacing w:after="0"/>
        <w:jc w:val="both"/>
        <w:rPr>
          <w:rFonts w:ascii="Arial" w:hAnsi="Arial" w:cs="Arial"/>
          <w:b w:val="0"/>
          <w:caps w:val="0"/>
          <w:sz w:val="20"/>
        </w:rPr>
      </w:pPr>
    </w:p>
    <w:p w14:paraId="17A6D2F4" w14:textId="77777777" w:rsidR="005C784C" w:rsidRDefault="005C784C" w:rsidP="00441B6F">
      <w:pPr>
        <w:pStyle w:val="ReferHead"/>
        <w:spacing w:after="0"/>
        <w:jc w:val="both"/>
        <w:rPr>
          <w:rFonts w:ascii="Arial" w:hAnsi="Arial" w:cs="Arial"/>
          <w:bCs/>
        </w:rPr>
      </w:pPr>
      <w:r w:rsidRPr="00E77F88">
        <w:rPr>
          <w:rFonts w:ascii="Arial" w:hAnsi="Arial" w:cs="Arial"/>
          <w:bCs/>
        </w:rPr>
        <w:t>Ethical approval (where</w:t>
      </w:r>
      <w:r w:rsidR="007369E6" w:rsidRPr="00E77F88">
        <w:rPr>
          <w:rFonts w:ascii="Arial" w:hAnsi="Arial" w:cs="Arial"/>
          <w:bCs/>
        </w:rPr>
        <w:t xml:space="preserve"> </w:t>
      </w:r>
      <w:r w:rsidRPr="00E77F88">
        <w:rPr>
          <w:rFonts w:ascii="Arial" w:hAnsi="Arial" w:cs="Arial"/>
          <w:bCs/>
        </w:rPr>
        <w:t>ever applicable)</w:t>
      </w:r>
    </w:p>
    <w:p w14:paraId="51025F49" w14:textId="0EED7831" w:rsidR="0098475A" w:rsidRDefault="00E77F88" w:rsidP="0098475A">
      <w:pPr>
        <w:pStyle w:val="ReferHead"/>
        <w:spacing w:after="0"/>
        <w:jc w:val="both"/>
        <w:rPr>
          <w:rFonts w:ascii="Arial" w:hAnsi="Arial" w:cs="Arial"/>
          <w:b w:val="0"/>
          <w:i/>
          <w:iCs/>
          <w:caps w:val="0"/>
          <w:sz w:val="20"/>
        </w:rPr>
      </w:pPr>
      <w:r>
        <w:rPr>
          <w:rFonts w:ascii="Arial" w:hAnsi="Arial" w:cs="Arial"/>
          <w:b w:val="0"/>
          <w:caps w:val="0"/>
          <w:sz w:val="20"/>
        </w:rPr>
        <w:t>N</w:t>
      </w:r>
      <w:r w:rsidR="0098475A" w:rsidRPr="00E77F88">
        <w:rPr>
          <w:rFonts w:ascii="Arial" w:hAnsi="Arial" w:cs="Arial"/>
          <w:b w:val="0"/>
          <w:caps w:val="0"/>
          <w:sz w:val="20"/>
        </w:rPr>
        <w:t xml:space="preserve">ot applicable, all experiments where </w:t>
      </w:r>
      <w:r w:rsidR="0098475A" w:rsidRPr="00E77F88">
        <w:rPr>
          <w:rFonts w:ascii="Arial" w:hAnsi="Arial" w:cs="Arial"/>
          <w:b w:val="0"/>
          <w:i/>
          <w:iCs/>
          <w:caps w:val="0"/>
          <w:sz w:val="20"/>
        </w:rPr>
        <w:t>in vitro</w:t>
      </w:r>
    </w:p>
    <w:p w14:paraId="42DFD90D" w14:textId="77777777" w:rsidR="0018111B" w:rsidRDefault="0018111B" w:rsidP="0098475A">
      <w:pPr>
        <w:pStyle w:val="ReferHead"/>
        <w:spacing w:after="0"/>
        <w:jc w:val="both"/>
        <w:rPr>
          <w:rFonts w:ascii="Arial" w:hAnsi="Arial" w:cs="Arial"/>
          <w:b w:val="0"/>
          <w:i/>
          <w:iCs/>
          <w:caps w:val="0"/>
          <w:sz w:val="20"/>
        </w:rPr>
      </w:pPr>
    </w:p>
    <w:p w14:paraId="4EC67960" w14:textId="77777777" w:rsidR="0018111B" w:rsidRDefault="0018111B" w:rsidP="0098475A">
      <w:pPr>
        <w:pStyle w:val="ReferHead"/>
        <w:spacing w:after="0"/>
        <w:jc w:val="both"/>
        <w:rPr>
          <w:rFonts w:ascii="Arial" w:hAnsi="Arial" w:cs="Arial"/>
          <w:b w:val="0"/>
          <w:i/>
          <w:iCs/>
          <w:caps w:val="0"/>
          <w:sz w:val="20"/>
        </w:rPr>
      </w:pPr>
    </w:p>
    <w:p w14:paraId="3726D62F" w14:textId="77777777" w:rsidR="0018111B" w:rsidRPr="0018111B" w:rsidRDefault="0018111B" w:rsidP="0018111B">
      <w:pPr>
        <w:pStyle w:val="ReferHead"/>
        <w:jc w:val="both"/>
        <w:rPr>
          <w:rFonts w:ascii="Arial" w:hAnsi="Arial" w:cs="Arial"/>
          <w:b w:val="0"/>
          <w:i/>
          <w:iCs/>
          <w:caps w:val="0"/>
          <w:sz w:val="20"/>
        </w:rPr>
      </w:pPr>
      <w:r w:rsidRPr="0018111B">
        <w:rPr>
          <w:rFonts w:ascii="Arial" w:hAnsi="Arial" w:cs="Arial"/>
          <w:b w:val="0"/>
          <w:i/>
          <w:iCs/>
          <w:caps w:val="0"/>
          <w:sz w:val="20"/>
        </w:rPr>
        <w:t>COMPETING INTERESTS DISCLAIMER:</w:t>
      </w:r>
    </w:p>
    <w:p w14:paraId="5EDD90E7" w14:textId="67F3A981" w:rsidR="0018111B" w:rsidRDefault="0018111B" w:rsidP="0018111B">
      <w:pPr>
        <w:pStyle w:val="ReferHead"/>
        <w:spacing w:after="0"/>
        <w:jc w:val="both"/>
        <w:rPr>
          <w:rFonts w:ascii="Arial" w:hAnsi="Arial" w:cs="Arial"/>
          <w:b w:val="0"/>
          <w:i/>
          <w:iCs/>
          <w:caps w:val="0"/>
          <w:sz w:val="20"/>
        </w:rPr>
      </w:pPr>
      <w:r w:rsidRPr="0018111B">
        <w:rPr>
          <w:rFonts w:ascii="Arial" w:hAnsi="Arial" w:cs="Arial"/>
          <w:b w:val="0"/>
          <w:i/>
          <w:iCs/>
          <w:caps w:val="0"/>
          <w:sz w:val="20"/>
        </w:rPr>
        <w:t>Authors have declared that they have no known competing financial interests OR non-financial interests OR personal relationships that could have appeared to influence the work reported in this paper.</w:t>
      </w:r>
    </w:p>
    <w:p w14:paraId="3966D4F6" w14:textId="77777777" w:rsidR="0018111B" w:rsidRPr="00E77F88" w:rsidRDefault="0018111B" w:rsidP="0098475A">
      <w:pPr>
        <w:pStyle w:val="ReferHead"/>
        <w:spacing w:after="0"/>
        <w:jc w:val="both"/>
        <w:rPr>
          <w:rFonts w:ascii="Arial" w:hAnsi="Arial" w:cs="Arial"/>
          <w:b w:val="0"/>
          <w:caps w:val="0"/>
          <w:sz w:val="20"/>
        </w:rPr>
      </w:pPr>
    </w:p>
    <w:p w14:paraId="2A522362" w14:textId="77777777" w:rsidR="00860000" w:rsidRDefault="00860000" w:rsidP="00441B6F">
      <w:pPr>
        <w:pStyle w:val="ReferHead"/>
        <w:spacing w:after="0"/>
        <w:jc w:val="both"/>
        <w:rPr>
          <w:rFonts w:ascii="Arial" w:hAnsi="Arial" w:cs="Arial"/>
        </w:rPr>
      </w:pPr>
    </w:p>
    <w:p w14:paraId="2C243E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6D04DD" w14:textId="77777777" w:rsidR="00790ADA" w:rsidRPr="00FB3A86" w:rsidRDefault="00790ADA" w:rsidP="00441B6F">
      <w:pPr>
        <w:pStyle w:val="ReferHead"/>
        <w:spacing w:after="0"/>
        <w:jc w:val="both"/>
        <w:rPr>
          <w:rFonts w:ascii="Arial" w:hAnsi="Arial" w:cs="Arial"/>
        </w:rPr>
      </w:pPr>
    </w:p>
    <w:p w14:paraId="0DF5DD40" w14:textId="7B39A005" w:rsidR="00375ACD" w:rsidRDefault="00375ACD" w:rsidP="00375ACD">
      <w:pPr>
        <w:pStyle w:val="Body"/>
      </w:pPr>
      <w:r>
        <w:t xml:space="preserve">[1] BASF. Solubility Enhancement with BASF Pharma Polymers. Solubilizer Compendium. </w:t>
      </w:r>
      <w:proofErr w:type="spellStart"/>
      <w:r>
        <w:t>Lampertheim</w:t>
      </w:r>
      <w:proofErr w:type="spellEnd"/>
      <w:r>
        <w:t>, Germany: 2011.</w:t>
      </w:r>
    </w:p>
    <w:p w14:paraId="2C359440" w14:textId="2B5CCF3A" w:rsidR="00375ACD" w:rsidRDefault="00375ACD" w:rsidP="00375ACD">
      <w:pPr>
        <w:pStyle w:val="Body"/>
      </w:pPr>
      <w:r>
        <w:t xml:space="preserve">[2] </w:t>
      </w:r>
      <w:proofErr w:type="spellStart"/>
      <w:r>
        <w:t>Gowardhane</w:t>
      </w:r>
      <w:proofErr w:type="spellEnd"/>
      <w:r>
        <w:t xml:space="preserve"> AP, Kadam NV, Dutta S. Review on Enhancement of Solubilization Process. Am J Drug </w:t>
      </w:r>
      <w:proofErr w:type="spellStart"/>
      <w:r>
        <w:t>Discov</w:t>
      </w:r>
      <w:proofErr w:type="spellEnd"/>
      <w:r>
        <w:t xml:space="preserve"> Dev </w:t>
      </w:r>
      <w:proofErr w:type="gramStart"/>
      <w:r>
        <w:t>2014;4:134</w:t>
      </w:r>
      <w:proofErr w:type="gramEnd"/>
      <w:r>
        <w:t>–52. https://doi.org/10.3923/ajdd.2014.134.152.</w:t>
      </w:r>
    </w:p>
    <w:p w14:paraId="1E853757" w14:textId="6B8EC6B1" w:rsidR="00375ACD" w:rsidRDefault="00375ACD" w:rsidP="00375ACD">
      <w:pPr>
        <w:pStyle w:val="Body"/>
      </w:pPr>
      <w:r>
        <w:t xml:space="preserve">[3] Chaudhary A, Nagaich U, Gulati N, Sharma VK, Khosa RL. Enhancement of solubilization and bioavailability of poorly soluble drugs by physical and chemical modifications: A recent review </w:t>
      </w:r>
      <w:proofErr w:type="gramStart"/>
      <w:r>
        <w:t>2012;2:32</w:t>
      </w:r>
      <w:proofErr w:type="gramEnd"/>
      <w:r>
        <w:t>–67.</w:t>
      </w:r>
    </w:p>
    <w:p w14:paraId="77A8C125" w14:textId="47C13863" w:rsidR="00375ACD" w:rsidRDefault="00375ACD" w:rsidP="00375ACD">
      <w:pPr>
        <w:pStyle w:val="Body"/>
      </w:pPr>
      <w:r>
        <w:lastRenderedPageBreak/>
        <w:t xml:space="preserve">[4] Xiong X, Zhang M, Hou Q, Tang P, Suo Z, Zhu Y, et al. Solid dispersions of telaprevir with improved solubility prepared by co-milling: formulation, physicochemical characterization, and cytotoxicity evaluation. Mater Sci Eng C </w:t>
      </w:r>
      <w:proofErr w:type="gramStart"/>
      <w:r>
        <w:t>2019;105:110012</w:t>
      </w:r>
      <w:proofErr w:type="gramEnd"/>
      <w:r>
        <w:t>. https://doi.org/10.1016/j.msec.2019.110012.</w:t>
      </w:r>
    </w:p>
    <w:p w14:paraId="20069FA8" w14:textId="16C27C97" w:rsidR="00375ACD" w:rsidRDefault="00375ACD" w:rsidP="00375ACD">
      <w:pPr>
        <w:pStyle w:val="Body"/>
      </w:pPr>
      <w:r>
        <w:t xml:space="preserve">[5] Potter C, Tian Y, Walker G, McCoy C, Hornsby P, Donnelly C, et al. Novel supercritical carbon dioxide impregnation technique for the production of amorphous solid drug dispersions: A comparison to hot melt extrusion. Mol Pharm </w:t>
      </w:r>
      <w:proofErr w:type="gramStart"/>
      <w:r>
        <w:t>2015;12:1377</w:t>
      </w:r>
      <w:proofErr w:type="gramEnd"/>
      <w:r>
        <w:t>–90. https://doi.org/10.1021/mp500644h.</w:t>
      </w:r>
    </w:p>
    <w:p w14:paraId="3927A335" w14:textId="2B72FF8C" w:rsidR="00375ACD" w:rsidRDefault="00375ACD" w:rsidP="00375ACD">
      <w:pPr>
        <w:pStyle w:val="Body"/>
      </w:pPr>
      <w:r>
        <w:t xml:space="preserve">[6] JENSEN JC. Clinical pharmacokinetics of terbinafine (Lamisil). Clin Exp Dermatol </w:t>
      </w:r>
      <w:proofErr w:type="gramStart"/>
      <w:r>
        <w:t>1989;14:110</w:t>
      </w:r>
      <w:proofErr w:type="gramEnd"/>
      <w:r>
        <w:t>–3. https://doi.org/10.1111/j.1365-2230.1989.tb00904.x.</w:t>
      </w:r>
    </w:p>
    <w:p w14:paraId="40AD046A" w14:textId="4C48D806" w:rsidR="00375ACD" w:rsidRDefault="00375ACD" w:rsidP="00375ACD">
      <w:pPr>
        <w:pStyle w:val="Body"/>
      </w:pPr>
      <w:r>
        <w:t xml:space="preserve">[7] </w:t>
      </w:r>
      <w:proofErr w:type="spellStart"/>
      <w:r>
        <w:t>Kuminek</w:t>
      </w:r>
      <w:proofErr w:type="spellEnd"/>
      <w:r>
        <w:t xml:space="preserve"> G, </w:t>
      </w:r>
      <w:proofErr w:type="spellStart"/>
      <w:r>
        <w:t>Rauber</w:t>
      </w:r>
      <w:proofErr w:type="spellEnd"/>
      <w:r>
        <w:t xml:space="preserve"> GS, Riekes MK, Campos CEM de, Monti GA, </w:t>
      </w:r>
      <w:proofErr w:type="spellStart"/>
      <w:r>
        <w:t>Bortoluzzi</w:t>
      </w:r>
      <w:proofErr w:type="spellEnd"/>
      <w:r>
        <w:t xml:space="preserve"> AJ, et al. Single crystal structure, solid state characterization and dissolution rate of terbinafine hydrochloride. J Pharm Biomed Anal 2013;78–79:105–11. https://doi.org/10.1016/j.jpba.2013.02.001.</w:t>
      </w:r>
    </w:p>
    <w:p w14:paraId="488F4062" w14:textId="1701FAE5" w:rsidR="00375ACD" w:rsidRDefault="00375ACD" w:rsidP="00375ACD">
      <w:pPr>
        <w:pStyle w:val="Body"/>
      </w:pPr>
      <w:r>
        <w:t xml:space="preserve">[8] Shi H, Xie Y. Solubility and thermodynamics of terbinafine hydrochloride in different neat and binary solvents: Measurement, correlation and molecular interactions. J Mol </w:t>
      </w:r>
      <w:proofErr w:type="spellStart"/>
      <w:r>
        <w:t>Liq</w:t>
      </w:r>
      <w:proofErr w:type="spellEnd"/>
      <w:r>
        <w:t xml:space="preserve"> </w:t>
      </w:r>
      <w:proofErr w:type="gramStart"/>
      <w:r>
        <w:t>2017;243:293</w:t>
      </w:r>
      <w:proofErr w:type="gramEnd"/>
      <w:r>
        <w:t>–301. https://doi.org/10.1016/j.molliq.2017.08.052.</w:t>
      </w:r>
    </w:p>
    <w:p w14:paraId="3AA5BC54" w14:textId="0F2E11D0" w:rsidR="00375ACD" w:rsidRDefault="00375ACD" w:rsidP="00375ACD">
      <w:pPr>
        <w:pStyle w:val="Body"/>
      </w:pPr>
      <w:r>
        <w:t xml:space="preserve">[9] Arunprasad K, Narayanan N, Rajalakshmi G. Preparation and Evaluation of Solid Dispersion of Terbinafine Hydrochloride. Int J Pharm Sci Rev Res </w:t>
      </w:r>
      <w:proofErr w:type="gramStart"/>
      <w:r>
        <w:t>2010;3:130</w:t>
      </w:r>
      <w:proofErr w:type="gramEnd"/>
      <w:r>
        <w:t>–4.</w:t>
      </w:r>
    </w:p>
    <w:p w14:paraId="0336BC5C" w14:textId="0258EAAE" w:rsidR="00375ACD" w:rsidRDefault="00375ACD" w:rsidP="00375ACD">
      <w:pPr>
        <w:pStyle w:val="Body"/>
      </w:pPr>
      <w:r>
        <w:t xml:space="preserve">[10] Kumar N, Jain A, Singh C, Kumar R. Development, characterization and solubility study of solid dispersion of terbinafine hydrochloride by solvent evaporation method. Asian J Pharm </w:t>
      </w:r>
      <w:proofErr w:type="gramStart"/>
      <w:r>
        <w:t>2008;2:154</w:t>
      </w:r>
      <w:proofErr w:type="gramEnd"/>
      <w:r>
        <w:t>. https://doi.org/10.4103/0973-8398.43301.</w:t>
      </w:r>
    </w:p>
    <w:p w14:paraId="65E4C0BA" w14:textId="2D909DAA" w:rsidR="00375ACD" w:rsidRDefault="00375ACD" w:rsidP="00375ACD">
      <w:pPr>
        <w:pStyle w:val="Body"/>
      </w:pPr>
      <w:r>
        <w:t xml:space="preserve">[11] </w:t>
      </w:r>
      <w:proofErr w:type="spellStart"/>
      <w:r>
        <w:t>Payghan</w:t>
      </w:r>
      <w:proofErr w:type="spellEnd"/>
      <w:r>
        <w:t xml:space="preserve"> SA, BARGIR TN, ADHAV AJ. Composition of Terbinafine </w:t>
      </w:r>
      <w:proofErr w:type="spellStart"/>
      <w:r>
        <w:t>Hcl</w:t>
      </w:r>
      <w:proofErr w:type="spellEnd"/>
      <w:r>
        <w:t xml:space="preserve"> Polymeric Gel for Mucosal Drug Delivery. Int J Biol Pharm Allied Sci </w:t>
      </w:r>
      <w:proofErr w:type="gramStart"/>
      <w:r>
        <w:t>2016;5:2146</w:t>
      </w:r>
      <w:proofErr w:type="gramEnd"/>
      <w:r>
        <w:t>–68.</w:t>
      </w:r>
    </w:p>
    <w:p w14:paraId="13C29F54" w14:textId="110C4D5E" w:rsidR="00375ACD" w:rsidRDefault="00375ACD" w:rsidP="00375ACD">
      <w:pPr>
        <w:pStyle w:val="Body"/>
      </w:pPr>
      <w:r>
        <w:t xml:space="preserve">[12] </w:t>
      </w:r>
      <w:proofErr w:type="spellStart"/>
      <w:r>
        <w:t>Uzqueda</w:t>
      </w:r>
      <w:proofErr w:type="spellEnd"/>
      <w:r>
        <w:t xml:space="preserve"> M, Martín C, </w:t>
      </w:r>
      <w:proofErr w:type="spellStart"/>
      <w:r>
        <w:t>Zornoza</w:t>
      </w:r>
      <w:proofErr w:type="spellEnd"/>
      <w:r>
        <w:t xml:space="preserve"> A, Sánchez M, </w:t>
      </w:r>
      <w:proofErr w:type="spellStart"/>
      <w:r>
        <w:t>Vélaz</w:t>
      </w:r>
      <w:proofErr w:type="spellEnd"/>
      <w:r>
        <w:t xml:space="preserve"> I. Physicochemical characterization of terbinafine-cyclodextrin complexes in solution and in the solid state. J Incl Phenom </w:t>
      </w:r>
      <w:proofErr w:type="spellStart"/>
      <w:r>
        <w:t>Macrocycl</w:t>
      </w:r>
      <w:proofErr w:type="spellEnd"/>
      <w:r>
        <w:t xml:space="preserve"> Chem </w:t>
      </w:r>
      <w:proofErr w:type="gramStart"/>
      <w:r>
        <w:t>2010;66:393</w:t>
      </w:r>
      <w:proofErr w:type="gramEnd"/>
      <w:r>
        <w:t>–402. https://doi.org/10.1007/s10847-009-9656-0.</w:t>
      </w:r>
    </w:p>
    <w:p w14:paraId="2C671862" w14:textId="287EEDF7" w:rsidR="00375ACD" w:rsidRDefault="00375ACD" w:rsidP="00375ACD">
      <w:pPr>
        <w:pStyle w:val="Body"/>
      </w:pPr>
      <w:r>
        <w:t xml:space="preserve">[13] Vemula SK. Development and characterization of fast disintegrating tablets of Terbinafine hydrochloride </w:t>
      </w:r>
      <w:proofErr w:type="gramStart"/>
      <w:r>
        <w:t>2011;4:2273</w:t>
      </w:r>
      <w:proofErr w:type="gramEnd"/>
      <w:r>
        <w:t>–5.</w:t>
      </w:r>
    </w:p>
    <w:p w14:paraId="0A1F2A4B" w14:textId="1D09E0C8" w:rsidR="00375ACD" w:rsidRPr="00375ACD" w:rsidRDefault="00375ACD" w:rsidP="00375ACD">
      <w:pPr>
        <w:pStyle w:val="Body"/>
        <w:rPr>
          <w:lang w:val="es-MX"/>
        </w:rPr>
      </w:pPr>
      <w:r>
        <w:t xml:space="preserve">[14] </w:t>
      </w:r>
      <w:proofErr w:type="spellStart"/>
      <w:r>
        <w:t>Thatai</w:t>
      </w:r>
      <w:proofErr w:type="spellEnd"/>
      <w:r>
        <w:t xml:space="preserve"> P, </w:t>
      </w:r>
      <w:proofErr w:type="spellStart"/>
      <w:r>
        <w:t>Sapra</w:t>
      </w:r>
      <w:proofErr w:type="spellEnd"/>
      <w:r>
        <w:t xml:space="preserve"> B. </w:t>
      </w:r>
      <w:proofErr w:type="spellStart"/>
      <w:r>
        <w:t>Transungual</w:t>
      </w:r>
      <w:proofErr w:type="spellEnd"/>
      <w:r>
        <w:t xml:space="preserve"> Gel of Terbinafine Hydrochloride for the Management of Onychomycosis: Formulation, Optimization, and Evaluation. </w:t>
      </w:r>
      <w:r w:rsidRPr="00375ACD">
        <w:rPr>
          <w:lang w:val="es-MX"/>
        </w:rPr>
        <w:t xml:space="preserve">AAPS </w:t>
      </w:r>
      <w:proofErr w:type="spellStart"/>
      <w:r w:rsidRPr="00375ACD">
        <w:rPr>
          <w:lang w:val="es-MX"/>
        </w:rPr>
        <w:t>PharmSciTech</w:t>
      </w:r>
      <w:proofErr w:type="spellEnd"/>
      <w:r w:rsidRPr="00375ACD">
        <w:rPr>
          <w:lang w:val="es-MX"/>
        </w:rPr>
        <w:t xml:space="preserve"> 2017;18:2316–28. https://doi.org/10.1208/s12249-017-0711-7.</w:t>
      </w:r>
    </w:p>
    <w:p w14:paraId="68A625AF" w14:textId="40951877" w:rsidR="00375ACD" w:rsidRDefault="00375ACD" w:rsidP="00375ACD">
      <w:pPr>
        <w:pStyle w:val="Body"/>
      </w:pPr>
      <w:r w:rsidRPr="00375ACD">
        <w:rPr>
          <w:lang w:val="es-MX"/>
        </w:rPr>
        <w:t>[15]</w:t>
      </w:r>
      <w:r>
        <w:rPr>
          <w:lang w:val="es-MX"/>
        </w:rPr>
        <w:t xml:space="preserve"> </w:t>
      </w:r>
      <w:proofErr w:type="spellStart"/>
      <w:r w:rsidRPr="00375ACD">
        <w:rPr>
          <w:lang w:val="es-MX"/>
        </w:rPr>
        <w:t>Tayel</w:t>
      </w:r>
      <w:proofErr w:type="spellEnd"/>
      <w:r w:rsidRPr="00375ACD">
        <w:rPr>
          <w:lang w:val="es-MX"/>
        </w:rPr>
        <w:t xml:space="preserve"> SA, El-</w:t>
      </w:r>
      <w:proofErr w:type="spellStart"/>
      <w:r w:rsidRPr="00375ACD">
        <w:rPr>
          <w:lang w:val="es-MX"/>
        </w:rPr>
        <w:t>Nabarawi</w:t>
      </w:r>
      <w:proofErr w:type="spellEnd"/>
      <w:r w:rsidRPr="00375ACD">
        <w:rPr>
          <w:lang w:val="es-MX"/>
        </w:rPr>
        <w:t xml:space="preserve"> MA, </w:t>
      </w:r>
      <w:proofErr w:type="spellStart"/>
      <w:r w:rsidRPr="00375ACD">
        <w:rPr>
          <w:lang w:val="es-MX"/>
        </w:rPr>
        <w:t>Tadros</w:t>
      </w:r>
      <w:proofErr w:type="spellEnd"/>
      <w:r w:rsidRPr="00375ACD">
        <w:rPr>
          <w:lang w:val="es-MX"/>
        </w:rPr>
        <w:t xml:space="preserve"> MI, Abd-</w:t>
      </w:r>
      <w:proofErr w:type="spellStart"/>
      <w:r w:rsidRPr="00375ACD">
        <w:rPr>
          <w:lang w:val="es-MX"/>
        </w:rPr>
        <w:t>Elsalam</w:t>
      </w:r>
      <w:proofErr w:type="spellEnd"/>
      <w:r w:rsidRPr="00375ACD">
        <w:rPr>
          <w:lang w:val="es-MX"/>
        </w:rPr>
        <w:t xml:space="preserve"> WH. </w:t>
      </w:r>
      <w:r>
        <w:t xml:space="preserve">Promising ion-sensitive in situ ocular </w:t>
      </w:r>
      <w:proofErr w:type="spellStart"/>
      <w:r>
        <w:t>nanoemulsion</w:t>
      </w:r>
      <w:proofErr w:type="spellEnd"/>
      <w:r>
        <w:t xml:space="preserve"> gels of terbinafine hydrochloride: Design, in vitro characterization and in vivo estimation of the ocular irritation and drug pharmacokinetics in the aqueous humor of rabbits. Int J Pharm </w:t>
      </w:r>
      <w:proofErr w:type="gramStart"/>
      <w:r>
        <w:t>2013;443:293</w:t>
      </w:r>
      <w:proofErr w:type="gramEnd"/>
      <w:r>
        <w:t>–305. https://doi.org/10.1016/j.ijpharm.2012.12.049.</w:t>
      </w:r>
    </w:p>
    <w:p w14:paraId="49008B62" w14:textId="54D08061" w:rsidR="00375ACD" w:rsidRDefault="00375ACD" w:rsidP="00375ACD">
      <w:pPr>
        <w:pStyle w:val="Body"/>
      </w:pPr>
      <w:r w:rsidRPr="0098475A">
        <w:t xml:space="preserve">[16] </w:t>
      </w:r>
      <w:proofErr w:type="spellStart"/>
      <w:r w:rsidRPr="0098475A">
        <w:t>Baheti</w:t>
      </w:r>
      <w:proofErr w:type="spellEnd"/>
      <w:r w:rsidRPr="0098475A">
        <w:t xml:space="preserve"> A, Srivastava S, Sahoo D, </w:t>
      </w:r>
      <w:proofErr w:type="spellStart"/>
      <w:r w:rsidRPr="0098475A">
        <w:t>Lowalekar</w:t>
      </w:r>
      <w:proofErr w:type="spellEnd"/>
      <w:r w:rsidRPr="0098475A">
        <w:t xml:space="preserve"> R, Prasad Panda B, Kumar Padhi B, et al. </w:t>
      </w:r>
      <w:r>
        <w:t>Development and Pharmacokinetic Evaluation of Industrially Viable Self-</w:t>
      </w:r>
      <w:proofErr w:type="spellStart"/>
      <w:r>
        <w:t>microemulsifying</w:t>
      </w:r>
      <w:proofErr w:type="spellEnd"/>
      <w:r>
        <w:t xml:space="preserve"> Drug Delivery Systems (SMEDDS) for Terbinafine. Curr Drug Deliv </w:t>
      </w:r>
      <w:proofErr w:type="gramStart"/>
      <w:r>
        <w:t>2016;13:65</w:t>
      </w:r>
      <w:proofErr w:type="gramEnd"/>
      <w:r>
        <w:t>–75. https://doi.org/10.2174/1567201812666150120153357.</w:t>
      </w:r>
    </w:p>
    <w:p w14:paraId="34EFFC27" w14:textId="2CDEE891" w:rsidR="00375ACD" w:rsidRDefault="00375ACD" w:rsidP="00375ACD">
      <w:pPr>
        <w:pStyle w:val="Body"/>
      </w:pPr>
      <w:r>
        <w:lastRenderedPageBreak/>
        <w:t xml:space="preserve">[17] Gaba B, Fazil M, Khan S, Ali A, </w:t>
      </w:r>
      <w:proofErr w:type="spellStart"/>
      <w:r>
        <w:t>Baboota</w:t>
      </w:r>
      <w:proofErr w:type="spellEnd"/>
      <w:r>
        <w:t xml:space="preserve"> S, Ali J. Nanostructured lipid carrier system for topical delivery of terbinafine hydrochloride. Bull Fac Pharmacy, Cairo Univ 2015;53:147–59. https://doi.org/10.1016/j.bfopcu.2015.10.001.</w:t>
      </w:r>
    </w:p>
    <w:p w14:paraId="75A93DEE" w14:textId="1C9433CA" w:rsidR="00375ACD" w:rsidRDefault="00375ACD" w:rsidP="00375ACD">
      <w:pPr>
        <w:pStyle w:val="Body"/>
      </w:pPr>
      <w:r>
        <w:t xml:space="preserve">[18] </w:t>
      </w:r>
      <w:proofErr w:type="spellStart"/>
      <w:r>
        <w:t>Vaghasiya</w:t>
      </w:r>
      <w:proofErr w:type="spellEnd"/>
      <w:r>
        <w:t xml:space="preserve"> H, Kumar A, Sawant K. Development of solid lipid nanoparticles based controlled release system for topical delivery of terbinafine hydrochloride. Eur J Pharm Sci </w:t>
      </w:r>
      <w:proofErr w:type="gramStart"/>
      <w:r>
        <w:t>2013;49:311</w:t>
      </w:r>
      <w:proofErr w:type="gramEnd"/>
      <w:r>
        <w:t>–22. https://doi.org/10.1016/j.ejps.2013.03.013.</w:t>
      </w:r>
    </w:p>
    <w:p w14:paraId="78B9C486" w14:textId="5B507E9F" w:rsidR="00375ACD" w:rsidRDefault="00375ACD" w:rsidP="00375ACD">
      <w:pPr>
        <w:pStyle w:val="Body"/>
      </w:pPr>
      <w:r>
        <w:t xml:space="preserve">[19] Wu W. The Mechanism of Improvement of Film </w:t>
      </w:r>
      <w:proofErr w:type="spellStart"/>
      <w:proofErr w:type="gramStart"/>
      <w:r>
        <w:t>Solubility:Design</w:t>
      </w:r>
      <w:proofErr w:type="spellEnd"/>
      <w:proofErr w:type="gramEnd"/>
      <w:r>
        <w:t xml:space="preserve"> and Evaluation of Film Forming System with Terbinafine as a Model Drug 2021.</w:t>
      </w:r>
    </w:p>
    <w:p w14:paraId="09B54CA2" w14:textId="5976094C" w:rsidR="00375ACD" w:rsidRDefault="00375ACD" w:rsidP="00375ACD">
      <w:pPr>
        <w:pStyle w:val="Body"/>
      </w:pPr>
      <w:r>
        <w:t xml:space="preserve">[20] Vo CLN, Park C, Lee BJ. Current trends and future perspectives of solid dispersions containing poorly water-soluble drugs. Eur J Pharm </w:t>
      </w:r>
      <w:proofErr w:type="spellStart"/>
      <w:r>
        <w:t>Biopharm</w:t>
      </w:r>
      <w:proofErr w:type="spellEnd"/>
      <w:r>
        <w:t xml:space="preserve"> </w:t>
      </w:r>
      <w:proofErr w:type="gramStart"/>
      <w:r>
        <w:t>2013;85:799</w:t>
      </w:r>
      <w:proofErr w:type="gramEnd"/>
      <w:r>
        <w:t>–813. https://doi.org/10.1016/j.ejpb.2013.09.007.</w:t>
      </w:r>
    </w:p>
    <w:p w14:paraId="0B499163" w14:textId="4B2AA912" w:rsidR="00375ACD" w:rsidRDefault="00375ACD" w:rsidP="00375ACD">
      <w:pPr>
        <w:pStyle w:val="Body"/>
      </w:pPr>
      <w:r>
        <w:t xml:space="preserve">[21] Karekar P, Salunkhe N, Yadav A, Bangar D, Yadav D. Modulation of </w:t>
      </w:r>
      <w:proofErr w:type="spellStart"/>
      <w:r>
        <w:t>physico</w:t>
      </w:r>
      <w:proofErr w:type="spellEnd"/>
      <w:r>
        <w:t xml:space="preserve">-chemical properties of terbinafine HCL by using solid dispersion technique. Res J Pharm Technol </w:t>
      </w:r>
      <w:proofErr w:type="gramStart"/>
      <w:r>
        <w:t>2014;7:450</w:t>
      </w:r>
      <w:proofErr w:type="gramEnd"/>
      <w:r>
        <w:t>–3.</w:t>
      </w:r>
    </w:p>
    <w:p w14:paraId="205B2EBA" w14:textId="11ABF035" w:rsidR="00375ACD" w:rsidRDefault="00375ACD" w:rsidP="00375ACD">
      <w:pPr>
        <w:pStyle w:val="Body"/>
      </w:pPr>
      <w:r>
        <w:t xml:space="preserve">[22] Kumari R, Chandel P, Kapoor A. Paramount Role of Solid Dispersion in Enhancement of Solubility. INDO Glob J Pharm Sci </w:t>
      </w:r>
      <w:proofErr w:type="gramStart"/>
      <w:r>
        <w:t>2013;3:78</w:t>
      </w:r>
      <w:proofErr w:type="gramEnd"/>
      <w:r>
        <w:t>–89.</w:t>
      </w:r>
    </w:p>
    <w:p w14:paraId="651C4C0B" w14:textId="7A41F14C" w:rsidR="00375ACD" w:rsidRDefault="00375ACD" w:rsidP="00375ACD">
      <w:pPr>
        <w:pStyle w:val="Body"/>
      </w:pPr>
      <w:r>
        <w:t>[23] Tambe S, Jain D, Agarwal Y, Amin P. Hot-melt extrusion: Highlighting recent advances in pharmaceutical applications. J Drug Deliv Sci Technol 2021;63. https://doi.org/10.1016/j.jddst.2021.102452.</w:t>
      </w:r>
    </w:p>
    <w:p w14:paraId="099E1DDD" w14:textId="181E9F60" w:rsidR="00375ACD" w:rsidRDefault="00375ACD" w:rsidP="00375ACD">
      <w:pPr>
        <w:pStyle w:val="Body"/>
      </w:pPr>
      <w:r w:rsidRPr="00375ACD">
        <w:rPr>
          <w:lang w:val="es-MX"/>
        </w:rPr>
        <w:t>[24]</w:t>
      </w:r>
      <w:r>
        <w:rPr>
          <w:lang w:val="es-MX"/>
        </w:rPr>
        <w:t xml:space="preserve"> </w:t>
      </w:r>
      <w:proofErr w:type="spellStart"/>
      <w:r w:rsidRPr="00375ACD">
        <w:rPr>
          <w:lang w:val="es-MX"/>
        </w:rPr>
        <w:t>Lian</w:t>
      </w:r>
      <w:proofErr w:type="spellEnd"/>
      <w:r w:rsidRPr="00375ACD">
        <w:rPr>
          <w:lang w:val="es-MX"/>
        </w:rPr>
        <w:t xml:space="preserve"> X, Dong J, Zhang J, Teng Y, Lin Q, Fu Y, et al. </w:t>
      </w:r>
      <w:proofErr w:type="spellStart"/>
      <w:r>
        <w:t>Soluplus</w:t>
      </w:r>
      <w:proofErr w:type="spellEnd"/>
      <w:r>
        <w:t xml:space="preserve">® based 9-nitrocamptothecin solid dispersion for peroral administration: Preparation, characterization, in vitro and in vivo evaluation. Int J Pharm </w:t>
      </w:r>
      <w:proofErr w:type="gramStart"/>
      <w:r>
        <w:t>2014;477:399</w:t>
      </w:r>
      <w:proofErr w:type="gramEnd"/>
      <w:r>
        <w:t>–407. https://doi.org/10.1016/j.ijpharm.2014.10.055.</w:t>
      </w:r>
    </w:p>
    <w:p w14:paraId="11EC4EED" w14:textId="4B645C3F" w:rsidR="00375ACD" w:rsidRDefault="00375ACD" w:rsidP="00375ACD">
      <w:pPr>
        <w:pStyle w:val="Body"/>
      </w:pPr>
      <w:r>
        <w:t xml:space="preserve">[25] </w:t>
      </w:r>
      <w:proofErr w:type="spellStart"/>
      <w:r>
        <w:t>Djuris</w:t>
      </w:r>
      <w:proofErr w:type="spellEnd"/>
      <w:r>
        <w:t xml:space="preserve"> J, </w:t>
      </w:r>
      <w:proofErr w:type="spellStart"/>
      <w:r>
        <w:t>Nikolakakis</w:t>
      </w:r>
      <w:proofErr w:type="spellEnd"/>
      <w:r>
        <w:t xml:space="preserve"> I, Ibric S, Djuric Z, </w:t>
      </w:r>
      <w:proofErr w:type="spellStart"/>
      <w:r>
        <w:t>Kachrimanis</w:t>
      </w:r>
      <w:proofErr w:type="spellEnd"/>
      <w:r>
        <w:t xml:space="preserve"> K. Preparation of carbamazepine–</w:t>
      </w:r>
      <w:proofErr w:type="spellStart"/>
      <w:r>
        <w:t>Soluplus</w:t>
      </w:r>
      <w:proofErr w:type="spellEnd"/>
      <w:r>
        <w:t xml:space="preserve">® solid dispersions by hot-melt extrusion, and prediction of drug–polymer miscibility by thermodynamic model fitting. Eur J Pharm </w:t>
      </w:r>
      <w:proofErr w:type="spellStart"/>
      <w:r>
        <w:t>Biopharm</w:t>
      </w:r>
      <w:proofErr w:type="spellEnd"/>
      <w:r>
        <w:t xml:space="preserve"> </w:t>
      </w:r>
      <w:proofErr w:type="gramStart"/>
      <w:r>
        <w:t>2013;84:228</w:t>
      </w:r>
      <w:proofErr w:type="gramEnd"/>
      <w:r>
        <w:t>–37. https://doi.org/10.1016/j.ejpb.2012.12.018.</w:t>
      </w:r>
    </w:p>
    <w:p w14:paraId="319C90F2" w14:textId="22C6645A" w:rsidR="00375ACD" w:rsidRDefault="00375ACD" w:rsidP="00375ACD">
      <w:pPr>
        <w:pStyle w:val="Body"/>
      </w:pPr>
      <w:r>
        <w:t xml:space="preserve">[26] Alshahrani SM, Lu W, Park JB, </w:t>
      </w:r>
      <w:proofErr w:type="spellStart"/>
      <w:r>
        <w:t>Morott</w:t>
      </w:r>
      <w:proofErr w:type="spellEnd"/>
      <w:r>
        <w:t xml:space="preserve"> JT, </w:t>
      </w:r>
      <w:proofErr w:type="spellStart"/>
      <w:r>
        <w:t>Alsulays</w:t>
      </w:r>
      <w:proofErr w:type="spellEnd"/>
      <w:r>
        <w:t xml:space="preserve"> BB, Majumdar S, et al. Stability-enhanced Hot-melt Extruded Amorphous Solid Dispersions via Combinations of </w:t>
      </w:r>
      <w:proofErr w:type="spellStart"/>
      <w:r>
        <w:t>Soluplus</w:t>
      </w:r>
      <w:proofErr w:type="spellEnd"/>
      <w:r>
        <w:t xml:space="preserve">® and HPMCAS-HF. AAPS </w:t>
      </w:r>
      <w:proofErr w:type="spellStart"/>
      <w:r>
        <w:t>PharmSciTech</w:t>
      </w:r>
      <w:proofErr w:type="spellEnd"/>
      <w:r>
        <w:t xml:space="preserve"> 2015;16:824–34. https://doi.org/10.1208/s12249-014-0269-6.</w:t>
      </w:r>
    </w:p>
    <w:p w14:paraId="5E716C41" w14:textId="43A26F52" w:rsidR="00375ACD" w:rsidRDefault="00375ACD" w:rsidP="00375ACD">
      <w:pPr>
        <w:pStyle w:val="Body"/>
      </w:pPr>
      <w:r>
        <w:t xml:space="preserve">[27] Pina MF, Zhao M, Pinto JF, Sousa JJ, Craig DQM. The Influence of Drug Physical State on the Dissolution Enhancement of Solid Dispersions Prepared Via Hot-Melt Extrusion: A Case Study Using Olanzapine. J Pharm Sci </w:t>
      </w:r>
      <w:proofErr w:type="gramStart"/>
      <w:r>
        <w:t>2014;103:1214</w:t>
      </w:r>
      <w:proofErr w:type="gramEnd"/>
      <w:r>
        <w:t>–23. https://doi.org/10.1002/jps.23894.</w:t>
      </w:r>
    </w:p>
    <w:p w14:paraId="4052D95F" w14:textId="419A2E13" w:rsidR="00375ACD" w:rsidRDefault="00375ACD" w:rsidP="00375ACD">
      <w:pPr>
        <w:pStyle w:val="Body"/>
      </w:pPr>
      <w:r>
        <w:t xml:space="preserve">[28] Liu J, Cao F, Zhang C, Ping Q. Use of polymer combinations in the preparation of solid dispersions of a thermally unstable drug by hot-melt extrusion. Acta Pharm Sin B </w:t>
      </w:r>
      <w:proofErr w:type="gramStart"/>
      <w:r>
        <w:t>2013;3:263</w:t>
      </w:r>
      <w:proofErr w:type="gramEnd"/>
      <w:r>
        <w:t>–72. https://doi.org/10.1016/j.apsb.2013.06.007.</w:t>
      </w:r>
    </w:p>
    <w:p w14:paraId="4569F099" w14:textId="6E832DEE" w:rsidR="00375ACD" w:rsidRDefault="00375ACD" w:rsidP="00375ACD">
      <w:pPr>
        <w:pStyle w:val="Body"/>
      </w:pPr>
      <w:r>
        <w:t>[29] Turton R, Virginia W. Cooling processes and congealing. Encycl. Pharm. Technol., 2002, p. 627–40.</w:t>
      </w:r>
    </w:p>
    <w:p w14:paraId="0C3FE451" w14:textId="19FF5B86" w:rsidR="00375ACD" w:rsidRDefault="00375ACD" w:rsidP="00375ACD">
      <w:pPr>
        <w:pStyle w:val="Body"/>
      </w:pPr>
      <w:r>
        <w:lastRenderedPageBreak/>
        <w:t xml:space="preserve">[30] Jadav NB, </w:t>
      </w:r>
      <w:proofErr w:type="spellStart"/>
      <w:r>
        <w:t>Paradkar</w:t>
      </w:r>
      <w:proofErr w:type="spellEnd"/>
      <w:r>
        <w:t xml:space="preserve"> A. Solid dispersions. </w:t>
      </w:r>
      <w:proofErr w:type="spellStart"/>
      <w:r>
        <w:t>Nanopharmaceuticals</w:t>
      </w:r>
      <w:proofErr w:type="spellEnd"/>
      <w:r>
        <w:t>, Elsevier; 2020, p. 91–120. https://doi.org/10.1016/B978-0-12-817778-5.00005-1.</w:t>
      </w:r>
    </w:p>
    <w:p w14:paraId="0A26BCE3" w14:textId="015FC0D6" w:rsidR="00375ACD" w:rsidRDefault="00375ACD" w:rsidP="00375ACD">
      <w:pPr>
        <w:pStyle w:val="Body"/>
      </w:pPr>
      <w:r>
        <w:t xml:space="preserve">[31] </w:t>
      </w:r>
      <w:proofErr w:type="spellStart"/>
      <w:r w:rsidR="00221F5C">
        <w:t>Harmonisation</w:t>
      </w:r>
      <w:proofErr w:type="spellEnd"/>
      <w:r w:rsidR="00221F5C">
        <w:t xml:space="preserve"> ICH. Pharmaceutical Quality System </w:t>
      </w:r>
      <w:r>
        <w:t>Q10. Pharm. Qual. by Des., 2008, p. 39–40.</w:t>
      </w:r>
    </w:p>
    <w:p w14:paraId="0B29128E" w14:textId="7A717F13" w:rsidR="00375ACD" w:rsidRDefault="00375ACD" w:rsidP="00375ACD">
      <w:pPr>
        <w:pStyle w:val="Body"/>
      </w:pPr>
      <w:r>
        <w:t>[32] HARMONISATION ICOH. Quality Risk Management (Q9). Pharm. Qual. by Des., Wiley; 2018, p. 11–45. https://doi.org/10.1002/9781118895238.ch2.</w:t>
      </w:r>
    </w:p>
    <w:p w14:paraId="41B98D01" w14:textId="043FBDB7" w:rsidR="00375ACD" w:rsidRDefault="00375ACD" w:rsidP="00375ACD">
      <w:pPr>
        <w:pStyle w:val="Body"/>
      </w:pPr>
      <w:r>
        <w:t xml:space="preserve">[33] International Conference on Harmonization. ICH Q8 (R2): </w:t>
      </w:r>
      <w:proofErr w:type="spellStart"/>
      <w:r>
        <w:t>Pharmaceuical</w:t>
      </w:r>
      <w:proofErr w:type="spellEnd"/>
      <w:r>
        <w:t xml:space="preserve"> Development. Int. Conf. Harmon. Tech. </w:t>
      </w:r>
      <w:proofErr w:type="spellStart"/>
      <w:r>
        <w:t>Requir</w:t>
      </w:r>
      <w:proofErr w:type="spellEnd"/>
      <w:r>
        <w:t xml:space="preserve">. </w:t>
      </w:r>
      <w:proofErr w:type="spellStart"/>
      <w:r>
        <w:t>Regist</w:t>
      </w:r>
      <w:proofErr w:type="spellEnd"/>
      <w:r>
        <w:t>. Pharm. Hum. Use, vol. 8, 2009, p. 28.</w:t>
      </w:r>
    </w:p>
    <w:p w14:paraId="06633AC8" w14:textId="4C2B40BC" w:rsidR="00375ACD" w:rsidRDefault="00375ACD" w:rsidP="00375ACD">
      <w:pPr>
        <w:pStyle w:val="Body"/>
      </w:pPr>
      <w:r>
        <w:t xml:space="preserve">[34] </w:t>
      </w:r>
      <w:proofErr w:type="spellStart"/>
      <w:r>
        <w:t>Butreddy</w:t>
      </w:r>
      <w:proofErr w:type="spellEnd"/>
      <w:r>
        <w:t xml:space="preserve"> A, Bandari S, Repka MA. Quality-by-design in hot melt extrusion based amorphous solid dispersions: An industrial perspective on product development. Eur J Pharm Sci </w:t>
      </w:r>
      <w:proofErr w:type="gramStart"/>
      <w:r>
        <w:t>2021;158:105655</w:t>
      </w:r>
      <w:proofErr w:type="gramEnd"/>
      <w:r>
        <w:t>. https://doi.org/10.1016/j.ejps.2020.105655.</w:t>
      </w:r>
    </w:p>
    <w:p w14:paraId="27D2AED9" w14:textId="67F49CCB" w:rsidR="00375ACD" w:rsidRDefault="00375ACD" w:rsidP="00375ACD">
      <w:pPr>
        <w:pStyle w:val="Body"/>
      </w:pPr>
      <w:r>
        <w:t xml:space="preserve">[35] Simões MF, Pinto RMA, Simões S. Hot-melt extrusion in the pharmaceutical industry: toward filing a new drug application. Drug </w:t>
      </w:r>
      <w:proofErr w:type="spellStart"/>
      <w:r>
        <w:t>Discov</w:t>
      </w:r>
      <w:proofErr w:type="spellEnd"/>
      <w:r>
        <w:t xml:space="preserve"> Today </w:t>
      </w:r>
      <w:proofErr w:type="gramStart"/>
      <w:r>
        <w:t>2019;24:1749</w:t>
      </w:r>
      <w:proofErr w:type="gramEnd"/>
      <w:r>
        <w:t>–68. https://doi.org/10.1016/j.drudis.2019.05.013.</w:t>
      </w:r>
    </w:p>
    <w:p w14:paraId="588A8A68" w14:textId="78E6719A" w:rsidR="00375ACD" w:rsidRDefault="00375ACD" w:rsidP="00375ACD">
      <w:pPr>
        <w:pStyle w:val="Body"/>
      </w:pPr>
      <w:r>
        <w:t xml:space="preserve">[36] </w:t>
      </w:r>
      <w:proofErr w:type="spellStart"/>
      <w:r>
        <w:t>Juluri</w:t>
      </w:r>
      <w:proofErr w:type="spellEnd"/>
      <w:r>
        <w:t xml:space="preserve"> A, Popescu C, </w:t>
      </w:r>
      <w:proofErr w:type="spellStart"/>
      <w:r>
        <w:t>Pimparade</w:t>
      </w:r>
      <w:proofErr w:type="spellEnd"/>
      <w:r>
        <w:t xml:space="preserve"> M, Kulkarni V, Leon Z, Murthy N, et al. Polyols as Plasticizers for Efficient Hot Melt Extrusion Processability of Maltodextrins, 2013.</w:t>
      </w:r>
    </w:p>
    <w:p w14:paraId="55EC8DDF" w14:textId="4C981C42" w:rsidR="00375ACD" w:rsidRPr="00375ACD" w:rsidRDefault="00375ACD" w:rsidP="00375ACD">
      <w:pPr>
        <w:pStyle w:val="Body"/>
        <w:rPr>
          <w:lang w:val="es-MX"/>
        </w:rPr>
      </w:pPr>
      <w:r w:rsidRPr="00375ACD">
        <w:rPr>
          <w:lang w:val="es-MX"/>
        </w:rPr>
        <w:t>[37]</w:t>
      </w:r>
      <w:r>
        <w:rPr>
          <w:lang w:val="es-MX"/>
        </w:rPr>
        <w:t xml:space="preserve"> </w:t>
      </w:r>
      <w:r w:rsidRPr="00375ACD">
        <w:rPr>
          <w:lang w:val="es-MX"/>
        </w:rPr>
        <w:t xml:space="preserve">Pereira GG, Figueiredo S, </w:t>
      </w:r>
      <w:proofErr w:type="spellStart"/>
      <w:r w:rsidRPr="00375ACD">
        <w:rPr>
          <w:lang w:val="es-MX"/>
        </w:rPr>
        <w:t>Fernandes</w:t>
      </w:r>
      <w:proofErr w:type="spellEnd"/>
      <w:r w:rsidRPr="00375ACD">
        <w:rPr>
          <w:lang w:val="es-MX"/>
        </w:rPr>
        <w:t xml:space="preserve"> AI, Pinto JF. </w:t>
      </w:r>
      <w:r>
        <w:t xml:space="preserve">Polymer selection for hot-melt extrusion coupled to fused deposition modelling in pharmaceutics. </w:t>
      </w:r>
      <w:proofErr w:type="spellStart"/>
      <w:r w:rsidRPr="00375ACD">
        <w:rPr>
          <w:lang w:val="es-MX"/>
        </w:rPr>
        <w:t>Pharmaceutics</w:t>
      </w:r>
      <w:proofErr w:type="spellEnd"/>
      <w:r w:rsidRPr="00375ACD">
        <w:rPr>
          <w:lang w:val="es-MX"/>
        </w:rPr>
        <w:t xml:space="preserve"> 2020;12:1–63. https://doi.org/10.3390/pharmaceutics12090795.</w:t>
      </w:r>
    </w:p>
    <w:p w14:paraId="6F0B98E6" w14:textId="4E979A79" w:rsidR="00375ACD" w:rsidRDefault="00375ACD" w:rsidP="00375ACD">
      <w:pPr>
        <w:pStyle w:val="Body"/>
      </w:pPr>
      <w:r w:rsidRPr="00375ACD">
        <w:rPr>
          <w:lang w:val="es-MX"/>
        </w:rPr>
        <w:t>[38]</w:t>
      </w:r>
      <w:r>
        <w:rPr>
          <w:lang w:val="es-MX"/>
        </w:rPr>
        <w:t xml:space="preserve"> </w:t>
      </w:r>
      <w:r w:rsidRPr="00375ACD">
        <w:rPr>
          <w:lang w:val="es-MX"/>
        </w:rPr>
        <w:t xml:space="preserve">Alcantara-Fierro ET, Ortiz-Reynoso M. </w:t>
      </w:r>
      <w:r w:rsidR="00221F5C" w:rsidRPr="00375ACD">
        <w:rPr>
          <w:lang w:val="es-MX"/>
        </w:rPr>
        <w:t>Dispersiones solidas: características, fabricación y estado de la publicación científica en 2020</w:t>
      </w:r>
      <w:r w:rsidRPr="00375ACD">
        <w:rPr>
          <w:lang w:val="es-MX"/>
        </w:rPr>
        <w:t xml:space="preserve">. El Farm. en el siglo XXI, Ser. Tópicos Sel. en ciencias y </w:t>
      </w:r>
      <w:proofErr w:type="spellStart"/>
      <w:r w:rsidRPr="00375ACD">
        <w:rPr>
          <w:lang w:val="es-MX"/>
        </w:rPr>
        <w:t>Tecnol</w:t>
      </w:r>
      <w:proofErr w:type="spellEnd"/>
      <w:r w:rsidRPr="00375ACD">
        <w:rPr>
          <w:lang w:val="es-MX"/>
        </w:rPr>
        <w:t xml:space="preserve">. </w:t>
      </w:r>
      <w:r>
        <w:t>Farm., 2022.</w:t>
      </w:r>
    </w:p>
    <w:sectPr w:rsidR="00375ACD" w:rsidSect="004C0D0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A55F0" w14:textId="77777777" w:rsidR="00291157" w:rsidRDefault="00291157" w:rsidP="00C37E61">
      <w:r>
        <w:separator/>
      </w:r>
    </w:p>
  </w:endnote>
  <w:endnote w:type="continuationSeparator" w:id="0">
    <w:p w14:paraId="40EB96B3" w14:textId="77777777" w:rsidR="00291157" w:rsidRDefault="002911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3F7D" w14:textId="77777777" w:rsidR="004C0D08" w:rsidRDefault="004C0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58D6" w14:textId="5CB8794D" w:rsidR="00C37E61" w:rsidRPr="00027379" w:rsidRDefault="00197D3C" w:rsidP="00027379">
    <w:pPr>
      <w:pStyle w:val="Footer"/>
    </w:pPr>
    <w:r w:rsidRPr="0002737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686D" w14:textId="1C92B012" w:rsidR="00754C9A" w:rsidRPr="003A3BDF" w:rsidRDefault="00754C9A" w:rsidP="003A3BDF">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02A5A" w14:textId="77777777" w:rsidR="00291157" w:rsidRDefault="00291157" w:rsidP="00C37E61">
      <w:r>
        <w:separator/>
      </w:r>
    </w:p>
  </w:footnote>
  <w:footnote w:type="continuationSeparator" w:id="0">
    <w:p w14:paraId="189F8B6D" w14:textId="77777777" w:rsidR="00291157" w:rsidRDefault="002911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0EEE" w14:textId="2276CD18" w:rsidR="004C0D08" w:rsidRDefault="004C0D08">
    <w:pPr>
      <w:pStyle w:val="Header"/>
    </w:pPr>
    <w:r>
      <w:rPr>
        <w:noProof/>
      </w:rPr>
      <w:pict w14:anchorId="79BB5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65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7F79" w14:textId="3EE76622" w:rsidR="004C0D08" w:rsidRDefault="004C0D08">
    <w:pPr>
      <w:pStyle w:val="Header"/>
    </w:pPr>
    <w:r>
      <w:rPr>
        <w:noProof/>
      </w:rPr>
      <w:pict w14:anchorId="5D9F2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65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E650" w14:textId="186FF0BA" w:rsidR="00296529" w:rsidRPr="00296529" w:rsidRDefault="004C0D08" w:rsidP="00296529">
    <w:pPr>
      <w:ind w:left="2160"/>
      <w:jc w:val="center"/>
      <w:rPr>
        <w:rFonts w:ascii="Times New Roman" w:eastAsia="Calibri" w:hAnsi="Times New Roman"/>
        <w:i/>
        <w:sz w:val="18"/>
        <w:szCs w:val="22"/>
      </w:rPr>
    </w:pPr>
    <w:r>
      <w:rPr>
        <w:noProof/>
      </w:rPr>
      <w:pict w14:anchorId="4DC1A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865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7E776F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CB846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A400F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C60C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7CA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470F4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379"/>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111B"/>
    <w:rsid w:val="00191062"/>
    <w:rsid w:val="00192B72"/>
    <w:rsid w:val="00197D3C"/>
    <w:rsid w:val="001A29D8"/>
    <w:rsid w:val="001A5CAA"/>
    <w:rsid w:val="001B0427"/>
    <w:rsid w:val="001B7968"/>
    <w:rsid w:val="001D3A51"/>
    <w:rsid w:val="001E10D2"/>
    <w:rsid w:val="001E25B4"/>
    <w:rsid w:val="001E44FE"/>
    <w:rsid w:val="00200595"/>
    <w:rsid w:val="00204835"/>
    <w:rsid w:val="00221F5C"/>
    <w:rsid w:val="00231920"/>
    <w:rsid w:val="0023195C"/>
    <w:rsid w:val="0024282C"/>
    <w:rsid w:val="002442E4"/>
    <w:rsid w:val="002460DC"/>
    <w:rsid w:val="00250985"/>
    <w:rsid w:val="002556F6"/>
    <w:rsid w:val="00283105"/>
    <w:rsid w:val="00284C4C"/>
    <w:rsid w:val="00287E68"/>
    <w:rsid w:val="00291157"/>
    <w:rsid w:val="00296529"/>
    <w:rsid w:val="002B27FB"/>
    <w:rsid w:val="002B685A"/>
    <w:rsid w:val="002C5392"/>
    <w:rsid w:val="002C57D2"/>
    <w:rsid w:val="002E0D56"/>
    <w:rsid w:val="00315186"/>
    <w:rsid w:val="0033343E"/>
    <w:rsid w:val="003415E4"/>
    <w:rsid w:val="003512C2"/>
    <w:rsid w:val="00371FB6"/>
    <w:rsid w:val="00375ACD"/>
    <w:rsid w:val="003763C1"/>
    <w:rsid w:val="00376BBE"/>
    <w:rsid w:val="0039224F"/>
    <w:rsid w:val="003A3BDF"/>
    <w:rsid w:val="003A43A4"/>
    <w:rsid w:val="003A7E18"/>
    <w:rsid w:val="003C0EB4"/>
    <w:rsid w:val="003C4C86"/>
    <w:rsid w:val="003C6258"/>
    <w:rsid w:val="003D379E"/>
    <w:rsid w:val="003E2904"/>
    <w:rsid w:val="00401927"/>
    <w:rsid w:val="0041027F"/>
    <w:rsid w:val="00412475"/>
    <w:rsid w:val="00423789"/>
    <w:rsid w:val="00440F43"/>
    <w:rsid w:val="00441B6F"/>
    <w:rsid w:val="00446221"/>
    <w:rsid w:val="00450C88"/>
    <w:rsid w:val="00450E62"/>
    <w:rsid w:val="004539DB"/>
    <w:rsid w:val="00471A80"/>
    <w:rsid w:val="00483BF2"/>
    <w:rsid w:val="004C0D08"/>
    <w:rsid w:val="004D305E"/>
    <w:rsid w:val="004D4277"/>
    <w:rsid w:val="00502516"/>
    <w:rsid w:val="00505F06"/>
    <w:rsid w:val="00506828"/>
    <w:rsid w:val="0053056E"/>
    <w:rsid w:val="00554FDA"/>
    <w:rsid w:val="005558DA"/>
    <w:rsid w:val="005C784C"/>
    <w:rsid w:val="005D17F6"/>
    <w:rsid w:val="005E5539"/>
    <w:rsid w:val="005E64F8"/>
    <w:rsid w:val="00602BF5"/>
    <w:rsid w:val="00617FDD"/>
    <w:rsid w:val="00633614"/>
    <w:rsid w:val="00633F68"/>
    <w:rsid w:val="00636EB2"/>
    <w:rsid w:val="006375B8"/>
    <w:rsid w:val="0066510A"/>
    <w:rsid w:val="00673F9F"/>
    <w:rsid w:val="006801A0"/>
    <w:rsid w:val="0068179C"/>
    <w:rsid w:val="00686953"/>
    <w:rsid w:val="00687DEA"/>
    <w:rsid w:val="00687E67"/>
    <w:rsid w:val="006967F7"/>
    <w:rsid w:val="006A250C"/>
    <w:rsid w:val="006B21D3"/>
    <w:rsid w:val="006B57D0"/>
    <w:rsid w:val="006D30FF"/>
    <w:rsid w:val="006D6940"/>
    <w:rsid w:val="006F11EC"/>
    <w:rsid w:val="006F1380"/>
    <w:rsid w:val="0070082C"/>
    <w:rsid w:val="007369E6"/>
    <w:rsid w:val="00743723"/>
    <w:rsid w:val="00746E59"/>
    <w:rsid w:val="00754C9A"/>
    <w:rsid w:val="0075599A"/>
    <w:rsid w:val="00761D52"/>
    <w:rsid w:val="0077749E"/>
    <w:rsid w:val="00790ADA"/>
    <w:rsid w:val="007B58B7"/>
    <w:rsid w:val="007D2288"/>
    <w:rsid w:val="007E0240"/>
    <w:rsid w:val="007E088F"/>
    <w:rsid w:val="007F7B32"/>
    <w:rsid w:val="00804BC2"/>
    <w:rsid w:val="0081431A"/>
    <w:rsid w:val="00824389"/>
    <w:rsid w:val="0083216F"/>
    <w:rsid w:val="00860000"/>
    <w:rsid w:val="00863BD3"/>
    <w:rsid w:val="008641ED"/>
    <w:rsid w:val="00866D66"/>
    <w:rsid w:val="008671C6"/>
    <w:rsid w:val="00875803"/>
    <w:rsid w:val="008B41D7"/>
    <w:rsid w:val="008B459E"/>
    <w:rsid w:val="008E13AE"/>
    <w:rsid w:val="008E1506"/>
    <w:rsid w:val="008E710C"/>
    <w:rsid w:val="008F69D6"/>
    <w:rsid w:val="00902823"/>
    <w:rsid w:val="00915CA6"/>
    <w:rsid w:val="00927834"/>
    <w:rsid w:val="009500A6"/>
    <w:rsid w:val="00957C18"/>
    <w:rsid w:val="009659BA"/>
    <w:rsid w:val="00983040"/>
    <w:rsid w:val="0098475A"/>
    <w:rsid w:val="009B3FB9"/>
    <w:rsid w:val="009C2465"/>
    <w:rsid w:val="009D35A0"/>
    <w:rsid w:val="009D7EB7"/>
    <w:rsid w:val="009E048A"/>
    <w:rsid w:val="009E08E9"/>
    <w:rsid w:val="009E3DB9"/>
    <w:rsid w:val="009E464C"/>
    <w:rsid w:val="009E6E35"/>
    <w:rsid w:val="009F0EDA"/>
    <w:rsid w:val="009F6A17"/>
    <w:rsid w:val="00A03B48"/>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294E"/>
    <w:rsid w:val="00B95236"/>
    <w:rsid w:val="00B96BD9"/>
    <w:rsid w:val="00BA1B01"/>
    <w:rsid w:val="00BA2641"/>
    <w:rsid w:val="00BB37AA"/>
    <w:rsid w:val="00BC53A0"/>
    <w:rsid w:val="00BC7702"/>
    <w:rsid w:val="00BE62AD"/>
    <w:rsid w:val="00BF121F"/>
    <w:rsid w:val="00BF1F80"/>
    <w:rsid w:val="00C07339"/>
    <w:rsid w:val="00C166EF"/>
    <w:rsid w:val="00C17EB0"/>
    <w:rsid w:val="00C27F5F"/>
    <w:rsid w:val="00C30A0F"/>
    <w:rsid w:val="00C37E61"/>
    <w:rsid w:val="00C53062"/>
    <w:rsid w:val="00C70F1B"/>
    <w:rsid w:val="00C71A47"/>
    <w:rsid w:val="00C7464C"/>
    <w:rsid w:val="00C85588"/>
    <w:rsid w:val="00CA0E21"/>
    <w:rsid w:val="00CB1DD5"/>
    <w:rsid w:val="00CD6755"/>
    <w:rsid w:val="00CD6856"/>
    <w:rsid w:val="00CE0089"/>
    <w:rsid w:val="00CE793C"/>
    <w:rsid w:val="00CF193C"/>
    <w:rsid w:val="00D13894"/>
    <w:rsid w:val="00D13B2A"/>
    <w:rsid w:val="00D173F1"/>
    <w:rsid w:val="00D215BA"/>
    <w:rsid w:val="00D74CB0"/>
    <w:rsid w:val="00D8295D"/>
    <w:rsid w:val="00DC2A65"/>
    <w:rsid w:val="00DC2FC7"/>
    <w:rsid w:val="00DD6E5C"/>
    <w:rsid w:val="00DD7BD3"/>
    <w:rsid w:val="00DE15F0"/>
    <w:rsid w:val="00DE5663"/>
    <w:rsid w:val="00DE78AA"/>
    <w:rsid w:val="00E053D0"/>
    <w:rsid w:val="00E15994"/>
    <w:rsid w:val="00E3114E"/>
    <w:rsid w:val="00E31A70"/>
    <w:rsid w:val="00E35B02"/>
    <w:rsid w:val="00E66496"/>
    <w:rsid w:val="00E66B35"/>
    <w:rsid w:val="00E66E10"/>
    <w:rsid w:val="00E769F6"/>
    <w:rsid w:val="00E77F88"/>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0C54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2">
    <w:name w:val="List 2"/>
    <w:basedOn w:val="Normal"/>
    <w:uiPriority w:val="99"/>
    <w:unhideWhenUsed/>
    <w:rsid w:val="00A03B48"/>
    <w:pPr>
      <w:spacing w:after="160" w:line="259" w:lineRule="auto"/>
      <w:ind w:left="566" w:hanging="283"/>
      <w:contextualSpacing/>
    </w:pPr>
    <w:rPr>
      <w:rFonts w:asciiTheme="minorHAnsi" w:eastAsiaTheme="minorHAnsi" w:hAnsiTheme="minorHAnsi" w:cstheme="minorBidi"/>
      <w:sz w:val="22"/>
      <w:szCs w:val="22"/>
    </w:rPr>
  </w:style>
  <w:style w:type="table" w:styleId="PlainTable2">
    <w:name w:val="Plain Table 2"/>
    <w:basedOn w:val="TableNormal"/>
    <w:uiPriority w:val="42"/>
    <w:rsid w:val="00A03B48"/>
    <w:rPr>
      <w:rFonts w:asciiTheme="minorHAnsi" w:eastAsiaTheme="minorHAnsi" w:hAnsiTheme="minorHAnsi" w:cstheme="minorBidi"/>
      <w:kern w:val="2"/>
      <w:sz w:val="22"/>
      <w:szCs w:val="22"/>
      <w:lang w:val="es-MX"/>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2D89-7A36-4D8A-886B-A64A305A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16</Pages>
  <Words>5785</Words>
  <Characters>32981</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38689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2025-09-25T16:56:00Z</dcterms:created>
  <dcterms:modified xsi:type="dcterms:W3CDTF">2025-09-26T12:16:00Z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d328f7bb-060d-319a-b64b-971452babff2</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http://www.zotero.org/styles/fuel</vt:lpwstr>
  </property>
  <property fmtid="{D5CDD505-2E9C-101B-9397-08002B2CF9AE}" pid="14" name="Mendeley Recent Style Name 4_1">
    <vt:lpwstr>Fuel</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http://www.zotero.org/styles/powder-technology</vt:lpwstr>
  </property>
  <property fmtid="{D5CDD505-2E9C-101B-9397-08002B2CF9AE}" pid="22" name="Mendeley Recent Style Name 8_1">
    <vt:lpwstr>Powder Technology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