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3BA71" w14:textId="7E81D8D1" w:rsidR="001E5240" w:rsidRDefault="001E5240" w:rsidP="00CB2C27">
      <w:pPr>
        <w:spacing w:line="480" w:lineRule="auto"/>
        <w:jc w:val="both"/>
        <w:rPr>
          <w:rFonts w:ascii="Times New Roman" w:hAnsi="Times New Roman" w:cs="Times New Roman"/>
          <w:b/>
          <w:sz w:val="24"/>
          <w:szCs w:val="24"/>
        </w:rPr>
      </w:pPr>
      <w:r w:rsidRPr="001E5240">
        <w:rPr>
          <w:rFonts w:ascii="Times New Roman" w:hAnsi="Times New Roman" w:cs="Times New Roman"/>
          <w:b/>
          <w:sz w:val="24"/>
          <w:szCs w:val="24"/>
        </w:rPr>
        <w:t>Short communication</w:t>
      </w:r>
    </w:p>
    <w:p w14:paraId="4B2C95C8" w14:textId="0AFAA61F" w:rsidR="00A6690B" w:rsidRDefault="00E44919" w:rsidP="00CB2C27">
      <w:pPr>
        <w:spacing w:line="480" w:lineRule="auto"/>
        <w:jc w:val="both"/>
        <w:rPr>
          <w:rFonts w:ascii="Times New Roman" w:hAnsi="Times New Roman" w:cs="Times New Roman"/>
          <w:b/>
          <w:sz w:val="24"/>
          <w:szCs w:val="24"/>
        </w:rPr>
      </w:pPr>
      <w:r w:rsidRPr="008C71B4">
        <w:rPr>
          <w:rFonts w:ascii="Times New Roman" w:hAnsi="Times New Roman" w:cs="Times New Roman"/>
          <w:b/>
          <w:sz w:val="24"/>
          <w:szCs w:val="24"/>
        </w:rPr>
        <w:t>Evaluating Vancomycin Sup</w:t>
      </w:r>
      <w:r w:rsidR="00F705B1" w:rsidRPr="008C71B4">
        <w:rPr>
          <w:rFonts w:ascii="Times New Roman" w:hAnsi="Times New Roman" w:cs="Times New Roman"/>
          <w:b/>
          <w:sz w:val="24"/>
          <w:szCs w:val="24"/>
        </w:rPr>
        <w:t>r</w:t>
      </w:r>
      <w:r w:rsidRPr="008C71B4">
        <w:rPr>
          <w:rFonts w:ascii="Times New Roman" w:hAnsi="Times New Roman" w:cs="Times New Roman"/>
          <w:b/>
          <w:sz w:val="24"/>
          <w:szCs w:val="24"/>
        </w:rPr>
        <w:t>a</w:t>
      </w:r>
      <w:r w:rsidR="00F705B1" w:rsidRPr="008C71B4">
        <w:rPr>
          <w:rFonts w:ascii="Times New Roman" w:hAnsi="Times New Roman" w:cs="Times New Roman"/>
          <w:b/>
          <w:sz w:val="24"/>
          <w:szCs w:val="24"/>
        </w:rPr>
        <w:t>therapeutic Dosing and Associated Acute Kidney Injury: A Novel Correlation Factor Equation</w:t>
      </w:r>
      <w:r w:rsidR="002B475D" w:rsidRPr="008C71B4">
        <w:rPr>
          <w:rFonts w:ascii="Times New Roman" w:hAnsi="Times New Roman" w:cs="Times New Roman"/>
          <w:b/>
          <w:sz w:val="24"/>
          <w:szCs w:val="24"/>
        </w:rPr>
        <w:t xml:space="preserve"> Applied in</w:t>
      </w:r>
      <w:r w:rsidR="00711E9A">
        <w:rPr>
          <w:rFonts w:ascii="Times New Roman" w:hAnsi="Times New Roman" w:cs="Times New Roman"/>
          <w:b/>
          <w:sz w:val="24"/>
          <w:szCs w:val="24"/>
        </w:rPr>
        <w:t xml:space="preserve"> an</w:t>
      </w:r>
      <w:r w:rsidR="005845A5" w:rsidRPr="008C71B4">
        <w:rPr>
          <w:rFonts w:ascii="Times New Roman" w:hAnsi="Times New Roman" w:cs="Times New Roman"/>
          <w:b/>
          <w:sz w:val="24"/>
          <w:szCs w:val="24"/>
        </w:rPr>
        <w:t xml:space="preserve"> </w:t>
      </w:r>
      <w:r w:rsidR="00F705B1" w:rsidRPr="008C71B4">
        <w:rPr>
          <w:rFonts w:ascii="Times New Roman" w:hAnsi="Times New Roman" w:cs="Times New Roman"/>
          <w:b/>
          <w:sz w:val="24"/>
          <w:szCs w:val="24"/>
        </w:rPr>
        <w:t>An</w:t>
      </w:r>
      <w:r w:rsidR="00962CF4">
        <w:rPr>
          <w:rFonts w:ascii="Times New Roman" w:hAnsi="Times New Roman" w:cs="Times New Roman"/>
          <w:b/>
          <w:sz w:val="24"/>
          <w:szCs w:val="24"/>
        </w:rPr>
        <w:t>timicrobial Stewardship Program</w:t>
      </w:r>
    </w:p>
    <w:p w14:paraId="748C80DE" w14:textId="77777777" w:rsidR="000C0CB9" w:rsidRDefault="000C0CB9" w:rsidP="00CB2C27">
      <w:pPr>
        <w:spacing w:line="480" w:lineRule="auto"/>
        <w:jc w:val="both"/>
        <w:rPr>
          <w:rFonts w:ascii="Times New Roman" w:hAnsi="Times New Roman" w:cs="Times New Roman"/>
          <w:b/>
          <w:sz w:val="24"/>
          <w:szCs w:val="24"/>
        </w:rPr>
      </w:pPr>
    </w:p>
    <w:p w14:paraId="4C7658EE" w14:textId="77777777" w:rsidR="003E07A8" w:rsidRPr="003E07A8" w:rsidRDefault="003E07A8" w:rsidP="003E07A8">
      <w:pPr>
        <w:spacing w:line="480" w:lineRule="auto"/>
        <w:rPr>
          <w:rFonts w:ascii="Times New Roman" w:hAnsi="Times New Roman" w:cs="Times New Roman"/>
          <w:b/>
          <w:sz w:val="24"/>
          <w:szCs w:val="24"/>
        </w:rPr>
      </w:pPr>
      <w:r w:rsidRPr="003E07A8">
        <w:rPr>
          <w:rFonts w:ascii="Times New Roman" w:hAnsi="Times New Roman" w:cs="Times New Roman"/>
          <w:b/>
          <w:sz w:val="24"/>
          <w:szCs w:val="24"/>
        </w:rPr>
        <w:t>Abstract:</w:t>
      </w:r>
    </w:p>
    <w:p w14:paraId="2246B535" w14:textId="0E9118DD" w:rsidR="003A720D" w:rsidRPr="003E07A8" w:rsidRDefault="003E07A8" w:rsidP="003E07A8">
      <w:pPr>
        <w:spacing w:line="480" w:lineRule="auto"/>
        <w:jc w:val="both"/>
        <w:rPr>
          <w:rFonts w:ascii="Times New Roman" w:hAnsi="Times New Roman" w:cs="Times New Roman"/>
          <w:bCs/>
          <w:sz w:val="24"/>
          <w:szCs w:val="24"/>
        </w:rPr>
      </w:pPr>
      <w:r w:rsidRPr="003E07A8">
        <w:rPr>
          <w:rFonts w:ascii="Times New Roman" w:hAnsi="Times New Roman" w:cs="Times New Roman"/>
          <w:bCs/>
          <w:sz w:val="24"/>
          <w:szCs w:val="24"/>
        </w:rPr>
        <w:t xml:space="preserve">This study evaluates the relationship between vancomycin supratherapeutic dosing and acute kidney injury (AKI) through a novel correlation factor equation within an antimicrobial stewardship program. Vancomycin, commonly used to treat serious infections like MRSA, has been associated with increased nephrotoxicity risks, particularly when dosed above recommended therapeutic levels. The correlation factor equation was designed to quantify the association between supratherapeutic dosing and AKI incidence in hospitalized patients. Data from 386 patients over a 12-month period revealed an 8.8% incidence of AKI, though none were linked to supratherapeutic vancomycin dosing (AUC &gt; 600 </w:t>
      </w:r>
      <w:proofErr w:type="spellStart"/>
      <w:r w:rsidRPr="003E07A8">
        <w:rPr>
          <w:rFonts w:ascii="Times New Roman" w:hAnsi="Times New Roman" w:cs="Times New Roman"/>
          <w:bCs/>
          <w:sz w:val="24"/>
          <w:szCs w:val="24"/>
        </w:rPr>
        <w:t>mg·h</w:t>
      </w:r>
      <w:proofErr w:type="spellEnd"/>
      <w:r w:rsidRPr="003E07A8">
        <w:rPr>
          <w:rFonts w:ascii="Times New Roman" w:hAnsi="Times New Roman" w:cs="Times New Roman"/>
          <w:bCs/>
          <w:sz w:val="24"/>
          <w:szCs w:val="24"/>
        </w:rPr>
        <w:t>/L), resulting in a correlation factor of 0%. This finding underscores the importance of the correlation factor as a quantitative tool to assess dosing safety while emphasizing the need for its integration with ongoing pharmacy audits to optimize vancomycin use and enhance patient outcomes.</w:t>
      </w:r>
    </w:p>
    <w:p w14:paraId="7B07A523" w14:textId="6B023451" w:rsidR="00976BE7" w:rsidRDefault="00976BE7" w:rsidP="008C71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t>
      </w:r>
      <w:r w:rsidR="00D96C8D">
        <w:rPr>
          <w:rFonts w:ascii="Times New Roman" w:eastAsia="Times New Roman" w:hAnsi="Times New Roman" w:cs="Times New Roman"/>
          <w:b/>
          <w:bCs/>
          <w:sz w:val="24"/>
          <w:szCs w:val="24"/>
        </w:rPr>
        <w:t>w</w:t>
      </w:r>
      <w:r>
        <w:rPr>
          <w:rFonts w:ascii="Times New Roman" w:eastAsia="Times New Roman" w:hAnsi="Times New Roman" w:cs="Times New Roman"/>
          <w:b/>
          <w:bCs/>
          <w:sz w:val="24"/>
          <w:szCs w:val="24"/>
        </w:rPr>
        <w:t xml:space="preserve">ords: </w:t>
      </w:r>
      <w:r w:rsidR="00CB2C27">
        <w:rPr>
          <w:rFonts w:ascii="Times New Roman" w:eastAsia="Times New Roman" w:hAnsi="Times New Roman" w:cs="Times New Roman"/>
          <w:sz w:val="24"/>
          <w:szCs w:val="24"/>
        </w:rPr>
        <w:t xml:space="preserve">Vancomycin, AKI, Supratherapeutic </w:t>
      </w:r>
    </w:p>
    <w:p w14:paraId="41556EEF" w14:textId="406026F7" w:rsidR="00F705B1" w:rsidRPr="008C71B4" w:rsidRDefault="00F705B1" w:rsidP="00962CF4">
      <w:pPr>
        <w:spacing w:before="100" w:beforeAutospacing="1" w:after="100" w:afterAutospacing="1" w:line="480" w:lineRule="auto"/>
        <w:jc w:val="both"/>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Introduction</w:t>
      </w:r>
    </w:p>
    <w:p w14:paraId="058D9760" w14:textId="145F019D" w:rsidR="00BF1921" w:rsidRPr="00FD2FB0" w:rsidRDefault="00BF1921" w:rsidP="008C71B4">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Vancomycin has long been a cornerstone in the treatment of methicillin-resistant Staphylococcus aureus (MRSA) and other serious infections</w:t>
      </w:r>
      <w:r w:rsidR="00711E9A">
        <w:rPr>
          <w:rFonts w:ascii="Times New Roman" w:eastAsia="Times New Roman" w:hAnsi="Times New Roman" w:cs="Times New Roman"/>
          <w:sz w:val="24"/>
          <w:szCs w:val="24"/>
        </w:rPr>
        <w:t xml:space="preserve"> [1]</w:t>
      </w:r>
      <w:r w:rsidRPr="00FD2FB0">
        <w:rPr>
          <w:rFonts w:ascii="Times New Roman" w:eastAsia="Times New Roman" w:hAnsi="Times New Roman" w:cs="Times New Roman"/>
          <w:sz w:val="24"/>
          <w:szCs w:val="24"/>
        </w:rPr>
        <w:t>. However, recent studies have increasingly underscored the nephrotoxicity risks associated with its use</w:t>
      </w:r>
      <w:r w:rsidR="00711E9A">
        <w:rPr>
          <w:rFonts w:ascii="Times New Roman" w:eastAsia="Times New Roman" w:hAnsi="Times New Roman" w:cs="Times New Roman"/>
          <w:sz w:val="24"/>
          <w:szCs w:val="24"/>
        </w:rPr>
        <w:t xml:space="preserve"> [2]</w:t>
      </w:r>
      <w:r w:rsidRPr="00FD2FB0">
        <w:rPr>
          <w:rFonts w:ascii="Times New Roman" w:eastAsia="Times New Roman" w:hAnsi="Times New Roman" w:cs="Times New Roman"/>
          <w:sz w:val="24"/>
          <w:szCs w:val="24"/>
        </w:rPr>
        <w:t xml:space="preserve">, particularly when dosing exceeds </w:t>
      </w:r>
      <w:r w:rsidRPr="00FD2FB0">
        <w:rPr>
          <w:rFonts w:ascii="Times New Roman" w:eastAsia="Times New Roman" w:hAnsi="Times New Roman" w:cs="Times New Roman"/>
          <w:sz w:val="24"/>
          <w:szCs w:val="24"/>
        </w:rPr>
        <w:lastRenderedPageBreak/>
        <w:t>recommended therapeutic levels (AUC/MIC grea</w:t>
      </w:r>
      <w:r w:rsidR="00E4132F" w:rsidRPr="008C71B4">
        <w:rPr>
          <w:rFonts w:ascii="Times New Roman" w:eastAsia="Times New Roman" w:hAnsi="Times New Roman" w:cs="Times New Roman"/>
          <w:sz w:val="24"/>
          <w:szCs w:val="24"/>
        </w:rPr>
        <w:t xml:space="preserve">ter than 600 </w:t>
      </w:r>
      <w:proofErr w:type="spellStart"/>
      <w:r w:rsidR="00E4132F" w:rsidRPr="008C71B4">
        <w:rPr>
          <w:rFonts w:ascii="Times New Roman" w:eastAsia="Times New Roman" w:hAnsi="Times New Roman" w:cs="Times New Roman"/>
          <w:sz w:val="24"/>
          <w:szCs w:val="24"/>
        </w:rPr>
        <w:t>mg.h</w:t>
      </w:r>
      <w:proofErr w:type="spellEnd"/>
      <w:r w:rsidR="00E4132F" w:rsidRPr="008C71B4">
        <w:rPr>
          <w:rFonts w:ascii="Times New Roman" w:eastAsia="Times New Roman" w:hAnsi="Times New Roman" w:cs="Times New Roman"/>
          <w:sz w:val="24"/>
          <w:szCs w:val="24"/>
        </w:rPr>
        <w:t>/L)</w:t>
      </w:r>
      <w:r w:rsidR="00711E9A">
        <w:rPr>
          <w:rFonts w:ascii="Times New Roman" w:eastAsia="Times New Roman" w:hAnsi="Times New Roman" w:cs="Times New Roman"/>
          <w:sz w:val="24"/>
          <w:szCs w:val="24"/>
        </w:rPr>
        <w:t xml:space="preserve"> [3-4]</w:t>
      </w:r>
      <w:r w:rsidR="00E4132F" w:rsidRPr="008C71B4">
        <w:rPr>
          <w:rFonts w:ascii="Times New Roman" w:eastAsia="Times New Roman" w:hAnsi="Times New Roman" w:cs="Times New Roman"/>
          <w:sz w:val="24"/>
          <w:szCs w:val="24"/>
        </w:rPr>
        <w:t>. The</w:t>
      </w:r>
      <w:r w:rsidRPr="00FD2FB0">
        <w:rPr>
          <w:rFonts w:ascii="Times New Roman" w:eastAsia="Times New Roman" w:hAnsi="Times New Roman" w:cs="Times New Roman"/>
          <w:sz w:val="24"/>
          <w:szCs w:val="24"/>
        </w:rPr>
        <w:t xml:space="preserve"> incidence of acute kidney injury (AKI) related to vancomycin therapy has raised significant concerns reg</w:t>
      </w:r>
      <w:r w:rsidR="00E4132F" w:rsidRPr="008C71B4">
        <w:rPr>
          <w:rFonts w:ascii="Times New Roman" w:eastAsia="Times New Roman" w:hAnsi="Times New Roman" w:cs="Times New Roman"/>
          <w:sz w:val="24"/>
          <w:szCs w:val="24"/>
        </w:rPr>
        <w:t>arding the implications of supra</w:t>
      </w:r>
      <w:r w:rsidRPr="00FD2FB0">
        <w:rPr>
          <w:rFonts w:ascii="Times New Roman" w:eastAsia="Times New Roman" w:hAnsi="Times New Roman" w:cs="Times New Roman"/>
          <w:sz w:val="24"/>
          <w:szCs w:val="24"/>
        </w:rPr>
        <w:t>therapeutic dosing, highlighting the urgent need for ongoing reevaluation of dosing strategies within antimicrobial stewardship programs.</w:t>
      </w:r>
    </w:p>
    <w:p w14:paraId="23F4FB78" w14:textId="76341731" w:rsidR="00BF1921" w:rsidRPr="00FD2FB0" w:rsidRDefault="00BF1921" w:rsidP="008C71B4">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Mechanistically, vancomycin inhibits bacterial cell wall synthesis, making it a vital agent in manag</w:t>
      </w:r>
      <w:r w:rsidR="00A6690B">
        <w:rPr>
          <w:rFonts w:ascii="Times New Roman" w:eastAsia="Times New Roman" w:hAnsi="Times New Roman" w:cs="Times New Roman"/>
          <w:sz w:val="24"/>
          <w:szCs w:val="24"/>
        </w:rPr>
        <w:t>i</w:t>
      </w:r>
      <w:r w:rsidRPr="00FD2FB0">
        <w:rPr>
          <w:rFonts w:ascii="Times New Roman" w:eastAsia="Times New Roman" w:hAnsi="Times New Roman" w:cs="Times New Roman"/>
          <w:sz w:val="24"/>
          <w:szCs w:val="24"/>
        </w:rPr>
        <w:t>n</w:t>
      </w:r>
      <w:r w:rsidR="00A6690B">
        <w:rPr>
          <w:rFonts w:ascii="Times New Roman" w:eastAsia="Times New Roman" w:hAnsi="Times New Roman" w:cs="Times New Roman"/>
          <w:sz w:val="24"/>
          <w:szCs w:val="24"/>
        </w:rPr>
        <w:t>g</w:t>
      </w:r>
      <w:r w:rsidR="00711E9A">
        <w:rPr>
          <w:rFonts w:ascii="Times New Roman" w:eastAsia="Times New Roman" w:hAnsi="Times New Roman" w:cs="Times New Roman"/>
          <w:sz w:val="24"/>
          <w:szCs w:val="24"/>
        </w:rPr>
        <w:t xml:space="preserve"> various </w:t>
      </w:r>
      <w:r w:rsidRPr="00FD2FB0">
        <w:rPr>
          <w:rFonts w:ascii="Times New Roman" w:eastAsia="Times New Roman" w:hAnsi="Times New Roman" w:cs="Times New Roman"/>
          <w:sz w:val="24"/>
          <w:szCs w:val="24"/>
        </w:rPr>
        <w:t>infections caused by multidrug-resistant organisms</w:t>
      </w:r>
      <w:r w:rsidR="00A6690B">
        <w:rPr>
          <w:rFonts w:ascii="Times New Roman" w:eastAsia="Times New Roman" w:hAnsi="Times New Roman" w:cs="Times New Roman"/>
          <w:sz w:val="24"/>
          <w:szCs w:val="24"/>
        </w:rPr>
        <w:t>,</w:t>
      </w:r>
      <w:r w:rsidR="00711E9A">
        <w:rPr>
          <w:rFonts w:ascii="Times New Roman" w:eastAsia="Times New Roman" w:hAnsi="Times New Roman" w:cs="Times New Roman"/>
          <w:sz w:val="24"/>
          <w:szCs w:val="24"/>
        </w:rPr>
        <w:t xml:space="preserve"> including hospital-acquired infections</w:t>
      </w:r>
      <w:r w:rsidR="007921A5">
        <w:rPr>
          <w:rFonts w:ascii="Times New Roman" w:eastAsia="Times New Roman" w:hAnsi="Times New Roman" w:cs="Times New Roman"/>
          <w:sz w:val="24"/>
          <w:szCs w:val="24"/>
        </w:rPr>
        <w:t xml:space="preserve"> [</w:t>
      </w:r>
      <w:r w:rsidR="00FD2A64">
        <w:rPr>
          <w:rFonts w:ascii="Times New Roman" w:eastAsia="Times New Roman" w:hAnsi="Times New Roman" w:cs="Times New Roman"/>
          <w:sz w:val="24"/>
          <w:szCs w:val="24"/>
        </w:rPr>
        <w:t>1</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 Supratherapeutic dosing, especially when administered continuously for more than 48 hours, poses a height</w:t>
      </w:r>
      <w:r w:rsidR="00962CF4">
        <w:rPr>
          <w:rFonts w:ascii="Times New Roman" w:eastAsia="Times New Roman" w:hAnsi="Times New Roman" w:cs="Times New Roman"/>
          <w:sz w:val="24"/>
          <w:szCs w:val="24"/>
        </w:rPr>
        <w:t>ened risk of AKI</w:t>
      </w:r>
      <w:r w:rsidRPr="00FD2FB0">
        <w:rPr>
          <w:rFonts w:ascii="Times New Roman" w:eastAsia="Times New Roman" w:hAnsi="Times New Roman" w:cs="Times New Roman"/>
          <w:sz w:val="24"/>
          <w:szCs w:val="24"/>
        </w:rPr>
        <w:t xml:space="preserve">, which can range in severity from mild </w:t>
      </w:r>
      <w:r w:rsidRPr="008C71B4">
        <w:rPr>
          <w:rFonts w:ascii="Times New Roman" w:eastAsia="Times New Roman" w:hAnsi="Times New Roman" w:cs="Times New Roman"/>
          <w:sz w:val="24"/>
          <w:szCs w:val="24"/>
        </w:rPr>
        <w:t xml:space="preserve">dysfunction to severe </w:t>
      </w:r>
      <w:r w:rsidRPr="00FD2FB0">
        <w:rPr>
          <w:rFonts w:ascii="Times New Roman" w:eastAsia="Times New Roman" w:hAnsi="Times New Roman" w:cs="Times New Roman"/>
          <w:sz w:val="24"/>
          <w:szCs w:val="24"/>
        </w:rPr>
        <w:t>conditions requiring dialysis</w:t>
      </w:r>
      <w:r w:rsidR="007921A5">
        <w:rPr>
          <w:rFonts w:ascii="Times New Roman" w:eastAsia="Times New Roman" w:hAnsi="Times New Roman" w:cs="Times New Roman"/>
          <w:sz w:val="24"/>
          <w:szCs w:val="24"/>
        </w:rPr>
        <w:t xml:space="preserve"> [</w:t>
      </w:r>
      <w:r w:rsidR="00FD2A64">
        <w:rPr>
          <w:rFonts w:ascii="Times New Roman" w:eastAsia="Times New Roman" w:hAnsi="Times New Roman" w:cs="Times New Roman"/>
          <w:sz w:val="24"/>
          <w:szCs w:val="24"/>
        </w:rPr>
        <w:t>5</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 Risk factors for vancomycin-induced nephrotoxicity inc</w:t>
      </w:r>
      <w:r w:rsidR="00057070">
        <w:rPr>
          <w:rFonts w:ascii="Times New Roman" w:eastAsia="Times New Roman" w:hAnsi="Times New Roman" w:cs="Times New Roman"/>
          <w:sz w:val="24"/>
          <w:szCs w:val="24"/>
        </w:rPr>
        <w:t>lude prolonged therapy, high</w:t>
      </w:r>
      <w:r w:rsidR="007921A5">
        <w:rPr>
          <w:rFonts w:ascii="Times New Roman" w:eastAsia="Times New Roman" w:hAnsi="Times New Roman" w:cs="Times New Roman"/>
          <w:sz w:val="24"/>
          <w:szCs w:val="24"/>
        </w:rPr>
        <w:t>er</w:t>
      </w:r>
      <w:r w:rsidR="00057070">
        <w:rPr>
          <w:rFonts w:ascii="Times New Roman" w:eastAsia="Times New Roman" w:hAnsi="Times New Roman" w:cs="Times New Roman"/>
          <w:sz w:val="24"/>
          <w:szCs w:val="24"/>
        </w:rPr>
        <w:t xml:space="preserve"> dose</w:t>
      </w:r>
      <w:r w:rsidR="007921A5">
        <w:rPr>
          <w:rFonts w:ascii="Times New Roman" w:eastAsia="Times New Roman" w:hAnsi="Times New Roman" w:cs="Times New Roman"/>
          <w:sz w:val="24"/>
          <w:szCs w:val="24"/>
        </w:rPr>
        <w:t>s</w:t>
      </w:r>
      <w:r w:rsidRPr="00FD2FB0">
        <w:rPr>
          <w:rFonts w:ascii="Times New Roman" w:eastAsia="Times New Roman" w:hAnsi="Times New Roman" w:cs="Times New Roman"/>
          <w:sz w:val="24"/>
          <w:szCs w:val="24"/>
        </w:rPr>
        <w:t>, and the concurrent use of nephrotoxic agents</w:t>
      </w:r>
      <w:r w:rsidR="007921A5">
        <w:rPr>
          <w:rFonts w:ascii="Times New Roman" w:eastAsia="Times New Roman" w:hAnsi="Times New Roman" w:cs="Times New Roman"/>
          <w:sz w:val="24"/>
          <w:szCs w:val="24"/>
        </w:rPr>
        <w:t xml:space="preserve"> [</w:t>
      </w:r>
      <w:r w:rsidR="00FD2A64">
        <w:rPr>
          <w:rFonts w:ascii="Times New Roman" w:eastAsia="Times New Roman" w:hAnsi="Times New Roman" w:cs="Times New Roman"/>
          <w:sz w:val="24"/>
          <w:szCs w:val="24"/>
        </w:rPr>
        <w:t>6-7</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w:t>
      </w:r>
    </w:p>
    <w:p w14:paraId="085FE9E9" w14:textId="77777777" w:rsidR="00057070" w:rsidRDefault="00BF1921" w:rsidP="008C71B4">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To mitigate these risks, several acute care pharmacy departments have implemented protocols that require healthcare providers to consult with pharmacists on vancomycin cases. These</w:t>
      </w:r>
      <w:r w:rsidRPr="008C71B4">
        <w:rPr>
          <w:rFonts w:ascii="Times New Roman" w:eastAsia="Times New Roman" w:hAnsi="Times New Roman" w:cs="Times New Roman"/>
          <w:sz w:val="24"/>
          <w:szCs w:val="24"/>
        </w:rPr>
        <w:t xml:space="preserve"> “dose per pharmacy”</w:t>
      </w:r>
      <w:r w:rsidRPr="00FD2FB0">
        <w:rPr>
          <w:rFonts w:ascii="Times New Roman" w:eastAsia="Times New Roman" w:hAnsi="Times New Roman" w:cs="Times New Roman"/>
          <w:sz w:val="24"/>
          <w:szCs w:val="24"/>
        </w:rPr>
        <w:t xml:space="preserve"> protocols ensure that indications and durations of therapy are clearly defined, allowing clinical pharmacy teams to evaluate the appropriateness of vancomycin use and calculate dosing based on established pharmacokinetic equations and predictive models. </w:t>
      </w:r>
    </w:p>
    <w:p w14:paraId="629D55C7" w14:textId="746DDC82" w:rsidR="00BF1921" w:rsidRPr="00FD2FB0" w:rsidRDefault="00BF1921" w:rsidP="008C71B4">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Antimicrobial stewardship programs play a crucial role in optimizing the use of antimicrobials, combating resistance, and improving patient outcomes</w:t>
      </w:r>
      <w:r w:rsidR="007921A5">
        <w:rPr>
          <w:rFonts w:ascii="Times New Roman" w:eastAsia="Times New Roman" w:hAnsi="Times New Roman" w:cs="Times New Roman"/>
          <w:sz w:val="24"/>
          <w:szCs w:val="24"/>
        </w:rPr>
        <w:t xml:space="preserve"> [</w:t>
      </w:r>
      <w:r w:rsidR="00FD2A64">
        <w:rPr>
          <w:rFonts w:ascii="Times New Roman" w:eastAsia="Times New Roman" w:hAnsi="Times New Roman" w:cs="Times New Roman"/>
          <w:sz w:val="24"/>
          <w:szCs w:val="24"/>
        </w:rPr>
        <w:t>8</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 They are typically responsible for evaluating vancomycin dosing through the tracking of key performance indicators, including rates of vancomycin-induced AKI</w:t>
      </w:r>
      <w:r w:rsidR="007921A5">
        <w:rPr>
          <w:rFonts w:ascii="Times New Roman" w:eastAsia="Times New Roman" w:hAnsi="Times New Roman" w:cs="Times New Roman"/>
          <w:sz w:val="24"/>
          <w:szCs w:val="24"/>
        </w:rPr>
        <w:t xml:space="preserve"> [</w:t>
      </w:r>
      <w:r w:rsidR="00FD2A64">
        <w:rPr>
          <w:rFonts w:ascii="Times New Roman" w:eastAsia="Times New Roman" w:hAnsi="Times New Roman" w:cs="Times New Roman"/>
          <w:sz w:val="24"/>
          <w:szCs w:val="24"/>
        </w:rPr>
        <w:t>9</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w:t>
      </w:r>
    </w:p>
    <w:p w14:paraId="48F08DBB" w14:textId="49619FD6" w:rsidR="00F705B1" w:rsidRPr="008C71B4" w:rsidRDefault="00BF1921" w:rsidP="00172E5B">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 xml:space="preserve">Our project proposes a novel correlation factor aimed at differentiating AKI associated with supratherapeutic doses of vancomycin from that related to the natural </w:t>
      </w:r>
      <w:r w:rsidRPr="008C71B4">
        <w:rPr>
          <w:rFonts w:ascii="Times New Roman" w:eastAsia="Times New Roman" w:hAnsi="Times New Roman" w:cs="Times New Roman"/>
          <w:sz w:val="24"/>
          <w:szCs w:val="24"/>
        </w:rPr>
        <w:t xml:space="preserve">progression of </w:t>
      </w:r>
      <w:r w:rsidR="00E4132F" w:rsidRPr="008C71B4">
        <w:rPr>
          <w:rFonts w:ascii="Times New Roman" w:eastAsia="Times New Roman" w:hAnsi="Times New Roman" w:cs="Times New Roman"/>
          <w:sz w:val="24"/>
          <w:szCs w:val="24"/>
        </w:rPr>
        <w:t xml:space="preserve">the disease </w:t>
      </w:r>
      <w:r w:rsidR="00E4132F" w:rsidRPr="008C71B4">
        <w:rPr>
          <w:rFonts w:ascii="Times New Roman" w:eastAsia="Times New Roman" w:hAnsi="Times New Roman" w:cs="Times New Roman"/>
          <w:sz w:val="24"/>
          <w:szCs w:val="24"/>
        </w:rPr>
        <w:lastRenderedPageBreak/>
        <w:t>and treatments within therapeutic window</w:t>
      </w:r>
      <w:r w:rsidRPr="00FD2FB0">
        <w:rPr>
          <w:rFonts w:ascii="Times New Roman" w:eastAsia="Times New Roman" w:hAnsi="Times New Roman" w:cs="Times New Roman"/>
          <w:sz w:val="24"/>
          <w:szCs w:val="24"/>
        </w:rPr>
        <w:t>. By refining our understanding of these associations, we can enhance patient safety</w:t>
      </w:r>
      <w:r w:rsidR="007D664C">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 xml:space="preserve"> ensure more effective use of vancomycin in clinical practice</w:t>
      </w:r>
      <w:r w:rsidR="006D2114">
        <w:rPr>
          <w:rFonts w:ascii="Times New Roman" w:eastAsia="Times New Roman" w:hAnsi="Times New Roman" w:cs="Times New Roman"/>
          <w:sz w:val="24"/>
          <w:szCs w:val="24"/>
        </w:rPr>
        <w:t xml:space="preserve">, and provide an objective way for pharmacists to monitor compliance with vancomycin on </w:t>
      </w:r>
      <w:r w:rsidR="006D2114">
        <w:rPr>
          <w:rFonts w:ascii="Times New Roman" w:hAnsi="Times New Roman" w:cs="Times New Roman"/>
          <w:sz w:val="24"/>
          <w:szCs w:val="24"/>
        </w:rPr>
        <w:t>an </w:t>
      </w:r>
      <w:r w:rsidR="007D664C">
        <w:rPr>
          <w:rFonts w:ascii="Times New Roman" w:eastAsia="Times New Roman" w:hAnsi="Times New Roman" w:cs="Times New Roman"/>
          <w:sz w:val="24"/>
          <w:szCs w:val="24"/>
        </w:rPr>
        <w:t>institutional level</w:t>
      </w:r>
      <w:r w:rsidRPr="00FD2FB0">
        <w:rPr>
          <w:rFonts w:ascii="Times New Roman" w:eastAsia="Times New Roman" w:hAnsi="Times New Roman" w:cs="Times New Roman"/>
          <w:sz w:val="24"/>
          <w:szCs w:val="24"/>
        </w:rPr>
        <w:t xml:space="preserve">. </w:t>
      </w:r>
      <w:r w:rsidRPr="008C71B4">
        <w:rPr>
          <w:rFonts w:ascii="Times New Roman" w:eastAsia="Times New Roman" w:hAnsi="Times New Roman" w:cs="Times New Roman"/>
          <w:sz w:val="24"/>
          <w:szCs w:val="24"/>
        </w:rPr>
        <w:t xml:space="preserve"> </w:t>
      </w:r>
    </w:p>
    <w:p w14:paraId="4F7A21FD" w14:textId="77777777" w:rsidR="00F705B1" w:rsidRPr="008C71B4" w:rsidRDefault="00F705B1" w:rsidP="00E4132F">
      <w:pPr>
        <w:spacing w:before="100" w:beforeAutospacing="1" w:after="100" w:afterAutospacing="1" w:line="480" w:lineRule="auto"/>
        <w:outlineLvl w:val="1"/>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Methods</w:t>
      </w:r>
    </w:p>
    <w:p w14:paraId="1B76C5B2" w14:textId="77777777" w:rsidR="008C71B4" w:rsidRPr="008C71B4" w:rsidRDefault="00F705B1" w:rsidP="008C71B4">
      <w:pPr>
        <w:pStyle w:val="ListParagraph"/>
        <w:numPr>
          <w:ilvl w:val="0"/>
          <w:numId w:val="8"/>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Development of the Correlation Factor Equation</w:t>
      </w:r>
    </w:p>
    <w:p w14:paraId="368B0EE3" w14:textId="77777777" w:rsidR="000B1B7D" w:rsidRPr="008C71B4" w:rsidRDefault="000B1B7D" w:rsidP="008C71B4">
      <w:pPr>
        <w:spacing w:before="100" w:beforeAutospacing="1" w:after="100" w:afterAutospacing="1" w:line="480" w:lineRule="auto"/>
        <w:ind w:left="360"/>
        <w:jc w:val="both"/>
        <w:outlineLvl w:val="2"/>
        <w:rPr>
          <w:rFonts w:ascii="Times New Roman" w:hAnsi="Times New Roman" w:cs="Times New Roman"/>
          <w:sz w:val="24"/>
          <w:szCs w:val="24"/>
        </w:rPr>
      </w:pPr>
      <w:r w:rsidRPr="008C71B4">
        <w:rPr>
          <w:rFonts w:ascii="Times New Roman" w:hAnsi="Times New Roman" w:cs="Times New Roman"/>
          <w:sz w:val="24"/>
          <w:szCs w:val="24"/>
        </w:rPr>
        <w:t>The correlation factor equation was developed to quantitatively assess the relationship between supratherapeutic vancomycin dosing and the incidence of acute kidney injury (AKI).</w:t>
      </w:r>
      <w:r w:rsidR="008C71B4" w:rsidRPr="008C71B4">
        <w:rPr>
          <w:rFonts w:ascii="Times New Roman" w:hAnsi="Times New Roman" w:cs="Times New Roman"/>
          <w:sz w:val="24"/>
          <w:szCs w:val="24"/>
        </w:rPr>
        <w:t xml:space="preserve"> </w:t>
      </w:r>
      <w:r w:rsidRPr="008C71B4">
        <w:rPr>
          <w:rFonts w:ascii="Times New Roman" w:hAnsi="Times New Roman" w:cs="Times New Roman"/>
          <w:sz w:val="24"/>
          <w:szCs w:val="24"/>
        </w:rPr>
        <w:t>The equation is constructed using several key variables that reflect the patient population and the clinical context of vancomycin use:</w:t>
      </w:r>
    </w:p>
    <w:p w14:paraId="0FC6F069" w14:textId="77777777" w:rsidR="000B1B7D" w:rsidRPr="008C71B4" w:rsidRDefault="000B1B7D" w:rsidP="008C71B4">
      <w:pPr>
        <w:pStyle w:val="NormalWeb"/>
        <w:numPr>
          <w:ilvl w:val="0"/>
          <w:numId w:val="3"/>
        </w:numPr>
        <w:spacing w:line="480" w:lineRule="auto"/>
        <w:jc w:val="both"/>
      </w:pPr>
      <w:r w:rsidRPr="008C71B4">
        <w:rPr>
          <w:rStyle w:val="Strong"/>
        </w:rPr>
        <w:t>Total Patients on Vancomycin (</w:t>
      </w:r>
      <w:proofErr w:type="spellStart"/>
      <w:r w:rsidRPr="008C71B4">
        <w:rPr>
          <w:rStyle w:val="Strong"/>
        </w:rPr>
        <w:t>Pts_</w:t>
      </w:r>
      <w:r w:rsidR="00475728" w:rsidRPr="008C71B4">
        <w:rPr>
          <w:rStyle w:val="Strong"/>
        </w:rPr>
        <w:t>VANC</w:t>
      </w:r>
      <w:proofErr w:type="spellEnd"/>
      <w:r w:rsidRPr="008C71B4">
        <w:rPr>
          <w:rStyle w:val="Strong"/>
        </w:rPr>
        <w:t>)</w:t>
      </w:r>
      <w:r w:rsidRPr="008C71B4">
        <w:t>: This variable represents the total number of patients who received vancomycin for more than 48 hours during the study period. This metric provides a baseline population from which we can derive meaningful insights regarding AKI incidence.</w:t>
      </w:r>
    </w:p>
    <w:p w14:paraId="5E01ACBB" w14:textId="621BDD27" w:rsidR="000B1B7D" w:rsidRPr="008C71B4" w:rsidRDefault="000B1B7D" w:rsidP="008C71B4">
      <w:pPr>
        <w:pStyle w:val="NormalWeb"/>
        <w:numPr>
          <w:ilvl w:val="0"/>
          <w:numId w:val="3"/>
        </w:numPr>
        <w:spacing w:line="480" w:lineRule="auto"/>
        <w:jc w:val="both"/>
      </w:pPr>
      <w:r w:rsidRPr="008C71B4">
        <w:rPr>
          <w:rStyle w:val="Strong"/>
        </w:rPr>
        <w:t>Patients with AKI (</w:t>
      </w:r>
      <w:proofErr w:type="spellStart"/>
      <w:r w:rsidRPr="008C71B4">
        <w:rPr>
          <w:rStyle w:val="Strong"/>
        </w:rPr>
        <w:t>Pts_</w:t>
      </w:r>
      <w:r w:rsidR="00475728" w:rsidRPr="008C71B4">
        <w:rPr>
          <w:rStyle w:val="Strong"/>
        </w:rPr>
        <w:t>VANC_</w:t>
      </w:r>
      <w:r w:rsidRPr="008C71B4">
        <w:rPr>
          <w:rStyle w:val="Strong"/>
        </w:rPr>
        <w:t>AKI</w:t>
      </w:r>
      <w:proofErr w:type="spellEnd"/>
      <w:r w:rsidRPr="008C71B4">
        <w:rPr>
          <w:rStyle w:val="Strong"/>
        </w:rPr>
        <w:t>)</w:t>
      </w:r>
      <w:r w:rsidRPr="008C71B4">
        <w:t xml:space="preserve">: This variable counts all patients who developed any stage of AKI while being treated with vancomycin for over 48 hours. This includes patients classified according to the </w:t>
      </w:r>
      <w:proofErr w:type="gramStart"/>
      <w:r w:rsidRPr="008C71B4">
        <w:t>Kidney Disease</w:t>
      </w:r>
      <w:proofErr w:type="gramEnd"/>
      <w:r w:rsidRPr="008C71B4">
        <w:t>: Improving Global Outcomes (KDIGO) criteria, which stratifies AKI into different stages</w:t>
      </w:r>
      <w:r w:rsidR="00057070">
        <w:t xml:space="preserve"> (one to three)</w:t>
      </w:r>
      <w:r w:rsidRPr="008C71B4">
        <w:t xml:space="preserve"> based on the degree of renal impairment</w:t>
      </w:r>
      <w:r w:rsidR="006C54D0">
        <w:t xml:space="preserve"> [10]</w:t>
      </w:r>
      <w:r w:rsidRPr="008C71B4">
        <w:t>.</w:t>
      </w:r>
    </w:p>
    <w:p w14:paraId="014C71CE" w14:textId="77777777" w:rsidR="000B1B7D" w:rsidRPr="008C71B4" w:rsidRDefault="000B1B7D" w:rsidP="008C71B4">
      <w:pPr>
        <w:pStyle w:val="NormalWeb"/>
        <w:numPr>
          <w:ilvl w:val="0"/>
          <w:numId w:val="3"/>
        </w:numPr>
        <w:spacing w:line="480" w:lineRule="auto"/>
        <w:jc w:val="both"/>
      </w:pPr>
      <w:r w:rsidRPr="008C71B4">
        <w:rPr>
          <w:rStyle w:val="Strong"/>
        </w:rPr>
        <w:t>Patients with AKI and Supratherapeutic Dosing (</w:t>
      </w:r>
      <w:proofErr w:type="spellStart"/>
      <w:r w:rsidRPr="008C71B4">
        <w:rPr>
          <w:rStyle w:val="Strong"/>
        </w:rPr>
        <w:t>Pts_</w:t>
      </w:r>
      <w:r w:rsidR="00475728" w:rsidRPr="008C71B4">
        <w:rPr>
          <w:rStyle w:val="Strong"/>
        </w:rPr>
        <w:t>SUPRA_VANC_AKI</w:t>
      </w:r>
      <w:proofErr w:type="spellEnd"/>
      <w:r w:rsidRPr="008C71B4">
        <w:rPr>
          <w:rStyle w:val="Strong"/>
        </w:rPr>
        <w:t>)</w:t>
      </w:r>
      <w:r w:rsidRPr="008C71B4">
        <w:t xml:space="preserve">: This subset identifies patients who not only developed AKI but also received supratherapeutic </w:t>
      </w:r>
      <w:r w:rsidRPr="008C71B4">
        <w:lastRenderedPageBreak/>
        <w:t xml:space="preserve">doses of vancomycin, defined as an AUC greater than 600 </w:t>
      </w:r>
      <w:proofErr w:type="spellStart"/>
      <w:r w:rsidRPr="008C71B4">
        <w:t>mg.h</w:t>
      </w:r>
      <w:proofErr w:type="spellEnd"/>
      <w:r w:rsidRPr="008C71B4">
        <w:t>/L, during their treatment period. By isolating this group, we can assess the specific impact of high-dose vancomycin on renal outcomes.</w:t>
      </w:r>
    </w:p>
    <w:p w14:paraId="6CB6A694" w14:textId="77777777" w:rsidR="008C71B4" w:rsidRPr="008C71B4" w:rsidRDefault="000B1B7D" w:rsidP="008C71B4">
      <w:pPr>
        <w:pStyle w:val="ListParagraph"/>
        <w:numPr>
          <w:ilvl w:val="0"/>
          <w:numId w:val="8"/>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Equation Construction</w:t>
      </w:r>
    </w:p>
    <w:p w14:paraId="36216531" w14:textId="77777777" w:rsidR="00E331A5" w:rsidRPr="008C71B4" w:rsidRDefault="000B1B7D" w:rsidP="008C71B4">
      <w:pPr>
        <w:pStyle w:val="ListParagraph"/>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Cs/>
          <w:sz w:val="24"/>
          <w:szCs w:val="24"/>
        </w:rPr>
        <w:t>The correlation factor equation is structured as follows:</w:t>
      </w:r>
    </w:p>
    <w:p w14:paraId="3A33DDB2" w14:textId="77777777" w:rsidR="00475728" w:rsidRPr="008C71B4" w:rsidRDefault="00475728" w:rsidP="008C71B4">
      <w:pPr>
        <w:pStyle w:val="ListParagraph"/>
        <w:numPr>
          <w:ilvl w:val="0"/>
          <w:numId w:val="6"/>
        </w:num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AKI%(VANC&gt;48h) = (</w:t>
      </w:r>
      <w:proofErr w:type="spellStart"/>
      <w:r w:rsidRPr="008C71B4">
        <w:rPr>
          <w:rFonts w:ascii="Times New Roman" w:eastAsia="Times New Roman" w:hAnsi="Times New Roman" w:cs="Times New Roman"/>
          <w:bCs/>
          <w:sz w:val="24"/>
          <w:szCs w:val="24"/>
        </w:rPr>
        <w:t>Pts_VANC_AKI</w:t>
      </w:r>
      <w:proofErr w:type="spellEnd"/>
      <w:r w:rsidRPr="008C71B4">
        <w:rPr>
          <w:rFonts w:ascii="Times New Roman" w:eastAsia="Times New Roman" w:hAnsi="Times New Roman" w:cs="Times New Roman"/>
          <w:bCs/>
          <w:sz w:val="24"/>
          <w:szCs w:val="24"/>
        </w:rPr>
        <w:t xml:space="preserve"> / </w:t>
      </w:r>
      <w:proofErr w:type="spellStart"/>
      <w:r w:rsidRPr="008C71B4">
        <w:rPr>
          <w:rFonts w:ascii="Times New Roman" w:eastAsia="Times New Roman" w:hAnsi="Times New Roman" w:cs="Times New Roman"/>
          <w:bCs/>
          <w:sz w:val="24"/>
          <w:szCs w:val="24"/>
        </w:rPr>
        <w:t>Pts_VANC</w:t>
      </w:r>
      <w:proofErr w:type="spellEnd"/>
      <w:r w:rsidRPr="008C71B4">
        <w:rPr>
          <w:rFonts w:ascii="Times New Roman" w:eastAsia="Times New Roman" w:hAnsi="Times New Roman" w:cs="Times New Roman"/>
          <w:bCs/>
          <w:sz w:val="24"/>
          <w:szCs w:val="24"/>
        </w:rPr>
        <w:t>) * 100%</w:t>
      </w:r>
    </w:p>
    <w:p w14:paraId="72CCC7C8" w14:textId="77777777" w:rsidR="000B1B7D" w:rsidRPr="008C71B4" w:rsidRDefault="00475728" w:rsidP="008C71B4">
      <w:pPr>
        <w:pStyle w:val="ListParagraph"/>
        <w:numPr>
          <w:ilvl w:val="0"/>
          <w:numId w:val="6"/>
        </w:num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AKI%(VANC_SUPRA&gt;48h) = (</w:t>
      </w:r>
      <w:proofErr w:type="spellStart"/>
      <w:r w:rsidRPr="008C71B4">
        <w:rPr>
          <w:rFonts w:ascii="Times New Roman" w:eastAsia="Times New Roman" w:hAnsi="Times New Roman" w:cs="Times New Roman"/>
          <w:bCs/>
          <w:sz w:val="24"/>
          <w:szCs w:val="24"/>
        </w:rPr>
        <w:t>Pts_SUPRA_VANC_AKI</w:t>
      </w:r>
      <w:proofErr w:type="spellEnd"/>
      <w:r w:rsidR="00E331A5" w:rsidRPr="008C71B4">
        <w:rPr>
          <w:rFonts w:ascii="Times New Roman" w:eastAsia="Times New Roman" w:hAnsi="Times New Roman" w:cs="Times New Roman"/>
          <w:bCs/>
          <w:sz w:val="24"/>
          <w:szCs w:val="24"/>
        </w:rPr>
        <w:t xml:space="preserve"> /</w:t>
      </w:r>
      <w:proofErr w:type="spellStart"/>
      <w:r w:rsidR="00E331A5" w:rsidRPr="008C71B4">
        <w:rPr>
          <w:rFonts w:ascii="Times New Roman" w:eastAsia="Times New Roman" w:hAnsi="Times New Roman" w:cs="Times New Roman"/>
          <w:bCs/>
          <w:sz w:val="24"/>
          <w:szCs w:val="24"/>
        </w:rPr>
        <w:t>Pts_</w:t>
      </w:r>
      <w:proofErr w:type="gramStart"/>
      <w:r w:rsidR="00E331A5" w:rsidRPr="008C71B4">
        <w:rPr>
          <w:rFonts w:ascii="Times New Roman" w:eastAsia="Times New Roman" w:hAnsi="Times New Roman" w:cs="Times New Roman"/>
          <w:bCs/>
          <w:sz w:val="24"/>
          <w:szCs w:val="24"/>
        </w:rPr>
        <w:t>VANC</w:t>
      </w:r>
      <w:proofErr w:type="spellEnd"/>
      <w:r w:rsidRPr="008C71B4">
        <w:rPr>
          <w:rFonts w:ascii="Times New Roman" w:eastAsia="Times New Roman" w:hAnsi="Times New Roman" w:cs="Times New Roman"/>
          <w:bCs/>
          <w:sz w:val="24"/>
          <w:szCs w:val="24"/>
        </w:rPr>
        <w:t>)</w:t>
      </w:r>
      <w:r w:rsidR="00E331A5" w:rsidRPr="008C71B4">
        <w:rPr>
          <w:rFonts w:ascii="Times New Roman" w:eastAsia="Times New Roman" w:hAnsi="Times New Roman" w:cs="Times New Roman"/>
          <w:bCs/>
          <w:sz w:val="24"/>
          <w:szCs w:val="24"/>
        </w:rPr>
        <w:t>*</w:t>
      </w:r>
      <w:proofErr w:type="gramEnd"/>
      <w:r w:rsidR="00E331A5" w:rsidRPr="008C71B4">
        <w:rPr>
          <w:rFonts w:ascii="Times New Roman" w:eastAsia="Times New Roman" w:hAnsi="Times New Roman" w:cs="Times New Roman"/>
          <w:bCs/>
          <w:sz w:val="24"/>
          <w:szCs w:val="24"/>
        </w:rPr>
        <w:t>100%</w:t>
      </w:r>
    </w:p>
    <w:p w14:paraId="351946DB" w14:textId="77777777" w:rsidR="00C5236A" w:rsidRDefault="00E331A5" w:rsidP="00C52919">
      <w:pPr>
        <w:pStyle w:val="ListParagraph"/>
        <w:numPr>
          <w:ilvl w:val="0"/>
          <w:numId w:val="6"/>
        </w:num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VANC_</w:t>
      </w:r>
      <w:proofErr w:type="gramStart"/>
      <w:r w:rsidRPr="008C71B4">
        <w:rPr>
          <w:rFonts w:ascii="Times New Roman" w:eastAsia="Times New Roman" w:hAnsi="Times New Roman" w:cs="Times New Roman"/>
          <w:bCs/>
          <w:sz w:val="24"/>
          <w:szCs w:val="24"/>
        </w:rPr>
        <w:t>SUPRA</w:t>
      </w:r>
      <w:r w:rsidR="00C52919">
        <w:rPr>
          <w:rFonts w:ascii="Times New Roman" w:eastAsia="Times New Roman" w:hAnsi="Times New Roman" w:cs="Times New Roman"/>
          <w:bCs/>
          <w:sz w:val="24"/>
          <w:szCs w:val="24"/>
        </w:rPr>
        <w:t xml:space="preserve"> </w:t>
      </w:r>
      <w:r w:rsidRPr="008C71B4">
        <w:rPr>
          <w:rFonts w:ascii="Times New Roman" w:eastAsia="Times New Roman" w:hAnsi="Times New Roman" w:cs="Times New Roman"/>
          <w:bCs/>
          <w:sz w:val="24"/>
          <w:szCs w:val="24"/>
        </w:rPr>
        <w:t>:</w:t>
      </w:r>
      <w:proofErr w:type="gramEnd"/>
      <w:r w:rsidR="00C52919">
        <w:rPr>
          <w:rFonts w:ascii="Times New Roman" w:eastAsia="Times New Roman" w:hAnsi="Times New Roman" w:cs="Times New Roman"/>
          <w:bCs/>
          <w:sz w:val="24"/>
          <w:szCs w:val="24"/>
        </w:rPr>
        <w:t xml:space="preserve"> </w:t>
      </w:r>
      <w:r w:rsidRPr="008C71B4">
        <w:rPr>
          <w:rFonts w:ascii="Times New Roman" w:eastAsia="Times New Roman" w:hAnsi="Times New Roman" w:cs="Times New Roman"/>
          <w:bCs/>
          <w:sz w:val="24"/>
          <w:szCs w:val="24"/>
        </w:rPr>
        <w:t>AKI</w:t>
      </w:r>
      <w:r w:rsidR="00C52919">
        <w:rPr>
          <w:rFonts w:ascii="Times New Roman" w:eastAsia="Times New Roman" w:hAnsi="Times New Roman" w:cs="Times New Roman"/>
          <w:bCs/>
          <w:sz w:val="24"/>
          <w:szCs w:val="24"/>
        </w:rPr>
        <w:t xml:space="preserve"> Correlation </w:t>
      </w:r>
      <w:r w:rsidRPr="008C71B4">
        <w:rPr>
          <w:rFonts w:ascii="Times New Roman" w:eastAsia="Times New Roman" w:hAnsi="Times New Roman" w:cs="Times New Roman"/>
          <w:bCs/>
          <w:sz w:val="24"/>
          <w:szCs w:val="24"/>
        </w:rPr>
        <w:t xml:space="preserve">% = 100 – [(AKI% VANC&gt;48h - AKI% VANC_SUPRA&gt;48h) / AKI%VANC&gt;48h]*100% </w:t>
      </w:r>
    </w:p>
    <w:p w14:paraId="25C01B7F" w14:textId="77777777" w:rsidR="008C71B4" w:rsidRPr="008C71B4" w:rsidRDefault="00F705B1" w:rsidP="008C71B4">
      <w:pPr>
        <w:pStyle w:val="ListParagraph"/>
        <w:numPr>
          <w:ilvl w:val="0"/>
          <w:numId w:val="8"/>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Data Collection and Analysis</w:t>
      </w:r>
    </w:p>
    <w:p w14:paraId="55EBAC1B" w14:textId="3BDB1156" w:rsidR="008C71B4" w:rsidRPr="008C71B4" w:rsidRDefault="00B662B7" w:rsidP="008C71B4">
      <w:pPr>
        <w:pStyle w:val="ListParagraph"/>
        <w:spacing w:before="100" w:beforeAutospacing="1" w:after="100" w:afterAutospacing="1" w:line="480" w:lineRule="auto"/>
        <w:jc w:val="both"/>
        <w:outlineLvl w:val="2"/>
        <w:rPr>
          <w:rFonts w:ascii="Times New Roman" w:eastAsia="Times New Roman" w:hAnsi="Times New Roman" w:cs="Times New Roman"/>
          <w:sz w:val="24"/>
          <w:szCs w:val="24"/>
        </w:rPr>
      </w:pPr>
      <w:r w:rsidRPr="008C71B4">
        <w:rPr>
          <w:rFonts w:ascii="Times New Roman" w:eastAsia="Times New Roman" w:hAnsi="Times New Roman" w:cs="Times New Roman"/>
          <w:sz w:val="24"/>
          <w:szCs w:val="24"/>
        </w:rPr>
        <w:t xml:space="preserve">Data was collected from patients receiving vancomycin therapy in an inpatient hospital setting over a </w:t>
      </w:r>
      <w:r w:rsidR="006C54D0">
        <w:rPr>
          <w:rFonts w:ascii="Times New Roman" w:eastAsia="Times New Roman" w:hAnsi="Times New Roman" w:cs="Times New Roman"/>
          <w:sz w:val="24"/>
          <w:szCs w:val="24"/>
        </w:rPr>
        <w:t>12</w:t>
      </w:r>
      <w:r w:rsidRPr="008C71B4">
        <w:rPr>
          <w:rFonts w:ascii="Times New Roman" w:eastAsia="Times New Roman" w:hAnsi="Times New Roman" w:cs="Times New Roman"/>
          <w:sz w:val="24"/>
          <w:szCs w:val="24"/>
        </w:rPr>
        <w:t>-month period</w:t>
      </w:r>
      <w:r w:rsidR="00057070">
        <w:rPr>
          <w:rFonts w:ascii="Times New Roman" w:eastAsia="Times New Roman" w:hAnsi="Times New Roman" w:cs="Times New Roman"/>
          <w:sz w:val="24"/>
          <w:szCs w:val="24"/>
        </w:rPr>
        <w:t xml:space="preserve"> </w:t>
      </w:r>
      <w:r w:rsidR="006C54D0">
        <w:rPr>
          <w:rFonts w:ascii="Times New Roman" w:eastAsia="Times New Roman" w:hAnsi="Times New Roman" w:cs="Times New Roman"/>
          <w:sz w:val="24"/>
          <w:szCs w:val="24"/>
        </w:rPr>
        <w:t>from Sep</w:t>
      </w:r>
      <w:r w:rsidR="00057070">
        <w:rPr>
          <w:rFonts w:ascii="Times New Roman" w:eastAsia="Times New Roman" w:hAnsi="Times New Roman" w:cs="Times New Roman"/>
          <w:sz w:val="24"/>
          <w:szCs w:val="24"/>
        </w:rPr>
        <w:t xml:space="preserve"> 1</w:t>
      </w:r>
      <w:r w:rsidR="00057070" w:rsidRPr="00057070">
        <w:rPr>
          <w:rFonts w:ascii="Times New Roman" w:eastAsia="Times New Roman" w:hAnsi="Times New Roman" w:cs="Times New Roman"/>
          <w:sz w:val="24"/>
          <w:szCs w:val="24"/>
          <w:vertAlign w:val="superscript"/>
        </w:rPr>
        <w:t>st</w:t>
      </w:r>
      <w:r w:rsidR="006C54D0">
        <w:rPr>
          <w:rFonts w:ascii="Times New Roman" w:eastAsia="Times New Roman" w:hAnsi="Times New Roman" w:cs="Times New Roman"/>
          <w:sz w:val="24"/>
          <w:szCs w:val="24"/>
          <w:vertAlign w:val="superscript"/>
        </w:rPr>
        <w:t>,</w:t>
      </w:r>
      <w:r w:rsidR="006C54D0">
        <w:rPr>
          <w:rFonts w:ascii="Times New Roman" w:eastAsia="Times New Roman" w:hAnsi="Times New Roman" w:cs="Times New Roman"/>
          <w:sz w:val="24"/>
          <w:szCs w:val="24"/>
        </w:rPr>
        <w:t xml:space="preserve"> 2023, </w:t>
      </w:r>
      <w:r w:rsidR="00057070">
        <w:rPr>
          <w:rFonts w:ascii="Times New Roman" w:eastAsia="Times New Roman" w:hAnsi="Times New Roman" w:cs="Times New Roman"/>
          <w:sz w:val="24"/>
          <w:szCs w:val="24"/>
        </w:rPr>
        <w:t>to Sep 1</w:t>
      </w:r>
      <w:r w:rsidR="00057070" w:rsidRPr="00057070">
        <w:rPr>
          <w:rFonts w:ascii="Times New Roman" w:eastAsia="Times New Roman" w:hAnsi="Times New Roman" w:cs="Times New Roman"/>
          <w:sz w:val="24"/>
          <w:szCs w:val="24"/>
          <w:vertAlign w:val="superscript"/>
        </w:rPr>
        <w:t>st</w:t>
      </w:r>
      <w:r w:rsidR="006C54D0">
        <w:rPr>
          <w:rFonts w:ascii="Times New Roman" w:eastAsia="Times New Roman" w:hAnsi="Times New Roman" w:cs="Times New Roman"/>
          <w:sz w:val="24"/>
          <w:szCs w:val="24"/>
          <w:vertAlign w:val="superscript"/>
        </w:rPr>
        <w:t>,</w:t>
      </w:r>
      <w:r w:rsidR="00057070">
        <w:rPr>
          <w:rFonts w:ascii="Times New Roman" w:eastAsia="Times New Roman" w:hAnsi="Times New Roman" w:cs="Times New Roman"/>
          <w:sz w:val="24"/>
          <w:szCs w:val="24"/>
        </w:rPr>
        <w:t xml:space="preserve"> </w:t>
      </w:r>
      <w:r w:rsidR="006C54D0">
        <w:rPr>
          <w:rFonts w:ascii="Times New Roman" w:eastAsia="Times New Roman" w:hAnsi="Times New Roman" w:cs="Times New Roman"/>
          <w:sz w:val="24"/>
          <w:szCs w:val="24"/>
        </w:rPr>
        <w:t>2024</w:t>
      </w:r>
      <w:r w:rsidRPr="008C71B4">
        <w:rPr>
          <w:rFonts w:ascii="Times New Roman" w:eastAsia="Times New Roman" w:hAnsi="Times New Roman" w:cs="Times New Roman"/>
          <w:sz w:val="24"/>
          <w:szCs w:val="24"/>
        </w:rPr>
        <w:t>. The patient cohort included individuals with various underlying conditions who were prescribed vancomycin for the treatment of serious infections, including MRSA.</w:t>
      </w:r>
    </w:p>
    <w:p w14:paraId="4D3660E6" w14:textId="77777777" w:rsidR="008C71B4" w:rsidRPr="008C71B4" w:rsidRDefault="008C71B4" w:rsidP="008C71B4">
      <w:pPr>
        <w:pStyle w:val="ListParagraph"/>
        <w:spacing w:before="100" w:beforeAutospacing="1" w:after="100" w:afterAutospacing="1" w:line="480" w:lineRule="auto"/>
        <w:outlineLvl w:val="2"/>
        <w:rPr>
          <w:rFonts w:ascii="Times New Roman" w:eastAsia="Times New Roman" w:hAnsi="Times New Roman" w:cs="Times New Roman"/>
          <w:sz w:val="24"/>
          <w:szCs w:val="24"/>
        </w:rPr>
      </w:pPr>
    </w:p>
    <w:p w14:paraId="3A303045" w14:textId="77777777" w:rsidR="008C71B4" w:rsidRPr="008C71B4" w:rsidRDefault="000B1B7D" w:rsidP="008C71B4">
      <w:pPr>
        <w:pStyle w:val="ListParagraph"/>
        <w:spacing w:before="100" w:beforeAutospacing="1" w:after="100" w:afterAutospacing="1" w:line="480" w:lineRule="auto"/>
        <w:jc w:val="both"/>
        <w:outlineLvl w:val="2"/>
        <w:rPr>
          <w:rFonts w:ascii="Times New Roman" w:eastAsia="Times New Roman" w:hAnsi="Times New Roman" w:cs="Times New Roman"/>
          <w:sz w:val="24"/>
          <w:szCs w:val="24"/>
        </w:rPr>
      </w:pPr>
      <w:r w:rsidRPr="000B1B7D">
        <w:rPr>
          <w:rFonts w:ascii="Times New Roman" w:eastAsia="Times New Roman" w:hAnsi="Times New Roman" w:cs="Times New Roman"/>
          <w:sz w:val="24"/>
          <w:szCs w:val="24"/>
        </w:rPr>
        <w:t xml:space="preserve">The analysis involved </w:t>
      </w:r>
      <w:r w:rsidRPr="008C71B4">
        <w:rPr>
          <w:rFonts w:ascii="Times New Roman" w:eastAsia="Times New Roman" w:hAnsi="Times New Roman" w:cs="Times New Roman"/>
          <w:sz w:val="24"/>
          <w:szCs w:val="24"/>
        </w:rPr>
        <w:t xml:space="preserve">2 </w:t>
      </w:r>
      <w:r w:rsidRPr="000B1B7D">
        <w:rPr>
          <w:rFonts w:ascii="Times New Roman" w:eastAsia="Times New Roman" w:hAnsi="Times New Roman" w:cs="Times New Roman"/>
          <w:sz w:val="24"/>
          <w:szCs w:val="24"/>
        </w:rPr>
        <w:t>steps:</w:t>
      </w:r>
    </w:p>
    <w:p w14:paraId="65B8A34D" w14:textId="26550843" w:rsidR="008C71B4" w:rsidRPr="008C71B4" w:rsidRDefault="000B1B7D" w:rsidP="008C71B4">
      <w:pPr>
        <w:pStyle w:val="ListParagraph"/>
        <w:numPr>
          <w:ilvl w:val="1"/>
          <w:numId w:val="3"/>
        </w:num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8C71B4">
        <w:rPr>
          <w:rFonts w:ascii="Times New Roman" w:eastAsia="Times New Roman" w:hAnsi="Times New Roman" w:cs="Times New Roman"/>
          <w:b/>
          <w:bCs/>
          <w:sz w:val="24"/>
          <w:szCs w:val="24"/>
        </w:rPr>
        <w:t>Patient Selection</w:t>
      </w:r>
      <w:r w:rsidRPr="000B1B7D">
        <w:rPr>
          <w:rFonts w:ascii="Times New Roman" w:eastAsia="Times New Roman" w:hAnsi="Times New Roman" w:cs="Times New Roman"/>
          <w:sz w:val="24"/>
          <w:szCs w:val="24"/>
        </w:rPr>
        <w:t>: Inclusion criteria encompassed all patients who received vancomycin for more than 48 hours during their hospital stay. Exclusion criteria were applied to eliminate</w:t>
      </w:r>
      <w:r w:rsidRPr="008C71B4">
        <w:rPr>
          <w:rFonts w:ascii="Times New Roman" w:eastAsia="Times New Roman" w:hAnsi="Times New Roman" w:cs="Times New Roman"/>
          <w:sz w:val="24"/>
          <w:szCs w:val="24"/>
        </w:rPr>
        <w:t xml:space="preserve"> confounding variables of </w:t>
      </w:r>
      <w:r w:rsidRPr="000B1B7D">
        <w:rPr>
          <w:rFonts w:ascii="Times New Roman" w:eastAsia="Times New Roman" w:hAnsi="Times New Roman" w:cs="Times New Roman"/>
          <w:sz w:val="24"/>
          <w:szCs w:val="24"/>
        </w:rPr>
        <w:t>those with pre-existing</w:t>
      </w:r>
      <w:r w:rsidRPr="008C71B4">
        <w:rPr>
          <w:rFonts w:ascii="Times New Roman" w:eastAsia="Times New Roman" w:hAnsi="Times New Roman" w:cs="Times New Roman"/>
          <w:sz w:val="24"/>
          <w:szCs w:val="24"/>
        </w:rPr>
        <w:t xml:space="preserve"> acute</w:t>
      </w:r>
      <w:r w:rsidRPr="000B1B7D">
        <w:rPr>
          <w:rFonts w:ascii="Times New Roman" w:eastAsia="Times New Roman" w:hAnsi="Times New Roman" w:cs="Times New Roman"/>
          <w:sz w:val="24"/>
          <w:szCs w:val="24"/>
        </w:rPr>
        <w:t xml:space="preserve"> kidney d</w:t>
      </w:r>
      <w:r w:rsidRPr="008C71B4">
        <w:rPr>
          <w:rFonts w:ascii="Times New Roman" w:eastAsia="Times New Roman" w:hAnsi="Times New Roman" w:cs="Times New Roman"/>
          <w:sz w:val="24"/>
          <w:szCs w:val="24"/>
        </w:rPr>
        <w:t>isease and patients missing multiple vancomycin levels</w:t>
      </w:r>
      <w:r w:rsidR="006C54D0">
        <w:rPr>
          <w:rFonts w:ascii="Times New Roman" w:eastAsia="Times New Roman" w:hAnsi="Times New Roman" w:cs="Times New Roman"/>
          <w:sz w:val="24"/>
          <w:szCs w:val="24"/>
        </w:rPr>
        <w:t xml:space="preserve"> and serum creatinine</w:t>
      </w:r>
      <w:r w:rsidRPr="008C71B4">
        <w:rPr>
          <w:rFonts w:ascii="Times New Roman" w:eastAsia="Times New Roman" w:hAnsi="Times New Roman" w:cs="Times New Roman"/>
          <w:sz w:val="24"/>
          <w:szCs w:val="24"/>
        </w:rPr>
        <w:t xml:space="preserve"> monitoring.</w:t>
      </w:r>
    </w:p>
    <w:p w14:paraId="775DB1D0" w14:textId="77777777" w:rsidR="000B1B7D" w:rsidRPr="008C71B4" w:rsidRDefault="000B1B7D" w:rsidP="008C71B4">
      <w:pPr>
        <w:pStyle w:val="ListParagraph"/>
        <w:numPr>
          <w:ilvl w:val="1"/>
          <w:numId w:val="3"/>
        </w:num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8C71B4">
        <w:rPr>
          <w:rFonts w:ascii="Times New Roman" w:eastAsia="Times New Roman" w:hAnsi="Times New Roman" w:cs="Times New Roman"/>
          <w:b/>
          <w:bCs/>
          <w:sz w:val="24"/>
          <w:szCs w:val="24"/>
        </w:rPr>
        <w:t>Data Collection</w:t>
      </w:r>
      <w:r w:rsidRPr="008C71B4">
        <w:rPr>
          <w:rFonts w:ascii="Times New Roman" w:eastAsia="Times New Roman" w:hAnsi="Times New Roman" w:cs="Times New Roman"/>
          <w:sz w:val="24"/>
          <w:szCs w:val="24"/>
        </w:rPr>
        <w:t xml:space="preserve">: Comprehensive data were collected from electronic medical records, including patient demographics, clinical indications for vancomycin use, </w:t>
      </w:r>
      <w:r w:rsidRPr="008C71B4">
        <w:rPr>
          <w:rFonts w:ascii="Times New Roman" w:eastAsia="Times New Roman" w:hAnsi="Times New Roman" w:cs="Times New Roman"/>
          <w:sz w:val="24"/>
          <w:szCs w:val="24"/>
        </w:rPr>
        <w:lastRenderedPageBreak/>
        <w:t>dosing regimens (specifically AUC calculations), and laboratory results indicating renal function (serum creatinine levels) and Vancomycin levels.</w:t>
      </w:r>
    </w:p>
    <w:p w14:paraId="607B6788" w14:textId="77777777" w:rsidR="00F705B1" w:rsidRPr="008C71B4" w:rsidRDefault="00F705B1" w:rsidP="008C71B4">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Results</w:t>
      </w:r>
    </w:p>
    <w:p w14:paraId="793FA6B1" w14:textId="1AED19D1" w:rsidR="00E44919" w:rsidRPr="008C71B4" w:rsidRDefault="006C54D0" w:rsidP="00C5236A">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B662B7" w:rsidRPr="008C71B4">
        <w:rPr>
          <w:rFonts w:ascii="Times New Roman" w:eastAsia="Times New Roman" w:hAnsi="Times New Roman" w:cs="Times New Roman"/>
          <w:bCs/>
          <w:sz w:val="24"/>
          <w:szCs w:val="24"/>
        </w:rPr>
        <w:t xml:space="preserve">ata collected over a </w:t>
      </w:r>
      <w:r>
        <w:rPr>
          <w:rFonts w:ascii="Times New Roman" w:eastAsia="Times New Roman" w:hAnsi="Times New Roman" w:cs="Times New Roman"/>
          <w:bCs/>
          <w:sz w:val="24"/>
          <w:szCs w:val="24"/>
        </w:rPr>
        <w:t>12</w:t>
      </w:r>
      <w:r w:rsidR="00B662B7" w:rsidRPr="008C71B4">
        <w:rPr>
          <w:rFonts w:ascii="Times New Roman" w:eastAsia="Times New Roman" w:hAnsi="Times New Roman" w:cs="Times New Roman"/>
          <w:bCs/>
          <w:sz w:val="24"/>
          <w:szCs w:val="24"/>
        </w:rPr>
        <w:t>-month period</w:t>
      </w:r>
      <w:r>
        <w:rPr>
          <w:rFonts w:ascii="Times New Roman" w:eastAsia="Times New Roman" w:hAnsi="Times New Roman" w:cs="Times New Roman"/>
          <w:bCs/>
          <w:sz w:val="24"/>
          <w:szCs w:val="24"/>
        </w:rPr>
        <w:t xml:space="preserve"> is presented in Table-1</w:t>
      </w:r>
      <w:r w:rsidR="00B662B7" w:rsidRPr="008C71B4">
        <w:rPr>
          <w:rFonts w:ascii="Times New Roman" w:eastAsia="Times New Roman" w:hAnsi="Times New Roman" w:cs="Times New Roman"/>
          <w:bCs/>
          <w:sz w:val="24"/>
          <w:szCs w:val="24"/>
        </w:rPr>
        <w:t>, focusing on appl</w:t>
      </w:r>
      <w:r>
        <w:rPr>
          <w:rFonts w:ascii="Times New Roman" w:eastAsia="Times New Roman" w:hAnsi="Times New Roman" w:cs="Times New Roman"/>
          <w:bCs/>
          <w:sz w:val="24"/>
          <w:szCs w:val="24"/>
        </w:rPr>
        <w:t>y</w:t>
      </w:r>
      <w:r w:rsidR="00B662B7" w:rsidRPr="008C71B4">
        <w:rPr>
          <w:rFonts w:ascii="Times New Roman" w:eastAsia="Times New Roman" w:hAnsi="Times New Roman" w:cs="Times New Roman"/>
          <w:bCs/>
          <w:sz w:val="24"/>
          <w:szCs w:val="24"/>
        </w:rPr>
        <w:t>in</w:t>
      </w:r>
      <w:r>
        <w:rPr>
          <w:rFonts w:ascii="Times New Roman" w:eastAsia="Times New Roman" w:hAnsi="Times New Roman" w:cs="Times New Roman"/>
          <w:bCs/>
          <w:sz w:val="24"/>
          <w:szCs w:val="24"/>
        </w:rPr>
        <w:t>g</w:t>
      </w:r>
      <w:r w:rsidR="00B662B7" w:rsidRPr="008C71B4">
        <w:rPr>
          <w:rFonts w:ascii="Times New Roman" w:eastAsia="Times New Roman" w:hAnsi="Times New Roman" w:cs="Times New Roman"/>
          <w:bCs/>
          <w:sz w:val="24"/>
          <w:szCs w:val="24"/>
        </w:rPr>
        <w:t xml:space="preserve"> the newly proposed correlation factor for assessing AKI in patients undergoing vancomycin therapy for more than 48 hours. The analysis revealed that </w:t>
      </w:r>
      <w:proofErr w:type="gramStart"/>
      <w:r w:rsidR="00B662B7" w:rsidRPr="008C71B4">
        <w:rPr>
          <w:rFonts w:ascii="Times New Roman" w:eastAsia="Times New Roman" w:hAnsi="Times New Roman" w:cs="Times New Roman"/>
          <w:bCs/>
          <w:sz w:val="24"/>
          <w:szCs w:val="24"/>
        </w:rPr>
        <w:t>a</w:t>
      </w:r>
      <w:proofErr w:type="gramEnd"/>
      <w:r w:rsidR="00B662B7" w:rsidRPr="008C71B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8.8%</w:t>
      </w:r>
      <w:r w:rsidR="00B662B7" w:rsidRPr="008C71B4">
        <w:rPr>
          <w:rFonts w:ascii="Times New Roman" w:eastAsia="Times New Roman" w:hAnsi="Times New Roman" w:cs="Times New Roman"/>
          <w:bCs/>
          <w:sz w:val="24"/>
          <w:szCs w:val="24"/>
        </w:rPr>
        <w:t xml:space="preserve"> of patients developed AKI</w:t>
      </w:r>
      <w:r w:rsidR="00EF0A39">
        <w:rPr>
          <w:rFonts w:ascii="Times New Roman" w:eastAsia="Times New Roman" w:hAnsi="Times New Roman" w:cs="Times New Roman"/>
          <w:bCs/>
          <w:sz w:val="24"/>
          <w:szCs w:val="24"/>
        </w:rPr>
        <w:t xml:space="preserve"> </w:t>
      </w:r>
      <w:r w:rsidR="00B662B7" w:rsidRPr="008C71B4">
        <w:rPr>
          <w:rFonts w:ascii="Times New Roman" w:eastAsia="Times New Roman" w:hAnsi="Times New Roman" w:cs="Times New Roman"/>
          <w:bCs/>
          <w:sz w:val="24"/>
          <w:szCs w:val="24"/>
        </w:rPr>
        <w:t>during this treatment window; however, it is noteworthy that none of these cases were associated with vancomycin dosing at an AUC</w:t>
      </w:r>
      <w:r>
        <w:rPr>
          <w:rFonts w:ascii="Times New Roman" w:eastAsia="Times New Roman" w:hAnsi="Times New Roman" w:cs="Times New Roman"/>
          <w:bCs/>
          <w:sz w:val="24"/>
          <w:szCs w:val="24"/>
        </w:rPr>
        <w:t xml:space="preserve"> </w:t>
      </w:r>
      <w:r w:rsidR="00B662B7" w:rsidRPr="008C71B4">
        <w:rPr>
          <w:rFonts w:ascii="Times New Roman" w:eastAsia="Times New Roman" w:hAnsi="Times New Roman" w:cs="Times New Roman"/>
          <w:bCs/>
          <w:sz w:val="24"/>
          <w:szCs w:val="24"/>
        </w:rPr>
        <w:t xml:space="preserve">exceeding 600 </w:t>
      </w:r>
      <w:proofErr w:type="spellStart"/>
      <w:r w:rsidR="00B662B7" w:rsidRPr="008C71B4">
        <w:rPr>
          <w:rFonts w:ascii="Times New Roman" w:eastAsia="Times New Roman" w:hAnsi="Times New Roman" w:cs="Times New Roman"/>
          <w:bCs/>
          <w:sz w:val="24"/>
          <w:szCs w:val="24"/>
        </w:rPr>
        <w:t>mg.h</w:t>
      </w:r>
      <w:proofErr w:type="spellEnd"/>
      <w:r w:rsidR="00B662B7" w:rsidRPr="008C71B4">
        <w:rPr>
          <w:rFonts w:ascii="Times New Roman" w:eastAsia="Times New Roman" w:hAnsi="Times New Roman" w:cs="Times New Roman"/>
          <w:bCs/>
          <w:sz w:val="24"/>
          <w:szCs w:val="24"/>
        </w:rPr>
        <w:t xml:space="preserve">/L. Consequently, the calculated correlation percentage of AKI associated with vancomycin dosing above the 600 </w:t>
      </w:r>
      <w:proofErr w:type="spellStart"/>
      <w:r w:rsidR="00B662B7" w:rsidRPr="008C71B4">
        <w:rPr>
          <w:rFonts w:ascii="Times New Roman" w:eastAsia="Times New Roman" w:hAnsi="Times New Roman" w:cs="Times New Roman"/>
          <w:bCs/>
          <w:sz w:val="24"/>
          <w:szCs w:val="24"/>
        </w:rPr>
        <w:t>mg.h</w:t>
      </w:r>
      <w:proofErr w:type="spellEnd"/>
      <w:r w:rsidR="00B662B7" w:rsidRPr="008C71B4">
        <w:rPr>
          <w:rFonts w:ascii="Times New Roman" w:eastAsia="Times New Roman" w:hAnsi="Times New Roman" w:cs="Times New Roman"/>
          <w:bCs/>
          <w:sz w:val="24"/>
          <w:szCs w:val="24"/>
        </w:rPr>
        <w:t>/L threshold was found to be zero.</w:t>
      </w:r>
      <w:r w:rsidR="000D6538" w:rsidRPr="008C71B4">
        <w:rPr>
          <w:rFonts w:ascii="Times New Roman" w:eastAsia="Times New Roman" w:hAnsi="Times New Roman" w:cs="Times New Roman"/>
          <w:bCs/>
          <w:sz w:val="24"/>
          <w:szCs w:val="24"/>
        </w:rPr>
        <w:t xml:space="preserve"> </w:t>
      </w:r>
      <w:r w:rsidR="00E44919" w:rsidRPr="008C71B4">
        <w:rPr>
          <w:rFonts w:ascii="Times New Roman" w:eastAsia="Times New Roman" w:hAnsi="Times New Roman" w:cs="Times New Roman"/>
          <w:bCs/>
          <w:sz w:val="24"/>
          <w:szCs w:val="24"/>
        </w:rPr>
        <w:t xml:space="preserve"> </w:t>
      </w:r>
    </w:p>
    <w:p w14:paraId="19EACFC9" w14:textId="77777777" w:rsidR="00F705B1" w:rsidRPr="008C71B4" w:rsidRDefault="00FD2FB0" w:rsidP="008C71B4">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 xml:space="preserve">Discussion </w:t>
      </w:r>
    </w:p>
    <w:p w14:paraId="603212AE" w14:textId="60AA9C32" w:rsidR="005C5189" w:rsidRPr="008C71B4" w:rsidRDefault="005C5189" w:rsidP="008C71B4">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hAnsi="Times New Roman" w:cs="Times New Roman"/>
          <w:sz w:val="24"/>
          <w:szCs w:val="24"/>
        </w:rPr>
        <w:t>The results of this study underscore the utility of the newly developed correlation factor equation, which provides valuable insights into the relationship between supratherapeutic vancomycin dosing and acute kidney injury (AKI). Importantly, this equation is not intended to replace prospective auditing of vancomycin therapy; rather, it serves as a complementary tool for evaluating dosing practices within pharmacy initiatives as part of antimicrobial stewardship programs.</w:t>
      </w:r>
    </w:p>
    <w:p w14:paraId="7C03940B" w14:textId="01BA745A" w:rsidR="005C5189" w:rsidRPr="008C71B4" w:rsidRDefault="005C5189" w:rsidP="008C71B4">
      <w:pPr>
        <w:pStyle w:val="NormalWeb"/>
        <w:spacing w:line="480" w:lineRule="auto"/>
        <w:jc w:val="both"/>
      </w:pPr>
      <w:r w:rsidRPr="008C71B4">
        <w:t xml:space="preserve">The primary aim of the correlation factor is to enhance the assessment of vancomycin use by offering a quantitative measure of safety outcomes associated with dosing practices. </w:t>
      </w:r>
      <w:r w:rsidR="006C54D0">
        <w:t>I</w:t>
      </w:r>
      <w:r w:rsidRPr="008C71B4">
        <w:t>solating AKI cases linked to suprat</w:t>
      </w:r>
      <w:r w:rsidR="00E4132F" w:rsidRPr="008C71B4">
        <w:t>herapeutic dosing and i</w:t>
      </w:r>
      <w:r w:rsidRPr="008C71B4">
        <w:t>nte</w:t>
      </w:r>
      <w:r w:rsidR="00E4132F" w:rsidRPr="008C71B4">
        <w:t xml:space="preserve">grating this correlation </w:t>
      </w:r>
      <w:r w:rsidRPr="008C71B4">
        <w:t xml:space="preserve">into routine pharmacy initiatives enables healthcare providers to track key performance indicators related to vancomycin </w:t>
      </w:r>
      <w:r w:rsidRPr="008C71B4">
        <w:lastRenderedPageBreak/>
        <w:t>safety.</w:t>
      </w:r>
      <w:r w:rsidR="006C54D0">
        <w:t xml:space="preserve"> </w:t>
      </w:r>
      <w:r w:rsidR="00711E9A">
        <w:t xml:space="preserve">The closer the correlation factor to Zero, the less association between AKIs with supratherapeutic dosing of Vancomycin. </w:t>
      </w:r>
    </w:p>
    <w:p w14:paraId="30536D59" w14:textId="70ED1E70" w:rsidR="005C5189" w:rsidRPr="008C71B4" w:rsidRDefault="005C5189" w:rsidP="008C71B4">
      <w:pPr>
        <w:pStyle w:val="NormalWeb"/>
        <w:spacing w:line="480" w:lineRule="auto"/>
        <w:jc w:val="both"/>
      </w:pPr>
      <w:r w:rsidRPr="008C71B4">
        <w:t>In summary, the correlation factor equation</w:t>
      </w:r>
      <w:r w:rsidR="00E4132F" w:rsidRPr="008C71B4">
        <w:t xml:space="preserve"> presented here </w:t>
      </w:r>
      <w:r w:rsidR="00711E9A">
        <w:t>has</w:t>
      </w:r>
      <w:r w:rsidR="00E4132F" w:rsidRPr="008C71B4">
        <w:t xml:space="preserve"> the potential to enhance</w:t>
      </w:r>
      <w:r w:rsidRPr="008C71B4">
        <w:t xml:space="preserve"> the evaluation of vancomycin dosing within pharmacy-led initiatives. While it offers valuable insights into nephrotoxicity risk, it should be used alongside existing auditing practices to foster a comprehensive approach to patient safety. By combining these strategies, healthcare institutions can navigate the complexities of antibiotic therapy and mitigate the risks associated with high</w:t>
      </w:r>
      <w:r w:rsidR="006C54D0">
        <w:t xml:space="preserve">er </w:t>
      </w:r>
      <w:r w:rsidRPr="008C71B4">
        <w:t>dose</w:t>
      </w:r>
      <w:r w:rsidR="006C54D0">
        <w:t>s of</w:t>
      </w:r>
      <w:r w:rsidRPr="008C71B4">
        <w:t xml:space="preserve"> vancomycin administration.</w:t>
      </w:r>
    </w:p>
    <w:p w14:paraId="0B96B2D9" w14:textId="77777777" w:rsidR="00C5236A" w:rsidRDefault="00C5236A" w:rsidP="008C71B4">
      <w:pPr>
        <w:jc w:val="both"/>
        <w:rPr>
          <w:rFonts w:ascii="Times New Roman" w:hAnsi="Times New Roman" w:cs="Times New Roman"/>
        </w:rPr>
      </w:pPr>
    </w:p>
    <w:p w14:paraId="2F57D532" w14:textId="77777777" w:rsidR="00C5236A" w:rsidRDefault="00C5236A" w:rsidP="008C71B4">
      <w:pPr>
        <w:jc w:val="both"/>
        <w:rPr>
          <w:rFonts w:ascii="Times New Roman" w:hAnsi="Times New Roman" w:cs="Times New Roman"/>
        </w:rPr>
      </w:pPr>
    </w:p>
    <w:p w14:paraId="579AB901" w14:textId="77777777" w:rsidR="00C5236A" w:rsidRDefault="00C5236A" w:rsidP="008C71B4">
      <w:pPr>
        <w:jc w:val="both"/>
        <w:rPr>
          <w:rFonts w:ascii="Times New Roman" w:hAnsi="Times New Roman" w:cs="Times New Roman"/>
        </w:rPr>
      </w:pPr>
    </w:p>
    <w:p w14:paraId="65B82D08" w14:textId="77777777" w:rsidR="00C5236A" w:rsidRDefault="00C5236A" w:rsidP="008C71B4">
      <w:pPr>
        <w:jc w:val="both"/>
        <w:rPr>
          <w:rFonts w:ascii="Times New Roman" w:hAnsi="Times New Roman" w:cs="Times New Roman"/>
        </w:rPr>
      </w:pPr>
    </w:p>
    <w:p w14:paraId="07983CFF" w14:textId="77777777" w:rsidR="00A277D7" w:rsidRDefault="00A277D7" w:rsidP="008C71B4">
      <w:pPr>
        <w:jc w:val="both"/>
        <w:rPr>
          <w:rFonts w:ascii="Times New Roman" w:hAnsi="Times New Roman" w:cs="Times New Roman"/>
        </w:rPr>
      </w:pPr>
    </w:p>
    <w:p w14:paraId="28AC78E4" w14:textId="77777777" w:rsidR="00A277D7" w:rsidRDefault="00A277D7" w:rsidP="008C71B4">
      <w:pPr>
        <w:jc w:val="both"/>
        <w:rPr>
          <w:rFonts w:ascii="Times New Roman" w:hAnsi="Times New Roman" w:cs="Times New Roman"/>
        </w:rPr>
      </w:pPr>
    </w:p>
    <w:p w14:paraId="65A48BA8" w14:textId="77777777" w:rsidR="00C5236A" w:rsidRDefault="00C5236A" w:rsidP="008C71B4">
      <w:pPr>
        <w:jc w:val="both"/>
        <w:rPr>
          <w:rFonts w:ascii="Times New Roman" w:hAnsi="Times New Roman" w:cs="Times New Roman"/>
        </w:rPr>
      </w:pPr>
    </w:p>
    <w:p w14:paraId="7CC953A5" w14:textId="3B860FA8" w:rsidR="00C5236A" w:rsidRPr="00C5236A" w:rsidRDefault="00C5236A" w:rsidP="00C5236A">
      <w:pPr>
        <w:jc w:val="both"/>
        <w:rPr>
          <w:rFonts w:ascii="Times New Roman" w:eastAsia="Times New Roman" w:hAnsi="Times New Roman" w:cs="Times New Roman"/>
          <w:bCs/>
          <w:sz w:val="24"/>
          <w:szCs w:val="24"/>
        </w:rPr>
      </w:pPr>
      <w:r w:rsidRPr="00C5236A">
        <w:rPr>
          <w:rFonts w:ascii="Times New Roman" w:eastAsia="Times New Roman" w:hAnsi="Times New Roman" w:cs="Times New Roman"/>
          <w:bCs/>
          <w:sz w:val="24"/>
          <w:szCs w:val="24"/>
        </w:rPr>
        <w:t>Table 1</w:t>
      </w:r>
      <w:r w:rsidR="00711E9A">
        <w:rPr>
          <w:rFonts w:ascii="Times New Roman" w:eastAsia="Times New Roman" w:hAnsi="Times New Roman" w:cs="Times New Roman"/>
          <w:bCs/>
          <w:sz w:val="24"/>
          <w:szCs w:val="24"/>
        </w:rPr>
        <w:t>:</w:t>
      </w:r>
      <w:r w:rsidR="003776E7">
        <w:rPr>
          <w:rFonts w:ascii="Times New Roman" w:eastAsia="Times New Roman" w:hAnsi="Times New Roman" w:cs="Times New Roman"/>
          <w:bCs/>
          <w:sz w:val="24"/>
          <w:szCs w:val="24"/>
        </w:rPr>
        <w:t xml:space="preserve"> 12-month parameters for AKI and its association with supratherapeutic vancomycin dosing. </w:t>
      </w:r>
    </w:p>
    <w:tbl>
      <w:tblPr>
        <w:tblStyle w:val="TableGrid"/>
        <w:tblW w:w="0" w:type="auto"/>
        <w:tblInd w:w="1525" w:type="dxa"/>
        <w:tblLook w:val="04A0" w:firstRow="1" w:lastRow="0" w:firstColumn="1" w:lastColumn="0" w:noHBand="0" w:noVBand="1"/>
      </w:tblPr>
      <w:tblGrid>
        <w:gridCol w:w="3972"/>
        <w:gridCol w:w="2250"/>
      </w:tblGrid>
      <w:tr w:rsidR="00C5236A" w14:paraId="1945E868" w14:textId="77777777" w:rsidTr="00B800B5">
        <w:tc>
          <w:tcPr>
            <w:tcW w:w="3972" w:type="dxa"/>
          </w:tcPr>
          <w:p w14:paraId="529AED35"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Parameter</w:t>
            </w:r>
          </w:p>
        </w:tc>
        <w:tc>
          <w:tcPr>
            <w:tcW w:w="2250" w:type="dxa"/>
          </w:tcPr>
          <w:p w14:paraId="1C8AF0D5" w14:textId="1A1309AF" w:rsidR="00C5236A" w:rsidRDefault="00711E9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00C5236A">
              <w:rPr>
                <w:rFonts w:ascii="Times New Roman" w:eastAsia="Times New Roman" w:hAnsi="Times New Roman" w:cs="Times New Roman"/>
                <w:bCs/>
                <w:sz w:val="24"/>
                <w:szCs w:val="24"/>
              </w:rPr>
              <w:t xml:space="preserve"> Months Duration </w:t>
            </w:r>
          </w:p>
        </w:tc>
      </w:tr>
      <w:tr w:rsidR="00C5236A" w14:paraId="054D3306" w14:textId="77777777" w:rsidTr="00B800B5">
        <w:tc>
          <w:tcPr>
            <w:tcW w:w="3972" w:type="dxa"/>
          </w:tcPr>
          <w:p w14:paraId="29F1AD22"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proofErr w:type="spellStart"/>
            <w:r w:rsidRPr="008C71B4">
              <w:rPr>
                <w:rFonts w:ascii="Times New Roman" w:eastAsia="Times New Roman" w:hAnsi="Times New Roman" w:cs="Times New Roman"/>
                <w:bCs/>
                <w:sz w:val="24"/>
                <w:szCs w:val="24"/>
              </w:rPr>
              <w:t>Pts_VANC</w:t>
            </w:r>
            <w:proofErr w:type="spellEnd"/>
          </w:p>
        </w:tc>
        <w:tc>
          <w:tcPr>
            <w:tcW w:w="2250" w:type="dxa"/>
          </w:tcPr>
          <w:p w14:paraId="378BB28A" w14:textId="77777777" w:rsidR="00C5236A" w:rsidRDefault="00C5236A" w:rsidP="00057070">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w:t>
            </w:r>
            <w:r w:rsidR="00057070">
              <w:rPr>
                <w:rFonts w:ascii="Times New Roman" w:eastAsia="Times New Roman" w:hAnsi="Times New Roman" w:cs="Times New Roman"/>
                <w:bCs/>
                <w:sz w:val="24"/>
                <w:szCs w:val="24"/>
              </w:rPr>
              <w:t>386</w:t>
            </w:r>
          </w:p>
        </w:tc>
      </w:tr>
      <w:tr w:rsidR="00C5236A" w14:paraId="4A212060" w14:textId="77777777" w:rsidTr="00B800B5">
        <w:tc>
          <w:tcPr>
            <w:tcW w:w="3972" w:type="dxa"/>
          </w:tcPr>
          <w:p w14:paraId="7DAB2D51"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proofErr w:type="spellStart"/>
            <w:r w:rsidRPr="008C71B4">
              <w:rPr>
                <w:rFonts w:ascii="Times New Roman" w:eastAsia="Times New Roman" w:hAnsi="Times New Roman" w:cs="Times New Roman"/>
                <w:bCs/>
                <w:sz w:val="24"/>
                <w:szCs w:val="24"/>
              </w:rPr>
              <w:t>Pts_VANC_AKI</w:t>
            </w:r>
            <w:proofErr w:type="spellEnd"/>
          </w:p>
        </w:tc>
        <w:tc>
          <w:tcPr>
            <w:tcW w:w="2250" w:type="dxa"/>
          </w:tcPr>
          <w:p w14:paraId="2AF668D9" w14:textId="77777777" w:rsidR="00C5236A" w:rsidRDefault="00C5236A" w:rsidP="00EF0A39">
            <w:pPr>
              <w:spacing w:before="100" w:beforeAutospacing="1" w:after="100" w:afterAutospacing="1" w:line="480" w:lineRule="auto"/>
              <w:ind w:right="144"/>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Stage 1 AKI</w:t>
            </w:r>
            <w:r w:rsidR="00EF0A3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w:t>
            </w:r>
            <w:proofErr w:type="gramStart"/>
            <w:r w:rsidR="00057070">
              <w:rPr>
                <w:rFonts w:ascii="Times New Roman" w:eastAsia="Times New Roman" w:hAnsi="Times New Roman" w:cs="Times New Roman"/>
                <w:bCs/>
                <w:sz w:val="24"/>
                <w:szCs w:val="24"/>
              </w:rPr>
              <w:t>24</w:t>
            </w:r>
            <w:r>
              <w:rPr>
                <w:rFonts w:ascii="Times New Roman" w:eastAsia="Times New Roman" w:hAnsi="Times New Roman" w:cs="Times New Roman"/>
                <w:bCs/>
                <w:sz w:val="24"/>
                <w:szCs w:val="24"/>
              </w:rPr>
              <w:t xml:space="preserve">  Stage</w:t>
            </w:r>
            <w:proofErr w:type="gramEnd"/>
            <w:r>
              <w:rPr>
                <w:rFonts w:ascii="Times New Roman" w:eastAsia="Times New Roman" w:hAnsi="Times New Roman" w:cs="Times New Roman"/>
                <w:bCs/>
                <w:sz w:val="24"/>
                <w:szCs w:val="24"/>
              </w:rPr>
              <w:t xml:space="preserve"> 2 AKI</w:t>
            </w:r>
            <w:r w:rsidR="00EF0A3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N=2    Stage 3 AKI</w:t>
            </w:r>
            <w:r w:rsidR="00EF0A3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w:t>
            </w:r>
            <w:r w:rsidR="00057070">
              <w:rPr>
                <w:rFonts w:ascii="Times New Roman" w:eastAsia="Times New Roman" w:hAnsi="Times New Roman" w:cs="Times New Roman"/>
                <w:bCs/>
                <w:sz w:val="24"/>
                <w:szCs w:val="24"/>
              </w:rPr>
              <w:t>8</w:t>
            </w:r>
          </w:p>
        </w:tc>
      </w:tr>
      <w:tr w:rsidR="00C5236A" w14:paraId="09C30C01" w14:textId="77777777" w:rsidTr="00B800B5">
        <w:tc>
          <w:tcPr>
            <w:tcW w:w="3972" w:type="dxa"/>
          </w:tcPr>
          <w:p w14:paraId="73E3F104"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proofErr w:type="spellStart"/>
            <w:r w:rsidRPr="008C71B4">
              <w:rPr>
                <w:rFonts w:ascii="Times New Roman" w:eastAsia="Times New Roman" w:hAnsi="Times New Roman" w:cs="Times New Roman"/>
                <w:bCs/>
                <w:sz w:val="24"/>
                <w:szCs w:val="24"/>
              </w:rPr>
              <w:t>Pts_SUPRA_VANC_AKI</w:t>
            </w:r>
            <w:proofErr w:type="spellEnd"/>
          </w:p>
        </w:tc>
        <w:tc>
          <w:tcPr>
            <w:tcW w:w="2250" w:type="dxa"/>
          </w:tcPr>
          <w:p w14:paraId="0AA2271C"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N=0</w:t>
            </w:r>
          </w:p>
        </w:tc>
      </w:tr>
      <w:tr w:rsidR="00C5236A" w14:paraId="2054D246" w14:textId="77777777" w:rsidTr="00B800B5">
        <w:tc>
          <w:tcPr>
            <w:tcW w:w="3972" w:type="dxa"/>
          </w:tcPr>
          <w:p w14:paraId="1AB049FF"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AKI%(VANC&gt;48h)</w:t>
            </w:r>
          </w:p>
        </w:tc>
        <w:tc>
          <w:tcPr>
            <w:tcW w:w="2250" w:type="dxa"/>
          </w:tcPr>
          <w:p w14:paraId="781387FC" w14:textId="77777777" w:rsidR="00C5236A" w:rsidRDefault="00EF0A39" w:rsidP="00EF0A39">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8.8</w:t>
            </w:r>
            <w:r w:rsidR="00C5236A">
              <w:rPr>
                <w:rFonts w:ascii="Times New Roman" w:eastAsia="Times New Roman" w:hAnsi="Times New Roman" w:cs="Times New Roman"/>
                <w:bCs/>
                <w:sz w:val="24"/>
                <w:szCs w:val="24"/>
              </w:rPr>
              <w:t>%</w:t>
            </w:r>
          </w:p>
        </w:tc>
      </w:tr>
      <w:tr w:rsidR="00C5236A" w14:paraId="192AD2D0" w14:textId="77777777" w:rsidTr="00B800B5">
        <w:tc>
          <w:tcPr>
            <w:tcW w:w="3972" w:type="dxa"/>
          </w:tcPr>
          <w:p w14:paraId="7113877E"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lastRenderedPageBreak/>
              <w:t>AKI%(VANC_SUPRA&gt;48h)</w:t>
            </w:r>
          </w:p>
        </w:tc>
        <w:tc>
          <w:tcPr>
            <w:tcW w:w="2250" w:type="dxa"/>
          </w:tcPr>
          <w:p w14:paraId="1541D23B"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r>
      <w:tr w:rsidR="00C5236A" w14:paraId="560BA679" w14:textId="77777777" w:rsidTr="00B800B5">
        <w:tc>
          <w:tcPr>
            <w:tcW w:w="3972" w:type="dxa"/>
          </w:tcPr>
          <w:p w14:paraId="1AE643F1"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VANC_</w:t>
            </w:r>
            <w:proofErr w:type="gramStart"/>
            <w:r w:rsidRPr="008C71B4">
              <w:rPr>
                <w:rFonts w:ascii="Times New Roman" w:eastAsia="Times New Roman" w:hAnsi="Times New Roman" w:cs="Times New Roman"/>
                <w:bCs/>
                <w:sz w:val="24"/>
                <w:szCs w:val="24"/>
              </w:rPr>
              <w:t>SUPRA</w:t>
            </w:r>
            <w:r>
              <w:rPr>
                <w:rFonts w:ascii="Times New Roman" w:eastAsia="Times New Roman" w:hAnsi="Times New Roman" w:cs="Times New Roman"/>
                <w:bCs/>
                <w:sz w:val="24"/>
                <w:szCs w:val="24"/>
              </w:rPr>
              <w:t xml:space="preserve"> </w:t>
            </w:r>
            <w:r w:rsidRPr="008C71B4">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r w:rsidRPr="008C71B4">
              <w:rPr>
                <w:rFonts w:ascii="Times New Roman" w:eastAsia="Times New Roman" w:hAnsi="Times New Roman" w:cs="Times New Roman"/>
                <w:bCs/>
                <w:sz w:val="24"/>
                <w:szCs w:val="24"/>
              </w:rPr>
              <w:t>AKI</w:t>
            </w:r>
            <w:r>
              <w:rPr>
                <w:rFonts w:ascii="Times New Roman" w:eastAsia="Times New Roman" w:hAnsi="Times New Roman" w:cs="Times New Roman"/>
                <w:bCs/>
                <w:sz w:val="24"/>
                <w:szCs w:val="24"/>
              </w:rPr>
              <w:t xml:space="preserve"> Correlation </w:t>
            </w:r>
            <w:r w:rsidRPr="008C71B4">
              <w:rPr>
                <w:rFonts w:ascii="Times New Roman" w:eastAsia="Times New Roman" w:hAnsi="Times New Roman" w:cs="Times New Roman"/>
                <w:bCs/>
                <w:sz w:val="24"/>
                <w:szCs w:val="24"/>
              </w:rPr>
              <w:t>%</w:t>
            </w:r>
          </w:p>
        </w:tc>
        <w:tc>
          <w:tcPr>
            <w:tcW w:w="2250" w:type="dxa"/>
          </w:tcPr>
          <w:p w14:paraId="0EC927E1"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r>
    </w:tbl>
    <w:p w14:paraId="17FE5197" w14:textId="77777777" w:rsidR="00192180" w:rsidRDefault="00192180" w:rsidP="008C71B4">
      <w:pPr>
        <w:jc w:val="both"/>
        <w:rPr>
          <w:rFonts w:ascii="Times New Roman" w:hAnsi="Times New Roman" w:cs="Times New Roman"/>
        </w:rPr>
      </w:pPr>
    </w:p>
    <w:p w14:paraId="2CD0B80B" w14:textId="77777777" w:rsidR="00BF710D" w:rsidRPr="008C71B4" w:rsidRDefault="00BF710D" w:rsidP="008C71B4">
      <w:pPr>
        <w:jc w:val="both"/>
        <w:rPr>
          <w:rFonts w:ascii="Times New Roman" w:hAnsi="Times New Roman" w:cs="Times New Roman"/>
        </w:rPr>
      </w:pPr>
    </w:p>
    <w:p w14:paraId="128CDB56" w14:textId="5C8D3CF9" w:rsidR="00FD2FB0" w:rsidRPr="00BF710D" w:rsidRDefault="00BF710D" w:rsidP="008C71B4">
      <w:pPr>
        <w:jc w:val="both"/>
        <w:rPr>
          <w:rFonts w:ascii="Times New Roman" w:hAnsi="Times New Roman" w:cs="Times New Roman"/>
          <w:b/>
          <w:bCs/>
        </w:rPr>
      </w:pPr>
      <w:r w:rsidRPr="00BF710D">
        <w:rPr>
          <w:rFonts w:ascii="Times New Roman" w:hAnsi="Times New Roman" w:cs="Times New Roman"/>
          <w:b/>
          <w:bCs/>
        </w:rPr>
        <w:t xml:space="preserve">References: </w:t>
      </w:r>
    </w:p>
    <w:p w14:paraId="22927539" w14:textId="77777777" w:rsidR="00BF710D" w:rsidRPr="008C71B4" w:rsidRDefault="00BF710D" w:rsidP="008C71B4">
      <w:pPr>
        <w:jc w:val="both"/>
        <w:rPr>
          <w:rFonts w:ascii="Times New Roman" w:hAnsi="Times New Roman" w:cs="Times New Roman"/>
        </w:rPr>
      </w:pPr>
    </w:p>
    <w:p w14:paraId="40C71EAD" w14:textId="61E7CE01" w:rsidR="00FD2FB0" w:rsidRPr="003776E7" w:rsidRDefault="00384AB9" w:rsidP="00384AB9">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 xml:space="preserve">Wilhelm MP. Vancomycin. Mayo Clin Proc. 1991 Nov;66(11):1165-70.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10.1016/s0025-6196(12)65799-1. PMID: 1943250.</w:t>
      </w:r>
    </w:p>
    <w:p w14:paraId="0B7FCC16" w14:textId="58F98AEB" w:rsidR="00384AB9" w:rsidRPr="003776E7" w:rsidRDefault="00384AB9" w:rsidP="00384AB9">
      <w:pPr>
        <w:pStyle w:val="ListParagraph"/>
        <w:numPr>
          <w:ilvl w:val="0"/>
          <w:numId w:val="9"/>
        </w:numPr>
        <w:jc w:val="both"/>
        <w:rPr>
          <w:rFonts w:ascii="Times New Roman" w:hAnsi="Times New Roman" w:cs="Times New Roman"/>
          <w:sz w:val="24"/>
          <w:szCs w:val="24"/>
        </w:rPr>
      </w:pPr>
      <w:r w:rsidRPr="00540BBE">
        <w:rPr>
          <w:rFonts w:ascii="Times New Roman" w:hAnsi="Times New Roman" w:cs="Times New Roman"/>
          <w:sz w:val="24"/>
          <w:szCs w:val="24"/>
          <w:lang w:val="de-DE"/>
        </w:rPr>
        <w:t xml:space="preserve">Filippone EJ, Kraft WK, Farber JL. </w:t>
      </w:r>
      <w:r w:rsidRPr="003776E7">
        <w:rPr>
          <w:rFonts w:ascii="Times New Roman" w:hAnsi="Times New Roman" w:cs="Times New Roman"/>
          <w:sz w:val="24"/>
          <w:szCs w:val="24"/>
        </w:rPr>
        <w:t xml:space="preserve">The Nephrotoxicity of Vancomycin. Clin </w:t>
      </w:r>
      <w:proofErr w:type="spellStart"/>
      <w:r w:rsidRPr="003776E7">
        <w:rPr>
          <w:rFonts w:ascii="Times New Roman" w:hAnsi="Times New Roman" w:cs="Times New Roman"/>
          <w:sz w:val="24"/>
          <w:szCs w:val="24"/>
        </w:rPr>
        <w:t>Pharmacol</w:t>
      </w:r>
      <w:proofErr w:type="spellEnd"/>
      <w:r w:rsidRPr="003776E7">
        <w:rPr>
          <w:rFonts w:ascii="Times New Roman" w:hAnsi="Times New Roman" w:cs="Times New Roman"/>
          <w:sz w:val="24"/>
          <w:szCs w:val="24"/>
        </w:rPr>
        <w:t xml:space="preserve"> Ther. 2017 Sep;102(3):459-469.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10.1002/cpt.726.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2017 Jun 5. PMID: 28474732; PMCID: PMC5579760.</w:t>
      </w:r>
    </w:p>
    <w:p w14:paraId="0B6C4528" w14:textId="2B20041D" w:rsidR="00384AB9" w:rsidRPr="003776E7" w:rsidRDefault="00384AB9" w:rsidP="00384AB9">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 xml:space="preserve">Rybak MJ, Le J, Lodise TP, Levine DP, Bradley JS, Liu C, Mueller BA, Pai MP, Wong-Beringer A, </w:t>
      </w:r>
      <w:proofErr w:type="spellStart"/>
      <w:r w:rsidRPr="003776E7">
        <w:rPr>
          <w:rFonts w:ascii="Times New Roman" w:hAnsi="Times New Roman" w:cs="Times New Roman"/>
          <w:sz w:val="24"/>
          <w:szCs w:val="24"/>
        </w:rPr>
        <w:t>Rotschafer</w:t>
      </w:r>
      <w:proofErr w:type="spellEnd"/>
      <w:r w:rsidRPr="003776E7">
        <w:rPr>
          <w:rFonts w:ascii="Times New Roman" w:hAnsi="Times New Roman" w:cs="Times New Roman"/>
          <w:sz w:val="24"/>
          <w:szCs w:val="24"/>
        </w:rPr>
        <w:t xml:space="preserve"> JC, Rodvold KA, Maples HD, </w:t>
      </w:r>
      <w:proofErr w:type="spellStart"/>
      <w:r w:rsidRPr="003776E7">
        <w:rPr>
          <w:rFonts w:ascii="Times New Roman" w:hAnsi="Times New Roman" w:cs="Times New Roman"/>
          <w:sz w:val="24"/>
          <w:szCs w:val="24"/>
        </w:rPr>
        <w:t>Lomaestro</w:t>
      </w:r>
      <w:proofErr w:type="spellEnd"/>
      <w:r w:rsidRPr="003776E7">
        <w:rPr>
          <w:rFonts w:ascii="Times New Roman" w:hAnsi="Times New Roman" w:cs="Times New Roman"/>
          <w:sz w:val="24"/>
          <w:szCs w:val="24"/>
        </w:rPr>
        <w:t xml:space="preserve"> BM. Therapeutic monitoring of vancomycin for serious methicillin-resistant Staphylococcus aureus infections: A revised consensus guideline and review by the American Society of Health-System Pharmacists, the Infectious Diseases Society of America, the Pediatric Infectious Diseases Society, and the Society of Infectious Diseases Pharmacists. Am J Health Syst Pharm. 2020 May 19;77(11):835-864.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10.1093/</w:t>
      </w:r>
      <w:proofErr w:type="spellStart"/>
      <w:r w:rsidRPr="003776E7">
        <w:rPr>
          <w:rFonts w:ascii="Times New Roman" w:hAnsi="Times New Roman" w:cs="Times New Roman"/>
          <w:sz w:val="24"/>
          <w:szCs w:val="24"/>
        </w:rPr>
        <w:t>ajhp</w:t>
      </w:r>
      <w:proofErr w:type="spellEnd"/>
      <w:r w:rsidRPr="003776E7">
        <w:rPr>
          <w:rFonts w:ascii="Times New Roman" w:hAnsi="Times New Roman" w:cs="Times New Roman"/>
          <w:sz w:val="24"/>
          <w:szCs w:val="24"/>
        </w:rPr>
        <w:t>/zxaa036. PMID: 32191793.</w:t>
      </w:r>
    </w:p>
    <w:p w14:paraId="7B0688D3" w14:textId="274B0938" w:rsidR="00FD2A64" w:rsidRPr="003776E7" w:rsidRDefault="00FD2A64" w:rsidP="00FD2A64">
      <w:pPr>
        <w:pStyle w:val="ListParagraph"/>
        <w:numPr>
          <w:ilvl w:val="0"/>
          <w:numId w:val="9"/>
        </w:numPr>
        <w:jc w:val="both"/>
        <w:rPr>
          <w:rFonts w:ascii="Times New Roman" w:hAnsi="Times New Roman" w:cs="Times New Roman"/>
          <w:sz w:val="24"/>
          <w:szCs w:val="24"/>
        </w:rPr>
      </w:pPr>
      <w:proofErr w:type="spellStart"/>
      <w:r w:rsidRPr="003776E7">
        <w:rPr>
          <w:rFonts w:ascii="Times New Roman" w:hAnsi="Times New Roman" w:cs="Times New Roman"/>
          <w:sz w:val="24"/>
          <w:szCs w:val="24"/>
        </w:rPr>
        <w:t>Mergenhagen</w:t>
      </w:r>
      <w:proofErr w:type="spellEnd"/>
      <w:r w:rsidRPr="003776E7">
        <w:rPr>
          <w:rFonts w:ascii="Times New Roman" w:hAnsi="Times New Roman" w:cs="Times New Roman"/>
          <w:sz w:val="24"/>
          <w:szCs w:val="24"/>
        </w:rPr>
        <w:t xml:space="preserve"> KA, Borton AR. Vancomycin nephrotoxicity: a review. J Pharm </w:t>
      </w:r>
      <w:proofErr w:type="spellStart"/>
      <w:r w:rsidRPr="003776E7">
        <w:rPr>
          <w:rFonts w:ascii="Times New Roman" w:hAnsi="Times New Roman" w:cs="Times New Roman"/>
          <w:sz w:val="24"/>
          <w:szCs w:val="24"/>
        </w:rPr>
        <w:t>Pract</w:t>
      </w:r>
      <w:proofErr w:type="spellEnd"/>
      <w:r w:rsidRPr="003776E7">
        <w:rPr>
          <w:rFonts w:ascii="Times New Roman" w:hAnsi="Times New Roman" w:cs="Times New Roman"/>
          <w:sz w:val="24"/>
          <w:szCs w:val="24"/>
        </w:rPr>
        <w:t xml:space="preserve">. 2014 Dec;27(6):545-53.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10.1177/0897190014546114.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2014 Sep 28. PMID: 25266809.</w:t>
      </w:r>
    </w:p>
    <w:p w14:paraId="546BBC95" w14:textId="3D2F03BB" w:rsidR="006222E0" w:rsidRPr="003776E7" w:rsidRDefault="006222E0" w:rsidP="006222E0">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 xml:space="preserve">Carreno JJ, Kenney RM, </w:t>
      </w:r>
      <w:proofErr w:type="spellStart"/>
      <w:r w:rsidRPr="003776E7">
        <w:rPr>
          <w:rFonts w:ascii="Times New Roman" w:hAnsi="Times New Roman" w:cs="Times New Roman"/>
          <w:sz w:val="24"/>
          <w:szCs w:val="24"/>
        </w:rPr>
        <w:t>Lomaestro</w:t>
      </w:r>
      <w:proofErr w:type="spellEnd"/>
      <w:r w:rsidRPr="003776E7">
        <w:rPr>
          <w:rFonts w:ascii="Times New Roman" w:hAnsi="Times New Roman" w:cs="Times New Roman"/>
          <w:sz w:val="24"/>
          <w:szCs w:val="24"/>
        </w:rPr>
        <w:t xml:space="preserve"> B. Vancomycin-associated renal dysfunction: where are we now? Pharmacotherapy. 2014 Dec;34(12):1259-68.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10.1002/phar.1488.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2014 Sep 15. PMID: 25220436.</w:t>
      </w:r>
    </w:p>
    <w:p w14:paraId="512B046E" w14:textId="77777777" w:rsidR="006222E0" w:rsidRPr="003776E7" w:rsidRDefault="006222E0" w:rsidP="006222E0">
      <w:pPr>
        <w:pStyle w:val="ListParagraph"/>
        <w:numPr>
          <w:ilvl w:val="0"/>
          <w:numId w:val="9"/>
        </w:numPr>
        <w:jc w:val="both"/>
        <w:rPr>
          <w:rFonts w:ascii="Times New Roman" w:hAnsi="Times New Roman" w:cs="Times New Roman"/>
          <w:sz w:val="24"/>
          <w:szCs w:val="24"/>
        </w:rPr>
      </w:pPr>
      <w:proofErr w:type="spellStart"/>
      <w:r w:rsidRPr="003776E7">
        <w:rPr>
          <w:rFonts w:ascii="Times New Roman" w:hAnsi="Times New Roman" w:cs="Times New Roman"/>
          <w:sz w:val="24"/>
          <w:szCs w:val="24"/>
        </w:rPr>
        <w:t>Elyasi</w:t>
      </w:r>
      <w:proofErr w:type="spellEnd"/>
      <w:r w:rsidRPr="003776E7">
        <w:rPr>
          <w:rFonts w:ascii="Times New Roman" w:hAnsi="Times New Roman" w:cs="Times New Roman"/>
          <w:sz w:val="24"/>
          <w:szCs w:val="24"/>
        </w:rPr>
        <w:t xml:space="preserve"> S, Khalili H, Dashti-</w:t>
      </w:r>
      <w:proofErr w:type="spellStart"/>
      <w:r w:rsidRPr="003776E7">
        <w:rPr>
          <w:rFonts w:ascii="Times New Roman" w:hAnsi="Times New Roman" w:cs="Times New Roman"/>
          <w:sz w:val="24"/>
          <w:szCs w:val="24"/>
        </w:rPr>
        <w:t>Khavidaki</w:t>
      </w:r>
      <w:proofErr w:type="spellEnd"/>
      <w:r w:rsidRPr="003776E7">
        <w:rPr>
          <w:rFonts w:ascii="Times New Roman" w:hAnsi="Times New Roman" w:cs="Times New Roman"/>
          <w:sz w:val="24"/>
          <w:szCs w:val="24"/>
        </w:rPr>
        <w:t xml:space="preserve"> S, Mohammadpour A. Vancomycin-induced nephrotoxicity: mechanism, incidence, risk factors and special populations. A literature review. </w:t>
      </w:r>
      <w:proofErr w:type="spellStart"/>
      <w:r w:rsidRPr="003776E7">
        <w:rPr>
          <w:rFonts w:ascii="Times New Roman" w:hAnsi="Times New Roman" w:cs="Times New Roman"/>
          <w:sz w:val="24"/>
          <w:szCs w:val="24"/>
        </w:rPr>
        <w:t>Eur</w:t>
      </w:r>
      <w:proofErr w:type="spellEnd"/>
      <w:r w:rsidRPr="003776E7">
        <w:rPr>
          <w:rFonts w:ascii="Times New Roman" w:hAnsi="Times New Roman" w:cs="Times New Roman"/>
          <w:sz w:val="24"/>
          <w:szCs w:val="24"/>
        </w:rPr>
        <w:t xml:space="preserve"> J Clin </w:t>
      </w:r>
      <w:proofErr w:type="spellStart"/>
      <w:r w:rsidRPr="003776E7">
        <w:rPr>
          <w:rFonts w:ascii="Times New Roman" w:hAnsi="Times New Roman" w:cs="Times New Roman"/>
          <w:sz w:val="24"/>
          <w:szCs w:val="24"/>
        </w:rPr>
        <w:t>Pharmacol</w:t>
      </w:r>
      <w:proofErr w:type="spellEnd"/>
      <w:r w:rsidRPr="003776E7">
        <w:rPr>
          <w:rFonts w:ascii="Times New Roman" w:hAnsi="Times New Roman" w:cs="Times New Roman"/>
          <w:sz w:val="24"/>
          <w:szCs w:val="24"/>
        </w:rPr>
        <w:t xml:space="preserve">. 2012 Sep;68(9):1243-55.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10.1007/s00228-012-1259-9.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2012 Mar 13. PMID: 22411630.</w:t>
      </w:r>
    </w:p>
    <w:p w14:paraId="511FC2B0" w14:textId="7C9A93F4" w:rsidR="00384AB9" w:rsidRPr="003776E7" w:rsidRDefault="00384AB9" w:rsidP="006222E0">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 xml:space="preserve">Burgess LD, Drew RH. Comparison of the incidence of vancomycin-induced nephrotoxicity in hospitalized patients with and without concomitant piperacillin-tazobactam. Pharmacotherapy. 2014 Jul;34(7):670-6.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10.1002/phar.1442.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2014 May 22. PMID: 24855041.</w:t>
      </w:r>
    </w:p>
    <w:p w14:paraId="49EBFAF8" w14:textId="7B425AC9" w:rsidR="006222E0" w:rsidRPr="003776E7" w:rsidRDefault="006222E0" w:rsidP="006222E0">
      <w:pPr>
        <w:pStyle w:val="ListParagraph"/>
        <w:numPr>
          <w:ilvl w:val="0"/>
          <w:numId w:val="9"/>
        </w:numPr>
        <w:jc w:val="both"/>
        <w:rPr>
          <w:rFonts w:ascii="Times New Roman" w:hAnsi="Times New Roman" w:cs="Times New Roman"/>
          <w:sz w:val="24"/>
          <w:szCs w:val="24"/>
        </w:rPr>
      </w:pPr>
      <w:proofErr w:type="spellStart"/>
      <w:r w:rsidRPr="003776E7">
        <w:rPr>
          <w:rFonts w:ascii="Times New Roman" w:hAnsi="Times New Roman" w:cs="Times New Roman"/>
          <w:sz w:val="24"/>
          <w:szCs w:val="24"/>
        </w:rPr>
        <w:t>Lanckohr</w:t>
      </w:r>
      <w:proofErr w:type="spellEnd"/>
      <w:r w:rsidRPr="003776E7">
        <w:rPr>
          <w:rFonts w:ascii="Times New Roman" w:hAnsi="Times New Roman" w:cs="Times New Roman"/>
          <w:sz w:val="24"/>
          <w:szCs w:val="24"/>
        </w:rPr>
        <w:t xml:space="preserve"> C, Bracht H. Antimicrobial stewardship. Curr </w:t>
      </w:r>
      <w:proofErr w:type="spellStart"/>
      <w:r w:rsidRPr="003776E7">
        <w:rPr>
          <w:rFonts w:ascii="Times New Roman" w:hAnsi="Times New Roman" w:cs="Times New Roman"/>
          <w:sz w:val="24"/>
          <w:szCs w:val="24"/>
        </w:rPr>
        <w:t>Opin</w:t>
      </w:r>
      <w:proofErr w:type="spellEnd"/>
      <w:r w:rsidRPr="003776E7">
        <w:rPr>
          <w:rFonts w:ascii="Times New Roman" w:hAnsi="Times New Roman" w:cs="Times New Roman"/>
          <w:sz w:val="24"/>
          <w:szCs w:val="24"/>
        </w:rPr>
        <w:t xml:space="preserve"> Crit Care. 2022 Oct 1;28(5):551-556.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10.1097/MCC.0000000000000967.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2022 Aug 4. PMID: 35942707.</w:t>
      </w:r>
    </w:p>
    <w:p w14:paraId="74D181DD" w14:textId="23E14819" w:rsidR="006222E0" w:rsidRPr="003776E7" w:rsidRDefault="006222E0" w:rsidP="006222E0">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 xml:space="preserve">Brotherton AL. Metrics of Antimicrobial Stewardship Programs. Med Clin North Am. 2018 Sep;102(5):965-976.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10.1016/j.mcna.2018.05.008.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2018 Jul 14. PMID: 30126585.</w:t>
      </w:r>
    </w:p>
    <w:p w14:paraId="51A1E032" w14:textId="37E0861E" w:rsidR="00D72C79" w:rsidRPr="005210CB" w:rsidRDefault="006222E0" w:rsidP="005210CB">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lastRenderedPageBreak/>
        <w:t xml:space="preserve">Kellum JA, </w:t>
      </w:r>
      <w:proofErr w:type="spellStart"/>
      <w:r w:rsidRPr="003776E7">
        <w:rPr>
          <w:rFonts w:ascii="Times New Roman" w:hAnsi="Times New Roman" w:cs="Times New Roman"/>
          <w:sz w:val="24"/>
          <w:szCs w:val="24"/>
        </w:rPr>
        <w:t>Lameire</w:t>
      </w:r>
      <w:proofErr w:type="spellEnd"/>
      <w:r w:rsidRPr="003776E7">
        <w:rPr>
          <w:rFonts w:ascii="Times New Roman" w:hAnsi="Times New Roman" w:cs="Times New Roman"/>
          <w:sz w:val="24"/>
          <w:szCs w:val="24"/>
        </w:rPr>
        <w:t xml:space="preserve"> N; KDIGO AKI Guideline Work Group. Diagnosis, evaluation, and management of acute kidney injury: a KDIGO summary (Part 1). Crit Care. 2013 Feb 4;17(1):204.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10.1186/cc11454. PMID: 23394211; PMCID: PMC4057151.</w:t>
      </w:r>
    </w:p>
    <w:sectPr w:rsidR="00D72C79" w:rsidRPr="005210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A6991" w14:textId="77777777" w:rsidR="00501F38" w:rsidRDefault="00501F38" w:rsidP="00540BBE">
      <w:pPr>
        <w:spacing w:after="0" w:line="240" w:lineRule="auto"/>
      </w:pPr>
      <w:r>
        <w:separator/>
      </w:r>
    </w:p>
  </w:endnote>
  <w:endnote w:type="continuationSeparator" w:id="0">
    <w:p w14:paraId="6253FA14" w14:textId="77777777" w:rsidR="00501F38" w:rsidRDefault="00501F38" w:rsidP="0054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0A60E" w14:textId="77777777" w:rsidR="00540BBE" w:rsidRDefault="00540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76347" w14:textId="77777777" w:rsidR="00540BBE" w:rsidRDefault="00540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76654" w14:textId="77777777" w:rsidR="00540BBE" w:rsidRDefault="00540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B69A6" w14:textId="77777777" w:rsidR="00501F38" w:rsidRDefault="00501F38" w:rsidP="00540BBE">
      <w:pPr>
        <w:spacing w:after="0" w:line="240" w:lineRule="auto"/>
      </w:pPr>
      <w:r>
        <w:separator/>
      </w:r>
    </w:p>
  </w:footnote>
  <w:footnote w:type="continuationSeparator" w:id="0">
    <w:p w14:paraId="203F7711" w14:textId="77777777" w:rsidR="00501F38" w:rsidRDefault="00501F38" w:rsidP="00540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2DA15" w14:textId="244A90F8" w:rsidR="00540BBE" w:rsidRDefault="00540BBE">
    <w:pPr>
      <w:pStyle w:val="Header"/>
    </w:pPr>
    <w:r>
      <w:rPr>
        <w:noProof/>
      </w:rPr>
      <w:pict w14:anchorId="75E31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62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F0F75" w14:textId="14757029" w:rsidR="00540BBE" w:rsidRDefault="00540BBE">
    <w:pPr>
      <w:pStyle w:val="Header"/>
    </w:pPr>
    <w:r>
      <w:rPr>
        <w:noProof/>
      </w:rPr>
      <w:pict w14:anchorId="0A69B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62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58D86" w14:textId="5801F088" w:rsidR="00540BBE" w:rsidRDefault="00540BBE">
    <w:pPr>
      <w:pStyle w:val="Header"/>
    </w:pPr>
    <w:r>
      <w:rPr>
        <w:noProof/>
      </w:rPr>
      <w:pict w14:anchorId="64241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62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60F5D"/>
    <w:multiLevelType w:val="multilevel"/>
    <w:tmpl w:val="8D9050B6"/>
    <w:lvl w:ilvl="0">
      <w:start w:val="1"/>
      <w:numFmt w:val="upperLetter"/>
      <w:lvlText w:val="%1."/>
      <w:lvlJc w:val="left"/>
      <w:pPr>
        <w:tabs>
          <w:tab w:val="num" w:pos="630"/>
        </w:tabs>
        <w:ind w:left="630" w:hanging="360"/>
      </w:pPr>
      <w:rPr>
        <w:rFonts w:ascii="Times New Roman" w:eastAsia="Times New Roman" w:hAnsi="Times New Roman" w:cs="Times New Roman"/>
      </w:rPr>
    </w:lvl>
    <w:lvl w:ilvl="1">
      <w:start w:val="1"/>
      <w:numFmt w:val="bullet"/>
      <w:lvlText w:val="-"/>
      <w:lvlJc w:val="left"/>
      <w:pPr>
        <w:ind w:left="1350" w:hanging="360"/>
      </w:pPr>
      <w:rPr>
        <w:rFonts w:ascii="Times New Roman" w:eastAsia="Times New Roman" w:hAnsi="Times New Roman" w:cs="Times New Roman" w:hint="default"/>
        <w:b w:val="0"/>
        <w:sz w:val="24"/>
      </w:r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 w15:restartNumberingAfterBreak="0">
    <w:nsid w:val="234E17BF"/>
    <w:multiLevelType w:val="hybridMultilevel"/>
    <w:tmpl w:val="AF1EAF4A"/>
    <w:lvl w:ilvl="0" w:tplc="3036F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6482B"/>
    <w:multiLevelType w:val="hybridMultilevel"/>
    <w:tmpl w:val="807483D4"/>
    <w:lvl w:ilvl="0" w:tplc="FA5EA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2F52"/>
    <w:multiLevelType w:val="multilevel"/>
    <w:tmpl w:val="0FFE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9E5D18"/>
    <w:multiLevelType w:val="multilevel"/>
    <w:tmpl w:val="711E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A324C"/>
    <w:multiLevelType w:val="hybridMultilevel"/>
    <w:tmpl w:val="4F5E5174"/>
    <w:lvl w:ilvl="0" w:tplc="D166BDD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A5C1E"/>
    <w:multiLevelType w:val="hybridMultilevel"/>
    <w:tmpl w:val="11F06B3E"/>
    <w:lvl w:ilvl="0" w:tplc="3CAE5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C6659"/>
    <w:multiLevelType w:val="hybridMultilevel"/>
    <w:tmpl w:val="6F905D20"/>
    <w:lvl w:ilvl="0" w:tplc="61D6C6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9425ED"/>
    <w:multiLevelType w:val="hybridMultilevel"/>
    <w:tmpl w:val="81C2978E"/>
    <w:lvl w:ilvl="0" w:tplc="265CD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C04B39"/>
    <w:multiLevelType w:val="hybridMultilevel"/>
    <w:tmpl w:val="8048EA16"/>
    <w:lvl w:ilvl="0" w:tplc="02DE661A">
      <w:start w:val="1"/>
      <w:numFmt w:val="upperLetter"/>
      <w:lvlText w:val="%1-"/>
      <w:lvlJc w:val="left"/>
      <w:pPr>
        <w:ind w:left="1530" w:hanging="360"/>
      </w:pPr>
      <w:rPr>
        <w:rFonts w:ascii="Times New Roman" w:eastAsia="Times New Roman"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408042376">
    <w:abstractNumId w:val="4"/>
  </w:num>
  <w:num w:numId="2" w16cid:durableId="798494286">
    <w:abstractNumId w:val="3"/>
  </w:num>
  <w:num w:numId="3" w16cid:durableId="1460298780">
    <w:abstractNumId w:val="0"/>
  </w:num>
  <w:num w:numId="4" w16cid:durableId="1237089024">
    <w:abstractNumId w:val="7"/>
  </w:num>
  <w:num w:numId="5" w16cid:durableId="425810458">
    <w:abstractNumId w:val="6"/>
  </w:num>
  <w:num w:numId="6" w16cid:durableId="1735813781">
    <w:abstractNumId w:val="9"/>
  </w:num>
  <w:num w:numId="7" w16cid:durableId="520054218">
    <w:abstractNumId w:val="2"/>
  </w:num>
  <w:num w:numId="8" w16cid:durableId="22752622">
    <w:abstractNumId w:val="8"/>
  </w:num>
  <w:num w:numId="9" w16cid:durableId="622660245">
    <w:abstractNumId w:val="1"/>
  </w:num>
  <w:num w:numId="10" w16cid:durableId="1429277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B1"/>
    <w:rsid w:val="00057070"/>
    <w:rsid w:val="000B1B7D"/>
    <w:rsid w:val="000C0CB9"/>
    <w:rsid w:val="000D6538"/>
    <w:rsid w:val="00172E5B"/>
    <w:rsid w:val="00192180"/>
    <w:rsid w:val="001B1929"/>
    <w:rsid w:val="001E5240"/>
    <w:rsid w:val="002108F8"/>
    <w:rsid w:val="002B475D"/>
    <w:rsid w:val="002F375B"/>
    <w:rsid w:val="003776E7"/>
    <w:rsid w:val="00380580"/>
    <w:rsid w:val="00384AB9"/>
    <w:rsid w:val="003A720D"/>
    <w:rsid w:val="003E07A8"/>
    <w:rsid w:val="00475728"/>
    <w:rsid w:val="004F23A6"/>
    <w:rsid w:val="004F6BCE"/>
    <w:rsid w:val="00501F38"/>
    <w:rsid w:val="005210CB"/>
    <w:rsid w:val="00540BBE"/>
    <w:rsid w:val="00556542"/>
    <w:rsid w:val="005845A5"/>
    <w:rsid w:val="005C5189"/>
    <w:rsid w:val="00607153"/>
    <w:rsid w:val="006222E0"/>
    <w:rsid w:val="00695388"/>
    <w:rsid w:val="006C54D0"/>
    <w:rsid w:val="006D2114"/>
    <w:rsid w:val="00711E9A"/>
    <w:rsid w:val="007921A5"/>
    <w:rsid w:val="007D664C"/>
    <w:rsid w:val="008C71B4"/>
    <w:rsid w:val="00962CF4"/>
    <w:rsid w:val="00976BE7"/>
    <w:rsid w:val="009F4C02"/>
    <w:rsid w:val="00A2265E"/>
    <w:rsid w:val="00A277D7"/>
    <w:rsid w:val="00A46749"/>
    <w:rsid w:val="00A6690B"/>
    <w:rsid w:val="00B06BB5"/>
    <w:rsid w:val="00B662B7"/>
    <w:rsid w:val="00B77A88"/>
    <w:rsid w:val="00BF1921"/>
    <w:rsid w:val="00BF710D"/>
    <w:rsid w:val="00C5236A"/>
    <w:rsid w:val="00C52919"/>
    <w:rsid w:val="00CB2C27"/>
    <w:rsid w:val="00CC7AA1"/>
    <w:rsid w:val="00D72C79"/>
    <w:rsid w:val="00D96C8D"/>
    <w:rsid w:val="00DF65DA"/>
    <w:rsid w:val="00E331A5"/>
    <w:rsid w:val="00E4132F"/>
    <w:rsid w:val="00E44919"/>
    <w:rsid w:val="00EF0A39"/>
    <w:rsid w:val="00F705B1"/>
    <w:rsid w:val="00F95904"/>
    <w:rsid w:val="00FD2A64"/>
    <w:rsid w:val="00FD2FB0"/>
    <w:rsid w:val="00FD7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62EE2"/>
  <w15:chartTrackingRefBased/>
  <w15:docId w15:val="{3724C3C2-C6FF-4D47-9436-2E3DEEA5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705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05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B1B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05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05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705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05B1"/>
    <w:rPr>
      <w:b/>
      <w:bCs/>
    </w:rPr>
  </w:style>
  <w:style w:type="character" w:customStyle="1" w:styleId="katex-mathml">
    <w:name w:val="katex-mathml"/>
    <w:basedOn w:val="DefaultParagraphFont"/>
    <w:rsid w:val="00F705B1"/>
  </w:style>
  <w:style w:type="character" w:customStyle="1" w:styleId="mord">
    <w:name w:val="mord"/>
    <w:basedOn w:val="DefaultParagraphFont"/>
    <w:rsid w:val="00F705B1"/>
  </w:style>
  <w:style w:type="character" w:customStyle="1" w:styleId="mspace">
    <w:name w:val="mspace"/>
    <w:basedOn w:val="DefaultParagraphFont"/>
    <w:rsid w:val="00F705B1"/>
  </w:style>
  <w:style w:type="character" w:customStyle="1" w:styleId="mrel">
    <w:name w:val="mrel"/>
    <w:basedOn w:val="DefaultParagraphFont"/>
    <w:rsid w:val="00F705B1"/>
  </w:style>
  <w:style w:type="character" w:customStyle="1" w:styleId="mopen">
    <w:name w:val="mopen"/>
    <w:basedOn w:val="DefaultParagraphFont"/>
    <w:rsid w:val="00F705B1"/>
  </w:style>
  <w:style w:type="character" w:customStyle="1" w:styleId="mbin">
    <w:name w:val="mbin"/>
    <w:basedOn w:val="DefaultParagraphFont"/>
    <w:rsid w:val="00F705B1"/>
  </w:style>
  <w:style w:type="character" w:customStyle="1" w:styleId="mclose">
    <w:name w:val="mclose"/>
    <w:basedOn w:val="DefaultParagraphFont"/>
    <w:rsid w:val="00F705B1"/>
  </w:style>
  <w:style w:type="character" w:customStyle="1" w:styleId="vlist-s">
    <w:name w:val="vlist-s"/>
    <w:basedOn w:val="DefaultParagraphFont"/>
    <w:rsid w:val="00F705B1"/>
  </w:style>
  <w:style w:type="character" w:customStyle="1" w:styleId="Heading4Char">
    <w:name w:val="Heading 4 Char"/>
    <w:basedOn w:val="DefaultParagraphFont"/>
    <w:link w:val="Heading4"/>
    <w:uiPriority w:val="9"/>
    <w:semiHidden/>
    <w:rsid w:val="000B1B7D"/>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75728"/>
    <w:pPr>
      <w:ind w:left="720"/>
      <w:contextualSpacing/>
    </w:pPr>
  </w:style>
  <w:style w:type="table" w:styleId="TableGrid">
    <w:name w:val="Table Grid"/>
    <w:basedOn w:val="TableNormal"/>
    <w:uiPriority w:val="39"/>
    <w:rsid w:val="00C52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CB9"/>
    <w:rPr>
      <w:color w:val="0563C1" w:themeColor="hyperlink"/>
      <w:u w:val="single"/>
    </w:rPr>
  </w:style>
  <w:style w:type="character" w:styleId="UnresolvedMention">
    <w:name w:val="Unresolved Mention"/>
    <w:basedOn w:val="DefaultParagraphFont"/>
    <w:uiPriority w:val="99"/>
    <w:semiHidden/>
    <w:unhideWhenUsed/>
    <w:rsid w:val="000C0CB9"/>
    <w:rPr>
      <w:color w:val="605E5C"/>
      <w:shd w:val="clear" w:color="auto" w:fill="E1DFDD"/>
    </w:rPr>
  </w:style>
  <w:style w:type="character" w:customStyle="1" w:styleId="go">
    <w:name w:val="go"/>
    <w:basedOn w:val="DefaultParagraphFont"/>
    <w:rsid w:val="004F6BCE"/>
  </w:style>
  <w:style w:type="paragraph" w:styleId="Header">
    <w:name w:val="header"/>
    <w:basedOn w:val="Normal"/>
    <w:link w:val="HeaderChar"/>
    <w:uiPriority w:val="99"/>
    <w:unhideWhenUsed/>
    <w:rsid w:val="00540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BBE"/>
  </w:style>
  <w:style w:type="paragraph" w:styleId="Footer">
    <w:name w:val="footer"/>
    <w:basedOn w:val="Normal"/>
    <w:link w:val="FooterChar"/>
    <w:uiPriority w:val="99"/>
    <w:unhideWhenUsed/>
    <w:rsid w:val="00540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71652">
      <w:bodyDiv w:val="1"/>
      <w:marLeft w:val="0"/>
      <w:marRight w:val="0"/>
      <w:marTop w:val="0"/>
      <w:marBottom w:val="0"/>
      <w:divBdr>
        <w:top w:val="none" w:sz="0" w:space="0" w:color="auto"/>
        <w:left w:val="none" w:sz="0" w:space="0" w:color="auto"/>
        <w:bottom w:val="none" w:sz="0" w:space="0" w:color="auto"/>
        <w:right w:val="none" w:sz="0" w:space="0" w:color="auto"/>
      </w:divBdr>
    </w:div>
    <w:div w:id="384373889">
      <w:bodyDiv w:val="1"/>
      <w:marLeft w:val="0"/>
      <w:marRight w:val="0"/>
      <w:marTop w:val="0"/>
      <w:marBottom w:val="0"/>
      <w:divBdr>
        <w:top w:val="none" w:sz="0" w:space="0" w:color="auto"/>
        <w:left w:val="none" w:sz="0" w:space="0" w:color="auto"/>
        <w:bottom w:val="none" w:sz="0" w:space="0" w:color="auto"/>
        <w:right w:val="none" w:sz="0" w:space="0" w:color="auto"/>
      </w:divBdr>
    </w:div>
    <w:div w:id="479423330">
      <w:bodyDiv w:val="1"/>
      <w:marLeft w:val="0"/>
      <w:marRight w:val="0"/>
      <w:marTop w:val="0"/>
      <w:marBottom w:val="0"/>
      <w:divBdr>
        <w:top w:val="none" w:sz="0" w:space="0" w:color="auto"/>
        <w:left w:val="none" w:sz="0" w:space="0" w:color="auto"/>
        <w:bottom w:val="none" w:sz="0" w:space="0" w:color="auto"/>
        <w:right w:val="none" w:sz="0" w:space="0" w:color="auto"/>
      </w:divBdr>
    </w:div>
    <w:div w:id="723871489">
      <w:bodyDiv w:val="1"/>
      <w:marLeft w:val="0"/>
      <w:marRight w:val="0"/>
      <w:marTop w:val="0"/>
      <w:marBottom w:val="0"/>
      <w:divBdr>
        <w:top w:val="none" w:sz="0" w:space="0" w:color="auto"/>
        <w:left w:val="none" w:sz="0" w:space="0" w:color="auto"/>
        <w:bottom w:val="none" w:sz="0" w:space="0" w:color="auto"/>
        <w:right w:val="none" w:sz="0" w:space="0" w:color="auto"/>
      </w:divBdr>
    </w:div>
    <w:div w:id="770972879">
      <w:bodyDiv w:val="1"/>
      <w:marLeft w:val="0"/>
      <w:marRight w:val="0"/>
      <w:marTop w:val="0"/>
      <w:marBottom w:val="0"/>
      <w:divBdr>
        <w:top w:val="none" w:sz="0" w:space="0" w:color="auto"/>
        <w:left w:val="none" w:sz="0" w:space="0" w:color="auto"/>
        <w:bottom w:val="none" w:sz="0" w:space="0" w:color="auto"/>
        <w:right w:val="none" w:sz="0" w:space="0" w:color="auto"/>
      </w:divBdr>
    </w:div>
    <w:div w:id="844829103">
      <w:bodyDiv w:val="1"/>
      <w:marLeft w:val="0"/>
      <w:marRight w:val="0"/>
      <w:marTop w:val="0"/>
      <w:marBottom w:val="0"/>
      <w:divBdr>
        <w:top w:val="none" w:sz="0" w:space="0" w:color="auto"/>
        <w:left w:val="none" w:sz="0" w:space="0" w:color="auto"/>
        <w:bottom w:val="none" w:sz="0" w:space="0" w:color="auto"/>
        <w:right w:val="none" w:sz="0" w:space="0" w:color="auto"/>
      </w:divBdr>
    </w:div>
    <w:div w:id="1060904724">
      <w:bodyDiv w:val="1"/>
      <w:marLeft w:val="0"/>
      <w:marRight w:val="0"/>
      <w:marTop w:val="0"/>
      <w:marBottom w:val="0"/>
      <w:divBdr>
        <w:top w:val="none" w:sz="0" w:space="0" w:color="auto"/>
        <w:left w:val="none" w:sz="0" w:space="0" w:color="auto"/>
        <w:bottom w:val="none" w:sz="0" w:space="0" w:color="auto"/>
        <w:right w:val="none" w:sz="0" w:space="0" w:color="auto"/>
      </w:divBdr>
    </w:div>
    <w:div w:id="1114865526">
      <w:bodyDiv w:val="1"/>
      <w:marLeft w:val="0"/>
      <w:marRight w:val="0"/>
      <w:marTop w:val="0"/>
      <w:marBottom w:val="0"/>
      <w:divBdr>
        <w:top w:val="none" w:sz="0" w:space="0" w:color="auto"/>
        <w:left w:val="none" w:sz="0" w:space="0" w:color="auto"/>
        <w:bottom w:val="none" w:sz="0" w:space="0" w:color="auto"/>
        <w:right w:val="none" w:sz="0" w:space="0" w:color="auto"/>
      </w:divBdr>
    </w:div>
    <w:div w:id="1291203715">
      <w:bodyDiv w:val="1"/>
      <w:marLeft w:val="0"/>
      <w:marRight w:val="0"/>
      <w:marTop w:val="0"/>
      <w:marBottom w:val="0"/>
      <w:divBdr>
        <w:top w:val="none" w:sz="0" w:space="0" w:color="auto"/>
        <w:left w:val="none" w:sz="0" w:space="0" w:color="auto"/>
        <w:bottom w:val="none" w:sz="0" w:space="0" w:color="auto"/>
        <w:right w:val="none" w:sz="0" w:space="0" w:color="auto"/>
      </w:divBdr>
    </w:div>
    <w:div w:id="1316303534">
      <w:bodyDiv w:val="1"/>
      <w:marLeft w:val="0"/>
      <w:marRight w:val="0"/>
      <w:marTop w:val="0"/>
      <w:marBottom w:val="0"/>
      <w:divBdr>
        <w:top w:val="none" w:sz="0" w:space="0" w:color="auto"/>
        <w:left w:val="none" w:sz="0" w:space="0" w:color="auto"/>
        <w:bottom w:val="none" w:sz="0" w:space="0" w:color="auto"/>
        <w:right w:val="none" w:sz="0" w:space="0" w:color="auto"/>
      </w:divBdr>
    </w:div>
    <w:div w:id="1429615282">
      <w:bodyDiv w:val="1"/>
      <w:marLeft w:val="0"/>
      <w:marRight w:val="0"/>
      <w:marTop w:val="0"/>
      <w:marBottom w:val="0"/>
      <w:divBdr>
        <w:top w:val="none" w:sz="0" w:space="0" w:color="auto"/>
        <w:left w:val="none" w:sz="0" w:space="0" w:color="auto"/>
        <w:bottom w:val="none" w:sz="0" w:space="0" w:color="auto"/>
        <w:right w:val="none" w:sz="0" w:space="0" w:color="auto"/>
      </w:divBdr>
    </w:div>
    <w:div w:id="1627613697">
      <w:bodyDiv w:val="1"/>
      <w:marLeft w:val="0"/>
      <w:marRight w:val="0"/>
      <w:marTop w:val="0"/>
      <w:marBottom w:val="0"/>
      <w:divBdr>
        <w:top w:val="none" w:sz="0" w:space="0" w:color="auto"/>
        <w:left w:val="none" w:sz="0" w:space="0" w:color="auto"/>
        <w:bottom w:val="none" w:sz="0" w:space="0" w:color="auto"/>
        <w:right w:val="none" w:sz="0" w:space="0" w:color="auto"/>
      </w:divBdr>
    </w:div>
    <w:div w:id="20522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B51D-F3E2-4D64-B890-A20DFD58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Holyoke Medical Center</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Yazan Batarseh</dc:creator>
  <cp:keywords/>
  <dc:description/>
  <cp:lastModifiedBy>Editor-23</cp:lastModifiedBy>
  <cp:revision>16</cp:revision>
  <dcterms:created xsi:type="dcterms:W3CDTF">2024-09-29T18:59:00Z</dcterms:created>
  <dcterms:modified xsi:type="dcterms:W3CDTF">2024-10-05T06:39:00Z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46e34bec4bdc639a9771ff723063f7bdf700f10da8e92311b35b9c265e14c3fd</vt:lpwstr>
  </property>
</Properties>
</file>