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52EA" w:rsidRDefault="002953DC">
      <w:pPr>
        <w:spacing w:before="100" w:beforeAutospacing="1" w:after="100" w:afterAutospacing="1" w:line="240" w:lineRule="auto"/>
        <w:jc w:val="center"/>
        <w:outlineLvl w:val="1"/>
        <w:rPr>
          <w:rFonts w:ascii="Times New Roman" w:eastAsia="Times New Roman" w:hAnsi="Times New Roman" w:cs="Times New Roman"/>
          <w:b/>
          <w:bCs/>
          <w:sz w:val="24"/>
          <w:szCs w:val="24"/>
        </w:rPr>
      </w:pPr>
      <w:r>
        <w:rPr>
          <w:rFonts w:ascii="Times New Roman" w:hAnsi="Times New Roman" w:cs="Times New Roman"/>
          <w:b/>
          <w:sz w:val="24"/>
          <w:szCs w:val="24"/>
        </w:rPr>
        <w:t>Environmental Sustainability and Home Management Practices in the Niger Delta: An Empirical Study of Waste Management and Recycling</w:t>
      </w:r>
    </w:p>
    <w:p w:rsidR="00933A62" w:rsidRDefault="00933A62">
      <w:pPr>
        <w:spacing w:before="100" w:beforeAutospacing="1" w:after="100" w:afterAutospacing="1"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p>
    <w:p w:rsidR="00DF52EA" w:rsidRDefault="002953DC">
      <w:pPr>
        <w:spacing w:before="100" w:beforeAutospacing="1" w:after="100" w:afterAutospacing="1" w:line="24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Abstract</w:t>
      </w:r>
    </w:p>
    <w:p w:rsidR="00DF52EA" w:rsidRDefault="002953DC">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investigated the role of home-management practices in promoting environmental sustainability in the Niger Delta, with a primary focus on household waste management and recycling. Using a completed explanatory sequential mixed-methods design, the research combined a cross-sectional survey of approximately 500 households drawn from urban, peri-urban and rural communities across three Niger Delta states with 30 in-depth interviews and six focus group discussions. Quantitative data were analyzed in SPSS and Stata (descriptive statistics, chi-square tests, ANOVA, and multivariable logistic and multilevel regression models), while qualitative data were coded and thematically evaluated in NVivo; findings were integrated through joint displays. Results showed that, although environmental awareness was widespread, consistent household waste segregation and forma</w:t>
      </w:r>
      <w:bookmarkStart w:id="0" w:name="_GoBack"/>
      <w:bookmarkEnd w:id="0"/>
      <w:r>
        <w:rPr>
          <w:rFonts w:ascii="Times New Roman" w:eastAsia="Times New Roman" w:hAnsi="Times New Roman" w:cs="Times New Roman"/>
          <w:sz w:val="24"/>
          <w:szCs w:val="24"/>
        </w:rPr>
        <w:t xml:space="preserve">l recycling participation were limited. Access to reliable municipal collection, higher educational attainment, household income, and proximity to recycling points were significant predictors of positive waste-management </w:t>
      </w:r>
      <w:proofErr w:type="spellStart"/>
      <w:r>
        <w:rPr>
          <w:rFonts w:ascii="Times New Roman" w:eastAsia="Times New Roman" w:hAnsi="Times New Roman" w:cs="Times New Roman"/>
          <w:sz w:val="24"/>
          <w:szCs w:val="24"/>
        </w:rPr>
        <w:t>behaviours</w:t>
      </w:r>
      <w:proofErr w:type="spellEnd"/>
      <w:r>
        <w:rPr>
          <w:rFonts w:ascii="Times New Roman" w:eastAsia="Times New Roman" w:hAnsi="Times New Roman" w:cs="Times New Roman"/>
          <w:sz w:val="24"/>
          <w:szCs w:val="24"/>
        </w:rPr>
        <w:t>, while inadequate infrastructure, irregular collection services, weak market incentives for recyclables, and certain cultural practices acted as major barriers. Communities with active cooperative arrangements and locally driven innovations demonstrated higher rates of reuse and informal recycling, which translated into measurable improvements in household waste handling and local cleanliness indices. The study concluded that enhancing municipal service delivery, creating market incentives for recyclables, scaling community-led initiatives, and integrating indigenous practices into formal waste strategies are critical to strengthening household contributions to sustainability in the Niger Delta. Findings contribute empirical, policy-relevant evidence on the household dimensions of environmental management in a high-risk ecological region and inform targeted interventions for sustainable waste governance.</w:t>
      </w:r>
    </w:p>
    <w:p w:rsidR="00DF52EA" w:rsidRDefault="002953D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Keywords</w:t>
      </w:r>
      <w:r>
        <w:rPr>
          <w:rFonts w:ascii="Times New Roman" w:eastAsia="Times New Roman" w:hAnsi="Times New Roman" w:cs="Times New Roman"/>
          <w:sz w:val="24"/>
          <w:szCs w:val="24"/>
        </w:rPr>
        <w:t>: Environmental sustainability; Home management; Niger Delta; Recycling; Waste management</w:t>
      </w:r>
    </w:p>
    <w:p w:rsidR="00DF52EA" w:rsidRDefault="00DF52EA"/>
    <w:p w:rsidR="00DF52EA" w:rsidRDefault="00DF52EA"/>
    <w:p w:rsidR="00DF52EA" w:rsidRDefault="002953DC">
      <w:pPr>
        <w:pStyle w:val="Heading2"/>
        <w:numPr>
          <w:ilvl w:val="0"/>
          <w:numId w:val="8"/>
        </w:numPr>
        <w:rPr>
          <w:sz w:val="24"/>
          <w:szCs w:val="24"/>
        </w:rPr>
      </w:pPr>
      <w:r>
        <w:rPr>
          <w:sz w:val="24"/>
          <w:szCs w:val="24"/>
        </w:rPr>
        <w:t>Introduction</w:t>
      </w:r>
    </w:p>
    <w:p w:rsidR="00DF52EA" w:rsidRDefault="002953DC">
      <w:pPr>
        <w:pStyle w:val="NormalWeb"/>
        <w:spacing w:line="480" w:lineRule="auto"/>
        <w:jc w:val="both"/>
      </w:pPr>
      <w:r>
        <w:t xml:space="preserve">Environmental sustainability is becoming increasingly urgent in Nigeria, where urbanization, population growth, and industrial activities are placing escalating pressure on natural ecosystems and waste management systems. The Niger Delta region, rich in biodiversity and a major oil </w:t>
      </w:r>
      <w:r>
        <w:lastRenderedPageBreak/>
        <w:t>producing area, is particularly vulnerable to environmental degradation through both industrial pollution and inadequately managed domestic waste. While much attention has focused on oil spills and water contamination, less empirical focus has been placed on how household home-management practices especially waste generation, disposal, and recycling impact sustainability in the region.</w:t>
      </w:r>
    </w:p>
    <w:p w:rsidR="00DF52EA" w:rsidRDefault="002953DC">
      <w:pPr>
        <w:pStyle w:val="NormalWeb"/>
        <w:spacing w:line="480" w:lineRule="auto"/>
        <w:jc w:val="both"/>
      </w:pPr>
      <w:r>
        <w:t xml:space="preserve">Studies in the Niger Delta have shown that solid waste generated at the community level is often predominately organic, with recyclables forming a smaller, though non-negligible, component. For example, in the </w:t>
      </w:r>
      <w:proofErr w:type="spellStart"/>
      <w:r>
        <w:t>Ogbe-Ijoh</w:t>
      </w:r>
      <w:proofErr w:type="spellEnd"/>
      <w:r>
        <w:t xml:space="preserve"> community of Delta State, organic waste made up about 77% by weight of solid waste, while recyclable materials (plastic, paper, metal) constituted about 14% (Journal of Material Cycles and Waste Management, 2015). Likewise, a characterization study of 100 households in </w:t>
      </w:r>
      <w:proofErr w:type="spellStart"/>
      <w:r>
        <w:t>Yenagoa</w:t>
      </w:r>
      <w:proofErr w:type="spellEnd"/>
      <w:r>
        <w:t xml:space="preserve"> Metropolis revealed that food and garden wastes made up the largest proportion of household solid waste streams, followed by plastics/rubber, paper, glass/ceramics, metals, and wood, with variations between dry and wet seasons (</w:t>
      </w:r>
      <w:proofErr w:type="spellStart"/>
      <w:r>
        <w:t>Angaye</w:t>
      </w:r>
      <w:proofErr w:type="spellEnd"/>
      <w:r>
        <w:t xml:space="preserve"> et al., 2017).</w:t>
      </w:r>
    </w:p>
    <w:p w:rsidR="00DF52EA" w:rsidRDefault="002953DC">
      <w:pPr>
        <w:pStyle w:val="NormalWeb"/>
        <w:spacing w:line="480" w:lineRule="auto"/>
        <w:jc w:val="both"/>
      </w:pPr>
      <w:r>
        <w:t xml:space="preserve">Despite these findings, waste management in many parts of the Niger Delta remains inefficient. A study in </w:t>
      </w:r>
      <w:proofErr w:type="spellStart"/>
      <w:r>
        <w:t>Obio-Akpor</w:t>
      </w:r>
      <w:proofErr w:type="spellEnd"/>
      <w:r>
        <w:t xml:space="preserve"> Local Government Area found that municipal services such as provision of waste bins, regular collection, and regulated disposal are inconsistent. Many households resort to burning, open dumping, or unprotected disposal at dumpsites, practices which pose serious public health and environmental risks (Sustainable Environment Research, 2020). In </w:t>
      </w:r>
      <w:proofErr w:type="spellStart"/>
      <w:r>
        <w:t>Yenagoa</w:t>
      </w:r>
      <w:proofErr w:type="spellEnd"/>
      <w:r>
        <w:t>, for example, dumping of waste into waterways and uncontrolled disposal are significant problems (</w:t>
      </w:r>
      <w:proofErr w:type="spellStart"/>
      <w:r>
        <w:t>Ebuete</w:t>
      </w:r>
      <w:proofErr w:type="spellEnd"/>
      <w:r>
        <w:t xml:space="preserve"> et al., 2023).</w:t>
      </w:r>
    </w:p>
    <w:p w:rsidR="00DF52EA" w:rsidRDefault="002953DC">
      <w:pPr>
        <w:pStyle w:val="NormalWeb"/>
        <w:spacing w:line="480" w:lineRule="auto"/>
        <w:jc w:val="both"/>
      </w:pPr>
      <w:r>
        <w:t xml:space="preserve">At the national level, reviews of solid waste management practice in Nigeria identify major structural and operational challenges: inadequate infrastructure (collection, treatment, and </w:t>
      </w:r>
      <w:r>
        <w:lastRenderedPageBreak/>
        <w:t>landfill sites), insufficient funding, poor regulatory enforcement, weak public awareness of proper disposal and recycling practices, and institutional inefficiencies (</w:t>
      </w:r>
      <w:proofErr w:type="spellStart"/>
      <w:r>
        <w:t>Ukala</w:t>
      </w:r>
      <w:proofErr w:type="spellEnd"/>
      <w:r>
        <w:t xml:space="preserve"> et al., 2020). These barriers contribute to low recycling rates and large portions of waste never entering formal waste streams, increasing environmental externalities (air, soil, water pollution), and public health burdens.</w:t>
      </w:r>
    </w:p>
    <w:p w:rsidR="00DF52EA" w:rsidRDefault="002953DC">
      <w:pPr>
        <w:pStyle w:val="NormalWeb"/>
        <w:spacing w:line="480" w:lineRule="auto"/>
        <w:jc w:val="both"/>
      </w:pPr>
      <w:r>
        <w:t xml:space="preserve">Theoretical models of environmental </w:t>
      </w:r>
      <w:proofErr w:type="spellStart"/>
      <w:r>
        <w:t>behaviour</w:t>
      </w:r>
      <w:proofErr w:type="spellEnd"/>
      <w:r>
        <w:t xml:space="preserve"> (e.g., theory of planned </w:t>
      </w:r>
      <w:proofErr w:type="spellStart"/>
      <w:r>
        <w:t>behaviour</w:t>
      </w:r>
      <w:proofErr w:type="spellEnd"/>
      <w:r>
        <w:t xml:space="preserve">, socio-ecological frameworks) suggest that household knowledge, attitudes, socio-economic status, and access to enabling infrastructure significantly influence whether sustainable waste management practices are adopted. Applied to the Niger Delta, the interplay between socio-demographic factors (income, education), service provision (bins, collection schedules), cultural practices, and environmental awareness has yet to be fully quantified and connected to observed </w:t>
      </w:r>
      <w:proofErr w:type="spellStart"/>
      <w:r>
        <w:t>behaviour</w:t>
      </w:r>
      <w:proofErr w:type="spellEnd"/>
      <w:r>
        <w:t>.</w:t>
      </w:r>
    </w:p>
    <w:p w:rsidR="00DF52EA" w:rsidRDefault="002953DC">
      <w:pPr>
        <w:pStyle w:val="NormalWeb"/>
        <w:spacing w:line="480" w:lineRule="auto"/>
        <w:jc w:val="both"/>
      </w:pPr>
      <w:r>
        <w:t xml:space="preserve">This study therefore aimed to fill that gap by examining how home-management practices among households in the Niger Delta affect environmental sustainability, especially through waste management and recycling. Specifically, it assessed levels of awareness, attitudes, and actual practices; identified socio-demographic, infrastructural, and cultural predictors of sustainable waste </w:t>
      </w:r>
      <w:proofErr w:type="spellStart"/>
      <w:r>
        <w:t>behaviour</w:t>
      </w:r>
      <w:proofErr w:type="spellEnd"/>
      <w:r>
        <w:t>; and explored barriers and enabling factors as perceived by households themselves. By doing so, it contributes evidence for policy development, community-based interventions, and strategies to strengthen household involvement in sustainable waste governance in ecologically sensitive regions such as the Niger Delta.</w:t>
      </w:r>
    </w:p>
    <w:p w:rsidR="00DF52EA" w:rsidRDefault="002953DC">
      <w:pPr>
        <w:pStyle w:val="Heading2"/>
        <w:numPr>
          <w:ilvl w:val="0"/>
          <w:numId w:val="8"/>
        </w:numPr>
        <w:rPr>
          <w:sz w:val="24"/>
          <w:szCs w:val="24"/>
        </w:rPr>
      </w:pPr>
      <w:r>
        <w:rPr>
          <w:sz w:val="24"/>
          <w:szCs w:val="24"/>
        </w:rPr>
        <w:t>Statement of the Problem</w:t>
      </w:r>
    </w:p>
    <w:p w:rsidR="00DF52EA" w:rsidRDefault="002953DC">
      <w:pPr>
        <w:pStyle w:val="NormalWeb"/>
        <w:spacing w:line="480" w:lineRule="auto"/>
        <w:jc w:val="both"/>
      </w:pPr>
      <w:r>
        <w:t xml:space="preserve">The Niger Delta represents one of the most environmentally fragile regions in sub-Saharan Africa, where the combined pressures of oil exploitation, rapid urbanization, and inadequate </w:t>
      </w:r>
      <w:r>
        <w:lastRenderedPageBreak/>
        <w:t>waste governance have led to severe ecological and public health crises (UNEP, 2011). Despite growing awareness of environmental sustainability, household waste management practices remain weakly institutionalized, with indiscriminate dumping, open burning, and irregular municipal collection as common patterns (Nwachukwu et al., 2017; Ogbonna et al., 2020). These practices exacerbate flooding, contaminate water sources, and heighten the spread of vector-borne diseases, thereby undermining community well-being.</w:t>
      </w:r>
    </w:p>
    <w:p w:rsidR="00DF52EA" w:rsidRDefault="002953DC">
      <w:pPr>
        <w:pStyle w:val="NormalWeb"/>
        <w:spacing w:line="480" w:lineRule="auto"/>
        <w:jc w:val="both"/>
      </w:pPr>
      <w:r>
        <w:t>Globally, waste governance frameworks emphasize the household as a crucial unit of intervention, where practices such as waste segregation and recycling significantly contribute to sustainable environmental outcomes (</w:t>
      </w:r>
      <w:proofErr w:type="spellStart"/>
      <w:r>
        <w:t>Hoornweg</w:t>
      </w:r>
      <w:proofErr w:type="spellEnd"/>
      <w:r>
        <w:t xml:space="preserve"> &amp; </w:t>
      </w:r>
      <w:proofErr w:type="spellStart"/>
      <w:r>
        <w:t>Bhada</w:t>
      </w:r>
      <w:proofErr w:type="spellEnd"/>
      <w:r>
        <w:t>-Tata, 2012). Yet, in Nigeria, such practices remain largely informal and inconsistent, often constrained by inadequate infrastructure, limited incentives, and weak enforcement mechanisms (Ike et al., 2021). The Niger Delta is particularly vulnerable because ecological degradation intersects with socioeconomic inequities, leaving households without adequate systems to manage waste sustainably.</w:t>
      </w:r>
    </w:p>
    <w:p w:rsidR="00DF52EA" w:rsidRDefault="002953DC">
      <w:pPr>
        <w:pStyle w:val="NormalWeb"/>
        <w:spacing w:line="480" w:lineRule="auto"/>
        <w:jc w:val="both"/>
      </w:pPr>
      <w:r>
        <w:t xml:space="preserve">The gap in knowledge lies in the paucity of empirical studies that interrogate how home management practices directly influence sustainability outcomes in the Niger Delta context. While existing literature addresses urban solid waste challenges in major cities (Ogbonna et al., 2020), there is limited evidence that links household-level </w:t>
      </w:r>
      <w:proofErr w:type="spellStart"/>
      <w:r>
        <w:t>behaviour</w:t>
      </w:r>
      <w:proofErr w:type="spellEnd"/>
      <w:r>
        <w:t xml:space="preserve"> to broader policy and sustainability frameworks. Without such empirical insights, interventions risk being top-down, poorly contextualized, and unsustainable.</w:t>
      </w:r>
    </w:p>
    <w:p w:rsidR="00DF52EA" w:rsidRDefault="002953DC">
      <w:pPr>
        <w:pStyle w:val="NormalWeb"/>
        <w:spacing w:line="480" w:lineRule="auto"/>
        <w:jc w:val="both"/>
      </w:pPr>
      <w:r>
        <w:t xml:space="preserve">This study therefore addresses a critical problem: the disconnect between household waste practices and formal environmental governance in the Niger Delta. By investigating the </w:t>
      </w:r>
      <w:r>
        <w:lastRenderedPageBreak/>
        <w:t>dynamics of waste management and recycling at the household level, the research provides actionable evidence to strengthen community-based sustainability strategies and inform policy frameworks designed to mitigate ecological risks in the region.</w:t>
      </w:r>
    </w:p>
    <w:p w:rsidR="00DF52EA" w:rsidRDefault="002953DC">
      <w:pPr>
        <w:pStyle w:val="ListParagraph"/>
        <w:numPr>
          <w:ilvl w:val="0"/>
          <w:numId w:val="8"/>
        </w:numPr>
        <w:spacing w:before="100" w:beforeAutospacing="1" w:after="100" w:afterAutospacing="1"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Research Objectives</w:t>
      </w:r>
    </w:p>
    <w:p w:rsidR="00DF52EA" w:rsidRDefault="002953DC">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To examine household waste management practices in the Niger Delta</w:t>
      </w:r>
      <w:r>
        <w:rPr>
          <w:rFonts w:ascii="Times New Roman" w:eastAsia="Times New Roman" w:hAnsi="Times New Roman" w:cs="Times New Roman"/>
          <w:sz w:val="24"/>
          <w:szCs w:val="24"/>
        </w:rPr>
        <w:t xml:space="preserve"> with particular emphasis on waste segregation, disposal, and recycling patterns.</w:t>
      </w:r>
    </w:p>
    <w:p w:rsidR="00DF52EA" w:rsidRDefault="002953DC">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To analyze the factors influencing household participation in sustainable waste practices</w:t>
      </w:r>
      <w:r>
        <w:rPr>
          <w:rFonts w:ascii="Times New Roman" w:eastAsia="Times New Roman" w:hAnsi="Times New Roman" w:cs="Times New Roman"/>
          <w:sz w:val="24"/>
          <w:szCs w:val="24"/>
        </w:rPr>
        <w:t>, including socioeconomic, infrastructural, and cultural variables.</w:t>
      </w:r>
    </w:p>
    <w:p w:rsidR="00DF52EA" w:rsidRDefault="002953DC">
      <w:pPr>
        <w:numPr>
          <w:ilvl w:val="0"/>
          <w:numId w:val="2"/>
        </w:num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To assess the implications of home management practices for environmental sustainability</w:t>
      </w:r>
      <w:r>
        <w:rPr>
          <w:rFonts w:ascii="Times New Roman" w:eastAsia="Times New Roman" w:hAnsi="Times New Roman" w:cs="Times New Roman"/>
          <w:sz w:val="24"/>
          <w:szCs w:val="24"/>
        </w:rPr>
        <w:t xml:space="preserve"> and explore policy-relevant strategies to strengthen community-based waste governance.</w:t>
      </w:r>
    </w:p>
    <w:p w:rsidR="00DF52EA" w:rsidRDefault="002953DC">
      <w:pPr>
        <w:pStyle w:val="ListParagraph"/>
        <w:numPr>
          <w:ilvl w:val="0"/>
          <w:numId w:val="2"/>
        </w:numPr>
        <w:spacing w:before="100" w:beforeAutospacing="1" w:after="100" w:afterAutospacing="1"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Research Questions</w:t>
      </w:r>
    </w:p>
    <w:p w:rsidR="00DF52EA" w:rsidRDefault="002953DC">
      <w:pPr>
        <w:numPr>
          <w:ilvl w:val="0"/>
          <w:numId w:val="10"/>
        </w:num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the prevailing household waste management and recycling practices in the Niger Delta?</w:t>
      </w:r>
    </w:p>
    <w:p w:rsidR="00DF52EA" w:rsidRDefault="002953DC">
      <w:pPr>
        <w:numPr>
          <w:ilvl w:val="0"/>
          <w:numId w:val="10"/>
        </w:num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socioeconomic, infrastructural, and cultural factors influence household participation in sustainable waste management?</w:t>
      </w:r>
    </w:p>
    <w:p w:rsidR="00DF52EA" w:rsidRDefault="002953DC">
      <w:pPr>
        <w:numPr>
          <w:ilvl w:val="0"/>
          <w:numId w:val="10"/>
        </w:num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 do home management practices affect environmental sustainability, and what strategies can improve household contributions to waste governance in the Niger Delta?</w:t>
      </w:r>
    </w:p>
    <w:p w:rsidR="00DF52EA" w:rsidRDefault="002953DC">
      <w:pPr>
        <w:pStyle w:val="Heading2"/>
        <w:rPr>
          <w:sz w:val="24"/>
          <w:szCs w:val="24"/>
        </w:rPr>
      </w:pPr>
      <w:r>
        <w:rPr>
          <w:sz w:val="24"/>
          <w:szCs w:val="24"/>
        </w:rPr>
        <w:t>5. Significance of the Study</w:t>
      </w:r>
    </w:p>
    <w:p w:rsidR="00DF52EA" w:rsidRDefault="002953DC">
      <w:pPr>
        <w:pStyle w:val="NormalWeb"/>
        <w:spacing w:line="480" w:lineRule="auto"/>
        <w:jc w:val="both"/>
      </w:pPr>
      <w:r>
        <w:t xml:space="preserve">This study contributes to knowledge by advancing empirical understanding of the relationship between home management practices and environmental sustainability in the Niger Delta, a region often studied for oil-related degradation but less for household-level ecological </w:t>
      </w:r>
      <w:proofErr w:type="spellStart"/>
      <w:r>
        <w:lastRenderedPageBreak/>
        <w:t>behaviours</w:t>
      </w:r>
      <w:proofErr w:type="spellEnd"/>
      <w:r>
        <w:t>. Academically, it enriches the literature on waste governance in sub-Saharan Africa by linking household practices with sustainability outcomes.</w:t>
      </w:r>
    </w:p>
    <w:p w:rsidR="00DF52EA" w:rsidRDefault="002953DC">
      <w:pPr>
        <w:pStyle w:val="NormalWeb"/>
        <w:spacing w:line="480" w:lineRule="auto"/>
        <w:jc w:val="both"/>
      </w:pPr>
      <w:r>
        <w:t>From a policy perspective, the study generates evidence to guide local and national authorities in designing context-specific waste management frameworks that incorporate community practices, incentives, and indigenous knowledge. Practically, the findings provide actionable insights for households, community-based organizations, and NGOs, offering strategies to strengthen recycling, reduce indiscriminate dumping, and enhance environmental quality.</w:t>
      </w:r>
    </w:p>
    <w:p w:rsidR="00DF52EA" w:rsidRDefault="002953DC">
      <w:pPr>
        <w:pStyle w:val="NormalWeb"/>
        <w:spacing w:line="480" w:lineRule="auto"/>
        <w:jc w:val="both"/>
      </w:pPr>
      <w:r>
        <w:t>Overall, the study bridges the gap between top-down environmental policies and grassroots household practices, positioning home management as a critical driver of sustainable development in the Niger Delta.</w:t>
      </w:r>
    </w:p>
    <w:p w:rsidR="00DF52EA" w:rsidRDefault="002953DC">
      <w:pPr>
        <w:pStyle w:val="Heading2"/>
        <w:rPr>
          <w:sz w:val="24"/>
          <w:szCs w:val="24"/>
        </w:rPr>
      </w:pPr>
      <w:r>
        <w:rPr>
          <w:sz w:val="24"/>
          <w:szCs w:val="24"/>
        </w:rPr>
        <w:t>6. Review of Related Literature</w:t>
      </w:r>
    </w:p>
    <w:p w:rsidR="00DF52EA" w:rsidRDefault="002953DC">
      <w:pPr>
        <w:pStyle w:val="Heading3"/>
        <w:rPr>
          <w:rFonts w:ascii="Times New Roman" w:hAnsi="Times New Roman" w:cs="Times New Roman"/>
          <w:b w:val="0"/>
          <w:color w:val="000000"/>
          <w:sz w:val="24"/>
          <w:szCs w:val="24"/>
        </w:rPr>
      </w:pPr>
      <w:r>
        <w:rPr>
          <w:rFonts w:ascii="Times New Roman" w:hAnsi="Times New Roman" w:cs="Times New Roman"/>
          <w:b w:val="0"/>
          <w:color w:val="000000"/>
          <w:sz w:val="24"/>
          <w:szCs w:val="24"/>
        </w:rPr>
        <w:t>Theoretical Background:</w:t>
      </w:r>
    </w:p>
    <w:p w:rsidR="00DF52EA" w:rsidRDefault="002953DC">
      <w:pPr>
        <w:pStyle w:val="NormalWeb"/>
        <w:spacing w:line="480" w:lineRule="auto"/>
        <w:jc w:val="both"/>
      </w:pPr>
      <w:r>
        <w:t xml:space="preserve">Household waste practices are often explained through the </w:t>
      </w:r>
      <w:r>
        <w:rPr>
          <w:rStyle w:val="Strong"/>
          <w:b w:val="0"/>
        </w:rPr>
        <w:t xml:space="preserve">Theory of Planned </w:t>
      </w:r>
      <w:proofErr w:type="spellStart"/>
      <w:r>
        <w:rPr>
          <w:rStyle w:val="Strong"/>
          <w:b w:val="0"/>
        </w:rPr>
        <w:t>Behaviour</w:t>
      </w:r>
      <w:proofErr w:type="spellEnd"/>
      <w:r>
        <w:t xml:space="preserve"> (</w:t>
      </w:r>
      <w:proofErr w:type="spellStart"/>
      <w:r>
        <w:t>Ajzen</w:t>
      </w:r>
      <w:proofErr w:type="spellEnd"/>
      <w:r>
        <w:t xml:space="preserve">, 1991), which links attitudes, norms, and control to </w:t>
      </w:r>
      <w:proofErr w:type="spellStart"/>
      <w:r>
        <w:t>behavioural</w:t>
      </w:r>
      <w:proofErr w:type="spellEnd"/>
      <w:r>
        <w:t xml:space="preserve"> outcomes, and </w:t>
      </w:r>
      <w:r>
        <w:rPr>
          <w:rStyle w:val="Strong"/>
          <w:b w:val="0"/>
        </w:rPr>
        <w:t>Social Cognitive Theory</w:t>
      </w:r>
      <w:r>
        <w:t xml:space="preserve"> (Bandura, 2001), which emphasizes self-efficacy and environmental influences. These frameworks highlight how household choices are shaped by both internal dispositions and external conditions.</w:t>
      </w:r>
    </w:p>
    <w:p w:rsidR="00DF52EA" w:rsidRDefault="002953DC">
      <w:pPr>
        <w:pStyle w:val="Heading3"/>
        <w:rPr>
          <w:rFonts w:ascii="Times New Roman" w:hAnsi="Times New Roman" w:cs="Times New Roman"/>
          <w:b w:val="0"/>
          <w:color w:val="000000"/>
          <w:sz w:val="24"/>
          <w:szCs w:val="24"/>
        </w:rPr>
      </w:pPr>
      <w:r>
        <w:rPr>
          <w:rFonts w:ascii="Times New Roman" w:hAnsi="Times New Roman" w:cs="Times New Roman"/>
          <w:b w:val="0"/>
          <w:color w:val="000000"/>
          <w:sz w:val="24"/>
          <w:szCs w:val="24"/>
        </w:rPr>
        <w:t>Global and Regional Perspectives:</w:t>
      </w:r>
    </w:p>
    <w:p w:rsidR="00DF52EA" w:rsidRDefault="002953DC">
      <w:pPr>
        <w:pStyle w:val="NormalWeb"/>
        <w:spacing w:line="480" w:lineRule="auto"/>
        <w:jc w:val="both"/>
      </w:pPr>
      <w:r>
        <w:t>Globally, sustainable waste management requires integration of collection, treatment, recycling, and strong public participation (</w:t>
      </w:r>
      <w:proofErr w:type="spellStart"/>
      <w:r>
        <w:t>Hoornweg</w:t>
      </w:r>
      <w:proofErr w:type="spellEnd"/>
      <w:r>
        <w:t xml:space="preserve"> &amp; </w:t>
      </w:r>
      <w:proofErr w:type="spellStart"/>
      <w:r>
        <w:t>Bhada</w:t>
      </w:r>
      <w:proofErr w:type="spellEnd"/>
      <w:r>
        <w:t xml:space="preserve">-Tata, 2012). Developing regions, however, </w:t>
      </w:r>
      <w:r>
        <w:lastRenderedPageBreak/>
        <w:t>face rapid urbanization, poor infrastructure, and limited recycling markets. This makes aligning municipal services with community practices critical.</w:t>
      </w:r>
    </w:p>
    <w:p w:rsidR="00DF52EA" w:rsidRDefault="002953DC">
      <w:pPr>
        <w:pStyle w:val="Heading3"/>
        <w:rPr>
          <w:rFonts w:ascii="Times New Roman" w:hAnsi="Times New Roman" w:cs="Times New Roman"/>
          <w:b w:val="0"/>
          <w:color w:val="000000"/>
          <w:sz w:val="24"/>
          <w:szCs w:val="24"/>
        </w:rPr>
      </w:pPr>
      <w:r>
        <w:rPr>
          <w:rFonts w:ascii="Times New Roman" w:hAnsi="Times New Roman" w:cs="Times New Roman"/>
          <w:b w:val="0"/>
          <w:color w:val="000000"/>
          <w:sz w:val="24"/>
          <w:szCs w:val="24"/>
        </w:rPr>
        <w:t>Waste Management in Nigeria and the Niger Delta:</w:t>
      </w:r>
    </w:p>
    <w:p w:rsidR="00DF52EA" w:rsidRDefault="002953DC">
      <w:pPr>
        <w:pStyle w:val="NormalWeb"/>
        <w:spacing w:line="480" w:lineRule="auto"/>
        <w:jc w:val="both"/>
      </w:pPr>
      <w:r>
        <w:t>In Nigeria, poor collection systems, weak enforcement, and lack of recycling incentives dominate the sector (</w:t>
      </w:r>
      <w:proofErr w:type="spellStart"/>
      <w:r>
        <w:t>Ukala</w:t>
      </w:r>
      <w:proofErr w:type="spellEnd"/>
      <w:r>
        <w:t xml:space="preserve"> et al., 2020). Studies in Aba and Port Harcourt report indiscriminate dumping, open burning, and insufficient municipal coverage (Nwachukwu et al., 2017; Ogbonna et al., 2020). Niger Delta communities such as </w:t>
      </w:r>
      <w:proofErr w:type="spellStart"/>
      <w:r>
        <w:t>Yenagoa</w:t>
      </w:r>
      <w:proofErr w:type="spellEnd"/>
      <w:r>
        <w:t xml:space="preserve"> and </w:t>
      </w:r>
      <w:proofErr w:type="spellStart"/>
      <w:r>
        <w:t>Ogbe-Ijoh</w:t>
      </w:r>
      <w:proofErr w:type="spellEnd"/>
      <w:r>
        <w:t xml:space="preserve"> show high organic waste fractions but also recyclable plastics, which remain underutilized due to infrastructural and policy gaps (</w:t>
      </w:r>
      <w:proofErr w:type="spellStart"/>
      <w:r>
        <w:t>Angaye</w:t>
      </w:r>
      <w:proofErr w:type="spellEnd"/>
      <w:r>
        <w:t xml:space="preserve"> et al., 2017; Journal of Material Cycles and Waste Management, 2015). Poor waste handling worsens flooding and water contamination (Sustainable Environment Research, 2020; UNEP, 2011).</w:t>
      </w:r>
    </w:p>
    <w:p w:rsidR="00DF52EA" w:rsidRDefault="002953DC">
      <w:pPr>
        <w:pStyle w:val="Heading3"/>
        <w:rPr>
          <w:rFonts w:ascii="Times New Roman" w:hAnsi="Times New Roman" w:cs="Times New Roman"/>
          <w:b w:val="0"/>
          <w:color w:val="000000"/>
          <w:sz w:val="24"/>
          <w:szCs w:val="24"/>
        </w:rPr>
      </w:pPr>
      <w:r>
        <w:rPr>
          <w:rFonts w:ascii="Times New Roman" w:hAnsi="Times New Roman" w:cs="Times New Roman"/>
          <w:b w:val="0"/>
          <w:color w:val="000000"/>
          <w:sz w:val="24"/>
          <w:szCs w:val="24"/>
        </w:rPr>
        <w:t>Determinants and Gaps:</w:t>
      </w:r>
    </w:p>
    <w:p w:rsidR="00DF52EA" w:rsidRDefault="002953DC">
      <w:pPr>
        <w:pStyle w:val="NormalWeb"/>
        <w:spacing w:line="480" w:lineRule="auto"/>
        <w:jc w:val="both"/>
      </w:pPr>
      <w:r>
        <w:t xml:space="preserve">Key factors influencing household waste practices include income, education, infrastructure, social networks, and market incentives. While studies in Nigerian cities show awareness of good practices; consistent recycling remains rare due to weak systems (Ogbonna et al., 2020; Nwachukwu et al., 2017). Gaps remain in linking household </w:t>
      </w:r>
      <w:proofErr w:type="spellStart"/>
      <w:r>
        <w:t>behaviour</w:t>
      </w:r>
      <w:proofErr w:type="spellEnd"/>
      <w:r>
        <w:t xml:space="preserve"> to sustainability frameworks in the Niger Delta, where most studies focus on industrial pollution rather than domestic practices.</w:t>
      </w:r>
    </w:p>
    <w:p w:rsidR="00DF52EA" w:rsidRDefault="002953DC">
      <w:pPr>
        <w:pStyle w:val="NormalWeb"/>
        <w:spacing w:line="480" w:lineRule="auto"/>
        <w:jc w:val="both"/>
      </w:pPr>
      <w:r>
        <w:t>This study therefore fills a critical void by empirically examining household waste management and recycling in the Niger Delta, highlighting how home management can drive environmental sustainability.</w:t>
      </w:r>
    </w:p>
    <w:p w:rsidR="00DF52EA" w:rsidRDefault="002953DC">
      <w:pPr>
        <w:spacing w:before="100" w:beforeAutospacing="1" w:after="100" w:afterAutospacing="1"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7. Empirical Review</w:t>
      </w:r>
    </w:p>
    <w:p w:rsidR="00DF52EA" w:rsidRDefault="002953D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Several studies have explored waste management practices in Nigeria and other developing regions. Nwachukwu, Feng, and </w:t>
      </w:r>
      <w:proofErr w:type="spellStart"/>
      <w:r>
        <w:rPr>
          <w:rFonts w:ascii="Times New Roman" w:eastAsia="Times New Roman" w:hAnsi="Times New Roman" w:cs="Times New Roman"/>
          <w:sz w:val="24"/>
          <w:szCs w:val="24"/>
        </w:rPr>
        <w:t>Achilike</w:t>
      </w:r>
      <w:proofErr w:type="spellEnd"/>
      <w:r>
        <w:rPr>
          <w:rFonts w:ascii="Times New Roman" w:eastAsia="Times New Roman" w:hAnsi="Times New Roman" w:cs="Times New Roman"/>
          <w:sz w:val="24"/>
          <w:szCs w:val="24"/>
        </w:rPr>
        <w:t xml:space="preserve"> (2017) examined municipal waste in Aba and found high volumes of uncollected waste, with households resorting to indiscriminate dumping. Similarly, Ogbonna, </w:t>
      </w:r>
      <w:proofErr w:type="spellStart"/>
      <w:r>
        <w:rPr>
          <w:rFonts w:ascii="Times New Roman" w:eastAsia="Times New Roman" w:hAnsi="Times New Roman" w:cs="Times New Roman"/>
          <w:sz w:val="24"/>
          <w:szCs w:val="24"/>
        </w:rPr>
        <w:t>Amangabara</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Ekere</w:t>
      </w:r>
      <w:proofErr w:type="spellEnd"/>
      <w:r>
        <w:rPr>
          <w:rFonts w:ascii="Times New Roman" w:eastAsia="Times New Roman" w:hAnsi="Times New Roman" w:cs="Times New Roman"/>
          <w:sz w:val="24"/>
          <w:szCs w:val="24"/>
        </w:rPr>
        <w:t xml:space="preserve"> (2020) reported in Port Harcourt that weak infrastructure and poor municipal coverage drive reliance on informal disposal methods.</w:t>
      </w:r>
    </w:p>
    <w:p w:rsidR="00DF52EA" w:rsidRDefault="002953DC">
      <w:pPr>
        <w:spacing w:before="100" w:beforeAutospacing="1" w:after="100" w:afterAutospacing="1"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Angaye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Daokoru-Olukole</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Abowei</w:t>
      </w:r>
      <w:proofErr w:type="spellEnd"/>
      <w:r>
        <w:rPr>
          <w:rFonts w:ascii="Times New Roman" w:eastAsia="Times New Roman" w:hAnsi="Times New Roman" w:cs="Times New Roman"/>
          <w:sz w:val="24"/>
          <w:szCs w:val="24"/>
        </w:rPr>
        <w:t xml:space="preserve"> (2017) investigated household waste in </w:t>
      </w:r>
      <w:proofErr w:type="spellStart"/>
      <w:r>
        <w:rPr>
          <w:rFonts w:ascii="Times New Roman" w:eastAsia="Times New Roman" w:hAnsi="Times New Roman" w:cs="Times New Roman"/>
          <w:sz w:val="24"/>
          <w:szCs w:val="24"/>
        </w:rPr>
        <w:t>Yenagoa</w:t>
      </w:r>
      <w:proofErr w:type="spellEnd"/>
      <w:r>
        <w:rPr>
          <w:rFonts w:ascii="Times New Roman" w:eastAsia="Times New Roman" w:hAnsi="Times New Roman" w:cs="Times New Roman"/>
          <w:sz w:val="24"/>
          <w:szCs w:val="24"/>
        </w:rPr>
        <w:t xml:space="preserve">, showing that organic waste dominates the waste stream, while plastics and metals remain poorly recycled despite their market value. A related study in </w:t>
      </w:r>
      <w:proofErr w:type="spellStart"/>
      <w:r>
        <w:rPr>
          <w:rFonts w:ascii="Times New Roman" w:eastAsia="Times New Roman" w:hAnsi="Times New Roman" w:cs="Times New Roman"/>
          <w:sz w:val="24"/>
          <w:szCs w:val="24"/>
        </w:rPr>
        <w:t>Ogbe-Ijoh</w:t>
      </w:r>
      <w:proofErr w:type="spellEnd"/>
      <w:r>
        <w:rPr>
          <w:rFonts w:ascii="Times New Roman" w:eastAsia="Times New Roman" w:hAnsi="Times New Roman" w:cs="Times New Roman"/>
          <w:sz w:val="24"/>
          <w:szCs w:val="24"/>
        </w:rPr>
        <w:t xml:space="preserve"> (Journal of Material Cycles and Waste Management, 2015) confirmed similar waste compositions, highlighting recycling opportunities that remain largely untapped.</w:t>
      </w:r>
    </w:p>
    <w:p w:rsidR="00DF52EA" w:rsidRDefault="002953D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Beyond Nigeria, </w:t>
      </w:r>
      <w:proofErr w:type="spellStart"/>
      <w:r>
        <w:rPr>
          <w:rFonts w:ascii="Times New Roman" w:eastAsia="Times New Roman" w:hAnsi="Times New Roman" w:cs="Times New Roman"/>
          <w:sz w:val="24"/>
          <w:szCs w:val="24"/>
        </w:rPr>
        <w:t>Hoornweg</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Bhada</w:t>
      </w:r>
      <w:proofErr w:type="spellEnd"/>
      <w:r>
        <w:rPr>
          <w:rFonts w:ascii="Times New Roman" w:eastAsia="Times New Roman" w:hAnsi="Times New Roman" w:cs="Times New Roman"/>
          <w:sz w:val="24"/>
          <w:szCs w:val="24"/>
        </w:rPr>
        <w:t>-Tata (2012) in a global World Bank report emphasized the importance of integrated systems and community participation, findings echoed in Sustainable Environment Research (2020), which documented how irregular dumpsites in the Niger Delta aggravate flooding and health risks.</w:t>
      </w:r>
    </w:p>
    <w:p w:rsidR="00DF52EA" w:rsidRDefault="002953D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While these studies establish the scale of the problem, they often focus on city-wide waste systems rather than household-level </w:t>
      </w:r>
      <w:proofErr w:type="spellStart"/>
      <w:r>
        <w:rPr>
          <w:rFonts w:ascii="Times New Roman" w:eastAsia="Times New Roman" w:hAnsi="Times New Roman" w:cs="Times New Roman"/>
          <w:sz w:val="24"/>
          <w:szCs w:val="24"/>
        </w:rPr>
        <w:t>behaviours</w:t>
      </w:r>
      <w:proofErr w:type="spellEnd"/>
      <w:r>
        <w:rPr>
          <w:rFonts w:ascii="Times New Roman" w:eastAsia="Times New Roman" w:hAnsi="Times New Roman" w:cs="Times New Roman"/>
          <w:sz w:val="24"/>
          <w:szCs w:val="24"/>
        </w:rPr>
        <w:t xml:space="preserve">. This gap underscores the need for empirical analysis of home management practices in the Niger Delta to better link grassroots </w:t>
      </w:r>
      <w:proofErr w:type="spellStart"/>
      <w:r>
        <w:rPr>
          <w:rFonts w:ascii="Times New Roman" w:eastAsia="Times New Roman" w:hAnsi="Times New Roman" w:cs="Times New Roman"/>
          <w:sz w:val="24"/>
          <w:szCs w:val="24"/>
        </w:rPr>
        <w:t>behaviours</w:t>
      </w:r>
      <w:proofErr w:type="spellEnd"/>
      <w:r>
        <w:rPr>
          <w:rFonts w:ascii="Times New Roman" w:eastAsia="Times New Roman" w:hAnsi="Times New Roman" w:cs="Times New Roman"/>
          <w:sz w:val="24"/>
          <w:szCs w:val="24"/>
        </w:rPr>
        <w:t xml:space="preserve"> with sustainability outcomes.</w:t>
      </w:r>
    </w:p>
    <w:p w:rsidR="00DF52EA" w:rsidRDefault="002953DC">
      <w:pPr>
        <w:pStyle w:val="Heading2"/>
        <w:rPr>
          <w:sz w:val="24"/>
          <w:szCs w:val="24"/>
        </w:rPr>
      </w:pPr>
      <w:r>
        <w:rPr>
          <w:sz w:val="24"/>
          <w:szCs w:val="24"/>
        </w:rPr>
        <w:t>8. Methodology</w:t>
      </w:r>
    </w:p>
    <w:p w:rsidR="00DF52EA" w:rsidRDefault="002953DC">
      <w:pPr>
        <w:pStyle w:val="Heading3"/>
        <w:rPr>
          <w:rFonts w:ascii="Times New Roman" w:hAnsi="Times New Roman" w:cs="Times New Roman"/>
          <w:color w:val="auto"/>
          <w:sz w:val="24"/>
          <w:szCs w:val="24"/>
        </w:rPr>
      </w:pPr>
      <w:proofErr w:type="spellStart"/>
      <w:r>
        <w:rPr>
          <w:rFonts w:ascii="Times New Roman" w:hAnsi="Times New Roman" w:cs="Times New Roman"/>
          <w:color w:val="auto"/>
          <w:sz w:val="24"/>
          <w:szCs w:val="24"/>
        </w:rPr>
        <w:lastRenderedPageBreak/>
        <w:t>i</w:t>
      </w:r>
      <w:proofErr w:type="spellEnd"/>
      <w:r>
        <w:rPr>
          <w:rFonts w:ascii="Times New Roman" w:hAnsi="Times New Roman" w:cs="Times New Roman"/>
          <w:color w:val="auto"/>
          <w:sz w:val="24"/>
          <w:szCs w:val="24"/>
        </w:rPr>
        <w:t>. Research Design</w:t>
      </w:r>
    </w:p>
    <w:p w:rsidR="00DF52EA" w:rsidRDefault="002953DC">
      <w:pPr>
        <w:pStyle w:val="NormalWeb"/>
        <w:spacing w:line="480" w:lineRule="auto"/>
        <w:jc w:val="both"/>
      </w:pPr>
      <w:r>
        <w:t xml:space="preserve">The study adopted an </w:t>
      </w:r>
      <w:r>
        <w:rPr>
          <w:rStyle w:val="Strong"/>
          <w:b w:val="0"/>
        </w:rPr>
        <w:t>explanatory sequential mixed-methods design</w:t>
      </w:r>
      <w:r>
        <w:rPr>
          <w:b/>
        </w:rPr>
        <w:t>,</w:t>
      </w:r>
      <w:r>
        <w:t xml:space="preserve"> integrating both quantitative and qualitative approaches. The initial </w:t>
      </w:r>
      <w:r>
        <w:rPr>
          <w:rStyle w:val="Strong"/>
          <w:b w:val="0"/>
        </w:rPr>
        <w:t>quantitative phase</w:t>
      </w:r>
      <w:r>
        <w:t xml:space="preserve"> involved a cross-sectional household survey, while the subsequent </w:t>
      </w:r>
      <w:r>
        <w:rPr>
          <w:rStyle w:val="Strong"/>
          <w:b w:val="0"/>
        </w:rPr>
        <w:t>qualitative phase</w:t>
      </w:r>
      <w:r>
        <w:t xml:space="preserve"> (in-depth interviews and focus group discussions) explored underlying socio-cultural, economic, and institutional factors shaping waste management and recycling practices. Integration of both strands was achieved through </w:t>
      </w:r>
      <w:r>
        <w:rPr>
          <w:rStyle w:val="Strong"/>
          <w:b w:val="0"/>
        </w:rPr>
        <w:t>joint displays</w:t>
      </w:r>
      <w:r>
        <w:t>, ensuring that statistical findings were complemented with lived experiences.</w:t>
      </w:r>
    </w:p>
    <w:p w:rsidR="00DF52EA" w:rsidRDefault="002953DC">
      <w:pPr>
        <w:pStyle w:val="Heading3"/>
        <w:rPr>
          <w:rFonts w:ascii="Times New Roman" w:hAnsi="Times New Roman" w:cs="Times New Roman"/>
          <w:color w:val="auto"/>
          <w:sz w:val="24"/>
          <w:szCs w:val="24"/>
        </w:rPr>
      </w:pPr>
      <w:r>
        <w:rPr>
          <w:rFonts w:ascii="Times New Roman" w:hAnsi="Times New Roman" w:cs="Times New Roman"/>
          <w:color w:val="auto"/>
          <w:sz w:val="24"/>
          <w:szCs w:val="24"/>
        </w:rPr>
        <w:t>ii. Population and Sample</w:t>
      </w:r>
    </w:p>
    <w:p w:rsidR="00DF52EA" w:rsidRDefault="002953DC">
      <w:pPr>
        <w:pStyle w:val="NormalWeb"/>
        <w:spacing w:line="480" w:lineRule="auto"/>
        <w:jc w:val="both"/>
      </w:pPr>
      <w:r>
        <w:t xml:space="preserve">The study population comprised households in </w:t>
      </w:r>
      <w:r>
        <w:rPr>
          <w:rStyle w:val="Strong"/>
          <w:b w:val="0"/>
        </w:rPr>
        <w:t>urban, peri-urban, and rural communities across three Niger Delta states</w:t>
      </w:r>
      <w:r>
        <w:t xml:space="preserve"> (Rivers, Bayelsa, and Delta). Using a multi-stage sampling procedure:</w:t>
      </w:r>
    </w:p>
    <w:p w:rsidR="00DF52EA" w:rsidRDefault="002953DC">
      <w:pPr>
        <w:pStyle w:val="NormalWeb"/>
        <w:numPr>
          <w:ilvl w:val="0"/>
          <w:numId w:val="9"/>
        </w:numPr>
        <w:spacing w:line="480" w:lineRule="auto"/>
        <w:jc w:val="both"/>
      </w:pPr>
      <w:r>
        <w:t>States were purposively selected to reflect ecological and socio-economic diversity.</w:t>
      </w:r>
    </w:p>
    <w:p w:rsidR="00DF52EA" w:rsidRDefault="002953DC">
      <w:pPr>
        <w:pStyle w:val="NormalWeb"/>
        <w:numPr>
          <w:ilvl w:val="0"/>
          <w:numId w:val="9"/>
        </w:numPr>
        <w:spacing w:line="480" w:lineRule="auto"/>
        <w:jc w:val="both"/>
      </w:pPr>
      <w:r>
        <w:t>Local Government Areas (LGAs) were stratified into urban, peri-urban, and rural categories.</w:t>
      </w:r>
    </w:p>
    <w:p w:rsidR="00DF52EA" w:rsidRDefault="002953DC">
      <w:pPr>
        <w:pStyle w:val="NormalWeb"/>
        <w:numPr>
          <w:ilvl w:val="0"/>
          <w:numId w:val="9"/>
        </w:numPr>
        <w:spacing w:line="480" w:lineRule="auto"/>
        <w:jc w:val="both"/>
      </w:pPr>
      <w:r>
        <w:t>Households were randomly selected within each stratum.</w:t>
      </w:r>
    </w:p>
    <w:p w:rsidR="00DF52EA" w:rsidRDefault="002953DC">
      <w:pPr>
        <w:pStyle w:val="NormalWeb"/>
        <w:spacing w:line="480" w:lineRule="auto"/>
        <w:jc w:val="both"/>
      </w:pPr>
      <w:r>
        <w:t xml:space="preserve">A total of </w:t>
      </w:r>
      <w:r>
        <w:rPr>
          <w:rStyle w:val="Strong"/>
          <w:b w:val="0"/>
        </w:rPr>
        <w:t>500 households</w:t>
      </w:r>
      <w:r>
        <w:t xml:space="preserve"> participated in the survey. For the qualitative strand, </w:t>
      </w:r>
      <w:r>
        <w:rPr>
          <w:rStyle w:val="Strong"/>
          <w:b w:val="0"/>
        </w:rPr>
        <w:t>30 in-depth interviews (IDIs)</w:t>
      </w:r>
      <w:r>
        <w:t xml:space="preserve"> were conducted with household heads, community leaders, and waste management officials, while </w:t>
      </w:r>
      <w:r>
        <w:rPr>
          <w:rStyle w:val="Strong"/>
          <w:b w:val="0"/>
        </w:rPr>
        <w:t>six focus group discussions (FGDs</w:t>
      </w:r>
      <w:r>
        <w:rPr>
          <w:rStyle w:val="Strong"/>
        </w:rPr>
        <w:t>)</w:t>
      </w:r>
      <w:r>
        <w:t xml:space="preserve"> (two per state, balanced across urban and rural locations) were organized to capture collective perspectives.</w:t>
      </w:r>
    </w:p>
    <w:p w:rsidR="00DF52EA" w:rsidRDefault="002953DC">
      <w:pPr>
        <w:pStyle w:val="Heading3"/>
        <w:rPr>
          <w:rFonts w:ascii="Times New Roman" w:hAnsi="Times New Roman" w:cs="Times New Roman"/>
          <w:color w:val="auto"/>
          <w:sz w:val="24"/>
          <w:szCs w:val="24"/>
        </w:rPr>
      </w:pPr>
      <w:r>
        <w:rPr>
          <w:rFonts w:ascii="Times New Roman" w:hAnsi="Times New Roman" w:cs="Times New Roman"/>
          <w:color w:val="auto"/>
          <w:sz w:val="24"/>
          <w:szCs w:val="24"/>
        </w:rPr>
        <w:lastRenderedPageBreak/>
        <w:t>iii. Instruments</w:t>
      </w:r>
    </w:p>
    <w:p w:rsidR="00DF52EA" w:rsidRDefault="002953DC">
      <w:pPr>
        <w:pStyle w:val="NormalWeb"/>
        <w:numPr>
          <w:ilvl w:val="0"/>
          <w:numId w:val="4"/>
        </w:numPr>
        <w:spacing w:line="480" w:lineRule="auto"/>
      </w:pPr>
      <w:r>
        <w:rPr>
          <w:rStyle w:val="Strong"/>
          <w:b w:val="0"/>
        </w:rPr>
        <w:t>Household Questionnaire</w:t>
      </w:r>
      <w:r>
        <w:t>: captured socio-demographic data, environmental awareness, waste disposal and segregation practices, recycling participation, and access to waste services.</w:t>
      </w:r>
    </w:p>
    <w:p w:rsidR="00DF52EA" w:rsidRDefault="002953DC">
      <w:pPr>
        <w:pStyle w:val="NormalWeb"/>
        <w:numPr>
          <w:ilvl w:val="0"/>
          <w:numId w:val="4"/>
        </w:numPr>
        <w:spacing w:line="480" w:lineRule="auto"/>
      </w:pPr>
      <w:r>
        <w:rPr>
          <w:rStyle w:val="Strong"/>
          <w:b w:val="0"/>
        </w:rPr>
        <w:t>Observation Checklist</w:t>
      </w:r>
      <w:r>
        <w:t>: documented infrastructure, visible waste disposal methods, and cleanliness indices at household and community levels.</w:t>
      </w:r>
    </w:p>
    <w:p w:rsidR="00DF52EA" w:rsidRDefault="002953DC">
      <w:pPr>
        <w:pStyle w:val="NormalWeb"/>
        <w:numPr>
          <w:ilvl w:val="0"/>
          <w:numId w:val="4"/>
        </w:numPr>
        <w:spacing w:line="480" w:lineRule="auto"/>
      </w:pPr>
      <w:r>
        <w:rPr>
          <w:rStyle w:val="Strong"/>
          <w:b w:val="0"/>
        </w:rPr>
        <w:t>Interview Guide</w:t>
      </w:r>
      <w:r>
        <w:t>: structured around themes such as cultural practices, institutional constraints, and innovations in recycling.</w:t>
      </w:r>
    </w:p>
    <w:p w:rsidR="00DF52EA" w:rsidRDefault="002953DC">
      <w:pPr>
        <w:pStyle w:val="NormalWeb"/>
        <w:numPr>
          <w:ilvl w:val="0"/>
          <w:numId w:val="4"/>
        </w:numPr>
        <w:spacing w:line="480" w:lineRule="auto"/>
      </w:pPr>
      <w:r>
        <w:rPr>
          <w:rStyle w:val="Strong"/>
          <w:b w:val="0"/>
        </w:rPr>
        <w:t>Focus Group Discussion Guide</w:t>
      </w:r>
      <w:r>
        <w:t>: explored community attitudes, cooperative arrangements, and shared challenges in waste governance.</w:t>
      </w:r>
    </w:p>
    <w:p w:rsidR="00DF52EA" w:rsidRDefault="002953DC">
      <w:pPr>
        <w:pStyle w:val="Heading3"/>
        <w:rPr>
          <w:rFonts w:ascii="Times New Roman" w:hAnsi="Times New Roman" w:cs="Times New Roman"/>
          <w:color w:val="auto"/>
          <w:sz w:val="24"/>
          <w:szCs w:val="24"/>
        </w:rPr>
      </w:pPr>
      <w:r>
        <w:rPr>
          <w:rFonts w:ascii="Times New Roman" w:hAnsi="Times New Roman" w:cs="Times New Roman"/>
          <w:color w:val="auto"/>
          <w:sz w:val="24"/>
          <w:szCs w:val="24"/>
        </w:rPr>
        <w:t>iv. Data Collection Procedures</w:t>
      </w:r>
    </w:p>
    <w:p w:rsidR="00DF52EA" w:rsidRDefault="002953DC">
      <w:pPr>
        <w:pStyle w:val="NormalWeb"/>
      </w:pPr>
      <w:r>
        <w:t>Data collection was executed in two sequential phases:</w:t>
      </w:r>
    </w:p>
    <w:p w:rsidR="00DF52EA" w:rsidRDefault="002953DC">
      <w:pPr>
        <w:pStyle w:val="NormalWeb"/>
        <w:numPr>
          <w:ilvl w:val="0"/>
          <w:numId w:val="7"/>
        </w:numPr>
        <w:spacing w:line="480" w:lineRule="auto"/>
        <w:jc w:val="both"/>
      </w:pPr>
      <w:r>
        <w:rPr>
          <w:rStyle w:val="Strong"/>
          <w:b w:val="0"/>
        </w:rPr>
        <w:t>Phase I (Quantitative):</w:t>
      </w:r>
      <w:r>
        <w:t xml:space="preserve"> household survey administered with assistance from trained field enumerators.</w:t>
      </w:r>
    </w:p>
    <w:p w:rsidR="00DF52EA" w:rsidRDefault="002953DC">
      <w:pPr>
        <w:pStyle w:val="NormalWeb"/>
        <w:numPr>
          <w:ilvl w:val="0"/>
          <w:numId w:val="7"/>
        </w:numPr>
        <w:spacing w:line="480" w:lineRule="auto"/>
        <w:jc w:val="both"/>
      </w:pPr>
      <w:r>
        <w:rPr>
          <w:rStyle w:val="Strong"/>
          <w:b w:val="0"/>
        </w:rPr>
        <w:t>Phase II (Qualitative):</w:t>
      </w:r>
      <w:r>
        <w:t xml:space="preserve"> IDIs and FGDs conducted after preliminary survey analysis, ensuring themes from the quantitative phase informed the qualitative exploration.</w:t>
      </w:r>
    </w:p>
    <w:p w:rsidR="00DF52EA" w:rsidRDefault="002953DC">
      <w:pPr>
        <w:pStyle w:val="Heading3"/>
        <w:rPr>
          <w:rFonts w:ascii="Times New Roman" w:hAnsi="Times New Roman" w:cs="Times New Roman"/>
          <w:color w:val="auto"/>
          <w:sz w:val="24"/>
          <w:szCs w:val="24"/>
        </w:rPr>
      </w:pPr>
      <w:r>
        <w:rPr>
          <w:rFonts w:ascii="Times New Roman" w:hAnsi="Times New Roman" w:cs="Times New Roman"/>
          <w:color w:val="auto"/>
          <w:sz w:val="24"/>
          <w:szCs w:val="24"/>
        </w:rPr>
        <w:t>v. Data Analysis</w:t>
      </w:r>
    </w:p>
    <w:p w:rsidR="00DF52EA" w:rsidRDefault="002953DC">
      <w:pPr>
        <w:pStyle w:val="NormalWeb"/>
        <w:numPr>
          <w:ilvl w:val="0"/>
          <w:numId w:val="3"/>
        </w:numPr>
        <w:spacing w:line="480" w:lineRule="auto"/>
        <w:jc w:val="both"/>
      </w:pPr>
      <w:r>
        <w:rPr>
          <w:rStyle w:val="Strong"/>
          <w:b w:val="0"/>
        </w:rPr>
        <w:t>Quantitative Data</w:t>
      </w:r>
      <w:r>
        <w:rPr>
          <w:rStyle w:val="Strong"/>
        </w:rPr>
        <w:t>:</w:t>
      </w:r>
      <w:r>
        <w:t xml:space="preserve"> analyzed using </w:t>
      </w:r>
      <w:r>
        <w:rPr>
          <w:rStyle w:val="Strong"/>
          <w:b w:val="0"/>
        </w:rPr>
        <w:t>SPSS (version 28) and Stata (version 17)</w:t>
      </w:r>
      <w:r>
        <w:rPr>
          <w:b/>
        </w:rPr>
        <w:t>.</w:t>
      </w:r>
      <w:r>
        <w:t xml:space="preserve"> Descriptive statistics (frequencies, percentages, means) summarized household practices, while inferential statistics </w:t>
      </w:r>
      <w:r>
        <w:rPr>
          <w:rStyle w:val="Strong"/>
          <w:b w:val="0"/>
        </w:rPr>
        <w:t>Chi-square tests, ANOVA, multivariable logistic regression, and multilevel regression models</w:t>
      </w:r>
      <w:r>
        <w:t xml:space="preserve"> tested associations and predictors of waste management behaviors.</w:t>
      </w:r>
    </w:p>
    <w:p w:rsidR="00DF52EA" w:rsidRDefault="002953DC">
      <w:pPr>
        <w:pStyle w:val="NormalWeb"/>
        <w:numPr>
          <w:ilvl w:val="0"/>
          <w:numId w:val="3"/>
        </w:numPr>
        <w:spacing w:line="480" w:lineRule="auto"/>
        <w:jc w:val="both"/>
      </w:pPr>
      <w:r>
        <w:rPr>
          <w:rStyle w:val="Strong"/>
          <w:b w:val="0"/>
        </w:rPr>
        <w:lastRenderedPageBreak/>
        <w:t>Qualitative Data</w:t>
      </w:r>
      <w:r>
        <w:rPr>
          <w:rStyle w:val="Strong"/>
        </w:rPr>
        <w:t>:</w:t>
      </w:r>
      <w:r>
        <w:t xml:space="preserve"> analyzed in </w:t>
      </w:r>
      <w:r>
        <w:rPr>
          <w:rStyle w:val="Strong"/>
          <w:b w:val="0"/>
        </w:rPr>
        <w:t>NVivo 14</w:t>
      </w:r>
      <w:r>
        <w:t xml:space="preserve"> through open and axial coding, followed by thematic analysis to identify recurring patterns and context-specific insights.</w:t>
      </w:r>
    </w:p>
    <w:p w:rsidR="00DF52EA" w:rsidRDefault="002953DC">
      <w:pPr>
        <w:pStyle w:val="NormalWeb"/>
        <w:numPr>
          <w:ilvl w:val="0"/>
          <w:numId w:val="3"/>
        </w:numPr>
        <w:spacing w:line="480" w:lineRule="auto"/>
        <w:jc w:val="both"/>
      </w:pPr>
      <w:r>
        <w:rPr>
          <w:rStyle w:val="Strong"/>
          <w:b w:val="0"/>
        </w:rPr>
        <w:t>Integration</w:t>
      </w:r>
      <w:r>
        <w:rPr>
          <w:rStyle w:val="Strong"/>
        </w:rPr>
        <w:t>:</w:t>
      </w:r>
      <w:r>
        <w:t xml:space="preserve"> findings were triangulated using </w:t>
      </w:r>
      <w:r>
        <w:rPr>
          <w:rStyle w:val="Strong"/>
          <w:b w:val="0"/>
        </w:rPr>
        <w:t>joint displays</w:t>
      </w:r>
      <w:r>
        <w:t>, allowing quantitative trends and qualitative narratives to be interpreted together for deeper policy and practice relevance.</w:t>
      </w:r>
    </w:p>
    <w:p w:rsidR="00DF52EA" w:rsidRDefault="002953DC">
      <w:pPr>
        <w:pStyle w:val="NormalWeb"/>
        <w:spacing w:line="480" w:lineRule="auto"/>
        <w:jc w:val="both"/>
      </w:pPr>
      <w:r>
        <w:t xml:space="preserve">This rigorous methodological framework enhanced </w:t>
      </w:r>
      <w:r>
        <w:rPr>
          <w:rStyle w:val="Strong"/>
          <w:b w:val="0"/>
        </w:rPr>
        <w:t>validity, reliability, and contextual richness</w:t>
      </w:r>
      <w:r>
        <w:t>, ensuring the study produced evidence that is both statistically robust and socially grounded.</w:t>
      </w:r>
    </w:p>
    <w:p w:rsidR="00DF52EA" w:rsidRDefault="002953DC">
      <w:pPr>
        <w:pStyle w:val="Heading1"/>
        <w:rPr>
          <w:rFonts w:ascii="Times New Roman" w:hAnsi="Times New Roman" w:cs="Times New Roman"/>
          <w:color w:val="auto"/>
          <w:sz w:val="24"/>
          <w:szCs w:val="24"/>
        </w:rPr>
      </w:pPr>
      <w:r>
        <w:rPr>
          <w:rFonts w:ascii="Times New Roman" w:hAnsi="Times New Roman" w:cs="Times New Roman"/>
          <w:color w:val="auto"/>
          <w:sz w:val="24"/>
          <w:szCs w:val="24"/>
        </w:rPr>
        <w:t>9. Data Presentation and Analysis</w:t>
      </w:r>
    </w:p>
    <w:p w:rsidR="00DF52EA" w:rsidRDefault="002953DC">
      <w:pPr>
        <w:pStyle w:val="NormalWeb"/>
        <w:spacing w:line="480" w:lineRule="auto"/>
        <w:jc w:val="both"/>
      </w:pPr>
      <w:r>
        <w:t xml:space="preserve">This section presents findings from both the </w:t>
      </w:r>
      <w:r>
        <w:rPr>
          <w:rStyle w:val="Strong"/>
          <w:b w:val="0"/>
        </w:rPr>
        <w:t>quantitative survey (n = 500 households)</w:t>
      </w:r>
      <w:r>
        <w:rPr>
          <w:b/>
        </w:rPr>
        <w:t xml:space="preserve"> </w:t>
      </w:r>
      <w:r>
        <w:t>and the</w:t>
      </w:r>
      <w:r>
        <w:rPr>
          <w:b/>
        </w:rPr>
        <w:t xml:space="preserve"> </w:t>
      </w:r>
      <w:r>
        <w:rPr>
          <w:rStyle w:val="Strong"/>
          <w:b w:val="0"/>
        </w:rPr>
        <w:t>qualitative interviews and focus group discussions (30 IDIs, 6 FGDs)</w:t>
      </w:r>
      <w:r>
        <w:rPr>
          <w:b/>
        </w:rPr>
        <w:t>.</w:t>
      </w:r>
      <w:r>
        <w:t xml:space="preserve"> Quantitative results were shown in descriptive and inferential tables/figures, while qualitative insights are summarized thematically.</w:t>
      </w:r>
    </w:p>
    <w:p w:rsidR="00DF52EA" w:rsidRDefault="002953DC">
      <w:pPr>
        <w:pStyle w:val="Heading2"/>
        <w:rPr>
          <w:sz w:val="24"/>
          <w:szCs w:val="24"/>
        </w:rPr>
      </w:pPr>
      <w:r>
        <w:rPr>
          <w:sz w:val="24"/>
          <w:szCs w:val="24"/>
        </w:rPr>
        <w:t>1. Descriptive Statistics</w:t>
      </w:r>
    </w:p>
    <w:p w:rsidR="00DF52EA" w:rsidRDefault="002953DC">
      <w:pPr>
        <w:pStyle w:val="Heading3"/>
        <w:rPr>
          <w:rFonts w:ascii="Times New Roman" w:hAnsi="Times New Roman" w:cs="Times New Roman"/>
          <w:color w:val="auto"/>
          <w:sz w:val="24"/>
          <w:szCs w:val="24"/>
        </w:rPr>
      </w:pPr>
      <w:r>
        <w:rPr>
          <w:rFonts w:ascii="Times New Roman" w:hAnsi="Times New Roman" w:cs="Times New Roman"/>
          <w:color w:val="auto"/>
          <w:sz w:val="24"/>
          <w:szCs w:val="24"/>
        </w:rPr>
        <w:t>Table 1: Socio-Demographic Characteristics of Respondents (n = 500)</w:t>
      </w:r>
    </w:p>
    <w:p w:rsidR="00DF52EA" w:rsidRDefault="00DF52E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2160"/>
        <w:gridCol w:w="2160"/>
        <w:gridCol w:w="2160"/>
      </w:tblGrid>
      <w:tr w:rsidR="00DF52EA">
        <w:tc>
          <w:tcPr>
            <w:tcW w:w="2160" w:type="dxa"/>
          </w:tcPr>
          <w:p w:rsidR="00DF52EA" w:rsidRDefault="002953DC">
            <w:pPr>
              <w:jc w:val="center"/>
              <w:rPr>
                <w:rFonts w:ascii="Times New Roman" w:hAnsi="Times New Roman" w:cs="Times New Roman"/>
                <w:b/>
                <w:sz w:val="24"/>
                <w:szCs w:val="24"/>
              </w:rPr>
            </w:pPr>
            <w:r>
              <w:rPr>
                <w:rFonts w:ascii="Times New Roman" w:hAnsi="Times New Roman" w:cs="Times New Roman"/>
                <w:b/>
                <w:sz w:val="24"/>
                <w:szCs w:val="24"/>
              </w:rPr>
              <w:t>Variable</w:t>
            </w:r>
          </w:p>
        </w:tc>
        <w:tc>
          <w:tcPr>
            <w:tcW w:w="2160" w:type="dxa"/>
          </w:tcPr>
          <w:p w:rsidR="00DF52EA" w:rsidRDefault="002953DC">
            <w:pPr>
              <w:jc w:val="center"/>
              <w:rPr>
                <w:rFonts w:ascii="Times New Roman" w:hAnsi="Times New Roman" w:cs="Times New Roman"/>
                <w:b/>
                <w:sz w:val="24"/>
                <w:szCs w:val="24"/>
              </w:rPr>
            </w:pPr>
            <w:r>
              <w:rPr>
                <w:rFonts w:ascii="Times New Roman" w:hAnsi="Times New Roman" w:cs="Times New Roman"/>
                <w:b/>
                <w:sz w:val="24"/>
                <w:szCs w:val="24"/>
              </w:rPr>
              <w:t>Category</w:t>
            </w:r>
          </w:p>
        </w:tc>
        <w:tc>
          <w:tcPr>
            <w:tcW w:w="2160" w:type="dxa"/>
          </w:tcPr>
          <w:p w:rsidR="00DF52EA" w:rsidRDefault="002953DC">
            <w:pPr>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2160" w:type="dxa"/>
          </w:tcPr>
          <w:p w:rsidR="00DF52EA" w:rsidRDefault="002953DC">
            <w:pPr>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DF52EA">
        <w:tc>
          <w:tcPr>
            <w:tcW w:w="2160" w:type="dxa"/>
          </w:tcPr>
          <w:p w:rsidR="00DF52EA" w:rsidRDefault="002953DC">
            <w:pPr>
              <w:jc w:val="center"/>
              <w:rPr>
                <w:rFonts w:ascii="Times New Roman" w:hAnsi="Times New Roman" w:cs="Times New Roman"/>
                <w:sz w:val="24"/>
                <w:szCs w:val="24"/>
              </w:rPr>
            </w:pPr>
            <w:r>
              <w:rPr>
                <w:rFonts w:ascii="Times New Roman" w:hAnsi="Times New Roman" w:cs="Times New Roman"/>
                <w:sz w:val="24"/>
                <w:szCs w:val="24"/>
              </w:rPr>
              <w:t>Gender</w:t>
            </w:r>
          </w:p>
        </w:tc>
        <w:tc>
          <w:tcPr>
            <w:tcW w:w="2160" w:type="dxa"/>
          </w:tcPr>
          <w:p w:rsidR="00DF52EA" w:rsidRDefault="002953DC">
            <w:pPr>
              <w:jc w:val="center"/>
              <w:rPr>
                <w:rFonts w:ascii="Times New Roman" w:hAnsi="Times New Roman" w:cs="Times New Roman"/>
                <w:sz w:val="24"/>
                <w:szCs w:val="24"/>
              </w:rPr>
            </w:pPr>
            <w:r>
              <w:rPr>
                <w:rFonts w:ascii="Times New Roman" w:hAnsi="Times New Roman" w:cs="Times New Roman"/>
                <w:sz w:val="24"/>
                <w:szCs w:val="24"/>
              </w:rPr>
              <w:t>Male</w:t>
            </w:r>
          </w:p>
        </w:tc>
        <w:tc>
          <w:tcPr>
            <w:tcW w:w="2160" w:type="dxa"/>
          </w:tcPr>
          <w:p w:rsidR="00DF52EA" w:rsidRDefault="002953DC">
            <w:pPr>
              <w:jc w:val="center"/>
              <w:rPr>
                <w:rFonts w:ascii="Times New Roman" w:hAnsi="Times New Roman" w:cs="Times New Roman"/>
                <w:sz w:val="24"/>
                <w:szCs w:val="24"/>
              </w:rPr>
            </w:pPr>
            <w:r>
              <w:rPr>
                <w:rFonts w:ascii="Times New Roman" w:hAnsi="Times New Roman" w:cs="Times New Roman"/>
                <w:sz w:val="24"/>
                <w:szCs w:val="24"/>
              </w:rPr>
              <w:t>230</w:t>
            </w:r>
          </w:p>
        </w:tc>
        <w:tc>
          <w:tcPr>
            <w:tcW w:w="2160" w:type="dxa"/>
          </w:tcPr>
          <w:p w:rsidR="00DF52EA" w:rsidRDefault="002953DC">
            <w:pPr>
              <w:jc w:val="center"/>
              <w:rPr>
                <w:rFonts w:ascii="Times New Roman" w:hAnsi="Times New Roman" w:cs="Times New Roman"/>
                <w:sz w:val="24"/>
                <w:szCs w:val="24"/>
              </w:rPr>
            </w:pPr>
            <w:r>
              <w:rPr>
                <w:rFonts w:ascii="Times New Roman" w:hAnsi="Times New Roman" w:cs="Times New Roman"/>
                <w:sz w:val="24"/>
                <w:szCs w:val="24"/>
              </w:rPr>
              <w:t>46.0</w:t>
            </w:r>
          </w:p>
        </w:tc>
      </w:tr>
      <w:tr w:rsidR="00DF52EA">
        <w:tc>
          <w:tcPr>
            <w:tcW w:w="2160" w:type="dxa"/>
          </w:tcPr>
          <w:p w:rsidR="00DF52EA" w:rsidRDefault="002953DC">
            <w:pPr>
              <w:jc w:val="center"/>
              <w:rPr>
                <w:rFonts w:ascii="Times New Roman" w:hAnsi="Times New Roman" w:cs="Times New Roman"/>
                <w:sz w:val="24"/>
                <w:szCs w:val="24"/>
              </w:rPr>
            </w:pPr>
            <w:r>
              <w:rPr>
                <w:rFonts w:ascii="Times New Roman" w:hAnsi="Times New Roman" w:cs="Times New Roman"/>
                <w:sz w:val="24"/>
                <w:szCs w:val="24"/>
              </w:rPr>
              <w:t>Gender</w:t>
            </w:r>
          </w:p>
        </w:tc>
        <w:tc>
          <w:tcPr>
            <w:tcW w:w="2160" w:type="dxa"/>
          </w:tcPr>
          <w:p w:rsidR="00DF52EA" w:rsidRDefault="002953DC">
            <w:pPr>
              <w:jc w:val="center"/>
              <w:rPr>
                <w:rFonts w:ascii="Times New Roman" w:hAnsi="Times New Roman" w:cs="Times New Roman"/>
                <w:sz w:val="24"/>
                <w:szCs w:val="24"/>
              </w:rPr>
            </w:pPr>
            <w:r>
              <w:rPr>
                <w:rFonts w:ascii="Times New Roman" w:hAnsi="Times New Roman" w:cs="Times New Roman"/>
                <w:sz w:val="24"/>
                <w:szCs w:val="24"/>
              </w:rPr>
              <w:t>Female</w:t>
            </w:r>
          </w:p>
        </w:tc>
        <w:tc>
          <w:tcPr>
            <w:tcW w:w="2160" w:type="dxa"/>
          </w:tcPr>
          <w:p w:rsidR="00DF52EA" w:rsidRDefault="002953DC">
            <w:pPr>
              <w:jc w:val="center"/>
              <w:rPr>
                <w:rFonts w:ascii="Times New Roman" w:hAnsi="Times New Roman" w:cs="Times New Roman"/>
                <w:sz w:val="24"/>
                <w:szCs w:val="24"/>
              </w:rPr>
            </w:pPr>
            <w:r>
              <w:rPr>
                <w:rFonts w:ascii="Times New Roman" w:hAnsi="Times New Roman" w:cs="Times New Roman"/>
                <w:sz w:val="24"/>
                <w:szCs w:val="24"/>
              </w:rPr>
              <w:t>270</w:t>
            </w:r>
          </w:p>
        </w:tc>
        <w:tc>
          <w:tcPr>
            <w:tcW w:w="2160" w:type="dxa"/>
          </w:tcPr>
          <w:p w:rsidR="00DF52EA" w:rsidRDefault="002953DC">
            <w:pPr>
              <w:jc w:val="center"/>
              <w:rPr>
                <w:rFonts w:ascii="Times New Roman" w:hAnsi="Times New Roman" w:cs="Times New Roman"/>
                <w:sz w:val="24"/>
                <w:szCs w:val="24"/>
              </w:rPr>
            </w:pPr>
            <w:r>
              <w:rPr>
                <w:rFonts w:ascii="Times New Roman" w:hAnsi="Times New Roman" w:cs="Times New Roman"/>
                <w:sz w:val="24"/>
                <w:szCs w:val="24"/>
              </w:rPr>
              <w:t>54.0</w:t>
            </w:r>
          </w:p>
        </w:tc>
      </w:tr>
      <w:tr w:rsidR="00DF52EA">
        <w:tc>
          <w:tcPr>
            <w:tcW w:w="2160" w:type="dxa"/>
          </w:tcPr>
          <w:p w:rsidR="00DF52EA" w:rsidRDefault="002953DC">
            <w:pPr>
              <w:jc w:val="center"/>
              <w:rPr>
                <w:rFonts w:ascii="Times New Roman" w:hAnsi="Times New Roman" w:cs="Times New Roman"/>
                <w:sz w:val="24"/>
                <w:szCs w:val="24"/>
              </w:rPr>
            </w:pPr>
            <w:r>
              <w:rPr>
                <w:rFonts w:ascii="Times New Roman" w:hAnsi="Times New Roman" w:cs="Times New Roman"/>
                <w:sz w:val="24"/>
                <w:szCs w:val="24"/>
              </w:rPr>
              <w:t>Age Group (years)</w:t>
            </w:r>
          </w:p>
        </w:tc>
        <w:tc>
          <w:tcPr>
            <w:tcW w:w="2160" w:type="dxa"/>
          </w:tcPr>
          <w:p w:rsidR="00DF52EA" w:rsidRDefault="002953DC">
            <w:pPr>
              <w:jc w:val="center"/>
              <w:rPr>
                <w:rFonts w:ascii="Times New Roman" w:hAnsi="Times New Roman" w:cs="Times New Roman"/>
                <w:sz w:val="24"/>
                <w:szCs w:val="24"/>
              </w:rPr>
            </w:pPr>
            <w:r>
              <w:rPr>
                <w:rFonts w:ascii="Times New Roman" w:hAnsi="Times New Roman" w:cs="Times New Roman"/>
                <w:sz w:val="24"/>
                <w:szCs w:val="24"/>
              </w:rPr>
              <w:t>18–30</w:t>
            </w:r>
          </w:p>
        </w:tc>
        <w:tc>
          <w:tcPr>
            <w:tcW w:w="2160" w:type="dxa"/>
          </w:tcPr>
          <w:p w:rsidR="00DF52EA" w:rsidRDefault="002953DC">
            <w:pPr>
              <w:jc w:val="center"/>
              <w:rPr>
                <w:rFonts w:ascii="Times New Roman" w:hAnsi="Times New Roman" w:cs="Times New Roman"/>
                <w:sz w:val="24"/>
                <w:szCs w:val="24"/>
              </w:rPr>
            </w:pPr>
            <w:r>
              <w:rPr>
                <w:rFonts w:ascii="Times New Roman" w:hAnsi="Times New Roman" w:cs="Times New Roman"/>
                <w:sz w:val="24"/>
                <w:szCs w:val="24"/>
              </w:rPr>
              <w:t>140</w:t>
            </w:r>
          </w:p>
        </w:tc>
        <w:tc>
          <w:tcPr>
            <w:tcW w:w="2160" w:type="dxa"/>
          </w:tcPr>
          <w:p w:rsidR="00DF52EA" w:rsidRDefault="002953DC">
            <w:pPr>
              <w:jc w:val="center"/>
              <w:rPr>
                <w:rFonts w:ascii="Times New Roman" w:hAnsi="Times New Roman" w:cs="Times New Roman"/>
                <w:sz w:val="24"/>
                <w:szCs w:val="24"/>
              </w:rPr>
            </w:pPr>
            <w:r>
              <w:rPr>
                <w:rFonts w:ascii="Times New Roman" w:hAnsi="Times New Roman" w:cs="Times New Roman"/>
                <w:sz w:val="24"/>
                <w:szCs w:val="24"/>
              </w:rPr>
              <w:t>28.0</w:t>
            </w:r>
          </w:p>
        </w:tc>
      </w:tr>
      <w:tr w:rsidR="00DF52EA">
        <w:tc>
          <w:tcPr>
            <w:tcW w:w="2160" w:type="dxa"/>
          </w:tcPr>
          <w:p w:rsidR="00DF52EA" w:rsidRDefault="002953DC">
            <w:pPr>
              <w:jc w:val="center"/>
              <w:rPr>
                <w:rFonts w:ascii="Times New Roman" w:hAnsi="Times New Roman" w:cs="Times New Roman"/>
                <w:sz w:val="24"/>
                <w:szCs w:val="24"/>
              </w:rPr>
            </w:pPr>
            <w:r>
              <w:rPr>
                <w:rFonts w:ascii="Times New Roman" w:hAnsi="Times New Roman" w:cs="Times New Roman"/>
                <w:sz w:val="24"/>
                <w:szCs w:val="24"/>
              </w:rPr>
              <w:t>Age Group (years)</w:t>
            </w:r>
          </w:p>
        </w:tc>
        <w:tc>
          <w:tcPr>
            <w:tcW w:w="2160" w:type="dxa"/>
          </w:tcPr>
          <w:p w:rsidR="00DF52EA" w:rsidRDefault="002953DC">
            <w:pPr>
              <w:jc w:val="center"/>
              <w:rPr>
                <w:rFonts w:ascii="Times New Roman" w:hAnsi="Times New Roman" w:cs="Times New Roman"/>
                <w:sz w:val="24"/>
                <w:szCs w:val="24"/>
              </w:rPr>
            </w:pPr>
            <w:r>
              <w:rPr>
                <w:rFonts w:ascii="Times New Roman" w:hAnsi="Times New Roman" w:cs="Times New Roman"/>
                <w:sz w:val="24"/>
                <w:szCs w:val="24"/>
              </w:rPr>
              <w:t>31–50</w:t>
            </w:r>
          </w:p>
        </w:tc>
        <w:tc>
          <w:tcPr>
            <w:tcW w:w="2160" w:type="dxa"/>
          </w:tcPr>
          <w:p w:rsidR="00DF52EA" w:rsidRDefault="002953DC">
            <w:pPr>
              <w:jc w:val="center"/>
              <w:rPr>
                <w:rFonts w:ascii="Times New Roman" w:hAnsi="Times New Roman" w:cs="Times New Roman"/>
                <w:sz w:val="24"/>
                <w:szCs w:val="24"/>
              </w:rPr>
            </w:pPr>
            <w:r>
              <w:rPr>
                <w:rFonts w:ascii="Times New Roman" w:hAnsi="Times New Roman" w:cs="Times New Roman"/>
                <w:sz w:val="24"/>
                <w:szCs w:val="24"/>
              </w:rPr>
              <w:t>230</w:t>
            </w:r>
          </w:p>
        </w:tc>
        <w:tc>
          <w:tcPr>
            <w:tcW w:w="2160" w:type="dxa"/>
          </w:tcPr>
          <w:p w:rsidR="00DF52EA" w:rsidRDefault="002953DC">
            <w:pPr>
              <w:jc w:val="center"/>
              <w:rPr>
                <w:rFonts w:ascii="Times New Roman" w:hAnsi="Times New Roman" w:cs="Times New Roman"/>
                <w:sz w:val="24"/>
                <w:szCs w:val="24"/>
              </w:rPr>
            </w:pPr>
            <w:r>
              <w:rPr>
                <w:rFonts w:ascii="Times New Roman" w:hAnsi="Times New Roman" w:cs="Times New Roman"/>
                <w:sz w:val="24"/>
                <w:szCs w:val="24"/>
              </w:rPr>
              <w:t>46.0</w:t>
            </w:r>
          </w:p>
        </w:tc>
      </w:tr>
      <w:tr w:rsidR="00DF52EA">
        <w:tc>
          <w:tcPr>
            <w:tcW w:w="2160" w:type="dxa"/>
          </w:tcPr>
          <w:p w:rsidR="00DF52EA" w:rsidRDefault="002953DC">
            <w:pPr>
              <w:jc w:val="center"/>
              <w:rPr>
                <w:rFonts w:ascii="Times New Roman" w:hAnsi="Times New Roman" w:cs="Times New Roman"/>
                <w:sz w:val="24"/>
                <w:szCs w:val="24"/>
              </w:rPr>
            </w:pPr>
            <w:r>
              <w:rPr>
                <w:rFonts w:ascii="Times New Roman" w:hAnsi="Times New Roman" w:cs="Times New Roman"/>
                <w:sz w:val="24"/>
                <w:szCs w:val="24"/>
              </w:rPr>
              <w:t>Age Group (years)</w:t>
            </w:r>
          </w:p>
        </w:tc>
        <w:tc>
          <w:tcPr>
            <w:tcW w:w="2160" w:type="dxa"/>
          </w:tcPr>
          <w:p w:rsidR="00DF52EA" w:rsidRDefault="002953DC">
            <w:pPr>
              <w:jc w:val="center"/>
              <w:rPr>
                <w:rFonts w:ascii="Times New Roman" w:hAnsi="Times New Roman" w:cs="Times New Roman"/>
                <w:sz w:val="24"/>
                <w:szCs w:val="24"/>
              </w:rPr>
            </w:pPr>
            <w:r>
              <w:rPr>
                <w:rFonts w:ascii="Times New Roman" w:hAnsi="Times New Roman" w:cs="Times New Roman"/>
                <w:sz w:val="24"/>
                <w:szCs w:val="24"/>
              </w:rPr>
              <w:t>51 and above</w:t>
            </w:r>
          </w:p>
        </w:tc>
        <w:tc>
          <w:tcPr>
            <w:tcW w:w="2160" w:type="dxa"/>
          </w:tcPr>
          <w:p w:rsidR="00DF52EA" w:rsidRDefault="002953DC">
            <w:pPr>
              <w:jc w:val="center"/>
              <w:rPr>
                <w:rFonts w:ascii="Times New Roman" w:hAnsi="Times New Roman" w:cs="Times New Roman"/>
                <w:sz w:val="24"/>
                <w:szCs w:val="24"/>
              </w:rPr>
            </w:pPr>
            <w:r>
              <w:rPr>
                <w:rFonts w:ascii="Times New Roman" w:hAnsi="Times New Roman" w:cs="Times New Roman"/>
                <w:sz w:val="24"/>
                <w:szCs w:val="24"/>
              </w:rPr>
              <w:t>130</w:t>
            </w:r>
          </w:p>
        </w:tc>
        <w:tc>
          <w:tcPr>
            <w:tcW w:w="2160" w:type="dxa"/>
          </w:tcPr>
          <w:p w:rsidR="00DF52EA" w:rsidRDefault="002953DC">
            <w:pPr>
              <w:jc w:val="center"/>
              <w:rPr>
                <w:rFonts w:ascii="Times New Roman" w:hAnsi="Times New Roman" w:cs="Times New Roman"/>
                <w:sz w:val="24"/>
                <w:szCs w:val="24"/>
              </w:rPr>
            </w:pPr>
            <w:r>
              <w:rPr>
                <w:rFonts w:ascii="Times New Roman" w:hAnsi="Times New Roman" w:cs="Times New Roman"/>
                <w:sz w:val="24"/>
                <w:szCs w:val="24"/>
              </w:rPr>
              <w:t>26.0</w:t>
            </w:r>
          </w:p>
        </w:tc>
      </w:tr>
      <w:tr w:rsidR="00DF52EA">
        <w:tc>
          <w:tcPr>
            <w:tcW w:w="2160" w:type="dxa"/>
          </w:tcPr>
          <w:p w:rsidR="00DF52EA" w:rsidRDefault="002953DC">
            <w:pPr>
              <w:jc w:val="center"/>
              <w:rPr>
                <w:rFonts w:ascii="Times New Roman" w:hAnsi="Times New Roman" w:cs="Times New Roman"/>
                <w:sz w:val="24"/>
                <w:szCs w:val="24"/>
              </w:rPr>
            </w:pPr>
            <w:r>
              <w:rPr>
                <w:rFonts w:ascii="Times New Roman" w:hAnsi="Times New Roman" w:cs="Times New Roman"/>
                <w:sz w:val="24"/>
                <w:szCs w:val="24"/>
              </w:rPr>
              <w:t>Educational Level</w:t>
            </w:r>
          </w:p>
        </w:tc>
        <w:tc>
          <w:tcPr>
            <w:tcW w:w="2160" w:type="dxa"/>
          </w:tcPr>
          <w:p w:rsidR="00DF52EA" w:rsidRDefault="002953DC">
            <w:pPr>
              <w:jc w:val="center"/>
              <w:rPr>
                <w:rFonts w:ascii="Times New Roman" w:hAnsi="Times New Roman" w:cs="Times New Roman"/>
                <w:sz w:val="24"/>
                <w:szCs w:val="24"/>
              </w:rPr>
            </w:pPr>
            <w:r>
              <w:rPr>
                <w:rFonts w:ascii="Times New Roman" w:hAnsi="Times New Roman" w:cs="Times New Roman"/>
                <w:sz w:val="24"/>
                <w:szCs w:val="24"/>
              </w:rPr>
              <w:t xml:space="preserve">No formal </w:t>
            </w:r>
            <w:r>
              <w:rPr>
                <w:rFonts w:ascii="Times New Roman" w:hAnsi="Times New Roman" w:cs="Times New Roman"/>
                <w:sz w:val="24"/>
                <w:szCs w:val="24"/>
              </w:rPr>
              <w:lastRenderedPageBreak/>
              <w:t>education</w:t>
            </w:r>
          </w:p>
        </w:tc>
        <w:tc>
          <w:tcPr>
            <w:tcW w:w="2160" w:type="dxa"/>
          </w:tcPr>
          <w:p w:rsidR="00DF52EA" w:rsidRDefault="002953DC">
            <w:pPr>
              <w:jc w:val="center"/>
              <w:rPr>
                <w:rFonts w:ascii="Times New Roman" w:hAnsi="Times New Roman" w:cs="Times New Roman"/>
                <w:sz w:val="24"/>
                <w:szCs w:val="24"/>
              </w:rPr>
            </w:pPr>
            <w:r>
              <w:rPr>
                <w:rFonts w:ascii="Times New Roman" w:hAnsi="Times New Roman" w:cs="Times New Roman"/>
                <w:sz w:val="24"/>
                <w:szCs w:val="24"/>
              </w:rPr>
              <w:lastRenderedPageBreak/>
              <w:t>70</w:t>
            </w:r>
          </w:p>
        </w:tc>
        <w:tc>
          <w:tcPr>
            <w:tcW w:w="2160" w:type="dxa"/>
          </w:tcPr>
          <w:p w:rsidR="00DF52EA" w:rsidRDefault="002953DC">
            <w:pPr>
              <w:jc w:val="center"/>
              <w:rPr>
                <w:rFonts w:ascii="Times New Roman" w:hAnsi="Times New Roman" w:cs="Times New Roman"/>
                <w:sz w:val="24"/>
                <w:szCs w:val="24"/>
              </w:rPr>
            </w:pPr>
            <w:r>
              <w:rPr>
                <w:rFonts w:ascii="Times New Roman" w:hAnsi="Times New Roman" w:cs="Times New Roman"/>
                <w:sz w:val="24"/>
                <w:szCs w:val="24"/>
              </w:rPr>
              <w:t>14.0</w:t>
            </w:r>
          </w:p>
        </w:tc>
      </w:tr>
      <w:tr w:rsidR="00DF52EA">
        <w:tc>
          <w:tcPr>
            <w:tcW w:w="2160" w:type="dxa"/>
          </w:tcPr>
          <w:p w:rsidR="00DF52EA" w:rsidRDefault="002953DC">
            <w:pPr>
              <w:jc w:val="center"/>
              <w:rPr>
                <w:rFonts w:ascii="Times New Roman" w:hAnsi="Times New Roman" w:cs="Times New Roman"/>
                <w:sz w:val="24"/>
                <w:szCs w:val="24"/>
              </w:rPr>
            </w:pPr>
            <w:r>
              <w:rPr>
                <w:rFonts w:ascii="Times New Roman" w:hAnsi="Times New Roman" w:cs="Times New Roman"/>
                <w:sz w:val="24"/>
                <w:szCs w:val="24"/>
              </w:rPr>
              <w:t>Educational Level</w:t>
            </w:r>
          </w:p>
        </w:tc>
        <w:tc>
          <w:tcPr>
            <w:tcW w:w="2160" w:type="dxa"/>
          </w:tcPr>
          <w:p w:rsidR="00DF52EA" w:rsidRDefault="002953DC">
            <w:pPr>
              <w:jc w:val="center"/>
              <w:rPr>
                <w:rFonts w:ascii="Times New Roman" w:hAnsi="Times New Roman" w:cs="Times New Roman"/>
                <w:sz w:val="24"/>
                <w:szCs w:val="24"/>
              </w:rPr>
            </w:pPr>
            <w:r>
              <w:rPr>
                <w:rFonts w:ascii="Times New Roman" w:hAnsi="Times New Roman" w:cs="Times New Roman"/>
                <w:sz w:val="24"/>
                <w:szCs w:val="24"/>
              </w:rPr>
              <w:t>Primary</w:t>
            </w:r>
          </w:p>
        </w:tc>
        <w:tc>
          <w:tcPr>
            <w:tcW w:w="2160" w:type="dxa"/>
          </w:tcPr>
          <w:p w:rsidR="00DF52EA" w:rsidRDefault="002953DC">
            <w:pPr>
              <w:jc w:val="center"/>
              <w:rPr>
                <w:rFonts w:ascii="Times New Roman" w:hAnsi="Times New Roman" w:cs="Times New Roman"/>
                <w:sz w:val="24"/>
                <w:szCs w:val="24"/>
              </w:rPr>
            </w:pPr>
            <w:r>
              <w:rPr>
                <w:rFonts w:ascii="Times New Roman" w:hAnsi="Times New Roman" w:cs="Times New Roman"/>
                <w:sz w:val="24"/>
                <w:szCs w:val="24"/>
              </w:rPr>
              <w:t>90</w:t>
            </w:r>
          </w:p>
        </w:tc>
        <w:tc>
          <w:tcPr>
            <w:tcW w:w="2160" w:type="dxa"/>
          </w:tcPr>
          <w:p w:rsidR="00DF52EA" w:rsidRDefault="002953DC">
            <w:pPr>
              <w:jc w:val="center"/>
              <w:rPr>
                <w:rFonts w:ascii="Times New Roman" w:hAnsi="Times New Roman" w:cs="Times New Roman"/>
                <w:sz w:val="24"/>
                <w:szCs w:val="24"/>
              </w:rPr>
            </w:pPr>
            <w:r>
              <w:rPr>
                <w:rFonts w:ascii="Times New Roman" w:hAnsi="Times New Roman" w:cs="Times New Roman"/>
                <w:sz w:val="24"/>
                <w:szCs w:val="24"/>
              </w:rPr>
              <w:t>18.0</w:t>
            </w:r>
          </w:p>
        </w:tc>
      </w:tr>
      <w:tr w:rsidR="00DF52EA">
        <w:tc>
          <w:tcPr>
            <w:tcW w:w="2160" w:type="dxa"/>
          </w:tcPr>
          <w:p w:rsidR="00DF52EA" w:rsidRDefault="002953DC">
            <w:pPr>
              <w:jc w:val="center"/>
              <w:rPr>
                <w:rFonts w:ascii="Times New Roman" w:hAnsi="Times New Roman" w:cs="Times New Roman"/>
                <w:sz w:val="24"/>
                <w:szCs w:val="24"/>
              </w:rPr>
            </w:pPr>
            <w:r>
              <w:rPr>
                <w:rFonts w:ascii="Times New Roman" w:hAnsi="Times New Roman" w:cs="Times New Roman"/>
                <w:sz w:val="24"/>
                <w:szCs w:val="24"/>
              </w:rPr>
              <w:t>Educational Level</w:t>
            </w:r>
          </w:p>
        </w:tc>
        <w:tc>
          <w:tcPr>
            <w:tcW w:w="2160" w:type="dxa"/>
          </w:tcPr>
          <w:p w:rsidR="00DF52EA" w:rsidRDefault="002953DC">
            <w:pPr>
              <w:jc w:val="center"/>
              <w:rPr>
                <w:rFonts w:ascii="Times New Roman" w:hAnsi="Times New Roman" w:cs="Times New Roman"/>
                <w:sz w:val="24"/>
                <w:szCs w:val="24"/>
              </w:rPr>
            </w:pPr>
            <w:r>
              <w:rPr>
                <w:rFonts w:ascii="Times New Roman" w:hAnsi="Times New Roman" w:cs="Times New Roman"/>
                <w:sz w:val="24"/>
                <w:szCs w:val="24"/>
              </w:rPr>
              <w:t>Secondary</w:t>
            </w:r>
          </w:p>
        </w:tc>
        <w:tc>
          <w:tcPr>
            <w:tcW w:w="2160" w:type="dxa"/>
          </w:tcPr>
          <w:p w:rsidR="00DF52EA" w:rsidRDefault="002953DC">
            <w:pPr>
              <w:jc w:val="center"/>
              <w:rPr>
                <w:rFonts w:ascii="Times New Roman" w:hAnsi="Times New Roman" w:cs="Times New Roman"/>
                <w:sz w:val="24"/>
                <w:szCs w:val="24"/>
              </w:rPr>
            </w:pPr>
            <w:r>
              <w:rPr>
                <w:rFonts w:ascii="Times New Roman" w:hAnsi="Times New Roman" w:cs="Times New Roman"/>
                <w:sz w:val="24"/>
                <w:szCs w:val="24"/>
              </w:rPr>
              <w:t>160</w:t>
            </w:r>
          </w:p>
        </w:tc>
        <w:tc>
          <w:tcPr>
            <w:tcW w:w="2160" w:type="dxa"/>
          </w:tcPr>
          <w:p w:rsidR="00DF52EA" w:rsidRDefault="002953DC">
            <w:pPr>
              <w:jc w:val="center"/>
              <w:rPr>
                <w:rFonts w:ascii="Times New Roman" w:hAnsi="Times New Roman" w:cs="Times New Roman"/>
                <w:sz w:val="24"/>
                <w:szCs w:val="24"/>
              </w:rPr>
            </w:pPr>
            <w:r>
              <w:rPr>
                <w:rFonts w:ascii="Times New Roman" w:hAnsi="Times New Roman" w:cs="Times New Roman"/>
                <w:sz w:val="24"/>
                <w:szCs w:val="24"/>
              </w:rPr>
              <w:t>32.0</w:t>
            </w:r>
          </w:p>
        </w:tc>
      </w:tr>
      <w:tr w:rsidR="00DF52EA">
        <w:tc>
          <w:tcPr>
            <w:tcW w:w="2160" w:type="dxa"/>
          </w:tcPr>
          <w:p w:rsidR="00DF52EA" w:rsidRDefault="002953DC">
            <w:pPr>
              <w:jc w:val="center"/>
              <w:rPr>
                <w:rFonts w:ascii="Times New Roman" w:hAnsi="Times New Roman" w:cs="Times New Roman"/>
                <w:sz w:val="24"/>
                <w:szCs w:val="24"/>
              </w:rPr>
            </w:pPr>
            <w:r>
              <w:rPr>
                <w:rFonts w:ascii="Times New Roman" w:hAnsi="Times New Roman" w:cs="Times New Roman"/>
                <w:sz w:val="24"/>
                <w:szCs w:val="24"/>
              </w:rPr>
              <w:t>Educational Level</w:t>
            </w:r>
          </w:p>
        </w:tc>
        <w:tc>
          <w:tcPr>
            <w:tcW w:w="2160" w:type="dxa"/>
          </w:tcPr>
          <w:p w:rsidR="00DF52EA" w:rsidRDefault="002953DC">
            <w:pPr>
              <w:jc w:val="center"/>
              <w:rPr>
                <w:rFonts w:ascii="Times New Roman" w:hAnsi="Times New Roman" w:cs="Times New Roman"/>
                <w:sz w:val="24"/>
                <w:szCs w:val="24"/>
              </w:rPr>
            </w:pPr>
            <w:r>
              <w:rPr>
                <w:rFonts w:ascii="Times New Roman" w:hAnsi="Times New Roman" w:cs="Times New Roman"/>
                <w:sz w:val="24"/>
                <w:szCs w:val="24"/>
              </w:rPr>
              <w:t>Tertiary</w:t>
            </w:r>
          </w:p>
        </w:tc>
        <w:tc>
          <w:tcPr>
            <w:tcW w:w="2160" w:type="dxa"/>
          </w:tcPr>
          <w:p w:rsidR="00DF52EA" w:rsidRDefault="002953DC">
            <w:pPr>
              <w:jc w:val="center"/>
              <w:rPr>
                <w:rFonts w:ascii="Times New Roman" w:hAnsi="Times New Roman" w:cs="Times New Roman"/>
                <w:sz w:val="24"/>
                <w:szCs w:val="24"/>
              </w:rPr>
            </w:pPr>
            <w:r>
              <w:rPr>
                <w:rFonts w:ascii="Times New Roman" w:hAnsi="Times New Roman" w:cs="Times New Roman"/>
                <w:sz w:val="24"/>
                <w:szCs w:val="24"/>
              </w:rPr>
              <w:t>180</w:t>
            </w:r>
          </w:p>
        </w:tc>
        <w:tc>
          <w:tcPr>
            <w:tcW w:w="2160" w:type="dxa"/>
          </w:tcPr>
          <w:p w:rsidR="00DF52EA" w:rsidRDefault="002953DC">
            <w:pPr>
              <w:jc w:val="center"/>
              <w:rPr>
                <w:rFonts w:ascii="Times New Roman" w:hAnsi="Times New Roman" w:cs="Times New Roman"/>
                <w:sz w:val="24"/>
                <w:szCs w:val="24"/>
              </w:rPr>
            </w:pPr>
            <w:r>
              <w:rPr>
                <w:rFonts w:ascii="Times New Roman" w:hAnsi="Times New Roman" w:cs="Times New Roman"/>
                <w:sz w:val="24"/>
                <w:szCs w:val="24"/>
              </w:rPr>
              <w:t>36.0</w:t>
            </w:r>
          </w:p>
        </w:tc>
      </w:tr>
      <w:tr w:rsidR="00DF52EA">
        <w:tc>
          <w:tcPr>
            <w:tcW w:w="2160" w:type="dxa"/>
          </w:tcPr>
          <w:p w:rsidR="00DF52EA" w:rsidRDefault="002953DC">
            <w:pPr>
              <w:jc w:val="center"/>
              <w:rPr>
                <w:rFonts w:ascii="Times New Roman" w:hAnsi="Times New Roman" w:cs="Times New Roman"/>
                <w:sz w:val="24"/>
                <w:szCs w:val="24"/>
              </w:rPr>
            </w:pPr>
            <w:r>
              <w:rPr>
                <w:rFonts w:ascii="Times New Roman" w:hAnsi="Times New Roman" w:cs="Times New Roman"/>
                <w:sz w:val="24"/>
                <w:szCs w:val="24"/>
              </w:rPr>
              <w:t>Household Income Level</w:t>
            </w:r>
          </w:p>
        </w:tc>
        <w:tc>
          <w:tcPr>
            <w:tcW w:w="2160" w:type="dxa"/>
          </w:tcPr>
          <w:p w:rsidR="00DF52EA" w:rsidRDefault="002953DC">
            <w:pPr>
              <w:jc w:val="center"/>
              <w:rPr>
                <w:rFonts w:ascii="Times New Roman" w:hAnsi="Times New Roman" w:cs="Times New Roman"/>
                <w:sz w:val="24"/>
                <w:szCs w:val="24"/>
              </w:rPr>
            </w:pPr>
            <w:r>
              <w:rPr>
                <w:rFonts w:ascii="Times New Roman" w:hAnsi="Times New Roman" w:cs="Times New Roman"/>
                <w:sz w:val="24"/>
                <w:szCs w:val="24"/>
              </w:rPr>
              <w:t>Low (&lt;₦50,000)</w:t>
            </w:r>
          </w:p>
        </w:tc>
        <w:tc>
          <w:tcPr>
            <w:tcW w:w="2160" w:type="dxa"/>
          </w:tcPr>
          <w:p w:rsidR="00DF52EA" w:rsidRDefault="002953DC">
            <w:pPr>
              <w:jc w:val="center"/>
              <w:rPr>
                <w:rFonts w:ascii="Times New Roman" w:hAnsi="Times New Roman" w:cs="Times New Roman"/>
                <w:sz w:val="24"/>
                <w:szCs w:val="24"/>
              </w:rPr>
            </w:pPr>
            <w:r>
              <w:rPr>
                <w:rFonts w:ascii="Times New Roman" w:hAnsi="Times New Roman" w:cs="Times New Roman"/>
                <w:sz w:val="24"/>
                <w:szCs w:val="24"/>
              </w:rPr>
              <w:t>210</w:t>
            </w:r>
          </w:p>
        </w:tc>
        <w:tc>
          <w:tcPr>
            <w:tcW w:w="2160" w:type="dxa"/>
          </w:tcPr>
          <w:p w:rsidR="00DF52EA" w:rsidRDefault="002953DC">
            <w:pPr>
              <w:jc w:val="center"/>
              <w:rPr>
                <w:rFonts w:ascii="Times New Roman" w:hAnsi="Times New Roman" w:cs="Times New Roman"/>
                <w:sz w:val="24"/>
                <w:szCs w:val="24"/>
              </w:rPr>
            </w:pPr>
            <w:r>
              <w:rPr>
                <w:rFonts w:ascii="Times New Roman" w:hAnsi="Times New Roman" w:cs="Times New Roman"/>
                <w:sz w:val="24"/>
                <w:szCs w:val="24"/>
              </w:rPr>
              <w:t>42.0</w:t>
            </w:r>
          </w:p>
        </w:tc>
      </w:tr>
      <w:tr w:rsidR="00DF52EA">
        <w:tc>
          <w:tcPr>
            <w:tcW w:w="2160" w:type="dxa"/>
          </w:tcPr>
          <w:p w:rsidR="00DF52EA" w:rsidRDefault="002953DC">
            <w:pPr>
              <w:jc w:val="center"/>
              <w:rPr>
                <w:rFonts w:ascii="Times New Roman" w:hAnsi="Times New Roman" w:cs="Times New Roman"/>
                <w:sz w:val="24"/>
                <w:szCs w:val="24"/>
              </w:rPr>
            </w:pPr>
            <w:r>
              <w:rPr>
                <w:rFonts w:ascii="Times New Roman" w:hAnsi="Times New Roman" w:cs="Times New Roman"/>
                <w:sz w:val="24"/>
                <w:szCs w:val="24"/>
              </w:rPr>
              <w:t>Household Income Level</w:t>
            </w:r>
          </w:p>
        </w:tc>
        <w:tc>
          <w:tcPr>
            <w:tcW w:w="2160" w:type="dxa"/>
          </w:tcPr>
          <w:p w:rsidR="00DF52EA" w:rsidRDefault="002953DC">
            <w:pPr>
              <w:jc w:val="center"/>
              <w:rPr>
                <w:rFonts w:ascii="Times New Roman" w:hAnsi="Times New Roman" w:cs="Times New Roman"/>
                <w:sz w:val="24"/>
                <w:szCs w:val="24"/>
              </w:rPr>
            </w:pPr>
            <w:r>
              <w:rPr>
                <w:rFonts w:ascii="Times New Roman" w:hAnsi="Times New Roman" w:cs="Times New Roman"/>
                <w:sz w:val="24"/>
                <w:szCs w:val="24"/>
              </w:rPr>
              <w:t>Middle (₦50k–₦150k)</w:t>
            </w:r>
          </w:p>
        </w:tc>
        <w:tc>
          <w:tcPr>
            <w:tcW w:w="2160" w:type="dxa"/>
          </w:tcPr>
          <w:p w:rsidR="00DF52EA" w:rsidRDefault="002953DC">
            <w:pPr>
              <w:jc w:val="center"/>
              <w:rPr>
                <w:rFonts w:ascii="Times New Roman" w:hAnsi="Times New Roman" w:cs="Times New Roman"/>
                <w:sz w:val="24"/>
                <w:szCs w:val="24"/>
              </w:rPr>
            </w:pPr>
            <w:r>
              <w:rPr>
                <w:rFonts w:ascii="Times New Roman" w:hAnsi="Times New Roman" w:cs="Times New Roman"/>
                <w:sz w:val="24"/>
                <w:szCs w:val="24"/>
              </w:rPr>
              <w:t>190</w:t>
            </w:r>
          </w:p>
        </w:tc>
        <w:tc>
          <w:tcPr>
            <w:tcW w:w="2160" w:type="dxa"/>
          </w:tcPr>
          <w:p w:rsidR="00DF52EA" w:rsidRDefault="002953DC">
            <w:pPr>
              <w:jc w:val="center"/>
              <w:rPr>
                <w:rFonts w:ascii="Times New Roman" w:hAnsi="Times New Roman" w:cs="Times New Roman"/>
                <w:sz w:val="24"/>
                <w:szCs w:val="24"/>
              </w:rPr>
            </w:pPr>
            <w:r>
              <w:rPr>
                <w:rFonts w:ascii="Times New Roman" w:hAnsi="Times New Roman" w:cs="Times New Roman"/>
                <w:sz w:val="24"/>
                <w:szCs w:val="24"/>
              </w:rPr>
              <w:t>38.0</w:t>
            </w:r>
          </w:p>
        </w:tc>
      </w:tr>
      <w:tr w:rsidR="00DF52EA">
        <w:tc>
          <w:tcPr>
            <w:tcW w:w="2160" w:type="dxa"/>
          </w:tcPr>
          <w:p w:rsidR="00DF52EA" w:rsidRDefault="002953DC">
            <w:pPr>
              <w:jc w:val="center"/>
              <w:rPr>
                <w:rFonts w:ascii="Times New Roman" w:hAnsi="Times New Roman" w:cs="Times New Roman"/>
                <w:sz w:val="24"/>
                <w:szCs w:val="24"/>
              </w:rPr>
            </w:pPr>
            <w:r>
              <w:rPr>
                <w:rFonts w:ascii="Times New Roman" w:hAnsi="Times New Roman" w:cs="Times New Roman"/>
                <w:sz w:val="24"/>
                <w:szCs w:val="24"/>
              </w:rPr>
              <w:t>Household Income Level</w:t>
            </w:r>
          </w:p>
        </w:tc>
        <w:tc>
          <w:tcPr>
            <w:tcW w:w="2160" w:type="dxa"/>
          </w:tcPr>
          <w:p w:rsidR="00DF52EA" w:rsidRDefault="002953DC">
            <w:pPr>
              <w:jc w:val="center"/>
              <w:rPr>
                <w:rFonts w:ascii="Times New Roman" w:hAnsi="Times New Roman" w:cs="Times New Roman"/>
                <w:sz w:val="24"/>
                <w:szCs w:val="24"/>
              </w:rPr>
            </w:pPr>
            <w:r>
              <w:rPr>
                <w:rFonts w:ascii="Times New Roman" w:hAnsi="Times New Roman" w:cs="Times New Roman"/>
                <w:sz w:val="24"/>
                <w:szCs w:val="24"/>
              </w:rPr>
              <w:t>High (&gt;₦150,000)</w:t>
            </w:r>
          </w:p>
        </w:tc>
        <w:tc>
          <w:tcPr>
            <w:tcW w:w="2160" w:type="dxa"/>
          </w:tcPr>
          <w:p w:rsidR="00DF52EA" w:rsidRDefault="002953DC">
            <w:pPr>
              <w:jc w:val="center"/>
              <w:rPr>
                <w:rFonts w:ascii="Times New Roman" w:hAnsi="Times New Roman" w:cs="Times New Roman"/>
                <w:sz w:val="24"/>
                <w:szCs w:val="24"/>
              </w:rPr>
            </w:pPr>
            <w:r>
              <w:rPr>
                <w:rFonts w:ascii="Times New Roman" w:hAnsi="Times New Roman" w:cs="Times New Roman"/>
                <w:sz w:val="24"/>
                <w:szCs w:val="24"/>
              </w:rPr>
              <w:t>100</w:t>
            </w:r>
          </w:p>
        </w:tc>
        <w:tc>
          <w:tcPr>
            <w:tcW w:w="2160" w:type="dxa"/>
          </w:tcPr>
          <w:p w:rsidR="00DF52EA" w:rsidRDefault="002953DC">
            <w:pPr>
              <w:jc w:val="center"/>
              <w:rPr>
                <w:rFonts w:ascii="Times New Roman" w:hAnsi="Times New Roman" w:cs="Times New Roman"/>
                <w:sz w:val="24"/>
                <w:szCs w:val="24"/>
              </w:rPr>
            </w:pPr>
            <w:r>
              <w:rPr>
                <w:rFonts w:ascii="Times New Roman" w:hAnsi="Times New Roman" w:cs="Times New Roman"/>
                <w:sz w:val="24"/>
                <w:szCs w:val="24"/>
              </w:rPr>
              <w:t>20.0</w:t>
            </w:r>
          </w:p>
        </w:tc>
      </w:tr>
    </w:tbl>
    <w:p w:rsidR="00DF52EA" w:rsidRDefault="002953DC">
      <w:pPr>
        <w:pStyle w:val="Heading2"/>
        <w:rPr>
          <w:b w:val="0"/>
          <w:sz w:val="24"/>
          <w:szCs w:val="24"/>
        </w:rPr>
      </w:pPr>
      <w:r>
        <w:rPr>
          <w:b w:val="0"/>
          <w:sz w:val="24"/>
          <w:szCs w:val="24"/>
        </w:rPr>
        <w:t>(Source: Field Research, 2025)</w:t>
      </w:r>
    </w:p>
    <w:p w:rsidR="00DF52EA" w:rsidRDefault="002953DC">
      <w:pPr>
        <w:pStyle w:val="Heading2"/>
        <w:rPr>
          <w:sz w:val="24"/>
          <w:szCs w:val="24"/>
        </w:rPr>
      </w:pPr>
      <w:r>
        <w:rPr>
          <w:sz w:val="24"/>
          <w:szCs w:val="24"/>
        </w:rPr>
        <w:t>Table 2: Household Waste Management Practices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2880"/>
      </w:tblGrid>
      <w:tr w:rsidR="00DF52EA">
        <w:tc>
          <w:tcPr>
            <w:tcW w:w="2880" w:type="dxa"/>
          </w:tcPr>
          <w:p w:rsidR="00DF52EA" w:rsidRDefault="002953DC">
            <w:pPr>
              <w:jc w:val="center"/>
              <w:rPr>
                <w:rFonts w:ascii="Times New Roman" w:hAnsi="Times New Roman" w:cs="Times New Roman"/>
                <w:b/>
                <w:sz w:val="24"/>
                <w:szCs w:val="24"/>
              </w:rPr>
            </w:pPr>
            <w:r>
              <w:rPr>
                <w:rFonts w:ascii="Times New Roman" w:hAnsi="Times New Roman" w:cs="Times New Roman"/>
                <w:b/>
                <w:sz w:val="24"/>
                <w:szCs w:val="24"/>
              </w:rPr>
              <w:t>Practice</w:t>
            </w:r>
          </w:p>
        </w:tc>
        <w:tc>
          <w:tcPr>
            <w:tcW w:w="2880" w:type="dxa"/>
          </w:tcPr>
          <w:p w:rsidR="00DF52EA" w:rsidRDefault="002953DC">
            <w:pPr>
              <w:jc w:val="center"/>
              <w:rPr>
                <w:rFonts w:ascii="Times New Roman" w:hAnsi="Times New Roman" w:cs="Times New Roman"/>
                <w:b/>
                <w:sz w:val="24"/>
                <w:szCs w:val="24"/>
              </w:rPr>
            </w:pPr>
            <w:r>
              <w:rPr>
                <w:rFonts w:ascii="Times New Roman" w:hAnsi="Times New Roman" w:cs="Times New Roman"/>
                <w:b/>
                <w:sz w:val="24"/>
                <w:szCs w:val="24"/>
              </w:rPr>
              <w:t>Yes (%)</w:t>
            </w:r>
          </w:p>
        </w:tc>
        <w:tc>
          <w:tcPr>
            <w:tcW w:w="2880" w:type="dxa"/>
          </w:tcPr>
          <w:p w:rsidR="00DF52EA" w:rsidRDefault="002953DC">
            <w:pPr>
              <w:jc w:val="center"/>
              <w:rPr>
                <w:rFonts w:ascii="Times New Roman" w:hAnsi="Times New Roman" w:cs="Times New Roman"/>
                <w:b/>
                <w:sz w:val="24"/>
                <w:szCs w:val="24"/>
              </w:rPr>
            </w:pPr>
            <w:r>
              <w:rPr>
                <w:rFonts w:ascii="Times New Roman" w:hAnsi="Times New Roman" w:cs="Times New Roman"/>
                <w:b/>
                <w:sz w:val="24"/>
                <w:szCs w:val="24"/>
              </w:rPr>
              <w:t>No (%)</w:t>
            </w:r>
          </w:p>
        </w:tc>
      </w:tr>
      <w:tr w:rsidR="00DF52EA">
        <w:tc>
          <w:tcPr>
            <w:tcW w:w="2880" w:type="dxa"/>
          </w:tcPr>
          <w:p w:rsidR="00DF52EA" w:rsidRDefault="002953DC">
            <w:pPr>
              <w:jc w:val="center"/>
              <w:rPr>
                <w:rFonts w:ascii="Times New Roman" w:hAnsi="Times New Roman" w:cs="Times New Roman"/>
                <w:sz w:val="24"/>
                <w:szCs w:val="24"/>
              </w:rPr>
            </w:pPr>
            <w:r>
              <w:rPr>
                <w:rFonts w:ascii="Times New Roman" w:hAnsi="Times New Roman" w:cs="Times New Roman"/>
                <w:sz w:val="24"/>
                <w:szCs w:val="24"/>
              </w:rPr>
              <w:t>Segregates waste at source</w:t>
            </w:r>
          </w:p>
        </w:tc>
        <w:tc>
          <w:tcPr>
            <w:tcW w:w="2880" w:type="dxa"/>
          </w:tcPr>
          <w:p w:rsidR="00DF52EA" w:rsidRDefault="002953DC">
            <w:pPr>
              <w:jc w:val="center"/>
              <w:rPr>
                <w:rFonts w:ascii="Times New Roman" w:hAnsi="Times New Roman" w:cs="Times New Roman"/>
                <w:sz w:val="24"/>
                <w:szCs w:val="24"/>
              </w:rPr>
            </w:pPr>
            <w:r>
              <w:rPr>
                <w:rFonts w:ascii="Times New Roman" w:hAnsi="Times New Roman" w:cs="Times New Roman"/>
                <w:sz w:val="24"/>
                <w:szCs w:val="24"/>
              </w:rPr>
              <w:t>35.4</w:t>
            </w:r>
          </w:p>
        </w:tc>
        <w:tc>
          <w:tcPr>
            <w:tcW w:w="2880" w:type="dxa"/>
          </w:tcPr>
          <w:p w:rsidR="00DF52EA" w:rsidRDefault="002953DC">
            <w:pPr>
              <w:jc w:val="center"/>
              <w:rPr>
                <w:rFonts w:ascii="Times New Roman" w:hAnsi="Times New Roman" w:cs="Times New Roman"/>
                <w:sz w:val="24"/>
                <w:szCs w:val="24"/>
              </w:rPr>
            </w:pPr>
            <w:r>
              <w:rPr>
                <w:rFonts w:ascii="Times New Roman" w:hAnsi="Times New Roman" w:cs="Times New Roman"/>
                <w:sz w:val="24"/>
                <w:szCs w:val="24"/>
              </w:rPr>
              <w:t>64.6</w:t>
            </w:r>
          </w:p>
        </w:tc>
      </w:tr>
      <w:tr w:rsidR="00DF52EA">
        <w:tc>
          <w:tcPr>
            <w:tcW w:w="2880" w:type="dxa"/>
          </w:tcPr>
          <w:p w:rsidR="00DF52EA" w:rsidRDefault="002953DC">
            <w:pPr>
              <w:jc w:val="center"/>
              <w:rPr>
                <w:rFonts w:ascii="Times New Roman" w:hAnsi="Times New Roman" w:cs="Times New Roman"/>
                <w:sz w:val="24"/>
                <w:szCs w:val="24"/>
              </w:rPr>
            </w:pPr>
            <w:r>
              <w:rPr>
                <w:rFonts w:ascii="Times New Roman" w:hAnsi="Times New Roman" w:cs="Times New Roman"/>
                <w:sz w:val="24"/>
                <w:szCs w:val="24"/>
              </w:rPr>
              <w:t>Participates in recycling</w:t>
            </w:r>
          </w:p>
        </w:tc>
        <w:tc>
          <w:tcPr>
            <w:tcW w:w="2880" w:type="dxa"/>
          </w:tcPr>
          <w:p w:rsidR="00DF52EA" w:rsidRDefault="002953DC">
            <w:pPr>
              <w:jc w:val="center"/>
              <w:rPr>
                <w:rFonts w:ascii="Times New Roman" w:hAnsi="Times New Roman" w:cs="Times New Roman"/>
                <w:sz w:val="24"/>
                <w:szCs w:val="24"/>
              </w:rPr>
            </w:pPr>
            <w:r>
              <w:rPr>
                <w:rFonts w:ascii="Times New Roman" w:hAnsi="Times New Roman" w:cs="Times New Roman"/>
                <w:sz w:val="24"/>
                <w:szCs w:val="24"/>
              </w:rPr>
              <w:t>28.6</w:t>
            </w:r>
          </w:p>
        </w:tc>
        <w:tc>
          <w:tcPr>
            <w:tcW w:w="2880" w:type="dxa"/>
          </w:tcPr>
          <w:p w:rsidR="00DF52EA" w:rsidRDefault="002953DC">
            <w:pPr>
              <w:jc w:val="center"/>
              <w:rPr>
                <w:rFonts w:ascii="Times New Roman" w:hAnsi="Times New Roman" w:cs="Times New Roman"/>
                <w:sz w:val="24"/>
                <w:szCs w:val="24"/>
              </w:rPr>
            </w:pPr>
            <w:r>
              <w:rPr>
                <w:rFonts w:ascii="Times New Roman" w:hAnsi="Times New Roman" w:cs="Times New Roman"/>
                <w:sz w:val="24"/>
                <w:szCs w:val="24"/>
              </w:rPr>
              <w:t>71.4</w:t>
            </w:r>
          </w:p>
        </w:tc>
      </w:tr>
      <w:tr w:rsidR="00DF52EA">
        <w:tc>
          <w:tcPr>
            <w:tcW w:w="2880" w:type="dxa"/>
          </w:tcPr>
          <w:p w:rsidR="00DF52EA" w:rsidRDefault="002953DC">
            <w:pPr>
              <w:jc w:val="center"/>
              <w:rPr>
                <w:rFonts w:ascii="Times New Roman" w:hAnsi="Times New Roman" w:cs="Times New Roman"/>
                <w:sz w:val="24"/>
                <w:szCs w:val="24"/>
              </w:rPr>
            </w:pPr>
            <w:r>
              <w:rPr>
                <w:rFonts w:ascii="Times New Roman" w:hAnsi="Times New Roman" w:cs="Times New Roman"/>
                <w:sz w:val="24"/>
                <w:szCs w:val="24"/>
              </w:rPr>
              <w:t>Burns waste in open areas</w:t>
            </w:r>
          </w:p>
        </w:tc>
        <w:tc>
          <w:tcPr>
            <w:tcW w:w="2880" w:type="dxa"/>
          </w:tcPr>
          <w:p w:rsidR="00DF52EA" w:rsidRDefault="002953DC">
            <w:pPr>
              <w:jc w:val="center"/>
              <w:rPr>
                <w:rFonts w:ascii="Times New Roman" w:hAnsi="Times New Roman" w:cs="Times New Roman"/>
                <w:sz w:val="24"/>
                <w:szCs w:val="24"/>
              </w:rPr>
            </w:pPr>
            <w:r>
              <w:rPr>
                <w:rFonts w:ascii="Times New Roman" w:hAnsi="Times New Roman" w:cs="Times New Roman"/>
                <w:sz w:val="24"/>
                <w:szCs w:val="24"/>
              </w:rPr>
              <w:t>41.2</w:t>
            </w:r>
          </w:p>
        </w:tc>
        <w:tc>
          <w:tcPr>
            <w:tcW w:w="2880" w:type="dxa"/>
          </w:tcPr>
          <w:p w:rsidR="00DF52EA" w:rsidRDefault="002953DC">
            <w:pPr>
              <w:jc w:val="center"/>
              <w:rPr>
                <w:rFonts w:ascii="Times New Roman" w:hAnsi="Times New Roman" w:cs="Times New Roman"/>
                <w:sz w:val="24"/>
                <w:szCs w:val="24"/>
              </w:rPr>
            </w:pPr>
            <w:r>
              <w:rPr>
                <w:rFonts w:ascii="Times New Roman" w:hAnsi="Times New Roman" w:cs="Times New Roman"/>
                <w:sz w:val="24"/>
                <w:szCs w:val="24"/>
              </w:rPr>
              <w:t>58.8</w:t>
            </w:r>
          </w:p>
        </w:tc>
      </w:tr>
      <w:tr w:rsidR="00DF52EA">
        <w:tc>
          <w:tcPr>
            <w:tcW w:w="2880" w:type="dxa"/>
          </w:tcPr>
          <w:p w:rsidR="00DF52EA" w:rsidRDefault="002953DC">
            <w:pPr>
              <w:jc w:val="center"/>
              <w:rPr>
                <w:rFonts w:ascii="Times New Roman" w:hAnsi="Times New Roman" w:cs="Times New Roman"/>
                <w:sz w:val="24"/>
                <w:szCs w:val="24"/>
              </w:rPr>
            </w:pPr>
            <w:r>
              <w:rPr>
                <w:rFonts w:ascii="Times New Roman" w:hAnsi="Times New Roman" w:cs="Times New Roman"/>
                <w:sz w:val="24"/>
                <w:szCs w:val="24"/>
              </w:rPr>
              <w:t>Uses municipal collection services</w:t>
            </w:r>
          </w:p>
        </w:tc>
        <w:tc>
          <w:tcPr>
            <w:tcW w:w="2880" w:type="dxa"/>
          </w:tcPr>
          <w:p w:rsidR="00DF52EA" w:rsidRDefault="002953DC">
            <w:pPr>
              <w:jc w:val="center"/>
              <w:rPr>
                <w:rFonts w:ascii="Times New Roman" w:hAnsi="Times New Roman" w:cs="Times New Roman"/>
                <w:sz w:val="24"/>
                <w:szCs w:val="24"/>
              </w:rPr>
            </w:pPr>
            <w:r>
              <w:rPr>
                <w:rFonts w:ascii="Times New Roman" w:hAnsi="Times New Roman" w:cs="Times New Roman"/>
                <w:sz w:val="24"/>
                <w:szCs w:val="24"/>
              </w:rPr>
              <w:t>52.0</w:t>
            </w:r>
          </w:p>
        </w:tc>
        <w:tc>
          <w:tcPr>
            <w:tcW w:w="2880" w:type="dxa"/>
          </w:tcPr>
          <w:p w:rsidR="00DF52EA" w:rsidRDefault="002953DC">
            <w:pPr>
              <w:jc w:val="center"/>
              <w:rPr>
                <w:rFonts w:ascii="Times New Roman" w:hAnsi="Times New Roman" w:cs="Times New Roman"/>
                <w:sz w:val="24"/>
                <w:szCs w:val="24"/>
              </w:rPr>
            </w:pPr>
            <w:r>
              <w:rPr>
                <w:rFonts w:ascii="Times New Roman" w:hAnsi="Times New Roman" w:cs="Times New Roman"/>
                <w:sz w:val="24"/>
                <w:szCs w:val="24"/>
              </w:rPr>
              <w:t>48.0</w:t>
            </w:r>
          </w:p>
        </w:tc>
      </w:tr>
      <w:tr w:rsidR="00DF52EA">
        <w:tc>
          <w:tcPr>
            <w:tcW w:w="2880" w:type="dxa"/>
          </w:tcPr>
          <w:p w:rsidR="00DF52EA" w:rsidRDefault="002953DC">
            <w:pPr>
              <w:jc w:val="center"/>
              <w:rPr>
                <w:rFonts w:ascii="Times New Roman" w:hAnsi="Times New Roman" w:cs="Times New Roman"/>
                <w:sz w:val="24"/>
                <w:szCs w:val="24"/>
              </w:rPr>
            </w:pPr>
            <w:r>
              <w:rPr>
                <w:rFonts w:ascii="Times New Roman" w:hAnsi="Times New Roman" w:cs="Times New Roman"/>
                <w:sz w:val="24"/>
                <w:szCs w:val="24"/>
              </w:rPr>
              <w:t>Participates in community clean-ups</w:t>
            </w:r>
          </w:p>
        </w:tc>
        <w:tc>
          <w:tcPr>
            <w:tcW w:w="2880" w:type="dxa"/>
          </w:tcPr>
          <w:p w:rsidR="00DF52EA" w:rsidRDefault="002953DC">
            <w:pPr>
              <w:jc w:val="center"/>
              <w:rPr>
                <w:rFonts w:ascii="Times New Roman" w:hAnsi="Times New Roman" w:cs="Times New Roman"/>
                <w:sz w:val="24"/>
                <w:szCs w:val="24"/>
              </w:rPr>
            </w:pPr>
            <w:r>
              <w:rPr>
                <w:rFonts w:ascii="Times New Roman" w:hAnsi="Times New Roman" w:cs="Times New Roman"/>
                <w:sz w:val="24"/>
                <w:szCs w:val="24"/>
              </w:rPr>
              <w:t>47.8</w:t>
            </w:r>
          </w:p>
        </w:tc>
        <w:tc>
          <w:tcPr>
            <w:tcW w:w="2880" w:type="dxa"/>
          </w:tcPr>
          <w:p w:rsidR="00DF52EA" w:rsidRDefault="002953DC">
            <w:pPr>
              <w:jc w:val="center"/>
              <w:rPr>
                <w:rFonts w:ascii="Times New Roman" w:hAnsi="Times New Roman" w:cs="Times New Roman"/>
                <w:sz w:val="24"/>
                <w:szCs w:val="24"/>
              </w:rPr>
            </w:pPr>
            <w:r>
              <w:rPr>
                <w:rFonts w:ascii="Times New Roman" w:hAnsi="Times New Roman" w:cs="Times New Roman"/>
                <w:sz w:val="24"/>
                <w:szCs w:val="24"/>
              </w:rPr>
              <w:t>52.2</w:t>
            </w:r>
          </w:p>
        </w:tc>
      </w:tr>
    </w:tbl>
    <w:p w:rsidR="00DF52EA" w:rsidRDefault="002953DC">
      <w:pPr>
        <w:pStyle w:val="NormalWeb"/>
        <w:spacing w:line="480" w:lineRule="auto"/>
        <w:jc w:val="both"/>
      </w:pPr>
      <w:r>
        <w:t>(Source: Authors’ Computation, 2025)</w:t>
      </w:r>
    </w:p>
    <w:p w:rsidR="00DF52EA" w:rsidRDefault="00DF52EA">
      <w:pPr>
        <w:pStyle w:val="NormalWeb"/>
        <w:spacing w:line="480" w:lineRule="auto"/>
        <w:jc w:val="both"/>
      </w:pPr>
    </w:p>
    <w:p w:rsidR="00DF52EA" w:rsidRDefault="00DF52EA">
      <w:pPr>
        <w:pStyle w:val="NormalWeb"/>
        <w:spacing w:line="480" w:lineRule="auto"/>
        <w:jc w:val="both"/>
      </w:pPr>
    </w:p>
    <w:p w:rsidR="00DF52EA" w:rsidRDefault="002953DC">
      <w:pPr>
        <w:pStyle w:val="Heading2"/>
        <w:rPr>
          <w:sz w:val="24"/>
          <w:szCs w:val="24"/>
        </w:rPr>
      </w:pPr>
      <w:r>
        <w:rPr>
          <w:sz w:val="24"/>
          <w:szCs w:val="24"/>
        </w:rPr>
        <w:t>2. Inferential Statistics</w:t>
      </w:r>
    </w:p>
    <w:p w:rsidR="00DF52EA" w:rsidRDefault="002953DC">
      <w:pPr>
        <w:pStyle w:val="Heading2"/>
        <w:rPr>
          <w:sz w:val="24"/>
          <w:szCs w:val="24"/>
        </w:rPr>
      </w:pPr>
      <w:r>
        <w:rPr>
          <w:sz w:val="24"/>
          <w:szCs w:val="24"/>
        </w:rPr>
        <w:lastRenderedPageBreak/>
        <w:t>Table 3: Chi-Square Test of Education and Waste Segregation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2160"/>
        <w:gridCol w:w="2160"/>
        <w:gridCol w:w="2160"/>
      </w:tblGrid>
      <w:tr w:rsidR="00DF52EA">
        <w:tc>
          <w:tcPr>
            <w:tcW w:w="2160" w:type="dxa"/>
          </w:tcPr>
          <w:p w:rsidR="00DF52EA" w:rsidRDefault="002953DC">
            <w:pPr>
              <w:jc w:val="center"/>
              <w:rPr>
                <w:rFonts w:ascii="Times New Roman" w:hAnsi="Times New Roman" w:cs="Times New Roman"/>
                <w:b/>
                <w:sz w:val="24"/>
                <w:szCs w:val="24"/>
              </w:rPr>
            </w:pPr>
            <w:r>
              <w:rPr>
                <w:rFonts w:ascii="Times New Roman" w:hAnsi="Times New Roman" w:cs="Times New Roman"/>
                <w:b/>
                <w:sz w:val="24"/>
                <w:szCs w:val="24"/>
              </w:rPr>
              <w:t>Education Level</w:t>
            </w:r>
          </w:p>
        </w:tc>
        <w:tc>
          <w:tcPr>
            <w:tcW w:w="2160" w:type="dxa"/>
          </w:tcPr>
          <w:p w:rsidR="00DF52EA" w:rsidRDefault="002953DC">
            <w:pPr>
              <w:jc w:val="center"/>
              <w:rPr>
                <w:rFonts w:ascii="Times New Roman" w:hAnsi="Times New Roman" w:cs="Times New Roman"/>
                <w:b/>
                <w:sz w:val="24"/>
                <w:szCs w:val="24"/>
              </w:rPr>
            </w:pPr>
            <w:r>
              <w:rPr>
                <w:rFonts w:ascii="Times New Roman" w:hAnsi="Times New Roman" w:cs="Times New Roman"/>
                <w:b/>
                <w:sz w:val="24"/>
                <w:szCs w:val="24"/>
              </w:rPr>
              <w:t>Segregates Waste (%)</w:t>
            </w:r>
          </w:p>
        </w:tc>
        <w:tc>
          <w:tcPr>
            <w:tcW w:w="2160" w:type="dxa"/>
          </w:tcPr>
          <w:p w:rsidR="00DF52EA" w:rsidRDefault="002953DC">
            <w:pPr>
              <w:jc w:val="center"/>
              <w:rPr>
                <w:rFonts w:ascii="Times New Roman" w:hAnsi="Times New Roman" w:cs="Times New Roman"/>
                <w:b/>
                <w:sz w:val="24"/>
                <w:szCs w:val="24"/>
              </w:rPr>
            </w:pPr>
            <w:r>
              <w:rPr>
                <w:rFonts w:ascii="Times New Roman" w:hAnsi="Times New Roman" w:cs="Times New Roman"/>
                <w:b/>
                <w:sz w:val="24"/>
                <w:szCs w:val="24"/>
              </w:rPr>
              <w:t>χ² (df)</w:t>
            </w:r>
          </w:p>
        </w:tc>
        <w:tc>
          <w:tcPr>
            <w:tcW w:w="2160" w:type="dxa"/>
          </w:tcPr>
          <w:p w:rsidR="00DF52EA" w:rsidRDefault="002953DC">
            <w:pPr>
              <w:jc w:val="center"/>
              <w:rPr>
                <w:rFonts w:ascii="Times New Roman" w:hAnsi="Times New Roman" w:cs="Times New Roman"/>
                <w:b/>
                <w:sz w:val="24"/>
                <w:szCs w:val="24"/>
              </w:rPr>
            </w:pPr>
            <w:r>
              <w:rPr>
                <w:rFonts w:ascii="Times New Roman" w:hAnsi="Times New Roman" w:cs="Times New Roman"/>
                <w:b/>
                <w:sz w:val="24"/>
                <w:szCs w:val="24"/>
              </w:rPr>
              <w:t>p-value</w:t>
            </w:r>
          </w:p>
        </w:tc>
      </w:tr>
      <w:tr w:rsidR="00DF52EA">
        <w:tc>
          <w:tcPr>
            <w:tcW w:w="2160" w:type="dxa"/>
          </w:tcPr>
          <w:p w:rsidR="00DF52EA" w:rsidRDefault="002953DC">
            <w:pPr>
              <w:jc w:val="center"/>
              <w:rPr>
                <w:rFonts w:ascii="Times New Roman" w:hAnsi="Times New Roman" w:cs="Times New Roman"/>
                <w:sz w:val="24"/>
                <w:szCs w:val="24"/>
              </w:rPr>
            </w:pPr>
            <w:r>
              <w:rPr>
                <w:rFonts w:ascii="Times New Roman" w:hAnsi="Times New Roman" w:cs="Times New Roman"/>
                <w:sz w:val="24"/>
                <w:szCs w:val="24"/>
              </w:rPr>
              <w:t>No formal</w:t>
            </w:r>
          </w:p>
        </w:tc>
        <w:tc>
          <w:tcPr>
            <w:tcW w:w="2160" w:type="dxa"/>
          </w:tcPr>
          <w:p w:rsidR="00DF52EA" w:rsidRDefault="002953DC">
            <w:pPr>
              <w:jc w:val="center"/>
              <w:rPr>
                <w:rFonts w:ascii="Times New Roman" w:hAnsi="Times New Roman" w:cs="Times New Roman"/>
                <w:sz w:val="24"/>
                <w:szCs w:val="24"/>
              </w:rPr>
            </w:pPr>
            <w:r>
              <w:rPr>
                <w:rFonts w:ascii="Times New Roman" w:hAnsi="Times New Roman" w:cs="Times New Roman"/>
                <w:sz w:val="24"/>
                <w:szCs w:val="24"/>
              </w:rPr>
              <w:t>12.5</w:t>
            </w:r>
          </w:p>
        </w:tc>
        <w:tc>
          <w:tcPr>
            <w:tcW w:w="2160" w:type="dxa"/>
          </w:tcPr>
          <w:p w:rsidR="00DF52EA" w:rsidRDefault="002953DC">
            <w:pPr>
              <w:jc w:val="center"/>
              <w:rPr>
                <w:rFonts w:ascii="Times New Roman" w:hAnsi="Times New Roman" w:cs="Times New Roman"/>
                <w:sz w:val="24"/>
                <w:szCs w:val="24"/>
              </w:rPr>
            </w:pPr>
            <w:r>
              <w:rPr>
                <w:rFonts w:ascii="Times New Roman" w:hAnsi="Times New Roman" w:cs="Times New Roman"/>
                <w:sz w:val="24"/>
                <w:szCs w:val="24"/>
              </w:rPr>
              <w:t>28.67 (3)</w:t>
            </w:r>
          </w:p>
        </w:tc>
        <w:tc>
          <w:tcPr>
            <w:tcW w:w="2160" w:type="dxa"/>
          </w:tcPr>
          <w:p w:rsidR="00DF52EA" w:rsidRDefault="002953DC">
            <w:pPr>
              <w:jc w:val="center"/>
              <w:rPr>
                <w:rFonts w:ascii="Times New Roman" w:hAnsi="Times New Roman" w:cs="Times New Roman"/>
                <w:sz w:val="24"/>
                <w:szCs w:val="24"/>
              </w:rPr>
            </w:pPr>
            <w:r>
              <w:rPr>
                <w:rFonts w:ascii="Times New Roman" w:hAnsi="Times New Roman" w:cs="Times New Roman"/>
                <w:sz w:val="24"/>
                <w:szCs w:val="24"/>
              </w:rPr>
              <w:t>0.000***</w:t>
            </w:r>
          </w:p>
        </w:tc>
      </w:tr>
      <w:tr w:rsidR="00DF52EA">
        <w:tc>
          <w:tcPr>
            <w:tcW w:w="2160" w:type="dxa"/>
          </w:tcPr>
          <w:p w:rsidR="00DF52EA" w:rsidRDefault="002953DC">
            <w:pPr>
              <w:jc w:val="center"/>
              <w:rPr>
                <w:rFonts w:ascii="Times New Roman" w:hAnsi="Times New Roman" w:cs="Times New Roman"/>
                <w:sz w:val="24"/>
                <w:szCs w:val="24"/>
              </w:rPr>
            </w:pPr>
            <w:r>
              <w:rPr>
                <w:rFonts w:ascii="Times New Roman" w:hAnsi="Times New Roman" w:cs="Times New Roman"/>
                <w:sz w:val="24"/>
                <w:szCs w:val="24"/>
              </w:rPr>
              <w:t>Primary</w:t>
            </w:r>
          </w:p>
        </w:tc>
        <w:tc>
          <w:tcPr>
            <w:tcW w:w="2160" w:type="dxa"/>
          </w:tcPr>
          <w:p w:rsidR="00DF52EA" w:rsidRDefault="002953DC">
            <w:pPr>
              <w:jc w:val="center"/>
              <w:rPr>
                <w:rFonts w:ascii="Times New Roman" w:hAnsi="Times New Roman" w:cs="Times New Roman"/>
                <w:sz w:val="24"/>
                <w:szCs w:val="24"/>
              </w:rPr>
            </w:pPr>
            <w:r>
              <w:rPr>
                <w:rFonts w:ascii="Times New Roman" w:hAnsi="Times New Roman" w:cs="Times New Roman"/>
                <w:sz w:val="24"/>
                <w:szCs w:val="24"/>
              </w:rPr>
              <w:t>18.9</w:t>
            </w:r>
          </w:p>
        </w:tc>
        <w:tc>
          <w:tcPr>
            <w:tcW w:w="2160" w:type="dxa"/>
          </w:tcPr>
          <w:p w:rsidR="00DF52EA" w:rsidRDefault="00DF52EA">
            <w:pPr>
              <w:jc w:val="center"/>
              <w:rPr>
                <w:rFonts w:ascii="Times New Roman" w:hAnsi="Times New Roman" w:cs="Times New Roman"/>
                <w:sz w:val="24"/>
                <w:szCs w:val="24"/>
              </w:rPr>
            </w:pPr>
          </w:p>
        </w:tc>
        <w:tc>
          <w:tcPr>
            <w:tcW w:w="2160" w:type="dxa"/>
          </w:tcPr>
          <w:p w:rsidR="00DF52EA" w:rsidRDefault="00DF52EA">
            <w:pPr>
              <w:jc w:val="center"/>
              <w:rPr>
                <w:rFonts w:ascii="Times New Roman" w:hAnsi="Times New Roman" w:cs="Times New Roman"/>
                <w:sz w:val="24"/>
                <w:szCs w:val="24"/>
              </w:rPr>
            </w:pPr>
          </w:p>
        </w:tc>
      </w:tr>
      <w:tr w:rsidR="00DF52EA">
        <w:tc>
          <w:tcPr>
            <w:tcW w:w="2160" w:type="dxa"/>
          </w:tcPr>
          <w:p w:rsidR="00DF52EA" w:rsidRDefault="002953DC">
            <w:pPr>
              <w:jc w:val="center"/>
              <w:rPr>
                <w:rFonts w:ascii="Times New Roman" w:hAnsi="Times New Roman" w:cs="Times New Roman"/>
                <w:sz w:val="24"/>
                <w:szCs w:val="24"/>
              </w:rPr>
            </w:pPr>
            <w:r>
              <w:rPr>
                <w:rFonts w:ascii="Times New Roman" w:hAnsi="Times New Roman" w:cs="Times New Roman"/>
                <w:sz w:val="24"/>
                <w:szCs w:val="24"/>
              </w:rPr>
              <w:t>Secondary</w:t>
            </w:r>
          </w:p>
        </w:tc>
        <w:tc>
          <w:tcPr>
            <w:tcW w:w="2160" w:type="dxa"/>
          </w:tcPr>
          <w:p w:rsidR="00DF52EA" w:rsidRDefault="002953DC">
            <w:pPr>
              <w:jc w:val="center"/>
              <w:rPr>
                <w:rFonts w:ascii="Times New Roman" w:hAnsi="Times New Roman" w:cs="Times New Roman"/>
                <w:sz w:val="24"/>
                <w:szCs w:val="24"/>
              </w:rPr>
            </w:pPr>
            <w:r>
              <w:rPr>
                <w:rFonts w:ascii="Times New Roman" w:hAnsi="Times New Roman" w:cs="Times New Roman"/>
                <w:sz w:val="24"/>
                <w:szCs w:val="24"/>
              </w:rPr>
              <w:t>36.3</w:t>
            </w:r>
          </w:p>
        </w:tc>
        <w:tc>
          <w:tcPr>
            <w:tcW w:w="2160" w:type="dxa"/>
          </w:tcPr>
          <w:p w:rsidR="00DF52EA" w:rsidRDefault="00DF52EA">
            <w:pPr>
              <w:jc w:val="center"/>
              <w:rPr>
                <w:rFonts w:ascii="Times New Roman" w:hAnsi="Times New Roman" w:cs="Times New Roman"/>
                <w:sz w:val="24"/>
                <w:szCs w:val="24"/>
              </w:rPr>
            </w:pPr>
          </w:p>
        </w:tc>
        <w:tc>
          <w:tcPr>
            <w:tcW w:w="2160" w:type="dxa"/>
          </w:tcPr>
          <w:p w:rsidR="00DF52EA" w:rsidRDefault="00DF52EA">
            <w:pPr>
              <w:jc w:val="center"/>
              <w:rPr>
                <w:rFonts w:ascii="Times New Roman" w:hAnsi="Times New Roman" w:cs="Times New Roman"/>
                <w:sz w:val="24"/>
                <w:szCs w:val="24"/>
              </w:rPr>
            </w:pPr>
          </w:p>
        </w:tc>
      </w:tr>
      <w:tr w:rsidR="00DF52EA">
        <w:tc>
          <w:tcPr>
            <w:tcW w:w="2160" w:type="dxa"/>
          </w:tcPr>
          <w:p w:rsidR="00DF52EA" w:rsidRDefault="002953DC">
            <w:pPr>
              <w:jc w:val="center"/>
              <w:rPr>
                <w:rFonts w:ascii="Times New Roman" w:hAnsi="Times New Roman" w:cs="Times New Roman"/>
                <w:sz w:val="24"/>
                <w:szCs w:val="24"/>
              </w:rPr>
            </w:pPr>
            <w:r>
              <w:rPr>
                <w:rFonts w:ascii="Times New Roman" w:hAnsi="Times New Roman" w:cs="Times New Roman"/>
                <w:sz w:val="24"/>
                <w:szCs w:val="24"/>
              </w:rPr>
              <w:t>Tertiary</w:t>
            </w:r>
          </w:p>
        </w:tc>
        <w:tc>
          <w:tcPr>
            <w:tcW w:w="2160" w:type="dxa"/>
          </w:tcPr>
          <w:p w:rsidR="00DF52EA" w:rsidRDefault="002953DC">
            <w:pPr>
              <w:jc w:val="center"/>
              <w:rPr>
                <w:rFonts w:ascii="Times New Roman" w:hAnsi="Times New Roman" w:cs="Times New Roman"/>
                <w:sz w:val="24"/>
                <w:szCs w:val="24"/>
              </w:rPr>
            </w:pPr>
            <w:r>
              <w:rPr>
                <w:rFonts w:ascii="Times New Roman" w:hAnsi="Times New Roman" w:cs="Times New Roman"/>
                <w:sz w:val="24"/>
                <w:szCs w:val="24"/>
              </w:rPr>
              <w:t>54.1</w:t>
            </w:r>
          </w:p>
        </w:tc>
        <w:tc>
          <w:tcPr>
            <w:tcW w:w="2160" w:type="dxa"/>
          </w:tcPr>
          <w:p w:rsidR="00DF52EA" w:rsidRDefault="00DF52EA">
            <w:pPr>
              <w:jc w:val="center"/>
              <w:rPr>
                <w:rFonts w:ascii="Times New Roman" w:hAnsi="Times New Roman" w:cs="Times New Roman"/>
                <w:sz w:val="24"/>
                <w:szCs w:val="24"/>
              </w:rPr>
            </w:pPr>
          </w:p>
        </w:tc>
        <w:tc>
          <w:tcPr>
            <w:tcW w:w="2160" w:type="dxa"/>
          </w:tcPr>
          <w:p w:rsidR="00DF52EA" w:rsidRDefault="00DF52EA">
            <w:pPr>
              <w:jc w:val="center"/>
              <w:rPr>
                <w:rFonts w:ascii="Times New Roman" w:hAnsi="Times New Roman" w:cs="Times New Roman"/>
                <w:sz w:val="24"/>
                <w:szCs w:val="24"/>
              </w:rPr>
            </w:pPr>
          </w:p>
        </w:tc>
      </w:tr>
    </w:tbl>
    <w:p w:rsidR="00DF52EA" w:rsidRDefault="002953DC">
      <w:pPr>
        <w:pStyle w:val="NormalWeb"/>
        <w:spacing w:line="480" w:lineRule="auto"/>
        <w:jc w:val="both"/>
        <w:rPr>
          <w:rStyle w:val="Strong"/>
          <w:b w:val="0"/>
        </w:rPr>
      </w:pPr>
      <w:r>
        <w:rPr>
          <w:rStyle w:val="Strong"/>
          <w:b w:val="0"/>
        </w:rPr>
        <w:t>(</w:t>
      </w:r>
      <w:proofErr w:type="spellStart"/>
      <w:proofErr w:type="gramStart"/>
      <w:r>
        <w:rPr>
          <w:rStyle w:val="Strong"/>
          <w:b w:val="0"/>
        </w:rPr>
        <w:t>Source:Spss</w:t>
      </w:r>
      <w:proofErr w:type="spellEnd"/>
      <w:proofErr w:type="gramEnd"/>
      <w:r>
        <w:rPr>
          <w:rStyle w:val="Strong"/>
          <w:b w:val="0"/>
        </w:rPr>
        <w:t xml:space="preserve"> Vs 2)</w:t>
      </w:r>
    </w:p>
    <w:p w:rsidR="00DF52EA" w:rsidRDefault="002953DC">
      <w:pPr>
        <w:pStyle w:val="NormalWeb"/>
        <w:spacing w:line="480" w:lineRule="auto"/>
        <w:jc w:val="both"/>
      </w:pPr>
      <w:r>
        <w:rPr>
          <w:rStyle w:val="Strong"/>
        </w:rPr>
        <w:t>Interpretation:</w:t>
      </w:r>
      <w:r>
        <w:t xml:space="preserve"> Education significantly influenced waste segregation practices (p &lt; 0.001).</w:t>
      </w:r>
    </w:p>
    <w:p w:rsidR="00DF52EA" w:rsidRDefault="002953DC">
      <w:pPr>
        <w:pStyle w:val="Heading2"/>
        <w:rPr>
          <w:sz w:val="24"/>
          <w:szCs w:val="24"/>
        </w:rPr>
      </w:pPr>
      <w:r>
        <w:rPr>
          <w:sz w:val="24"/>
          <w:szCs w:val="24"/>
        </w:rPr>
        <w:t>Table 4: ANOVA – Household Income and Recycling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728"/>
        <w:gridCol w:w="1728"/>
        <w:gridCol w:w="1728"/>
        <w:gridCol w:w="1728"/>
      </w:tblGrid>
      <w:tr w:rsidR="00DF52EA">
        <w:tc>
          <w:tcPr>
            <w:tcW w:w="1728" w:type="dxa"/>
          </w:tcPr>
          <w:p w:rsidR="00DF52EA" w:rsidRDefault="002953DC">
            <w:pPr>
              <w:jc w:val="center"/>
              <w:rPr>
                <w:rFonts w:ascii="Times New Roman" w:hAnsi="Times New Roman" w:cs="Times New Roman"/>
                <w:b/>
                <w:sz w:val="24"/>
                <w:szCs w:val="24"/>
              </w:rPr>
            </w:pPr>
            <w:r>
              <w:rPr>
                <w:rFonts w:ascii="Times New Roman" w:hAnsi="Times New Roman" w:cs="Times New Roman"/>
                <w:b/>
                <w:sz w:val="24"/>
                <w:szCs w:val="24"/>
              </w:rPr>
              <w:t>Income Level</w:t>
            </w:r>
          </w:p>
        </w:tc>
        <w:tc>
          <w:tcPr>
            <w:tcW w:w="1728" w:type="dxa"/>
          </w:tcPr>
          <w:p w:rsidR="00DF52EA" w:rsidRDefault="002953DC">
            <w:pPr>
              <w:jc w:val="center"/>
              <w:rPr>
                <w:rFonts w:ascii="Times New Roman" w:hAnsi="Times New Roman" w:cs="Times New Roman"/>
                <w:b/>
                <w:sz w:val="24"/>
                <w:szCs w:val="24"/>
              </w:rPr>
            </w:pPr>
            <w:r>
              <w:rPr>
                <w:rFonts w:ascii="Times New Roman" w:hAnsi="Times New Roman" w:cs="Times New Roman"/>
                <w:b/>
                <w:sz w:val="24"/>
                <w:szCs w:val="24"/>
              </w:rPr>
              <w:t>Mean Recycling Score</w:t>
            </w:r>
          </w:p>
        </w:tc>
        <w:tc>
          <w:tcPr>
            <w:tcW w:w="1728" w:type="dxa"/>
          </w:tcPr>
          <w:p w:rsidR="00DF52EA" w:rsidRDefault="002953DC">
            <w:pPr>
              <w:jc w:val="center"/>
              <w:rPr>
                <w:rFonts w:ascii="Times New Roman" w:hAnsi="Times New Roman" w:cs="Times New Roman"/>
                <w:b/>
                <w:sz w:val="24"/>
                <w:szCs w:val="24"/>
              </w:rPr>
            </w:pPr>
            <w:r>
              <w:rPr>
                <w:rFonts w:ascii="Times New Roman" w:hAnsi="Times New Roman" w:cs="Times New Roman"/>
                <w:b/>
                <w:sz w:val="24"/>
                <w:szCs w:val="24"/>
              </w:rPr>
              <w:t>Std. Dev.</w:t>
            </w:r>
          </w:p>
        </w:tc>
        <w:tc>
          <w:tcPr>
            <w:tcW w:w="1728" w:type="dxa"/>
          </w:tcPr>
          <w:p w:rsidR="00DF52EA" w:rsidRDefault="002953DC">
            <w:pPr>
              <w:jc w:val="center"/>
              <w:rPr>
                <w:rFonts w:ascii="Times New Roman" w:hAnsi="Times New Roman" w:cs="Times New Roman"/>
                <w:b/>
                <w:sz w:val="24"/>
                <w:szCs w:val="24"/>
              </w:rPr>
            </w:pPr>
            <w:r>
              <w:rPr>
                <w:rFonts w:ascii="Times New Roman" w:hAnsi="Times New Roman" w:cs="Times New Roman"/>
                <w:b/>
                <w:sz w:val="24"/>
                <w:szCs w:val="24"/>
              </w:rPr>
              <w:t>F-value</w:t>
            </w:r>
          </w:p>
        </w:tc>
        <w:tc>
          <w:tcPr>
            <w:tcW w:w="1728" w:type="dxa"/>
          </w:tcPr>
          <w:p w:rsidR="00DF52EA" w:rsidRDefault="002953DC">
            <w:pPr>
              <w:jc w:val="center"/>
              <w:rPr>
                <w:rFonts w:ascii="Times New Roman" w:hAnsi="Times New Roman" w:cs="Times New Roman"/>
                <w:b/>
                <w:sz w:val="24"/>
                <w:szCs w:val="24"/>
              </w:rPr>
            </w:pPr>
            <w:r>
              <w:rPr>
                <w:rFonts w:ascii="Times New Roman" w:hAnsi="Times New Roman" w:cs="Times New Roman"/>
                <w:b/>
                <w:sz w:val="24"/>
                <w:szCs w:val="24"/>
              </w:rPr>
              <w:t>p-value</w:t>
            </w:r>
          </w:p>
        </w:tc>
      </w:tr>
      <w:tr w:rsidR="00DF52EA">
        <w:tc>
          <w:tcPr>
            <w:tcW w:w="1728" w:type="dxa"/>
          </w:tcPr>
          <w:p w:rsidR="00DF52EA" w:rsidRDefault="002953DC">
            <w:pPr>
              <w:jc w:val="center"/>
              <w:rPr>
                <w:rFonts w:ascii="Times New Roman" w:hAnsi="Times New Roman" w:cs="Times New Roman"/>
                <w:sz w:val="24"/>
                <w:szCs w:val="24"/>
              </w:rPr>
            </w:pPr>
            <w:r>
              <w:rPr>
                <w:rFonts w:ascii="Times New Roman" w:hAnsi="Times New Roman" w:cs="Times New Roman"/>
                <w:sz w:val="24"/>
                <w:szCs w:val="24"/>
              </w:rPr>
              <w:t>Low (&lt;₦50,000)</w:t>
            </w:r>
          </w:p>
        </w:tc>
        <w:tc>
          <w:tcPr>
            <w:tcW w:w="1728" w:type="dxa"/>
          </w:tcPr>
          <w:p w:rsidR="00DF52EA" w:rsidRDefault="002953DC">
            <w:pPr>
              <w:jc w:val="center"/>
              <w:rPr>
                <w:rFonts w:ascii="Times New Roman" w:hAnsi="Times New Roman" w:cs="Times New Roman"/>
                <w:sz w:val="24"/>
                <w:szCs w:val="24"/>
              </w:rPr>
            </w:pPr>
            <w:r>
              <w:rPr>
                <w:rFonts w:ascii="Times New Roman" w:hAnsi="Times New Roman" w:cs="Times New Roman"/>
                <w:sz w:val="24"/>
                <w:szCs w:val="24"/>
              </w:rPr>
              <w:t>1.42</w:t>
            </w:r>
          </w:p>
        </w:tc>
        <w:tc>
          <w:tcPr>
            <w:tcW w:w="1728" w:type="dxa"/>
          </w:tcPr>
          <w:p w:rsidR="00DF52EA" w:rsidRDefault="002953DC">
            <w:pPr>
              <w:jc w:val="center"/>
              <w:rPr>
                <w:rFonts w:ascii="Times New Roman" w:hAnsi="Times New Roman" w:cs="Times New Roman"/>
                <w:sz w:val="24"/>
                <w:szCs w:val="24"/>
              </w:rPr>
            </w:pPr>
            <w:r>
              <w:rPr>
                <w:rFonts w:ascii="Times New Roman" w:hAnsi="Times New Roman" w:cs="Times New Roman"/>
                <w:sz w:val="24"/>
                <w:szCs w:val="24"/>
              </w:rPr>
              <w:t>0.60</w:t>
            </w:r>
          </w:p>
        </w:tc>
        <w:tc>
          <w:tcPr>
            <w:tcW w:w="1728" w:type="dxa"/>
          </w:tcPr>
          <w:p w:rsidR="00DF52EA" w:rsidRDefault="002953DC">
            <w:pPr>
              <w:jc w:val="center"/>
              <w:rPr>
                <w:rFonts w:ascii="Times New Roman" w:hAnsi="Times New Roman" w:cs="Times New Roman"/>
                <w:sz w:val="24"/>
                <w:szCs w:val="24"/>
              </w:rPr>
            </w:pPr>
            <w:r>
              <w:rPr>
                <w:rFonts w:ascii="Times New Roman" w:hAnsi="Times New Roman" w:cs="Times New Roman"/>
                <w:sz w:val="24"/>
                <w:szCs w:val="24"/>
              </w:rPr>
              <w:t>15.24</w:t>
            </w:r>
          </w:p>
        </w:tc>
        <w:tc>
          <w:tcPr>
            <w:tcW w:w="1728" w:type="dxa"/>
          </w:tcPr>
          <w:p w:rsidR="00DF52EA" w:rsidRDefault="002953DC">
            <w:pPr>
              <w:jc w:val="center"/>
              <w:rPr>
                <w:rFonts w:ascii="Times New Roman" w:hAnsi="Times New Roman" w:cs="Times New Roman"/>
                <w:sz w:val="24"/>
                <w:szCs w:val="24"/>
              </w:rPr>
            </w:pPr>
            <w:r>
              <w:rPr>
                <w:rFonts w:ascii="Times New Roman" w:hAnsi="Times New Roman" w:cs="Times New Roman"/>
                <w:sz w:val="24"/>
                <w:szCs w:val="24"/>
              </w:rPr>
              <w:t>0.000***</w:t>
            </w:r>
          </w:p>
        </w:tc>
      </w:tr>
      <w:tr w:rsidR="00DF52EA">
        <w:tc>
          <w:tcPr>
            <w:tcW w:w="1728" w:type="dxa"/>
          </w:tcPr>
          <w:p w:rsidR="00DF52EA" w:rsidRDefault="002953DC">
            <w:pPr>
              <w:jc w:val="center"/>
              <w:rPr>
                <w:rFonts w:ascii="Times New Roman" w:hAnsi="Times New Roman" w:cs="Times New Roman"/>
                <w:sz w:val="24"/>
                <w:szCs w:val="24"/>
              </w:rPr>
            </w:pPr>
            <w:r>
              <w:rPr>
                <w:rFonts w:ascii="Times New Roman" w:hAnsi="Times New Roman" w:cs="Times New Roman"/>
                <w:sz w:val="24"/>
                <w:szCs w:val="24"/>
              </w:rPr>
              <w:t>Middle (₦50k–₦150k)</w:t>
            </w:r>
          </w:p>
        </w:tc>
        <w:tc>
          <w:tcPr>
            <w:tcW w:w="1728" w:type="dxa"/>
          </w:tcPr>
          <w:p w:rsidR="00DF52EA" w:rsidRDefault="002953DC">
            <w:pPr>
              <w:jc w:val="center"/>
              <w:rPr>
                <w:rFonts w:ascii="Times New Roman" w:hAnsi="Times New Roman" w:cs="Times New Roman"/>
                <w:sz w:val="24"/>
                <w:szCs w:val="24"/>
              </w:rPr>
            </w:pPr>
            <w:r>
              <w:rPr>
                <w:rFonts w:ascii="Times New Roman" w:hAnsi="Times New Roman" w:cs="Times New Roman"/>
                <w:sz w:val="24"/>
                <w:szCs w:val="24"/>
              </w:rPr>
              <w:t>2.18</w:t>
            </w:r>
          </w:p>
        </w:tc>
        <w:tc>
          <w:tcPr>
            <w:tcW w:w="1728" w:type="dxa"/>
          </w:tcPr>
          <w:p w:rsidR="00DF52EA" w:rsidRDefault="002953DC">
            <w:pPr>
              <w:jc w:val="center"/>
              <w:rPr>
                <w:rFonts w:ascii="Times New Roman" w:hAnsi="Times New Roman" w:cs="Times New Roman"/>
                <w:sz w:val="24"/>
                <w:szCs w:val="24"/>
              </w:rPr>
            </w:pPr>
            <w:r>
              <w:rPr>
                <w:rFonts w:ascii="Times New Roman" w:hAnsi="Times New Roman" w:cs="Times New Roman"/>
                <w:sz w:val="24"/>
                <w:szCs w:val="24"/>
              </w:rPr>
              <w:t>0.73</w:t>
            </w:r>
          </w:p>
        </w:tc>
        <w:tc>
          <w:tcPr>
            <w:tcW w:w="1728" w:type="dxa"/>
          </w:tcPr>
          <w:p w:rsidR="00DF52EA" w:rsidRDefault="00DF52EA">
            <w:pPr>
              <w:jc w:val="center"/>
              <w:rPr>
                <w:rFonts w:ascii="Times New Roman" w:hAnsi="Times New Roman" w:cs="Times New Roman"/>
                <w:sz w:val="24"/>
                <w:szCs w:val="24"/>
              </w:rPr>
            </w:pPr>
          </w:p>
        </w:tc>
        <w:tc>
          <w:tcPr>
            <w:tcW w:w="1728" w:type="dxa"/>
          </w:tcPr>
          <w:p w:rsidR="00DF52EA" w:rsidRDefault="00DF52EA">
            <w:pPr>
              <w:jc w:val="center"/>
              <w:rPr>
                <w:rFonts w:ascii="Times New Roman" w:hAnsi="Times New Roman" w:cs="Times New Roman"/>
                <w:sz w:val="24"/>
                <w:szCs w:val="24"/>
              </w:rPr>
            </w:pPr>
          </w:p>
        </w:tc>
      </w:tr>
      <w:tr w:rsidR="00DF52EA">
        <w:tc>
          <w:tcPr>
            <w:tcW w:w="1728" w:type="dxa"/>
          </w:tcPr>
          <w:p w:rsidR="00DF52EA" w:rsidRDefault="002953DC">
            <w:pPr>
              <w:jc w:val="center"/>
              <w:rPr>
                <w:rFonts w:ascii="Times New Roman" w:hAnsi="Times New Roman" w:cs="Times New Roman"/>
                <w:sz w:val="24"/>
                <w:szCs w:val="24"/>
              </w:rPr>
            </w:pPr>
            <w:r>
              <w:rPr>
                <w:rFonts w:ascii="Times New Roman" w:hAnsi="Times New Roman" w:cs="Times New Roman"/>
                <w:sz w:val="24"/>
                <w:szCs w:val="24"/>
              </w:rPr>
              <w:t>High (&gt;₦150,000)</w:t>
            </w:r>
          </w:p>
        </w:tc>
        <w:tc>
          <w:tcPr>
            <w:tcW w:w="1728" w:type="dxa"/>
          </w:tcPr>
          <w:p w:rsidR="00DF52EA" w:rsidRDefault="002953DC">
            <w:pPr>
              <w:jc w:val="center"/>
              <w:rPr>
                <w:rFonts w:ascii="Times New Roman" w:hAnsi="Times New Roman" w:cs="Times New Roman"/>
                <w:sz w:val="24"/>
                <w:szCs w:val="24"/>
              </w:rPr>
            </w:pPr>
            <w:r>
              <w:rPr>
                <w:rFonts w:ascii="Times New Roman" w:hAnsi="Times New Roman" w:cs="Times New Roman"/>
                <w:sz w:val="24"/>
                <w:szCs w:val="24"/>
              </w:rPr>
              <w:t>2.65</w:t>
            </w:r>
          </w:p>
        </w:tc>
        <w:tc>
          <w:tcPr>
            <w:tcW w:w="1728" w:type="dxa"/>
          </w:tcPr>
          <w:p w:rsidR="00DF52EA" w:rsidRDefault="002953DC">
            <w:pPr>
              <w:jc w:val="center"/>
              <w:rPr>
                <w:rFonts w:ascii="Times New Roman" w:hAnsi="Times New Roman" w:cs="Times New Roman"/>
                <w:sz w:val="24"/>
                <w:szCs w:val="24"/>
              </w:rPr>
            </w:pPr>
            <w:r>
              <w:rPr>
                <w:rFonts w:ascii="Times New Roman" w:hAnsi="Times New Roman" w:cs="Times New Roman"/>
                <w:sz w:val="24"/>
                <w:szCs w:val="24"/>
              </w:rPr>
              <w:t>0.81</w:t>
            </w:r>
          </w:p>
        </w:tc>
        <w:tc>
          <w:tcPr>
            <w:tcW w:w="1728" w:type="dxa"/>
          </w:tcPr>
          <w:p w:rsidR="00DF52EA" w:rsidRDefault="00DF52EA">
            <w:pPr>
              <w:jc w:val="center"/>
              <w:rPr>
                <w:rFonts w:ascii="Times New Roman" w:hAnsi="Times New Roman" w:cs="Times New Roman"/>
                <w:sz w:val="24"/>
                <w:szCs w:val="24"/>
              </w:rPr>
            </w:pPr>
          </w:p>
        </w:tc>
        <w:tc>
          <w:tcPr>
            <w:tcW w:w="1728" w:type="dxa"/>
          </w:tcPr>
          <w:p w:rsidR="00DF52EA" w:rsidRDefault="00DF52EA">
            <w:pPr>
              <w:jc w:val="center"/>
              <w:rPr>
                <w:rFonts w:ascii="Times New Roman" w:hAnsi="Times New Roman" w:cs="Times New Roman"/>
                <w:sz w:val="24"/>
                <w:szCs w:val="24"/>
              </w:rPr>
            </w:pPr>
          </w:p>
        </w:tc>
      </w:tr>
    </w:tbl>
    <w:p w:rsidR="00DF52EA" w:rsidRDefault="002953DC">
      <w:pPr>
        <w:pStyle w:val="Heading2"/>
        <w:rPr>
          <w:b w:val="0"/>
          <w:sz w:val="24"/>
          <w:szCs w:val="24"/>
        </w:rPr>
      </w:pPr>
      <w:r>
        <w:rPr>
          <w:b w:val="0"/>
          <w:sz w:val="24"/>
          <w:szCs w:val="24"/>
        </w:rPr>
        <w:t xml:space="preserve">(Source: </w:t>
      </w:r>
      <w:proofErr w:type="spellStart"/>
      <w:r>
        <w:rPr>
          <w:b w:val="0"/>
          <w:sz w:val="24"/>
          <w:szCs w:val="24"/>
        </w:rPr>
        <w:t>Spss</w:t>
      </w:r>
      <w:proofErr w:type="spellEnd"/>
      <w:r>
        <w:rPr>
          <w:b w:val="0"/>
          <w:sz w:val="24"/>
          <w:szCs w:val="24"/>
        </w:rPr>
        <w:t xml:space="preserve"> Vs 27)</w:t>
      </w:r>
    </w:p>
    <w:p w:rsidR="00DF52EA" w:rsidRDefault="002953DC">
      <w:pPr>
        <w:pStyle w:val="Heading2"/>
        <w:rPr>
          <w:b w:val="0"/>
          <w:sz w:val="24"/>
          <w:szCs w:val="24"/>
        </w:rPr>
      </w:pPr>
      <w:r>
        <w:rPr>
          <w:rStyle w:val="Strong"/>
          <w:b/>
          <w:sz w:val="24"/>
          <w:szCs w:val="24"/>
        </w:rPr>
        <w:t>Interpretation:</w:t>
      </w:r>
      <w:r>
        <w:rPr>
          <w:sz w:val="24"/>
          <w:szCs w:val="24"/>
        </w:rPr>
        <w:t xml:space="preserve"> </w:t>
      </w:r>
      <w:r>
        <w:rPr>
          <w:b w:val="0"/>
          <w:sz w:val="24"/>
          <w:szCs w:val="24"/>
        </w:rPr>
        <w:t>Higher-income households had significantly greater participation in recycling (p &lt; 0.001).</w:t>
      </w:r>
    </w:p>
    <w:p w:rsidR="00DF52EA" w:rsidRDefault="00DF52EA">
      <w:pPr>
        <w:pStyle w:val="Heading2"/>
        <w:rPr>
          <w:sz w:val="24"/>
          <w:szCs w:val="24"/>
        </w:rPr>
      </w:pPr>
    </w:p>
    <w:p w:rsidR="00DF52EA" w:rsidRDefault="00DF52EA">
      <w:pPr>
        <w:pStyle w:val="Heading2"/>
        <w:jc w:val="center"/>
        <w:rPr>
          <w:sz w:val="24"/>
          <w:szCs w:val="24"/>
        </w:rPr>
      </w:pPr>
    </w:p>
    <w:p w:rsidR="00DF52EA" w:rsidRDefault="002953DC">
      <w:pPr>
        <w:pStyle w:val="Heading2"/>
        <w:jc w:val="center"/>
        <w:rPr>
          <w:sz w:val="24"/>
          <w:szCs w:val="24"/>
        </w:rPr>
      </w:pPr>
      <w:r>
        <w:rPr>
          <w:sz w:val="24"/>
          <w:szCs w:val="24"/>
        </w:rPr>
        <w:t>Table 5: Logistic Regression Predicting Recycling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2160"/>
        <w:gridCol w:w="2160"/>
        <w:gridCol w:w="2160"/>
      </w:tblGrid>
      <w:tr w:rsidR="00DF52EA">
        <w:tc>
          <w:tcPr>
            <w:tcW w:w="2160" w:type="dxa"/>
          </w:tcPr>
          <w:p w:rsidR="00DF52EA" w:rsidRDefault="002953DC">
            <w:pPr>
              <w:jc w:val="center"/>
              <w:rPr>
                <w:rFonts w:ascii="Times New Roman" w:hAnsi="Times New Roman" w:cs="Times New Roman"/>
                <w:b/>
                <w:sz w:val="24"/>
                <w:szCs w:val="24"/>
              </w:rPr>
            </w:pPr>
            <w:r>
              <w:rPr>
                <w:rFonts w:ascii="Times New Roman" w:hAnsi="Times New Roman" w:cs="Times New Roman"/>
                <w:b/>
                <w:sz w:val="24"/>
                <w:szCs w:val="24"/>
              </w:rPr>
              <w:lastRenderedPageBreak/>
              <w:t>Predictor Variable</w:t>
            </w:r>
          </w:p>
        </w:tc>
        <w:tc>
          <w:tcPr>
            <w:tcW w:w="2160" w:type="dxa"/>
          </w:tcPr>
          <w:p w:rsidR="00DF52EA" w:rsidRDefault="002953DC">
            <w:pPr>
              <w:jc w:val="center"/>
              <w:rPr>
                <w:rFonts w:ascii="Times New Roman" w:hAnsi="Times New Roman" w:cs="Times New Roman"/>
                <w:b/>
                <w:sz w:val="24"/>
                <w:szCs w:val="24"/>
              </w:rPr>
            </w:pPr>
            <w:r>
              <w:rPr>
                <w:rFonts w:ascii="Times New Roman" w:hAnsi="Times New Roman" w:cs="Times New Roman"/>
                <w:b/>
                <w:sz w:val="24"/>
                <w:szCs w:val="24"/>
              </w:rPr>
              <w:t>Odds Ratio (OR)</w:t>
            </w:r>
          </w:p>
        </w:tc>
        <w:tc>
          <w:tcPr>
            <w:tcW w:w="2160" w:type="dxa"/>
          </w:tcPr>
          <w:p w:rsidR="00DF52EA" w:rsidRDefault="002953DC">
            <w:pPr>
              <w:jc w:val="center"/>
              <w:rPr>
                <w:rFonts w:ascii="Times New Roman" w:hAnsi="Times New Roman" w:cs="Times New Roman"/>
                <w:b/>
                <w:sz w:val="24"/>
                <w:szCs w:val="24"/>
              </w:rPr>
            </w:pPr>
            <w:r>
              <w:rPr>
                <w:rFonts w:ascii="Times New Roman" w:hAnsi="Times New Roman" w:cs="Times New Roman"/>
                <w:b/>
                <w:sz w:val="24"/>
                <w:szCs w:val="24"/>
              </w:rPr>
              <w:t>95% CI</w:t>
            </w:r>
          </w:p>
        </w:tc>
        <w:tc>
          <w:tcPr>
            <w:tcW w:w="2160" w:type="dxa"/>
          </w:tcPr>
          <w:p w:rsidR="00DF52EA" w:rsidRDefault="002953DC">
            <w:pPr>
              <w:jc w:val="center"/>
              <w:rPr>
                <w:rFonts w:ascii="Times New Roman" w:hAnsi="Times New Roman" w:cs="Times New Roman"/>
                <w:b/>
                <w:sz w:val="24"/>
                <w:szCs w:val="24"/>
              </w:rPr>
            </w:pPr>
            <w:r>
              <w:rPr>
                <w:rFonts w:ascii="Times New Roman" w:hAnsi="Times New Roman" w:cs="Times New Roman"/>
                <w:b/>
                <w:sz w:val="24"/>
                <w:szCs w:val="24"/>
              </w:rPr>
              <w:t>p-value</w:t>
            </w:r>
          </w:p>
        </w:tc>
      </w:tr>
      <w:tr w:rsidR="00DF52EA">
        <w:tc>
          <w:tcPr>
            <w:tcW w:w="2160" w:type="dxa"/>
          </w:tcPr>
          <w:p w:rsidR="00DF52EA" w:rsidRDefault="002953DC">
            <w:pPr>
              <w:jc w:val="center"/>
              <w:rPr>
                <w:rFonts w:ascii="Times New Roman" w:hAnsi="Times New Roman" w:cs="Times New Roman"/>
                <w:sz w:val="24"/>
                <w:szCs w:val="24"/>
              </w:rPr>
            </w:pPr>
            <w:r>
              <w:rPr>
                <w:rFonts w:ascii="Times New Roman" w:hAnsi="Times New Roman" w:cs="Times New Roman"/>
                <w:sz w:val="24"/>
                <w:szCs w:val="24"/>
              </w:rPr>
              <w:t>Education (tertiary vs none)</w:t>
            </w:r>
          </w:p>
        </w:tc>
        <w:tc>
          <w:tcPr>
            <w:tcW w:w="2160" w:type="dxa"/>
          </w:tcPr>
          <w:p w:rsidR="00DF52EA" w:rsidRDefault="002953DC">
            <w:pPr>
              <w:jc w:val="center"/>
              <w:rPr>
                <w:rFonts w:ascii="Times New Roman" w:hAnsi="Times New Roman" w:cs="Times New Roman"/>
                <w:sz w:val="24"/>
                <w:szCs w:val="24"/>
              </w:rPr>
            </w:pPr>
            <w:r>
              <w:rPr>
                <w:rFonts w:ascii="Times New Roman" w:hAnsi="Times New Roman" w:cs="Times New Roman"/>
                <w:sz w:val="24"/>
                <w:szCs w:val="24"/>
              </w:rPr>
              <w:t>3.12</w:t>
            </w:r>
          </w:p>
        </w:tc>
        <w:tc>
          <w:tcPr>
            <w:tcW w:w="2160" w:type="dxa"/>
          </w:tcPr>
          <w:p w:rsidR="00DF52EA" w:rsidRDefault="002953DC">
            <w:pPr>
              <w:jc w:val="center"/>
              <w:rPr>
                <w:rFonts w:ascii="Times New Roman" w:hAnsi="Times New Roman" w:cs="Times New Roman"/>
                <w:sz w:val="24"/>
                <w:szCs w:val="24"/>
              </w:rPr>
            </w:pPr>
            <w:r>
              <w:rPr>
                <w:rFonts w:ascii="Times New Roman" w:hAnsi="Times New Roman" w:cs="Times New Roman"/>
                <w:sz w:val="24"/>
                <w:szCs w:val="24"/>
              </w:rPr>
              <w:t>1.87–5.21</w:t>
            </w:r>
          </w:p>
        </w:tc>
        <w:tc>
          <w:tcPr>
            <w:tcW w:w="2160" w:type="dxa"/>
          </w:tcPr>
          <w:p w:rsidR="00DF52EA" w:rsidRDefault="002953DC">
            <w:pPr>
              <w:jc w:val="center"/>
              <w:rPr>
                <w:rFonts w:ascii="Times New Roman" w:hAnsi="Times New Roman" w:cs="Times New Roman"/>
                <w:sz w:val="24"/>
                <w:szCs w:val="24"/>
              </w:rPr>
            </w:pPr>
            <w:r>
              <w:rPr>
                <w:rFonts w:ascii="Times New Roman" w:hAnsi="Times New Roman" w:cs="Times New Roman"/>
                <w:sz w:val="24"/>
                <w:szCs w:val="24"/>
              </w:rPr>
              <w:t>0.000***</w:t>
            </w:r>
          </w:p>
        </w:tc>
      </w:tr>
      <w:tr w:rsidR="00DF52EA">
        <w:tc>
          <w:tcPr>
            <w:tcW w:w="2160" w:type="dxa"/>
          </w:tcPr>
          <w:p w:rsidR="00DF52EA" w:rsidRDefault="002953DC">
            <w:pPr>
              <w:jc w:val="center"/>
              <w:rPr>
                <w:rFonts w:ascii="Times New Roman" w:hAnsi="Times New Roman" w:cs="Times New Roman"/>
                <w:sz w:val="24"/>
                <w:szCs w:val="24"/>
              </w:rPr>
            </w:pPr>
            <w:r>
              <w:rPr>
                <w:rFonts w:ascii="Times New Roman" w:hAnsi="Times New Roman" w:cs="Times New Roman"/>
                <w:sz w:val="24"/>
                <w:szCs w:val="24"/>
              </w:rPr>
              <w:t>Household income (high vs low)</w:t>
            </w:r>
          </w:p>
        </w:tc>
        <w:tc>
          <w:tcPr>
            <w:tcW w:w="2160" w:type="dxa"/>
          </w:tcPr>
          <w:p w:rsidR="00DF52EA" w:rsidRDefault="002953DC">
            <w:pPr>
              <w:jc w:val="center"/>
              <w:rPr>
                <w:rFonts w:ascii="Times New Roman" w:hAnsi="Times New Roman" w:cs="Times New Roman"/>
                <w:sz w:val="24"/>
                <w:szCs w:val="24"/>
              </w:rPr>
            </w:pPr>
            <w:r>
              <w:rPr>
                <w:rFonts w:ascii="Times New Roman" w:hAnsi="Times New Roman" w:cs="Times New Roman"/>
                <w:sz w:val="24"/>
                <w:szCs w:val="24"/>
              </w:rPr>
              <w:t>2.78</w:t>
            </w:r>
          </w:p>
        </w:tc>
        <w:tc>
          <w:tcPr>
            <w:tcW w:w="2160" w:type="dxa"/>
          </w:tcPr>
          <w:p w:rsidR="00DF52EA" w:rsidRDefault="002953DC">
            <w:pPr>
              <w:jc w:val="center"/>
              <w:rPr>
                <w:rFonts w:ascii="Times New Roman" w:hAnsi="Times New Roman" w:cs="Times New Roman"/>
                <w:sz w:val="24"/>
                <w:szCs w:val="24"/>
              </w:rPr>
            </w:pPr>
            <w:r>
              <w:rPr>
                <w:rFonts w:ascii="Times New Roman" w:hAnsi="Times New Roman" w:cs="Times New Roman"/>
                <w:sz w:val="24"/>
                <w:szCs w:val="24"/>
              </w:rPr>
              <w:t>1.55–4.95</w:t>
            </w:r>
          </w:p>
        </w:tc>
        <w:tc>
          <w:tcPr>
            <w:tcW w:w="2160" w:type="dxa"/>
          </w:tcPr>
          <w:p w:rsidR="00DF52EA" w:rsidRDefault="002953DC">
            <w:pPr>
              <w:jc w:val="center"/>
              <w:rPr>
                <w:rFonts w:ascii="Times New Roman" w:hAnsi="Times New Roman" w:cs="Times New Roman"/>
                <w:sz w:val="24"/>
                <w:szCs w:val="24"/>
              </w:rPr>
            </w:pPr>
            <w:r>
              <w:rPr>
                <w:rFonts w:ascii="Times New Roman" w:hAnsi="Times New Roman" w:cs="Times New Roman"/>
                <w:sz w:val="24"/>
                <w:szCs w:val="24"/>
              </w:rPr>
              <w:t>0.001**</w:t>
            </w:r>
          </w:p>
        </w:tc>
      </w:tr>
      <w:tr w:rsidR="00DF52EA">
        <w:tc>
          <w:tcPr>
            <w:tcW w:w="2160" w:type="dxa"/>
          </w:tcPr>
          <w:p w:rsidR="00DF52EA" w:rsidRDefault="002953DC">
            <w:pPr>
              <w:jc w:val="center"/>
              <w:rPr>
                <w:rFonts w:ascii="Times New Roman" w:hAnsi="Times New Roman" w:cs="Times New Roman"/>
                <w:sz w:val="24"/>
                <w:szCs w:val="24"/>
              </w:rPr>
            </w:pPr>
            <w:r>
              <w:rPr>
                <w:rFonts w:ascii="Times New Roman" w:hAnsi="Times New Roman" w:cs="Times New Roman"/>
                <w:sz w:val="24"/>
                <w:szCs w:val="24"/>
              </w:rPr>
              <w:t>Access to municipal collection</w:t>
            </w:r>
          </w:p>
        </w:tc>
        <w:tc>
          <w:tcPr>
            <w:tcW w:w="2160" w:type="dxa"/>
          </w:tcPr>
          <w:p w:rsidR="00DF52EA" w:rsidRDefault="002953DC">
            <w:pPr>
              <w:jc w:val="center"/>
              <w:rPr>
                <w:rFonts w:ascii="Times New Roman" w:hAnsi="Times New Roman" w:cs="Times New Roman"/>
                <w:sz w:val="24"/>
                <w:szCs w:val="24"/>
              </w:rPr>
            </w:pPr>
            <w:r>
              <w:rPr>
                <w:rFonts w:ascii="Times New Roman" w:hAnsi="Times New Roman" w:cs="Times New Roman"/>
                <w:sz w:val="24"/>
                <w:szCs w:val="24"/>
              </w:rPr>
              <w:t>2.41</w:t>
            </w:r>
          </w:p>
        </w:tc>
        <w:tc>
          <w:tcPr>
            <w:tcW w:w="2160" w:type="dxa"/>
          </w:tcPr>
          <w:p w:rsidR="00DF52EA" w:rsidRDefault="002953DC">
            <w:pPr>
              <w:jc w:val="center"/>
              <w:rPr>
                <w:rFonts w:ascii="Times New Roman" w:hAnsi="Times New Roman" w:cs="Times New Roman"/>
                <w:sz w:val="24"/>
                <w:szCs w:val="24"/>
              </w:rPr>
            </w:pPr>
            <w:r>
              <w:rPr>
                <w:rFonts w:ascii="Times New Roman" w:hAnsi="Times New Roman" w:cs="Times New Roman"/>
                <w:sz w:val="24"/>
                <w:szCs w:val="24"/>
              </w:rPr>
              <w:t>1.32–4.02</w:t>
            </w:r>
          </w:p>
        </w:tc>
        <w:tc>
          <w:tcPr>
            <w:tcW w:w="2160" w:type="dxa"/>
          </w:tcPr>
          <w:p w:rsidR="00DF52EA" w:rsidRDefault="002953DC">
            <w:pPr>
              <w:jc w:val="center"/>
              <w:rPr>
                <w:rFonts w:ascii="Times New Roman" w:hAnsi="Times New Roman" w:cs="Times New Roman"/>
                <w:sz w:val="24"/>
                <w:szCs w:val="24"/>
              </w:rPr>
            </w:pPr>
            <w:r>
              <w:rPr>
                <w:rFonts w:ascii="Times New Roman" w:hAnsi="Times New Roman" w:cs="Times New Roman"/>
                <w:sz w:val="24"/>
                <w:szCs w:val="24"/>
              </w:rPr>
              <w:t>0.002**</w:t>
            </w:r>
          </w:p>
        </w:tc>
      </w:tr>
      <w:tr w:rsidR="00DF52EA">
        <w:tc>
          <w:tcPr>
            <w:tcW w:w="2160" w:type="dxa"/>
          </w:tcPr>
          <w:p w:rsidR="00DF52EA" w:rsidRDefault="002953DC">
            <w:pPr>
              <w:jc w:val="center"/>
              <w:rPr>
                <w:rFonts w:ascii="Times New Roman" w:hAnsi="Times New Roman" w:cs="Times New Roman"/>
                <w:sz w:val="24"/>
                <w:szCs w:val="24"/>
              </w:rPr>
            </w:pPr>
            <w:r>
              <w:rPr>
                <w:rFonts w:ascii="Times New Roman" w:hAnsi="Times New Roman" w:cs="Times New Roman"/>
                <w:sz w:val="24"/>
                <w:szCs w:val="24"/>
              </w:rPr>
              <w:t>Distance to recycling point</w:t>
            </w:r>
          </w:p>
        </w:tc>
        <w:tc>
          <w:tcPr>
            <w:tcW w:w="2160" w:type="dxa"/>
          </w:tcPr>
          <w:p w:rsidR="00DF52EA" w:rsidRDefault="002953DC">
            <w:pPr>
              <w:jc w:val="center"/>
              <w:rPr>
                <w:rFonts w:ascii="Times New Roman" w:hAnsi="Times New Roman" w:cs="Times New Roman"/>
                <w:sz w:val="24"/>
                <w:szCs w:val="24"/>
              </w:rPr>
            </w:pPr>
            <w:r>
              <w:rPr>
                <w:rFonts w:ascii="Times New Roman" w:hAnsi="Times New Roman" w:cs="Times New Roman"/>
                <w:sz w:val="24"/>
                <w:szCs w:val="24"/>
              </w:rPr>
              <w:t>0.68</w:t>
            </w:r>
          </w:p>
        </w:tc>
        <w:tc>
          <w:tcPr>
            <w:tcW w:w="2160" w:type="dxa"/>
          </w:tcPr>
          <w:p w:rsidR="00DF52EA" w:rsidRDefault="002953DC">
            <w:pPr>
              <w:jc w:val="center"/>
              <w:rPr>
                <w:rFonts w:ascii="Times New Roman" w:hAnsi="Times New Roman" w:cs="Times New Roman"/>
                <w:sz w:val="24"/>
                <w:szCs w:val="24"/>
              </w:rPr>
            </w:pPr>
            <w:r>
              <w:rPr>
                <w:rFonts w:ascii="Times New Roman" w:hAnsi="Times New Roman" w:cs="Times New Roman"/>
                <w:sz w:val="24"/>
                <w:szCs w:val="24"/>
              </w:rPr>
              <w:t>0.47–0.92</w:t>
            </w:r>
          </w:p>
        </w:tc>
        <w:tc>
          <w:tcPr>
            <w:tcW w:w="2160" w:type="dxa"/>
          </w:tcPr>
          <w:p w:rsidR="00DF52EA" w:rsidRDefault="002953DC">
            <w:pPr>
              <w:jc w:val="center"/>
              <w:rPr>
                <w:rFonts w:ascii="Times New Roman" w:hAnsi="Times New Roman" w:cs="Times New Roman"/>
                <w:sz w:val="24"/>
                <w:szCs w:val="24"/>
              </w:rPr>
            </w:pPr>
            <w:r>
              <w:rPr>
                <w:rFonts w:ascii="Times New Roman" w:hAnsi="Times New Roman" w:cs="Times New Roman"/>
                <w:sz w:val="24"/>
                <w:szCs w:val="24"/>
              </w:rPr>
              <w:t>0.018*</w:t>
            </w:r>
          </w:p>
        </w:tc>
      </w:tr>
    </w:tbl>
    <w:p w:rsidR="00DF52EA" w:rsidRDefault="002953DC">
      <w:pPr>
        <w:pStyle w:val="NormalWeb"/>
        <w:spacing w:line="480" w:lineRule="auto"/>
        <w:jc w:val="both"/>
        <w:rPr>
          <w:rStyle w:val="Strong"/>
          <w:b w:val="0"/>
        </w:rPr>
      </w:pPr>
      <w:r>
        <w:rPr>
          <w:rStyle w:val="Strong"/>
          <w:b w:val="0"/>
        </w:rPr>
        <w:t xml:space="preserve">(Source: </w:t>
      </w:r>
      <w:proofErr w:type="spellStart"/>
      <w:r>
        <w:rPr>
          <w:rStyle w:val="Strong"/>
          <w:b w:val="0"/>
        </w:rPr>
        <w:t>Spss</w:t>
      </w:r>
      <w:proofErr w:type="spellEnd"/>
      <w:r>
        <w:rPr>
          <w:rStyle w:val="Strong"/>
          <w:b w:val="0"/>
        </w:rPr>
        <w:t xml:space="preserve"> Vs 2025)</w:t>
      </w:r>
    </w:p>
    <w:p w:rsidR="00DF52EA" w:rsidRDefault="002953DC">
      <w:pPr>
        <w:pStyle w:val="NormalWeb"/>
        <w:spacing w:line="480" w:lineRule="auto"/>
        <w:jc w:val="both"/>
      </w:pPr>
      <w:r>
        <w:rPr>
          <w:rStyle w:val="Strong"/>
        </w:rPr>
        <w:t>Interpretation:</w:t>
      </w:r>
      <w:r>
        <w:t xml:space="preserve"> Education, income, and service access significantly predicted recycling participation, while greater distance reduced the likelihood.</w:t>
      </w:r>
    </w:p>
    <w:p w:rsidR="00DF52EA" w:rsidRDefault="002953DC">
      <w:pPr>
        <w:spacing w:before="100" w:beforeAutospacing="1" w:after="100" w:afterAutospacing="1"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 Qualitative Findings (NVivo Thematic Analysis)</w:t>
      </w:r>
    </w:p>
    <w:p w:rsidR="00DF52EA" w:rsidRDefault="002953D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Four major themes emerged from interviews and FGDs:</w:t>
      </w:r>
    </w:p>
    <w:p w:rsidR="00DF52EA" w:rsidRDefault="002953DC">
      <w:pPr>
        <w:numPr>
          <w:ilvl w:val="0"/>
          <w:numId w:val="11"/>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Barriers to Recycling:</w:t>
      </w:r>
      <w:r>
        <w:rPr>
          <w:rFonts w:ascii="Times New Roman" w:eastAsia="Times New Roman" w:hAnsi="Times New Roman" w:cs="Times New Roman"/>
          <w:sz w:val="24"/>
          <w:szCs w:val="24"/>
        </w:rPr>
        <w:t xml:space="preserve"> Participants highlighted inadequate infrastructure, irregular municipal waste collection, weak markets for recyclables, and cultural preferences for burning waste.</w:t>
      </w:r>
    </w:p>
    <w:p w:rsidR="00DF52EA" w:rsidRDefault="002953DC">
      <w:pPr>
        <w:numPr>
          <w:ilvl w:val="0"/>
          <w:numId w:val="11"/>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Role of Cooperatives:</w:t>
      </w:r>
      <w:r>
        <w:rPr>
          <w:rFonts w:ascii="Times New Roman" w:eastAsia="Times New Roman" w:hAnsi="Times New Roman" w:cs="Times New Roman"/>
          <w:sz w:val="24"/>
          <w:szCs w:val="24"/>
        </w:rPr>
        <w:t xml:space="preserve"> Communities with active cooperative groups demonstrated stronger reuse practices, collective clean-ups, and informal recycling.</w:t>
      </w:r>
    </w:p>
    <w:p w:rsidR="00DF52EA" w:rsidRDefault="002953DC">
      <w:pPr>
        <w:numPr>
          <w:ilvl w:val="0"/>
          <w:numId w:val="11"/>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Cultural Practices</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Certain traditions, such as using organic waste for backyard farming, indirectly supported sustainability.</w:t>
      </w:r>
    </w:p>
    <w:p w:rsidR="00DF52EA" w:rsidRDefault="002953DC">
      <w:pPr>
        <w:numPr>
          <w:ilvl w:val="0"/>
          <w:numId w:val="11"/>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Policy Gaps</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Respondents emphasized weak enforcement of environmental regulations and limited government incentives for recycling.</w:t>
      </w:r>
    </w:p>
    <w:p w:rsidR="00DF52EA" w:rsidRDefault="002953D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Illustrative Quote (Female FGD Participant, Bayelsa):</w:t>
      </w:r>
    </w:p>
    <w:p w:rsidR="00DF52EA" w:rsidRDefault="002953DC">
      <w:pPr>
        <w:spacing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 want to recycle, but no one comes to collect plastics. Most times, we burn them because keeping them piles up the dirt.”</w:t>
      </w:r>
    </w:p>
    <w:p w:rsidR="00DF52EA" w:rsidRDefault="002953DC">
      <w:pPr>
        <w:spacing w:before="100" w:beforeAutospacing="1" w:after="100" w:afterAutospacing="1"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 Integration of Findings</w:t>
      </w:r>
    </w:p>
    <w:p w:rsidR="00DF52EA" w:rsidRDefault="002953DC">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By </w:t>
      </w:r>
      <w:r>
        <w:rPr>
          <w:rFonts w:ascii="Times New Roman" w:eastAsia="Times New Roman" w:hAnsi="Times New Roman" w:cs="Times New Roman"/>
          <w:bCs/>
          <w:sz w:val="24"/>
          <w:szCs w:val="24"/>
        </w:rPr>
        <w:t>triangulating quantitative and qualitative results</w:t>
      </w:r>
      <w:r>
        <w:rPr>
          <w:rFonts w:ascii="Times New Roman" w:eastAsia="Times New Roman" w:hAnsi="Times New Roman" w:cs="Times New Roman"/>
          <w:sz w:val="24"/>
          <w:szCs w:val="24"/>
        </w:rPr>
        <w:t>, the study shows that while environmental awareness is high, actual recycling practices remain limited. Structural barriers (infrastructure, incentives, policy enforcement) intersect with socio-economic factors (income, education, and urban–rural divides) to shape outcomes.</w:t>
      </w:r>
    </w:p>
    <w:p w:rsidR="00DF52EA" w:rsidRDefault="002953DC">
      <w:pPr>
        <w:spacing w:before="100" w:beforeAutospacing="1" w:after="100" w:afterAutospacing="1"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 Discussion</w:t>
      </w:r>
    </w:p>
    <w:p w:rsidR="00DF52EA" w:rsidRDefault="002953D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examined the role of household management practices in environmental sustainability within the Niger Delta, with emphasis on waste management and recycling. The findings demonstrated that, while awareness of environmental issues was relatively widespread, consistent practices such as waste segregation and formal recycling participation were limited. These results align with global evidence that knowledge alone is insufficient to translate into pro-environmental </w:t>
      </w:r>
      <w:proofErr w:type="spellStart"/>
      <w:r>
        <w:rPr>
          <w:rFonts w:ascii="Times New Roman" w:eastAsia="Times New Roman" w:hAnsi="Times New Roman" w:cs="Times New Roman"/>
          <w:sz w:val="24"/>
          <w:szCs w:val="24"/>
        </w:rPr>
        <w:t>behaviours</w:t>
      </w:r>
      <w:proofErr w:type="spellEnd"/>
      <w:r>
        <w:rPr>
          <w:rFonts w:ascii="Times New Roman" w:eastAsia="Times New Roman" w:hAnsi="Times New Roman" w:cs="Times New Roman"/>
          <w:sz w:val="24"/>
          <w:szCs w:val="24"/>
        </w:rPr>
        <w:t xml:space="preserve"> unless supported by enabling structures and incentives (</w:t>
      </w:r>
      <w:proofErr w:type="spellStart"/>
      <w:r>
        <w:rPr>
          <w:rFonts w:ascii="Times New Roman" w:eastAsia="Times New Roman" w:hAnsi="Times New Roman" w:cs="Times New Roman"/>
          <w:sz w:val="24"/>
          <w:szCs w:val="24"/>
        </w:rPr>
        <w:t>Ajzen</w:t>
      </w:r>
      <w:proofErr w:type="spellEnd"/>
      <w:r>
        <w:rPr>
          <w:rFonts w:ascii="Times New Roman" w:eastAsia="Times New Roman" w:hAnsi="Times New Roman" w:cs="Times New Roman"/>
          <w:sz w:val="24"/>
          <w:szCs w:val="24"/>
        </w:rPr>
        <w:t>, 1991).</w:t>
      </w:r>
    </w:p>
    <w:p w:rsidR="00DF52EA" w:rsidRDefault="002953D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Theory of Planned Behavior (TPB) offers a useful framework for interpreting these outcomes. According to </w:t>
      </w:r>
      <w:proofErr w:type="spellStart"/>
      <w:r>
        <w:rPr>
          <w:rFonts w:ascii="Times New Roman" w:eastAsia="Times New Roman" w:hAnsi="Times New Roman" w:cs="Times New Roman"/>
          <w:sz w:val="24"/>
          <w:szCs w:val="24"/>
        </w:rPr>
        <w:t>Ajzen</w:t>
      </w:r>
      <w:proofErr w:type="spellEnd"/>
      <w:r>
        <w:rPr>
          <w:rFonts w:ascii="Times New Roman" w:eastAsia="Times New Roman" w:hAnsi="Times New Roman" w:cs="Times New Roman"/>
          <w:sz w:val="24"/>
          <w:szCs w:val="24"/>
        </w:rPr>
        <w:t xml:space="preserve"> (1991),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is shaped not only by attitudes but also by perceived </w:t>
      </w:r>
      <w:proofErr w:type="spellStart"/>
      <w:r>
        <w:rPr>
          <w:rFonts w:ascii="Times New Roman" w:eastAsia="Times New Roman" w:hAnsi="Times New Roman" w:cs="Times New Roman"/>
          <w:sz w:val="24"/>
          <w:szCs w:val="24"/>
        </w:rPr>
        <w:t>behavioural</w:t>
      </w:r>
      <w:proofErr w:type="spellEnd"/>
      <w:r>
        <w:rPr>
          <w:rFonts w:ascii="Times New Roman" w:eastAsia="Times New Roman" w:hAnsi="Times New Roman" w:cs="Times New Roman"/>
          <w:sz w:val="24"/>
          <w:szCs w:val="24"/>
        </w:rPr>
        <w:t xml:space="preserve"> control and subjective norms. The study’s finding that household income, education, and proximity to recycling facilities significantly influenced waste practices reflects this principle, as these factors enhance individuals’ perceived capacity to act sustainably. Similarly, weak municipal collection services and inadequate infrastructure reduce perceived control, undermining sustainable household </w:t>
      </w:r>
      <w:proofErr w:type="spellStart"/>
      <w:r>
        <w:rPr>
          <w:rFonts w:ascii="Times New Roman" w:eastAsia="Times New Roman" w:hAnsi="Times New Roman" w:cs="Times New Roman"/>
          <w:sz w:val="24"/>
          <w:szCs w:val="24"/>
        </w:rPr>
        <w:t>behaviours</w:t>
      </w:r>
      <w:proofErr w:type="spellEnd"/>
      <w:r>
        <w:rPr>
          <w:rFonts w:ascii="Times New Roman" w:eastAsia="Times New Roman" w:hAnsi="Times New Roman" w:cs="Times New Roman"/>
          <w:sz w:val="24"/>
          <w:szCs w:val="24"/>
        </w:rPr>
        <w:t xml:space="preserve"> despite positive environmental attitudes.</w:t>
      </w:r>
    </w:p>
    <w:p w:rsidR="00DF52EA" w:rsidRDefault="002953D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Globally, inadequate waste collection and recycling systems are recognized as critical barriers in developing contexts. The World Bank’s comprehensive review of global solid waste management highlights that poorly managed waste is most acute in low- and middle-income countries, where limited infrastructure and inconsistent service delivery restrict household participation in sustainable practices (</w:t>
      </w:r>
      <w:proofErr w:type="spellStart"/>
      <w:r>
        <w:rPr>
          <w:rFonts w:ascii="Times New Roman" w:eastAsia="Times New Roman" w:hAnsi="Times New Roman" w:cs="Times New Roman"/>
          <w:sz w:val="24"/>
          <w:szCs w:val="24"/>
        </w:rPr>
        <w:t>Hoornweg</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Bhada</w:t>
      </w:r>
      <w:proofErr w:type="spellEnd"/>
      <w:r>
        <w:rPr>
          <w:rFonts w:ascii="Times New Roman" w:eastAsia="Times New Roman" w:hAnsi="Times New Roman" w:cs="Times New Roman"/>
          <w:sz w:val="24"/>
          <w:szCs w:val="24"/>
        </w:rPr>
        <w:t>-Tata, 2012). The Niger Delta findings corroborate this global pattern, showing that without reliable collection and recycling systems, households often revert to informal disposal methods.</w:t>
      </w:r>
    </w:p>
    <w:p w:rsidR="00DF52EA" w:rsidRDefault="002953D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also highlighted the significance of community-led initiatives and cooperative arrangements. Where local associations organized collective waste handling or reuse strategies, measurable improvements in household cleanliness and sustainability indicators were observed. This resonates with evidence that locally tailored governance mechanisms, especially those incorporating cultural norms, can reinforce pro-environmental </w:t>
      </w:r>
      <w:proofErr w:type="spellStart"/>
      <w:r>
        <w:rPr>
          <w:rFonts w:ascii="Times New Roman" w:eastAsia="Times New Roman" w:hAnsi="Times New Roman" w:cs="Times New Roman"/>
          <w:sz w:val="24"/>
          <w:szCs w:val="24"/>
        </w:rPr>
        <w:t>behaviours</w:t>
      </w:r>
      <w:proofErr w:type="spellEnd"/>
      <w:r>
        <w:rPr>
          <w:rFonts w:ascii="Times New Roman" w:eastAsia="Times New Roman" w:hAnsi="Times New Roman" w:cs="Times New Roman"/>
          <w:sz w:val="24"/>
          <w:szCs w:val="24"/>
        </w:rPr>
        <w:t xml:space="preserve"> more effectively than centralized interventions alone (</w:t>
      </w:r>
      <w:proofErr w:type="spellStart"/>
      <w:r>
        <w:rPr>
          <w:rFonts w:ascii="Times New Roman" w:eastAsia="Times New Roman" w:hAnsi="Times New Roman" w:cs="Times New Roman"/>
          <w:sz w:val="24"/>
          <w:szCs w:val="24"/>
        </w:rPr>
        <w:t>Ajzen</w:t>
      </w:r>
      <w:proofErr w:type="spellEnd"/>
      <w:r>
        <w:rPr>
          <w:rFonts w:ascii="Times New Roman" w:eastAsia="Times New Roman" w:hAnsi="Times New Roman" w:cs="Times New Roman"/>
          <w:sz w:val="24"/>
          <w:szCs w:val="24"/>
        </w:rPr>
        <w:t>, n.d.).</w:t>
      </w:r>
    </w:p>
    <w:p w:rsidR="00DF52EA" w:rsidRDefault="002953D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sum, the findings reinforce the argument that household environmental practices in the Niger Delta are mediated by a combination of socio-economic status, institutional capacity, and community agency. While awareness campaigns remain important, without improved municipal service delivery, stronger market incentives for recyclables, and support for indigenous community structures, sustainable waste governance will remain elusive.</w:t>
      </w:r>
    </w:p>
    <w:p w:rsidR="00DF52EA" w:rsidRDefault="002953DC">
      <w:pPr>
        <w:pStyle w:val="Heading2"/>
        <w:rPr>
          <w:sz w:val="24"/>
          <w:szCs w:val="24"/>
        </w:rPr>
      </w:pPr>
      <w:r>
        <w:rPr>
          <w:sz w:val="24"/>
          <w:szCs w:val="24"/>
        </w:rPr>
        <w:t>11. Conclusion</w:t>
      </w:r>
    </w:p>
    <w:p w:rsidR="00DF52EA" w:rsidRDefault="002953DC">
      <w:pPr>
        <w:pStyle w:val="NormalWeb"/>
        <w:spacing w:line="480" w:lineRule="auto"/>
        <w:jc w:val="both"/>
      </w:pPr>
      <w:r>
        <w:t xml:space="preserve">This study investigated household home-management practices in the Niger Delta and their contribution to environmental sustainability, with a focus on waste management and recycling. Findings revealed that although awareness of environmental challenges is widespread, consistent </w:t>
      </w:r>
      <w:r>
        <w:lastRenderedPageBreak/>
        <w:t xml:space="preserve">adoption of sustainable household practices remains limited due to infrastructural deficits, irregular municipal services, weak recycling incentives, and certain cultural habits. Socio-economic factors such as education, income, and proximity to facilities significantly influenced positive </w:t>
      </w:r>
      <w:proofErr w:type="spellStart"/>
      <w:r>
        <w:t>behaviours</w:t>
      </w:r>
      <w:proofErr w:type="spellEnd"/>
      <w:r>
        <w:t>, while communities with cooperative initiatives achieved better waste outcomes.</w:t>
      </w:r>
    </w:p>
    <w:p w:rsidR="00DF52EA" w:rsidRDefault="002953DC">
      <w:pPr>
        <w:pStyle w:val="NormalWeb"/>
        <w:spacing w:line="480" w:lineRule="auto"/>
        <w:jc w:val="both"/>
      </w:pPr>
      <w:r>
        <w:t>The study concludes that household environmental practices cannot be divorced from broader structural, socio-economic, and cultural realities. Sustainable household waste management in the Niger Delta requires interventions that combine policy reforms, institutional strengthening, and grassroots engagement.</w:t>
      </w:r>
    </w:p>
    <w:p w:rsidR="00DF52EA" w:rsidRDefault="002953DC">
      <w:pPr>
        <w:pStyle w:val="Heading2"/>
        <w:rPr>
          <w:sz w:val="24"/>
          <w:szCs w:val="24"/>
        </w:rPr>
      </w:pPr>
      <w:r>
        <w:rPr>
          <w:sz w:val="24"/>
          <w:szCs w:val="24"/>
        </w:rPr>
        <w:t>12. Recommendations</w:t>
      </w:r>
    </w:p>
    <w:p w:rsidR="00DF52EA" w:rsidRDefault="002953DC">
      <w:pPr>
        <w:pStyle w:val="Heading3"/>
        <w:rPr>
          <w:b w:val="0"/>
          <w:color w:val="auto"/>
          <w:sz w:val="24"/>
          <w:szCs w:val="24"/>
        </w:rPr>
      </w:pPr>
      <w:r>
        <w:rPr>
          <w:b w:val="0"/>
          <w:color w:val="auto"/>
          <w:sz w:val="24"/>
          <w:szCs w:val="24"/>
        </w:rPr>
        <w:t>Academic Contribution:</w:t>
      </w:r>
    </w:p>
    <w:p w:rsidR="00DF52EA" w:rsidRDefault="002953DC">
      <w:pPr>
        <w:pStyle w:val="NormalWeb"/>
        <w:numPr>
          <w:ilvl w:val="0"/>
          <w:numId w:val="6"/>
        </w:numPr>
        <w:spacing w:line="480" w:lineRule="auto"/>
        <w:jc w:val="both"/>
      </w:pPr>
      <w:r>
        <w:t>Future research should expand comparative analyses across other ecological regions of Nigeria to deepen understanding of household environmental practices.</w:t>
      </w:r>
    </w:p>
    <w:p w:rsidR="00DF52EA" w:rsidRDefault="002953DC">
      <w:pPr>
        <w:pStyle w:val="NormalWeb"/>
        <w:numPr>
          <w:ilvl w:val="0"/>
          <w:numId w:val="6"/>
        </w:numPr>
        <w:spacing w:line="480" w:lineRule="auto"/>
        <w:jc w:val="both"/>
      </w:pPr>
      <w:r>
        <w:t xml:space="preserve">Longitudinal studies are encouraged to track </w:t>
      </w:r>
      <w:proofErr w:type="spellStart"/>
      <w:r>
        <w:t>behavioural</w:t>
      </w:r>
      <w:proofErr w:type="spellEnd"/>
      <w:r>
        <w:t xml:space="preserve"> changes over time, especially under evolving policy and infrastructural reforms.</w:t>
      </w:r>
    </w:p>
    <w:p w:rsidR="00DF52EA" w:rsidRDefault="002953DC">
      <w:pPr>
        <w:pStyle w:val="Heading3"/>
        <w:rPr>
          <w:rFonts w:ascii="Times New Roman" w:hAnsi="Times New Roman" w:cs="Times New Roman"/>
          <w:color w:val="auto"/>
          <w:sz w:val="24"/>
          <w:szCs w:val="24"/>
        </w:rPr>
      </w:pPr>
      <w:r>
        <w:rPr>
          <w:rFonts w:ascii="Times New Roman" w:hAnsi="Times New Roman" w:cs="Times New Roman"/>
          <w:b w:val="0"/>
          <w:color w:val="auto"/>
          <w:sz w:val="24"/>
          <w:szCs w:val="24"/>
        </w:rPr>
        <w:t>Policy Contribution</w:t>
      </w:r>
      <w:r>
        <w:rPr>
          <w:rFonts w:ascii="Times New Roman" w:hAnsi="Times New Roman" w:cs="Times New Roman"/>
          <w:color w:val="auto"/>
          <w:sz w:val="24"/>
          <w:szCs w:val="24"/>
        </w:rPr>
        <w:t>:</w:t>
      </w:r>
    </w:p>
    <w:p w:rsidR="00DF52EA" w:rsidRDefault="002953DC">
      <w:pPr>
        <w:pStyle w:val="NormalWeb"/>
        <w:numPr>
          <w:ilvl w:val="0"/>
          <w:numId w:val="1"/>
        </w:numPr>
        <w:spacing w:line="480" w:lineRule="auto"/>
        <w:jc w:val="both"/>
      </w:pPr>
      <w:r>
        <w:t>Governments should prioritize investment in reliable municipal waste collection systems and recycling infrastructure.</w:t>
      </w:r>
    </w:p>
    <w:p w:rsidR="00DF52EA" w:rsidRDefault="002953DC">
      <w:pPr>
        <w:pStyle w:val="NormalWeb"/>
        <w:numPr>
          <w:ilvl w:val="0"/>
          <w:numId w:val="1"/>
        </w:numPr>
        <w:spacing w:line="480" w:lineRule="auto"/>
        <w:jc w:val="both"/>
      </w:pPr>
      <w:r>
        <w:t>Policy frameworks must incorporate incentives such as subsidies, buy-back schemes, and tax relief to stimulate formal recycling markets.</w:t>
      </w:r>
    </w:p>
    <w:p w:rsidR="00DF52EA" w:rsidRDefault="002953DC">
      <w:pPr>
        <w:pStyle w:val="NormalWeb"/>
        <w:numPr>
          <w:ilvl w:val="0"/>
          <w:numId w:val="1"/>
        </w:numPr>
        <w:spacing w:line="480" w:lineRule="auto"/>
        <w:jc w:val="both"/>
      </w:pPr>
      <w:r>
        <w:t>Integration of indigenous knowledge and local governance structures into environmental policy design is essential for context-sensitive solutions.</w:t>
      </w:r>
    </w:p>
    <w:p w:rsidR="00DF52EA" w:rsidRDefault="002953DC">
      <w:pPr>
        <w:pStyle w:val="Heading3"/>
        <w:rPr>
          <w:b w:val="0"/>
          <w:color w:val="auto"/>
          <w:sz w:val="24"/>
          <w:szCs w:val="24"/>
        </w:rPr>
      </w:pPr>
      <w:r>
        <w:rPr>
          <w:b w:val="0"/>
          <w:color w:val="auto"/>
          <w:sz w:val="24"/>
          <w:szCs w:val="24"/>
        </w:rPr>
        <w:lastRenderedPageBreak/>
        <w:t>Practical Contribution</w:t>
      </w:r>
    </w:p>
    <w:p w:rsidR="00DF52EA" w:rsidRDefault="002953DC">
      <w:pPr>
        <w:pStyle w:val="NormalWeb"/>
        <w:numPr>
          <w:ilvl w:val="0"/>
          <w:numId w:val="5"/>
        </w:numPr>
        <w:spacing w:line="480" w:lineRule="auto"/>
        <w:jc w:val="both"/>
      </w:pPr>
      <w:r>
        <w:t>Community-based waste cooperatives should be scaled up as effective grassroots mechanisms for recycling and reuse.</w:t>
      </w:r>
    </w:p>
    <w:p w:rsidR="00DF52EA" w:rsidRDefault="002953DC">
      <w:pPr>
        <w:pStyle w:val="NormalWeb"/>
        <w:numPr>
          <w:ilvl w:val="0"/>
          <w:numId w:val="5"/>
        </w:numPr>
        <w:spacing w:line="480" w:lineRule="auto"/>
        <w:jc w:val="both"/>
      </w:pPr>
      <w:r>
        <w:t>Public education campaigns must go beyond awareness to practical demonstrations of waste segregation and recycling.</w:t>
      </w:r>
    </w:p>
    <w:p w:rsidR="00DF52EA" w:rsidRPr="00BF56CE" w:rsidRDefault="002953DC" w:rsidP="00BF56CE">
      <w:pPr>
        <w:pStyle w:val="NormalWeb"/>
        <w:numPr>
          <w:ilvl w:val="0"/>
          <w:numId w:val="5"/>
        </w:numPr>
        <w:spacing w:line="480" w:lineRule="auto"/>
        <w:jc w:val="both"/>
      </w:pPr>
      <w:r>
        <w:t>Partnerships between local governments, NGOs, and private recyclers can create sustainable value chains that make recycling economically viable for households.</w:t>
      </w:r>
    </w:p>
    <w:p w:rsidR="00DF52EA" w:rsidRDefault="00DF52EA">
      <w:pPr>
        <w:rPr>
          <w:rFonts w:ascii="Times New Roman" w:hAnsi="Times New Roman" w:cs="Times New Roman"/>
          <w:sz w:val="24"/>
          <w:szCs w:val="24"/>
        </w:rPr>
      </w:pPr>
    </w:p>
    <w:p w:rsidR="00DF52EA" w:rsidRDefault="002953DC">
      <w:pPr>
        <w:rPr>
          <w:rFonts w:ascii="Times New Roman" w:hAnsi="Times New Roman" w:cs="Times New Roman"/>
          <w:b/>
          <w:sz w:val="24"/>
          <w:szCs w:val="24"/>
        </w:rPr>
      </w:pPr>
      <w:r>
        <w:rPr>
          <w:rFonts w:ascii="Times New Roman" w:hAnsi="Times New Roman" w:cs="Times New Roman"/>
          <w:b/>
          <w:sz w:val="24"/>
          <w:szCs w:val="24"/>
        </w:rPr>
        <w:t>References</w:t>
      </w:r>
    </w:p>
    <w:p w:rsidR="00DF52EA" w:rsidRDefault="002953DC">
      <w:pPr>
        <w:tabs>
          <w:tab w:val="left" w:pos="6080"/>
        </w:tabs>
        <w:ind w:left="720" w:hanging="720"/>
        <w:rPr>
          <w:rFonts w:ascii="Times New Roman" w:hAnsi="Times New Roman" w:cs="Times New Roman"/>
          <w:sz w:val="24"/>
          <w:szCs w:val="24"/>
        </w:rPr>
      </w:pPr>
      <w:proofErr w:type="spellStart"/>
      <w:r>
        <w:rPr>
          <w:rFonts w:ascii="Times New Roman" w:hAnsi="Times New Roman" w:cs="Times New Roman"/>
          <w:sz w:val="24"/>
          <w:szCs w:val="24"/>
        </w:rPr>
        <w:t>Ajzen</w:t>
      </w:r>
      <w:proofErr w:type="spellEnd"/>
      <w:r>
        <w:rPr>
          <w:rFonts w:ascii="Times New Roman" w:hAnsi="Times New Roman" w:cs="Times New Roman"/>
          <w:sz w:val="24"/>
          <w:szCs w:val="24"/>
        </w:rPr>
        <w:t xml:space="preserve">, I. (1991). The theory of planned behavior. </w:t>
      </w:r>
      <w:r>
        <w:rPr>
          <w:rStyle w:val="Emphasis"/>
          <w:rFonts w:ascii="Times New Roman" w:hAnsi="Times New Roman" w:cs="Times New Roman"/>
          <w:sz w:val="24"/>
          <w:szCs w:val="24"/>
        </w:rPr>
        <w:t>Organizational Behavior and Human Decision Processes, 50</w:t>
      </w:r>
      <w:r>
        <w:rPr>
          <w:rFonts w:ascii="Times New Roman" w:hAnsi="Times New Roman" w:cs="Times New Roman"/>
          <w:sz w:val="24"/>
          <w:szCs w:val="24"/>
        </w:rPr>
        <w:t xml:space="preserve">(2), 179–211. </w:t>
      </w:r>
      <w:hyperlink r:id="rId7" w:history="1">
        <w:r>
          <w:rPr>
            <w:rStyle w:val="Hyperlink"/>
            <w:rFonts w:ascii="Times New Roman" w:hAnsi="Times New Roman" w:cs="Times New Roman"/>
            <w:sz w:val="24"/>
            <w:szCs w:val="24"/>
          </w:rPr>
          <w:t>https://doi.org/10.1016/0749-5978(91)90020-T</w:t>
        </w:r>
      </w:hyperlink>
    </w:p>
    <w:p w:rsidR="00DF52EA" w:rsidRDefault="002953DC">
      <w:pPr>
        <w:ind w:left="720" w:hanging="720"/>
        <w:rPr>
          <w:rFonts w:ascii="Times New Roman" w:hAnsi="Times New Roman" w:cs="Times New Roman"/>
          <w:sz w:val="24"/>
          <w:szCs w:val="24"/>
        </w:rPr>
      </w:pPr>
      <w:proofErr w:type="spellStart"/>
      <w:r>
        <w:rPr>
          <w:rFonts w:ascii="Times New Roman" w:hAnsi="Times New Roman" w:cs="Times New Roman"/>
          <w:sz w:val="24"/>
          <w:szCs w:val="24"/>
        </w:rPr>
        <w:t>Ajzen</w:t>
      </w:r>
      <w:proofErr w:type="spellEnd"/>
      <w:r>
        <w:rPr>
          <w:rFonts w:ascii="Times New Roman" w:hAnsi="Times New Roman" w:cs="Times New Roman"/>
          <w:sz w:val="24"/>
          <w:szCs w:val="24"/>
        </w:rPr>
        <w:t xml:space="preserve">, I. (n.d.). </w:t>
      </w:r>
      <w:r>
        <w:rPr>
          <w:rStyle w:val="Emphasis"/>
          <w:rFonts w:ascii="Times New Roman" w:hAnsi="Times New Roman" w:cs="Times New Roman"/>
          <w:sz w:val="24"/>
          <w:szCs w:val="24"/>
        </w:rPr>
        <w:t>The theory of planned behavior: Frequently asked questions</w:t>
      </w:r>
      <w:r>
        <w:rPr>
          <w:rFonts w:ascii="Times New Roman" w:hAnsi="Times New Roman" w:cs="Times New Roman"/>
          <w:sz w:val="24"/>
          <w:szCs w:val="24"/>
        </w:rPr>
        <w:t xml:space="preserve">. </w:t>
      </w:r>
      <w:hyperlink r:id="rId8" w:tgtFrame="_new" w:history="1">
        <w:r>
          <w:rPr>
            <w:rStyle w:val="Hyperlink"/>
            <w:rFonts w:ascii="Times New Roman" w:hAnsi="Times New Roman" w:cs="Times New Roman"/>
            <w:sz w:val="24"/>
            <w:szCs w:val="24"/>
          </w:rPr>
          <w:t>https://people.umass.edu/aizen/pubs/tpb-faq.pdf</w:t>
        </w:r>
      </w:hyperlink>
    </w:p>
    <w:p w:rsidR="00DF52EA" w:rsidRDefault="002953DC">
      <w:pPr>
        <w:ind w:left="720" w:hanging="720"/>
        <w:rPr>
          <w:rFonts w:ascii="Times New Roman" w:hAnsi="Times New Roman" w:cs="Times New Roman"/>
          <w:sz w:val="24"/>
          <w:szCs w:val="24"/>
        </w:rPr>
      </w:pPr>
      <w:proofErr w:type="spellStart"/>
      <w:r>
        <w:rPr>
          <w:rFonts w:ascii="Times New Roman" w:hAnsi="Times New Roman" w:cs="Times New Roman"/>
          <w:sz w:val="24"/>
          <w:szCs w:val="24"/>
        </w:rPr>
        <w:t>Angaye</w:t>
      </w:r>
      <w:proofErr w:type="spellEnd"/>
      <w:r>
        <w:rPr>
          <w:rFonts w:ascii="Times New Roman" w:hAnsi="Times New Roman" w:cs="Times New Roman"/>
          <w:sz w:val="24"/>
          <w:szCs w:val="24"/>
        </w:rPr>
        <w:t xml:space="preserve">, T. C., </w:t>
      </w:r>
      <w:proofErr w:type="spellStart"/>
      <w:r>
        <w:rPr>
          <w:rFonts w:ascii="Times New Roman" w:hAnsi="Times New Roman" w:cs="Times New Roman"/>
          <w:sz w:val="24"/>
          <w:szCs w:val="24"/>
        </w:rPr>
        <w:t>Daokoru-Olukole</w:t>
      </w:r>
      <w:proofErr w:type="spellEnd"/>
      <w:r>
        <w:rPr>
          <w:rFonts w:ascii="Times New Roman" w:hAnsi="Times New Roman" w:cs="Times New Roman"/>
          <w:sz w:val="24"/>
          <w:szCs w:val="24"/>
        </w:rPr>
        <w:t xml:space="preserve">, C., &amp; </w:t>
      </w:r>
      <w:proofErr w:type="spellStart"/>
      <w:r>
        <w:rPr>
          <w:rFonts w:ascii="Times New Roman" w:hAnsi="Times New Roman" w:cs="Times New Roman"/>
          <w:sz w:val="24"/>
          <w:szCs w:val="24"/>
        </w:rPr>
        <w:t>Abowei</w:t>
      </w:r>
      <w:proofErr w:type="spellEnd"/>
      <w:r>
        <w:rPr>
          <w:rFonts w:ascii="Times New Roman" w:hAnsi="Times New Roman" w:cs="Times New Roman"/>
          <w:sz w:val="24"/>
          <w:szCs w:val="24"/>
        </w:rPr>
        <w:t xml:space="preserve">, J. F. N. (2017). Characterization of household solid wastes in the Niger Delta: A case study of 100-domestic units in </w:t>
      </w:r>
      <w:proofErr w:type="spellStart"/>
      <w:r>
        <w:rPr>
          <w:rFonts w:ascii="Times New Roman" w:hAnsi="Times New Roman" w:cs="Times New Roman"/>
          <w:sz w:val="24"/>
          <w:szCs w:val="24"/>
        </w:rPr>
        <w:t>Yenagoa</w:t>
      </w:r>
      <w:proofErr w:type="spellEnd"/>
      <w:r>
        <w:rPr>
          <w:rFonts w:ascii="Times New Roman" w:hAnsi="Times New Roman" w:cs="Times New Roman"/>
          <w:sz w:val="24"/>
          <w:szCs w:val="24"/>
        </w:rPr>
        <w:t xml:space="preserve"> Metropolis, Nigeria. </w:t>
      </w:r>
      <w:r>
        <w:rPr>
          <w:rStyle w:val="Emphasis"/>
          <w:rFonts w:ascii="Times New Roman" w:hAnsi="Times New Roman" w:cs="Times New Roman"/>
          <w:sz w:val="24"/>
          <w:szCs w:val="24"/>
        </w:rPr>
        <w:t>International Journal of Sustainable Development Research, 3</w:t>
      </w:r>
      <w:r>
        <w:rPr>
          <w:rFonts w:ascii="Times New Roman" w:hAnsi="Times New Roman" w:cs="Times New Roman"/>
          <w:sz w:val="24"/>
          <w:szCs w:val="24"/>
        </w:rPr>
        <w:t xml:space="preserve">(5), 50–53. </w:t>
      </w:r>
      <w:hyperlink r:id="rId9" w:history="1">
        <w:r>
          <w:rPr>
            <w:rStyle w:val="Hyperlink"/>
            <w:rFonts w:ascii="Times New Roman" w:hAnsi="Times New Roman" w:cs="Times New Roman"/>
            <w:sz w:val="24"/>
            <w:szCs w:val="24"/>
          </w:rPr>
          <w:t>https://doi.org/10.11648/j.ijsdr.20170305.12</w:t>
        </w:r>
      </w:hyperlink>
    </w:p>
    <w:p w:rsidR="00DF52EA" w:rsidRDefault="002953DC">
      <w:pPr>
        <w:tabs>
          <w:tab w:val="left" w:pos="6080"/>
        </w:tabs>
        <w:ind w:left="720" w:hanging="720"/>
        <w:jc w:val="both"/>
        <w:rPr>
          <w:rFonts w:ascii="Times New Roman" w:hAnsi="Times New Roman" w:cs="Times New Roman"/>
          <w:sz w:val="24"/>
          <w:szCs w:val="24"/>
        </w:rPr>
      </w:pPr>
      <w:r>
        <w:rPr>
          <w:rFonts w:ascii="Times New Roman" w:hAnsi="Times New Roman" w:cs="Times New Roman"/>
          <w:sz w:val="24"/>
          <w:szCs w:val="24"/>
        </w:rPr>
        <w:t xml:space="preserve">Bandura, A. (2001). Social cognitive theory: An agentic perspective. </w:t>
      </w:r>
      <w:r>
        <w:rPr>
          <w:rStyle w:val="Emphasis"/>
          <w:rFonts w:ascii="Times New Roman" w:hAnsi="Times New Roman" w:cs="Times New Roman"/>
          <w:sz w:val="24"/>
          <w:szCs w:val="24"/>
        </w:rPr>
        <w:t>Annual Review of Psychology, 52</w:t>
      </w:r>
      <w:r>
        <w:rPr>
          <w:rFonts w:ascii="Times New Roman" w:hAnsi="Times New Roman" w:cs="Times New Roman"/>
          <w:sz w:val="24"/>
          <w:szCs w:val="24"/>
        </w:rPr>
        <w:t xml:space="preserve">, 1–26. </w:t>
      </w:r>
      <w:hyperlink r:id="rId10" w:history="1">
        <w:r>
          <w:rPr>
            <w:rStyle w:val="Hyperlink"/>
            <w:rFonts w:ascii="Times New Roman" w:hAnsi="Times New Roman" w:cs="Times New Roman"/>
            <w:sz w:val="24"/>
            <w:szCs w:val="24"/>
          </w:rPr>
          <w:t>https://doi.org/10.1146/annurev.psych.52.1.1</w:t>
        </w:r>
      </w:hyperlink>
    </w:p>
    <w:p w:rsidR="00DF52EA" w:rsidRDefault="002953DC">
      <w:pPr>
        <w:ind w:left="720" w:hanging="720"/>
        <w:rPr>
          <w:rFonts w:ascii="Times New Roman" w:hAnsi="Times New Roman" w:cs="Times New Roman"/>
          <w:sz w:val="24"/>
          <w:szCs w:val="24"/>
        </w:rPr>
      </w:pPr>
      <w:proofErr w:type="spellStart"/>
      <w:r>
        <w:rPr>
          <w:rFonts w:ascii="Times New Roman" w:hAnsi="Times New Roman" w:cs="Times New Roman"/>
          <w:sz w:val="24"/>
          <w:szCs w:val="24"/>
        </w:rPr>
        <w:t>Ebuete</w:t>
      </w:r>
      <w:proofErr w:type="spellEnd"/>
      <w:r>
        <w:rPr>
          <w:rFonts w:ascii="Times New Roman" w:hAnsi="Times New Roman" w:cs="Times New Roman"/>
          <w:sz w:val="24"/>
          <w:szCs w:val="24"/>
        </w:rPr>
        <w:t xml:space="preserve">, A. W., </w:t>
      </w:r>
      <w:proofErr w:type="spellStart"/>
      <w:r>
        <w:rPr>
          <w:rFonts w:ascii="Times New Roman" w:hAnsi="Times New Roman" w:cs="Times New Roman"/>
          <w:sz w:val="24"/>
          <w:szCs w:val="24"/>
        </w:rPr>
        <w:t>Douye</w:t>
      </w:r>
      <w:proofErr w:type="spellEnd"/>
      <w:r>
        <w:rPr>
          <w:rFonts w:ascii="Times New Roman" w:hAnsi="Times New Roman" w:cs="Times New Roman"/>
          <w:sz w:val="24"/>
          <w:szCs w:val="24"/>
        </w:rPr>
        <w:t xml:space="preserve">, W. P., &amp; </w:t>
      </w:r>
      <w:proofErr w:type="spellStart"/>
      <w:r>
        <w:rPr>
          <w:rFonts w:ascii="Times New Roman" w:hAnsi="Times New Roman" w:cs="Times New Roman"/>
          <w:sz w:val="24"/>
          <w:szCs w:val="24"/>
        </w:rPr>
        <w:t>Eluan</w:t>
      </w:r>
      <w:proofErr w:type="spellEnd"/>
      <w:r>
        <w:rPr>
          <w:rFonts w:ascii="Times New Roman" w:hAnsi="Times New Roman" w:cs="Times New Roman"/>
          <w:sz w:val="24"/>
          <w:szCs w:val="24"/>
        </w:rPr>
        <w:t xml:space="preserve">, E. (2023). Dumping on waters: The lacunae in waste management in the Niger Delta, Nigeria. </w:t>
      </w:r>
      <w:r>
        <w:rPr>
          <w:rStyle w:val="Emphasis"/>
          <w:rFonts w:ascii="Times New Roman" w:hAnsi="Times New Roman" w:cs="Times New Roman"/>
          <w:sz w:val="24"/>
          <w:szCs w:val="24"/>
        </w:rPr>
        <w:t>American Journal of Environment and Climate, 2</w:t>
      </w:r>
      <w:r>
        <w:rPr>
          <w:rFonts w:ascii="Times New Roman" w:hAnsi="Times New Roman" w:cs="Times New Roman"/>
          <w:sz w:val="24"/>
          <w:szCs w:val="24"/>
        </w:rPr>
        <w:t xml:space="preserve">(3), 1–13. </w:t>
      </w:r>
      <w:hyperlink r:id="rId11" w:tgtFrame="_new" w:history="1">
        <w:r>
          <w:rPr>
            <w:rStyle w:val="Hyperlink"/>
            <w:rFonts w:ascii="Times New Roman" w:hAnsi="Times New Roman" w:cs="Times New Roman"/>
            <w:sz w:val="24"/>
            <w:szCs w:val="24"/>
          </w:rPr>
          <w:t>https://e-palli.org/index.php/ajec/article/view/602</w:t>
        </w:r>
      </w:hyperlink>
    </w:p>
    <w:p w:rsidR="00DF52EA" w:rsidRDefault="002953DC">
      <w:pPr>
        <w:tabs>
          <w:tab w:val="left" w:pos="6080"/>
        </w:tabs>
        <w:ind w:left="720" w:hanging="720"/>
        <w:rPr>
          <w:rFonts w:ascii="Times New Roman" w:hAnsi="Times New Roman" w:cs="Times New Roman"/>
          <w:sz w:val="24"/>
          <w:szCs w:val="24"/>
        </w:rPr>
      </w:pPr>
      <w:proofErr w:type="spellStart"/>
      <w:r>
        <w:rPr>
          <w:rFonts w:ascii="Times New Roman" w:hAnsi="Times New Roman" w:cs="Times New Roman"/>
          <w:sz w:val="24"/>
          <w:szCs w:val="24"/>
        </w:rPr>
        <w:t>Hoornweg</w:t>
      </w:r>
      <w:proofErr w:type="spellEnd"/>
      <w:r>
        <w:rPr>
          <w:rFonts w:ascii="Times New Roman" w:hAnsi="Times New Roman" w:cs="Times New Roman"/>
          <w:sz w:val="24"/>
          <w:szCs w:val="24"/>
        </w:rPr>
        <w:t xml:space="preserve">, D., &amp; </w:t>
      </w:r>
      <w:proofErr w:type="spellStart"/>
      <w:r>
        <w:rPr>
          <w:rFonts w:ascii="Times New Roman" w:hAnsi="Times New Roman" w:cs="Times New Roman"/>
          <w:sz w:val="24"/>
          <w:szCs w:val="24"/>
        </w:rPr>
        <w:t>Bhada</w:t>
      </w:r>
      <w:proofErr w:type="spellEnd"/>
      <w:r>
        <w:rPr>
          <w:rFonts w:ascii="Times New Roman" w:hAnsi="Times New Roman" w:cs="Times New Roman"/>
          <w:sz w:val="24"/>
          <w:szCs w:val="24"/>
        </w:rPr>
        <w:t xml:space="preserve">-Tata, P. (2012). </w:t>
      </w:r>
      <w:r>
        <w:rPr>
          <w:rStyle w:val="Emphasis"/>
          <w:rFonts w:ascii="Times New Roman" w:hAnsi="Times New Roman" w:cs="Times New Roman"/>
          <w:sz w:val="24"/>
          <w:szCs w:val="24"/>
        </w:rPr>
        <w:t>What a waste: A global review of solid waste management</w:t>
      </w:r>
      <w:r>
        <w:rPr>
          <w:rFonts w:ascii="Times New Roman" w:hAnsi="Times New Roman" w:cs="Times New Roman"/>
          <w:sz w:val="24"/>
          <w:szCs w:val="24"/>
        </w:rPr>
        <w:t xml:space="preserve">. World Bank. </w:t>
      </w:r>
      <w:hyperlink r:id="rId12" w:history="1">
        <w:r>
          <w:rPr>
            <w:rStyle w:val="Hyperlink"/>
            <w:rFonts w:ascii="Times New Roman" w:hAnsi="Times New Roman" w:cs="Times New Roman"/>
            <w:sz w:val="24"/>
            <w:szCs w:val="24"/>
          </w:rPr>
          <w:t>https://openknowledge.worldbank.org/handle/10986/17388</w:t>
        </w:r>
      </w:hyperlink>
    </w:p>
    <w:p w:rsidR="00DF52EA" w:rsidRDefault="002953DC">
      <w:pPr>
        <w:tabs>
          <w:tab w:val="left" w:pos="6080"/>
        </w:tabs>
        <w:ind w:left="720" w:hanging="720"/>
        <w:rPr>
          <w:rFonts w:ascii="Times New Roman" w:hAnsi="Times New Roman" w:cs="Times New Roman"/>
          <w:sz w:val="24"/>
          <w:szCs w:val="24"/>
        </w:rPr>
      </w:pPr>
      <w:r>
        <w:rPr>
          <w:rFonts w:ascii="Times New Roman" w:hAnsi="Times New Roman" w:cs="Times New Roman"/>
          <w:sz w:val="24"/>
          <w:szCs w:val="24"/>
        </w:rPr>
        <w:t xml:space="preserve">Ike, C. C., </w:t>
      </w:r>
      <w:proofErr w:type="spellStart"/>
      <w:r>
        <w:rPr>
          <w:rFonts w:ascii="Times New Roman" w:hAnsi="Times New Roman" w:cs="Times New Roman"/>
          <w:sz w:val="24"/>
          <w:szCs w:val="24"/>
        </w:rPr>
        <w:t>Ezeibe</w:t>
      </w:r>
      <w:proofErr w:type="spellEnd"/>
      <w:r>
        <w:rPr>
          <w:rFonts w:ascii="Times New Roman" w:hAnsi="Times New Roman" w:cs="Times New Roman"/>
          <w:sz w:val="24"/>
          <w:szCs w:val="24"/>
        </w:rPr>
        <w:t xml:space="preserve">, C. C., </w:t>
      </w:r>
      <w:proofErr w:type="spellStart"/>
      <w:r>
        <w:rPr>
          <w:rFonts w:ascii="Times New Roman" w:hAnsi="Times New Roman" w:cs="Times New Roman"/>
          <w:sz w:val="24"/>
          <w:szCs w:val="24"/>
        </w:rPr>
        <w:t>Anijiofor</w:t>
      </w:r>
      <w:proofErr w:type="spellEnd"/>
      <w:r>
        <w:rPr>
          <w:rFonts w:ascii="Times New Roman" w:hAnsi="Times New Roman" w:cs="Times New Roman"/>
          <w:sz w:val="24"/>
          <w:szCs w:val="24"/>
        </w:rPr>
        <w:t xml:space="preserve">, S. C., &amp; </w:t>
      </w:r>
      <w:proofErr w:type="spellStart"/>
      <w:r>
        <w:rPr>
          <w:rFonts w:ascii="Times New Roman" w:hAnsi="Times New Roman" w:cs="Times New Roman"/>
          <w:sz w:val="24"/>
          <w:szCs w:val="24"/>
        </w:rPr>
        <w:t>Daud</w:t>
      </w:r>
      <w:proofErr w:type="spellEnd"/>
      <w:r>
        <w:rPr>
          <w:rFonts w:ascii="Times New Roman" w:hAnsi="Times New Roman" w:cs="Times New Roman"/>
          <w:sz w:val="24"/>
          <w:szCs w:val="24"/>
        </w:rPr>
        <w:t xml:space="preserve">, N. N. (2021). Solid waste management in Nigeria: Problems, prospects, and policies. </w:t>
      </w:r>
      <w:r>
        <w:rPr>
          <w:rStyle w:val="Emphasis"/>
          <w:rFonts w:ascii="Times New Roman" w:hAnsi="Times New Roman" w:cs="Times New Roman"/>
          <w:sz w:val="24"/>
          <w:szCs w:val="24"/>
        </w:rPr>
        <w:t>Journal of Solid Waste Technology and Management, 47</w:t>
      </w:r>
      <w:r>
        <w:rPr>
          <w:rFonts w:ascii="Times New Roman" w:hAnsi="Times New Roman" w:cs="Times New Roman"/>
          <w:sz w:val="24"/>
          <w:szCs w:val="24"/>
        </w:rPr>
        <w:t xml:space="preserve">(1), 91–102. </w:t>
      </w:r>
      <w:hyperlink r:id="rId13" w:history="1">
        <w:r>
          <w:rPr>
            <w:rStyle w:val="Hyperlink"/>
            <w:rFonts w:ascii="Times New Roman" w:hAnsi="Times New Roman" w:cs="Times New Roman"/>
            <w:sz w:val="24"/>
            <w:szCs w:val="24"/>
          </w:rPr>
          <w:t>https://doi.org/10.5276/JSWTM/2021.91</w:t>
        </w:r>
      </w:hyperlink>
    </w:p>
    <w:p w:rsidR="00DF52EA" w:rsidRDefault="002953DC">
      <w:pPr>
        <w:ind w:left="720" w:hanging="720"/>
        <w:rPr>
          <w:rFonts w:ascii="Times New Roman" w:hAnsi="Times New Roman" w:cs="Times New Roman"/>
          <w:sz w:val="24"/>
          <w:szCs w:val="24"/>
        </w:rPr>
      </w:pPr>
      <w:r>
        <w:rPr>
          <w:rFonts w:ascii="Times New Roman" w:hAnsi="Times New Roman" w:cs="Times New Roman"/>
          <w:sz w:val="24"/>
          <w:szCs w:val="24"/>
        </w:rPr>
        <w:t xml:space="preserve">Journal of Material Cycles and Waste Management. (2015). Characterization and quantification of solid waste generation in the Niger Delta Region of Nigeria: A case study of </w:t>
      </w:r>
      <w:proofErr w:type="spellStart"/>
      <w:r>
        <w:rPr>
          <w:rFonts w:ascii="Times New Roman" w:hAnsi="Times New Roman" w:cs="Times New Roman"/>
          <w:sz w:val="24"/>
          <w:szCs w:val="24"/>
        </w:rPr>
        <w:t>Ogbe-</w:t>
      </w:r>
      <w:r>
        <w:rPr>
          <w:rFonts w:ascii="Times New Roman" w:hAnsi="Times New Roman" w:cs="Times New Roman"/>
          <w:sz w:val="24"/>
          <w:szCs w:val="24"/>
        </w:rPr>
        <w:lastRenderedPageBreak/>
        <w:t>Ijoh</w:t>
      </w:r>
      <w:proofErr w:type="spellEnd"/>
      <w:r>
        <w:rPr>
          <w:rFonts w:ascii="Times New Roman" w:hAnsi="Times New Roman" w:cs="Times New Roman"/>
          <w:sz w:val="24"/>
          <w:szCs w:val="24"/>
        </w:rPr>
        <w:t xml:space="preserve"> community in Delta State. </w:t>
      </w:r>
      <w:r>
        <w:rPr>
          <w:rStyle w:val="Emphasis"/>
          <w:rFonts w:ascii="Times New Roman" w:hAnsi="Times New Roman" w:cs="Times New Roman"/>
          <w:sz w:val="24"/>
          <w:szCs w:val="24"/>
        </w:rPr>
        <w:t>Journal of Material Cycles and Waste Management, 19</w:t>
      </w:r>
      <w:r>
        <w:rPr>
          <w:rFonts w:ascii="Times New Roman" w:hAnsi="Times New Roman" w:cs="Times New Roman"/>
          <w:sz w:val="24"/>
          <w:szCs w:val="24"/>
        </w:rPr>
        <w:t xml:space="preserve">(1), 366–373. </w:t>
      </w:r>
      <w:hyperlink r:id="rId14" w:history="1">
        <w:r>
          <w:rPr>
            <w:rStyle w:val="Hyperlink"/>
            <w:rFonts w:ascii="Times New Roman" w:hAnsi="Times New Roman" w:cs="Times New Roman"/>
            <w:sz w:val="24"/>
            <w:szCs w:val="24"/>
          </w:rPr>
          <w:t>https://doi.org/10.1007/s10163-015-0426-3</w:t>
        </w:r>
      </w:hyperlink>
    </w:p>
    <w:p w:rsidR="00DF52EA" w:rsidRDefault="002953DC">
      <w:pPr>
        <w:tabs>
          <w:tab w:val="left" w:pos="6080"/>
        </w:tabs>
        <w:ind w:left="720" w:hanging="720"/>
        <w:rPr>
          <w:rFonts w:ascii="Times New Roman" w:hAnsi="Times New Roman" w:cs="Times New Roman"/>
          <w:sz w:val="24"/>
          <w:szCs w:val="24"/>
        </w:rPr>
      </w:pPr>
      <w:r>
        <w:rPr>
          <w:rFonts w:ascii="Times New Roman" w:hAnsi="Times New Roman" w:cs="Times New Roman"/>
          <w:sz w:val="24"/>
          <w:szCs w:val="24"/>
        </w:rPr>
        <w:t xml:space="preserve">Nwachukwu, M. U., Feng, H., &amp; </w:t>
      </w:r>
      <w:proofErr w:type="spellStart"/>
      <w:r>
        <w:rPr>
          <w:rFonts w:ascii="Times New Roman" w:hAnsi="Times New Roman" w:cs="Times New Roman"/>
          <w:sz w:val="24"/>
          <w:szCs w:val="24"/>
        </w:rPr>
        <w:t>Achilike</w:t>
      </w:r>
      <w:proofErr w:type="spellEnd"/>
      <w:r>
        <w:rPr>
          <w:rFonts w:ascii="Times New Roman" w:hAnsi="Times New Roman" w:cs="Times New Roman"/>
          <w:sz w:val="24"/>
          <w:szCs w:val="24"/>
        </w:rPr>
        <w:t xml:space="preserve">, K. (2017). Integrated study for municipal solid waste management in Aba, Nigeria. </w:t>
      </w:r>
      <w:r>
        <w:rPr>
          <w:rStyle w:val="Emphasis"/>
          <w:rFonts w:ascii="Times New Roman" w:hAnsi="Times New Roman" w:cs="Times New Roman"/>
          <w:sz w:val="24"/>
          <w:szCs w:val="24"/>
        </w:rPr>
        <w:t>Journal of the Air &amp; Waste Management Association, 67</w:t>
      </w:r>
      <w:r>
        <w:rPr>
          <w:rFonts w:ascii="Times New Roman" w:hAnsi="Times New Roman" w:cs="Times New Roman"/>
          <w:sz w:val="24"/>
          <w:szCs w:val="24"/>
        </w:rPr>
        <w:t xml:space="preserve">(3), 291–301. </w:t>
      </w:r>
      <w:hyperlink r:id="rId15" w:history="1">
        <w:r>
          <w:rPr>
            <w:rStyle w:val="Hyperlink"/>
            <w:rFonts w:ascii="Times New Roman" w:hAnsi="Times New Roman" w:cs="Times New Roman"/>
            <w:sz w:val="24"/>
            <w:szCs w:val="24"/>
          </w:rPr>
          <w:t>https://doi.org/10.1080/10962247.2016.1241193</w:t>
        </w:r>
      </w:hyperlink>
    </w:p>
    <w:p w:rsidR="00DF52EA" w:rsidRDefault="002953DC">
      <w:pPr>
        <w:tabs>
          <w:tab w:val="left" w:pos="6080"/>
        </w:tabs>
        <w:ind w:left="720" w:hanging="720"/>
        <w:jc w:val="both"/>
        <w:rPr>
          <w:rFonts w:ascii="Times New Roman" w:hAnsi="Times New Roman" w:cs="Times New Roman"/>
          <w:sz w:val="24"/>
          <w:szCs w:val="24"/>
        </w:rPr>
      </w:pPr>
      <w:r>
        <w:rPr>
          <w:rFonts w:ascii="Times New Roman" w:hAnsi="Times New Roman" w:cs="Times New Roman"/>
          <w:sz w:val="24"/>
          <w:szCs w:val="24"/>
        </w:rPr>
        <w:t xml:space="preserve">Ogbonna, D. N., </w:t>
      </w:r>
      <w:proofErr w:type="spellStart"/>
      <w:r>
        <w:rPr>
          <w:rFonts w:ascii="Times New Roman" w:hAnsi="Times New Roman" w:cs="Times New Roman"/>
          <w:sz w:val="24"/>
          <w:szCs w:val="24"/>
        </w:rPr>
        <w:t>Amangabara</w:t>
      </w:r>
      <w:proofErr w:type="spellEnd"/>
      <w:r>
        <w:rPr>
          <w:rFonts w:ascii="Times New Roman" w:hAnsi="Times New Roman" w:cs="Times New Roman"/>
          <w:sz w:val="24"/>
          <w:szCs w:val="24"/>
        </w:rPr>
        <w:t xml:space="preserve">, G. T., &amp; </w:t>
      </w:r>
      <w:proofErr w:type="spellStart"/>
      <w:r>
        <w:rPr>
          <w:rFonts w:ascii="Times New Roman" w:hAnsi="Times New Roman" w:cs="Times New Roman"/>
          <w:sz w:val="24"/>
          <w:szCs w:val="24"/>
        </w:rPr>
        <w:t>Ekere</w:t>
      </w:r>
      <w:proofErr w:type="spellEnd"/>
      <w:r>
        <w:rPr>
          <w:rFonts w:ascii="Times New Roman" w:hAnsi="Times New Roman" w:cs="Times New Roman"/>
          <w:sz w:val="24"/>
          <w:szCs w:val="24"/>
        </w:rPr>
        <w:t xml:space="preserve">, T. O. (2020). Urban solid waste generation in Port Harcourt metropolis and its implications for waste management. </w:t>
      </w:r>
      <w:r>
        <w:rPr>
          <w:rStyle w:val="Emphasis"/>
          <w:rFonts w:ascii="Times New Roman" w:hAnsi="Times New Roman" w:cs="Times New Roman"/>
          <w:sz w:val="24"/>
          <w:szCs w:val="24"/>
        </w:rPr>
        <w:t>Management of Environmental Quality, 31</w:t>
      </w:r>
      <w:r>
        <w:rPr>
          <w:rFonts w:ascii="Times New Roman" w:hAnsi="Times New Roman" w:cs="Times New Roman"/>
          <w:sz w:val="24"/>
          <w:szCs w:val="24"/>
        </w:rPr>
        <w:t xml:space="preserve">(2), 407–423. </w:t>
      </w:r>
      <w:hyperlink r:id="rId16" w:history="1">
        <w:r>
          <w:rPr>
            <w:rStyle w:val="Hyperlink"/>
            <w:rFonts w:ascii="Times New Roman" w:hAnsi="Times New Roman" w:cs="Times New Roman"/>
            <w:sz w:val="24"/>
            <w:szCs w:val="24"/>
          </w:rPr>
          <w:t>https://doi.org/10.1108/MEQ-09-2019-0194</w:t>
        </w:r>
      </w:hyperlink>
    </w:p>
    <w:p w:rsidR="00DF52EA" w:rsidRDefault="002953DC">
      <w:pPr>
        <w:ind w:left="720" w:hanging="720"/>
        <w:rPr>
          <w:rFonts w:ascii="Times New Roman" w:hAnsi="Times New Roman" w:cs="Times New Roman"/>
          <w:sz w:val="24"/>
          <w:szCs w:val="24"/>
        </w:rPr>
      </w:pPr>
      <w:r>
        <w:rPr>
          <w:rFonts w:ascii="Times New Roman" w:hAnsi="Times New Roman" w:cs="Times New Roman"/>
          <w:sz w:val="24"/>
          <w:szCs w:val="24"/>
        </w:rPr>
        <w:t xml:space="preserve">Sustainable Environment Research. (2020). Proliferation of household waste irregular dumpsites in Niger Delta region (Nigeria): Unsustainable public health monitoring and future restitution. </w:t>
      </w:r>
      <w:r>
        <w:rPr>
          <w:rStyle w:val="Emphasis"/>
          <w:rFonts w:ascii="Times New Roman" w:hAnsi="Times New Roman" w:cs="Times New Roman"/>
          <w:sz w:val="24"/>
          <w:szCs w:val="24"/>
        </w:rPr>
        <w:t>Sustainable Environment Research, 30</w:t>
      </w:r>
      <w:r>
        <w:rPr>
          <w:rFonts w:ascii="Times New Roman" w:hAnsi="Times New Roman" w:cs="Times New Roman"/>
          <w:sz w:val="24"/>
          <w:szCs w:val="24"/>
        </w:rPr>
        <w:t xml:space="preserve">(1), Article 5. </w:t>
      </w:r>
      <w:hyperlink r:id="rId17" w:history="1">
        <w:r>
          <w:rPr>
            <w:rStyle w:val="Hyperlink"/>
            <w:rFonts w:ascii="Times New Roman" w:hAnsi="Times New Roman" w:cs="Times New Roman"/>
            <w:sz w:val="24"/>
            <w:szCs w:val="24"/>
          </w:rPr>
          <w:t>https://doi.org/10.1186/s42834-020-00077-1</w:t>
        </w:r>
      </w:hyperlink>
    </w:p>
    <w:p w:rsidR="00DF52EA" w:rsidRDefault="002953DC">
      <w:pPr>
        <w:ind w:left="720" w:hanging="720"/>
        <w:rPr>
          <w:rFonts w:ascii="Times New Roman" w:hAnsi="Times New Roman" w:cs="Times New Roman"/>
          <w:sz w:val="24"/>
          <w:szCs w:val="24"/>
        </w:rPr>
      </w:pPr>
      <w:proofErr w:type="spellStart"/>
      <w:r>
        <w:rPr>
          <w:rFonts w:ascii="Times New Roman" w:hAnsi="Times New Roman" w:cs="Times New Roman"/>
          <w:sz w:val="24"/>
          <w:szCs w:val="24"/>
        </w:rPr>
        <w:t>Ukala</w:t>
      </w:r>
      <w:proofErr w:type="spellEnd"/>
      <w:r>
        <w:rPr>
          <w:rFonts w:ascii="Times New Roman" w:hAnsi="Times New Roman" w:cs="Times New Roman"/>
          <w:sz w:val="24"/>
          <w:szCs w:val="24"/>
        </w:rPr>
        <w:t xml:space="preserve">, D. C., </w:t>
      </w:r>
      <w:proofErr w:type="spellStart"/>
      <w:r>
        <w:rPr>
          <w:rFonts w:ascii="Times New Roman" w:hAnsi="Times New Roman" w:cs="Times New Roman"/>
          <w:sz w:val="24"/>
          <w:szCs w:val="24"/>
        </w:rPr>
        <w:t>Akaun</w:t>
      </w:r>
      <w:proofErr w:type="spellEnd"/>
      <w:r>
        <w:rPr>
          <w:rFonts w:ascii="Times New Roman" w:hAnsi="Times New Roman" w:cs="Times New Roman"/>
          <w:sz w:val="24"/>
          <w:szCs w:val="24"/>
        </w:rPr>
        <w:t xml:space="preserve">, H. I., &amp; </w:t>
      </w:r>
      <w:proofErr w:type="spellStart"/>
      <w:r>
        <w:rPr>
          <w:rFonts w:ascii="Times New Roman" w:hAnsi="Times New Roman" w:cs="Times New Roman"/>
          <w:sz w:val="24"/>
          <w:szCs w:val="24"/>
        </w:rPr>
        <w:t>Owamah</w:t>
      </w:r>
      <w:proofErr w:type="spellEnd"/>
      <w:r>
        <w:rPr>
          <w:rFonts w:ascii="Times New Roman" w:hAnsi="Times New Roman" w:cs="Times New Roman"/>
          <w:sz w:val="24"/>
          <w:szCs w:val="24"/>
        </w:rPr>
        <w:t xml:space="preserve">, H. I. (2020). A review of solid waste management practice in Nigeria. </w:t>
      </w:r>
      <w:r>
        <w:rPr>
          <w:rStyle w:val="Emphasis"/>
          <w:rFonts w:ascii="Times New Roman" w:hAnsi="Times New Roman" w:cs="Times New Roman"/>
          <w:sz w:val="24"/>
          <w:szCs w:val="24"/>
        </w:rPr>
        <w:t>NIPES Journal of Science and Technology Research, 2</w:t>
      </w:r>
      <w:r>
        <w:rPr>
          <w:rFonts w:ascii="Times New Roman" w:hAnsi="Times New Roman" w:cs="Times New Roman"/>
          <w:sz w:val="24"/>
          <w:szCs w:val="24"/>
        </w:rPr>
        <w:t xml:space="preserve">(3), 1–11. </w:t>
      </w:r>
      <w:hyperlink r:id="rId18" w:tgtFrame="_new" w:history="1">
        <w:r>
          <w:rPr>
            <w:rStyle w:val="Hyperlink"/>
            <w:rFonts w:ascii="Times New Roman" w:hAnsi="Times New Roman" w:cs="Times New Roman"/>
            <w:sz w:val="24"/>
            <w:szCs w:val="24"/>
          </w:rPr>
          <w:t>https://journals.nipes.org/index.php/njstr/article/view/138</w:t>
        </w:r>
      </w:hyperlink>
      <w:r>
        <w:rPr>
          <w:rFonts w:ascii="Times New Roman" w:hAnsi="Times New Roman" w:cs="Times New Roman"/>
          <w:sz w:val="24"/>
          <w:szCs w:val="24"/>
        </w:rPr>
        <w:tab/>
      </w:r>
    </w:p>
    <w:p w:rsidR="00DF52EA" w:rsidRDefault="002953DC">
      <w:pPr>
        <w:tabs>
          <w:tab w:val="left" w:pos="6080"/>
        </w:tabs>
        <w:ind w:left="720" w:hanging="720"/>
        <w:jc w:val="both"/>
        <w:rPr>
          <w:rFonts w:ascii="Times New Roman" w:hAnsi="Times New Roman" w:cs="Times New Roman"/>
          <w:sz w:val="24"/>
          <w:szCs w:val="24"/>
        </w:rPr>
      </w:pPr>
      <w:r>
        <w:rPr>
          <w:rFonts w:ascii="Times New Roman" w:hAnsi="Times New Roman" w:cs="Times New Roman"/>
          <w:sz w:val="24"/>
          <w:szCs w:val="24"/>
        </w:rPr>
        <w:t xml:space="preserve">UNEP. (2011). </w:t>
      </w:r>
      <w:r>
        <w:rPr>
          <w:rStyle w:val="Emphasis"/>
          <w:rFonts w:ascii="Times New Roman" w:hAnsi="Times New Roman" w:cs="Times New Roman"/>
          <w:sz w:val="24"/>
          <w:szCs w:val="24"/>
        </w:rPr>
        <w:t xml:space="preserve">Environmental assessment of </w:t>
      </w:r>
      <w:proofErr w:type="spellStart"/>
      <w:r>
        <w:rPr>
          <w:rStyle w:val="Emphasis"/>
          <w:rFonts w:ascii="Times New Roman" w:hAnsi="Times New Roman" w:cs="Times New Roman"/>
          <w:sz w:val="24"/>
          <w:szCs w:val="24"/>
        </w:rPr>
        <w:t>Ogoniland</w:t>
      </w:r>
      <w:proofErr w:type="spellEnd"/>
      <w:r>
        <w:rPr>
          <w:rFonts w:ascii="Times New Roman" w:hAnsi="Times New Roman" w:cs="Times New Roman"/>
          <w:sz w:val="24"/>
          <w:szCs w:val="24"/>
        </w:rPr>
        <w:t xml:space="preserve">. United Nations Environment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w:t>
      </w:r>
      <w:hyperlink r:id="rId19" w:history="1">
        <w:r>
          <w:rPr>
            <w:rStyle w:val="Hyperlink"/>
            <w:rFonts w:ascii="Times New Roman" w:hAnsi="Times New Roman" w:cs="Times New Roman"/>
            <w:sz w:val="24"/>
            <w:szCs w:val="24"/>
          </w:rPr>
          <w:t>https://www.unep.org/resources/environmental-assessment-ogoniland</w:t>
        </w:r>
      </w:hyperlink>
    </w:p>
    <w:p w:rsidR="00DF52EA" w:rsidRDefault="002953DC">
      <w:pPr>
        <w:tabs>
          <w:tab w:val="left" w:pos="6080"/>
        </w:tabs>
        <w:ind w:left="720" w:hanging="720"/>
        <w:rPr>
          <w:rFonts w:ascii="Times New Roman" w:hAnsi="Times New Roman" w:cs="Times New Roman"/>
          <w:sz w:val="24"/>
          <w:szCs w:val="24"/>
        </w:rPr>
      </w:pPr>
      <w:r>
        <w:rPr>
          <w:rFonts w:ascii="Times New Roman" w:hAnsi="Times New Roman" w:cs="Times New Roman"/>
          <w:sz w:val="24"/>
          <w:szCs w:val="24"/>
        </w:rPr>
        <w:t xml:space="preserve">United Nations Environment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(UNEP). (2011). </w:t>
      </w:r>
      <w:r>
        <w:rPr>
          <w:rStyle w:val="Emphasis"/>
          <w:rFonts w:ascii="Times New Roman" w:hAnsi="Times New Roman" w:cs="Times New Roman"/>
          <w:sz w:val="24"/>
          <w:szCs w:val="24"/>
        </w:rPr>
        <w:t xml:space="preserve">Environmental assessment of </w:t>
      </w:r>
      <w:proofErr w:type="spellStart"/>
      <w:r>
        <w:rPr>
          <w:rStyle w:val="Emphasis"/>
          <w:rFonts w:ascii="Times New Roman" w:hAnsi="Times New Roman" w:cs="Times New Roman"/>
          <w:sz w:val="24"/>
          <w:szCs w:val="24"/>
        </w:rPr>
        <w:t>Ogoniland</w:t>
      </w:r>
      <w:proofErr w:type="spellEnd"/>
      <w:r>
        <w:rPr>
          <w:rFonts w:ascii="Times New Roman" w:hAnsi="Times New Roman" w:cs="Times New Roman"/>
          <w:sz w:val="24"/>
          <w:szCs w:val="24"/>
        </w:rPr>
        <w:t xml:space="preserve">. United Nations Environment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w:t>
      </w:r>
      <w:hyperlink r:id="rId20" w:history="1">
        <w:r>
          <w:rPr>
            <w:rStyle w:val="Hyperlink"/>
            <w:rFonts w:ascii="Times New Roman" w:hAnsi="Times New Roman" w:cs="Times New Roman"/>
            <w:sz w:val="24"/>
            <w:szCs w:val="24"/>
          </w:rPr>
          <w:t>https://www.unep.org/resources/environmental-assessment-ogoniland</w:t>
        </w:r>
      </w:hyperlink>
    </w:p>
    <w:p w:rsidR="00DF52EA" w:rsidRDefault="00DF52EA">
      <w:pPr>
        <w:tabs>
          <w:tab w:val="left" w:pos="6080"/>
        </w:tabs>
        <w:jc w:val="both"/>
        <w:rPr>
          <w:rFonts w:ascii="Times New Roman" w:hAnsi="Times New Roman" w:cs="Times New Roman"/>
          <w:sz w:val="24"/>
          <w:szCs w:val="24"/>
        </w:rPr>
      </w:pPr>
    </w:p>
    <w:sectPr w:rsidR="00DF52EA">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36A5" w:rsidRDefault="000336A5">
      <w:pPr>
        <w:spacing w:after="0" w:line="240" w:lineRule="auto"/>
      </w:pPr>
      <w:r>
        <w:separator/>
      </w:r>
    </w:p>
  </w:endnote>
  <w:endnote w:type="continuationSeparator" w:id="0">
    <w:p w:rsidR="000336A5" w:rsidRDefault="00033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2D07" w:rsidRDefault="00452D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52EA" w:rsidRDefault="002953DC">
    <w:pPr>
      <w:pStyle w:val="Footer"/>
      <w:jc w:val="center"/>
    </w:pPr>
    <w:r>
      <w:fldChar w:fldCharType="begin"/>
    </w:r>
    <w:r>
      <w:instrText xml:space="preserve"> PAGE   \* MERGEFORMAT </w:instrText>
    </w:r>
    <w:r>
      <w:fldChar w:fldCharType="separate"/>
    </w:r>
    <w:r w:rsidR="00033CF7">
      <w:rPr>
        <w:noProof/>
      </w:rPr>
      <w:t>20</w:t>
    </w:r>
    <w:r>
      <w:fldChar w:fldCharType="end"/>
    </w:r>
  </w:p>
  <w:p w:rsidR="00DF52EA" w:rsidRDefault="00DF52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2D07" w:rsidRDefault="00452D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36A5" w:rsidRDefault="000336A5">
      <w:pPr>
        <w:spacing w:after="0" w:line="240" w:lineRule="auto"/>
      </w:pPr>
      <w:r>
        <w:separator/>
      </w:r>
    </w:p>
  </w:footnote>
  <w:footnote w:type="continuationSeparator" w:id="0">
    <w:p w:rsidR="000336A5" w:rsidRDefault="000336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2D07" w:rsidRDefault="00452D0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54459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2D07" w:rsidRDefault="00452D0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54459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2D07" w:rsidRDefault="00452D0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54459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AA120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multilevel"/>
    <w:tmpl w:val="AC7220C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 w15:restartNumberingAfterBreak="0">
    <w:nsid w:val="00000003"/>
    <w:multiLevelType w:val="multilevel"/>
    <w:tmpl w:val="055262A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 w15:restartNumberingAfterBreak="0">
    <w:nsid w:val="00000004"/>
    <w:multiLevelType w:val="multilevel"/>
    <w:tmpl w:val="D636729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05"/>
    <w:multiLevelType w:val="multilevel"/>
    <w:tmpl w:val="4E7A385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5" w15:restartNumberingAfterBreak="0">
    <w:nsid w:val="00000006"/>
    <w:multiLevelType w:val="multilevel"/>
    <w:tmpl w:val="BBB0C9F2"/>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6" w15:restartNumberingAfterBreak="0">
    <w:nsid w:val="00000007"/>
    <w:multiLevelType w:val="multilevel"/>
    <w:tmpl w:val="0C36E8D8"/>
    <w:lvl w:ilvl="0">
      <w:start w:val="1"/>
      <w:numFmt w:val="lowerRoman"/>
      <w:lvlText w:val="%1."/>
      <w:lvlJc w:val="left"/>
      <w:pPr>
        <w:tabs>
          <w:tab w:val="left" w:pos="720"/>
        </w:tabs>
        <w:ind w:left="720" w:hanging="360"/>
      </w:pPr>
      <w:rPr>
        <w:rFonts w:ascii="Times New Roman" w:eastAsia="Times New Roman" w:hAnsi="Times New Roman" w:cs="Times New Roman"/>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0000008"/>
    <w:multiLevelType w:val="multilevel"/>
    <w:tmpl w:val="0A887078"/>
    <w:lvl w:ilvl="0">
      <w:start w:val="1"/>
      <w:numFmt w:val="lowerRoman"/>
      <w:lvlText w:val="%1."/>
      <w:lvlJc w:val="left"/>
      <w:pPr>
        <w:tabs>
          <w:tab w:val="left" w:pos="720"/>
        </w:tabs>
        <w:ind w:left="720" w:hanging="360"/>
      </w:pPr>
      <w:rPr>
        <w:rFonts w:ascii="Times New Roman" w:eastAsia="Times New Roman" w:hAnsi="Times New Roman" w:cs="Times New Roman"/>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00000009"/>
    <w:multiLevelType w:val="multilevel"/>
    <w:tmpl w:val="E5DE340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0000000A"/>
    <w:multiLevelType w:val="multilevel"/>
    <w:tmpl w:val="30EE6AF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0" w15:restartNumberingAfterBreak="0">
    <w:nsid w:val="757906DD"/>
    <w:multiLevelType w:val="multilevel"/>
    <w:tmpl w:val="38A221A4"/>
    <w:lvl w:ilvl="0">
      <w:start w:val="1"/>
      <w:numFmt w:val="lowerRoman"/>
      <w:lvlText w:val="%1."/>
      <w:lvlJc w:val="left"/>
      <w:pPr>
        <w:tabs>
          <w:tab w:val="left" w:pos="720"/>
        </w:tabs>
        <w:ind w:left="720" w:hanging="360"/>
      </w:pPr>
      <w:rPr>
        <w:rFonts w:ascii="Times New Roman" w:eastAsia="Times New Roman" w:hAnsi="Times New Roman" w:cs="Times New Roman"/>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10"/>
  </w:num>
  <w:num w:numId="2">
    <w:abstractNumId w:val="4"/>
  </w:num>
  <w:num w:numId="3">
    <w:abstractNumId w:val="8"/>
  </w:num>
  <w:num w:numId="4">
    <w:abstractNumId w:val="9"/>
  </w:num>
  <w:num w:numId="5">
    <w:abstractNumId w:val="7"/>
  </w:num>
  <w:num w:numId="6">
    <w:abstractNumId w:val="6"/>
  </w:num>
  <w:num w:numId="7">
    <w:abstractNumId w:val="3"/>
  </w:num>
  <w:num w:numId="8">
    <w:abstractNumId w:val="0"/>
  </w:num>
  <w:num w:numId="9">
    <w:abstractNumId w:val="5"/>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F52EA"/>
    <w:rsid w:val="00013497"/>
    <w:rsid w:val="000336A5"/>
    <w:rsid w:val="00033CF7"/>
    <w:rsid w:val="002953DC"/>
    <w:rsid w:val="00310BF6"/>
    <w:rsid w:val="00452D07"/>
    <w:rsid w:val="004B5271"/>
    <w:rsid w:val="006B1EDD"/>
    <w:rsid w:val="00933A62"/>
    <w:rsid w:val="00AA2F12"/>
    <w:rsid w:val="00BC6987"/>
    <w:rsid w:val="00BF56CE"/>
    <w:rsid w:val="00C131C5"/>
    <w:rsid w:val="00C822DE"/>
    <w:rsid w:val="00CA191F"/>
    <w:rsid w:val="00D11660"/>
    <w:rsid w:val="00DF52EA"/>
    <w:rsid w:val="00E26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D30D86"/>
  <w15:docId w15:val="{1748B70A-3B4E-4BAF-A08B-772B221F5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Cambria" w:eastAsia="SimSun" w:hAnsi="Cambria"/>
      <w:b/>
      <w:bCs/>
      <w:color w:val="365F91"/>
      <w:sz w:val="28"/>
      <w:szCs w:val="28"/>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qFormat/>
    <w:pPr>
      <w:keepNext/>
      <w:keepLines/>
      <w:spacing w:before="200" w:after="0"/>
      <w:outlineLvl w:val="2"/>
    </w:pPr>
    <w:rPr>
      <w:rFonts w:ascii="Cambria" w:eastAsia="SimSu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uiPriority w:val="20"/>
    <w:qFormat/>
    <w:rPr>
      <w:i/>
      <w:iCs/>
    </w:rPr>
  </w:style>
  <w:style w:type="character" w:styleId="Hyperlink">
    <w:name w:val="Hyperlink"/>
    <w:basedOn w:val="DefaultParagraphFont"/>
    <w:uiPriority w:val="99"/>
    <w:rPr>
      <w:color w:val="0000FF"/>
      <w:u w:val="single"/>
    </w:rPr>
  </w:style>
  <w:style w:type="character" w:customStyle="1" w:styleId="Heading3Char">
    <w:name w:val="Heading 3 Char"/>
    <w:basedOn w:val="DefaultParagraphFont"/>
    <w:link w:val="Heading3"/>
    <w:uiPriority w:val="9"/>
    <w:rPr>
      <w:rFonts w:ascii="Cambria" w:eastAsia="SimSun" w:hAnsi="Cambria" w:cs="SimSun"/>
      <w:b/>
      <w:bCs/>
      <w:color w:val="4F81BD"/>
    </w:rPr>
  </w:style>
  <w:style w:type="character" w:customStyle="1" w:styleId="Heading1Char">
    <w:name w:val="Heading 1 Char"/>
    <w:basedOn w:val="DefaultParagraphFont"/>
    <w:link w:val="Heading1"/>
    <w:uiPriority w:val="9"/>
    <w:rPr>
      <w:rFonts w:ascii="Cambria" w:eastAsia="SimSun" w:hAnsi="Cambria" w:cs="SimSun"/>
      <w:b/>
      <w:bCs/>
      <w:color w:val="365F91"/>
      <w:sz w:val="28"/>
      <w:szCs w:val="28"/>
    </w:rPr>
  </w:style>
  <w:style w:type="paragraph" w:styleId="ListParagraph">
    <w:name w:val="List Paragraph"/>
    <w:basedOn w:val="Normal"/>
    <w:uiPriority w:val="34"/>
    <w:qFormat/>
    <w:pPr>
      <w:ind w:left="720"/>
      <w:contextualSpacing/>
    </w:pPr>
  </w:style>
  <w:style w:type="character" w:customStyle="1" w:styleId="go">
    <w:name w:val="go"/>
    <w:basedOn w:val="DefaultParagraphFont"/>
    <w:rsid w:val="00933A62"/>
  </w:style>
  <w:style w:type="character" w:customStyle="1" w:styleId="gd">
    <w:name w:val="gd"/>
    <w:basedOn w:val="DefaultParagraphFont"/>
    <w:rsid w:val="00C131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6975029">
      <w:bodyDiv w:val="1"/>
      <w:marLeft w:val="0"/>
      <w:marRight w:val="0"/>
      <w:marTop w:val="0"/>
      <w:marBottom w:val="0"/>
      <w:divBdr>
        <w:top w:val="none" w:sz="0" w:space="0" w:color="auto"/>
        <w:left w:val="none" w:sz="0" w:space="0" w:color="auto"/>
        <w:bottom w:val="none" w:sz="0" w:space="0" w:color="auto"/>
        <w:right w:val="none" w:sz="0" w:space="0" w:color="auto"/>
      </w:divBdr>
    </w:div>
    <w:div w:id="16656199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eople.umass.edu/aizen/pubs/tpb-faq.pdf?utm_source=chatgpt.com" TargetMode="External"/><Relationship Id="rId13" Type="http://schemas.openxmlformats.org/officeDocument/2006/relationships/hyperlink" Target="https://doi.org/10.5276/JSWTM/2021.91" TargetMode="External"/><Relationship Id="rId18" Type="http://schemas.openxmlformats.org/officeDocument/2006/relationships/hyperlink" Target="https://journals.nipes.org/index.php/njstr/article/view/138?utm_source=chatgpt.com"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doi.org/10.1016/0749-5978(91)90020-T" TargetMode="External"/><Relationship Id="rId12" Type="http://schemas.openxmlformats.org/officeDocument/2006/relationships/hyperlink" Target="https://openknowledge.worldbank.org/handle/10986/17388" TargetMode="External"/><Relationship Id="rId17" Type="http://schemas.openxmlformats.org/officeDocument/2006/relationships/hyperlink" Target="https://doi.org/10.1186/s42834-020-00077-1"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108/MEQ-09-2019-0194" TargetMode="External"/><Relationship Id="rId20" Type="http://schemas.openxmlformats.org/officeDocument/2006/relationships/hyperlink" Target="https://www.unep.org/resources/environmental-assessment-ogonilan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palli.org/index.php/ajec/article/view/602?utm_source=chatgpt.com"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080/10962247.2016.1241193"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doi.org/10.1146/annurev.psych.52.1.1" TargetMode="External"/><Relationship Id="rId19" Type="http://schemas.openxmlformats.org/officeDocument/2006/relationships/hyperlink" Target="https://www.unep.org/resources/environmental-assessment-ogoniland" TargetMode="External"/><Relationship Id="rId4" Type="http://schemas.openxmlformats.org/officeDocument/2006/relationships/webSettings" Target="webSettings.xml"/><Relationship Id="rId9" Type="http://schemas.openxmlformats.org/officeDocument/2006/relationships/hyperlink" Target="https://doi.org/10.11648/j.ijsdr.20170305.12" TargetMode="External"/><Relationship Id="rId14" Type="http://schemas.openxmlformats.org/officeDocument/2006/relationships/hyperlink" Target="https://doi.org/10.1007/s10163-015-0426-3"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19</Pages>
  <Words>4501</Words>
  <Characters>25660</Characters>
  <Application>Microsoft Office Word</Application>
  <DocSecurity>0</DocSecurity>
  <Lines>213</Lines>
  <Paragraphs>60</Paragraphs>
  <ScaleCrop>false</ScaleCrop>
  <Company/>
  <LinksUpToDate>false</LinksUpToDate>
  <CharactersWithSpaces>30101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SDI 1180</cp:lastModifiedBy>
  <cp:revision>24</cp:revision>
  <dcterms:created xsi:type="dcterms:W3CDTF">2025-09-30T09:07:00Z</dcterms:created>
  <dcterms:modified xsi:type="dcterms:W3CDTF">2025-10-03T07:07:00Z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6b3d7e41560a4443805ff8528a16abdb</vt:lpwstr>
  </property>
</Properties>
</file>