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4654D" w14:textId="77777777" w:rsidR="00C812B5" w:rsidRDefault="00C812B5" w:rsidP="00314AC5">
      <w:pPr>
        <w:pStyle w:val="MDPI12title"/>
        <w:rPr>
          <w:color w:val="auto"/>
        </w:rPr>
      </w:pPr>
      <w:bookmarkStart w:id="0" w:name="_Hlk181344590"/>
      <w:r w:rsidRPr="00C812B5">
        <w:rPr>
          <w:color w:val="auto"/>
        </w:rPr>
        <w:t xml:space="preserve">Original Research Article </w:t>
      </w:r>
    </w:p>
    <w:p w14:paraId="5144B9A2" w14:textId="7C9976ED" w:rsidR="00314AC5" w:rsidRPr="00151381" w:rsidRDefault="00205D68" w:rsidP="00314AC5">
      <w:pPr>
        <w:pStyle w:val="MDPI12title"/>
        <w:rPr>
          <w:color w:val="auto"/>
        </w:rPr>
      </w:pPr>
      <w:r w:rsidRPr="00151381">
        <w:rPr>
          <w:color w:val="auto"/>
        </w:rPr>
        <w:t>A Semi-Automated Geographic Information System Approach for Pre-Census Mapping</w:t>
      </w:r>
      <w:bookmarkEnd w:id="0"/>
    </w:p>
    <w:p w14:paraId="0A0F091B" w14:textId="77777777" w:rsidR="00BA21E9" w:rsidRDefault="00BA21E9" w:rsidP="00314AC5">
      <w:pPr>
        <w:pStyle w:val="MDPI17abstract"/>
        <w:rPr>
          <w:b/>
          <w:color w:val="auto"/>
          <w:szCs w:val="18"/>
        </w:rPr>
      </w:pPr>
    </w:p>
    <w:p w14:paraId="15BF2BBD" w14:textId="2E583C53" w:rsidR="00314AC5" w:rsidRPr="00151381" w:rsidRDefault="00314AC5" w:rsidP="00314AC5">
      <w:pPr>
        <w:pStyle w:val="MDPI17abstract"/>
        <w:rPr>
          <w:color w:val="auto"/>
          <w:szCs w:val="18"/>
        </w:rPr>
      </w:pPr>
      <w:r w:rsidRPr="00151381">
        <w:rPr>
          <w:b/>
          <w:color w:val="auto"/>
          <w:szCs w:val="18"/>
        </w:rPr>
        <w:t xml:space="preserve">Abstract: </w:t>
      </w:r>
      <w:r w:rsidR="00E831BB" w:rsidRPr="00151381">
        <w:rPr>
          <w:color w:val="auto"/>
          <w:szCs w:val="18"/>
        </w:rPr>
        <w:t xml:space="preserve">Accurate and efficient pre-census mapping is crucial for reliable population enumeration, particularly in regions with complex geographic and security constraints. This study introduces a semi-automated Geographic Information System (GIS) approach for developing a detailed digital geodatabase in preparation for Mali's fifth pre-census, supported by a rigorous validation process to ensure data and method precision. Utilizing satellite imagery and advanced geospatial techniques, we delineated Enumeration Sections (ES) based on </w:t>
      </w:r>
      <w:r w:rsidR="0085556C" w:rsidRPr="00151381">
        <w:rPr>
          <w:color w:val="auto"/>
          <w:szCs w:val="18"/>
        </w:rPr>
        <w:t xml:space="preserve">estimated population, </w:t>
      </w:r>
      <w:r w:rsidR="00E831BB" w:rsidRPr="00151381">
        <w:rPr>
          <w:color w:val="auto"/>
          <w:szCs w:val="18"/>
        </w:rPr>
        <w:t>visible</w:t>
      </w:r>
      <w:r w:rsidR="0085556C" w:rsidRPr="00151381">
        <w:rPr>
          <w:color w:val="auto"/>
          <w:szCs w:val="18"/>
        </w:rPr>
        <w:t xml:space="preserve"> </w:t>
      </w:r>
      <w:r w:rsidR="00E831BB" w:rsidRPr="00151381">
        <w:rPr>
          <w:color w:val="auto"/>
          <w:szCs w:val="18"/>
        </w:rPr>
        <w:t>boundaries, including roads and waterways. Our methodology combines Google Satellite imagery with geospatial data to estimate populations using the grid method and to create ES polygons that align with administrative borders and meet specific population thresholds. Using ArcGIS, we constructed a geodatabase that enables accurate extraction of spatial features such as buildings and infrastructure, ES ensuring compliance with census and survey standards. To validate our approach, we cross-referenced a sample of the ES population with existing ground-truth data, confirming the accuracy and reliability of our automated mapping process. Results indicate that this semi-automated method significantly improves mapping accuracy and operational efficiency, overcoming data collection obstacles in remote or inaccessible regions. This GIS-based approach offers a scalable, sustainable solution for pre-census and large-scale mapping initiatives in low- and middle-income countries, advancing census preparation through validated, automated geospatial technologies</w:t>
      </w:r>
      <w:r w:rsidR="000805A9" w:rsidRPr="00151381">
        <w:rPr>
          <w:color w:val="auto"/>
          <w:szCs w:val="18"/>
        </w:rPr>
        <w:t>.</w:t>
      </w:r>
    </w:p>
    <w:p w14:paraId="61FD9E64" w14:textId="13A00F6C" w:rsidR="00314AC5" w:rsidRPr="00151381" w:rsidRDefault="00314AC5" w:rsidP="00314AC5">
      <w:pPr>
        <w:pStyle w:val="MDPI18keywords"/>
        <w:rPr>
          <w:color w:val="auto"/>
          <w:szCs w:val="18"/>
        </w:rPr>
      </w:pPr>
      <w:r w:rsidRPr="00151381">
        <w:rPr>
          <w:b/>
          <w:color w:val="auto"/>
          <w:szCs w:val="18"/>
        </w:rPr>
        <w:t xml:space="preserve">Keywords: </w:t>
      </w:r>
      <w:r w:rsidR="00D36259" w:rsidRPr="00151381">
        <w:rPr>
          <w:color w:val="auto"/>
          <w:szCs w:val="18"/>
        </w:rPr>
        <w:t>GIS</w:t>
      </w:r>
      <w:r w:rsidRPr="00151381">
        <w:rPr>
          <w:color w:val="auto"/>
          <w:szCs w:val="18"/>
        </w:rPr>
        <w:t xml:space="preserve">; </w:t>
      </w:r>
      <w:r w:rsidR="00D36259" w:rsidRPr="00151381">
        <w:rPr>
          <w:color w:val="auto"/>
          <w:szCs w:val="18"/>
        </w:rPr>
        <w:t>Pre-</w:t>
      </w:r>
      <w:r w:rsidR="00B455A5" w:rsidRPr="00151381">
        <w:rPr>
          <w:color w:val="auto"/>
          <w:szCs w:val="18"/>
        </w:rPr>
        <w:t>census</w:t>
      </w:r>
      <w:r w:rsidRPr="00151381">
        <w:rPr>
          <w:color w:val="auto"/>
          <w:szCs w:val="18"/>
        </w:rPr>
        <w:t xml:space="preserve">; </w:t>
      </w:r>
      <w:r w:rsidR="00B455A5" w:rsidRPr="00151381">
        <w:rPr>
          <w:color w:val="auto"/>
          <w:szCs w:val="18"/>
        </w:rPr>
        <w:t xml:space="preserve">Geospatial data; </w:t>
      </w:r>
      <w:r w:rsidR="000966DB" w:rsidRPr="00151381">
        <w:rPr>
          <w:color w:val="auto"/>
          <w:szCs w:val="18"/>
        </w:rPr>
        <w:t>Semi-automate</w:t>
      </w:r>
      <w:r w:rsidR="002158C3" w:rsidRPr="00151381">
        <w:rPr>
          <w:color w:val="auto"/>
          <w:szCs w:val="18"/>
        </w:rPr>
        <w:t>, Mapping</w:t>
      </w:r>
    </w:p>
    <w:p w14:paraId="59B24D06" w14:textId="77777777" w:rsidR="00314AC5" w:rsidRPr="00151381" w:rsidRDefault="00314AC5" w:rsidP="00314AC5">
      <w:pPr>
        <w:pStyle w:val="MDPI19line"/>
        <w:rPr>
          <w:color w:val="auto"/>
        </w:rPr>
      </w:pPr>
    </w:p>
    <w:p w14:paraId="074A04D5" w14:textId="77777777" w:rsidR="00314AC5" w:rsidRPr="00151381" w:rsidRDefault="00314AC5" w:rsidP="00314AC5">
      <w:pPr>
        <w:pStyle w:val="MDPI21heading1"/>
        <w:rPr>
          <w:color w:val="auto"/>
          <w:lang w:eastAsia="zh-CN"/>
        </w:rPr>
      </w:pPr>
      <w:r w:rsidRPr="00151381">
        <w:rPr>
          <w:color w:val="auto"/>
          <w:lang w:eastAsia="zh-CN"/>
        </w:rPr>
        <w:t>1. Introduction</w:t>
      </w:r>
    </w:p>
    <w:p w14:paraId="111F0736" w14:textId="0AC66934" w:rsidR="006C4354" w:rsidRPr="00151381" w:rsidRDefault="006C4354" w:rsidP="006C4354">
      <w:pPr>
        <w:pStyle w:val="MDPI31text"/>
        <w:rPr>
          <w:color w:val="auto"/>
        </w:rPr>
      </w:pPr>
      <w:r w:rsidRPr="00151381">
        <w:rPr>
          <w:color w:val="auto"/>
        </w:rPr>
        <w:t>Accurate population enumeration is vital for effective policy-making, resource allocation, and sustainable development, particularly in regions with logistical challenges. Traditional census methods often struggle to achieve precise and efficient mapping, especially in low- and middle-income countries where vast and diverse landscapes, limited infrastructure, and security issues complicate data collection. To address these challenges, this study introduces a semi-automated Geographic Information System (GIS) methodology tailored for pre-census mapping, with a specific application to Mali’s fifth census. Census mapping, one of the first efficient parts of the census, divides the country into small areas known as Enumeration Sections (ES) based on population and spatial distribution. It’s a critical component of the subsequent census process [</w:t>
      </w:r>
      <w:r w:rsidR="00351E7E" w:rsidRPr="00151381">
        <w:rPr>
          <w:color w:val="auto"/>
        </w:rPr>
        <w:t xml:space="preserve">1, </w:t>
      </w:r>
      <w:r w:rsidR="00734BC8" w:rsidRPr="00151381">
        <w:rPr>
          <w:color w:val="auto"/>
        </w:rPr>
        <w:t>2</w:t>
      </w:r>
      <w:r w:rsidRPr="00151381">
        <w:rPr>
          <w:color w:val="auto"/>
        </w:rPr>
        <w:t>]. The traditional creation methods of ES have been an expensive task executed by approaches such as physically walking to map ES boundaries, buildings, infrastructure, roads, rivers, and population which can require intensive resources and multiple years to complete [</w:t>
      </w:r>
      <w:r w:rsidR="00714852" w:rsidRPr="00151381">
        <w:rPr>
          <w:color w:val="auto"/>
        </w:rPr>
        <w:t>3</w:t>
      </w:r>
      <w:r w:rsidRPr="00151381">
        <w:rPr>
          <w:color w:val="auto"/>
        </w:rPr>
        <w:t>]. For example, in Zambia, the 2010 census mapping exercise was expected to take about two years to complete at a total cost of US $7 million</w:t>
      </w:r>
      <w:r w:rsidR="00BC7777" w:rsidRPr="00151381">
        <w:rPr>
          <w:color w:val="auto"/>
        </w:rPr>
        <w:t xml:space="preserve"> </w:t>
      </w:r>
      <w:r w:rsidRPr="00151381">
        <w:rPr>
          <w:color w:val="auto"/>
        </w:rPr>
        <w:t>[</w:t>
      </w:r>
      <w:r w:rsidR="00714852" w:rsidRPr="00151381">
        <w:rPr>
          <w:color w:val="auto"/>
        </w:rPr>
        <w:t>4</w:t>
      </w:r>
      <w:r w:rsidRPr="00151381">
        <w:rPr>
          <w:color w:val="auto"/>
        </w:rPr>
        <w:t>]. Manual digitization of ES is still costly and labor-intensive. It is also prone to human error and can have poor accuracy</w:t>
      </w:r>
      <w:r w:rsidR="00BC7777" w:rsidRPr="00151381">
        <w:rPr>
          <w:color w:val="auto"/>
        </w:rPr>
        <w:t xml:space="preserve"> </w:t>
      </w:r>
      <w:r w:rsidR="002167FC" w:rsidRPr="00151381">
        <w:rPr>
          <w:color w:val="auto"/>
        </w:rPr>
        <w:t>[</w:t>
      </w:r>
      <w:r w:rsidR="00714852" w:rsidRPr="00151381">
        <w:rPr>
          <w:color w:val="auto"/>
        </w:rPr>
        <w:t>5</w:t>
      </w:r>
      <w:r w:rsidR="002167FC" w:rsidRPr="00151381">
        <w:rPr>
          <w:color w:val="auto"/>
        </w:rPr>
        <w:t>]</w:t>
      </w:r>
      <w:r w:rsidRPr="00151381">
        <w:rPr>
          <w:color w:val="auto"/>
        </w:rPr>
        <w:t>. In addition, in the manually digitized ES approach, it can be challenging to accommodate population and area constraints.</w:t>
      </w:r>
    </w:p>
    <w:p w14:paraId="6E645A49" w14:textId="1EF6B7EF" w:rsidR="006C4354" w:rsidRPr="00151381" w:rsidRDefault="006C4354" w:rsidP="006C4354">
      <w:pPr>
        <w:pStyle w:val="MDPI31text"/>
        <w:rPr>
          <w:color w:val="auto"/>
        </w:rPr>
      </w:pPr>
      <w:r w:rsidRPr="00151381">
        <w:rPr>
          <w:color w:val="auto"/>
        </w:rPr>
        <w:t xml:space="preserve">The </w:t>
      </w:r>
      <w:r w:rsidR="00351E7E" w:rsidRPr="00151381">
        <w:rPr>
          <w:color w:val="auto"/>
        </w:rPr>
        <w:t>previous</w:t>
      </w:r>
      <w:r w:rsidRPr="00151381">
        <w:rPr>
          <w:color w:val="auto"/>
        </w:rPr>
        <w:t xml:space="preserve"> methods, evident in the 2010 Population and Habitat Census series, have inherent defects, particularly in achieving comprehensive coverage due to challenges like war, civil unrest, and geographical inaccessibility</w:t>
      </w:r>
      <w:r w:rsidR="006B4CA5" w:rsidRPr="00151381">
        <w:rPr>
          <w:color w:val="auto"/>
        </w:rPr>
        <w:t xml:space="preserve"> </w:t>
      </w:r>
      <w:r w:rsidR="002167FC" w:rsidRPr="00151381">
        <w:rPr>
          <w:color w:val="auto"/>
        </w:rPr>
        <w:t>[</w:t>
      </w:r>
      <w:r w:rsidR="00714852" w:rsidRPr="00151381">
        <w:rPr>
          <w:color w:val="auto"/>
        </w:rPr>
        <w:t>6</w:t>
      </w:r>
      <w:r w:rsidR="002167FC" w:rsidRPr="00151381">
        <w:rPr>
          <w:color w:val="auto"/>
        </w:rPr>
        <w:t>]</w:t>
      </w:r>
      <w:r w:rsidRPr="00151381">
        <w:rPr>
          <w:color w:val="auto"/>
        </w:rPr>
        <w:t xml:space="preserve">. To address these limitations, there is a growing interest in innovative modeling approaches leveraging satellite </w:t>
      </w:r>
      <w:r w:rsidRPr="00151381">
        <w:rPr>
          <w:color w:val="auto"/>
        </w:rPr>
        <w:lastRenderedPageBreak/>
        <w:t>imagery, and survey data</w:t>
      </w:r>
      <w:r w:rsidR="00351E7E" w:rsidRPr="00151381">
        <w:rPr>
          <w:color w:val="auto"/>
        </w:rPr>
        <w:t xml:space="preserve"> </w:t>
      </w:r>
      <w:r w:rsidR="002167FC" w:rsidRPr="00151381">
        <w:rPr>
          <w:color w:val="auto"/>
        </w:rPr>
        <w:t>[</w:t>
      </w:r>
      <w:r w:rsidR="00714852" w:rsidRPr="00151381">
        <w:rPr>
          <w:color w:val="auto"/>
        </w:rPr>
        <w:t>7</w:t>
      </w:r>
      <w:r w:rsidR="002167FC" w:rsidRPr="00151381">
        <w:rPr>
          <w:color w:val="auto"/>
        </w:rPr>
        <w:t>]</w:t>
      </w:r>
      <w:r w:rsidRPr="00151381">
        <w:rPr>
          <w:color w:val="auto"/>
        </w:rPr>
        <w:t>. Since the advent of Geographic Information Systems (GIS) and high-resolution satellite photography census cartographers in some countries have been able to manually digitize ES boundaries from satellite imagery, leading to better control of ES delineation. The advent of geospatial technologies has revolutionized census mapping, rendering traditional methods of manual digitization and physical boundary walking obsolete</w:t>
      </w:r>
      <w:r w:rsidR="00351E7E" w:rsidRPr="00151381">
        <w:rPr>
          <w:color w:val="auto"/>
        </w:rPr>
        <w:t xml:space="preserve"> </w:t>
      </w:r>
      <w:r w:rsidR="002167FC" w:rsidRPr="00151381">
        <w:rPr>
          <w:color w:val="auto"/>
        </w:rPr>
        <w:t>[</w:t>
      </w:r>
      <w:r w:rsidR="00714852" w:rsidRPr="00151381">
        <w:rPr>
          <w:color w:val="auto"/>
        </w:rPr>
        <w:t>8</w:t>
      </w:r>
      <w:r w:rsidR="002167FC" w:rsidRPr="00151381">
        <w:rPr>
          <w:color w:val="auto"/>
        </w:rPr>
        <w:t>]</w:t>
      </w:r>
      <w:r w:rsidRPr="00151381">
        <w:rPr>
          <w:color w:val="auto"/>
        </w:rPr>
        <w:t>. In this context, Geographic Information System (GIS) has emerged as a pivotal tool, demonstrating its efficiency and accuracy in creating detailed census maps through high-resolution satellite imagery, remote sensing, and auxiliary geographic information</w:t>
      </w:r>
      <w:r w:rsidR="003D6988" w:rsidRPr="00151381">
        <w:rPr>
          <w:color w:val="auto"/>
        </w:rPr>
        <w:t xml:space="preserve"> </w:t>
      </w:r>
      <w:r w:rsidR="002167FC" w:rsidRPr="00151381">
        <w:rPr>
          <w:color w:val="auto"/>
        </w:rPr>
        <w:t>[</w:t>
      </w:r>
      <w:r w:rsidR="00714852" w:rsidRPr="00151381">
        <w:rPr>
          <w:color w:val="auto"/>
        </w:rPr>
        <w:t>9</w:t>
      </w:r>
      <w:r w:rsidR="002167FC" w:rsidRPr="00151381">
        <w:rPr>
          <w:color w:val="auto"/>
        </w:rPr>
        <w:t>]</w:t>
      </w:r>
      <w:r w:rsidRPr="00151381">
        <w:rPr>
          <w:color w:val="auto"/>
        </w:rPr>
        <w:t>. Automated approaches employing computer algorithms optimize the creation or digitalization of ES from satellite imagery, resulting in consistent mapping standards, time savings, and reduced costs</w:t>
      </w:r>
      <w:r w:rsidR="003D6988" w:rsidRPr="00151381">
        <w:rPr>
          <w:color w:val="auto"/>
        </w:rPr>
        <w:t xml:space="preserve"> </w:t>
      </w:r>
      <w:r w:rsidR="002167FC" w:rsidRPr="00151381">
        <w:rPr>
          <w:color w:val="auto"/>
        </w:rPr>
        <w:t>[</w:t>
      </w:r>
      <w:r w:rsidR="00714852" w:rsidRPr="00151381">
        <w:rPr>
          <w:color w:val="auto"/>
        </w:rPr>
        <w:t>10</w:t>
      </w:r>
      <w:r w:rsidR="002167FC" w:rsidRPr="00151381">
        <w:rPr>
          <w:color w:val="auto"/>
        </w:rPr>
        <w:t>]</w:t>
      </w:r>
      <w:r w:rsidRPr="00151381">
        <w:rPr>
          <w:color w:val="auto"/>
        </w:rPr>
        <w:t>. This shift from manual to digital mapping has been particularly beneficial, as it has increased accuracy and quality control and reduced costs and time spent on the process. Australia has successfully applied GIS in its Census of Population, Housing, and Plans</w:t>
      </w:r>
      <w:r w:rsidR="003D6988" w:rsidRPr="00151381">
        <w:rPr>
          <w:color w:val="auto"/>
        </w:rPr>
        <w:t xml:space="preserve"> </w:t>
      </w:r>
      <w:r w:rsidR="002167FC" w:rsidRPr="00151381">
        <w:rPr>
          <w:color w:val="auto"/>
        </w:rPr>
        <w:t>[1</w:t>
      </w:r>
      <w:r w:rsidR="00714852" w:rsidRPr="00151381">
        <w:rPr>
          <w:color w:val="auto"/>
        </w:rPr>
        <w:t>1</w:t>
      </w:r>
      <w:r w:rsidR="002167FC" w:rsidRPr="00151381">
        <w:rPr>
          <w:color w:val="auto"/>
        </w:rPr>
        <w:t>]</w:t>
      </w:r>
      <w:r w:rsidRPr="00151381">
        <w:rPr>
          <w:color w:val="auto"/>
        </w:rPr>
        <w:t>, further validating its capabilities.</w:t>
      </w:r>
    </w:p>
    <w:p w14:paraId="1AE8A127" w14:textId="1CAEF60A" w:rsidR="006C4354" w:rsidRPr="00151381" w:rsidRDefault="006C4354" w:rsidP="006C4354">
      <w:pPr>
        <w:pStyle w:val="MDPI31text"/>
        <w:rPr>
          <w:color w:val="auto"/>
        </w:rPr>
      </w:pPr>
      <w:r w:rsidRPr="00151381">
        <w:rPr>
          <w:color w:val="auto"/>
        </w:rPr>
        <w:t>Recognizing the need for more resilient and efficient methodologies, the United Nations encourages member countries to embrace geospatial information and communication technologies</w:t>
      </w:r>
      <w:r w:rsidR="003D6988" w:rsidRPr="00151381">
        <w:rPr>
          <w:color w:val="auto"/>
        </w:rPr>
        <w:t xml:space="preserve"> </w:t>
      </w:r>
      <w:r w:rsidR="002167FC" w:rsidRPr="00151381">
        <w:rPr>
          <w:color w:val="auto"/>
        </w:rPr>
        <w:t>[1</w:t>
      </w:r>
      <w:r w:rsidR="00714852" w:rsidRPr="00151381">
        <w:rPr>
          <w:color w:val="auto"/>
        </w:rPr>
        <w:t>2</w:t>
      </w:r>
      <w:r w:rsidR="002167FC" w:rsidRPr="00151381">
        <w:rPr>
          <w:color w:val="auto"/>
        </w:rPr>
        <w:t>]</w:t>
      </w:r>
      <w:r w:rsidRPr="00151381">
        <w:rPr>
          <w:color w:val="auto"/>
        </w:rPr>
        <w:t xml:space="preserve">. The evolution of mapping methods in African censuses during the 1900s underscores the necessity to minimize errors in population counting </w:t>
      </w:r>
      <w:r w:rsidR="002167FC" w:rsidRPr="00151381">
        <w:rPr>
          <w:color w:val="auto"/>
        </w:rPr>
        <w:t>[1</w:t>
      </w:r>
      <w:r w:rsidR="00714852" w:rsidRPr="00151381">
        <w:rPr>
          <w:color w:val="auto"/>
        </w:rPr>
        <w:t>3</w:t>
      </w:r>
      <w:r w:rsidR="002167FC" w:rsidRPr="00151381">
        <w:rPr>
          <w:color w:val="auto"/>
        </w:rPr>
        <w:t>]</w:t>
      </w:r>
      <w:r w:rsidRPr="00151381">
        <w:rPr>
          <w:color w:val="auto"/>
        </w:rPr>
        <w:t xml:space="preserve">. However, GIS technology has become integral in worldwide census mapping operations, offering improved accuracy in small-area projections and efficient data dissemination </w:t>
      </w:r>
      <w:r w:rsidR="002167FC" w:rsidRPr="00151381">
        <w:rPr>
          <w:color w:val="auto"/>
        </w:rPr>
        <w:t>[1</w:t>
      </w:r>
      <w:r w:rsidR="002903DB" w:rsidRPr="00151381">
        <w:rPr>
          <w:color w:val="auto"/>
        </w:rPr>
        <w:t>4</w:t>
      </w:r>
      <w:r w:rsidR="002167FC" w:rsidRPr="00151381">
        <w:rPr>
          <w:color w:val="auto"/>
        </w:rPr>
        <w:t>]</w:t>
      </w:r>
      <w:r w:rsidRPr="00151381">
        <w:rPr>
          <w:color w:val="auto"/>
        </w:rPr>
        <w:t>. Nigeria's National Population Commission and Survey model exemplifies GIS incorporation for predicting demographic distribution</w:t>
      </w:r>
      <w:r w:rsidR="003D6988" w:rsidRPr="00151381">
        <w:rPr>
          <w:color w:val="auto"/>
        </w:rPr>
        <w:t xml:space="preserve"> </w:t>
      </w:r>
      <w:r w:rsidR="002167FC" w:rsidRPr="00151381">
        <w:rPr>
          <w:color w:val="auto"/>
        </w:rPr>
        <w:t>[1</w:t>
      </w:r>
      <w:r w:rsidR="002903DB" w:rsidRPr="00151381">
        <w:rPr>
          <w:color w:val="auto"/>
        </w:rPr>
        <w:t>5</w:t>
      </w:r>
      <w:r w:rsidR="002167FC" w:rsidRPr="00151381">
        <w:rPr>
          <w:color w:val="auto"/>
        </w:rPr>
        <w:t>]</w:t>
      </w:r>
      <w:r w:rsidRPr="00151381">
        <w:rPr>
          <w:color w:val="auto"/>
        </w:rPr>
        <w:t>. Developing countries have established geospatial census frameworks based on GIS, GPS, and satellite imagery, presented by initiatives in Brazil, South Africa, Fiji, and India</w:t>
      </w:r>
      <w:r w:rsidR="003D6988" w:rsidRPr="00151381">
        <w:rPr>
          <w:color w:val="auto"/>
        </w:rPr>
        <w:t xml:space="preserve"> </w:t>
      </w:r>
      <w:r w:rsidR="00734BC8" w:rsidRPr="00151381">
        <w:rPr>
          <w:color w:val="auto"/>
        </w:rPr>
        <w:t>[1</w:t>
      </w:r>
      <w:r w:rsidR="002903DB" w:rsidRPr="00151381">
        <w:rPr>
          <w:color w:val="auto"/>
        </w:rPr>
        <w:t>6</w:t>
      </w:r>
      <w:r w:rsidR="00734BC8" w:rsidRPr="00151381">
        <w:rPr>
          <w:color w:val="auto"/>
        </w:rPr>
        <w:t>]</w:t>
      </w:r>
      <w:r w:rsidRPr="00151381">
        <w:rPr>
          <w:color w:val="auto"/>
        </w:rPr>
        <w:t>. The current research focuses on enhancing the accuracy and efficiency of census operations in Mali, aligning with the United Nations' recommendation to leverage GIS capabilities for digital census mapping.</w:t>
      </w:r>
    </w:p>
    <w:p w14:paraId="697B07BE" w14:textId="22925886" w:rsidR="006C4354" w:rsidRPr="00151381" w:rsidRDefault="00B61AB2" w:rsidP="00B61AB2">
      <w:pPr>
        <w:pStyle w:val="MDPI31text"/>
        <w:rPr>
          <w:color w:val="auto"/>
        </w:rPr>
      </w:pPr>
      <w:r w:rsidRPr="00151381">
        <w:rPr>
          <w:color w:val="auto"/>
        </w:rPr>
        <w:t xml:space="preserve">In developing Enumeration Sections (ES) from gridded population estimates several tools are available out of which </w:t>
      </w:r>
      <w:r w:rsidR="00EE27FB">
        <w:rPr>
          <w:color w:val="auto"/>
        </w:rPr>
        <w:t>is </w:t>
      </w:r>
      <w:r w:rsidRPr="00151381">
        <w:rPr>
          <w:color w:val="auto"/>
        </w:rPr>
        <w:t>the Geo-sampling tool [17, 18]. Wang et al</w:t>
      </w:r>
      <w:r w:rsidR="00360D35" w:rsidRPr="00151381">
        <w:rPr>
          <w:color w:val="auto"/>
        </w:rPr>
        <w:t xml:space="preserve"> </w:t>
      </w:r>
      <w:r w:rsidRPr="00151381">
        <w:rPr>
          <w:color w:val="auto"/>
        </w:rPr>
        <w:t xml:space="preserve">[19] used remote sensing and GIS data to derive homogeneous regions and spatial sample designs. Haynes et al.,[20] used statistical region merging procedures to define zones for different applications like </w:t>
      </w:r>
      <w:r w:rsidR="00EE27FB">
        <w:rPr>
          <w:color w:val="auto"/>
        </w:rPr>
        <w:t>assessing</w:t>
      </w:r>
      <w:r w:rsidRPr="00151381">
        <w:rPr>
          <w:color w:val="auto"/>
        </w:rPr>
        <w:t xml:space="preserve"> neighborhood impacts on health and publish</w:t>
      </w:r>
      <w:r w:rsidR="005F76A6" w:rsidRPr="00151381">
        <w:rPr>
          <w:color w:val="auto"/>
        </w:rPr>
        <w:t>ing</w:t>
      </w:r>
      <w:r w:rsidRPr="00151381">
        <w:rPr>
          <w:color w:val="auto"/>
        </w:rPr>
        <w:t xml:space="preserve"> census information. Nock and Nielsen [21] for instance categorized the image into regions of channels with similar intensity values. </w:t>
      </w:r>
      <w:r w:rsidR="007F626C" w:rsidRPr="007F626C">
        <w:rPr>
          <w:color w:val="auto"/>
        </w:rPr>
        <w:t>The improved max-p algorithm</w:t>
      </w:r>
      <w:r w:rsidR="006D0372">
        <w:rPr>
          <w:color w:val="auto"/>
        </w:rPr>
        <w:t xml:space="preserve"> as explained by </w:t>
      </w:r>
      <w:r w:rsidR="006D0372" w:rsidRPr="006D0372">
        <w:rPr>
          <w:color w:val="auto"/>
        </w:rPr>
        <w:t xml:space="preserve">Kang </w:t>
      </w:r>
      <w:r w:rsidR="006D0372">
        <w:rPr>
          <w:color w:val="auto"/>
        </w:rPr>
        <w:t>et al.,</w:t>
      </w:r>
      <w:r w:rsidRPr="00151381">
        <w:rPr>
          <w:color w:val="auto"/>
        </w:rPr>
        <w:t xml:space="preserve"> [</w:t>
      </w:r>
      <w:r w:rsidRPr="00EE27FB">
        <w:rPr>
          <w:color w:val="auto"/>
        </w:rPr>
        <w:t>22</w:t>
      </w:r>
      <w:r w:rsidR="006D0372" w:rsidRPr="00151381">
        <w:rPr>
          <w:color w:val="auto"/>
        </w:rPr>
        <w:t>]</w:t>
      </w:r>
      <w:r w:rsidR="006D0372">
        <w:rPr>
          <w:color w:val="auto"/>
        </w:rPr>
        <w:t xml:space="preserve">, </w:t>
      </w:r>
      <w:r w:rsidR="006D0372" w:rsidRPr="00151381">
        <w:rPr>
          <w:color w:val="auto"/>
        </w:rPr>
        <w:t>enhances</w:t>
      </w:r>
      <w:r w:rsidR="006D0372" w:rsidRPr="006D0372">
        <w:rPr>
          <w:color w:val="auto"/>
        </w:rPr>
        <w:t xml:space="preserve"> the process of growing irregular regions from census enumeration sections by allowing for flexible user-defined constraints. This flexibility enables the algorithm to adapt to the multidimensional characteristics of the regions, making it particularly effective in complex spatial contexts.</w:t>
      </w:r>
      <w:r w:rsidRPr="00151381">
        <w:rPr>
          <w:color w:val="auto"/>
        </w:rPr>
        <w:t xml:space="preserve"> </w:t>
      </w:r>
      <w:r w:rsidR="006D0372" w:rsidRPr="006D0372">
        <w:rPr>
          <w:color w:val="auto"/>
        </w:rPr>
        <w:t>The max-p algorithm, as presented by</w:t>
      </w:r>
      <w:r w:rsidR="006D0372">
        <w:rPr>
          <w:color w:val="auto"/>
        </w:rPr>
        <w:t xml:space="preserve"> </w:t>
      </w:r>
      <w:proofErr w:type="spellStart"/>
      <w:r w:rsidR="006D0372" w:rsidRPr="006D0372">
        <w:rPr>
          <w:color w:val="auto"/>
        </w:rPr>
        <w:t>H</w:t>
      </w:r>
      <w:r w:rsidR="00947F6E">
        <w:rPr>
          <w:color w:val="auto"/>
        </w:rPr>
        <w:t>ussah</w:t>
      </w:r>
      <w:proofErr w:type="spellEnd"/>
      <w:r w:rsidR="006D0372" w:rsidRPr="006D0372">
        <w:rPr>
          <w:color w:val="auto"/>
        </w:rPr>
        <w:t xml:space="preserve"> </w:t>
      </w:r>
      <w:r w:rsidR="006D0372">
        <w:rPr>
          <w:color w:val="auto"/>
        </w:rPr>
        <w:t>et al.,</w:t>
      </w:r>
      <w:r w:rsidRPr="00151381">
        <w:rPr>
          <w:color w:val="auto"/>
        </w:rPr>
        <w:t xml:space="preserve"> et al., [23] </w:t>
      </w:r>
      <w:r w:rsidR="006D0372" w:rsidRPr="006D0372">
        <w:rPr>
          <w:color w:val="auto"/>
        </w:rPr>
        <w:t>serves as a robust spatial clustering solution aimed at maximizing the number of homogeneous geographical regions while adhering to a specified threshold for spatial spread</w:t>
      </w:r>
      <w:r w:rsidR="005F76A6" w:rsidRPr="00151381">
        <w:rPr>
          <w:color w:val="auto"/>
        </w:rPr>
        <w:t xml:space="preserve">. On the other hand, </w:t>
      </w:r>
      <w:r w:rsidR="00A2384F" w:rsidRPr="00A2384F">
        <w:rPr>
          <w:color w:val="auto"/>
        </w:rPr>
        <w:t>Cardona</w:t>
      </w:r>
      <w:r w:rsidR="005F76A6" w:rsidRPr="00151381">
        <w:rPr>
          <w:color w:val="auto"/>
        </w:rPr>
        <w:t xml:space="preserve"> [</w:t>
      </w:r>
      <w:r w:rsidR="005F76A6" w:rsidRPr="00E476AB">
        <w:rPr>
          <w:color w:val="auto"/>
        </w:rPr>
        <w:t>24</w:t>
      </w:r>
      <w:r w:rsidR="005F76A6" w:rsidRPr="00151381">
        <w:rPr>
          <w:color w:val="auto"/>
        </w:rPr>
        <w:t xml:space="preserve">] designed a region-merging tool with census data and pre-existing ES as the basic unit to create new reporting units. The merit of this method is that it employs original ES which is assumed to map directly onto known geographical phenomena. However, this approach may not be possible, especially in </w:t>
      </w:r>
      <w:r w:rsidR="00FD052E" w:rsidRPr="00151381">
        <w:rPr>
          <w:color w:val="auto"/>
        </w:rPr>
        <w:t>area</w:t>
      </w:r>
      <w:r w:rsidR="005F76A6" w:rsidRPr="00151381">
        <w:rPr>
          <w:color w:val="auto"/>
        </w:rPr>
        <w:t xml:space="preserve"> merging in </w:t>
      </w:r>
      <w:r w:rsidR="00FD052E" w:rsidRPr="00151381">
        <w:rPr>
          <w:color w:val="auto"/>
        </w:rPr>
        <w:t>developing countries</w:t>
      </w:r>
      <w:r w:rsidR="005F76A6" w:rsidRPr="00151381">
        <w:rPr>
          <w:color w:val="auto"/>
        </w:rPr>
        <w:t xml:space="preserve"> where ES data may be outdated.</w:t>
      </w:r>
    </w:p>
    <w:p w14:paraId="2FE4F52B" w14:textId="4C8D5BBB" w:rsidR="006C4354" w:rsidRPr="00151381" w:rsidRDefault="00561519" w:rsidP="006C4354">
      <w:pPr>
        <w:pStyle w:val="MDPI31text"/>
        <w:rPr>
          <w:color w:val="auto"/>
        </w:rPr>
      </w:pPr>
      <w:r w:rsidRPr="00151381">
        <w:rPr>
          <w:color w:val="auto"/>
        </w:rPr>
        <w:t xml:space="preserve">Digital ES-level information may not be available in many </w:t>
      </w:r>
      <w:r w:rsidR="00FD052E" w:rsidRPr="00151381">
        <w:rPr>
          <w:color w:val="auto"/>
        </w:rPr>
        <w:t>developing countries;</w:t>
      </w:r>
      <w:r w:rsidRPr="00151381">
        <w:rPr>
          <w:color w:val="auto"/>
        </w:rPr>
        <w:t xml:space="preserve"> however, new data source</w:t>
      </w:r>
      <w:r w:rsidR="00FD052E" w:rsidRPr="00151381">
        <w:rPr>
          <w:color w:val="auto"/>
        </w:rPr>
        <w:t>s</w:t>
      </w:r>
      <w:r w:rsidRPr="00151381">
        <w:rPr>
          <w:color w:val="auto"/>
        </w:rPr>
        <w:t xml:space="preserve"> may be helpful in </w:t>
      </w:r>
      <w:r w:rsidR="00FD052E" w:rsidRPr="00151381">
        <w:rPr>
          <w:color w:val="auto"/>
        </w:rPr>
        <w:t>the </w:t>
      </w:r>
      <w:r w:rsidRPr="00151381">
        <w:rPr>
          <w:color w:val="auto"/>
        </w:rPr>
        <w:t>development of ES. Two essential components are required: Accurate geographical information of the infrastructural and buildings context to define the ES boundaries. There is one Global source namely OpenStreetMap (OSM) which gives road data, where fully mapped street information is presented, containing several in developing countries [25]. More derivatives include rivers, elevation, and buildings added to a landscape adding detail to its features. Th</w:t>
      </w:r>
      <w:r w:rsidR="00B85B9C" w:rsidRPr="00151381">
        <w:rPr>
          <w:color w:val="auto"/>
        </w:rPr>
        <w:t>en,</w:t>
      </w:r>
      <w:r w:rsidRPr="00151381">
        <w:rPr>
          <w:color w:val="auto"/>
        </w:rPr>
        <w:t xml:space="preserve"> the population density estimates allow </w:t>
      </w:r>
      <w:r w:rsidR="00B85B9C" w:rsidRPr="00151381">
        <w:rPr>
          <w:color w:val="auto"/>
        </w:rPr>
        <w:t>for </w:t>
      </w:r>
      <w:r w:rsidRPr="00151381">
        <w:rPr>
          <w:color w:val="auto"/>
        </w:rPr>
        <w:t xml:space="preserve">defining </w:t>
      </w:r>
      <w:r w:rsidR="00B85B9C" w:rsidRPr="00151381">
        <w:rPr>
          <w:color w:val="auto"/>
        </w:rPr>
        <w:t>the </w:t>
      </w:r>
      <w:r w:rsidRPr="00151381">
        <w:rPr>
          <w:color w:val="auto"/>
        </w:rPr>
        <w:t>right ES sizes when enumerators can survey such size</w:t>
      </w:r>
      <w:r w:rsidR="00B85B9C" w:rsidRPr="00151381">
        <w:rPr>
          <w:color w:val="auto"/>
        </w:rPr>
        <w:t>s</w:t>
      </w:r>
      <w:r w:rsidRPr="00151381">
        <w:rPr>
          <w:color w:val="auto"/>
        </w:rPr>
        <w:t xml:space="preserve"> within a certain amount of time. </w:t>
      </w:r>
      <w:r w:rsidR="00B85B9C" w:rsidRPr="00151381">
        <w:rPr>
          <w:color w:val="auto"/>
        </w:rPr>
        <w:t xml:space="preserve">The </w:t>
      </w:r>
      <w:r w:rsidRPr="00151381">
        <w:rPr>
          <w:color w:val="auto"/>
        </w:rPr>
        <w:t xml:space="preserve">population models available at high </w:t>
      </w:r>
      <w:r w:rsidRPr="00151381">
        <w:rPr>
          <w:color w:val="auto"/>
        </w:rPr>
        <w:lastRenderedPageBreak/>
        <w:t>spatial resolution provide population density under different scenarios and can inform the </w:t>
      </w:r>
      <w:r w:rsidR="00C47ECB">
        <w:rPr>
          <w:color w:val="auto"/>
        </w:rPr>
        <w:t>creation</w:t>
      </w:r>
      <w:r w:rsidRPr="00151381">
        <w:rPr>
          <w:color w:val="auto"/>
        </w:rPr>
        <w:t xml:space="preserve"> of ES</w:t>
      </w:r>
      <w:r w:rsidR="006C4354" w:rsidRPr="00151381">
        <w:rPr>
          <w:color w:val="auto"/>
        </w:rPr>
        <w:t>.</w:t>
      </w:r>
    </w:p>
    <w:p w14:paraId="3DA81926" w14:textId="33993A8B" w:rsidR="00314AC5" w:rsidRPr="00151381" w:rsidRDefault="00E96B9F" w:rsidP="006C4354">
      <w:pPr>
        <w:pStyle w:val="MDPI31text"/>
        <w:rPr>
          <w:color w:val="auto"/>
        </w:rPr>
      </w:pPr>
      <w:bookmarkStart w:id="1" w:name="_Hlk181344757"/>
      <w:r w:rsidRPr="00E96B9F">
        <w:rPr>
          <w:color w:val="auto"/>
        </w:rPr>
        <w:t>This study integrates high-resolution satellite imagery and diverse geographical data within a GIS framework, enabling precise pre-census mapping. It develops algorithms to estimate and extract population data across various areas and delineates ES based on population estimates that align with population distribution and existing administrative boundaries</w:t>
      </w:r>
      <w:r w:rsidR="006C4354" w:rsidRPr="00151381">
        <w:rPr>
          <w:color w:val="auto"/>
        </w:rPr>
        <w:t xml:space="preserve">. </w:t>
      </w:r>
      <w:bookmarkEnd w:id="1"/>
      <w:r w:rsidR="006C4354" w:rsidRPr="00151381">
        <w:rPr>
          <w:color w:val="auto"/>
        </w:rPr>
        <w:t xml:space="preserve">Through tools like raster calculators and zonal statistics within GIS and Python environments, our approach efficiently estimates the population within each ES polygon, facilitating an accurate, scalable mapping solution. To maintain data relevance and precision, the process involves automated population extraction based on </w:t>
      </w:r>
      <w:r w:rsidR="00C15A50" w:rsidRPr="00151381">
        <w:rPr>
          <w:color w:val="auto"/>
        </w:rPr>
        <w:t>polygon</w:t>
      </w:r>
      <w:r w:rsidR="00E34F76" w:rsidRPr="00151381">
        <w:rPr>
          <w:color w:val="auto"/>
        </w:rPr>
        <w:t>s</w:t>
      </w:r>
      <w:r w:rsidR="006C4354" w:rsidRPr="00151381">
        <w:rPr>
          <w:color w:val="auto"/>
        </w:rPr>
        <w:t xml:space="preserve"> population density, further supported by machine learning techniques that enhance population extraction and </w:t>
      </w:r>
      <w:r w:rsidR="00E34F76" w:rsidRPr="00151381">
        <w:rPr>
          <w:color w:val="auto"/>
        </w:rPr>
        <w:t>ES</w:t>
      </w:r>
      <w:r w:rsidR="006C4354" w:rsidRPr="00151381">
        <w:rPr>
          <w:color w:val="auto"/>
        </w:rPr>
        <w:t xml:space="preserve"> delineation. In addition, the methodology includes a robust validation process that cross-checks delineated ES against existing census data</w:t>
      </w:r>
      <w:r w:rsidR="004862F5" w:rsidRPr="00151381">
        <w:rPr>
          <w:color w:val="auto"/>
        </w:rPr>
        <w:t xml:space="preserve"> of a test area choice</w:t>
      </w:r>
      <w:r w:rsidR="006C4354" w:rsidRPr="00151381">
        <w:rPr>
          <w:color w:val="auto"/>
        </w:rPr>
        <w:t>, ensuring that the digital boundaries are both accurate and practical for on-the-ground census operations.</w:t>
      </w:r>
    </w:p>
    <w:p w14:paraId="74D9A25D" w14:textId="77777777" w:rsidR="00314AC5" w:rsidRPr="00151381" w:rsidRDefault="00314AC5" w:rsidP="00314AC5">
      <w:pPr>
        <w:pStyle w:val="MDPI21heading1"/>
        <w:rPr>
          <w:color w:val="auto"/>
        </w:rPr>
      </w:pPr>
      <w:r w:rsidRPr="00151381">
        <w:rPr>
          <w:color w:val="auto"/>
          <w:lang w:eastAsia="zh-CN"/>
        </w:rPr>
        <w:t xml:space="preserve">2. </w:t>
      </w:r>
      <w:r w:rsidRPr="00151381">
        <w:rPr>
          <w:color w:val="auto"/>
        </w:rPr>
        <w:t>Materials and Methods</w:t>
      </w:r>
    </w:p>
    <w:p w14:paraId="13CB5B5C" w14:textId="3BC854F5" w:rsidR="00314AC5" w:rsidRPr="00151381" w:rsidRDefault="009A3C0D" w:rsidP="00D90C21">
      <w:pPr>
        <w:pStyle w:val="MDPI31text"/>
        <w:rPr>
          <w:color w:val="auto"/>
        </w:rPr>
      </w:pPr>
      <w:r w:rsidRPr="00151381">
        <w:rPr>
          <w:color w:val="auto"/>
        </w:rPr>
        <w:t>This study used a semi-automated ES delineation process to build a national geodatabase for Mali's fifth pre-census and post-census survey sampling database. The methodology outlines our approach and details its application in Mali.</w:t>
      </w:r>
    </w:p>
    <w:p w14:paraId="3F5C424B" w14:textId="77777777" w:rsidR="009A3C0D" w:rsidRPr="00151381" w:rsidRDefault="009A3C0D" w:rsidP="009A3C0D">
      <w:pPr>
        <w:pStyle w:val="MDPI22heading2"/>
        <w:rPr>
          <w:noProof w:val="0"/>
          <w:color w:val="auto"/>
        </w:rPr>
      </w:pPr>
      <w:r w:rsidRPr="00151381">
        <w:rPr>
          <w:noProof w:val="0"/>
          <w:color w:val="auto"/>
        </w:rPr>
        <w:t>2.1</w:t>
      </w:r>
      <w:r w:rsidRPr="00151381">
        <w:rPr>
          <w:noProof w:val="0"/>
          <w:color w:val="auto"/>
        </w:rPr>
        <w:tab/>
        <w:t>Study area</w:t>
      </w:r>
    </w:p>
    <w:p w14:paraId="3B43AFC0" w14:textId="11EC9FE8" w:rsidR="009A3C0D" w:rsidRPr="00151381" w:rsidRDefault="009A3C0D" w:rsidP="009A3C0D">
      <w:pPr>
        <w:pStyle w:val="MDPI31text"/>
        <w:rPr>
          <w:color w:val="auto"/>
        </w:rPr>
      </w:pPr>
      <w:r w:rsidRPr="00151381">
        <w:rPr>
          <w:color w:val="auto"/>
        </w:rPr>
        <w:t>Mali, A vast country in the Sahel, is a low-income economy, with little diversification. It is the eighth-largest country in Africa, with an area of over 1,241,238 square kilometers, and had an estimated population of 22,395,489 in 2022</w:t>
      </w:r>
      <w:r w:rsidR="00F21185" w:rsidRPr="00151381">
        <w:rPr>
          <w:color w:val="auto"/>
        </w:rPr>
        <w:t>[26]</w:t>
      </w:r>
      <w:r w:rsidRPr="00151381">
        <w:rPr>
          <w:color w:val="auto"/>
        </w:rPr>
        <w:t xml:space="preserve">, and 47.19% of which are estimated to be under the age of 15 in 2024. Its rapid population growth (fertility rate of 5.88 children per woman in 2018). The 2022 census found that 30.3% of the population resided in urban areas. The </w:t>
      </w:r>
      <w:r w:rsidR="00B87E36" w:rsidRPr="00151381">
        <w:rPr>
          <w:color w:val="auto"/>
        </w:rPr>
        <w:t>country</w:t>
      </w:r>
      <w:r w:rsidRPr="00151381">
        <w:rPr>
          <w:color w:val="auto"/>
        </w:rPr>
        <w:t xml:space="preserve"> lies at the intersection of a region experiencing significant security challenges and a more stable zone. These security conditions make traditional, manual data collection difficult, underscoring the need for an automated approach in pre-census mapping. This study aims to divide the country area into individual ES and build a comprehensive digital geodatabase using GIS capabilities through a semi-automatic method. This geodatabase serves as a sampling frame for post-census surveys, ensuring precise and exhaustive coverage across the region. The automated mapping method leverages GIS tools to efficiently generate accurate geographic data, enhancing the reliability and reach of census-related activities. Mali is divided into 20 administrative regions, as shown in Figure 1, with these regional boundaries serving as the primary divisions for defining major strata.</w:t>
      </w:r>
    </w:p>
    <w:p w14:paraId="7405EA55" w14:textId="4DBEC58A" w:rsidR="00625F8F" w:rsidRPr="00151381" w:rsidRDefault="00625F8F" w:rsidP="00625F8F">
      <w:pPr>
        <w:pStyle w:val="MDPI52figure"/>
        <w:rPr>
          <w:color w:val="auto"/>
        </w:rPr>
      </w:pPr>
      <w:r w:rsidRPr="00151381">
        <w:rPr>
          <w:color w:val="auto"/>
        </w:rPr>
        <w:lastRenderedPageBreak/>
        <w:t xml:space="preserve">                         </w:t>
      </w:r>
      <w:r w:rsidRPr="00151381">
        <w:rPr>
          <w:rFonts w:eastAsia="Calibri"/>
          <w:noProof/>
          <w:snapToGrid/>
          <w:color w:val="auto"/>
        </w:rPr>
        <w:drawing>
          <wp:inline distT="0" distB="0" distL="0" distR="0" wp14:anchorId="60B6AF25" wp14:editId="17784F7C">
            <wp:extent cx="3542030" cy="3350382"/>
            <wp:effectExtent l="0" t="0" r="1270" b="2540"/>
            <wp:docPr id="18815910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4627" cy="3362297"/>
                    </a:xfrm>
                    <a:prstGeom prst="rect">
                      <a:avLst/>
                    </a:prstGeom>
                    <a:noFill/>
                    <a:ln>
                      <a:noFill/>
                    </a:ln>
                  </pic:spPr>
                </pic:pic>
              </a:graphicData>
            </a:graphic>
          </wp:inline>
        </w:drawing>
      </w:r>
    </w:p>
    <w:p w14:paraId="7BC851B3" w14:textId="591FE635" w:rsidR="00625F8F" w:rsidRPr="00151381" w:rsidRDefault="00625F8F" w:rsidP="00625F8F">
      <w:pPr>
        <w:pStyle w:val="MDPI51figurecaption"/>
        <w:rPr>
          <w:color w:val="auto"/>
        </w:rPr>
      </w:pPr>
      <w:r w:rsidRPr="00151381">
        <w:rPr>
          <w:b/>
          <w:bCs/>
          <w:color w:val="auto"/>
        </w:rPr>
        <w:t>Figure 1.</w:t>
      </w:r>
      <w:r w:rsidRPr="00151381">
        <w:rPr>
          <w:color w:val="auto"/>
        </w:rPr>
        <w:t xml:space="preserve"> Study area</w:t>
      </w:r>
    </w:p>
    <w:p w14:paraId="0BE12673" w14:textId="645B0B5E" w:rsidR="00E10A3F" w:rsidRPr="00151381" w:rsidRDefault="008D3718" w:rsidP="008D3718">
      <w:pPr>
        <w:pStyle w:val="MDPI22heading2"/>
        <w:rPr>
          <w:noProof w:val="0"/>
          <w:snapToGrid/>
          <w:color w:val="auto"/>
        </w:rPr>
      </w:pPr>
      <w:r w:rsidRPr="00151381">
        <w:rPr>
          <w:noProof w:val="0"/>
          <w:snapToGrid/>
          <w:color w:val="auto"/>
        </w:rPr>
        <w:t>2.2. General approach</w:t>
      </w:r>
    </w:p>
    <w:p w14:paraId="42F12B2B" w14:textId="3465BD31" w:rsidR="008D3718" w:rsidRPr="00151381" w:rsidRDefault="008D3718" w:rsidP="008D3718">
      <w:pPr>
        <w:pStyle w:val="MDPI31text"/>
        <w:rPr>
          <w:color w:val="auto"/>
        </w:rPr>
      </w:pPr>
      <w:r w:rsidRPr="00151381">
        <w:rPr>
          <w:color w:val="auto"/>
        </w:rPr>
        <w:t xml:space="preserve">Accurate mapping for census purposes is essential for defining Enumeration Sections (ES), which divide the country into smaller, manageable units for population counting. Each ES, the smallest census unit assigned to enumerators, typically accommodates 500 to 1,100 individuals and is shaped by factors such as workload and geographical accessibility and identifiable. </w:t>
      </w:r>
      <w:r w:rsidR="00DE4C04" w:rsidRPr="00151381">
        <w:rPr>
          <w:color w:val="auto"/>
        </w:rPr>
        <w:t>To streamline the creation of new Enumeration Sections (ES) based on the "Emprise" polygons generated during the data digitization process, we developed an automated "split and merge" process inspired by geodata processing techniques, such as the merging algorithm.</w:t>
      </w:r>
      <w:r w:rsidRPr="00151381">
        <w:rPr>
          <w:color w:val="auto"/>
        </w:rPr>
        <w:t xml:space="preserve"> This method uses vector data to divide the country into small sub-areas, based on visible boundaries such as roads, waterways, and administrative borders. These sub-areas are then merged to form larger regions while adhering to user-defined constraints on area and population size. Administrative boundaries serve as ‘hard’ limits to ensure regions are not merged across certain borders. During Mali’s fifth census mapping in 2020, the National Institute of Statistics (INSTAT-Mali) utilized satellite imagery to create ES</w:t>
      </w:r>
      <w:r w:rsidR="00FE3EBD" w:rsidRPr="00151381">
        <w:rPr>
          <w:color w:val="auto"/>
        </w:rPr>
        <w:t xml:space="preserve"> based on the population estimated</w:t>
      </w:r>
      <w:r w:rsidRPr="00151381">
        <w:rPr>
          <w:color w:val="auto"/>
        </w:rPr>
        <w:t xml:space="preserve"> and collect data on buildings, roads, and infrastructure. This process relied on detailed georeferenced data, including information on resolution, scale, and coverage. Similar methodologies, such as those used in India’s 2010 census, helped create comprehensive digital geographic databases through automatic demarcation of satellite imagery. In creating Mali’s census geodatabases, satellite images were used to map buildings, roads, and landmarks, but a digital geodatabase was still required. The establishment of a Geographic Information System (GIS) Laboratory was critical for this purpose. ArcGIS</w:t>
      </w:r>
      <w:r w:rsidR="002B3193" w:rsidRPr="00151381">
        <w:rPr>
          <w:color w:val="auto"/>
        </w:rPr>
        <w:t xml:space="preserve"> 10.7.1</w:t>
      </w:r>
      <w:r w:rsidRPr="00151381">
        <w:rPr>
          <w:color w:val="auto"/>
        </w:rPr>
        <w:t xml:space="preserve"> software was employed to develop a geodatabase, enabling GIS technicians and engineers to extract key features from satellite images. </w:t>
      </w:r>
      <w:r w:rsidR="003177D7" w:rsidRPr="00151381">
        <w:rPr>
          <w:color w:val="auto"/>
        </w:rPr>
        <w:t>This approach allowed our method to produce accurate population estimates using the population grid method. These estimates were used to delineate ES boundaries and validate our method against recent survey data, confirming its accuracy.</w:t>
      </w:r>
      <w:r w:rsidR="00973EEE" w:rsidRPr="00151381">
        <w:rPr>
          <w:color w:val="auto"/>
        </w:rPr>
        <w:t xml:space="preserve">  </w:t>
      </w:r>
    </w:p>
    <w:p w14:paraId="00757354" w14:textId="7FD5D76C" w:rsidR="008D3718" w:rsidRPr="00151381" w:rsidRDefault="008D3718" w:rsidP="008D3718">
      <w:pPr>
        <w:pStyle w:val="MDPI22heading2"/>
        <w:rPr>
          <w:noProof w:val="0"/>
          <w:color w:val="auto"/>
        </w:rPr>
      </w:pPr>
      <w:r w:rsidRPr="00151381">
        <w:rPr>
          <w:noProof w:val="0"/>
          <w:color w:val="auto"/>
        </w:rPr>
        <w:t>2.3. Data sources</w:t>
      </w:r>
    </w:p>
    <w:p w14:paraId="53586F24" w14:textId="65507FD5" w:rsidR="008D3718" w:rsidRPr="00151381" w:rsidRDefault="008D3718" w:rsidP="008D3718">
      <w:pPr>
        <w:pStyle w:val="MDPI31text"/>
        <w:rPr>
          <w:color w:val="auto"/>
        </w:rPr>
      </w:pPr>
      <w:r w:rsidRPr="00151381">
        <w:rPr>
          <w:color w:val="auto"/>
        </w:rPr>
        <w:t>To carry out this work, multiple datasets were compiled and integrated from various sources</w:t>
      </w:r>
      <w:r w:rsidR="00885FD7">
        <w:rPr>
          <w:color w:val="auto"/>
        </w:rPr>
        <w:t xml:space="preserve">, </w:t>
      </w:r>
      <w:r w:rsidRPr="00151381">
        <w:rPr>
          <w:color w:val="auto"/>
        </w:rPr>
        <w:t xml:space="preserve">Table 1. Most of these datasets were developed by GIS technicians in the GIS laboratory established by INSTAT-Mali during the pre-census mapping process. They </w:t>
      </w:r>
      <w:r w:rsidRPr="00151381">
        <w:rPr>
          <w:color w:val="auto"/>
        </w:rPr>
        <w:lastRenderedPageBreak/>
        <w:t>were created using Google Satellite imagery and basic shapefiles, such as administrative boundaries, collected from the Geographic Institute of Mali (IGM). During the study, ArcGIS</w:t>
      </w:r>
      <w:r w:rsidR="00F65854" w:rsidRPr="00151381">
        <w:rPr>
          <w:color w:val="auto"/>
        </w:rPr>
        <w:t xml:space="preserve"> 10.7.1</w:t>
      </w:r>
      <w:r w:rsidRPr="00151381">
        <w:rPr>
          <w:color w:val="auto"/>
        </w:rPr>
        <w:t xml:space="preserve"> software was used for accurate data management. These datasets facilitated the updating and refinement of existing data for the study.</w:t>
      </w:r>
    </w:p>
    <w:p w14:paraId="3292526F" w14:textId="3F1AED61" w:rsidR="008D3718" w:rsidRPr="00151381" w:rsidRDefault="00210AE3" w:rsidP="00210AE3">
      <w:pPr>
        <w:pStyle w:val="MDPI41tablecaption"/>
        <w:rPr>
          <w:color w:val="auto"/>
        </w:rPr>
      </w:pPr>
      <w:r w:rsidRPr="00151381">
        <w:rPr>
          <w:color w:val="auto"/>
        </w:rPr>
        <w:t xml:space="preserve">Table 1. Dataset used </w:t>
      </w:r>
      <w:r w:rsidR="00B84CFA" w:rsidRPr="00151381">
        <w:rPr>
          <w:color w:val="auto"/>
        </w:rPr>
        <w:t xml:space="preserve">during </w:t>
      </w:r>
      <w:r w:rsidRPr="00151381">
        <w:rPr>
          <w:color w:val="auto"/>
        </w:rPr>
        <w:t>Enumeration Section creation</w:t>
      </w:r>
      <w:r w:rsidR="00B84CFA" w:rsidRPr="00151381">
        <w:rPr>
          <w:color w:val="auto"/>
        </w:rPr>
        <w:t xml:space="preserve"> process</w:t>
      </w:r>
      <w:r w:rsidRPr="00151381">
        <w:rPr>
          <w:color w:val="auto"/>
        </w:rPr>
        <w:t>.</w:t>
      </w:r>
    </w:p>
    <w:tbl>
      <w:tblPr>
        <w:tblW w:w="10897" w:type="dxa"/>
        <w:tblBorders>
          <w:top w:val="single" w:sz="12" w:space="0" w:color="auto"/>
          <w:bottom w:val="single" w:sz="12" w:space="0" w:color="auto"/>
        </w:tblBorders>
        <w:tblLayout w:type="fixed"/>
        <w:tblLook w:val="04A0" w:firstRow="1" w:lastRow="0" w:firstColumn="1" w:lastColumn="0" w:noHBand="0" w:noVBand="1"/>
      </w:tblPr>
      <w:tblGrid>
        <w:gridCol w:w="2673"/>
        <w:gridCol w:w="1197"/>
        <w:gridCol w:w="1469"/>
        <w:gridCol w:w="749"/>
        <w:gridCol w:w="4809"/>
      </w:tblGrid>
      <w:tr w:rsidR="00151381" w:rsidRPr="00151381" w14:paraId="342360EE" w14:textId="77777777" w:rsidTr="008D3718">
        <w:trPr>
          <w:trHeight w:val="74"/>
        </w:trPr>
        <w:tc>
          <w:tcPr>
            <w:tcW w:w="2673" w:type="dxa"/>
            <w:tcBorders>
              <w:top w:val="single" w:sz="12" w:space="0" w:color="auto"/>
              <w:bottom w:val="single" w:sz="2" w:space="0" w:color="auto"/>
            </w:tcBorders>
            <w:vAlign w:val="center"/>
            <w:hideMark/>
          </w:tcPr>
          <w:p w14:paraId="4422E10B" w14:textId="77777777" w:rsidR="008D3718" w:rsidRPr="00151381" w:rsidRDefault="008D3718" w:rsidP="008D3718">
            <w:pPr>
              <w:pStyle w:val="MDPI42tablebody"/>
              <w:rPr>
                <w:b/>
                <w:bCs/>
                <w:color w:val="auto"/>
              </w:rPr>
            </w:pPr>
            <w:r w:rsidRPr="00151381">
              <w:rPr>
                <w:b/>
                <w:bCs/>
                <w:color w:val="auto"/>
              </w:rPr>
              <w:t>Dataset</w:t>
            </w:r>
          </w:p>
        </w:tc>
        <w:tc>
          <w:tcPr>
            <w:tcW w:w="1197" w:type="dxa"/>
            <w:tcBorders>
              <w:top w:val="single" w:sz="12" w:space="0" w:color="auto"/>
              <w:bottom w:val="single" w:sz="2" w:space="0" w:color="auto"/>
            </w:tcBorders>
            <w:vAlign w:val="center"/>
            <w:hideMark/>
          </w:tcPr>
          <w:p w14:paraId="092042D5" w14:textId="29A312B4" w:rsidR="008D3718" w:rsidRPr="00151381" w:rsidRDefault="008D3718" w:rsidP="008D3718">
            <w:pPr>
              <w:pStyle w:val="MDPI42tablebody"/>
              <w:rPr>
                <w:b/>
                <w:bCs/>
                <w:color w:val="auto"/>
              </w:rPr>
            </w:pPr>
            <w:r w:rsidRPr="00151381">
              <w:rPr>
                <w:b/>
                <w:bCs/>
                <w:color w:val="auto"/>
              </w:rPr>
              <w:t>Format</w:t>
            </w:r>
            <w:r w:rsidR="005E2133" w:rsidRPr="00151381">
              <w:rPr>
                <w:b/>
                <w:bCs/>
                <w:color w:val="auto"/>
              </w:rPr>
              <w:t>s</w:t>
            </w:r>
          </w:p>
        </w:tc>
        <w:tc>
          <w:tcPr>
            <w:tcW w:w="1469" w:type="dxa"/>
            <w:tcBorders>
              <w:top w:val="single" w:sz="12" w:space="0" w:color="auto"/>
              <w:bottom w:val="single" w:sz="2" w:space="0" w:color="auto"/>
            </w:tcBorders>
            <w:vAlign w:val="center"/>
            <w:hideMark/>
          </w:tcPr>
          <w:p w14:paraId="35B0A512" w14:textId="7379FB1A" w:rsidR="008D3718" w:rsidRPr="00151381" w:rsidRDefault="008D3718" w:rsidP="008D3718">
            <w:pPr>
              <w:pStyle w:val="MDPI42tablebody"/>
              <w:rPr>
                <w:b/>
                <w:bCs/>
                <w:color w:val="auto"/>
              </w:rPr>
            </w:pPr>
            <w:r w:rsidRPr="00151381">
              <w:rPr>
                <w:b/>
                <w:bCs/>
                <w:color w:val="auto"/>
              </w:rPr>
              <w:t>Source</w:t>
            </w:r>
            <w:r w:rsidR="005E2133" w:rsidRPr="00151381">
              <w:rPr>
                <w:b/>
                <w:bCs/>
                <w:color w:val="auto"/>
              </w:rPr>
              <w:t>s</w:t>
            </w:r>
          </w:p>
        </w:tc>
        <w:tc>
          <w:tcPr>
            <w:tcW w:w="749" w:type="dxa"/>
            <w:tcBorders>
              <w:top w:val="single" w:sz="12" w:space="0" w:color="auto"/>
              <w:bottom w:val="single" w:sz="2" w:space="0" w:color="auto"/>
            </w:tcBorders>
            <w:vAlign w:val="center"/>
            <w:hideMark/>
          </w:tcPr>
          <w:p w14:paraId="54B96626" w14:textId="0585A790" w:rsidR="008D3718" w:rsidRPr="00151381" w:rsidRDefault="008D3718" w:rsidP="008D3718">
            <w:pPr>
              <w:pStyle w:val="MDPI42tablebody"/>
              <w:rPr>
                <w:b/>
                <w:bCs/>
                <w:color w:val="auto"/>
              </w:rPr>
            </w:pPr>
            <w:r w:rsidRPr="00151381">
              <w:rPr>
                <w:b/>
                <w:bCs/>
                <w:color w:val="auto"/>
              </w:rPr>
              <w:t>Date</w:t>
            </w:r>
            <w:r w:rsidR="005E2133" w:rsidRPr="00151381">
              <w:rPr>
                <w:b/>
                <w:bCs/>
                <w:color w:val="auto"/>
              </w:rPr>
              <w:t>s</w:t>
            </w:r>
          </w:p>
        </w:tc>
        <w:tc>
          <w:tcPr>
            <w:tcW w:w="4809" w:type="dxa"/>
            <w:tcBorders>
              <w:top w:val="single" w:sz="12" w:space="0" w:color="auto"/>
              <w:bottom w:val="single" w:sz="2" w:space="0" w:color="auto"/>
            </w:tcBorders>
            <w:vAlign w:val="center"/>
            <w:hideMark/>
          </w:tcPr>
          <w:p w14:paraId="6790AC00" w14:textId="77777777" w:rsidR="008D3718" w:rsidRPr="00151381" w:rsidRDefault="008D3718" w:rsidP="008D3718">
            <w:pPr>
              <w:pStyle w:val="MDPI42tablebody"/>
              <w:rPr>
                <w:b/>
                <w:bCs/>
                <w:color w:val="auto"/>
              </w:rPr>
            </w:pPr>
            <w:r w:rsidRPr="00151381">
              <w:rPr>
                <w:b/>
                <w:bCs/>
                <w:color w:val="auto"/>
              </w:rPr>
              <w:t>Descriptions</w:t>
            </w:r>
          </w:p>
        </w:tc>
      </w:tr>
      <w:tr w:rsidR="00151381" w:rsidRPr="00151381" w14:paraId="0DB7311B" w14:textId="77777777" w:rsidTr="008D3718">
        <w:trPr>
          <w:trHeight w:val="97"/>
        </w:trPr>
        <w:tc>
          <w:tcPr>
            <w:tcW w:w="2673" w:type="dxa"/>
            <w:tcBorders>
              <w:top w:val="single" w:sz="2" w:space="0" w:color="auto"/>
            </w:tcBorders>
            <w:vAlign w:val="center"/>
            <w:hideMark/>
          </w:tcPr>
          <w:p w14:paraId="4C4A57A3" w14:textId="77777777" w:rsidR="008D3718" w:rsidRPr="00151381" w:rsidRDefault="008D3718" w:rsidP="008D3718">
            <w:pPr>
              <w:pStyle w:val="MDPI42tablebody"/>
              <w:jc w:val="left"/>
              <w:rPr>
                <w:color w:val="auto"/>
              </w:rPr>
            </w:pPr>
            <w:r w:rsidRPr="00151381">
              <w:rPr>
                <w:color w:val="auto"/>
              </w:rPr>
              <w:t>Infrastructure</w:t>
            </w:r>
          </w:p>
        </w:tc>
        <w:tc>
          <w:tcPr>
            <w:tcW w:w="1197" w:type="dxa"/>
            <w:tcBorders>
              <w:top w:val="single" w:sz="2" w:space="0" w:color="auto"/>
            </w:tcBorders>
            <w:vAlign w:val="center"/>
            <w:hideMark/>
          </w:tcPr>
          <w:p w14:paraId="5B10E580" w14:textId="77777777" w:rsidR="008D3718" w:rsidRPr="00151381" w:rsidRDefault="008D3718" w:rsidP="001B1B5E">
            <w:pPr>
              <w:pStyle w:val="MDPI42tablebody"/>
              <w:jc w:val="left"/>
              <w:rPr>
                <w:color w:val="auto"/>
              </w:rPr>
            </w:pPr>
            <w:r w:rsidRPr="00151381">
              <w:rPr>
                <w:color w:val="auto"/>
              </w:rPr>
              <w:t>Point</w:t>
            </w:r>
          </w:p>
        </w:tc>
        <w:tc>
          <w:tcPr>
            <w:tcW w:w="1469" w:type="dxa"/>
            <w:tcBorders>
              <w:top w:val="single" w:sz="2" w:space="0" w:color="auto"/>
            </w:tcBorders>
            <w:vAlign w:val="center"/>
            <w:hideMark/>
          </w:tcPr>
          <w:p w14:paraId="32413ECF" w14:textId="77777777" w:rsidR="008D3718" w:rsidRPr="00151381" w:rsidRDefault="008D3718" w:rsidP="001B1B5E">
            <w:pPr>
              <w:pStyle w:val="MDPI42tablebody"/>
              <w:jc w:val="left"/>
              <w:rPr>
                <w:color w:val="auto"/>
              </w:rPr>
            </w:pPr>
            <w:r w:rsidRPr="00151381">
              <w:rPr>
                <w:color w:val="auto"/>
              </w:rPr>
              <w:t>INSTAT-Mali</w:t>
            </w:r>
          </w:p>
        </w:tc>
        <w:tc>
          <w:tcPr>
            <w:tcW w:w="749" w:type="dxa"/>
            <w:tcBorders>
              <w:top w:val="single" w:sz="2" w:space="0" w:color="auto"/>
            </w:tcBorders>
            <w:noWrap/>
            <w:vAlign w:val="bottom"/>
            <w:hideMark/>
          </w:tcPr>
          <w:p w14:paraId="0C1366D7"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2020</w:t>
            </w:r>
          </w:p>
        </w:tc>
        <w:tc>
          <w:tcPr>
            <w:tcW w:w="4809" w:type="dxa"/>
            <w:tcBorders>
              <w:top w:val="single" w:sz="2" w:space="0" w:color="auto"/>
            </w:tcBorders>
            <w:vAlign w:val="center"/>
            <w:hideMark/>
          </w:tcPr>
          <w:p w14:paraId="5F5CFF33" w14:textId="77777777" w:rsidR="008D3718" w:rsidRPr="00151381" w:rsidRDefault="008D3718" w:rsidP="001B1B5E">
            <w:pPr>
              <w:pStyle w:val="MDPI42tablebody"/>
              <w:jc w:val="left"/>
              <w:rPr>
                <w:color w:val="auto"/>
              </w:rPr>
            </w:pPr>
            <w:r w:rsidRPr="00151381">
              <w:rPr>
                <w:color w:val="auto"/>
              </w:rPr>
              <w:t>Reference points</w:t>
            </w:r>
          </w:p>
        </w:tc>
      </w:tr>
      <w:tr w:rsidR="00151381" w:rsidRPr="00151381" w14:paraId="5F3A1EA4" w14:textId="77777777" w:rsidTr="008D3718">
        <w:trPr>
          <w:trHeight w:val="100"/>
        </w:trPr>
        <w:tc>
          <w:tcPr>
            <w:tcW w:w="2673" w:type="dxa"/>
            <w:vAlign w:val="center"/>
            <w:hideMark/>
          </w:tcPr>
          <w:p w14:paraId="47E389A9" w14:textId="77777777" w:rsidR="008D3718" w:rsidRPr="00151381" w:rsidRDefault="008D3718" w:rsidP="008D3718">
            <w:pPr>
              <w:pStyle w:val="MDPI42tablebody"/>
              <w:jc w:val="left"/>
              <w:rPr>
                <w:color w:val="auto"/>
              </w:rPr>
            </w:pPr>
            <w:r w:rsidRPr="00151381">
              <w:rPr>
                <w:color w:val="auto"/>
              </w:rPr>
              <w:t>Locality Data</w:t>
            </w:r>
          </w:p>
        </w:tc>
        <w:tc>
          <w:tcPr>
            <w:tcW w:w="1197" w:type="dxa"/>
            <w:vAlign w:val="center"/>
            <w:hideMark/>
          </w:tcPr>
          <w:p w14:paraId="7F2502B7" w14:textId="77777777" w:rsidR="008D3718" w:rsidRPr="00151381" w:rsidRDefault="008D3718" w:rsidP="001B1B5E">
            <w:pPr>
              <w:pStyle w:val="MDPI42tablebody"/>
              <w:jc w:val="left"/>
              <w:rPr>
                <w:color w:val="auto"/>
              </w:rPr>
            </w:pPr>
            <w:r w:rsidRPr="00151381">
              <w:rPr>
                <w:color w:val="auto"/>
              </w:rPr>
              <w:t>Point</w:t>
            </w:r>
          </w:p>
        </w:tc>
        <w:tc>
          <w:tcPr>
            <w:tcW w:w="1469" w:type="dxa"/>
            <w:vAlign w:val="center"/>
            <w:hideMark/>
          </w:tcPr>
          <w:p w14:paraId="49E61D04" w14:textId="77777777" w:rsidR="008D3718" w:rsidRPr="00151381" w:rsidRDefault="008D3718" w:rsidP="001B1B5E">
            <w:pPr>
              <w:pStyle w:val="MDPI42tablebody"/>
              <w:jc w:val="left"/>
              <w:rPr>
                <w:color w:val="auto"/>
              </w:rPr>
            </w:pPr>
            <w:r w:rsidRPr="00151381">
              <w:rPr>
                <w:color w:val="auto"/>
              </w:rPr>
              <w:t>INSTAT-Mali</w:t>
            </w:r>
          </w:p>
        </w:tc>
        <w:tc>
          <w:tcPr>
            <w:tcW w:w="749" w:type="dxa"/>
            <w:noWrap/>
            <w:vAlign w:val="bottom"/>
            <w:hideMark/>
          </w:tcPr>
          <w:p w14:paraId="1BF40A15"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2009</w:t>
            </w:r>
          </w:p>
        </w:tc>
        <w:tc>
          <w:tcPr>
            <w:tcW w:w="4809" w:type="dxa"/>
            <w:vAlign w:val="center"/>
            <w:hideMark/>
          </w:tcPr>
          <w:p w14:paraId="7C33831E" w14:textId="77777777" w:rsidR="008D3718" w:rsidRPr="00151381" w:rsidRDefault="008D3718" w:rsidP="001B1B5E">
            <w:pPr>
              <w:pStyle w:val="MDPI42tablebody"/>
              <w:jc w:val="left"/>
              <w:rPr>
                <w:color w:val="auto"/>
              </w:rPr>
            </w:pPr>
            <w:r w:rsidRPr="00151381">
              <w:rPr>
                <w:color w:val="auto"/>
              </w:rPr>
              <w:t>Points of the localities in Mali.</w:t>
            </w:r>
          </w:p>
        </w:tc>
      </w:tr>
      <w:tr w:rsidR="00151381" w:rsidRPr="00151381" w14:paraId="759A255F" w14:textId="77777777" w:rsidTr="008D3718">
        <w:trPr>
          <w:trHeight w:val="135"/>
        </w:trPr>
        <w:tc>
          <w:tcPr>
            <w:tcW w:w="2673" w:type="dxa"/>
            <w:vAlign w:val="center"/>
            <w:hideMark/>
          </w:tcPr>
          <w:p w14:paraId="53B66673" w14:textId="77777777" w:rsidR="008D3718" w:rsidRPr="00151381" w:rsidRDefault="008D3718" w:rsidP="008D3718">
            <w:pPr>
              <w:pStyle w:val="MDPI42tablebody"/>
              <w:jc w:val="left"/>
              <w:rPr>
                <w:color w:val="auto"/>
              </w:rPr>
            </w:pPr>
            <w:r w:rsidRPr="00151381">
              <w:rPr>
                <w:color w:val="auto"/>
              </w:rPr>
              <w:t>Road data</w:t>
            </w:r>
          </w:p>
        </w:tc>
        <w:tc>
          <w:tcPr>
            <w:tcW w:w="1197" w:type="dxa"/>
            <w:vAlign w:val="center"/>
            <w:hideMark/>
          </w:tcPr>
          <w:p w14:paraId="178520B2" w14:textId="77777777" w:rsidR="008D3718" w:rsidRPr="00151381" w:rsidRDefault="008D3718" w:rsidP="001B1B5E">
            <w:pPr>
              <w:pStyle w:val="MDPI42tablebody"/>
              <w:jc w:val="left"/>
              <w:rPr>
                <w:color w:val="auto"/>
              </w:rPr>
            </w:pPr>
            <w:r w:rsidRPr="00151381">
              <w:rPr>
                <w:color w:val="auto"/>
              </w:rPr>
              <w:t>Line</w:t>
            </w:r>
          </w:p>
        </w:tc>
        <w:tc>
          <w:tcPr>
            <w:tcW w:w="1469" w:type="dxa"/>
            <w:vAlign w:val="center"/>
            <w:hideMark/>
          </w:tcPr>
          <w:p w14:paraId="69441B1D" w14:textId="77777777" w:rsidR="008D3718" w:rsidRPr="00151381" w:rsidRDefault="008D3718" w:rsidP="001B1B5E">
            <w:pPr>
              <w:pStyle w:val="MDPI42tablebody"/>
              <w:jc w:val="left"/>
              <w:rPr>
                <w:color w:val="auto"/>
              </w:rPr>
            </w:pPr>
            <w:r w:rsidRPr="00151381">
              <w:rPr>
                <w:color w:val="auto"/>
              </w:rPr>
              <w:t>OSM</w:t>
            </w:r>
          </w:p>
        </w:tc>
        <w:tc>
          <w:tcPr>
            <w:tcW w:w="749" w:type="dxa"/>
            <w:noWrap/>
            <w:vAlign w:val="bottom"/>
            <w:hideMark/>
          </w:tcPr>
          <w:p w14:paraId="74D10831"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2020</w:t>
            </w:r>
          </w:p>
        </w:tc>
        <w:tc>
          <w:tcPr>
            <w:tcW w:w="4809" w:type="dxa"/>
            <w:vAlign w:val="center"/>
            <w:hideMark/>
          </w:tcPr>
          <w:p w14:paraId="123425C8" w14:textId="77777777" w:rsidR="008D3718" w:rsidRPr="00151381" w:rsidRDefault="008D3718" w:rsidP="001B1B5E">
            <w:pPr>
              <w:pStyle w:val="MDPI42tablebody"/>
              <w:jc w:val="left"/>
              <w:rPr>
                <w:color w:val="auto"/>
              </w:rPr>
            </w:pPr>
            <w:r w:rsidRPr="00151381">
              <w:rPr>
                <w:color w:val="auto"/>
              </w:rPr>
              <w:t>All roads linking the localities</w:t>
            </w:r>
          </w:p>
        </w:tc>
      </w:tr>
      <w:tr w:rsidR="00151381" w:rsidRPr="00151381" w14:paraId="7D20118E" w14:textId="77777777" w:rsidTr="008D3718">
        <w:trPr>
          <w:trHeight w:val="135"/>
        </w:trPr>
        <w:tc>
          <w:tcPr>
            <w:tcW w:w="2673" w:type="dxa"/>
            <w:vAlign w:val="center"/>
            <w:hideMark/>
          </w:tcPr>
          <w:p w14:paraId="3598A4CC" w14:textId="77777777" w:rsidR="008D3718" w:rsidRPr="00151381" w:rsidRDefault="008D3718" w:rsidP="008D3718">
            <w:pPr>
              <w:pStyle w:val="MDPI42tablebody"/>
              <w:jc w:val="left"/>
              <w:rPr>
                <w:color w:val="auto"/>
              </w:rPr>
            </w:pPr>
            <w:r w:rsidRPr="00151381">
              <w:rPr>
                <w:color w:val="auto"/>
              </w:rPr>
              <w:t>Rail</w:t>
            </w:r>
          </w:p>
        </w:tc>
        <w:tc>
          <w:tcPr>
            <w:tcW w:w="1197" w:type="dxa"/>
            <w:vAlign w:val="center"/>
            <w:hideMark/>
          </w:tcPr>
          <w:p w14:paraId="3BF7068B" w14:textId="77777777" w:rsidR="008D3718" w:rsidRPr="00151381" w:rsidRDefault="008D3718" w:rsidP="001B1B5E">
            <w:pPr>
              <w:pStyle w:val="MDPI42tablebody"/>
              <w:jc w:val="left"/>
              <w:rPr>
                <w:color w:val="auto"/>
              </w:rPr>
            </w:pPr>
            <w:r w:rsidRPr="00151381">
              <w:rPr>
                <w:color w:val="auto"/>
              </w:rPr>
              <w:t>Line</w:t>
            </w:r>
          </w:p>
        </w:tc>
        <w:tc>
          <w:tcPr>
            <w:tcW w:w="1469" w:type="dxa"/>
            <w:vAlign w:val="center"/>
            <w:hideMark/>
          </w:tcPr>
          <w:p w14:paraId="0EC2D392" w14:textId="77777777" w:rsidR="008D3718" w:rsidRPr="00151381" w:rsidRDefault="008D3718" w:rsidP="001B1B5E">
            <w:pPr>
              <w:pStyle w:val="MDPI42tablebody"/>
              <w:jc w:val="left"/>
              <w:rPr>
                <w:color w:val="auto"/>
              </w:rPr>
            </w:pPr>
            <w:r w:rsidRPr="00151381">
              <w:rPr>
                <w:color w:val="auto"/>
              </w:rPr>
              <w:t>IGM-Mali</w:t>
            </w:r>
          </w:p>
        </w:tc>
        <w:tc>
          <w:tcPr>
            <w:tcW w:w="749" w:type="dxa"/>
            <w:noWrap/>
            <w:vAlign w:val="bottom"/>
            <w:hideMark/>
          </w:tcPr>
          <w:p w14:paraId="633B500B"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2009</w:t>
            </w:r>
          </w:p>
        </w:tc>
        <w:tc>
          <w:tcPr>
            <w:tcW w:w="4809" w:type="dxa"/>
            <w:vAlign w:val="center"/>
            <w:hideMark/>
          </w:tcPr>
          <w:p w14:paraId="757AA530" w14:textId="77777777" w:rsidR="008D3718" w:rsidRPr="00151381" w:rsidRDefault="008D3718" w:rsidP="001B1B5E">
            <w:pPr>
              <w:pStyle w:val="MDPI42tablebody"/>
              <w:jc w:val="left"/>
              <w:rPr>
                <w:color w:val="auto"/>
              </w:rPr>
            </w:pPr>
            <w:r w:rsidRPr="00151381">
              <w:rPr>
                <w:color w:val="auto"/>
              </w:rPr>
              <w:t>Railway</w:t>
            </w:r>
          </w:p>
        </w:tc>
      </w:tr>
      <w:tr w:rsidR="00151381" w:rsidRPr="00151381" w14:paraId="5FDBA152" w14:textId="77777777" w:rsidTr="008D3718">
        <w:trPr>
          <w:trHeight w:val="135"/>
        </w:trPr>
        <w:tc>
          <w:tcPr>
            <w:tcW w:w="2673" w:type="dxa"/>
            <w:vAlign w:val="center"/>
            <w:hideMark/>
          </w:tcPr>
          <w:p w14:paraId="524E5CCF" w14:textId="77777777" w:rsidR="008D3718" w:rsidRPr="00151381" w:rsidRDefault="008D3718" w:rsidP="008D3718">
            <w:pPr>
              <w:pStyle w:val="MDPI42tablebody"/>
              <w:jc w:val="left"/>
              <w:rPr>
                <w:color w:val="auto"/>
              </w:rPr>
            </w:pPr>
            <w:r w:rsidRPr="00151381">
              <w:rPr>
                <w:color w:val="auto"/>
              </w:rPr>
              <w:t>River</w:t>
            </w:r>
          </w:p>
        </w:tc>
        <w:tc>
          <w:tcPr>
            <w:tcW w:w="1197" w:type="dxa"/>
            <w:vAlign w:val="center"/>
            <w:hideMark/>
          </w:tcPr>
          <w:p w14:paraId="234B6484" w14:textId="77777777" w:rsidR="008D3718" w:rsidRPr="00151381" w:rsidRDefault="008D3718" w:rsidP="001B1B5E">
            <w:pPr>
              <w:pStyle w:val="MDPI42tablebody"/>
              <w:jc w:val="left"/>
              <w:rPr>
                <w:color w:val="auto"/>
              </w:rPr>
            </w:pPr>
            <w:r w:rsidRPr="00151381">
              <w:rPr>
                <w:color w:val="auto"/>
              </w:rPr>
              <w:t>Line</w:t>
            </w:r>
          </w:p>
        </w:tc>
        <w:tc>
          <w:tcPr>
            <w:tcW w:w="1469" w:type="dxa"/>
            <w:vAlign w:val="center"/>
            <w:hideMark/>
          </w:tcPr>
          <w:p w14:paraId="1E5BE456" w14:textId="77777777" w:rsidR="008D3718" w:rsidRPr="00151381" w:rsidRDefault="008D3718" w:rsidP="001B1B5E">
            <w:pPr>
              <w:pStyle w:val="MDPI42tablebody"/>
              <w:jc w:val="left"/>
              <w:rPr>
                <w:color w:val="auto"/>
              </w:rPr>
            </w:pPr>
            <w:r w:rsidRPr="00151381">
              <w:rPr>
                <w:color w:val="auto"/>
              </w:rPr>
              <w:t>IGM-Mali</w:t>
            </w:r>
          </w:p>
        </w:tc>
        <w:tc>
          <w:tcPr>
            <w:tcW w:w="749" w:type="dxa"/>
            <w:noWrap/>
            <w:vAlign w:val="bottom"/>
            <w:hideMark/>
          </w:tcPr>
          <w:p w14:paraId="46537C8D"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2020</w:t>
            </w:r>
          </w:p>
        </w:tc>
        <w:tc>
          <w:tcPr>
            <w:tcW w:w="4809" w:type="dxa"/>
            <w:vAlign w:val="center"/>
            <w:hideMark/>
          </w:tcPr>
          <w:p w14:paraId="0BDE07BD" w14:textId="77777777" w:rsidR="008D3718" w:rsidRPr="00151381" w:rsidRDefault="008D3718" w:rsidP="001B1B5E">
            <w:pPr>
              <w:pStyle w:val="MDPI42tablebody"/>
              <w:jc w:val="left"/>
              <w:rPr>
                <w:color w:val="auto"/>
              </w:rPr>
            </w:pPr>
            <w:r w:rsidRPr="00151381">
              <w:rPr>
                <w:color w:val="auto"/>
              </w:rPr>
              <w:t>Water drainage networks</w:t>
            </w:r>
          </w:p>
        </w:tc>
      </w:tr>
      <w:tr w:rsidR="00151381" w:rsidRPr="00151381" w14:paraId="12E1C608" w14:textId="77777777" w:rsidTr="008D3718">
        <w:trPr>
          <w:trHeight w:val="135"/>
        </w:trPr>
        <w:tc>
          <w:tcPr>
            <w:tcW w:w="2673" w:type="dxa"/>
            <w:vAlign w:val="center"/>
            <w:hideMark/>
          </w:tcPr>
          <w:p w14:paraId="07C8A175" w14:textId="77777777" w:rsidR="008D3718" w:rsidRPr="00151381" w:rsidRDefault="008D3718" w:rsidP="008D3718">
            <w:pPr>
              <w:pStyle w:val="MDPI42tablebody"/>
              <w:jc w:val="left"/>
              <w:rPr>
                <w:color w:val="auto"/>
              </w:rPr>
            </w:pPr>
            <w:r w:rsidRPr="00151381">
              <w:rPr>
                <w:color w:val="auto"/>
              </w:rPr>
              <w:t>Waterbody</w:t>
            </w:r>
          </w:p>
        </w:tc>
        <w:tc>
          <w:tcPr>
            <w:tcW w:w="1197" w:type="dxa"/>
            <w:vAlign w:val="center"/>
            <w:hideMark/>
          </w:tcPr>
          <w:p w14:paraId="36E6B0BD" w14:textId="77777777" w:rsidR="008D3718" w:rsidRPr="00151381" w:rsidRDefault="008D3718" w:rsidP="001B1B5E">
            <w:pPr>
              <w:pStyle w:val="MDPI42tablebody"/>
              <w:jc w:val="left"/>
              <w:rPr>
                <w:color w:val="auto"/>
              </w:rPr>
            </w:pPr>
            <w:r w:rsidRPr="00151381">
              <w:rPr>
                <w:color w:val="auto"/>
              </w:rPr>
              <w:t>Polygons</w:t>
            </w:r>
          </w:p>
        </w:tc>
        <w:tc>
          <w:tcPr>
            <w:tcW w:w="1469" w:type="dxa"/>
            <w:vAlign w:val="center"/>
            <w:hideMark/>
          </w:tcPr>
          <w:p w14:paraId="4B171515" w14:textId="227EBE66" w:rsidR="008D3718" w:rsidRPr="00151381" w:rsidRDefault="008D3718" w:rsidP="001B1B5E">
            <w:pPr>
              <w:pStyle w:val="MDPI42tablebody"/>
              <w:jc w:val="left"/>
              <w:rPr>
                <w:color w:val="auto"/>
              </w:rPr>
            </w:pPr>
            <w:r w:rsidRPr="00151381">
              <w:rPr>
                <w:color w:val="auto"/>
              </w:rPr>
              <w:t>OSM</w:t>
            </w:r>
          </w:p>
        </w:tc>
        <w:tc>
          <w:tcPr>
            <w:tcW w:w="749" w:type="dxa"/>
            <w:noWrap/>
            <w:vAlign w:val="bottom"/>
            <w:hideMark/>
          </w:tcPr>
          <w:p w14:paraId="4F9098F9"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2020</w:t>
            </w:r>
          </w:p>
        </w:tc>
        <w:tc>
          <w:tcPr>
            <w:tcW w:w="4809" w:type="dxa"/>
            <w:vAlign w:val="center"/>
            <w:hideMark/>
          </w:tcPr>
          <w:p w14:paraId="79497A32" w14:textId="77777777" w:rsidR="008D3718" w:rsidRPr="00151381" w:rsidRDefault="008D3718" w:rsidP="001B1B5E">
            <w:pPr>
              <w:pStyle w:val="MDPI42tablebody"/>
              <w:jc w:val="left"/>
              <w:rPr>
                <w:color w:val="auto"/>
              </w:rPr>
            </w:pPr>
            <w:r w:rsidRPr="00151381">
              <w:rPr>
                <w:color w:val="auto"/>
              </w:rPr>
              <w:t>Waterbody</w:t>
            </w:r>
          </w:p>
        </w:tc>
      </w:tr>
      <w:tr w:rsidR="00151381" w:rsidRPr="00151381" w14:paraId="153F2EC3" w14:textId="77777777" w:rsidTr="008D3718">
        <w:trPr>
          <w:trHeight w:val="135"/>
        </w:trPr>
        <w:tc>
          <w:tcPr>
            <w:tcW w:w="2673" w:type="dxa"/>
            <w:noWrap/>
            <w:vAlign w:val="bottom"/>
            <w:hideMark/>
          </w:tcPr>
          <w:p w14:paraId="7A76C9BD" w14:textId="77777777" w:rsidR="008D3718" w:rsidRPr="00151381" w:rsidRDefault="008D3718" w:rsidP="008D3718">
            <w:pPr>
              <w:pStyle w:val="MDPI42tablebody"/>
              <w:jc w:val="left"/>
              <w:rPr>
                <w:rFonts w:ascii="Calibri" w:hAnsi="Calibri" w:cs="Calibri"/>
                <w:color w:val="auto"/>
                <w:sz w:val="22"/>
                <w:szCs w:val="22"/>
              </w:rPr>
            </w:pPr>
            <w:r w:rsidRPr="00151381">
              <w:rPr>
                <w:rFonts w:ascii="Calibri" w:hAnsi="Calibri" w:cs="Calibri"/>
                <w:color w:val="auto"/>
                <w:sz w:val="22"/>
                <w:szCs w:val="22"/>
              </w:rPr>
              <w:t>Building</w:t>
            </w:r>
          </w:p>
        </w:tc>
        <w:tc>
          <w:tcPr>
            <w:tcW w:w="1197" w:type="dxa"/>
            <w:vAlign w:val="center"/>
            <w:hideMark/>
          </w:tcPr>
          <w:p w14:paraId="3A2657A3" w14:textId="77777777" w:rsidR="008D3718" w:rsidRPr="00151381" w:rsidRDefault="008D3718" w:rsidP="001B1B5E">
            <w:pPr>
              <w:pStyle w:val="MDPI42tablebody"/>
              <w:jc w:val="left"/>
              <w:rPr>
                <w:color w:val="auto"/>
              </w:rPr>
            </w:pPr>
            <w:r w:rsidRPr="00151381">
              <w:rPr>
                <w:color w:val="auto"/>
              </w:rPr>
              <w:t>Polygons</w:t>
            </w:r>
          </w:p>
        </w:tc>
        <w:tc>
          <w:tcPr>
            <w:tcW w:w="1469" w:type="dxa"/>
            <w:vAlign w:val="center"/>
            <w:hideMark/>
          </w:tcPr>
          <w:p w14:paraId="6BFCEB58" w14:textId="77777777" w:rsidR="008D3718" w:rsidRPr="00151381" w:rsidRDefault="008D3718" w:rsidP="001B1B5E">
            <w:pPr>
              <w:pStyle w:val="MDPI42tablebody"/>
              <w:jc w:val="left"/>
              <w:rPr>
                <w:color w:val="auto"/>
              </w:rPr>
            </w:pPr>
            <w:r w:rsidRPr="00151381">
              <w:rPr>
                <w:color w:val="auto"/>
              </w:rPr>
              <w:t>INSTAT-Mali</w:t>
            </w:r>
          </w:p>
        </w:tc>
        <w:tc>
          <w:tcPr>
            <w:tcW w:w="749" w:type="dxa"/>
            <w:noWrap/>
            <w:vAlign w:val="bottom"/>
            <w:hideMark/>
          </w:tcPr>
          <w:p w14:paraId="60DD74B8"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2021</w:t>
            </w:r>
          </w:p>
        </w:tc>
        <w:tc>
          <w:tcPr>
            <w:tcW w:w="4809" w:type="dxa"/>
            <w:vAlign w:val="center"/>
            <w:hideMark/>
          </w:tcPr>
          <w:p w14:paraId="2AD3AA76" w14:textId="77777777" w:rsidR="008D3718" w:rsidRPr="00151381" w:rsidRDefault="008D3718" w:rsidP="001B1B5E">
            <w:pPr>
              <w:pStyle w:val="MDPI42tablebody"/>
              <w:jc w:val="left"/>
              <w:rPr>
                <w:color w:val="auto"/>
              </w:rPr>
            </w:pPr>
          </w:p>
        </w:tc>
      </w:tr>
      <w:tr w:rsidR="00151381" w:rsidRPr="00151381" w14:paraId="62872A20" w14:textId="77777777" w:rsidTr="008D3718">
        <w:trPr>
          <w:trHeight w:val="135"/>
        </w:trPr>
        <w:tc>
          <w:tcPr>
            <w:tcW w:w="2673" w:type="dxa"/>
            <w:vAlign w:val="center"/>
            <w:hideMark/>
          </w:tcPr>
          <w:p w14:paraId="33F1A3AA" w14:textId="77777777" w:rsidR="008D3718" w:rsidRPr="00151381" w:rsidRDefault="008D3718" w:rsidP="008D3718">
            <w:pPr>
              <w:pStyle w:val="MDPI42tablebody"/>
              <w:jc w:val="left"/>
              <w:rPr>
                <w:color w:val="auto"/>
              </w:rPr>
            </w:pPr>
            <w:r w:rsidRPr="00151381">
              <w:rPr>
                <w:color w:val="auto"/>
              </w:rPr>
              <w:t>Emprise</w:t>
            </w:r>
          </w:p>
        </w:tc>
        <w:tc>
          <w:tcPr>
            <w:tcW w:w="1197" w:type="dxa"/>
            <w:vAlign w:val="center"/>
            <w:hideMark/>
          </w:tcPr>
          <w:p w14:paraId="58208CC5" w14:textId="77777777" w:rsidR="008D3718" w:rsidRPr="00151381" w:rsidRDefault="008D3718" w:rsidP="001B1B5E">
            <w:pPr>
              <w:pStyle w:val="MDPI42tablebody"/>
              <w:jc w:val="left"/>
              <w:rPr>
                <w:color w:val="auto"/>
              </w:rPr>
            </w:pPr>
            <w:r w:rsidRPr="00151381">
              <w:rPr>
                <w:color w:val="auto"/>
              </w:rPr>
              <w:t>Polygons</w:t>
            </w:r>
          </w:p>
        </w:tc>
        <w:tc>
          <w:tcPr>
            <w:tcW w:w="1469" w:type="dxa"/>
            <w:vAlign w:val="center"/>
            <w:hideMark/>
          </w:tcPr>
          <w:p w14:paraId="73C53D80" w14:textId="77777777" w:rsidR="008D3718" w:rsidRPr="00151381" w:rsidRDefault="008D3718" w:rsidP="001B1B5E">
            <w:pPr>
              <w:pStyle w:val="MDPI42tablebody"/>
              <w:jc w:val="left"/>
              <w:rPr>
                <w:color w:val="auto"/>
              </w:rPr>
            </w:pPr>
            <w:r w:rsidRPr="00151381">
              <w:rPr>
                <w:color w:val="auto"/>
              </w:rPr>
              <w:t>INSTAT-Mali</w:t>
            </w:r>
          </w:p>
        </w:tc>
        <w:tc>
          <w:tcPr>
            <w:tcW w:w="749" w:type="dxa"/>
            <w:noWrap/>
            <w:vAlign w:val="bottom"/>
            <w:hideMark/>
          </w:tcPr>
          <w:p w14:paraId="70D552D4"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2021</w:t>
            </w:r>
          </w:p>
        </w:tc>
        <w:tc>
          <w:tcPr>
            <w:tcW w:w="4809" w:type="dxa"/>
            <w:vAlign w:val="center"/>
            <w:hideMark/>
          </w:tcPr>
          <w:p w14:paraId="42D78E9E" w14:textId="77777777" w:rsidR="008D3718" w:rsidRPr="00151381" w:rsidRDefault="008D3718" w:rsidP="001B1B5E">
            <w:pPr>
              <w:pStyle w:val="MDPI42tablebody"/>
              <w:jc w:val="left"/>
              <w:rPr>
                <w:color w:val="auto"/>
              </w:rPr>
            </w:pPr>
            <w:bookmarkStart w:id="2" w:name="RANGE!E9"/>
            <w:r w:rsidRPr="00151381">
              <w:rPr>
                <w:color w:val="auto"/>
              </w:rPr>
              <w:t>ES zooms in on the building block for delineation</w:t>
            </w:r>
            <w:bookmarkEnd w:id="2"/>
          </w:p>
        </w:tc>
      </w:tr>
      <w:tr w:rsidR="00151381" w:rsidRPr="00151381" w14:paraId="14B4DDFA" w14:textId="77777777" w:rsidTr="008D3718">
        <w:trPr>
          <w:trHeight w:val="135"/>
        </w:trPr>
        <w:tc>
          <w:tcPr>
            <w:tcW w:w="2673" w:type="dxa"/>
            <w:vAlign w:val="center"/>
            <w:hideMark/>
          </w:tcPr>
          <w:p w14:paraId="7667E896" w14:textId="77777777" w:rsidR="008D3718" w:rsidRPr="00151381" w:rsidRDefault="008D3718" w:rsidP="008D3718">
            <w:pPr>
              <w:pStyle w:val="MDPI42tablebody"/>
              <w:jc w:val="left"/>
              <w:rPr>
                <w:color w:val="auto"/>
              </w:rPr>
            </w:pPr>
            <w:r w:rsidRPr="00151381">
              <w:rPr>
                <w:color w:val="auto"/>
              </w:rPr>
              <w:t>Administrative boundaries</w:t>
            </w:r>
          </w:p>
        </w:tc>
        <w:tc>
          <w:tcPr>
            <w:tcW w:w="1197" w:type="dxa"/>
            <w:vAlign w:val="center"/>
            <w:hideMark/>
          </w:tcPr>
          <w:p w14:paraId="0B52AFF7" w14:textId="77777777" w:rsidR="008D3718" w:rsidRPr="00151381" w:rsidRDefault="008D3718" w:rsidP="001B1B5E">
            <w:pPr>
              <w:pStyle w:val="MDPI42tablebody"/>
              <w:jc w:val="left"/>
              <w:rPr>
                <w:color w:val="auto"/>
              </w:rPr>
            </w:pPr>
            <w:r w:rsidRPr="00151381">
              <w:rPr>
                <w:color w:val="auto"/>
              </w:rPr>
              <w:t>Polygons</w:t>
            </w:r>
          </w:p>
        </w:tc>
        <w:tc>
          <w:tcPr>
            <w:tcW w:w="1469" w:type="dxa"/>
            <w:vAlign w:val="center"/>
            <w:hideMark/>
          </w:tcPr>
          <w:p w14:paraId="7E3558BD" w14:textId="77777777" w:rsidR="008D3718" w:rsidRPr="00151381" w:rsidRDefault="008D3718" w:rsidP="001B1B5E">
            <w:pPr>
              <w:pStyle w:val="MDPI42tablebody"/>
              <w:jc w:val="left"/>
              <w:rPr>
                <w:color w:val="auto"/>
              </w:rPr>
            </w:pPr>
            <w:r w:rsidRPr="00151381">
              <w:rPr>
                <w:color w:val="auto"/>
              </w:rPr>
              <w:t>IGM Mali</w:t>
            </w:r>
          </w:p>
        </w:tc>
        <w:tc>
          <w:tcPr>
            <w:tcW w:w="749" w:type="dxa"/>
            <w:noWrap/>
            <w:vAlign w:val="bottom"/>
            <w:hideMark/>
          </w:tcPr>
          <w:p w14:paraId="5F9A4BD6"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2009</w:t>
            </w:r>
          </w:p>
        </w:tc>
        <w:tc>
          <w:tcPr>
            <w:tcW w:w="4809" w:type="dxa"/>
            <w:vAlign w:val="center"/>
            <w:hideMark/>
          </w:tcPr>
          <w:p w14:paraId="3D5C3047" w14:textId="09EBD80B" w:rsidR="008D3718" w:rsidRPr="00151381" w:rsidRDefault="008D3718" w:rsidP="001B1B5E">
            <w:pPr>
              <w:pStyle w:val="MDPI42tablebody"/>
              <w:jc w:val="left"/>
              <w:rPr>
                <w:color w:val="auto"/>
              </w:rPr>
            </w:pPr>
            <w:r w:rsidRPr="00151381">
              <w:rPr>
                <w:color w:val="auto"/>
              </w:rPr>
              <w:t>Administrative division</w:t>
            </w:r>
          </w:p>
        </w:tc>
      </w:tr>
      <w:tr w:rsidR="00151381" w:rsidRPr="00151381" w14:paraId="43CAFCC9" w14:textId="77777777" w:rsidTr="008D3718">
        <w:trPr>
          <w:trHeight w:val="135"/>
        </w:trPr>
        <w:tc>
          <w:tcPr>
            <w:tcW w:w="2673" w:type="dxa"/>
            <w:vAlign w:val="center"/>
          </w:tcPr>
          <w:p w14:paraId="79B46C8D" w14:textId="77777777" w:rsidR="008D3718" w:rsidRPr="00151381" w:rsidRDefault="008D3718" w:rsidP="008D3718">
            <w:pPr>
              <w:pStyle w:val="MDPI42tablebody"/>
              <w:jc w:val="left"/>
              <w:rPr>
                <w:color w:val="auto"/>
              </w:rPr>
            </w:pPr>
            <w:r w:rsidRPr="00151381">
              <w:rPr>
                <w:color w:val="auto"/>
              </w:rPr>
              <w:t>Population data</w:t>
            </w:r>
          </w:p>
        </w:tc>
        <w:tc>
          <w:tcPr>
            <w:tcW w:w="1197" w:type="dxa"/>
            <w:vAlign w:val="center"/>
          </w:tcPr>
          <w:p w14:paraId="19B547EC" w14:textId="77777777" w:rsidR="008D3718" w:rsidRPr="00151381" w:rsidRDefault="008D3718" w:rsidP="001B1B5E">
            <w:pPr>
              <w:pStyle w:val="MDPI42tablebody"/>
              <w:jc w:val="left"/>
              <w:rPr>
                <w:color w:val="auto"/>
              </w:rPr>
            </w:pPr>
            <w:r w:rsidRPr="00151381">
              <w:rPr>
                <w:color w:val="auto"/>
              </w:rPr>
              <w:t>Statistics</w:t>
            </w:r>
          </w:p>
        </w:tc>
        <w:tc>
          <w:tcPr>
            <w:tcW w:w="1469" w:type="dxa"/>
            <w:vAlign w:val="center"/>
          </w:tcPr>
          <w:p w14:paraId="5A94F562" w14:textId="77777777" w:rsidR="008D3718" w:rsidRPr="00151381" w:rsidRDefault="008D3718" w:rsidP="001B1B5E">
            <w:pPr>
              <w:pStyle w:val="MDPI42tablebody"/>
              <w:jc w:val="left"/>
              <w:rPr>
                <w:color w:val="auto"/>
              </w:rPr>
            </w:pPr>
            <w:r w:rsidRPr="00151381">
              <w:rPr>
                <w:color w:val="auto"/>
              </w:rPr>
              <w:t>INSTAT-Mali</w:t>
            </w:r>
          </w:p>
        </w:tc>
        <w:tc>
          <w:tcPr>
            <w:tcW w:w="749" w:type="dxa"/>
            <w:noWrap/>
            <w:vAlign w:val="bottom"/>
          </w:tcPr>
          <w:p w14:paraId="1F96A9D6"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2020</w:t>
            </w:r>
          </w:p>
        </w:tc>
        <w:tc>
          <w:tcPr>
            <w:tcW w:w="4809" w:type="dxa"/>
            <w:vAlign w:val="center"/>
          </w:tcPr>
          <w:p w14:paraId="71FE4C88" w14:textId="58440BAD" w:rsidR="008D3718" w:rsidRPr="00151381" w:rsidRDefault="001B1B5E" w:rsidP="001B1B5E">
            <w:pPr>
              <w:pStyle w:val="MDPI42tablebody"/>
              <w:jc w:val="left"/>
              <w:rPr>
                <w:color w:val="auto"/>
              </w:rPr>
            </w:pPr>
            <w:r w:rsidRPr="00151381">
              <w:rPr>
                <w:color w:val="auto"/>
              </w:rPr>
              <w:t>P</w:t>
            </w:r>
            <w:r w:rsidR="008D3718" w:rsidRPr="00151381">
              <w:rPr>
                <w:color w:val="auto"/>
              </w:rPr>
              <w:t>opulation collected during the surveys</w:t>
            </w:r>
          </w:p>
        </w:tc>
      </w:tr>
      <w:tr w:rsidR="00151381" w:rsidRPr="00151381" w14:paraId="6F25949D" w14:textId="77777777" w:rsidTr="008D3718">
        <w:trPr>
          <w:trHeight w:val="135"/>
        </w:trPr>
        <w:tc>
          <w:tcPr>
            <w:tcW w:w="2673" w:type="dxa"/>
            <w:noWrap/>
            <w:vAlign w:val="bottom"/>
            <w:hideMark/>
          </w:tcPr>
          <w:p w14:paraId="5D507CC4" w14:textId="77777777" w:rsidR="008D3718" w:rsidRPr="00151381" w:rsidRDefault="008D3718" w:rsidP="008D3718">
            <w:pPr>
              <w:pStyle w:val="MDPI42tablebody"/>
              <w:jc w:val="left"/>
              <w:rPr>
                <w:rFonts w:ascii="Calibri" w:hAnsi="Calibri" w:cs="Calibri"/>
                <w:color w:val="auto"/>
                <w:sz w:val="22"/>
                <w:szCs w:val="22"/>
              </w:rPr>
            </w:pPr>
            <w:r w:rsidRPr="00151381">
              <w:rPr>
                <w:rFonts w:ascii="Calibri" w:hAnsi="Calibri" w:cs="Calibri"/>
                <w:color w:val="auto"/>
                <w:sz w:val="22"/>
                <w:szCs w:val="22"/>
              </w:rPr>
              <w:t xml:space="preserve"> Satellite imagery</w:t>
            </w:r>
          </w:p>
        </w:tc>
        <w:tc>
          <w:tcPr>
            <w:tcW w:w="1197" w:type="dxa"/>
            <w:vAlign w:val="center"/>
            <w:hideMark/>
          </w:tcPr>
          <w:p w14:paraId="73CF4B8F" w14:textId="77777777" w:rsidR="008D3718" w:rsidRPr="00151381" w:rsidRDefault="008D3718" w:rsidP="001B1B5E">
            <w:pPr>
              <w:pStyle w:val="MDPI42tablebody"/>
              <w:jc w:val="left"/>
              <w:rPr>
                <w:color w:val="auto"/>
              </w:rPr>
            </w:pPr>
            <w:r w:rsidRPr="00151381">
              <w:rPr>
                <w:color w:val="auto"/>
              </w:rPr>
              <w:t>Raster</w:t>
            </w:r>
          </w:p>
        </w:tc>
        <w:tc>
          <w:tcPr>
            <w:tcW w:w="1469" w:type="dxa"/>
            <w:noWrap/>
            <w:vAlign w:val="bottom"/>
            <w:hideMark/>
          </w:tcPr>
          <w:p w14:paraId="72929D6A" w14:textId="77777777" w:rsidR="008D3718" w:rsidRPr="00151381" w:rsidRDefault="008D3718" w:rsidP="001B1B5E">
            <w:pPr>
              <w:pStyle w:val="MDPI42tablebody"/>
              <w:jc w:val="left"/>
              <w:rPr>
                <w:rFonts w:ascii="Calibri" w:hAnsi="Calibri" w:cs="Calibri"/>
                <w:color w:val="auto"/>
                <w:sz w:val="22"/>
                <w:szCs w:val="22"/>
              </w:rPr>
            </w:pPr>
            <w:r w:rsidRPr="00151381">
              <w:rPr>
                <w:rFonts w:ascii="Calibri" w:hAnsi="Calibri" w:cs="Calibri"/>
                <w:color w:val="auto"/>
                <w:sz w:val="22"/>
                <w:szCs w:val="22"/>
              </w:rPr>
              <w:t>Google</w:t>
            </w:r>
          </w:p>
        </w:tc>
        <w:tc>
          <w:tcPr>
            <w:tcW w:w="749" w:type="dxa"/>
            <w:noWrap/>
            <w:vAlign w:val="bottom"/>
            <w:hideMark/>
          </w:tcPr>
          <w:p w14:paraId="7DADDE12"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 </w:t>
            </w:r>
          </w:p>
        </w:tc>
        <w:tc>
          <w:tcPr>
            <w:tcW w:w="4809" w:type="dxa"/>
            <w:vAlign w:val="center"/>
            <w:hideMark/>
          </w:tcPr>
          <w:p w14:paraId="122D4E68" w14:textId="77777777" w:rsidR="008D3718" w:rsidRPr="00151381" w:rsidRDefault="008D3718" w:rsidP="001B1B5E">
            <w:pPr>
              <w:pStyle w:val="MDPI42tablebody"/>
              <w:jc w:val="left"/>
              <w:rPr>
                <w:color w:val="auto"/>
              </w:rPr>
            </w:pPr>
            <w:r w:rsidRPr="00151381">
              <w:rPr>
                <w:color w:val="auto"/>
              </w:rPr>
              <w:t> </w:t>
            </w:r>
          </w:p>
        </w:tc>
      </w:tr>
      <w:tr w:rsidR="00151381" w:rsidRPr="00151381" w14:paraId="27AF7FA1" w14:textId="77777777" w:rsidTr="008D3718">
        <w:trPr>
          <w:trHeight w:val="135"/>
        </w:trPr>
        <w:tc>
          <w:tcPr>
            <w:tcW w:w="2673" w:type="dxa"/>
            <w:noWrap/>
            <w:vAlign w:val="bottom"/>
          </w:tcPr>
          <w:p w14:paraId="0FC34B04" w14:textId="77777777" w:rsidR="008D3718" w:rsidRPr="00151381" w:rsidRDefault="008D3718" w:rsidP="008D3718">
            <w:pPr>
              <w:pStyle w:val="MDPI42tablebody"/>
              <w:jc w:val="left"/>
              <w:rPr>
                <w:rFonts w:ascii="Calibri" w:hAnsi="Calibri" w:cs="Calibri"/>
                <w:color w:val="auto"/>
                <w:sz w:val="22"/>
                <w:szCs w:val="22"/>
              </w:rPr>
            </w:pPr>
            <w:r w:rsidRPr="00151381">
              <w:rPr>
                <w:rFonts w:ascii="Calibri" w:hAnsi="Calibri" w:cs="Calibri"/>
                <w:color w:val="auto"/>
                <w:sz w:val="22"/>
                <w:szCs w:val="22"/>
              </w:rPr>
              <w:t xml:space="preserve">Survey data </w:t>
            </w:r>
          </w:p>
        </w:tc>
        <w:tc>
          <w:tcPr>
            <w:tcW w:w="1197" w:type="dxa"/>
            <w:vAlign w:val="center"/>
          </w:tcPr>
          <w:p w14:paraId="52219538" w14:textId="77777777" w:rsidR="008D3718" w:rsidRPr="00151381" w:rsidRDefault="008D3718" w:rsidP="001B1B5E">
            <w:pPr>
              <w:pStyle w:val="MDPI42tablebody"/>
              <w:jc w:val="left"/>
              <w:rPr>
                <w:color w:val="auto"/>
              </w:rPr>
            </w:pPr>
            <w:r w:rsidRPr="00151381">
              <w:rPr>
                <w:color w:val="auto"/>
              </w:rPr>
              <w:t>Statistics</w:t>
            </w:r>
          </w:p>
        </w:tc>
        <w:tc>
          <w:tcPr>
            <w:tcW w:w="1469" w:type="dxa"/>
            <w:noWrap/>
            <w:vAlign w:val="bottom"/>
          </w:tcPr>
          <w:p w14:paraId="6D666B18" w14:textId="77777777" w:rsidR="008D3718" w:rsidRPr="00151381" w:rsidRDefault="008D3718" w:rsidP="001B1B5E">
            <w:pPr>
              <w:pStyle w:val="MDPI42tablebody"/>
              <w:jc w:val="left"/>
              <w:rPr>
                <w:rFonts w:ascii="Calibri" w:hAnsi="Calibri" w:cs="Calibri"/>
                <w:color w:val="auto"/>
                <w:sz w:val="22"/>
                <w:szCs w:val="22"/>
              </w:rPr>
            </w:pPr>
            <w:r w:rsidRPr="00151381">
              <w:rPr>
                <w:color w:val="auto"/>
              </w:rPr>
              <w:t>INSTAT-Mali</w:t>
            </w:r>
          </w:p>
        </w:tc>
        <w:tc>
          <w:tcPr>
            <w:tcW w:w="749" w:type="dxa"/>
            <w:noWrap/>
            <w:vAlign w:val="bottom"/>
          </w:tcPr>
          <w:p w14:paraId="0D276B30" w14:textId="77777777" w:rsidR="008D3718" w:rsidRPr="00151381" w:rsidRDefault="008D3718" w:rsidP="008D3718">
            <w:pPr>
              <w:pStyle w:val="MDPI42tablebody"/>
              <w:rPr>
                <w:rFonts w:ascii="Calibri" w:hAnsi="Calibri" w:cs="Calibri"/>
                <w:color w:val="auto"/>
                <w:sz w:val="22"/>
                <w:szCs w:val="22"/>
              </w:rPr>
            </w:pPr>
            <w:r w:rsidRPr="00151381">
              <w:rPr>
                <w:rFonts w:ascii="Calibri" w:hAnsi="Calibri" w:cs="Calibri"/>
                <w:color w:val="auto"/>
                <w:sz w:val="22"/>
                <w:szCs w:val="22"/>
              </w:rPr>
              <w:t>2020</w:t>
            </w:r>
          </w:p>
        </w:tc>
        <w:tc>
          <w:tcPr>
            <w:tcW w:w="4809" w:type="dxa"/>
            <w:vAlign w:val="center"/>
          </w:tcPr>
          <w:p w14:paraId="3C47C078" w14:textId="4580C7F0" w:rsidR="008D3718" w:rsidRPr="00151381" w:rsidRDefault="008D3718" w:rsidP="001B1B5E">
            <w:pPr>
              <w:pStyle w:val="MDPI42tablebody"/>
              <w:jc w:val="left"/>
              <w:rPr>
                <w:color w:val="auto"/>
              </w:rPr>
            </w:pPr>
            <w:r w:rsidRPr="00151381">
              <w:rPr>
                <w:color w:val="auto"/>
              </w:rPr>
              <w:t xml:space="preserve">Different statistics </w:t>
            </w:r>
            <w:r w:rsidRPr="00151381">
              <w:rPr>
                <w:rFonts w:ascii="Calibri" w:hAnsi="Calibri" w:cs="Calibri"/>
                <w:color w:val="auto"/>
                <w:sz w:val="22"/>
                <w:szCs w:val="22"/>
              </w:rPr>
              <w:t xml:space="preserve">on households </w:t>
            </w:r>
          </w:p>
        </w:tc>
      </w:tr>
    </w:tbl>
    <w:p w14:paraId="4653831F" w14:textId="77777777" w:rsidR="00590C25" w:rsidRPr="00151381" w:rsidRDefault="00590C25" w:rsidP="008D3718">
      <w:pPr>
        <w:pStyle w:val="MDPI31text"/>
        <w:rPr>
          <w:color w:val="auto"/>
        </w:rPr>
      </w:pPr>
    </w:p>
    <w:p w14:paraId="0A33B0DB" w14:textId="7316A20B" w:rsidR="008D3718" w:rsidRPr="00151381" w:rsidRDefault="00590C25" w:rsidP="008D3718">
      <w:pPr>
        <w:pStyle w:val="MDPI31text"/>
        <w:rPr>
          <w:color w:val="auto"/>
        </w:rPr>
      </w:pPr>
      <w:r w:rsidRPr="00151381">
        <w:rPr>
          <w:color w:val="auto"/>
        </w:rPr>
        <w:t>The data spatial distribution map of Mali shows two areas: regions with building data and regions without. The southern and central parts have extensive building data, indicating more populated areas, especially around the Niger River. The northern region has minimal data, reflecting its sparse population and the challenging Sahara terrain. This division highlights the geographic and demographic contrasts within the country.</w:t>
      </w:r>
    </w:p>
    <w:p w14:paraId="30076509" w14:textId="456DCE80" w:rsidR="00590C25" w:rsidRPr="00151381" w:rsidRDefault="008D5D73" w:rsidP="00590C25">
      <w:pPr>
        <w:pStyle w:val="MDPI52figure"/>
        <w:rPr>
          <w:color w:val="auto"/>
        </w:rPr>
      </w:pPr>
      <w:r w:rsidRPr="00151381">
        <w:rPr>
          <w:color w:val="auto"/>
        </w:rPr>
        <w:t xml:space="preserve">                      </w:t>
      </w:r>
      <w:r w:rsidR="00590C25" w:rsidRPr="00151381">
        <w:rPr>
          <w:rFonts w:eastAsia="Calibri"/>
          <w:noProof/>
          <w:snapToGrid/>
          <w:color w:val="auto"/>
        </w:rPr>
        <w:drawing>
          <wp:inline distT="0" distB="0" distL="0" distR="0" wp14:anchorId="793B2F11" wp14:editId="519DA9DF">
            <wp:extent cx="4248622" cy="3977896"/>
            <wp:effectExtent l="0" t="0" r="0" b="3810"/>
            <wp:docPr id="500616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3770" cy="3982716"/>
                    </a:xfrm>
                    <a:prstGeom prst="rect">
                      <a:avLst/>
                    </a:prstGeom>
                    <a:noFill/>
                    <a:ln>
                      <a:noFill/>
                    </a:ln>
                  </pic:spPr>
                </pic:pic>
              </a:graphicData>
            </a:graphic>
          </wp:inline>
        </w:drawing>
      </w:r>
    </w:p>
    <w:p w14:paraId="494DBA8D" w14:textId="08F5A88C" w:rsidR="008D5D73" w:rsidRPr="00151381" w:rsidRDefault="008D5D73" w:rsidP="008D5D73">
      <w:pPr>
        <w:pStyle w:val="MDPI51figurecaption"/>
        <w:rPr>
          <w:color w:val="auto"/>
        </w:rPr>
      </w:pPr>
      <w:r w:rsidRPr="00151381">
        <w:rPr>
          <w:b/>
          <w:bCs/>
          <w:color w:val="auto"/>
        </w:rPr>
        <w:t>Figure 2.</w:t>
      </w:r>
      <w:r w:rsidRPr="00151381">
        <w:rPr>
          <w:color w:val="auto"/>
        </w:rPr>
        <w:t xml:space="preserve"> Spatial data distribution</w:t>
      </w:r>
    </w:p>
    <w:p w14:paraId="21C6A33B" w14:textId="7654EE30" w:rsidR="00E05C26" w:rsidRPr="00151381" w:rsidRDefault="00E05C26" w:rsidP="00E05C26">
      <w:pPr>
        <w:pStyle w:val="MDPI22heading2"/>
        <w:rPr>
          <w:noProof w:val="0"/>
          <w:color w:val="auto"/>
        </w:rPr>
      </w:pPr>
      <w:r w:rsidRPr="00151381">
        <w:rPr>
          <w:noProof w:val="0"/>
          <w:color w:val="auto"/>
        </w:rPr>
        <w:lastRenderedPageBreak/>
        <w:t>2.4. Data processing</w:t>
      </w:r>
    </w:p>
    <w:p w14:paraId="1F45D5D7" w14:textId="41525298" w:rsidR="00E05C26" w:rsidRPr="00151381" w:rsidRDefault="00E05C26" w:rsidP="00E05C26">
      <w:pPr>
        <w:pStyle w:val="MDPI23heading3"/>
        <w:rPr>
          <w:color w:val="auto"/>
        </w:rPr>
      </w:pPr>
      <w:r w:rsidRPr="00151381">
        <w:rPr>
          <w:color w:val="auto"/>
        </w:rPr>
        <w:t>2.4.1. Data digitalization</w:t>
      </w:r>
    </w:p>
    <w:p w14:paraId="0DF60309" w14:textId="7F1940FD" w:rsidR="00E05C26" w:rsidRPr="00151381" w:rsidRDefault="00D97DA8" w:rsidP="00D97DA8">
      <w:pPr>
        <w:pStyle w:val="MDPI31text"/>
        <w:rPr>
          <w:color w:val="auto"/>
        </w:rPr>
      </w:pPr>
      <w:r w:rsidRPr="00151381">
        <w:rPr>
          <w:color w:val="auto"/>
        </w:rPr>
        <w:t>Previous pre-census mapping in Mali was conducted manually, making it challenging to gather the necessary geographic information. We established a GIS laboratory dedicated to creating a digital database using high-resolution satellite imagery to address these limitations. Technicians in this lab digitized geographic features such as buildings, roads, rivers, and infrastructure. Additionally, OpenStreetMap data were used to validate some datasets, particularly buildings and streets. After creating these data layers, the team divided each commune into smaller units, known as Emprise, based on building density and spatial distribution. In Mali, communes are small administrative units used as strata for the creation of the Enumeration Section (ES). This geographic segmentation was carefully executed to follow specific requirements: the country was divided using road networks, buildings, waterways, rivers, and administrative boundaries. This facilitated a clear delineation of each ES. Finally, a geodatabase was established, providing Mali with a comprehensive digital resource a significant achievement for INSTAT-Mali</w:t>
      </w:r>
      <w:r w:rsidR="00F02293" w:rsidRPr="00151381">
        <w:rPr>
          <w:color w:val="auto"/>
        </w:rPr>
        <w:t>, such as Figure 3</w:t>
      </w:r>
      <w:r w:rsidRPr="00151381">
        <w:rPr>
          <w:color w:val="auto"/>
        </w:rPr>
        <w:t>. Using this geodatabase, the population of Mali was estimated with improved accuracy, supporting precise ES creation.</w:t>
      </w:r>
    </w:p>
    <w:p w14:paraId="2ED430C2" w14:textId="62B2FE58" w:rsidR="00BB08E0" w:rsidRPr="00151381" w:rsidRDefault="008B7E99" w:rsidP="00BB08E0">
      <w:pPr>
        <w:pStyle w:val="MDPI52figure"/>
        <w:rPr>
          <w:color w:val="auto"/>
        </w:rPr>
      </w:pPr>
      <w:r w:rsidRPr="00151381">
        <w:rPr>
          <w:color w:val="auto"/>
        </w:rPr>
        <w:t xml:space="preserve">                          </w:t>
      </w:r>
      <w:r w:rsidR="00EF4F1D">
        <w:rPr>
          <w:noProof/>
        </w:rPr>
        <w:drawing>
          <wp:inline distT="0" distB="0" distL="0" distR="0" wp14:anchorId="775260C1" wp14:editId="78975B6D">
            <wp:extent cx="3893185" cy="3161030"/>
            <wp:effectExtent l="19050" t="19050" r="12065" b="20320"/>
            <wp:docPr id="160712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185" cy="3161030"/>
                    </a:xfrm>
                    <a:prstGeom prst="rect">
                      <a:avLst/>
                    </a:prstGeom>
                    <a:noFill/>
                    <a:ln w="3175">
                      <a:solidFill>
                        <a:schemeClr val="tx1"/>
                      </a:solidFill>
                    </a:ln>
                  </pic:spPr>
                </pic:pic>
              </a:graphicData>
            </a:graphic>
          </wp:inline>
        </w:drawing>
      </w:r>
    </w:p>
    <w:p w14:paraId="27EE0025" w14:textId="2673393A" w:rsidR="00BB08E0" w:rsidRPr="00151381" w:rsidRDefault="008B7E99" w:rsidP="00BB08E0">
      <w:pPr>
        <w:pStyle w:val="MDPI51figurecaption"/>
        <w:rPr>
          <w:color w:val="auto"/>
        </w:rPr>
      </w:pPr>
      <w:r w:rsidRPr="00151381">
        <w:rPr>
          <w:b/>
          <w:bCs/>
          <w:color w:val="auto"/>
        </w:rPr>
        <w:t xml:space="preserve">        </w:t>
      </w:r>
      <w:r w:rsidR="00BB08E0" w:rsidRPr="00151381">
        <w:rPr>
          <w:b/>
          <w:bCs/>
          <w:color w:val="auto"/>
        </w:rPr>
        <w:t>Figure 3.</w:t>
      </w:r>
      <w:r w:rsidR="00BB08E0" w:rsidRPr="00151381">
        <w:rPr>
          <w:color w:val="auto"/>
        </w:rPr>
        <w:t xml:space="preserve"> Pre-Enumeration section creation</w:t>
      </w:r>
      <w:r w:rsidR="006F4F95">
        <w:rPr>
          <w:color w:val="auto"/>
        </w:rPr>
        <w:t xml:space="preserve"> process</w:t>
      </w:r>
    </w:p>
    <w:p w14:paraId="34F0676E" w14:textId="42AC3387" w:rsidR="00BB08E0" w:rsidRPr="00151381" w:rsidRDefault="008B7E99" w:rsidP="008B7E99">
      <w:pPr>
        <w:pStyle w:val="MDPI23heading3"/>
        <w:rPr>
          <w:color w:val="auto"/>
        </w:rPr>
      </w:pPr>
      <w:r w:rsidRPr="00151381">
        <w:rPr>
          <w:color w:val="auto"/>
        </w:rPr>
        <w:t>2.4.2. Spatial Population Estimation</w:t>
      </w:r>
    </w:p>
    <w:p w14:paraId="75C0E83A" w14:textId="77777777" w:rsidR="008B7E99" w:rsidRPr="00151381" w:rsidRDefault="008B7E99" w:rsidP="008B7E99">
      <w:pPr>
        <w:pStyle w:val="MDPI31text"/>
        <w:rPr>
          <w:color w:val="auto"/>
        </w:rPr>
      </w:pPr>
      <w:r w:rsidRPr="00151381">
        <w:rPr>
          <w:color w:val="auto"/>
        </w:rPr>
        <w:t xml:space="preserve">The method used in this study is Grid Population Estimation. It is a spatial analysis technique used to estimate population distribution within a defined geographic area by overlaying a grid of cells (typically square or rectangular) over the area of interest. Each cell in the grid is assigned a population value based on data from various sources, such as census data, satellite imagery, or other demographic databases. The core idea is to produce a spatially explicit representation of population density that accounts for the distribution and intensity of the population across small, manageable units. The algorithm calculates population estimates within predefined spatial zones by integrating raster-based population data with building footprint information, utilizing Python’s geospatial libraries. The process begins by loading the building footprints, population raster, and spatial zone polygons (referred to as "Emprise polygons"). Metadata and boundaries from the population raster are extracted to align the subsequent data processing steps. Each </w:t>
      </w:r>
      <w:r w:rsidRPr="00151381">
        <w:rPr>
          <w:color w:val="auto"/>
        </w:rPr>
        <w:lastRenderedPageBreak/>
        <w:t>building’s population estimate is calculated based on its type and number of stories. Thresholds for population per building type such as residential, multi-story, and commercial define minimum and maximum values. The estimated population P</w:t>
      </w:r>
      <w:r w:rsidRPr="00151381">
        <w:rPr>
          <w:color w:val="auto"/>
          <w:vertAlign w:val="subscript"/>
        </w:rPr>
        <w:t>b</w:t>
      </w:r>
      <w:r w:rsidRPr="00151381">
        <w:rPr>
          <w:color w:val="auto"/>
        </w:rPr>
        <w:t xml:space="preserve"> for each building is computed as follows Equation 1.</w:t>
      </w:r>
    </w:p>
    <w:tbl>
      <w:tblPr>
        <w:tblStyle w:val="TableGrid1"/>
        <w:tblW w:w="9959" w:type="dxa"/>
        <w:tblInd w:w="5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476"/>
        <w:gridCol w:w="3483"/>
      </w:tblGrid>
      <w:tr w:rsidR="00151381" w:rsidRPr="00151381" w14:paraId="5BFB0152" w14:textId="77777777" w:rsidTr="00B0584C">
        <w:trPr>
          <w:trHeight w:val="397"/>
        </w:trPr>
        <w:tc>
          <w:tcPr>
            <w:tcW w:w="6476" w:type="dxa"/>
          </w:tcPr>
          <w:p w14:paraId="0499E44C" w14:textId="77777777" w:rsidR="008B7E99" w:rsidRPr="00151381" w:rsidRDefault="008B7E99" w:rsidP="008B7E99">
            <w:pPr>
              <w:pStyle w:val="MDPI31text"/>
              <w:rPr>
                <w:color w:val="auto"/>
                <w:sz w:val="20"/>
              </w:rPr>
            </w:pPr>
            <w:r w:rsidRPr="00151381">
              <w:rPr>
                <w:color w:val="auto"/>
                <w:sz w:val="20"/>
              </w:rPr>
              <w:object w:dxaOrig="3220" w:dyaOrig="720" w14:anchorId="67181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15pt;height:36pt" o:ole="">
                  <v:imagedata r:id="rId11" o:title=""/>
                </v:shape>
                <o:OLEObject Type="Embed" ProgID="Equation.DSMT4" ShapeID="_x0000_i1025" DrawAspect="Content" ObjectID="_1821520717" r:id="rId12"/>
              </w:object>
            </w:r>
          </w:p>
        </w:tc>
        <w:tc>
          <w:tcPr>
            <w:tcW w:w="3483" w:type="dxa"/>
            <w:vAlign w:val="center"/>
          </w:tcPr>
          <w:p w14:paraId="1ED7E864" w14:textId="77777777" w:rsidR="008B7E99" w:rsidRPr="00151381" w:rsidRDefault="008B7E99" w:rsidP="008B7E99">
            <w:pPr>
              <w:pStyle w:val="MDPI31text"/>
              <w:rPr>
                <w:color w:val="auto"/>
                <w:sz w:val="20"/>
              </w:rPr>
            </w:pPr>
            <w:r w:rsidRPr="00151381">
              <w:rPr>
                <w:color w:val="auto"/>
                <w:sz w:val="20"/>
              </w:rPr>
              <w:t>(1)</w:t>
            </w:r>
          </w:p>
        </w:tc>
      </w:tr>
    </w:tbl>
    <w:p w14:paraId="476E7B15" w14:textId="688199B2" w:rsidR="008B7E99" w:rsidRPr="00151381" w:rsidRDefault="008B7E99" w:rsidP="00542C30">
      <w:pPr>
        <w:pStyle w:val="MDPI31text"/>
        <w:ind w:firstLine="0"/>
        <w:rPr>
          <w:color w:val="auto"/>
        </w:rPr>
      </w:pPr>
      <w:r w:rsidRPr="00151381">
        <w:rPr>
          <w:color w:val="auto"/>
        </w:rPr>
        <w:t xml:space="preserve">where </w:t>
      </w:r>
      <w:r w:rsidR="00C0439C" w:rsidRPr="00151381">
        <w:rPr>
          <w:color w:val="auto"/>
          <w:position w:val="-12"/>
        </w:rPr>
        <w:object w:dxaOrig="400" w:dyaOrig="360" w14:anchorId="23193EE8">
          <v:shape id="_x0000_i1026" type="#_x0000_t75" style="width:20pt;height:18.3pt" o:ole="">
            <v:imagedata r:id="rId13" o:title=""/>
          </v:shape>
          <o:OLEObject Type="Embed" ProgID="Equation.DSMT4" ShapeID="_x0000_i1026" DrawAspect="Content" ObjectID="_1821520718" r:id="rId14"/>
        </w:object>
      </w:r>
      <w:r w:rsidRPr="00151381">
        <w:rPr>
          <w:color w:val="auto"/>
        </w:rPr>
        <w:t xml:space="preserve"> and </w:t>
      </w:r>
      <w:r w:rsidR="009963C6" w:rsidRPr="00151381">
        <w:rPr>
          <w:color w:val="auto"/>
          <w:position w:val="-12"/>
        </w:rPr>
        <w:object w:dxaOrig="420" w:dyaOrig="360" w14:anchorId="1A8F0939">
          <v:shape id="_x0000_i1027" type="#_x0000_t75" style="width:21.15pt;height:18.3pt" o:ole="">
            <v:imagedata r:id="rId15" o:title=""/>
          </v:shape>
          <o:OLEObject Type="Embed" ProgID="Equation.DSMT4" ShapeID="_x0000_i1027" DrawAspect="Content" ObjectID="_1821520719" r:id="rId16"/>
        </w:object>
      </w:r>
      <w:r w:rsidRPr="00151381">
        <w:rPr>
          <w:color w:val="auto"/>
        </w:rPr>
        <w:t xml:space="preserve">represent the minimum and maximum population thresholds for the building type, and </w:t>
      </w:r>
      <w:r w:rsidR="009963C6" w:rsidRPr="00151381">
        <w:rPr>
          <w:color w:val="auto"/>
          <w:position w:val="-6"/>
        </w:rPr>
        <w:object w:dxaOrig="720" w:dyaOrig="260" w14:anchorId="7C61995C">
          <v:shape id="_x0000_i1028" type="#_x0000_t75" style="width:36pt;height:12.55pt" o:ole="">
            <v:imagedata r:id="rId17" o:title=""/>
          </v:shape>
          <o:OLEObject Type="Embed" ProgID="Equation.DSMT4" ShapeID="_x0000_i1028" DrawAspect="Content" ObjectID="_1821520720" r:id="rId18"/>
        </w:object>
      </w:r>
      <w:r w:rsidRPr="00151381">
        <w:rPr>
          <w:color w:val="auto"/>
        </w:rPr>
        <w:t xml:space="preserve"> represents the number of stories.</w:t>
      </w:r>
    </w:p>
    <w:p w14:paraId="7474BBBA" w14:textId="4CA8D9BE" w:rsidR="008B7E99" w:rsidRPr="00151381" w:rsidRDefault="008B7E99" w:rsidP="008B7E99">
      <w:pPr>
        <w:pStyle w:val="MDPI31text"/>
        <w:rPr>
          <w:color w:val="auto"/>
        </w:rPr>
      </w:pPr>
      <w:r w:rsidRPr="00151381">
        <w:rPr>
          <w:color w:val="auto"/>
        </w:rPr>
        <w:t xml:space="preserve">The number </w:t>
      </w:r>
      <w:r w:rsidR="009963C6" w:rsidRPr="00151381">
        <w:rPr>
          <w:color w:val="auto"/>
          <w:position w:val="-10"/>
        </w:rPr>
        <w:object w:dxaOrig="380" w:dyaOrig="320" w14:anchorId="47454D77">
          <v:shape id="_x0000_i1029" type="#_x0000_t75" style="width:18.85pt;height:16pt" o:ole="">
            <v:imagedata r:id="rId19" o:title=""/>
          </v:shape>
          <o:OLEObject Type="Embed" ProgID="Equation.DSMT4" ShapeID="_x0000_i1029" DrawAspect="Content" ObjectID="_1821520721" r:id="rId20"/>
        </w:object>
      </w:r>
      <w:r w:rsidRPr="00151381">
        <w:rPr>
          <w:color w:val="auto"/>
        </w:rPr>
        <w:t xml:space="preserve"> represents a normalization factor for the number of stories. It serves as a way to scale the influence of a building's height (or number of stories) on the population estimate within the given thresholds. Essentially, dividing by </w:t>
      </w:r>
      <w:r w:rsidR="009963C6" w:rsidRPr="00151381">
        <w:rPr>
          <w:color w:val="auto"/>
          <w:position w:val="-10"/>
        </w:rPr>
        <w:object w:dxaOrig="380" w:dyaOrig="320" w14:anchorId="79B059C4">
          <v:shape id="_x0000_i1030" type="#_x0000_t75" style="width:18.85pt;height:16pt" o:ole="">
            <v:imagedata r:id="rId19" o:title=""/>
          </v:shape>
          <o:OLEObject Type="Embed" ProgID="Equation.DSMT4" ShapeID="_x0000_i1030" DrawAspect="Content" ObjectID="_1821520722" r:id="rId21"/>
        </w:object>
      </w:r>
      <w:r w:rsidRPr="00151381">
        <w:rPr>
          <w:color w:val="auto"/>
        </w:rPr>
        <w:t xml:space="preserve"> moderates the effect of the number of stories, ensuring that population estimates remain within realistic bounds for typical building heights and densities. According to the demographic data </w:t>
      </w:r>
      <w:r w:rsidR="009963C6" w:rsidRPr="00151381">
        <w:rPr>
          <w:color w:val="auto"/>
          <w:position w:val="-10"/>
        </w:rPr>
        <w:object w:dxaOrig="380" w:dyaOrig="320" w14:anchorId="0B39EE7A">
          <v:shape id="_x0000_i1031" type="#_x0000_t75" style="width:18.85pt;height:16pt" o:ole="">
            <v:imagedata r:id="rId19" o:title=""/>
          </v:shape>
          <o:OLEObject Type="Embed" ProgID="Equation.DSMT4" ShapeID="_x0000_i1031" DrawAspect="Content" ObjectID="_1821520723" r:id="rId22"/>
        </w:object>
      </w:r>
      <w:r w:rsidRPr="00151381">
        <w:rPr>
          <w:color w:val="auto"/>
        </w:rPr>
        <w:t xml:space="preserve"> are different for types of areas. It is 10 for urban and 10.2 for rural zone.</w:t>
      </w:r>
    </w:p>
    <w:p w14:paraId="3D52CC60" w14:textId="4CE59B41" w:rsidR="008B7E99" w:rsidRPr="00151381" w:rsidRDefault="008B7E99" w:rsidP="008B7E99">
      <w:pPr>
        <w:pStyle w:val="MDPI31text"/>
        <w:rPr>
          <w:color w:val="auto"/>
        </w:rPr>
      </w:pPr>
      <w:r w:rsidRPr="00151381">
        <w:rPr>
          <w:color w:val="auto"/>
        </w:rPr>
        <w:t xml:space="preserve">For each Emprise polygon, population values within its boundaries are extracted from the population raster through zonal statistics, which aggregates raster cell values to provide a sum </w:t>
      </w:r>
      <w:proofErr w:type="spellStart"/>
      <w:r w:rsidRPr="00151381">
        <w:rPr>
          <w:color w:val="auto"/>
        </w:rPr>
        <w:t>P</w:t>
      </w:r>
      <w:r w:rsidRPr="00151381">
        <w:rPr>
          <w:color w:val="auto"/>
          <w:vertAlign w:val="subscript"/>
        </w:rPr>
        <w:t>raster</w:t>
      </w:r>
      <w:proofErr w:type="spellEnd"/>
      <w:r w:rsidRPr="00151381">
        <w:rPr>
          <w:color w:val="auto"/>
        </w:rPr>
        <w:t xml:space="preserve">. This raster-based population estimate is then combined with building-derived estimates using a spatial join. The total population </w:t>
      </w:r>
      <w:proofErr w:type="spellStart"/>
      <w:r w:rsidRPr="00151381">
        <w:rPr>
          <w:color w:val="auto"/>
        </w:rPr>
        <w:t>P</w:t>
      </w:r>
      <w:r w:rsidRPr="00151381">
        <w:rPr>
          <w:color w:val="auto"/>
          <w:vertAlign w:val="subscript"/>
        </w:rPr>
        <w:t>total</w:t>
      </w:r>
      <w:proofErr w:type="spellEnd"/>
      <w:r w:rsidRPr="00151381">
        <w:rPr>
          <w:color w:val="auto"/>
        </w:rPr>
        <w:t xml:space="preserve"> for each polygon is calculated as Equation 2.</w:t>
      </w:r>
    </w:p>
    <w:tbl>
      <w:tblPr>
        <w:tblStyle w:val="TableGrid1"/>
        <w:tblW w:w="8472" w:type="dxa"/>
        <w:tblInd w:w="199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89"/>
        <w:gridCol w:w="3483"/>
      </w:tblGrid>
      <w:tr w:rsidR="00151381" w:rsidRPr="00151381" w14:paraId="744458DE" w14:textId="77777777" w:rsidTr="00B0584C">
        <w:trPr>
          <w:trHeight w:val="250"/>
        </w:trPr>
        <w:tc>
          <w:tcPr>
            <w:tcW w:w="4989" w:type="dxa"/>
          </w:tcPr>
          <w:p w14:paraId="2C7757D1" w14:textId="77777777" w:rsidR="008B7E99" w:rsidRPr="00151381" w:rsidRDefault="008B7E99" w:rsidP="008B7E99">
            <w:pPr>
              <w:pStyle w:val="MDPI31text"/>
              <w:rPr>
                <w:color w:val="auto"/>
                <w:sz w:val="20"/>
              </w:rPr>
            </w:pPr>
            <w:r w:rsidRPr="00151381">
              <w:rPr>
                <w:color w:val="auto"/>
                <w:sz w:val="20"/>
              </w:rPr>
              <w:object w:dxaOrig="1740" w:dyaOrig="360" w14:anchorId="539E2A12">
                <v:shape id="_x0000_i1032" type="#_x0000_t75" style="width:86.85pt;height:18.3pt" o:ole="">
                  <v:imagedata r:id="rId23" o:title=""/>
                </v:shape>
                <o:OLEObject Type="Embed" ProgID="Equation.DSMT4" ShapeID="_x0000_i1032" DrawAspect="Content" ObjectID="_1821520724" r:id="rId24"/>
              </w:object>
            </w:r>
          </w:p>
        </w:tc>
        <w:tc>
          <w:tcPr>
            <w:tcW w:w="3483" w:type="dxa"/>
            <w:vAlign w:val="center"/>
          </w:tcPr>
          <w:p w14:paraId="7970B7B3" w14:textId="77777777" w:rsidR="008B7E99" w:rsidRPr="00151381" w:rsidRDefault="008B7E99" w:rsidP="00B0584C">
            <w:pPr>
              <w:pStyle w:val="MDPI31text"/>
              <w:jc w:val="right"/>
              <w:rPr>
                <w:color w:val="auto"/>
                <w:sz w:val="20"/>
              </w:rPr>
            </w:pPr>
            <w:r w:rsidRPr="00151381">
              <w:rPr>
                <w:color w:val="auto"/>
                <w:sz w:val="20"/>
              </w:rPr>
              <w:t>(2)</w:t>
            </w:r>
          </w:p>
        </w:tc>
      </w:tr>
    </w:tbl>
    <w:p w14:paraId="7D122CD0" w14:textId="77777777" w:rsidR="008B7E99" w:rsidRPr="00151381" w:rsidRDefault="008B7E99" w:rsidP="008B7E99">
      <w:pPr>
        <w:pStyle w:val="MDPI31text"/>
        <w:ind w:firstLine="0"/>
        <w:rPr>
          <w:color w:val="auto"/>
        </w:rPr>
      </w:pPr>
      <w:r w:rsidRPr="00151381">
        <w:rPr>
          <w:color w:val="auto"/>
        </w:rPr>
        <w:t>where ∑P</w:t>
      </w:r>
      <w:r w:rsidRPr="00151381">
        <w:rPr>
          <w:color w:val="auto"/>
          <w:vertAlign w:val="subscript"/>
        </w:rPr>
        <w:t>b</w:t>
      </w:r>
      <w:r w:rsidRPr="00151381">
        <w:rPr>
          <w:color w:val="auto"/>
        </w:rPr>
        <w:t xml:space="preserve"> represents the sum of estimated populations from building footprints within the polygon.</w:t>
      </w:r>
    </w:p>
    <w:p w14:paraId="60515B6D" w14:textId="3D4E249E" w:rsidR="008B7E99" w:rsidRPr="00151381" w:rsidRDefault="008B7E99" w:rsidP="008B7E99">
      <w:pPr>
        <w:pStyle w:val="MDPI31text"/>
        <w:rPr>
          <w:color w:val="auto"/>
        </w:rPr>
      </w:pPr>
      <w:r w:rsidRPr="00151381">
        <w:rPr>
          <w:color w:val="auto"/>
        </w:rPr>
        <w:t>Finally, the combined population data for each polygon are rasterized to produce a grid, with each cell representing the estimated population within each spatial zone. This rasterized output aligns with the original raster’s specifications, ensuring compatibility with GIS software for further analysis or visualization, such as Figure 4. This structured approach supports applications in census planning, urban management, and resource allocation by providing accessible, grid-based population estimates within defined spatial boundaries.</w:t>
      </w:r>
    </w:p>
    <w:p w14:paraId="339CD2CE" w14:textId="2034E8B0" w:rsidR="008B7E99" w:rsidRPr="00151381" w:rsidRDefault="006B6B44" w:rsidP="008B7E99">
      <w:pPr>
        <w:pStyle w:val="MDPI52figure"/>
        <w:rPr>
          <w:color w:val="auto"/>
        </w:rPr>
      </w:pPr>
      <w:r w:rsidRPr="00151381">
        <w:rPr>
          <w:color w:val="auto"/>
        </w:rPr>
        <w:t xml:space="preserve">                             </w:t>
      </w:r>
      <w:r w:rsidRPr="00151381">
        <w:rPr>
          <w:noProof/>
          <w:color w:val="auto"/>
        </w:rPr>
        <w:drawing>
          <wp:inline distT="0" distB="0" distL="0" distR="0" wp14:anchorId="4874D6B5" wp14:editId="3620C04E">
            <wp:extent cx="4722950" cy="3337840"/>
            <wp:effectExtent l="0" t="0" r="1905" b="0"/>
            <wp:docPr id="16696040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7013" cy="3340712"/>
                    </a:xfrm>
                    <a:prstGeom prst="rect">
                      <a:avLst/>
                    </a:prstGeom>
                    <a:noFill/>
                    <a:ln>
                      <a:noFill/>
                    </a:ln>
                  </pic:spPr>
                </pic:pic>
              </a:graphicData>
            </a:graphic>
          </wp:inline>
        </w:drawing>
      </w:r>
      <w:r w:rsidR="008B7E99" w:rsidRPr="00151381">
        <w:rPr>
          <w:color w:val="auto"/>
        </w:rPr>
        <w:t xml:space="preserve">                           </w:t>
      </w:r>
    </w:p>
    <w:p w14:paraId="7E94CAEB" w14:textId="0FAF5BA6" w:rsidR="008B7E99" w:rsidRPr="00151381" w:rsidRDefault="008B7E99" w:rsidP="008B7E99">
      <w:pPr>
        <w:pStyle w:val="MDPI51figurecaption"/>
        <w:rPr>
          <w:color w:val="auto"/>
        </w:rPr>
      </w:pPr>
      <w:r w:rsidRPr="00151381">
        <w:rPr>
          <w:color w:val="auto"/>
        </w:rPr>
        <w:t>Figure</w:t>
      </w:r>
      <w:r w:rsidR="000F7697" w:rsidRPr="00151381">
        <w:rPr>
          <w:color w:val="auto"/>
        </w:rPr>
        <w:t xml:space="preserve"> 4</w:t>
      </w:r>
      <w:r w:rsidRPr="00151381">
        <w:rPr>
          <w:color w:val="auto"/>
        </w:rPr>
        <w:t xml:space="preserve">.  Population estimation using </w:t>
      </w:r>
      <w:r w:rsidR="00E9038E">
        <w:rPr>
          <w:color w:val="auto"/>
        </w:rPr>
        <w:t>the </w:t>
      </w:r>
      <w:r w:rsidRPr="00151381">
        <w:rPr>
          <w:color w:val="auto"/>
        </w:rPr>
        <w:t>Grid method</w:t>
      </w:r>
    </w:p>
    <w:p w14:paraId="62B3C002" w14:textId="77777777" w:rsidR="008B7E99" w:rsidRPr="008B7E99" w:rsidRDefault="008B7E99" w:rsidP="008B7E99">
      <w:pPr>
        <w:pStyle w:val="MDPI31text"/>
        <w:rPr>
          <w:color w:val="auto"/>
        </w:rPr>
      </w:pPr>
      <w:r w:rsidRPr="008B7E99">
        <w:rPr>
          <w:color w:val="auto"/>
        </w:rPr>
        <w:lastRenderedPageBreak/>
        <w:t>In practice, grid population estimation allows demographers, urban planners, and researchers to better understand population patterns within specific areas and to analyze population density and distribution in regions with diverse geographical and demographic characteristics. This method is particularly effective in low- and middle-income countries (LMICs) or areas with rapidly changing populations, where traditional census data alone may be insufficient.</w:t>
      </w:r>
    </w:p>
    <w:p w14:paraId="24D9FF38" w14:textId="1CFA8105" w:rsidR="008B7E99" w:rsidRPr="008B7E99" w:rsidRDefault="008B7E99" w:rsidP="008B7E99">
      <w:pPr>
        <w:pStyle w:val="MDPI23heading3"/>
        <w:rPr>
          <w:color w:val="auto"/>
        </w:rPr>
      </w:pPr>
      <w:r w:rsidRPr="00151381">
        <w:rPr>
          <w:color w:val="auto"/>
        </w:rPr>
        <w:t xml:space="preserve">2.4.3. </w:t>
      </w:r>
      <w:r w:rsidRPr="008B7E99">
        <w:rPr>
          <w:color w:val="auto"/>
        </w:rPr>
        <w:t>Raster Population Aggregation Algorithm</w:t>
      </w:r>
    </w:p>
    <w:p w14:paraId="5A20CFCC" w14:textId="77777777" w:rsidR="008B7E99" w:rsidRPr="008B7E99" w:rsidRDefault="008B7E99" w:rsidP="008B7E99">
      <w:pPr>
        <w:pStyle w:val="MDPI31text"/>
        <w:rPr>
          <w:color w:val="auto"/>
        </w:rPr>
      </w:pPr>
      <w:r w:rsidRPr="008B7E99">
        <w:rPr>
          <w:color w:val="auto"/>
        </w:rPr>
        <w:t>The Raster Population Aggregation Algorithm (RPAA) is a specialized method designed to estimate and classify population distributions within predefined spatial zones using raster data. This algorithm leverages Geographic Information Systems (GIS) capabilities for zonal statistical analysis, combining geospatial data processing with conditional classification to support census and demographic research.</w:t>
      </w:r>
    </w:p>
    <w:p w14:paraId="37D0B7C0" w14:textId="77777777" w:rsidR="008B7E99" w:rsidRPr="008B7E99" w:rsidRDefault="008B7E99" w:rsidP="008B7E99">
      <w:pPr>
        <w:pStyle w:val="MDPI31text"/>
        <w:rPr>
          <w:color w:val="auto"/>
        </w:rPr>
      </w:pPr>
      <w:r w:rsidRPr="008B7E99">
        <w:rPr>
          <w:color w:val="auto"/>
        </w:rPr>
        <w:t>The RPAA begins by loading two primary datasets: (</w:t>
      </w:r>
      <w:proofErr w:type="spellStart"/>
      <w:r w:rsidRPr="008B7E99">
        <w:rPr>
          <w:color w:val="auto"/>
        </w:rPr>
        <w:t>i</w:t>
      </w:r>
      <w:proofErr w:type="spellEnd"/>
      <w:r w:rsidRPr="008B7E99">
        <w:rPr>
          <w:color w:val="auto"/>
        </w:rPr>
        <w:t>) a vector layer of polygons (referred to here as "Emprise" polygons), representing spatial zones with specific attributes like area type (e.g., rural or urban), and (ii) a population raster containing grid-based population estimates, with each cell representing a population count.</w:t>
      </w:r>
    </w:p>
    <w:p w14:paraId="5D261724" w14:textId="71304677" w:rsidR="008B7E99" w:rsidRPr="008B7E99" w:rsidRDefault="008B7E99" w:rsidP="008B7E99">
      <w:pPr>
        <w:pStyle w:val="MDPI31text"/>
        <w:rPr>
          <w:color w:val="auto"/>
        </w:rPr>
      </w:pPr>
      <w:r w:rsidRPr="008B7E99">
        <w:rPr>
          <w:color w:val="auto"/>
        </w:rPr>
        <w:t xml:space="preserve">Using the </w:t>
      </w:r>
      <w:r w:rsidR="00993FBD" w:rsidRPr="00151381">
        <w:rPr>
          <w:color w:val="auto"/>
          <w:position w:val="-10"/>
        </w:rPr>
        <w:object w:dxaOrig="1300" w:dyaOrig="320" w14:anchorId="4985A671">
          <v:shape id="_x0000_i1033" type="#_x0000_t75" style="width:65.15pt;height:16pt" o:ole="">
            <v:imagedata r:id="rId26" o:title=""/>
          </v:shape>
          <o:OLEObject Type="Embed" ProgID="Equation.DSMT4" ShapeID="_x0000_i1033" DrawAspect="Content" ObjectID="_1821520725" r:id="rId27"/>
        </w:object>
      </w:r>
      <w:r w:rsidRPr="008B7E99">
        <w:rPr>
          <w:color w:val="auto"/>
        </w:rPr>
        <w:t xml:space="preserve"> function from the </w:t>
      </w:r>
      <w:r w:rsidR="00993FBD" w:rsidRPr="00151381">
        <w:rPr>
          <w:color w:val="auto"/>
          <w:position w:val="-6"/>
        </w:rPr>
        <w:object w:dxaOrig="1100" w:dyaOrig="240" w14:anchorId="274F1026">
          <v:shape id="_x0000_i1034" type="#_x0000_t75" style="width:54.85pt;height:12pt" o:ole="">
            <v:imagedata r:id="rId28" o:title=""/>
          </v:shape>
          <o:OLEObject Type="Embed" ProgID="Equation.DSMT4" ShapeID="_x0000_i1034" DrawAspect="Content" ObjectID="_1821520726" r:id="rId29"/>
        </w:object>
      </w:r>
      <w:r w:rsidRPr="008B7E99">
        <w:rPr>
          <w:color w:val="auto"/>
        </w:rPr>
        <w:t xml:space="preserve"> library, population values within each polygon's boundary are aggregated to compute a total population per polygon. For each polygon </w:t>
      </w:r>
      <w:r w:rsidR="00993FBD" w:rsidRPr="00151381">
        <w:rPr>
          <w:color w:val="auto"/>
          <w:position w:val="-4"/>
        </w:rPr>
        <w:object w:dxaOrig="240" w:dyaOrig="260" w14:anchorId="1F2B4624">
          <v:shape id="_x0000_i1035" type="#_x0000_t75" style="width:12pt;height:13.7pt" o:ole="">
            <v:imagedata r:id="rId30" o:title=""/>
          </v:shape>
          <o:OLEObject Type="Embed" ProgID="Equation.DSMT4" ShapeID="_x0000_i1035" DrawAspect="Content" ObjectID="_1821520727" r:id="rId31"/>
        </w:object>
      </w:r>
      <w:r w:rsidRPr="008B7E99">
        <w:rPr>
          <w:color w:val="auto"/>
        </w:rPr>
        <w:t xml:space="preserve">, the total population </w:t>
      </w:r>
      <w:r w:rsidR="00993FBD" w:rsidRPr="00151381">
        <w:rPr>
          <w:color w:val="auto"/>
          <w:position w:val="-14"/>
        </w:rPr>
        <w:object w:dxaOrig="800" w:dyaOrig="380" w14:anchorId="5A2E9FBA">
          <v:shape id="_x0000_i1036" type="#_x0000_t75" style="width:40pt;height:18.85pt" o:ole="">
            <v:imagedata r:id="rId32" o:title=""/>
          </v:shape>
          <o:OLEObject Type="Embed" ProgID="Equation.DSMT4" ShapeID="_x0000_i1036" DrawAspect="Content" ObjectID="_1821520728" r:id="rId33"/>
        </w:object>
      </w:r>
      <w:r w:rsidRPr="008B7E99">
        <w:rPr>
          <w:color w:val="auto"/>
        </w:rPr>
        <w:t xml:space="preserve"> is calculated as Equation.</w:t>
      </w:r>
    </w:p>
    <w:tbl>
      <w:tblPr>
        <w:tblStyle w:val="TableGrid2"/>
        <w:tblW w:w="9975" w:type="dxa"/>
        <w:tblInd w:w="5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15"/>
        <w:gridCol w:w="4060"/>
      </w:tblGrid>
      <w:tr w:rsidR="00151381" w:rsidRPr="008B7E99" w14:paraId="53704F39" w14:textId="77777777" w:rsidTr="00B0584C">
        <w:trPr>
          <w:trHeight w:val="505"/>
        </w:trPr>
        <w:tc>
          <w:tcPr>
            <w:tcW w:w="5915" w:type="dxa"/>
          </w:tcPr>
          <w:p w14:paraId="1952AA7B" w14:textId="77777777" w:rsidR="008B7E99" w:rsidRPr="008B7E99" w:rsidRDefault="008B7E99" w:rsidP="008B7E99">
            <w:pPr>
              <w:pStyle w:val="MDPI31text"/>
              <w:rPr>
                <w:color w:val="auto"/>
                <w:sz w:val="20"/>
              </w:rPr>
            </w:pPr>
            <w:r w:rsidRPr="008B7E99">
              <w:rPr>
                <w:color w:val="auto"/>
                <w:sz w:val="20"/>
              </w:rPr>
              <w:object w:dxaOrig="2460" w:dyaOrig="680" w14:anchorId="49B29BCE">
                <v:shape id="_x0000_i1037" type="#_x0000_t75" style="width:122.85pt;height:33.7pt" o:ole="">
                  <v:imagedata r:id="rId34" o:title=""/>
                </v:shape>
                <o:OLEObject Type="Embed" ProgID="Equation.DSMT4" ShapeID="_x0000_i1037" DrawAspect="Content" ObjectID="_1821520729" r:id="rId35"/>
              </w:object>
            </w:r>
          </w:p>
        </w:tc>
        <w:tc>
          <w:tcPr>
            <w:tcW w:w="4060" w:type="dxa"/>
            <w:vAlign w:val="center"/>
          </w:tcPr>
          <w:p w14:paraId="1362E177" w14:textId="77777777" w:rsidR="008B7E99" w:rsidRPr="008B7E99" w:rsidRDefault="008B7E99" w:rsidP="00B0584C">
            <w:pPr>
              <w:pStyle w:val="MDPI31text"/>
              <w:jc w:val="right"/>
              <w:rPr>
                <w:color w:val="auto"/>
                <w:sz w:val="20"/>
              </w:rPr>
            </w:pPr>
            <w:r w:rsidRPr="008B7E99">
              <w:rPr>
                <w:color w:val="auto"/>
                <w:sz w:val="20"/>
              </w:rPr>
              <w:t>(3)</w:t>
            </w:r>
          </w:p>
        </w:tc>
      </w:tr>
    </w:tbl>
    <w:p w14:paraId="169C1201" w14:textId="585842F6" w:rsidR="008B7E99" w:rsidRPr="008B7E99" w:rsidRDefault="008B7E99" w:rsidP="008B7E99">
      <w:pPr>
        <w:pStyle w:val="MDPI31text"/>
        <w:rPr>
          <w:color w:val="auto"/>
        </w:rPr>
      </w:pPr>
      <w:r w:rsidRPr="008B7E99">
        <w:rPr>
          <w:color w:val="auto"/>
        </w:rPr>
        <w:t xml:space="preserve">where </w:t>
      </w:r>
      <w:r w:rsidR="00993FBD" w:rsidRPr="00151381">
        <w:rPr>
          <w:color w:val="auto"/>
          <w:position w:val="-12"/>
        </w:rPr>
        <w:object w:dxaOrig="1180" w:dyaOrig="360" w14:anchorId="641003A1">
          <v:shape id="_x0000_i1038" type="#_x0000_t75" style="width:58.3pt;height:18.3pt" o:ole="">
            <v:imagedata r:id="rId36" o:title=""/>
          </v:shape>
          <o:OLEObject Type="Embed" ProgID="Equation.DSMT4" ShapeID="_x0000_i1038" DrawAspect="Content" ObjectID="_1821520730" r:id="rId37"/>
        </w:object>
      </w:r>
      <w:r w:rsidRPr="008B7E99">
        <w:rPr>
          <w:color w:val="auto"/>
        </w:rPr>
        <w:t xml:space="preserve"> represents the population value of each raster cell </w:t>
      </w:r>
      <w:r w:rsidR="00993FBD" w:rsidRPr="00151381">
        <w:rPr>
          <w:color w:val="auto"/>
          <w:position w:val="-6"/>
        </w:rPr>
        <w:object w:dxaOrig="139" w:dyaOrig="260" w14:anchorId="55681081">
          <v:shape id="_x0000_i1039" type="#_x0000_t75" style="width:6.85pt;height:13.7pt" o:ole="">
            <v:imagedata r:id="rId38" o:title=""/>
          </v:shape>
          <o:OLEObject Type="Embed" ProgID="Equation.DSMT4" ShapeID="_x0000_i1039" DrawAspect="Content" ObjectID="_1821520731" r:id="rId39"/>
        </w:object>
      </w:r>
      <w:r w:rsidRPr="008B7E99">
        <w:rPr>
          <w:color w:val="auto"/>
        </w:rPr>
        <w:t xml:space="preserve"> that falls within the polygon boundary. This computed total is added to the polygon dataset as a new attribute, transforming raster-based estimates into a structured summary suitable for polygon-based analysis.</w:t>
      </w:r>
    </w:p>
    <w:p w14:paraId="7C6B7119" w14:textId="77777777" w:rsidR="008B7E99" w:rsidRPr="008B7E99" w:rsidRDefault="008B7E99" w:rsidP="008B7E99">
      <w:pPr>
        <w:pStyle w:val="MDPI31text"/>
        <w:rPr>
          <w:color w:val="auto"/>
        </w:rPr>
      </w:pPr>
      <w:r w:rsidRPr="008B7E99">
        <w:rPr>
          <w:color w:val="auto"/>
        </w:rPr>
        <w:t>Following the population aggregation, each polygon is classified based on its area type and population density. The classification criteria are as follows:</w:t>
      </w:r>
    </w:p>
    <w:p w14:paraId="40DEC9E3" w14:textId="77777777" w:rsidR="008B7E99" w:rsidRPr="008B7E99" w:rsidRDefault="008B7E99" w:rsidP="008B7E99">
      <w:pPr>
        <w:pStyle w:val="MDPI31text"/>
        <w:rPr>
          <w:b/>
          <w:bCs/>
          <w:color w:val="auto"/>
        </w:rPr>
      </w:pPr>
      <w:r w:rsidRPr="008B7E99">
        <w:rPr>
          <w:b/>
          <w:bCs/>
          <w:color w:val="auto"/>
        </w:rPr>
        <w:t>For rural areas</w:t>
      </w:r>
    </w:p>
    <w:p w14:paraId="3DF3E268" w14:textId="77777777" w:rsidR="008B7E99" w:rsidRPr="008B7E99" w:rsidRDefault="008B7E99" w:rsidP="008B7E99">
      <w:pPr>
        <w:pStyle w:val="MDPI31text"/>
        <w:rPr>
          <w:color w:val="auto"/>
        </w:rPr>
      </w:pPr>
      <w:r w:rsidRPr="008B7E99">
        <w:rPr>
          <w:color w:val="auto"/>
        </w:rPr>
        <w:t xml:space="preserve"> If </w:t>
      </w:r>
      <w:proofErr w:type="spellStart"/>
      <w:r w:rsidRPr="008B7E99">
        <w:rPr>
          <w:color w:val="auto"/>
        </w:rPr>
        <w:t>T</w:t>
      </w:r>
      <w:r w:rsidRPr="008B7E99">
        <w:rPr>
          <w:color w:val="auto"/>
          <w:vertAlign w:val="subscript"/>
        </w:rPr>
        <w:t>population</w:t>
      </w:r>
      <w:proofErr w:type="spellEnd"/>
      <w:r w:rsidRPr="008B7E99">
        <w:rPr>
          <w:color w:val="auto"/>
        </w:rPr>
        <w:t>&lt;700, the polygon is assigned a classification code of 111.</w:t>
      </w:r>
    </w:p>
    <w:p w14:paraId="50417A8F" w14:textId="56093751" w:rsidR="008B7E99" w:rsidRPr="008B7E99" w:rsidRDefault="008B7E99" w:rsidP="008B7E99">
      <w:pPr>
        <w:pStyle w:val="MDPI31text"/>
        <w:rPr>
          <w:color w:val="auto"/>
        </w:rPr>
      </w:pPr>
      <w:r w:rsidRPr="00151381">
        <w:rPr>
          <w:color w:val="auto"/>
        </w:rPr>
        <w:t xml:space="preserve"> </w:t>
      </w:r>
      <w:r w:rsidRPr="008B7E99">
        <w:rPr>
          <w:color w:val="auto"/>
        </w:rPr>
        <w:t xml:space="preserve">If </w:t>
      </w:r>
      <w:proofErr w:type="spellStart"/>
      <w:r w:rsidRPr="008B7E99">
        <w:rPr>
          <w:color w:val="auto"/>
        </w:rPr>
        <w:t>T</w:t>
      </w:r>
      <w:r w:rsidRPr="008B7E99">
        <w:rPr>
          <w:color w:val="auto"/>
          <w:vertAlign w:val="subscript"/>
        </w:rPr>
        <w:t>population</w:t>
      </w:r>
      <w:proofErr w:type="spellEnd"/>
      <w:r w:rsidRPr="008B7E99">
        <w:rPr>
          <w:color w:val="auto"/>
        </w:rPr>
        <w:t>&gt;1100, it is assigned a classification code of 222.</w:t>
      </w:r>
    </w:p>
    <w:p w14:paraId="7B07A46D" w14:textId="77777777" w:rsidR="008B7E99" w:rsidRPr="008B7E99" w:rsidRDefault="008B7E99" w:rsidP="008B7E99">
      <w:pPr>
        <w:pStyle w:val="MDPI31text"/>
        <w:rPr>
          <w:b/>
          <w:bCs/>
          <w:color w:val="auto"/>
        </w:rPr>
      </w:pPr>
      <w:r w:rsidRPr="008B7E99">
        <w:rPr>
          <w:b/>
          <w:bCs/>
          <w:color w:val="auto"/>
        </w:rPr>
        <w:t>For urban areas</w:t>
      </w:r>
    </w:p>
    <w:p w14:paraId="6F3BD9B0" w14:textId="1120158B" w:rsidR="008B7E99" w:rsidRPr="008B7E99" w:rsidRDefault="008B7E99" w:rsidP="008B7E99">
      <w:pPr>
        <w:pStyle w:val="MDPI31text"/>
        <w:rPr>
          <w:color w:val="auto"/>
        </w:rPr>
      </w:pPr>
      <w:r w:rsidRPr="00151381">
        <w:rPr>
          <w:color w:val="auto"/>
        </w:rPr>
        <w:t xml:space="preserve"> </w:t>
      </w:r>
      <w:r w:rsidRPr="008B7E99">
        <w:rPr>
          <w:color w:val="auto"/>
        </w:rPr>
        <w:t xml:space="preserve">If </w:t>
      </w:r>
      <w:proofErr w:type="spellStart"/>
      <w:r w:rsidRPr="008B7E99">
        <w:rPr>
          <w:color w:val="auto"/>
        </w:rPr>
        <w:t>T</w:t>
      </w:r>
      <w:r w:rsidRPr="008B7E99">
        <w:rPr>
          <w:color w:val="auto"/>
          <w:vertAlign w:val="subscript"/>
        </w:rPr>
        <w:t>population</w:t>
      </w:r>
      <w:proofErr w:type="spellEnd"/>
      <w:r w:rsidRPr="008B7E99">
        <w:rPr>
          <w:color w:val="auto"/>
        </w:rPr>
        <w:t>&lt;500, the polygon is assigned a classification code of 55.</w:t>
      </w:r>
    </w:p>
    <w:p w14:paraId="661B2AF3" w14:textId="4ABF809E" w:rsidR="008B7E99" w:rsidRPr="008B7E99" w:rsidRDefault="008B7E99" w:rsidP="008B7E99">
      <w:pPr>
        <w:pStyle w:val="MDPI31text"/>
        <w:rPr>
          <w:color w:val="auto"/>
        </w:rPr>
      </w:pPr>
      <w:r w:rsidRPr="00151381">
        <w:rPr>
          <w:color w:val="auto"/>
        </w:rPr>
        <w:t xml:space="preserve"> </w:t>
      </w:r>
      <w:r w:rsidRPr="008B7E99">
        <w:rPr>
          <w:color w:val="auto"/>
        </w:rPr>
        <w:t xml:space="preserve">If </w:t>
      </w:r>
      <w:proofErr w:type="spellStart"/>
      <w:r w:rsidRPr="008B7E99">
        <w:rPr>
          <w:color w:val="auto"/>
        </w:rPr>
        <w:t>T</w:t>
      </w:r>
      <w:r w:rsidRPr="008B7E99">
        <w:rPr>
          <w:color w:val="auto"/>
          <w:vertAlign w:val="subscript"/>
        </w:rPr>
        <w:t>population</w:t>
      </w:r>
      <w:proofErr w:type="spellEnd"/>
      <w:r w:rsidRPr="008B7E99">
        <w:rPr>
          <w:color w:val="auto"/>
        </w:rPr>
        <w:t>&gt;700T, it is assigned a classification code of 555.</w:t>
      </w:r>
    </w:p>
    <w:p w14:paraId="3B4B896A" w14:textId="3554E0D0" w:rsidR="008B7E99" w:rsidRPr="008B7E99" w:rsidRDefault="008B7E99" w:rsidP="008B7E99">
      <w:pPr>
        <w:pStyle w:val="MDPI31text"/>
        <w:rPr>
          <w:color w:val="auto"/>
        </w:rPr>
      </w:pPr>
      <w:r w:rsidRPr="008B7E99">
        <w:rPr>
          <w:color w:val="auto"/>
        </w:rPr>
        <w:t xml:space="preserve">The classification function evaluates each polygon’s population sum, </w:t>
      </w:r>
      <w:r w:rsidR="00993FBD" w:rsidRPr="00151381">
        <w:rPr>
          <w:color w:val="auto"/>
          <w:position w:val="-14"/>
        </w:rPr>
        <w:object w:dxaOrig="859" w:dyaOrig="380" w14:anchorId="144DF69D">
          <v:shape id="_x0000_i1040" type="#_x0000_t75" style="width:43.45pt;height:18.85pt" o:ole="">
            <v:imagedata r:id="rId40" o:title=""/>
          </v:shape>
          <o:OLEObject Type="Embed" ProgID="Equation.DSMT4" ShapeID="_x0000_i1040" DrawAspect="Content" ObjectID="_1821520732" r:id="rId41"/>
        </w:object>
      </w:r>
      <w:r w:rsidRPr="008B7E99">
        <w:rPr>
          <w:color w:val="auto"/>
        </w:rPr>
        <w:t xml:space="preserve">​, against the area type-specific thresholds, assigning a status code </w:t>
      </w:r>
      <w:bookmarkStart w:id="3" w:name="_Hlk180976376"/>
      <w:r w:rsidR="00993FBD" w:rsidRPr="00151381">
        <w:rPr>
          <w:color w:val="auto"/>
          <w:position w:val="-10"/>
        </w:rPr>
        <w:object w:dxaOrig="240" w:dyaOrig="320" w14:anchorId="0DFA9F08">
          <v:shape id="_x0000_i1041" type="#_x0000_t75" style="width:12pt;height:16.55pt" o:ole="">
            <v:imagedata r:id="rId42" o:title=""/>
          </v:shape>
          <o:OLEObject Type="Embed" ProgID="Equation.DSMT4" ShapeID="_x0000_i1041" DrawAspect="Content" ObjectID="_1821520733" r:id="rId43"/>
        </w:object>
      </w:r>
      <w:bookmarkEnd w:id="3"/>
      <w:r w:rsidRPr="008B7E99">
        <w:rPr>
          <w:color w:val="auto"/>
        </w:rPr>
        <w:t xml:space="preserve"> as</w:t>
      </w:r>
      <w:r w:rsidR="008219D0" w:rsidRPr="00151381">
        <w:rPr>
          <w:color w:val="auto"/>
        </w:rPr>
        <w:t xml:space="preserve"> Table 2</w:t>
      </w:r>
    </w:p>
    <w:p w14:paraId="5BE378E1" w14:textId="60D1501D" w:rsidR="008B7E99" w:rsidRPr="00151381" w:rsidRDefault="00FC2842" w:rsidP="00FC2842">
      <w:pPr>
        <w:pStyle w:val="MDPI41tablecaption"/>
        <w:rPr>
          <w:rFonts w:ascii="Times New Roman" w:eastAsia="Calibri" w:hAnsi="Times New Roman"/>
          <w:color w:val="auto"/>
          <w:sz w:val="24"/>
          <w:lang w:eastAsia="en-US"/>
        </w:rPr>
      </w:pPr>
      <w:r w:rsidRPr="00151381">
        <w:rPr>
          <w:rFonts w:ascii="Times New Roman" w:eastAsia="Calibri" w:hAnsi="Times New Roman"/>
          <w:color w:val="auto"/>
          <w:sz w:val="24"/>
          <w:lang w:eastAsia="en-US"/>
        </w:rPr>
        <w:t xml:space="preserve">Table 2. </w:t>
      </w:r>
      <w:r w:rsidRPr="00151381">
        <w:rPr>
          <w:color w:val="auto"/>
        </w:rPr>
        <w:t>Polygon population classification evaluation function</w:t>
      </w:r>
    </w:p>
    <w:tbl>
      <w:tblPr>
        <w:tblStyle w:val="TableGrid2"/>
        <w:tblW w:w="8241" w:type="dxa"/>
        <w:tblInd w:w="223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862"/>
        <w:gridCol w:w="6717"/>
      </w:tblGrid>
      <w:tr w:rsidR="00151381" w:rsidRPr="00151381" w14:paraId="70BCA6A9" w14:textId="77777777" w:rsidTr="00FC2842">
        <w:trPr>
          <w:trHeight w:val="49"/>
        </w:trPr>
        <w:tc>
          <w:tcPr>
            <w:tcW w:w="662" w:type="dxa"/>
            <w:vMerge w:val="restart"/>
            <w:vAlign w:val="center"/>
          </w:tcPr>
          <w:p w14:paraId="40A1339E" w14:textId="11B149D7" w:rsidR="008B7E99" w:rsidRPr="00151381" w:rsidRDefault="008B7E99" w:rsidP="00FC2842">
            <w:pPr>
              <w:pStyle w:val="MDPI42tablebody"/>
              <w:rPr>
                <w:rFonts w:eastAsia="Calibri"/>
                <w:color w:val="auto"/>
                <w:sz w:val="24"/>
              </w:rPr>
            </w:pPr>
            <w:r w:rsidRPr="00151381">
              <w:rPr>
                <w:rFonts w:eastAsia="Calibri"/>
                <w:color w:val="auto"/>
              </w:rPr>
              <w:t>S</w:t>
            </w:r>
            <w:r w:rsidR="00150B35" w:rsidRPr="00151381">
              <w:rPr>
                <w:rFonts w:eastAsia="Calibri"/>
                <w:color w:val="auto"/>
              </w:rPr>
              <w:t xml:space="preserve"> </w:t>
            </w:r>
            <w:r w:rsidRPr="00151381">
              <w:rPr>
                <w:rFonts w:eastAsia="Calibri"/>
                <w:color w:val="auto"/>
              </w:rPr>
              <w:t>=</w:t>
            </w:r>
          </w:p>
        </w:tc>
        <w:tc>
          <w:tcPr>
            <w:tcW w:w="862" w:type="dxa"/>
          </w:tcPr>
          <w:p w14:paraId="0346131D" w14:textId="77777777" w:rsidR="008B7E99" w:rsidRPr="00151381" w:rsidRDefault="008B7E99" w:rsidP="00FC2842">
            <w:pPr>
              <w:pStyle w:val="MDPI42tablebody"/>
              <w:rPr>
                <w:rFonts w:eastAsia="Calibri"/>
                <w:color w:val="auto"/>
                <w:sz w:val="24"/>
              </w:rPr>
            </w:pPr>
            <w:r w:rsidRPr="00151381">
              <w:rPr>
                <w:rFonts w:eastAsia="Calibri"/>
                <w:color w:val="auto"/>
                <w:sz w:val="24"/>
              </w:rPr>
              <w:t>1</w:t>
            </w:r>
          </w:p>
        </w:tc>
        <w:tc>
          <w:tcPr>
            <w:tcW w:w="6717" w:type="dxa"/>
          </w:tcPr>
          <w:p w14:paraId="3257E36D" w14:textId="77777777" w:rsidR="008B7E99" w:rsidRPr="00151381" w:rsidRDefault="008B7E99" w:rsidP="00FC2842">
            <w:pPr>
              <w:pStyle w:val="MDPI42tablebody"/>
              <w:rPr>
                <w:rFonts w:eastAsia="Calibri"/>
                <w:color w:val="auto"/>
                <w:sz w:val="24"/>
              </w:rPr>
            </w:pPr>
            <w:r w:rsidRPr="00151381">
              <w:rPr>
                <w:rFonts w:eastAsia="Calibri"/>
                <w:color w:val="auto"/>
                <w:sz w:val="24"/>
              </w:rPr>
              <w:t xml:space="preserve">if type – rural and </w:t>
            </w:r>
            <w:proofErr w:type="spellStart"/>
            <w:r w:rsidRPr="00151381">
              <w:rPr>
                <w:rFonts w:eastAsia="Calibri"/>
                <w:color w:val="auto"/>
                <w:sz w:val="24"/>
              </w:rPr>
              <w:t>T</w:t>
            </w:r>
            <w:r w:rsidRPr="00151381">
              <w:rPr>
                <w:rFonts w:eastAsia="Calibri"/>
                <w:color w:val="auto"/>
                <w:sz w:val="24"/>
                <w:vertAlign w:val="subscript"/>
              </w:rPr>
              <w:t>population</w:t>
            </w:r>
            <w:proofErr w:type="spellEnd"/>
            <w:r w:rsidRPr="00151381">
              <w:rPr>
                <w:rFonts w:eastAsia="Calibri"/>
                <w:color w:val="auto"/>
                <w:sz w:val="24"/>
                <w:vertAlign w:val="subscript"/>
              </w:rPr>
              <w:t xml:space="preserve"> &lt; 700</w:t>
            </w:r>
          </w:p>
        </w:tc>
      </w:tr>
      <w:tr w:rsidR="00151381" w:rsidRPr="00151381" w14:paraId="1FB5F47E" w14:textId="77777777" w:rsidTr="00FC2842">
        <w:trPr>
          <w:trHeight w:val="41"/>
        </w:trPr>
        <w:tc>
          <w:tcPr>
            <w:tcW w:w="662" w:type="dxa"/>
            <w:vMerge/>
          </w:tcPr>
          <w:p w14:paraId="10529EFA" w14:textId="77777777" w:rsidR="008B7E99" w:rsidRPr="00151381" w:rsidRDefault="008B7E99" w:rsidP="00FC2842">
            <w:pPr>
              <w:pStyle w:val="MDPI42tablebody"/>
              <w:rPr>
                <w:rFonts w:eastAsia="Calibri"/>
                <w:color w:val="auto"/>
                <w:sz w:val="24"/>
              </w:rPr>
            </w:pPr>
          </w:p>
        </w:tc>
        <w:tc>
          <w:tcPr>
            <w:tcW w:w="862" w:type="dxa"/>
          </w:tcPr>
          <w:p w14:paraId="4CA9A0C8" w14:textId="77777777" w:rsidR="008B7E99" w:rsidRPr="00151381" w:rsidRDefault="008B7E99" w:rsidP="00FC2842">
            <w:pPr>
              <w:pStyle w:val="MDPI42tablebody"/>
              <w:rPr>
                <w:rFonts w:eastAsia="Calibri"/>
                <w:color w:val="auto"/>
                <w:sz w:val="24"/>
              </w:rPr>
            </w:pPr>
            <w:r w:rsidRPr="00151381">
              <w:rPr>
                <w:rFonts w:eastAsia="Calibri"/>
                <w:color w:val="auto"/>
                <w:sz w:val="24"/>
              </w:rPr>
              <w:t>2</w:t>
            </w:r>
          </w:p>
        </w:tc>
        <w:tc>
          <w:tcPr>
            <w:tcW w:w="6717" w:type="dxa"/>
          </w:tcPr>
          <w:p w14:paraId="2289E8D5" w14:textId="0C0A08A3" w:rsidR="008B7E99" w:rsidRPr="00151381" w:rsidRDefault="00BF159C" w:rsidP="00FC2842">
            <w:pPr>
              <w:pStyle w:val="MDPI42tablebody"/>
              <w:rPr>
                <w:rFonts w:eastAsia="Calibri"/>
                <w:color w:val="auto"/>
                <w:sz w:val="24"/>
              </w:rPr>
            </w:pPr>
            <w:r w:rsidRPr="00151381">
              <w:rPr>
                <w:rFonts w:eastAsia="Calibri"/>
                <w:color w:val="auto"/>
                <w:sz w:val="24"/>
              </w:rPr>
              <w:t xml:space="preserve"> </w:t>
            </w:r>
            <w:r w:rsidR="008B7E99" w:rsidRPr="00151381">
              <w:rPr>
                <w:rFonts w:eastAsia="Calibri"/>
                <w:color w:val="auto"/>
                <w:sz w:val="24"/>
              </w:rPr>
              <w:t xml:space="preserve">if type – rural and </w:t>
            </w:r>
            <w:proofErr w:type="spellStart"/>
            <w:r w:rsidR="008B7E99" w:rsidRPr="00151381">
              <w:rPr>
                <w:rFonts w:eastAsia="Calibri"/>
                <w:color w:val="auto"/>
                <w:sz w:val="24"/>
              </w:rPr>
              <w:t>T</w:t>
            </w:r>
            <w:r w:rsidR="008B7E99" w:rsidRPr="00151381">
              <w:rPr>
                <w:rFonts w:eastAsia="Calibri"/>
                <w:color w:val="auto"/>
                <w:sz w:val="24"/>
                <w:vertAlign w:val="subscript"/>
              </w:rPr>
              <w:t>population</w:t>
            </w:r>
            <w:proofErr w:type="spellEnd"/>
            <w:r w:rsidR="008B7E99" w:rsidRPr="00151381">
              <w:rPr>
                <w:rFonts w:eastAsia="Calibri"/>
                <w:color w:val="auto"/>
                <w:sz w:val="24"/>
                <w:vertAlign w:val="subscript"/>
              </w:rPr>
              <w:t xml:space="preserve"> &gt; 1100</w:t>
            </w:r>
          </w:p>
        </w:tc>
      </w:tr>
      <w:tr w:rsidR="00151381" w:rsidRPr="00151381" w14:paraId="3AF101CC" w14:textId="77777777" w:rsidTr="00FC2842">
        <w:trPr>
          <w:trHeight w:val="57"/>
        </w:trPr>
        <w:tc>
          <w:tcPr>
            <w:tcW w:w="662" w:type="dxa"/>
            <w:vMerge/>
          </w:tcPr>
          <w:p w14:paraId="227159B2" w14:textId="77777777" w:rsidR="008B7E99" w:rsidRPr="00151381" w:rsidRDefault="008B7E99" w:rsidP="00FC2842">
            <w:pPr>
              <w:pStyle w:val="MDPI42tablebody"/>
              <w:rPr>
                <w:rFonts w:eastAsia="Calibri"/>
                <w:color w:val="auto"/>
                <w:sz w:val="24"/>
              </w:rPr>
            </w:pPr>
          </w:p>
        </w:tc>
        <w:tc>
          <w:tcPr>
            <w:tcW w:w="862" w:type="dxa"/>
          </w:tcPr>
          <w:p w14:paraId="718AC5EC" w14:textId="77777777" w:rsidR="008B7E99" w:rsidRPr="00151381" w:rsidRDefault="008B7E99" w:rsidP="00FC2842">
            <w:pPr>
              <w:pStyle w:val="MDPI42tablebody"/>
              <w:rPr>
                <w:rFonts w:eastAsia="Calibri"/>
                <w:color w:val="auto"/>
                <w:sz w:val="24"/>
              </w:rPr>
            </w:pPr>
            <w:r w:rsidRPr="00151381">
              <w:rPr>
                <w:rFonts w:eastAsia="Calibri"/>
                <w:color w:val="auto"/>
                <w:sz w:val="24"/>
              </w:rPr>
              <w:t>55</w:t>
            </w:r>
          </w:p>
        </w:tc>
        <w:tc>
          <w:tcPr>
            <w:tcW w:w="6717" w:type="dxa"/>
          </w:tcPr>
          <w:p w14:paraId="73D7DAC7" w14:textId="5720F24C" w:rsidR="008B7E99" w:rsidRPr="00151381" w:rsidRDefault="00BF159C" w:rsidP="00FC2842">
            <w:pPr>
              <w:pStyle w:val="MDPI42tablebody"/>
              <w:rPr>
                <w:rFonts w:eastAsia="Calibri"/>
                <w:color w:val="auto"/>
                <w:sz w:val="24"/>
              </w:rPr>
            </w:pPr>
            <w:r w:rsidRPr="00151381">
              <w:rPr>
                <w:rFonts w:eastAsia="Calibri"/>
                <w:color w:val="auto"/>
                <w:sz w:val="24"/>
              </w:rPr>
              <w:t xml:space="preserve"> </w:t>
            </w:r>
            <w:r w:rsidR="008B7E99" w:rsidRPr="00151381">
              <w:rPr>
                <w:rFonts w:eastAsia="Calibri"/>
                <w:color w:val="auto"/>
                <w:sz w:val="24"/>
              </w:rPr>
              <w:t xml:space="preserve">if type – urban and </w:t>
            </w:r>
            <w:proofErr w:type="spellStart"/>
            <w:r w:rsidR="008B7E99" w:rsidRPr="00151381">
              <w:rPr>
                <w:rFonts w:eastAsia="Calibri"/>
                <w:color w:val="auto"/>
                <w:sz w:val="24"/>
              </w:rPr>
              <w:t>T</w:t>
            </w:r>
            <w:r w:rsidR="008B7E99" w:rsidRPr="00151381">
              <w:rPr>
                <w:rFonts w:eastAsia="Calibri"/>
                <w:color w:val="auto"/>
                <w:sz w:val="24"/>
                <w:vertAlign w:val="subscript"/>
              </w:rPr>
              <w:t>population</w:t>
            </w:r>
            <w:proofErr w:type="spellEnd"/>
            <w:r w:rsidR="008B7E99" w:rsidRPr="00151381">
              <w:rPr>
                <w:rFonts w:eastAsia="Calibri"/>
                <w:color w:val="auto"/>
                <w:sz w:val="24"/>
                <w:vertAlign w:val="subscript"/>
              </w:rPr>
              <w:t xml:space="preserve"> &lt; 500</w:t>
            </w:r>
          </w:p>
        </w:tc>
      </w:tr>
      <w:tr w:rsidR="00151381" w:rsidRPr="00151381" w14:paraId="03F61A4E" w14:textId="77777777" w:rsidTr="00FC2842">
        <w:trPr>
          <w:trHeight w:val="41"/>
        </w:trPr>
        <w:tc>
          <w:tcPr>
            <w:tcW w:w="662" w:type="dxa"/>
            <w:vMerge/>
          </w:tcPr>
          <w:p w14:paraId="4ADED28A" w14:textId="77777777" w:rsidR="008B7E99" w:rsidRPr="00151381" w:rsidRDefault="008B7E99" w:rsidP="00FC2842">
            <w:pPr>
              <w:pStyle w:val="MDPI42tablebody"/>
              <w:rPr>
                <w:rFonts w:eastAsia="Calibri"/>
                <w:color w:val="auto"/>
                <w:sz w:val="24"/>
              </w:rPr>
            </w:pPr>
          </w:p>
        </w:tc>
        <w:tc>
          <w:tcPr>
            <w:tcW w:w="862" w:type="dxa"/>
          </w:tcPr>
          <w:p w14:paraId="613FD365" w14:textId="77777777" w:rsidR="008B7E99" w:rsidRPr="00151381" w:rsidRDefault="008B7E99" w:rsidP="00FC2842">
            <w:pPr>
              <w:pStyle w:val="MDPI42tablebody"/>
              <w:rPr>
                <w:rFonts w:eastAsia="Calibri"/>
                <w:color w:val="auto"/>
                <w:sz w:val="24"/>
              </w:rPr>
            </w:pPr>
            <w:r w:rsidRPr="00151381">
              <w:rPr>
                <w:rFonts w:eastAsia="Calibri"/>
                <w:color w:val="auto"/>
                <w:sz w:val="24"/>
              </w:rPr>
              <w:t>555</w:t>
            </w:r>
          </w:p>
        </w:tc>
        <w:tc>
          <w:tcPr>
            <w:tcW w:w="6717" w:type="dxa"/>
          </w:tcPr>
          <w:p w14:paraId="689DACAB" w14:textId="34EE83FF" w:rsidR="008B7E99" w:rsidRPr="00151381" w:rsidRDefault="00BF159C" w:rsidP="00FC2842">
            <w:pPr>
              <w:pStyle w:val="MDPI42tablebody"/>
              <w:rPr>
                <w:rFonts w:eastAsia="Calibri"/>
                <w:color w:val="auto"/>
                <w:sz w:val="24"/>
              </w:rPr>
            </w:pPr>
            <w:r w:rsidRPr="00151381">
              <w:rPr>
                <w:rFonts w:eastAsia="Calibri"/>
                <w:color w:val="auto"/>
                <w:sz w:val="24"/>
              </w:rPr>
              <w:t xml:space="preserve"> </w:t>
            </w:r>
            <w:r w:rsidR="008B7E99" w:rsidRPr="00151381">
              <w:rPr>
                <w:rFonts w:eastAsia="Calibri"/>
                <w:color w:val="auto"/>
                <w:sz w:val="24"/>
              </w:rPr>
              <w:t xml:space="preserve">if type – urban and </w:t>
            </w:r>
            <w:proofErr w:type="spellStart"/>
            <w:r w:rsidR="008B7E99" w:rsidRPr="00151381">
              <w:rPr>
                <w:rFonts w:eastAsia="Calibri"/>
                <w:color w:val="auto"/>
                <w:sz w:val="24"/>
              </w:rPr>
              <w:t>T</w:t>
            </w:r>
            <w:r w:rsidR="008B7E99" w:rsidRPr="00151381">
              <w:rPr>
                <w:rFonts w:eastAsia="Calibri"/>
                <w:color w:val="auto"/>
                <w:sz w:val="24"/>
                <w:vertAlign w:val="subscript"/>
              </w:rPr>
              <w:t>population</w:t>
            </w:r>
            <w:proofErr w:type="spellEnd"/>
            <w:r w:rsidR="008B7E99" w:rsidRPr="00151381">
              <w:rPr>
                <w:rFonts w:eastAsia="Calibri"/>
                <w:color w:val="auto"/>
                <w:sz w:val="24"/>
                <w:vertAlign w:val="subscript"/>
              </w:rPr>
              <w:t xml:space="preserve"> &gt; 700</w:t>
            </w:r>
          </w:p>
        </w:tc>
      </w:tr>
    </w:tbl>
    <w:p w14:paraId="7DE3EE47" w14:textId="77777777" w:rsidR="00FC2842" w:rsidRPr="00151381" w:rsidRDefault="00FC2842" w:rsidP="00FC2842">
      <w:pPr>
        <w:pStyle w:val="MDPI31text"/>
        <w:rPr>
          <w:color w:val="auto"/>
        </w:rPr>
      </w:pPr>
    </w:p>
    <w:p w14:paraId="135BD152" w14:textId="2F12C387" w:rsidR="008B7E99" w:rsidRPr="008B7E99" w:rsidRDefault="008B7E99" w:rsidP="00FC2842">
      <w:pPr>
        <w:pStyle w:val="MDPI31text"/>
        <w:rPr>
          <w:color w:val="auto"/>
        </w:rPr>
      </w:pPr>
      <w:r w:rsidRPr="008B7E99">
        <w:rPr>
          <w:color w:val="auto"/>
        </w:rPr>
        <w:t>This classification is stored as a new attribute in the dataset, allowing a demographic overview based on population density thresholds tailored to rural and urban zones.</w:t>
      </w:r>
    </w:p>
    <w:p w14:paraId="4479E5FE" w14:textId="77777777" w:rsidR="008B7E99" w:rsidRPr="008B7E99" w:rsidRDefault="008B7E99" w:rsidP="00FC2842">
      <w:pPr>
        <w:pStyle w:val="MDPI31text"/>
        <w:rPr>
          <w:color w:val="auto"/>
        </w:rPr>
      </w:pPr>
      <w:r w:rsidRPr="008B7E99">
        <w:rPr>
          <w:color w:val="auto"/>
        </w:rPr>
        <w:t xml:space="preserve">Finally, the enriched dataset, which includes both the population totals and classification attributes, is saved as a new shapefile. This output can be visualized or further analyzed in GIS software, providing a robust foundation for population management, urban planning, and socio-economic assessment. This approach efficiently translates raster-based population data into administratively relevant zones and applies meaningful </w:t>
      </w:r>
      <w:r w:rsidRPr="008B7E99">
        <w:rPr>
          <w:color w:val="auto"/>
        </w:rPr>
        <w:lastRenderedPageBreak/>
        <w:t>classifications, supporting decisions in resource allocation, regional planning, and urban development.</w:t>
      </w:r>
    </w:p>
    <w:p w14:paraId="10952EE2" w14:textId="37E4C64E" w:rsidR="008B7E99" w:rsidRPr="00151381" w:rsidRDefault="000F7697" w:rsidP="000F7697">
      <w:pPr>
        <w:pStyle w:val="MDPI22heading2"/>
        <w:rPr>
          <w:snapToGrid/>
          <w:color w:val="auto"/>
        </w:rPr>
      </w:pPr>
      <w:r w:rsidRPr="00151381">
        <w:rPr>
          <w:color w:val="auto"/>
        </w:rPr>
        <w:t xml:space="preserve">2.5. </w:t>
      </w:r>
      <w:r w:rsidRPr="00151381">
        <w:rPr>
          <w:snapToGrid/>
          <w:color w:val="auto"/>
        </w:rPr>
        <w:t>Principles of Enumeration Section Creation</w:t>
      </w:r>
    </w:p>
    <w:p w14:paraId="29BF4736" w14:textId="54F762B4" w:rsidR="000F7697" w:rsidRPr="00151381" w:rsidRDefault="000F7697" w:rsidP="000F7697">
      <w:pPr>
        <w:pStyle w:val="MDPI31text"/>
        <w:rPr>
          <w:color w:val="auto"/>
        </w:rPr>
      </w:pPr>
      <w:r w:rsidRPr="00151381">
        <w:rPr>
          <w:color w:val="auto"/>
        </w:rPr>
        <w:t xml:space="preserve">The geodatabase created during data digitization was crucial for defining Enumeration Sections (ES) and estimating populations within each area using the Hybrid Population Estimation Model. This process involved creating Emprise polygons (digitized spatial units) that serve as ES boundaries and allow for accurate population estimation. Leveraging GIS software’s raster calculator tool, we developed a Python-based algorithm to automate population extraction for each Emprise polygon, incorporating machine learning to refine accuracy. Each Emprise polygon was designated as an ES according to Mali’s official ES creation guidelines, ensuring consistency and precision in population data extraction. To align ES boundaries with actual population distributions, manual refinements were made based on established requirements. For instance, if a polygon’s boundaries did not accurately represent the population density or characteristics of an area, adjustments were made by splitting larger polygons into smaller, more representative units. In cases where polygons were underpopulated according to specified thresholds, a merging </w:t>
      </w:r>
      <w:r w:rsidR="00F009C1" w:rsidRPr="00151381">
        <w:rPr>
          <w:color w:val="auto"/>
        </w:rPr>
        <w:t>method</w:t>
      </w:r>
      <w:r w:rsidRPr="00151381">
        <w:rPr>
          <w:color w:val="auto"/>
        </w:rPr>
        <w:t xml:space="preserve"> was employed. Underpopulated polygons were combined with adjacent areas to create a more balanced population distribution. This approach enhances demographic accuracy and ensures each ES reflects realistic population densities, supporting reliable demographic and census planning within the study area.</w:t>
      </w:r>
    </w:p>
    <w:p w14:paraId="6DF30DC5" w14:textId="3C54C2D8" w:rsidR="000F7697" w:rsidRPr="00151381" w:rsidRDefault="00315352" w:rsidP="000F7697">
      <w:pPr>
        <w:pStyle w:val="MDPI52figure"/>
        <w:rPr>
          <w:color w:val="auto"/>
        </w:rPr>
      </w:pPr>
      <w:r w:rsidRPr="00151381">
        <w:rPr>
          <w:color w:val="auto"/>
        </w:rPr>
        <w:t xml:space="preserve">    </w:t>
      </w:r>
      <w:r w:rsidR="00623223">
        <w:rPr>
          <w:color w:val="auto"/>
        </w:rPr>
        <w:t xml:space="preserve"> </w:t>
      </w:r>
      <w:r w:rsidRPr="00151381">
        <w:rPr>
          <w:color w:val="auto"/>
        </w:rPr>
        <w:t xml:space="preserve">   </w:t>
      </w:r>
      <w:r w:rsidRPr="00151381">
        <w:rPr>
          <w:noProof/>
          <w:color w:val="auto"/>
        </w:rPr>
        <w:drawing>
          <wp:inline distT="0" distB="0" distL="0" distR="0" wp14:anchorId="43F7055C" wp14:editId="041B0A90">
            <wp:extent cx="6071574" cy="4297119"/>
            <wp:effectExtent l="0" t="0" r="5715" b="8255"/>
            <wp:docPr id="9197102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3499" cy="4298481"/>
                    </a:xfrm>
                    <a:prstGeom prst="rect">
                      <a:avLst/>
                    </a:prstGeom>
                    <a:noFill/>
                    <a:ln>
                      <a:noFill/>
                    </a:ln>
                  </pic:spPr>
                </pic:pic>
              </a:graphicData>
            </a:graphic>
          </wp:inline>
        </w:drawing>
      </w:r>
      <w:r w:rsidR="006F64E2" w:rsidRPr="00151381">
        <w:rPr>
          <w:color w:val="auto"/>
        </w:rPr>
        <w:t xml:space="preserve">                    </w:t>
      </w:r>
      <w:r w:rsidR="000F7697" w:rsidRPr="00151381">
        <w:rPr>
          <w:color w:val="auto"/>
        </w:rPr>
        <w:t xml:space="preserve">                   </w:t>
      </w:r>
    </w:p>
    <w:p w14:paraId="2B7158CA" w14:textId="49D396C6" w:rsidR="000F7697" w:rsidRPr="00151381" w:rsidRDefault="000F7697" w:rsidP="00405BE1">
      <w:pPr>
        <w:pStyle w:val="MDPI51figurecaption"/>
        <w:rPr>
          <w:color w:val="auto"/>
        </w:rPr>
      </w:pPr>
      <w:r w:rsidRPr="00151381">
        <w:rPr>
          <w:color w:val="auto"/>
        </w:rPr>
        <w:t>Figure 5. Enumeration Section delineated. Population spatial distribution, urban and rural</w:t>
      </w:r>
    </w:p>
    <w:p w14:paraId="11A5FAF4" w14:textId="77777777" w:rsidR="00623223" w:rsidRDefault="00405BE1" w:rsidP="00623223">
      <w:pPr>
        <w:pStyle w:val="MDPI31text"/>
        <w:rPr>
          <w:color w:val="auto"/>
        </w:rPr>
      </w:pPr>
      <w:r w:rsidRPr="00151381">
        <w:rPr>
          <w:color w:val="auto"/>
        </w:rPr>
        <w:t xml:space="preserve">A finalized geodatabase was constructed using the updated data and refined Enumeration Sections (ES), tailored specifically for census and survey projects. This geodatabase integrates the latest population estimations and spatial boundaries, providing a comprehensive and reliable foundation for demographic analysis, planning, and resource </w:t>
      </w:r>
      <w:r w:rsidRPr="00151381">
        <w:rPr>
          <w:color w:val="auto"/>
        </w:rPr>
        <w:lastRenderedPageBreak/>
        <w:t>allocation, as shown in Figure</w:t>
      </w:r>
      <w:r w:rsidR="008015A5" w:rsidRPr="00151381">
        <w:rPr>
          <w:color w:val="auto"/>
        </w:rPr>
        <w:t xml:space="preserve"> 6</w:t>
      </w:r>
      <w:r w:rsidRPr="00151381">
        <w:rPr>
          <w:color w:val="auto"/>
        </w:rPr>
        <w:t>. By aligning the geodatabase with precise ES boundaries, it ensures accuracy and usability for a range of applications, including population studies, socioeconomic assessments, and regional development initiatives.</w:t>
      </w:r>
    </w:p>
    <w:p w14:paraId="6DC1BE69" w14:textId="03F21339" w:rsidR="00405BE1" w:rsidRPr="00623223" w:rsidRDefault="00623223" w:rsidP="00623223">
      <w:pPr>
        <w:pStyle w:val="MDPI52figure"/>
      </w:pPr>
      <w:r>
        <w:t xml:space="preserve">              </w:t>
      </w:r>
      <w:r w:rsidR="00E94999" w:rsidRPr="00151381">
        <w:t xml:space="preserve">  </w:t>
      </w:r>
      <w:r>
        <w:t xml:space="preserve"> </w:t>
      </w:r>
      <w:r w:rsidRPr="00623223">
        <w:rPr>
          <w:noProof/>
        </w:rPr>
        <w:drawing>
          <wp:inline distT="0" distB="0" distL="0" distR="0" wp14:anchorId="029EC4DB" wp14:editId="1FF2BE82">
            <wp:extent cx="5654675" cy="3999230"/>
            <wp:effectExtent l="0" t="0" r="3175" b="1270"/>
            <wp:docPr id="4027029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4675" cy="3999230"/>
                    </a:xfrm>
                    <a:prstGeom prst="rect">
                      <a:avLst/>
                    </a:prstGeom>
                    <a:noFill/>
                    <a:ln>
                      <a:noFill/>
                    </a:ln>
                  </pic:spPr>
                </pic:pic>
              </a:graphicData>
            </a:graphic>
          </wp:inline>
        </w:drawing>
      </w:r>
      <w:r>
        <w:t xml:space="preserve">                      </w:t>
      </w:r>
      <w:r w:rsidR="00C36D82" w:rsidRPr="00151381">
        <w:t xml:space="preserve">        </w:t>
      </w:r>
    </w:p>
    <w:p w14:paraId="15304492" w14:textId="3AB6C31C" w:rsidR="008015A5" w:rsidRPr="00151381" w:rsidRDefault="008015A5" w:rsidP="008015A5">
      <w:pPr>
        <w:pStyle w:val="MDPI51figurecaption"/>
        <w:rPr>
          <w:color w:val="auto"/>
        </w:rPr>
      </w:pPr>
      <w:r w:rsidRPr="00151381">
        <w:rPr>
          <w:b/>
          <w:bCs/>
          <w:color w:val="auto"/>
        </w:rPr>
        <w:t>Figure 6.</w:t>
      </w:r>
      <w:r w:rsidRPr="00151381">
        <w:rPr>
          <w:color w:val="auto"/>
        </w:rPr>
        <w:t xml:space="preserve"> Enumeration Section delineated by type of the zone, urban and rural</w:t>
      </w:r>
    </w:p>
    <w:p w14:paraId="7DA7695F" w14:textId="203D45C3" w:rsidR="005F0C85" w:rsidRPr="00151381" w:rsidRDefault="005F0C85" w:rsidP="005F0C85">
      <w:pPr>
        <w:pStyle w:val="MDPI21heading1"/>
        <w:rPr>
          <w:color w:val="auto"/>
        </w:rPr>
      </w:pPr>
      <w:r w:rsidRPr="00151381">
        <w:rPr>
          <w:color w:val="auto"/>
        </w:rPr>
        <w:t>3. Method validation</w:t>
      </w:r>
    </w:p>
    <w:p w14:paraId="21F3A19F" w14:textId="0DBED00E" w:rsidR="009E244A" w:rsidRPr="00151381" w:rsidRDefault="00E7498E" w:rsidP="00315352">
      <w:pPr>
        <w:pStyle w:val="MDPI31text"/>
        <w:rPr>
          <w:color w:val="auto"/>
        </w:rPr>
      </w:pPr>
      <w:r w:rsidRPr="00151381">
        <w:rPr>
          <w:color w:val="auto"/>
        </w:rPr>
        <w:tab/>
        <w:t>To ensure the practical reliability and adaptability of our semi-automated GIS-based methodology for pre-census mapping, this study includes a validation step using field data collected in two distinct Cercle of Mali</w:t>
      </w:r>
      <w:r w:rsidR="00824A1A" w:rsidRPr="00151381">
        <w:rPr>
          <w:color w:val="auto"/>
        </w:rPr>
        <w:t>, shown in Figure 7</w:t>
      </w:r>
      <w:r w:rsidRPr="00151381">
        <w:rPr>
          <w:color w:val="auto"/>
        </w:rPr>
        <w:t>. Both regions are characterized by complex geographic features and heightened security challenges, which make on-the-ground census mapping efforts difficult. Validating the accuracy of our Enumeration Section (ES) delineation and population estimates in these areas allows us to critically assess the method’s performance under real-world conditions and its effectiveness in environments where traditional field verification is limited. In this validation phase, the delineated ES boundaries and estimated population data generated from satellite imagery and geospatial integration are compared to field-collected data from these two regions. The field data provides a benchmark to evaluate the accuracy and practical application of our method in capturing population distributions and geographic boundaries effectively in challenging contexts. Additionally, this step enable</w:t>
      </w:r>
      <w:r w:rsidR="00824A1A" w:rsidRPr="00151381">
        <w:rPr>
          <w:color w:val="auto"/>
        </w:rPr>
        <w:t>d</w:t>
      </w:r>
      <w:r w:rsidRPr="00151381">
        <w:rPr>
          <w:color w:val="auto"/>
        </w:rPr>
        <w:t xml:space="preserve"> the identification of region-specific adjustments that may improve the method’s scalability and reliability across diverse settings. This validation not only highlights the robustness of our approach in regions with limited accessibility but also underscores its potential applicability to other low- and middle-income countries (LMICs) facing similar challenges. The findings from this validation step will contribute to refining the methodology, ensuring that it meets the demands of sustainable population mapping efforts on a broader scale.</w:t>
      </w:r>
    </w:p>
    <w:p w14:paraId="2D8EB501" w14:textId="2C33BCAA" w:rsidR="009E244A" w:rsidRPr="00151381" w:rsidRDefault="009E244A" w:rsidP="009E244A">
      <w:pPr>
        <w:pStyle w:val="MDPI52figure"/>
        <w:rPr>
          <w:color w:val="auto"/>
        </w:rPr>
      </w:pPr>
      <w:r w:rsidRPr="00151381">
        <w:rPr>
          <w:color w:val="auto"/>
        </w:rPr>
        <w:lastRenderedPageBreak/>
        <w:t xml:space="preserve">                             </w:t>
      </w:r>
      <w:r w:rsidRPr="00151381">
        <w:rPr>
          <w:rFonts w:eastAsia="Calibri"/>
          <w:noProof/>
          <w:snapToGrid/>
          <w:color w:val="auto"/>
        </w:rPr>
        <w:drawing>
          <wp:inline distT="0" distB="0" distL="0" distR="0" wp14:anchorId="6939C565" wp14:editId="576F19C6">
            <wp:extent cx="3772289" cy="3219849"/>
            <wp:effectExtent l="0" t="0" r="0" b="0"/>
            <wp:docPr id="1926189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162"/>
                    <a:stretch/>
                  </pic:blipFill>
                  <pic:spPr bwMode="auto">
                    <a:xfrm>
                      <a:off x="0" y="0"/>
                      <a:ext cx="3811265" cy="3253117"/>
                    </a:xfrm>
                    <a:prstGeom prst="rect">
                      <a:avLst/>
                    </a:prstGeom>
                    <a:noFill/>
                    <a:ln>
                      <a:noFill/>
                    </a:ln>
                    <a:extLst>
                      <a:ext uri="{53640926-AAD7-44D8-BBD7-CCE9431645EC}">
                        <a14:shadowObscured xmlns:a14="http://schemas.microsoft.com/office/drawing/2010/main"/>
                      </a:ext>
                    </a:extLst>
                  </pic:spPr>
                </pic:pic>
              </a:graphicData>
            </a:graphic>
          </wp:inline>
        </w:drawing>
      </w:r>
    </w:p>
    <w:p w14:paraId="497217D4" w14:textId="4749E3A2" w:rsidR="009E244A" w:rsidRPr="00151381" w:rsidRDefault="009E244A" w:rsidP="009E244A">
      <w:pPr>
        <w:pStyle w:val="MDPI51figurecaption"/>
        <w:rPr>
          <w:color w:val="auto"/>
        </w:rPr>
      </w:pPr>
      <w:r w:rsidRPr="00151381">
        <w:rPr>
          <w:color w:val="auto"/>
        </w:rPr>
        <w:t>Figure 7. Study method validation areas</w:t>
      </w:r>
    </w:p>
    <w:p w14:paraId="60C97379" w14:textId="746AF942" w:rsidR="00314AC5" w:rsidRPr="00151381" w:rsidRDefault="00A36026" w:rsidP="00A36026">
      <w:pPr>
        <w:pStyle w:val="MDPI22heading2"/>
        <w:rPr>
          <w:color w:val="auto"/>
        </w:rPr>
      </w:pPr>
      <w:r w:rsidRPr="00151381">
        <w:rPr>
          <w:color w:val="auto"/>
        </w:rPr>
        <w:t>3.1. Cercle of Macina</w:t>
      </w:r>
    </w:p>
    <w:p w14:paraId="60716C9B" w14:textId="2070D477" w:rsidR="00FA694E" w:rsidRPr="00151381" w:rsidRDefault="00A36026" w:rsidP="00FA694E">
      <w:pPr>
        <w:pStyle w:val="MDPI31text"/>
        <w:rPr>
          <w:color w:val="auto"/>
        </w:rPr>
      </w:pPr>
      <w:r w:rsidRPr="00151381">
        <w:rPr>
          <w:color w:val="auto"/>
        </w:rPr>
        <w:tab/>
      </w:r>
      <w:r w:rsidR="00FA694E" w:rsidRPr="00151381">
        <w:rPr>
          <w:color w:val="auto"/>
        </w:rPr>
        <w:t xml:space="preserve">First, </w:t>
      </w:r>
      <w:r w:rsidR="005F21D3" w:rsidRPr="00151381">
        <w:rPr>
          <w:color w:val="auto"/>
        </w:rPr>
        <w:t xml:space="preserve">Figure </w:t>
      </w:r>
      <w:r w:rsidR="00F83D4F">
        <w:rPr>
          <w:color w:val="auto"/>
        </w:rPr>
        <w:t>8</w:t>
      </w:r>
      <w:r w:rsidR="005F21D3" w:rsidRPr="00151381">
        <w:rPr>
          <w:color w:val="auto"/>
        </w:rPr>
        <w:t>a</w:t>
      </w:r>
      <w:r w:rsidR="00FA694E" w:rsidRPr="00151381">
        <w:rPr>
          <w:color w:val="auto"/>
        </w:rPr>
        <w:t xml:space="preserve"> demonstrates a strong positive relationship between the field-measured population and the estimated population values, supported by a high correlation coefficient of 0.97. This indicates that the estimation method closely approximates actual population counts, showing reliable consistency. The trend line equation, y=1.00x+3.77, suggests near-perfect scaling of estimated values with the actual counts, with a slope almost exactly equal to 1, meaning there is minimal systematic bias in scaling. The slight positive intercept (3.77) suggests only a minor tendency for overestimation at lower population values. </w:t>
      </w:r>
      <w:r w:rsidR="00424119" w:rsidRPr="00151381">
        <w:rPr>
          <w:color w:val="auto"/>
        </w:rPr>
        <w:t>F</w:t>
      </w:r>
      <w:r w:rsidR="00FA694E" w:rsidRPr="00151381">
        <w:rPr>
          <w:color w:val="auto"/>
        </w:rPr>
        <w:t>igure</w:t>
      </w:r>
      <w:r w:rsidR="00424119" w:rsidRPr="00151381">
        <w:rPr>
          <w:color w:val="auto"/>
        </w:rPr>
        <w:t xml:space="preserve"> </w:t>
      </w:r>
      <w:r w:rsidR="00F83D4F">
        <w:rPr>
          <w:color w:val="auto"/>
        </w:rPr>
        <w:t>8</w:t>
      </w:r>
      <w:r w:rsidR="00424119" w:rsidRPr="00151381">
        <w:rPr>
          <w:color w:val="auto"/>
        </w:rPr>
        <w:t>b</w:t>
      </w:r>
      <w:r w:rsidR="00FA694E" w:rsidRPr="00151381">
        <w:rPr>
          <w:color w:val="auto"/>
        </w:rPr>
        <w:t>, a line plot of population differences across Enumeration Sections (ES), shows the variation between estimated and field-measured values. The differences fluctuate around zero, indicating that errors are mostly small and centered, though a few sections show larger deviations. Statistical measures provide further insights: the Mean Absolute Error (MAE) of 26.63 suggests that, on average, estimated populations deviate by about 27 people from the actual counts, which is relatively low. The Root Mean Square Error (RMSE) of 37.46, slightly higher than the MAE, reflects some larger errors in a few cases but remains within an acceptable range. The close values of MAE and RMSE indicate a lack of extreme outliers, reinforcing the method’s accuracy and reliability in various population scenarios.</w:t>
      </w:r>
    </w:p>
    <w:p w14:paraId="021D7CC2" w14:textId="3B7DBD45" w:rsidR="00B84CFA" w:rsidRPr="00151381" w:rsidRDefault="00B84CFA" w:rsidP="00B84CFA">
      <w:pPr>
        <w:pStyle w:val="MDPI52figure"/>
        <w:rPr>
          <w:noProof/>
          <w:color w:val="auto"/>
        </w:rPr>
      </w:pPr>
      <w:r w:rsidRPr="00151381">
        <w:rPr>
          <w:noProof/>
          <w:snapToGrid/>
          <w:color w:val="auto"/>
        </w:rPr>
        <w:lastRenderedPageBreak/>
        <mc:AlternateContent>
          <mc:Choice Requires="wps">
            <w:drawing>
              <wp:anchor distT="0" distB="0" distL="114300" distR="114300" simplePos="0" relativeHeight="251655168" behindDoc="0" locked="0" layoutInCell="1" allowOverlap="1" wp14:anchorId="780222E3" wp14:editId="4606CB78">
                <wp:simplePos x="0" y="0"/>
                <wp:positionH relativeFrom="column">
                  <wp:posOffset>2972606</wp:posOffset>
                </wp:positionH>
                <wp:positionV relativeFrom="paragraph">
                  <wp:posOffset>151765</wp:posOffset>
                </wp:positionV>
                <wp:extent cx="914400" cy="308540"/>
                <wp:effectExtent l="0" t="0" r="0" b="0"/>
                <wp:wrapNone/>
                <wp:docPr id="1917835238" name="Text Box 1"/>
                <wp:cNvGraphicFramePr/>
                <a:graphic xmlns:a="http://schemas.openxmlformats.org/drawingml/2006/main">
                  <a:graphicData uri="http://schemas.microsoft.com/office/word/2010/wordprocessingShape">
                    <wps:wsp>
                      <wps:cNvSpPr txBox="1"/>
                      <wps:spPr>
                        <a:xfrm>
                          <a:off x="0" y="0"/>
                          <a:ext cx="914400" cy="308540"/>
                        </a:xfrm>
                        <a:prstGeom prst="rect">
                          <a:avLst/>
                        </a:prstGeom>
                        <a:noFill/>
                        <a:ln w="6350">
                          <a:noFill/>
                        </a:ln>
                      </wps:spPr>
                      <wps:txbx>
                        <w:txbxContent>
                          <w:p w14:paraId="5BE6D46F" w14:textId="27E3429E" w:rsidR="005F21D3" w:rsidRDefault="005F21D3">
                            <w:r>
                              <w:t>(</w:t>
                            </w:r>
                            <w:r w:rsidRPr="005F21D3">
                              <w:rPr>
                                <w:b/>
                                <w:bCs/>
                              </w:rPr>
                              <w:t>a</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80222E3" id="_x0000_t202" coordsize="21600,21600" o:spt="202" path="m,l,21600r21600,l21600,xe">
                <v:stroke joinstyle="miter"/>
                <v:path gradientshapeok="t" o:connecttype="rect"/>
              </v:shapetype>
              <v:shape id="Text Box 1" o:spid="_x0000_s1026" type="#_x0000_t202" style="position:absolute;left:0;text-align:left;margin-left:234.05pt;margin-top:11.95pt;width:1in;height:24.3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hSEwIAACkEAAAOAAAAZHJzL2Uyb0RvYy54bWysU01vGyEQvVfqf0Dc6107dpqsvI7cRK4q&#10;WUkkp8oZs+BdCRgE2Lvur+/Arj+U9lT1AgMzzMd7j/lDpxU5COcbMCUdj3JKhOFQNWZX0p9vqy93&#10;lPjATMUUGFHSo/D0YfH507y1hZhADaoSjmAS44vWlrQOwRZZ5nktNPMjsMKgU4LTLODR7bLKsRaz&#10;a5VN8vw2a8FV1gEX3uPtU++ki5RfSsHDi5ReBKJKir2FtLq0buOaLeas2Dlm64YPbbB/6EKzxmDR&#10;c6onFhjZu+aPVLrhDjzIMOKgM5Cy4SLNgNOM8w/TbGpmRZoFwfH2DJP/f2n582FjXx0J3TfokMAI&#10;SGt94fEyztNJp+OOnRL0I4THM2yiC4Tj5f14Os3Rw9F1k9/NpgnW7PLYOh++C9AkGiV1yEoCix3W&#10;PmBBDD2FxFoGVo1SiRllSFvS25tZnh6cPfhCGXx4aTVaodt2Q/9bqI44loOecW/5qsHia+bDK3NI&#10;MfaLsg0vuEgFWAQGi5Ia3K+/3cd4RB69lLQomZIa1DQl6odBRhIKqLB0mM6+TrCCu/Zsrz1mrx8B&#10;NTnG72F5MmN8UCdTOtDvqO1lrIkuZjhWLmk4mY+hlzH+DS6WyxSEmrIsrM3G8pg6ghmBfevembMD&#10;+gFpe4aTtFjxgYQ+tqdhuQ8gm8RQhLfHdEAd9ZiIG/5OFPz1OUVdfvjiNwAAAP//AwBQSwMEFAAG&#10;AAgAAAAhAIvbKHjiAAAACQEAAA8AAABkcnMvZG93bnJldi54bWxMj8FOwzAMhu9IvENkJC5oS1ug&#10;jFJ3AiTQhBiIDaEds8Y01ZqkStKte3vCCY62P/3+/nI+6o7tyfnWGoR0mgAjU1vZmgbhc/00mQHz&#10;QRgpOmsI4Uge5tXpSSkKaQ/mg/ar0LAYYnwhEFQIfcG5rxVp4ae2JxNv39ZpEeLoGi6dOMRw3fEs&#10;SXKuRWviByV6elRU71aDRtipl4v35Hn58JUvju5tPdiNe90gnp+N93fAAo3hD4Zf/agOVXTa2sFI&#10;zzqEq3yWRhQhu7wFFoE8zeJii3CTXQOvSv6/QfUDAAD//wMAUEsBAi0AFAAGAAgAAAAhALaDOJL+&#10;AAAA4QEAABMAAAAAAAAAAAAAAAAAAAAAAFtDb250ZW50X1R5cGVzXS54bWxQSwECLQAUAAYACAAA&#10;ACEAOP0h/9YAAACUAQAACwAAAAAAAAAAAAAAAAAvAQAAX3JlbHMvLnJlbHNQSwECLQAUAAYACAAA&#10;ACEAp1uYUhMCAAApBAAADgAAAAAAAAAAAAAAAAAuAgAAZHJzL2Uyb0RvYy54bWxQSwECLQAUAAYA&#10;CAAAACEAi9soeOIAAAAJAQAADwAAAAAAAAAAAAAAAABtBAAAZHJzL2Rvd25yZXYueG1sUEsFBgAA&#10;AAAEAAQA8wAAAHwFAAAAAA==&#10;" filled="f" stroked="f" strokeweight=".5pt">
                <v:textbox>
                  <w:txbxContent>
                    <w:p w14:paraId="5BE6D46F" w14:textId="27E3429E" w:rsidR="005F21D3" w:rsidRDefault="005F21D3">
                      <w:r>
                        <w:t>(</w:t>
                      </w:r>
                      <w:r w:rsidRPr="005F21D3">
                        <w:rPr>
                          <w:b/>
                          <w:bCs/>
                        </w:rPr>
                        <w:t>a</w:t>
                      </w:r>
                      <w:r>
                        <w:t>)</w:t>
                      </w:r>
                    </w:p>
                  </w:txbxContent>
                </v:textbox>
              </v:shape>
            </w:pict>
          </mc:Fallback>
        </mc:AlternateContent>
      </w:r>
      <w:r w:rsidR="005F21D3" w:rsidRPr="00151381">
        <w:rPr>
          <w:noProof/>
          <w:snapToGrid/>
          <w:color w:val="auto"/>
        </w:rPr>
        <mc:AlternateContent>
          <mc:Choice Requires="wps">
            <w:drawing>
              <wp:anchor distT="0" distB="0" distL="114300" distR="114300" simplePos="0" relativeHeight="251657216" behindDoc="0" locked="0" layoutInCell="1" allowOverlap="1" wp14:anchorId="45BD0325" wp14:editId="0DB88839">
                <wp:simplePos x="0" y="0"/>
                <wp:positionH relativeFrom="column">
                  <wp:posOffset>6160758</wp:posOffset>
                </wp:positionH>
                <wp:positionV relativeFrom="paragraph">
                  <wp:posOffset>151765</wp:posOffset>
                </wp:positionV>
                <wp:extent cx="914400" cy="308540"/>
                <wp:effectExtent l="0" t="0" r="0" b="0"/>
                <wp:wrapNone/>
                <wp:docPr id="1706492880" name="Text Box 1"/>
                <wp:cNvGraphicFramePr/>
                <a:graphic xmlns:a="http://schemas.openxmlformats.org/drawingml/2006/main">
                  <a:graphicData uri="http://schemas.microsoft.com/office/word/2010/wordprocessingShape">
                    <wps:wsp>
                      <wps:cNvSpPr txBox="1"/>
                      <wps:spPr>
                        <a:xfrm>
                          <a:off x="0" y="0"/>
                          <a:ext cx="914400" cy="308540"/>
                        </a:xfrm>
                        <a:prstGeom prst="rect">
                          <a:avLst/>
                        </a:prstGeom>
                        <a:noFill/>
                        <a:ln w="6350">
                          <a:noFill/>
                        </a:ln>
                      </wps:spPr>
                      <wps:txbx>
                        <w:txbxContent>
                          <w:p w14:paraId="12E57F8D" w14:textId="53052A3E" w:rsidR="005F21D3" w:rsidRDefault="005F21D3" w:rsidP="005F21D3">
                            <w:r>
                              <w:t>(</w:t>
                            </w:r>
                            <w:r>
                              <w:rPr>
                                <w:b/>
                                <w:bCs/>
                              </w:rPr>
                              <w:t>b</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BD0325" id="_x0000_s1027" type="#_x0000_t202" style="position:absolute;left:0;text-align:left;margin-left:485.1pt;margin-top:11.95pt;width:1in;height:24.3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KCFQIAADAEAAAOAAAAZHJzL2Uyb0RvYy54bWysU01vGyEQvVfqf0Dc6107dpqsvI7cRK4q&#10;WUkkp8oZs+BFYhkE2Lvur+/Arj+U9lT1AgMzzMd7j/lD12hyEM4rMCUdj3JKhOFQKbMr6c+31Zc7&#10;SnxgpmIajCjpUXj6sPj8ad7aQkygBl0JRzCJ8UVrS1qHYIss87wWDfMjsMKgU4JrWMCj22WVYy1m&#10;b3Q2yfPbrAVXWQdceI+3T72TLlJ+KQUPL1J6EYguKfYW0urSuo1rtpizYueYrRUf2mD/0EXDlMGi&#10;51RPLDCyd+qPVI3iDjzIMOLQZCCl4iLNgNOM8w/TbGpmRZoFwfH2DJP/f2n582FjXx0J3TfokMAI&#10;SGt94fEyztNJ18QdOyXoRwiPZ9hEFwjHy/vxdJqjh6PrJr+bTROs2eWxdT58F9CQaJTUISsJLHZY&#10;+4AFMfQUEmsZWCmtEzPakLaktzezPD04e/CFNvjw0mq0QrftiKquxthCdcTpHPTEe8tXCntYMx9e&#10;mUOmsW1Ub3jBRWrAWjBYlNTgfv3tPsYjAeilpEXllNSgtCnRPwwSk8BAoaXDdPZ1ghXctWd77TH7&#10;5hFQmmP8JZYnM8YHfTKlg+YdJb6MNdHFDMfKJQ0n8zH0asYvwsVymYJQWpaFtdlYHlNHTCO+b907&#10;c3YgISB7z3BSGCs+cNHH9mws9wGkSkRFlHtMB/BRlom/4QtF3V+fU9Tloy9+AwAA//8DAFBLAwQU&#10;AAYACAAAACEAsn0yFuMAAAAKAQAADwAAAGRycy9kb3ducmV2LnhtbEyPwU7DMAyG70i8Q2QkLmhL&#10;WmBjpe4ESKAJMRAbQjtmbWiqNU6VpFv39mQnONr+9Pv78/lgWrZXzjeWEJKxAKaotFVDNcLX+nl0&#10;B8wHSZVsLSmEo/IwL87PcplV9kCfar8KNYsh5DOJoEPoMs59qZWRfmw7RfH2Y52RIY6u5pWThxhu&#10;Wp4KMeFGNhQ/aNmpJ63K3ao3CDv9evUhXpaP35PF0b2ve7txbxvEy4vh4R5YUEP4g+GkH9WhiE5b&#10;21PlWYswm4o0ogjp9QzYCUiSm7jZIkzTW+BFzv9XKH4BAAD//wMAUEsBAi0AFAAGAAgAAAAhALaD&#10;OJL+AAAA4QEAABMAAAAAAAAAAAAAAAAAAAAAAFtDb250ZW50X1R5cGVzXS54bWxQSwECLQAUAAYA&#10;CAAAACEAOP0h/9YAAACUAQAACwAAAAAAAAAAAAAAAAAvAQAAX3JlbHMvLnJlbHNQSwECLQAUAAYA&#10;CAAAACEAlJPCghUCAAAwBAAADgAAAAAAAAAAAAAAAAAuAgAAZHJzL2Uyb0RvYy54bWxQSwECLQAU&#10;AAYACAAAACEAsn0yFuMAAAAKAQAADwAAAAAAAAAAAAAAAABvBAAAZHJzL2Rvd25yZXYueG1sUEsF&#10;BgAAAAAEAAQA8wAAAH8FAAAAAA==&#10;" filled="f" stroked="f" strokeweight=".5pt">
                <v:textbox>
                  <w:txbxContent>
                    <w:p w14:paraId="12E57F8D" w14:textId="53052A3E" w:rsidR="005F21D3" w:rsidRDefault="005F21D3" w:rsidP="005F21D3">
                      <w:r>
                        <w:t>(</w:t>
                      </w:r>
                      <w:r>
                        <w:rPr>
                          <w:b/>
                          <w:bCs/>
                        </w:rPr>
                        <w:t>b</w:t>
                      </w:r>
                      <w:r>
                        <w:t>)</w:t>
                      </w:r>
                    </w:p>
                  </w:txbxContent>
                </v:textbox>
              </v:shape>
            </w:pict>
          </mc:Fallback>
        </mc:AlternateContent>
      </w:r>
      <w:r w:rsidR="005F21D3" w:rsidRPr="00151381">
        <w:rPr>
          <w:color w:val="auto"/>
        </w:rPr>
        <w:t xml:space="preserve">                  </w:t>
      </w:r>
      <w:r w:rsidRPr="00151381">
        <w:rPr>
          <w:color w:val="auto"/>
        </w:rPr>
        <w:t xml:space="preserve">     </w:t>
      </w:r>
      <w:r w:rsidRPr="00151381">
        <w:rPr>
          <w:noProof/>
          <w:color w:val="auto"/>
        </w:rPr>
        <w:t xml:space="preserve"> </w:t>
      </w:r>
      <w:r w:rsidR="00FA694E" w:rsidRPr="00151381">
        <w:rPr>
          <w:noProof/>
          <w:snapToGrid/>
          <w:color w:val="auto"/>
        </w:rPr>
        <w:drawing>
          <wp:inline distT="0" distB="0" distL="0" distR="0" wp14:anchorId="5095E8BF" wp14:editId="766020D8">
            <wp:extent cx="2297651" cy="1713448"/>
            <wp:effectExtent l="0" t="0" r="7620" b="1270"/>
            <wp:docPr id="20480633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11504" cy="1798353"/>
                    </a:xfrm>
                    <a:prstGeom prst="rect">
                      <a:avLst/>
                    </a:prstGeom>
                    <a:noFill/>
                  </pic:spPr>
                </pic:pic>
              </a:graphicData>
            </a:graphic>
          </wp:inline>
        </w:drawing>
      </w:r>
      <w:r w:rsidR="00FA694E" w:rsidRPr="00151381">
        <w:rPr>
          <w:rFonts w:ascii="Times New Roman" w:hAnsi="Times New Roman"/>
          <w:noProof/>
          <w:snapToGrid/>
          <w:color w:val="auto"/>
          <w:sz w:val="24"/>
          <w:szCs w:val="24"/>
          <w:lang w:eastAsia="en-GB" w:bidi="ar-SA"/>
        </w:rPr>
        <w:drawing>
          <wp:inline distT="0" distB="0" distL="0" distR="0" wp14:anchorId="66547F58" wp14:editId="7B9E65EB">
            <wp:extent cx="2801762" cy="1686495"/>
            <wp:effectExtent l="19050" t="19050" r="17780" b="28575"/>
            <wp:docPr id="9020324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2223" cy="1740947"/>
                    </a:xfrm>
                    <a:prstGeom prst="rect">
                      <a:avLst/>
                    </a:prstGeom>
                    <a:noFill/>
                    <a:ln w="3175">
                      <a:solidFill>
                        <a:schemeClr val="tx1"/>
                      </a:solidFill>
                    </a:ln>
                  </pic:spPr>
                </pic:pic>
              </a:graphicData>
            </a:graphic>
          </wp:inline>
        </w:drawing>
      </w:r>
    </w:p>
    <w:p w14:paraId="77A9222A" w14:textId="217ACE49" w:rsidR="005F21D3" w:rsidRPr="00151381" w:rsidRDefault="005F21D3" w:rsidP="00B84CFA">
      <w:pPr>
        <w:pStyle w:val="MDPI51figurecaption"/>
        <w:rPr>
          <w:color w:val="auto"/>
        </w:rPr>
      </w:pPr>
      <w:r w:rsidRPr="00151381">
        <w:rPr>
          <w:color w:val="auto"/>
        </w:rPr>
        <w:t>Figure</w:t>
      </w:r>
      <w:r w:rsidR="00C778A4" w:rsidRPr="00151381">
        <w:rPr>
          <w:color w:val="auto"/>
        </w:rPr>
        <w:t xml:space="preserve"> </w:t>
      </w:r>
      <w:r w:rsidR="00B26008">
        <w:rPr>
          <w:color w:val="auto"/>
        </w:rPr>
        <w:t>8</w:t>
      </w:r>
      <w:r w:rsidR="00C778A4" w:rsidRPr="00151381">
        <w:rPr>
          <w:color w:val="auto"/>
        </w:rPr>
        <w:t xml:space="preserve">. Method validation. </w:t>
      </w:r>
      <w:r w:rsidR="00B84CFA" w:rsidRPr="00151381">
        <w:rPr>
          <w:color w:val="auto"/>
        </w:rPr>
        <w:t>(</w:t>
      </w:r>
      <w:r w:rsidR="00B84CFA" w:rsidRPr="00151381">
        <w:rPr>
          <w:b/>
          <w:bCs/>
          <w:color w:val="auto"/>
        </w:rPr>
        <w:t>a</w:t>
      </w:r>
      <w:r w:rsidR="00B84CFA" w:rsidRPr="00151381">
        <w:rPr>
          <w:color w:val="auto"/>
        </w:rPr>
        <w:t xml:space="preserve">) </w:t>
      </w:r>
      <w:r w:rsidR="00C778A4" w:rsidRPr="00151381">
        <w:rPr>
          <w:color w:val="auto"/>
        </w:rPr>
        <w:t xml:space="preserve">Correlation between </w:t>
      </w:r>
      <w:r w:rsidR="00B84CFA" w:rsidRPr="00151381">
        <w:rPr>
          <w:color w:val="auto"/>
        </w:rPr>
        <w:t>population estimate and field-measured; (</w:t>
      </w:r>
      <w:r w:rsidR="00B84CFA" w:rsidRPr="00151381">
        <w:rPr>
          <w:b/>
          <w:bCs/>
          <w:color w:val="auto"/>
        </w:rPr>
        <w:t>b</w:t>
      </w:r>
      <w:r w:rsidR="00B84CFA" w:rsidRPr="00151381">
        <w:rPr>
          <w:color w:val="auto"/>
        </w:rPr>
        <w:t>) difference between population estimate and field-measured</w:t>
      </w:r>
    </w:p>
    <w:p w14:paraId="6C8A0898" w14:textId="583F00A1" w:rsidR="00B84CFA" w:rsidRPr="00B84CFA" w:rsidRDefault="00B84CFA" w:rsidP="00B84CFA">
      <w:pPr>
        <w:pStyle w:val="MDPI22heading2"/>
        <w:rPr>
          <w:color w:val="auto"/>
        </w:rPr>
      </w:pPr>
      <w:r w:rsidRPr="00151381">
        <w:rPr>
          <w:color w:val="auto"/>
        </w:rPr>
        <w:t xml:space="preserve">3.2. </w:t>
      </w:r>
      <w:r w:rsidRPr="00B84CFA">
        <w:rPr>
          <w:color w:val="auto"/>
        </w:rPr>
        <w:t>Cercle of Niono</w:t>
      </w:r>
    </w:p>
    <w:p w14:paraId="29B2D9FF" w14:textId="240B13E1" w:rsidR="00B84CFA" w:rsidRPr="00151381" w:rsidRDefault="00B84CFA" w:rsidP="00A14DE6">
      <w:pPr>
        <w:pStyle w:val="MDPI31text"/>
        <w:rPr>
          <w:color w:val="auto"/>
        </w:rPr>
      </w:pPr>
      <w:r w:rsidRPr="00151381">
        <w:rPr>
          <w:color w:val="auto"/>
        </w:rPr>
        <w:t xml:space="preserve">The </w:t>
      </w:r>
      <w:r w:rsidR="00C91519" w:rsidRPr="00151381">
        <w:rPr>
          <w:color w:val="auto"/>
        </w:rPr>
        <w:t xml:space="preserve">Figure </w:t>
      </w:r>
      <w:r w:rsidR="00655CEB">
        <w:rPr>
          <w:color w:val="auto"/>
        </w:rPr>
        <w:t>9</w:t>
      </w:r>
      <w:r w:rsidR="00C91519" w:rsidRPr="00151381">
        <w:rPr>
          <w:color w:val="auto"/>
        </w:rPr>
        <w:t>a</w:t>
      </w:r>
      <w:r w:rsidRPr="00151381">
        <w:rPr>
          <w:color w:val="auto"/>
        </w:rPr>
        <w:t xml:space="preserve"> evaluate the model's accuracy by comparing estimated population values with actual values for each Enumeration Section (ES) in the </w:t>
      </w:r>
      <w:proofErr w:type="spellStart"/>
      <w:r w:rsidRPr="00151381">
        <w:rPr>
          <w:color w:val="auto"/>
        </w:rPr>
        <w:t>Niono</w:t>
      </w:r>
      <w:proofErr w:type="spellEnd"/>
      <w:r w:rsidRPr="00151381">
        <w:rPr>
          <w:color w:val="auto"/>
        </w:rPr>
        <w:t xml:space="preserve"> Cercle. The trend line (y=0.92x+49.30) suggests a strong linear relationship, with a slope of 0.92, indicating that the model generally performs well across various population levels. A correlation coefficient of 0.94 confirms a strong positive correlation, showing that the model's estimates align closely with actual values. The Mean Absolute Error (MAE) of 29.58 indicates an average deviation of about 30 individuals per ES, while the Root Mean Square Error (RMSE) of 42.79 highlights some variability, with larger deviations in certain cases. The intercept of 49.30 hints at a slight overestimation for lower population levels. </w:t>
      </w:r>
      <w:r w:rsidR="00277879" w:rsidRPr="00151381">
        <w:rPr>
          <w:color w:val="auto"/>
        </w:rPr>
        <w:t xml:space="preserve">Figure </w:t>
      </w:r>
      <w:r w:rsidR="00DB11E4">
        <w:rPr>
          <w:color w:val="auto"/>
        </w:rPr>
        <w:t>9</w:t>
      </w:r>
      <w:r w:rsidR="00277879" w:rsidRPr="00151381">
        <w:rPr>
          <w:color w:val="auto"/>
        </w:rPr>
        <w:t>b</w:t>
      </w:r>
      <w:r w:rsidRPr="00151381">
        <w:rPr>
          <w:color w:val="auto"/>
        </w:rPr>
        <w:t xml:space="preserve"> provides further insight into these deviations by showing the difference between estimated and actual populations across ES. Although the differences fluctuate around zero, certain ES show higher discrepancies</w:t>
      </w:r>
      <w:r w:rsidR="00C91519" w:rsidRPr="00151381">
        <w:rPr>
          <w:color w:val="auto"/>
        </w:rPr>
        <w:t xml:space="preserve">, Figure </w:t>
      </w:r>
      <w:r w:rsidR="00DB11E4">
        <w:rPr>
          <w:color w:val="auto"/>
        </w:rPr>
        <w:t>9</w:t>
      </w:r>
      <w:r w:rsidR="00C91519" w:rsidRPr="00151381">
        <w:rPr>
          <w:color w:val="auto"/>
        </w:rPr>
        <w:t>b</w:t>
      </w:r>
      <w:r w:rsidRPr="00151381">
        <w:rPr>
          <w:color w:val="auto"/>
        </w:rPr>
        <w:t>. Overall, while the model demonstrates a high degree of accuracy, adjustments to reduce variability at higher population levels could enhance precision.</w:t>
      </w:r>
    </w:p>
    <w:p w14:paraId="679DE33E" w14:textId="4E23003F" w:rsidR="00B84CFA" w:rsidRPr="00151381" w:rsidRDefault="00A14DE6" w:rsidP="00A14DE6">
      <w:pPr>
        <w:pStyle w:val="MDPI52figure"/>
        <w:rPr>
          <w:noProof/>
          <w:color w:val="auto"/>
        </w:rPr>
      </w:pPr>
      <w:r w:rsidRPr="00151381">
        <w:rPr>
          <w:noProof/>
          <w:snapToGrid/>
          <w:color w:val="auto"/>
        </w:rPr>
        <mc:AlternateContent>
          <mc:Choice Requires="wps">
            <w:drawing>
              <wp:anchor distT="0" distB="0" distL="114300" distR="114300" simplePos="0" relativeHeight="251661312" behindDoc="0" locked="0" layoutInCell="1" allowOverlap="1" wp14:anchorId="2FCD4867" wp14:editId="14529EDA">
                <wp:simplePos x="0" y="0"/>
                <wp:positionH relativeFrom="column">
                  <wp:posOffset>5999593</wp:posOffset>
                </wp:positionH>
                <wp:positionV relativeFrom="paragraph">
                  <wp:posOffset>190504</wp:posOffset>
                </wp:positionV>
                <wp:extent cx="914400" cy="308540"/>
                <wp:effectExtent l="0" t="0" r="0" b="0"/>
                <wp:wrapNone/>
                <wp:docPr id="1898422219" name="Text Box 1"/>
                <wp:cNvGraphicFramePr/>
                <a:graphic xmlns:a="http://schemas.openxmlformats.org/drawingml/2006/main">
                  <a:graphicData uri="http://schemas.microsoft.com/office/word/2010/wordprocessingShape">
                    <wps:wsp>
                      <wps:cNvSpPr txBox="1"/>
                      <wps:spPr>
                        <a:xfrm>
                          <a:off x="0" y="0"/>
                          <a:ext cx="914400" cy="308540"/>
                        </a:xfrm>
                        <a:prstGeom prst="rect">
                          <a:avLst/>
                        </a:prstGeom>
                        <a:noFill/>
                        <a:ln w="6350">
                          <a:noFill/>
                        </a:ln>
                      </wps:spPr>
                      <wps:txbx>
                        <w:txbxContent>
                          <w:p w14:paraId="104EA12D" w14:textId="77777777" w:rsidR="00A14DE6" w:rsidRDefault="00A14DE6" w:rsidP="00A14DE6">
                            <w:r>
                              <w:t>(</w:t>
                            </w:r>
                            <w:r>
                              <w:rPr>
                                <w:b/>
                                <w:bCs/>
                              </w:rPr>
                              <w:t>b</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CD4867" id="_x0000_s1028" type="#_x0000_t202" style="position:absolute;left:0;text-align:left;margin-left:472.4pt;margin-top:15pt;width:1in;height:24.3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v8FwIAADAEAAAOAAAAZHJzL2Uyb0RvYy54bWysU01vGyEQvVfqf0Dc6107dpqsvI7cRK4q&#10;WUkkp8oZs+BFYhkE2Lvur+/Arj+U9lT1AgMzzMd7j/lD12hyEM4rMCUdj3JKhOFQKbMr6c+31Zc7&#10;SnxgpmIajCjpUXj6sPj8ad7aQkygBl0JRzCJ8UVrS1qHYIss87wWDfMjsMKgU4JrWMCj22WVYy1m&#10;b3Q2yfPbrAVXWQdceI+3T72TLlJ+KQUPL1J6EYguKfYW0urSuo1rtpizYueYrRUf2mD/0EXDlMGi&#10;51RPLDCyd+qPVI3iDjzIMOLQZCCl4iLNgNOM8w/TbGpmRZoFwfH2DJP/f2n582FjXx0J3TfokMAI&#10;SGt94fEyztNJ18QdOyXoRwiPZ9hEFwjHy/vxdJqjh6PrJr+bTROs2eWxdT58F9CQaJTUISsJLHZY&#10;+4AFMfQUEmsZWCmtEzPakLaktzezPD04e/CFNvjw0mq0QrftiKpKOjmNsYXqiNM56In3lq8U9rBm&#10;Prwyh0xj26je8IKL1IC1YLAoqcH9+tt9jEcC0EtJi8opqUFpU6J/GCQmgYFCS4fp7OsEK7hrz/ba&#10;Y/bNI6A0x/hLLE9mjA/6ZEoHzTtKfBlroosZjpVLGk7mY+jVjF+Ei+UyBaG0LAtrs7E8po6YRnzf&#10;unfm7EBCQPae4aQwVnzgoo/t2VjuA0iViIoo95gO4KMsE3/DF4q6vz6nqMtHX/wGAAD//wMAUEsD&#10;BBQABgAIAAAAIQBMm3hH4gAAAAoBAAAPAAAAZHJzL2Rvd25yZXYueG1sTI9RS8MwFIXfBf9DuIIv&#10;siXqqLX2dqigiKjDTWSPWRObsiYpSbp1/967J3089xzO/U45H23HdjrE1juEy6kApl3tVesahK/V&#10;0yQHFpN0SnbeaYSDjjCvTk9KWSi/d596t0wNoxIXC4lgUuoLzmNttJVx6nvtyPvxwcpEMjRcBbmn&#10;ctvxKyEybmXr6IORvX40ut4uB4uwNa8XC/H8/vCdvRzCx2rw6/C2Rjw/G+/vgCU9pr8wHPEJHSpi&#10;2vjBqcg6hNvZjNATwrWgTceAyHO6bBBu8gx4VfL/E6pfAAAA//8DAFBLAQItABQABgAIAAAAIQC2&#10;gziS/gAAAOEBAAATAAAAAAAAAAAAAAAAAAAAAABbQ29udGVudF9UeXBlc10ueG1sUEsBAi0AFAAG&#10;AAgAAAAhADj9If/WAAAAlAEAAAsAAAAAAAAAAAAAAAAALwEAAF9yZWxzLy5yZWxzUEsBAi0AFAAG&#10;AAgAAAAhAJF6m/wXAgAAMAQAAA4AAAAAAAAAAAAAAAAALgIAAGRycy9lMm9Eb2MueG1sUEsBAi0A&#10;FAAGAAgAAAAhAEybeEfiAAAACgEAAA8AAAAAAAAAAAAAAAAAcQQAAGRycy9kb3ducmV2LnhtbFBL&#10;BQYAAAAABAAEAPMAAACABQAAAAA=&#10;" filled="f" stroked="f" strokeweight=".5pt">
                <v:textbox>
                  <w:txbxContent>
                    <w:p w14:paraId="104EA12D" w14:textId="77777777" w:rsidR="00A14DE6" w:rsidRDefault="00A14DE6" w:rsidP="00A14DE6">
                      <w:r>
                        <w:t>(</w:t>
                      </w:r>
                      <w:r>
                        <w:rPr>
                          <w:b/>
                          <w:bCs/>
                        </w:rPr>
                        <w:t>b</w:t>
                      </w:r>
                      <w:r>
                        <w:t>)</w:t>
                      </w:r>
                    </w:p>
                  </w:txbxContent>
                </v:textbox>
              </v:shape>
            </w:pict>
          </mc:Fallback>
        </mc:AlternateContent>
      </w:r>
      <w:r w:rsidRPr="00151381">
        <w:rPr>
          <w:noProof/>
          <w:snapToGrid/>
          <w:color w:val="auto"/>
        </w:rPr>
        <mc:AlternateContent>
          <mc:Choice Requires="wps">
            <w:drawing>
              <wp:anchor distT="0" distB="0" distL="114300" distR="114300" simplePos="0" relativeHeight="251659264" behindDoc="0" locked="0" layoutInCell="1" allowOverlap="1" wp14:anchorId="4E04131F" wp14:editId="7B4EAD13">
                <wp:simplePos x="0" y="0"/>
                <wp:positionH relativeFrom="column">
                  <wp:posOffset>2280285</wp:posOffset>
                </wp:positionH>
                <wp:positionV relativeFrom="paragraph">
                  <wp:posOffset>156740</wp:posOffset>
                </wp:positionV>
                <wp:extent cx="914400" cy="308540"/>
                <wp:effectExtent l="0" t="0" r="0" b="0"/>
                <wp:wrapNone/>
                <wp:docPr id="186920878" name="Text Box 1"/>
                <wp:cNvGraphicFramePr/>
                <a:graphic xmlns:a="http://schemas.openxmlformats.org/drawingml/2006/main">
                  <a:graphicData uri="http://schemas.microsoft.com/office/word/2010/wordprocessingShape">
                    <wps:wsp>
                      <wps:cNvSpPr txBox="1"/>
                      <wps:spPr>
                        <a:xfrm>
                          <a:off x="0" y="0"/>
                          <a:ext cx="914400" cy="308540"/>
                        </a:xfrm>
                        <a:prstGeom prst="rect">
                          <a:avLst/>
                        </a:prstGeom>
                        <a:noFill/>
                        <a:ln w="6350">
                          <a:noFill/>
                        </a:ln>
                      </wps:spPr>
                      <wps:txbx>
                        <w:txbxContent>
                          <w:p w14:paraId="65FB670C" w14:textId="77777777" w:rsidR="00A14DE6" w:rsidRDefault="00A14DE6" w:rsidP="00A14DE6">
                            <w:r>
                              <w:t>(</w:t>
                            </w:r>
                            <w:r w:rsidRPr="005F21D3">
                              <w:rPr>
                                <w:b/>
                                <w:bCs/>
                              </w:rPr>
                              <w:t>a</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04131F" id="_x0000_s1029" type="#_x0000_t202" style="position:absolute;left:0;text-align:left;margin-left:179.55pt;margin-top:12.35pt;width:1in;height:24.3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3xgFwIAADAEAAAOAAAAZHJzL2Uyb0RvYy54bWysU01vGyEQvVfqf0Dc6107dpqsvI7cRK4q&#10;WUkkp8oZs+BFYhkE2Lvur+/Arj+U9lT1AgMzzMd7j/lD12hyEM4rMCUdj3JKhOFQKbMr6c+31Zc7&#10;SnxgpmIajCjpUXj6sPj8ad7aQkygBl0JRzCJ8UVrS1qHYIss87wWDfMjsMKgU4JrWMCj22WVYy1m&#10;b3Q2yfPbrAVXWQdceI+3T72TLlJ+KQUPL1J6EYguKfYW0urSuo1rtpizYueYrRUf2mD/0EXDlMGi&#10;51RPLDCyd+qPVI3iDjzIMOLQZCCl4iLNgNOM8w/TbGpmRZoFwfH2DJP/f2n582FjXx0J3TfokMAI&#10;SGt94fEyztNJ18QdOyXoRwiPZ9hEFwjHy/vxdJqjh6PrJr+bTROs2eWxdT58F9CQaJTUISsJLHZY&#10;+4AFMfQUEmsZWCmtEzPakLaktzezPD04e/CFNvjw0mq0QrftiKqwi9MYW6iOOJ2Dnnhv+UphD2vm&#10;wytzyDS2jeoNL7hIDVgLBouSGtyvv93HeCQAvZS0qJySGpQ2JfqHQWISGCi0dJjOvk6wgrv2bK89&#10;Zt88AkpzjL/E8mTG+KBPpnTQvKPEl7EmupjhWLmk4WQ+hl7N+EW4WC5TEErLsrA2G8tj6ohpxPet&#10;e2fODiQEZO8ZTgpjxQcu+tiejeU+gFSJqIhyj+kAPsoy8Td8oaj763OKunz0xW8AAAD//wMAUEsD&#10;BBQABgAIAAAAIQBxdwDN4wAAAAkBAAAPAAAAZHJzL2Rvd25yZXYueG1sTI/LTsMwEEX3SPyDNUhs&#10;ELXb0BZCnAqQQBXiIVqEunTjIY4ajyPbadO/x6xgOTNHd84tFoNt2R59aBxJGI8EMKTK6YZqCZ/r&#10;x8trYCEq0qp1hBKOGGBRnp4UKtfuQB+4X8WapRAKuZJgYuxyzkNl0Kowch1Sun07b1VMo6+59uqQ&#10;wm3LJ0LMuFUNpQ9GdfhgsNqteithZ54v3sXT6/3XbHn0b+vebfzLRsrzs+HuFljEIf7B8Kuf1KFM&#10;TlvXkw6slZBNb8YJlTC5mgNLwFRkabGVMM8y4GXB/zcofwAAAP//AwBQSwECLQAUAAYACAAAACEA&#10;toM4kv4AAADhAQAAEwAAAAAAAAAAAAAAAAAAAAAAW0NvbnRlbnRfVHlwZXNdLnhtbFBLAQItABQA&#10;BgAIAAAAIQA4/SH/1gAAAJQBAAALAAAAAAAAAAAAAAAAAC8BAABfcmVscy8ucmVsc1BLAQItABQA&#10;BgAIAAAAIQCt33xgFwIAADAEAAAOAAAAAAAAAAAAAAAAAC4CAABkcnMvZTJvRG9jLnhtbFBLAQIt&#10;ABQABgAIAAAAIQBxdwDN4wAAAAkBAAAPAAAAAAAAAAAAAAAAAHEEAABkcnMvZG93bnJldi54bWxQ&#10;SwUGAAAAAAQABADzAAAAgQUAAAAA&#10;" filled="f" stroked="f" strokeweight=".5pt">
                <v:textbox>
                  <w:txbxContent>
                    <w:p w14:paraId="65FB670C" w14:textId="77777777" w:rsidR="00A14DE6" w:rsidRDefault="00A14DE6" w:rsidP="00A14DE6">
                      <w:r>
                        <w:t>(</w:t>
                      </w:r>
                      <w:r w:rsidRPr="005F21D3">
                        <w:rPr>
                          <w:b/>
                          <w:bCs/>
                        </w:rPr>
                        <w:t>a</w:t>
                      </w:r>
                      <w:r>
                        <w:t>)</w:t>
                      </w:r>
                    </w:p>
                  </w:txbxContent>
                </v:textbox>
              </v:shape>
            </w:pict>
          </mc:Fallback>
        </mc:AlternateContent>
      </w:r>
      <w:r w:rsidRPr="00151381">
        <w:rPr>
          <w:color w:val="auto"/>
        </w:rPr>
        <w:t xml:space="preserve">       </w:t>
      </w:r>
      <w:r w:rsidRPr="00151381">
        <w:rPr>
          <w:noProof/>
          <w:color w:val="auto"/>
        </w:rPr>
        <w:drawing>
          <wp:inline distT="0" distB="0" distL="0" distR="0" wp14:anchorId="52C57A39" wp14:editId="7CEEBFC2">
            <wp:extent cx="2739212" cy="2042740"/>
            <wp:effectExtent l="0" t="0" r="4445" b="0"/>
            <wp:docPr id="3715308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0497" cy="2051155"/>
                    </a:xfrm>
                    <a:prstGeom prst="rect">
                      <a:avLst/>
                    </a:prstGeom>
                    <a:noFill/>
                  </pic:spPr>
                </pic:pic>
              </a:graphicData>
            </a:graphic>
          </wp:inline>
        </w:drawing>
      </w:r>
      <w:r w:rsidRPr="00151381">
        <w:rPr>
          <w:rFonts w:ascii="Times New Roman" w:hAnsi="Times New Roman"/>
          <w:noProof/>
          <w:snapToGrid/>
          <w:color w:val="auto"/>
          <w:sz w:val="24"/>
          <w:szCs w:val="24"/>
          <w:lang w:eastAsia="en-GB" w:bidi="ar-SA"/>
        </w:rPr>
        <w:drawing>
          <wp:inline distT="0" distB="0" distL="0" distR="0" wp14:anchorId="36C7B6DF" wp14:editId="5E011B2D">
            <wp:extent cx="3394710" cy="2038709"/>
            <wp:effectExtent l="19050" t="19050" r="15240" b="19050"/>
            <wp:docPr id="3498337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13244" cy="2049840"/>
                    </a:xfrm>
                    <a:prstGeom prst="rect">
                      <a:avLst/>
                    </a:prstGeom>
                    <a:noFill/>
                    <a:ln w="3175">
                      <a:solidFill>
                        <a:schemeClr val="tx1"/>
                      </a:solidFill>
                    </a:ln>
                  </pic:spPr>
                </pic:pic>
              </a:graphicData>
            </a:graphic>
          </wp:inline>
        </w:drawing>
      </w:r>
    </w:p>
    <w:p w14:paraId="4F4129F2" w14:textId="61815FFE" w:rsidR="00A14DE6" w:rsidRPr="00151381" w:rsidRDefault="00A14DE6" w:rsidP="00A14DE6">
      <w:pPr>
        <w:pStyle w:val="MDPI51figurecaption"/>
        <w:rPr>
          <w:color w:val="auto"/>
        </w:rPr>
      </w:pPr>
      <w:r w:rsidRPr="00151381">
        <w:rPr>
          <w:color w:val="auto"/>
        </w:rPr>
        <w:lastRenderedPageBreak/>
        <w:tab/>
        <w:t xml:space="preserve">Figure </w:t>
      </w:r>
      <w:r w:rsidR="00655CEB">
        <w:rPr>
          <w:color w:val="auto"/>
        </w:rPr>
        <w:t>9</w:t>
      </w:r>
      <w:r w:rsidRPr="00151381">
        <w:rPr>
          <w:color w:val="auto"/>
        </w:rPr>
        <w:t>. Method validation. (</w:t>
      </w:r>
      <w:r w:rsidRPr="00151381">
        <w:rPr>
          <w:b/>
          <w:bCs/>
          <w:color w:val="auto"/>
        </w:rPr>
        <w:t>a</w:t>
      </w:r>
      <w:r w:rsidRPr="00151381">
        <w:rPr>
          <w:color w:val="auto"/>
        </w:rPr>
        <w:t>) Correlation between population estimate and field-measured; (</w:t>
      </w:r>
      <w:r w:rsidRPr="00151381">
        <w:rPr>
          <w:b/>
          <w:bCs/>
          <w:color w:val="auto"/>
        </w:rPr>
        <w:t>b</w:t>
      </w:r>
      <w:r w:rsidRPr="00151381">
        <w:rPr>
          <w:color w:val="auto"/>
        </w:rPr>
        <w:t>) difference between population estimate and field-measured</w:t>
      </w:r>
    </w:p>
    <w:p w14:paraId="038FAEF9" w14:textId="5A3DEA1F" w:rsidR="00A14DE6" w:rsidRPr="00151381" w:rsidRDefault="005B56C7" w:rsidP="005B56C7">
      <w:pPr>
        <w:pStyle w:val="MDPI21heading1"/>
        <w:rPr>
          <w:color w:val="auto"/>
        </w:rPr>
      </w:pPr>
      <w:r w:rsidRPr="00151381">
        <w:rPr>
          <w:color w:val="auto"/>
        </w:rPr>
        <w:t>4. Discussion</w:t>
      </w:r>
    </w:p>
    <w:p w14:paraId="48E52260" w14:textId="6228F03F" w:rsidR="00953B4E" w:rsidRDefault="005B56C7" w:rsidP="00953B4E">
      <w:pPr>
        <w:pStyle w:val="MDPI31text"/>
        <w:rPr>
          <w:color w:val="auto"/>
        </w:rPr>
      </w:pPr>
      <w:r w:rsidRPr="00151381">
        <w:rPr>
          <w:color w:val="auto"/>
        </w:rPr>
        <w:tab/>
      </w:r>
      <w:r w:rsidR="00953B4E" w:rsidRPr="00151381">
        <w:rPr>
          <w:color w:val="auto"/>
        </w:rPr>
        <w:t>Automating pre-census Enumeration Section (ES) mapping using satellite imagery and vector-based data</w:t>
      </w:r>
      <w:r w:rsidR="006D0211" w:rsidRPr="00151381">
        <w:rPr>
          <w:color w:val="auto"/>
        </w:rPr>
        <w:t xml:space="preserve"> based on the GIS technique</w:t>
      </w:r>
      <w:r w:rsidR="00953B4E" w:rsidRPr="00151381">
        <w:rPr>
          <w:color w:val="auto"/>
        </w:rPr>
        <w:t xml:space="preserve"> represents a substantial improvement in census preparation processes, particularly in terms of accuracy and efficiency. Very-high-resolutio</w:t>
      </w:r>
      <w:r w:rsidR="004F5B27" w:rsidRPr="00151381">
        <w:rPr>
          <w:color w:val="auto"/>
        </w:rPr>
        <w:t>n</w:t>
      </w:r>
      <w:r w:rsidR="00953B4E" w:rsidRPr="00151381">
        <w:rPr>
          <w:color w:val="auto"/>
        </w:rPr>
        <w:t xml:space="preserve"> satellite images enhance structural detection precision, which is critical for accurate population estimation and resource allocation in national censuses</w:t>
      </w:r>
      <w:r w:rsidR="00046329" w:rsidRPr="00151381">
        <w:rPr>
          <w:color w:val="auto"/>
        </w:rPr>
        <w:t xml:space="preserve"> </w:t>
      </w:r>
      <w:r w:rsidR="00D25FE1">
        <w:rPr>
          <w:color w:val="auto"/>
        </w:rPr>
        <w:t xml:space="preserve">using GIS techniques </w:t>
      </w:r>
      <w:r w:rsidR="00C1267A" w:rsidRPr="00151381">
        <w:rPr>
          <w:color w:val="auto"/>
        </w:rPr>
        <w:t>[27]</w:t>
      </w:r>
      <w:r w:rsidR="00953B4E" w:rsidRPr="00151381">
        <w:rPr>
          <w:color w:val="auto"/>
        </w:rPr>
        <w:t>. In many developing countries, logistical and resource limitations make traditional, field-intensive census methods challenging. Automated mapping addresses these obstacles by generating reliable data without extensive fieldwork, enabling more accurate and accessible population mapping even in areas with outdated or incomplete census data</w:t>
      </w:r>
      <w:r w:rsidR="00BA3CC8" w:rsidRPr="00151381">
        <w:rPr>
          <w:color w:val="auto"/>
        </w:rPr>
        <w:t xml:space="preserve"> [2</w:t>
      </w:r>
      <w:r w:rsidR="00C1267A" w:rsidRPr="00151381">
        <w:rPr>
          <w:color w:val="auto"/>
        </w:rPr>
        <w:t>8</w:t>
      </w:r>
      <w:r w:rsidR="00BA3CC8" w:rsidRPr="00151381">
        <w:rPr>
          <w:color w:val="auto"/>
        </w:rPr>
        <w:t>]</w:t>
      </w:r>
      <w:r w:rsidR="00953B4E" w:rsidRPr="00151381">
        <w:rPr>
          <w:color w:val="auto"/>
        </w:rPr>
        <w:t xml:space="preserve">. </w:t>
      </w:r>
    </w:p>
    <w:p w14:paraId="38922BEF" w14:textId="63FA8F24" w:rsidR="00D25FE1" w:rsidRPr="00953B4E" w:rsidRDefault="00BE49D6" w:rsidP="00393F47">
      <w:pPr>
        <w:pStyle w:val="MDPI31text"/>
        <w:rPr>
          <w:color w:val="auto"/>
        </w:rPr>
      </w:pPr>
      <w:r>
        <w:rPr>
          <w:color w:val="auto"/>
        </w:rPr>
        <w:t>Many gridded population surveys have developed ad-hoc sampling approaches using GIS software, such as ArcGIS. Galway</w:t>
      </w:r>
      <w:r w:rsidR="00A32516">
        <w:rPr>
          <w:color w:val="auto"/>
        </w:rPr>
        <w:t xml:space="preserve"> et al.,</w:t>
      </w:r>
      <w:r w:rsidR="00A32516" w:rsidRPr="00A32516">
        <w:rPr>
          <w:color w:val="auto"/>
        </w:rPr>
        <w:t xml:space="preserve"> </w:t>
      </w:r>
      <w:r w:rsidR="00A32516" w:rsidRPr="00151381">
        <w:rPr>
          <w:color w:val="auto"/>
        </w:rPr>
        <w:t>[2</w:t>
      </w:r>
      <w:r w:rsidR="00A32516">
        <w:rPr>
          <w:color w:val="auto"/>
        </w:rPr>
        <w:t>9</w:t>
      </w:r>
      <w:r w:rsidR="00A32516" w:rsidRPr="00151381">
        <w:rPr>
          <w:color w:val="auto"/>
        </w:rPr>
        <w:t>]</w:t>
      </w:r>
      <w:r>
        <w:rPr>
          <w:color w:val="auto"/>
        </w:rPr>
        <w:t xml:space="preserve"> sampled 1×1 km cells using probability proportional to size (PPS), then randomly selected one household in one building and conducted a random walk </w:t>
      </w:r>
      <w:r w:rsidRPr="00151381">
        <w:rPr>
          <w:color w:val="auto"/>
        </w:rPr>
        <w:t>[2</w:t>
      </w:r>
      <w:r>
        <w:rPr>
          <w:color w:val="auto"/>
        </w:rPr>
        <w:t>9</w:t>
      </w:r>
      <w:r w:rsidRPr="00151381">
        <w:rPr>
          <w:color w:val="auto"/>
        </w:rPr>
        <w:t>]</w:t>
      </w:r>
      <w:r>
        <w:rPr>
          <w:color w:val="auto"/>
        </w:rPr>
        <w:t xml:space="preserve">. Meanwhile, </w:t>
      </w:r>
      <w:r w:rsidR="002B0589" w:rsidRPr="00946122">
        <w:rPr>
          <w:color w:val="auto"/>
        </w:rPr>
        <w:t>Thomson</w:t>
      </w:r>
      <w:r w:rsidR="00CC2449">
        <w:rPr>
          <w:color w:val="auto"/>
        </w:rPr>
        <w:t xml:space="preserve"> et al.,</w:t>
      </w:r>
      <w:r w:rsidR="00CC2449" w:rsidRPr="00CC2449">
        <w:rPr>
          <w:color w:val="auto"/>
        </w:rPr>
        <w:t xml:space="preserve"> </w:t>
      </w:r>
      <w:r w:rsidR="00CC2449" w:rsidRPr="00151381">
        <w:rPr>
          <w:color w:val="auto"/>
        </w:rPr>
        <w:t>[</w:t>
      </w:r>
      <w:r w:rsidR="00CC2449">
        <w:rPr>
          <w:color w:val="auto"/>
        </w:rPr>
        <w:t>30</w:t>
      </w:r>
      <w:r w:rsidR="00CC2449" w:rsidRPr="00151381">
        <w:rPr>
          <w:color w:val="auto"/>
        </w:rPr>
        <w:t>]</w:t>
      </w:r>
      <w:r>
        <w:rPr>
          <w:color w:val="auto"/>
        </w:rPr>
        <w:t xml:space="preserve"> converted 1×1 km population counts into random points, chose points at random, manually delineated clusters within the cells surrounding these points, and performed an area-micro census sample.</w:t>
      </w:r>
      <w:r w:rsidR="00393F47">
        <w:rPr>
          <w:color w:val="auto"/>
        </w:rPr>
        <w:t xml:space="preserve"> P</w:t>
      </w:r>
      <w:r w:rsidR="00953B4E" w:rsidRPr="00953B4E">
        <w:rPr>
          <w:color w:val="auto"/>
        </w:rPr>
        <w:t xml:space="preserve">re-census mapping has relied on manual ES delineation, involving field staff marking boundaries directly on paper maps, which is both time-consuming and error-prone </w:t>
      </w:r>
      <w:r w:rsidR="00BA3CC8" w:rsidRPr="00151381">
        <w:rPr>
          <w:color w:val="auto"/>
        </w:rPr>
        <w:t>[</w:t>
      </w:r>
      <w:r>
        <w:rPr>
          <w:color w:val="auto"/>
        </w:rPr>
        <w:t>31</w:t>
      </w:r>
      <w:r w:rsidR="00BA3CC8" w:rsidRPr="00151381">
        <w:rPr>
          <w:color w:val="auto"/>
        </w:rPr>
        <w:t>]</w:t>
      </w:r>
      <w:r w:rsidR="00953B4E" w:rsidRPr="00953B4E">
        <w:rPr>
          <w:color w:val="auto"/>
        </w:rPr>
        <w:t>. Advances in digital and semi-automated mapping techniques, however, now allow for more precise and efficient ES delineation, reducing the need for labor-intensive methods. Our approach integrates modern geospatial data with computational algorithms to facilitate ES delineation that is both efficient and cost-effective. By utilizing high-resolution data on population distribution and digital boundaries (e.g., buildings, roads, rivers), our semi-automated process achieves accuracy comparable to manual methods with significantly reduced labor input.</w:t>
      </w:r>
    </w:p>
    <w:p w14:paraId="411F515D" w14:textId="24E0F86A" w:rsidR="00953B4E" w:rsidRPr="00953B4E" w:rsidRDefault="00953B4E" w:rsidP="00953B4E">
      <w:pPr>
        <w:pStyle w:val="MDPI31text"/>
        <w:rPr>
          <w:color w:val="auto"/>
        </w:rPr>
      </w:pPr>
      <w:r w:rsidRPr="00953B4E">
        <w:rPr>
          <w:color w:val="auto"/>
        </w:rPr>
        <w:t xml:space="preserve">Additionally, automated methods reduce the risks associated with fieldwork, especially in conflict-affected or insecure regions, where manual approaches may endanger field staff </w:t>
      </w:r>
      <w:r w:rsidR="000C6C5C" w:rsidRPr="00151381">
        <w:rPr>
          <w:color w:val="auto"/>
        </w:rPr>
        <w:t>[28]</w:t>
      </w:r>
      <w:r w:rsidRPr="00953B4E">
        <w:rPr>
          <w:color w:val="auto"/>
        </w:rPr>
        <w:t xml:space="preserve">. </w:t>
      </w:r>
      <w:r w:rsidR="005B0EBB" w:rsidRPr="00151381">
        <w:rPr>
          <w:color w:val="auto"/>
        </w:rPr>
        <w:t>Our approach ensures reliable identification of population locations by integrating current boundaries, providing practical improvements for field operations.</w:t>
      </w:r>
      <w:r w:rsidRPr="00953B4E">
        <w:rPr>
          <w:color w:val="auto"/>
        </w:rPr>
        <w:t xml:space="preserve"> In our case study in Mali, ES boundaries were effectively delineated across both urban and rural contexts, yielding compact, contiguous sections that aligned with physical features. Each ES met designated population and area thresholds, ensuring manageability for field enumerators (e.g., a maximum population of 750 for urban ES)</w:t>
      </w:r>
      <w:r w:rsidR="00E964A3" w:rsidRPr="00151381">
        <w:rPr>
          <w:color w:val="auto"/>
        </w:rPr>
        <w:t>.</w:t>
      </w:r>
      <w:r w:rsidRPr="00953B4E">
        <w:rPr>
          <w:color w:val="auto"/>
        </w:rPr>
        <w:t xml:space="preserve"> Moreover, population estimates within these ES enable the use of these units as a reliable, nationally representative sampling frame, suitable for census-based surveys in settings where up-to-date sampling frames are limited or unavailable.</w:t>
      </w:r>
    </w:p>
    <w:p w14:paraId="6981277D" w14:textId="2033706A" w:rsidR="00953B4E" w:rsidRPr="00953B4E" w:rsidRDefault="00953B4E" w:rsidP="00953B4E">
      <w:pPr>
        <w:pStyle w:val="MDPI31text"/>
        <w:rPr>
          <w:color w:val="auto"/>
        </w:rPr>
      </w:pPr>
      <w:r w:rsidRPr="00953B4E">
        <w:rPr>
          <w:color w:val="auto"/>
        </w:rPr>
        <w:t>To validate our method, we selected two cercles in Mali—</w:t>
      </w:r>
      <w:proofErr w:type="spellStart"/>
      <w:r w:rsidRPr="00953B4E">
        <w:rPr>
          <w:color w:val="auto"/>
        </w:rPr>
        <w:t>Macina</w:t>
      </w:r>
      <w:proofErr w:type="spellEnd"/>
      <w:r w:rsidRPr="00953B4E">
        <w:rPr>
          <w:color w:val="auto"/>
        </w:rPr>
        <w:t xml:space="preserve"> and </w:t>
      </w:r>
      <w:proofErr w:type="spellStart"/>
      <w:r w:rsidRPr="00953B4E">
        <w:rPr>
          <w:color w:val="auto"/>
        </w:rPr>
        <w:t>Niono</w:t>
      </w:r>
      <w:proofErr w:type="spellEnd"/>
      <w:r w:rsidRPr="00953B4E">
        <w:rPr>
          <w:color w:val="auto"/>
        </w:rPr>
        <w:t xml:space="preserve">—representing both secure and constrained security zones. The validation process, involving 128 ES in Macina and 187 in </w:t>
      </w:r>
      <w:proofErr w:type="spellStart"/>
      <w:r w:rsidRPr="00953B4E">
        <w:rPr>
          <w:color w:val="auto"/>
        </w:rPr>
        <w:t>Niono</w:t>
      </w:r>
      <w:proofErr w:type="spellEnd"/>
      <w:r w:rsidRPr="00953B4E">
        <w:rPr>
          <w:color w:val="auto"/>
        </w:rPr>
        <w:t xml:space="preserve">, confirmed our approach’s accuracy, with a strong positive correlation (0.97 in Macina and 0.94 in </w:t>
      </w:r>
      <w:proofErr w:type="spellStart"/>
      <w:r w:rsidRPr="00953B4E">
        <w:rPr>
          <w:color w:val="auto"/>
        </w:rPr>
        <w:t>Niono</w:t>
      </w:r>
      <w:proofErr w:type="spellEnd"/>
      <w:r w:rsidRPr="00953B4E">
        <w:rPr>
          <w:color w:val="auto"/>
        </w:rPr>
        <w:t xml:space="preserve">) between field-measured and estimated populations. This high correlation indicates that the estimation method closely aligns with actual population counts, confirming the model's reliability. Although the overall accuracy is high, refinements to reduce variability at larger population levels could further improve precision. The Mean Absolute Error (MAE) of 26.63 suggests that estimated populations deviate by an average of approximately </w:t>
      </w:r>
      <w:r w:rsidR="00F32FAC" w:rsidRPr="00151381">
        <w:rPr>
          <w:color w:val="auto"/>
        </w:rPr>
        <w:t>3</w:t>
      </w:r>
      <w:r w:rsidRPr="00953B4E">
        <w:rPr>
          <w:color w:val="auto"/>
        </w:rPr>
        <w:t>0 people, indicating low overall error.</w:t>
      </w:r>
      <w:r w:rsidR="006101D9" w:rsidRPr="00151381">
        <w:rPr>
          <w:color w:val="auto"/>
        </w:rPr>
        <w:t xml:space="preserve"> Si et al</w:t>
      </w:r>
      <w:r w:rsidR="007B3113" w:rsidRPr="00151381">
        <w:rPr>
          <w:color w:val="auto"/>
        </w:rPr>
        <w:t xml:space="preserve"> [3</w:t>
      </w:r>
      <w:r w:rsidR="00DC020F">
        <w:rPr>
          <w:color w:val="auto"/>
        </w:rPr>
        <w:t>1</w:t>
      </w:r>
      <w:r w:rsidR="007B3113" w:rsidRPr="00151381">
        <w:rPr>
          <w:color w:val="auto"/>
        </w:rPr>
        <w:t>]</w:t>
      </w:r>
      <w:r w:rsidR="006101D9" w:rsidRPr="00151381">
        <w:rPr>
          <w:color w:val="auto"/>
        </w:rPr>
        <w:t xml:space="preserve"> </w:t>
      </w:r>
      <w:r w:rsidR="004931F9" w:rsidRPr="00151381">
        <w:rPr>
          <w:color w:val="auto"/>
        </w:rPr>
        <w:t>demonstrated that the use of GIS tools enhances information access, making it easier, faster, and less prone to errors, which supports our findings</w:t>
      </w:r>
      <w:r w:rsidR="007B3113" w:rsidRPr="00151381">
        <w:rPr>
          <w:color w:val="auto"/>
        </w:rPr>
        <w:t>.</w:t>
      </w:r>
    </w:p>
    <w:p w14:paraId="1AD4C3EC" w14:textId="30C39F24" w:rsidR="00953B4E" w:rsidRPr="00953B4E" w:rsidRDefault="00953B4E" w:rsidP="00953B4E">
      <w:pPr>
        <w:pStyle w:val="MDPI31text"/>
        <w:rPr>
          <w:color w:val="auto"/>
        </w:rPr>
      </w:pPr>
      <w:r w:rsidRPr="00953B4E">
        <w:rPr>
          <w:color w:val="auto"/>
        </w:rPr>
        <w:t xml:space="preserve">Nevertheless, the approach has limitations. Its effectiveness depends on high-quality, high-resolution </w:t>
      </w:r>
      <w:r w:rsidR="00C73EB5" w:rsidRPr="00151381">
        <w:rPr>
          <w:color w:val="auto"/>
        </w:rPr>
        <w:t>satellite image</w:t>
      </w:r>
      <w:r w:rsidR="001D3C0D" w:rsidRPr="00151381">
        <w:rPr>
          <w:color w:val="auto"/>
        </w:rPr>
        <w:t>s</w:t>
      </w:r>
      <w:r w:rsidR="00C73EB5" w:rsidRPr="00151381">
        <w:rPr>
          <w:color w:val="auto"/>
        </w:rPr>
        <w:t xml:space="preserve">, building characteristics, </w:t>
      </w:r>
      <w:r w:rsidRPr="00953B4E">
        <w:rPr>
          <w:color w:val="auto"/>
        </w:rPr>
        <w:t xml:space="preserve">population and boundary data, which may be challenging to obtain. For this study, we performed extensive data </w:t>
      </w:r>
      <w:r w:rsidRPr="00953B4E">
        <w:rPr>
          <w:color w:val="auto"/>
        </w:rPr>
        <w:lastRenderedPageBreak/>
        <w:t>preprocessing to develop usable gridded population estimates. Furthermore, population estimates, whether derived from models or censuses, are subject to biases influenced by data sources and methodology. In fragile, dynamic regions, model-based data, adapted to local contexts, may yield more accurate estimates than outdated census data</w:t>
      </w:r>
      <w:r w:rsidR="00BA75EC" w:rsidRPr="00151381">
        <w:rPr>
          <w:color w:val="auto"/>
        </w:rPr>
        <w:t xml:space="preserve"> </w:t>
      </w:r>
      <w:r w:rsidR="001D3C0D" w:rsidRPr="00151381">
        <w:rPr>
          <w:color w:val="auto"/>
        </w:rPr>
        <w:t>[</w:t>
      </w:r>
      <w:r w:rsidR="00DC020F">
        <w:rPr>
          <w:color w:val="auto"/>
        </w:rPr>
        <w:t>4</w:t>
      </w:r>
      <w:r w:rsidR="001D3C0D" w:rsidRPr="00151381">
        <w:rPr>
          <w:color w:val="auto"/>
        </w:rPr>
        <w:t>]</w:t>
      </w:r>
      <w:r w:rsidRPr="00953B4E">
        <w:rPr>
          <w:color w:val="auto"/>
        </w:rPr>
        <w:t>. Future refinements to the methodology could improve compactness metrics within the ES delineation tool. For example, optimizing the merge tool to aggregate small ES units using a compactness criterion could enhance the robustness and geographical coherence of ES, even when input data are irregular.</w:t>
      </w:r>
    </w:p>
    <w:p w14:paraId="09BBFCD1" w14:textId="77777777" w:rsidR="00254D4B" w:rsidRPr="00151381" w:rsidRDefault="00953B4E" w:rsidP="00254D4B">
      <w:pPr>
        <w:pStyle w:val="MDPI31text"/>
        <w:rPr>
          <w:color w:val="auto"/>
        </w:rPr>
      </w:pPr>
      <w:r w:rsidRPr="00953B4E">
        <w:rPr>
          <w:color w:val="auto"/>
        </w:rPr>
        <w:t>In conclusion, this study demonstrates the potential of semi-automated, geospatial approaches for pre-census ES mapping, addressing the limitations of traditional methods and aligning with the demands of modern census operations in complex environments. As open-source geospatial data continues to advance, this method offers a foundational, adaptable solution for improving accuracy, efficiency, and cost-effectiveness in census preparation.</w:t>
      </w:r>
    </w:p>
    <w:p w14:paraId="362BBBC2" w14:textId="4102F431" w:rsidR="00254D4B" w:rsidRPr="00254D4B" w:rsidRDefault="00254D4B" w:rsidP="00254D4B">
      <w:pPr>
        <w:pStyle w:val="MDPI21heading1"/>
        <w:rPr>
          <w:color w:val="auto"/>
        </w:rPr>
      </w:pPr>
      <w:r w:rsidRPr="00151381">
        <w:rPr>
          <w:color w:val="auto"/>
        </w:rPr>
        <w:t xml:space="preserve">5. </w:t>
      </w:r>
      <w:r w:rsidRPr="00254D4B">
        <w:rPr>
          <w:color w:val="auto"/>
        </w:rPr>
        <w:t>Conclusion</w:t>
      </w:r>
    </w:p>
    <w:p w14:paraId="46CED8D8" w14:textId="51A49E63" w:rsidR="00254D4B" w:rsidRPr="00151381" w:rsidRDefault="002F49EF" w:rsidP="00254D4B">
      <w:pPr>
        <w:pStyle w:val="MDPI31text"/>
        <w:rPr>
          <w:color w:val="auto"/>
        </w:rPr>
      </w:pPr>
      <w:r w:rsidRPr="00151381">
        <w:rPr>
          <w:color w:val="auto"/>
        </w:rPr>
        <w:t>In developing countries like Mali, basic spatial sampling tools, such as Enumeration Sections (ES)</w:t>
      </w:r>
      <w:r w:rsidR="008C3F32">
        <w:rPr>
          <w:color w:val="auto"/>
        </w:rPr>
        <w:t xml:space="preserve"> and population estimation</w:t>
      </w:r>
      <w:r w:rsidRPr="00151381">
        <w:rPr>
          <w:color w:val="auto"/>
        </w:rPr>
        <w:t>, are vital for fostering development and enabling informed decision-making. However, logistical, security, and data limitations pose significant obstacles to traditional census approaches. This study demonstrates that our method for creating predefined census ES can help address these challenges by utilizing freely available, high-resolution gridded population data and settlement maps, making the approach both accessible and adaptable. Future research will focus on applying this method in various regions and enhancing output usability by integrating additional constraints and optimized merging algorithms.</w:t>
      </w:r>
    </w:p>
    <w:p w14:paraId="1683C9FE" w14:textId="77777777" w:rsidR="003A41F2" w:rsidRPr="00254D4B" w:rsidRDefault="003A41F2" w:rsidP="00254D4B">
      <w:pPr>
        <w:pStyle w:val="MDPI31text"/>
        <w:rPr>
          <w:color w:val="auto"/>
        </w:rPr>
      </w:pPr>
    </w:p>
    <w:p w14:paraId="31F948B9" w14:textId="77777777" w:rsidR="0057133A" w:rsidRPr="00151381" w:rsidRDefault="00D44E83" w:rsidP="0057133A">
      <w:pPr>
        <w:pStyle w:val="MDPI62BackMatter"/>
        <w:rPr>
          <w:color w:val="auto"/>
        </w:rPr>
      </w:pPr>
      <w:bookmarkStart w:id="4" w:name="_GoBack"/>
      <w:bookmarkEnd w:id="4"/>
      <w:r w:rsidRPr="00151381">
        <w:rPr>
          <w:b/>
          <w:bCs/>
          <w:color w:val="auto"/>
        </w:rPr>
        <w:t>Data Availability Statement:</w:t>
      </w:r>
      <w:r w:rsidRPr="00151381">
        <w:rPr>
          <w:color w:val="auto"/>
        </w:rPr>
        <w:t xml:space="preserve"> Data will be made available upon a reasonable request. </w:t>
      </w:r>
    </w:p>
    <w:p w14:paraId="0BBCB894" w14:textId="77777777" w:rsidR="00C1267A" w:rsidRPr="00151381" w:rsidRDefault="00C1267A" w:rsidP="00C1267A">
      <w:pPr>
        <w:pStyle w:val="MDPI21heading1"/>
        <w:ind w:left="0"/>
        <w:rPr>
          <w:color w:val="auto"/>
        </w:rPr>
      </w:pPr>
      <w:r w:rsidRPr="00151381">
        <w:rPr>
          <w:color w:val="auto"/>
        </w:rPr>
        <w:t>References</w:t>
      </w:r>
    </w:p>
    <w:p w14:paraId="1A53A8D1" w14:textId="65CA6F0B" w:rsidR="00C1267A" w:rsidRPr="00946122" w:rsidRDefault="00C1267A" w:rsidP="00C1267A">
      <w:pPr>
        <w:pStyle w:val="MDPI71References"/>
        <w:rPr>
          <w:rFonts w:eastAsia="DengXian"/>
          <w:color w:val="auto"/>
        </w:rPr>
      </w:pPr>
      <w:r w:rsidRPr="00946122">
        <w:rPr>
          <w:rFonts w:eastAsia="DengXian"/>
          <w:color w:val="auto"/>
        </w:rPr>
        <w:t>United. N</w:t>
      </w:r>
      <w:r w:rsidR="00BC7777" w:rsidRPr="00946122">
        <w:rPr>
          <w:rFonts w:eastAsia="DengXian"/>
          <w:color w:val="auto"/>
        </w:rPr>
        <w:t>ation</w:t>
      </w:r>
      <w:r w:rsidR="002E04C5" w:rsidRPr="00946122">
        <w:rPr>
          <w:rFonts w:eastAsia="DengXian"/>
          <w:color w:val="auto"/>
        </w:rPr>
        <w:t>s</w:t>
      </w:r>
      <w:r w:rsidRPr="00946122">
        <w:rPr>
          <w:rFonts w:eastAsia="DengXian"/>
          <w:color w:val="auto"/>
        </w:rPr>
        <w:t xml:space="preserve">. </w:t>
      </w:r>
      <w:r w:rsidRPr="00946122">
        <w:rPr>
          <w:rFonts w:eastAsia="DengXian"/>
          <w:i/>
          <w:iCs/>
          <w:color w:val="auto"/>
        </w:rPr>
        <w:t>Principles and recommendations for population and housing censuses.</w:t>
      </w:r>
      <w:r w:rsidRPr="00946122">
        <w:rPr>
          <w:rFonts w:eastAsia="DengXian"/>
          <w:color w:val="auto"/>
        </w:rPr>
        <w:t xml:space="preserve"> UN-library.</w:t>
      </w:r>
      <w:r w:rsidR="00946122">
        <w:rPr>
          <w:rFonts w:eastAsia="DengXian"/>
          <w:color w:val="auto"/>
        </w:rPr>
        <w:t xml:space="preserve"> </w:t>
      </w:r>
      <w:r w:rsidR="00946122" w:rsidRPr="00946122">
        <w:rPr>
          <w:rFonts w:eastAsia="DengXian"/>
          <w:color w:val="auto"/>
        </w:rPr>
        <w:t>pp 7-22</w:t>
      </w:r>
      <w:r w:rsidRPr="00946122">
        <w:rPr>
          <w:rFonts w:eastAsia="DengXian"/>
          <w:color w:val="auto"/>
        </w:rPr>
        <w:t xml:space="preserve"> </w:t>
      </w:r>
      <w:hyperlink r:id="rId51" w:history="1">
        <w:r w:rsidRPr="00946122">
          <w:rPr>
            <w:rFonts w:eastAsia="Cambria"/>
            <w:color w:val="auto"/>
            <w:lang w:eastAsia="en-US"/>
          </w:rPr>
          <w:t>https://doi.org/10.18356/8b8ce311-en</w:t>
        </w:r>
      </w:hyperlink>
      <w:r w:rsidRPr="00946122">
        <w:rPr>
          <w:rFonts w:eastAsia="DengXian"/>
          <w:color w:val="auto"/>
        </w:rPr>
        <w:t xml:space="preserve">. </w:t>
      </w:r>
      <w:r w:rsidR="00946122" w:rsidRPr="00946122">
        <w:rPr>
          <w:rFonts w:eastAsia="DengXian"/>
          <w:color w:val="auto"/>
        </w:rPr>
        <w:t>Acceded</w:t>
      </w:r>
      <w:r w:rsidR="00946122">
        <w:rPr>
          <w:color w:val="auto"/>
        </w:rPr>
        <w:t xml:space="preserve"> 30</w:t>
      </w:r>
      <w:r w:rsidR="00946122" w:rsidRPr="00946122">
        <w:rPr>
          <w:rFonts w:eastAsia="DengXian"/>
          <w:color w:val="auto"/>
        </w:rPr>
        <w:t xml:space="preserve"> October </w:t>
      </w:r>
      <w:r w:rsidRPr="00946122">
        <w:rPr>
          <w:rFonts w:eastAsia="DengXian"/>
          <w:color w:val="auto"/>
        </w:rPr>
        <w:t>20</w:t>
      </w:r>
      <w:r w:rsidR="00946122">
        <w:rPr>
          <w:rFonts w:eastAsia="DengXian"/>
          <w:color w:val="auto"/>
        </w:rPr>
        <w:t>24</w:t>
      </w:r>
      <w:r w:rsidRPr="00946122">
        <w:rPr>
          <w:color w:val="auto"/>
        </w:rPr>
        <w:t>.</w:t>
      </w:r>
    </w:p>
    <w:p w14:paraId="168019D8" w14:textId="0328E8C3" w:rsidR="00C1267A" w:rsidRPr="00946122" w:rsidRDefault="00C1267A" w:rsidP="00C1267A">
      <w:pPr>
        <w:pStyle w:val="MDPI71References"/>
        <w:rPr>
          <w:rFonts w:eastAsia="DengXian"/>
          <w:color w:val="auto"/>
        </w:rPr>
      </w:pPr>
      <w:r w:rsidRPr="004554B7">
        <w:rPr>
          <w:rFonts w:eastAsia="DengXian"/>
          <w:color w:val="auto"/>
        </w:rPr>
        <w:t xml:space="preserve">INSTAT-Mali. </w:t>
      </w:r>
      <w:r w:rsidR="00E9038E" w:rsidRPr="00946122">
        <w:rPr>
          <w:rFonts w:eastAsia="DengXian"/>
          <w:color w:val="auto"/>
        </w:rPr>
        <w:t xml:space="preserve">Strategic document of the mapping of the fifth general census of population and housing (5th </w:t>
      </w:r>
      <w:proofErr w:type="spellStart"/>
      <w:r w:rsidR="00E9038E" w:rsidRPr="00946122">
        <w:rPr>
          <w:rFonts w:eastAsia="DengXian"/>
          <w:color w:val="auto"/>
        </w:rPr>
        <w:t>rgph</w:t>
      </w:r>
      <w:proofErr w:type="spellEnd"/>
      <w:r w:rsidR="00E9038E" w:rsidRPr="00946122">
        <w:rPr>
          <w:rFonts w:eastAsia="DengXian"/>
          <w:color w:val="auto"/>
        </w:rPr>
        <w:t>)</w:t>
      </w:r>
      <w:r w:rsidRPr="00946122">
        <w:rPr>
          <w:rFonts w:eastAsia="DengXian"/>
          <w:color w:val="auto"/>
        </w:rPr>
        <w:t xml:space="preserve">, Mali. </w:t>
      </w:r>
      <w:hyperlink r:id="rId52" w:history="1">
        <w:r w:rsidRPr="00946122">
          <w:rPr>
            <w:rFonts w:eastAsia="Cambria"/>
            <w:color w:val="auto"/>
            <w:lang w:eastAsia="en-US"/>
          </w:rPr>
          <w:t>https://demostaf.web.ined.fr/index.php/catalog/382</w:t>
        </w:r>
      </w:hyperlink>
      <w:r w:rsidRPr="00946122">
        <w:rPr>
          <w:rFonts w:eastAsia="DengXian"/>
          <w:color w:val="auto"/>
        </w:rPr>
        <w:t xml:space="preserve"> </w:t>
      </w:r>
      <w:r w:rsidR="004924FD" w:rsidRPr="00946122">
        <w:rPr>
          <w:rFonts w:eastAsia="DengXian"/>
          <w:color w:val="auto"/>
        </w:rPr>
        <w:t xml:space="preserve"> Acceded, 31 October 2024</w:t>
      </w:r>
    </w:p>
    <w:p w14:paraId="4B6C249F" w14:textId="3EB9AE4F" w:rsidR="00C1267A" w:rsidRPr="00946122" w:rsidRDefault="00C1267A" w:rsidP="00C1267A">
      <w:pPr>
        <w:pStyle w:val="MDPI71References"/>
        <w:rPr>
          <w:rFonts w:eastAsia="DengXian"/>
          <w:color w:val="auto"/>
        </w:rPr>
      </w:pPr>
      <w:r w:rsidRPr="00946122">
        <w:rPr>
          <w:rFonts w:eastAsia="DengXian"/>
          <w:color w:val="auto"/>
        </w:rPr>
        <w:t>Joas, J</w:t>
      </w:r>
      <w:r w:rsidR="00781498" w:rsidRPr="00946122">
        <w:rPr>
          <w:rFonts w:eastAsia="DengXian"/>
          <w:color w:val="auto"/>
        </w:rPr>
        <w:t>.</w:t>
      </w:r>
      <w:r w:rsidRPr="00946122">
        <w:rPr>
          <w:rFonts w:eastAsia="DengXian"/>
          <w:color w:val="auto"/>
        </w:rPr>
        <w:t xml:space="preserve">M. Challenges experienced with the demarcation of Enumeration Areas for Census 2011, </w:t>
      </w:r>
      <w:hyperlink r:id="rId53" w:history="1">
        <w:r w:rsidRPr="00946122">
          <w:rPr>
            <w:rFonts w:eastAsia="DengXian"/>
            <w:color w:val="auto"/>
          </w:rPr>
          <w:t>https://catalog.ihsn.org/citations/52530</w:t>
        </w:r>
      </w:hyperlink>
      <w:r w:rsidRPr="00946122">
        <w:rPr>
          <w:rFonts w:eastAsia="DengXian"/>
          <w:color w:val="auto"/>
        </w:rPr>
        <w:t xml:space="preserve">. Acceded, 31 October 2024 </w:t>
      </w:r>
    </w:p>
    <w:p w14:paraId="0EC5C799" w14:textId="490420F9" w:rsidR="00C1267A" w:rsidRPr="00946122" w:rsidRDefault="004924FD" w:rsidP="00C1267A">
      <w:pPr>
        <w:pStyle w:val="MDPI71References"/>
        <w:rPr>
          <w:rFonts w:eastAsia="DengXian"/>
          <w:color w:val="auto"/>
        </w:rPr>
      </w:pPr>
      <w:proofErr w:type="spellStart"/>
      <w:r w:rsidRPr="00946122">
        <w:rPr>
          <w:color w:val="auto"/>
          <w:lang w:val="fr-ML"/>
        </w:rPr>
        <w:t>Qader</w:t>
      </w:r>
      <w:proofErr w:type="spellEnd"/>
      <w:r w:rsidRPr="00946122">
        <w:rPr>
          <w:color w:val="auto"/>
          <w:lang w:val="fr-ML"/>
        </w:rPr>
        <w:t>, S.</w:t>
      </w:r>
      <w:r w:rsidR="002227E0" w:rsidRPr="00946122">
        <w:rPr>
          <w:color w:val="auto"/>
          <w:lang w:val="fr-ML"/>
        </w:rPr>
        <w:t> ;</w:t>
      </w:r>
      <w:r w:rsidRPr="00946122">
        <w:rPr>
          <w:color w:val="auto"/>
          <w:lang w:val="fr-ML"/>
        </w:rPr>
        <w:t xml:space="preserve"> Lefebvre, V.</w:t>
      </w:r>
      <w:r w:rsidR="002227E0" w:rsidRPr="00946122">
        <w:rPr>
          <w:color w:val="auto"/>
          <w:lang w:val="fr-ML"/>
        </w:rPr>
        <w:t> ;</w:t>
      </w:r>
      <w:r w:rsidRPr="00946122">
        <w:rPr>
          <w:color w:val="auto"/>
          <w:lang w:val="fr-ML"/>
        </w:rPr>
        <w:t xml:space="preserve"> </w:t>
      </w:r>
      <w:proofErr w:type="spellStart"/>
      <w:r w:rsidRPr="00946122">
        <w:rPr>
          <w:color w:val="auto"/>
          <w:lang w:val="fr-ML"/>
        </w:rPr>
        <w:t>Tatem</w:t>
      </w:r>
      <w:proofErr w:type="spellEnd"/>
      <w:r w:rsidRPr="00946122">
        <w:rPr>
          <w:color w:val="auto"/>
          <w:lang w:val="fr-ML"/>
        </w:rPr>
        <w:t xml:space="preserve">, A. et al. </w:t>
      </w:r>
      <w:r w:rsidRPr="00946122">
        <w:rPr>
          <w:color w:val="auto"/>
        </w:rPr>
        <w:t xml:space="preserve">Semi-automatic mapping of pre-census enumeration areas and population sampling frames. </w:t>
      </w:r>
      <w:r w:rsidR="000909C6" w:rsidRPr="00946122">
        <w:rPr>
          <w:color w:val="auto"/>
        </w:rPr>
        <w:t xml:space="preserve">2021, </w:t>
      </w:r>
      <w:proofErr w:type="spellStart"/>
      <w:r w:rsidRPr="00946122">
        <w:rPr>
          <w:i/>
          <w:iCs/>
          <w:color w:val="auto"/>
        </w:rPr>
        <w:t>Humanit</w:t>
      </w:r>
      <w:proofErr w:type="spellEnd"/>
      <w:r w:rsidRPr="00946122">
        <w:rPr>
          <w:i/>
          <w:iCs/>
          <w:color w:val="auto"/>
        </w:rPr>
        <w:t xml:space="preserve"> Soc Sci </w:t>
      </w:r>
      <w:proofErr w:type="spellStart"/>
      <w:r w:rsidRPr="00946122">
        <w:rPr>
          <w:i/>
          <w:iCs/>
          <w:color w:val="auto"/>
        </w:rPr>
        <w:t>Commun</w:t>
      </w:r>
      <w:proofErr w:type="spellEnd"/>
      <w:r w:rsidRPr="00946122">
        <w:rPr>
          <w:color w:val="auto"/>
        </w:rPr>
        <w:t xml:space="preserve"> 8, 3. </w:t>
      </w:r>
      <w:hyperlink r:id="rId54" w:history="1">
        <w:r w:rsidRPr="00946122">
          <w:rPr>
            <w:rStyle w:val="Hyperlink"/>
            <w:color w:val="auto"/>
            <w:u w:val="none"/>
          </w:rPr>
          <w:t>https://doi.org/10.1057/s41599-020-00670-0</w:t>
        </w:r>
      </w:hyperlink>
      <w:r w:rsidRPr="00946122">
        <w:rPr>
          <w:color w:val="auto"/>
        </w:rPr>
        <w:t xml:space="preserve"> </w:t>
      </w:r>
    </w:p>
    <w:p w14:paraId="5486F845" w14:textId="74D4AFBC" w:rsidR="00C1267A" w:rsidRPr="00946122" w:rsidRDefault="00C1267A" w:rsidP="00C1267A">
      <w:pPr>
        <w:pStyle w:val="MDPI71References"/>
        <w:rPr>
          <w:rFonts w:eastAsia="DengXian"/>
          <w:color w:val="auto"/>
        </w:rPr>
      </w:pPr>
      <w:r w:rsidRPr="00946122">
        <w:rPr>
          <w:rFonts w:eastAsia="DengXian"/>
          <w:color w:val="auto"/>
        </w:rPr>
        <w:t>Cockings</w:t>
      </w:r>
      <w:r w:rsidR="000909C6" w:rsidRPr="00946122">
        <w:rPr>
          <w:rFonts w:eastAsia="DengXian"/>
          <w:color w:val="auto"/>
        </w:rPr>
        <w:t xml:space="preserve">, </w:t>
      </w:r>
      <w:r w:rsidRPr="00946122">
        <w:rPr>
          <w:rFonts w:eastAsia="DengXian"/>
          <w:color w:val="auto"/>
        </w:rPr>
        <w:t>S</w:t>
      </w:r>
      <w:r w:rsidR="00FB6384" w:rsidRPr="00946122">
        <w:rPr>
          <w:rFonts w:eastAsia="DengXian"/>
          <w:color w:val="auto"/>
        </w:rPr>
        <w:t>.</w:t>
      </w:r>
      <w:r w:rsidR="000909C6" w:rsidRPr="00946122">
        <w:rPr>
          <w:rFonts w:eastAsia="DengXian"/>
          <w:color w:val="auto"/>
        </w:rPr>
        <w:t>;</w:t>
      </w:r>
      <w:r w:rsidRPr="00946122">
        <w:rPr>
          <w:rFonts w:eastAsia="DengXian"/>
          <w:color w:val="auto"/>
        </w:rPr>
        <w:t xml:space="preserve"> </w:t>
      </w:r>
      <w:proofErr w:type="spellStart"/>
      <w:r w:rsidRPr="00946122">
        <w:rPr>
          <w:rFonts w:eastAsia="DengXian"/>
          <w:color w:val="auto"/>
        </w:rPr>
        <w:t>Harfoot</w:t>
      </w:r>
      <w:proofErr w:type="spellEnd"/>
      <w:r w:rsidR="000909C6" w:rsidRPr="00946122">
        <w:rPr>
          <w:rFonts w:eastAsia="DengXian"/>
          <w:color w:val="auto"/>
        </w:rPr>
        <w:t xml:space="preserve">, </w:t>
      </w:r>
      <w:r w:rsidRPr="00946122">
        <w:rPr>
          <w:rFonts w:eastAsia="DengXian"/>
          <w:color w:val="auto"/>
        </w:rPr>
        <w:t>A</w:t>
      </w:r>
      <w:r w:rsidR="000909C6" w:rsidRPr="00946122">
        <w:rPr>
          <w:rFonts w:eastAsia="DengXian"/>
          <w:color w:val="auto"/>
        </w:rPr>
        <w:t>;</w:t>
      </w:r>
      <w:r w:rsidRPr="00946122">
        <w:rPr>
          <w:rFonts w:eastAsia="DengXian"/>
          <w:color w:val="auto"/>
        </w:rPr>
        <w:t xml:space="preserve"> Martin</w:t>
      </w:r>
      <w:r w:rsidR="000909C6" w:rsidRPr="00946122">
        <w:rPr>
          <w:rFonts w:eastAsia="DengXian"/>
          <w:color w:val="auto"/>
        </w:rPr>
        <w:t>,</w:t>
      </w:r>
      <w:r w:rsidRPr="00946122">
        <w:rPr>
          <w:rFonts w:eastAsia="DengXian"/>
          <w:color w:val="auto"/>
        </w:rPr>
        <w:t xml:space="preserve"> D</w:t>
      </w:r>
      <w:r w:rsidR="000909C6" w:rsidRPr="00946122">
        <w:rPr>
          <w:rFonts w:eastAsia="DengXian"/>
          <w:color w:val="auto"/>
        </w:rPr>
        <w:t>;</w:t>
      </w:r>
      <w:r w:rsidRPr="00946122">
        <w:rPr>
          <w:rFonts w:eastAsia="DengXian"/>
          <w:color w:val="auto"/>
        </w:rPr>
        <w:t xml:space="preserve"> Hornby</w:t>
      </w:r>
      <w:r w:rsidR="000909C6" w:rsidRPr="00946122">
        <w:rPr>
          <w:rFonts w:eastAsia="DengXian"/>
          <w:color w:val="auto"/>
        </w:rPr>
        <w:t xml:space="preserve">, </w:t>
      </w:r>
      <w:r w:rsidRPr="00946122">
        <w:rPr>
          <w:rFonts w:eastAsia="DengXian"/>
          <w:color w:val="auto"/>
        </w:rPr>
        <w:t>D</w:t>
      </w:r>
      <w:r w:rsidR="002C2303" w:rsidRPr="00946122">
        <w:rPr>
          <w:rFonts w:eastAsia="DengXian"/>
          <w:color w:val="auto"/>
        </w:rPr>
        <w:t>.</w:t>
      </w:r>
      <w:r w:rsidRPr="00946122">
        <w:rPr>
          <w:rFonts w:eastAsia="DengXian"/>
          <w:color w:val="auto"/>
        </w:rPr>
        <w:t xml:space="preserve"> Maintaining existing zoning systems using automated zone-design techniques: methods for creating the 2011 Census output geographies for England and Wales. </w:t>
      </w:r>
      <w:r w:rsidRPr="00946122">
        <w:rPr>
          <w:rFonts w:eastAsia="DengXian"/>
          <w:i/>
          <w:iCs/>
          <w:color w:val="auto"/>
        </w:rPr>
        <w:t>Environ Plan A</w:t>
      </w:r>
      <w:r w:rsidR="002C2303" w:rsidRPr="00946122">
        <w:rPr>
          <w:rFonts w:eastAsia="DengXian"/>
          <w:color w:val="auto"/>
        </w:rPr>
        <w:t xml:space="preserve">, 2011, </w:t>
      </w:r>
      <w:r w:rsidRPr="00946122">
        <w:rPr>
          <w:rFonts w:eastAsia="DengXian"/>
          <w:b/>
          <w:bCs/>
          <w:color w:val="auto"/>
        </w:rPr>
        <w:t>43</w:t>
      </w:r>
      <w:r w:rsidRPr="00946122">
        <w:rPr>
          <w:rFonts w:eastAsia="DengXian"/>
          <w:color w:val="auto"/>
        </w:rPr>
        <w:t xml:space="preserve"> (10):2399–2418. </w:t>
      </w:r>
      <w:hyperlink r:id="rId55" w:history="1">
        <w:r w:rsidRPr="00946122">
          <w:rPr>
            <w:rFonts w:eastAsia="DengXian"/>
            <w:color w:val="auto"/>
          </w:rPr>
          <w:t>https://doi.org/10.1068/a43601</w:t>
        </w:r>
      </w:hyperlink>
      <w:r w:rsidR="002C2303" w:rsidRPr="00946122">
        <w:rPr>
          <w:rFonts w:eastAsia="DengXian"/>
          <w:color w:val="auto"/>
        </w:rPr>
        <w:t xml:space="preserve"> </w:t>
      </w:r>
    </w:p>
    <w:p w14:paraId="58EF580A" w14:textId="582445B2" w:rsidR="00C1267A" w:rsidRPr="00946122" w:rsidRDefault="0046151C" w:rsidP="00C1267A">
      <w:pPr>
        <w:pStyle w:val="MDPI71References"/>
        <w:rPr>
          <w:rFonts w:eastAsia="DengXian"/>
          <w:color w:val="auto"/>
        </w:rPr>
      </w:pPr>
      <w:r w:rsidRPr="00946122">
        <w:rPr>
          <w:rFonts w:eastAsia="DengXian"/>
          <w:color w:val="auto"/>
        </w:rPr>
        <w:t>United Nations. Economic and Social Council</w:t>
      </w:r>
      <w:r w:rsidR="00C1267A" w:rsidRPr="00946122">
        <w:rPr>
          <w:rFonts w:eastAsia="DengXian"/>
          <w:color w:val="auto"/>
        </w:rPr>
        <w:t xml:space="preserve">. </w:t>
      </w:r>
      <w:r w:rsidR="002E04C5" w:rsidRPr="00946122">
        <w:rPr>
          <w:rFonts w:eastAsia="DengXian"/>
          <w:color w:val="auto"/>
        </w:rPr>
        <w:t>2010 Population and Housing Census Series in Africa</w:t>
      </w:r>
      <w:r w:rsidRPr="00946122">
        <w:rPr>
          <w:rFonts w:eastAsia="DengXian"/>
          <w:color w:val="auto"/>
        </w:rPr>
        <w:t>,</w:t>
      </w:r>
      <w:r w:rsidR="00C1267A" w:rsidRPr="00946122">
        <w:rPr>
          <w:rFonts w:eastAsia="DengXian"/>
          <w:color w:val="auto"/>
        </w:rPr>
        <w:t xml:space="preserve"> </w:t>
      </w:r>
      <w:r w:rsidRPr="00946122">
        <w:rPr>
          <w:color w:val="auto"/>
        </w:rPr>
        <w:t>Conferences on statistical development</w:t>
      </w:r>
      <w:r w:rsidRPr="00946122">
        <w:rPr>
          <w:rFonts w:eastAsia="DengXian"/>
          <w:color w:val="auto"/>
        </w:rPr>
        <w:t>, Addis Ababa, Ethiopia, 17 – 22 Jan 2010.</w:t>
      </w:r>
    </w:p>
    <w:p w14:paraId="711163D4" w14:textId="2FA342FE" w:rsidR="00C1267A" w:rsidRPr="00946122" w:rsidRDefault="00C1267A" w:rsidP="00C1267A">
      <w:pPr>
        <w:pStyle w:val="MDPI71References"/>
        <w:rPr>
          <w:rFonts w:eastAsia="DengXian"/>
          <w:color w:val="auto"/>
        </w:rPr>
      </w:pPr>
      <w:bookmarkStart w:id="5" w:name="_Hlk180694721"/>
      <w:r w:rsidRPr="00946122">
        <w:rPr>
          <w:rFonts w:eastAsia="DengXian"/>
          <w:color w:val="auto"/>
        </w:rPr>
        <w:t>Si,</w:t>
      </w:r>
      <w:bookmarkEnd w:id="5"/>
      <w:r w:rsidRPr="00946122">
        <w:rPr>
          <w:rFonts w:eastAsia="DengXian"/>
          <w:color w:val="auto"/>
        </w:rPr>
        <w:t xml:space="preserve"> </w:t>
      </w:r>
      <w:bookmarkStart w:id="6" w:name="_Hlk180694766"/>
      <w:r w:rsidRPr="00946122">
        <w:rPr>
          <w:rFonts w:eastAsia="DengXian"/>
          <w:color w:val="auto"/>
        </w:rPr>
        <w:t>Y.K.</w:t>
      </w:r>
      <w:r w:rsidR="002227E0" w:rsidRPr="00946122">
        <w:rPr>
          <w:rFonts w:eastAsia="DengXian"/>
          <w:color w:val="auto"/>
        </w:rPr>
        <w:t>;</w:t>
      </w:r>
      <w:r w:rsidRPr="00946122">
        <w:rPr>
          <w:rFonts w:eastAsia="DengXian"/>
          <w:color w:val="auto"/>
        </w:rPr>
        <w:t xml:space="preserve"> </w:t>
      </w:r>
      <w:proofErr w:type="spellStart"/>
      <w:r w:rsidRPr="00946122">
        <w:rPr>
          <w:rFonts w:eastAsia="DengXian"/>
          <w:color w:val="auto"/>
        </w:rPr>
        <w:t>Boukerch</w:t>
      </w:r>
      <w:proofErr w:type="spellEnd"/>
      <w:r w:rsidRPr="00946122">
        <w:rPr>
          <w:rFonts w:eastAsia="DengXian"/>
          <w:color w:val="auto"/>
        </w:rPr>
        <w:t>, I.</w:t>
      </w:r>
      <w:r w:rsidR="002227E0" w:rsidRPr="00946122">
        <w:rPr>
          <w:rFonts w:eastAsia="DengXian"/>
          <w:color w:val="auto"/>
        </w:rPr>
        <w:t>;</w:t>
      </w:r>
      <w:r w:rsidRPr="00946122">
        <w:rPr>
          <w:rFonts w:eastAsia="DengXian"/>
          <w:color w:val="auto"/>
        </w:rPr>
        <w:t xml:space="preserve"> Hocine, I.</w:t>
      </w:r>
      <w:r w:rsidR="002227E0" w:rsidRPr="00946122">
        <w:rPr>
          <w:rFonts w:eastAsia="DengXian"/>
          <w:color w:val="auto"/>
        </w:rPr>
        <w:t>;</w:t>
      </w:r>
      <w:r w:rsidRPr="00946122">
        <w:rPr>
          <w:rFonts w:eastAsia="DengXian"/>
          <w:color w:val="auto"/>
        </w:rPr>
        <w:t xml:space="preserve"> </w:t>
      </w:r>
      <w:proofErr w:type="spellStart"/>
      <w:r w:rsidRPr="00946122">
        <w:rPr>
          <w:rFonts w:eastAsia="DengXian"/>
          <w:color w:val="auto"/>
        </w:rPr>
        <w:t>Benabdelkader</w:t>
      </w:r>
      <w:proofErr w:type="spellEnd"/>
      <w:r w:rsidRPr="00946122">
        <w:rPr>
          <w:rFonts w:eastAsia="DengXian"/>
          <w:color w:val="auto"/>
        </w:rPr>
        <w:t xml:space="preserve">, A. The setting up of a GIS for the general population and housing census. </w:t>
      </w:r>
      <w:r w:rsidRPr="00946122">
        <w:rPr>
          <w:rFonts w:eastAsia="DengXian"/>
          <w:i/>
          <w:iCs/>
          <w:color w:val="auto"/>
        </w:rPr>
        <w:t>ISPRS</w:t>
      </w:r>
      <w:r w:rsidRPr="00946122">
        <w:rPr>
          <w:rFonts w:eastAsia="DengXian"/>
          <w:color w:val="auto"/>
        </w:rPr>
        <w:t xml:space="preserve">. </w:t>
      </w:r>
      <w:r w:rsidR="002227E0" w:rsidRPr="00946122">
        <w:rPr>
          <w:rFonts w:eastAsia="DengXian"/>
          <w:b/>
          <w:bCs/>
          <w:color w:val="auto"/>
        </w:rPr>
        <w:t>2021</w:t>
      </w:r>
      <w:r w:rsidR="002227E0" w:rsidRPr="00946122">
        <w:rPr>
          <w:rFonts w:eastAsia="DengXian"/>
          <w:color w:val="auto"/>
        </w:rPr>
        <w:t xml:space="preserve">, </w:t>
      </w:r>
      <w:r w:rsidRPr="00946122">
        <w:rPr>
          <w:rFonts w:eastAsia="DengXian"/>
          <w:color w:val="auto"/>
        </w:rPr>
        <w:t xml:space="preserve">313–319, </w:t>
      </w:r>
      <w:hyperlink r:id="rId56" w:history="1">
        <w:r w:rsidRPr="00946122">
          <w:rPr>
            <w:rFonts w:eastAsia="DengXian"/>
            <w:color w:val="auto"/>
          </w:rPr>
          <w:t>https://doi.org/10.5194/isprs-archives-XLIII-B4-2021-313-2021</w:t>
        </w:r>
      </w:hyperlink>
      <w:r w:rsidRPr="00946122">
        <w:rPr>
          <w:rFonts w:eastAsia="DengXian"/>
          <w:color w:val="auto"/>
        </w:rPr>
        <w:t>.</w:t>
      </w:r>
    </w:p>
    <w:bookmarkEnd w:id="6"/>
    <w:p w14:paraId="432FA0F2" w14:textId="1BE57238" w:rsidR="00C1267A" w:rsidRPr="00946122" w:rsidRDefault="00833D5D" w:rsidP="00C1267A">
      <w:pPr>
        <w:pStyle w:val="MDPI71References"/>
        <w:rPr>
          <w:rFonts w:eastAsia="DengXian"/>
          <w:color w:val="auto"/>
        </w:rPr>
      </w:pPr>
      <w:r w:rsidRPr="00946122">
        <w:rPr>
          <w:rFonts w:eastAsia="DengXian"/>
          <w:color w:val="auto"/>
        </w:rPr>
        <w:t xml:space="preserve">Wang, Y.; Li, H.; Yu, Z.; Luo, B. Approaches to census mapping: Chinese solution in 2010 rounded census. Chin. </w:t>
      </w:r>
      <w:proofErr w:type="spellStart"/>
      <w:r w:rsidRPr="00946122">
        <w:rPr>
          <w:rFonts w:eastAsia="DengXian"/>
          <w:i/>
          <w:iCs/>
          <w:color w:val="auto"/>
        </w:rPr>
        <w:t>Geogr</w:t>
      </w:r>
      <w:proofErr w:type="spellEnd"/>
      <w:r w:rsidRPr="00946122">
        <w:rPr>
          <w:rFonts w:eastAsia="DengXian"/>
          <w:i/>
          <w:iCs/>
          <w:color w:val="auto"/>
        </w:rPr>
        <w:t>. Sci</w:t>
      </w:r>
      <w:r w:rsidRPr="00946122">
        <w:rPr>
          <w:rFonts w:eastAsia="DengXian"/>
          <w:color w:val="auto"/>
        </w:rPr>
        <w:t>, 2012, 22, 356–366. https://doi.org/10.1007/s11769-012-0540-2</w:t>
      </w:r>
      <w:r w:rsidR="00C1267A" w:rsidRPr="00946122">
        <w:rPr>
          <w:rFonts w:eastAsia="DengXian"/>
          <w:color w:val="auto"/>
        </w:rPr>
        <w:t>.</w:t>
      </w:r>
    </w:p>
    <w:p w14:paraId="153E312B" w14:textId="7178F863" w:rsidR="00C1267A" w:rsidRPr="00946122" w:rsidRDefault="00C1267A" w:rsidP="00C1267A">
      <w:pPr>
        <w:pStyle w:val="MDPI71References"/>
        <w:rPr>
          <w:rFonts w:eastAsia="DengXian"/>
          <w:color w:val="auto"/>
        </w:rPr>
      </w:pPr>
      <w:bookmarkStart w:id="7" w:name="_Hlk180696429"/>
      <w:r w:rsidRPr="00946122">
        <w:rPr>
          <w:rFonts w:eastAsia="DengXian"/>
          <w:color w:val="auto"/>
        </w:rPr>
        <w:t xml:space="preserve">Frederick, </w:t>
      </w:r>
      <w:r w:rsidR="00FC7E27" w:rsidRPr="00946122">
        <w:rPr>
          <w:rFonts w:eastAsia="DengXian"/>
          <w:color w:val="auto"/>
        </w:rPr>
        <w:t>R.</w:t>
      </w:r>
      <w:r w:rsidRPr="00946122">
        <w:rPr>
          <w:rFonts w:eastAsia="DengXian"/>
          <w:color w:val="auto"/>
        </w:rPr>
        <w:t>B</w:t>
      </w:r>
      <w:r w:rsidR="00FC7E27" w:rsidRPr="00946122">
        <w:rPr>
          <w:rFonts w:eastAsia="DengXian"/>
          <w:color w:val="auto"/>
        </w:rPr>
        <w:t>.;</w:t>
      </w:r>
      <w:r w:rsidRPr="00946122">
        <w:rPr>
          <w:rFonts w:eastAsia="DengXian"/>
          <w:color w:val="auto"/>
        </w:rPr>
        <w:t xml:space="preserve"> Leslie G</w:t>
      </w:r>
      <w:bookmarkEnd w:id="7"/>
      <w:r w:rsidRPr="00946122">
        <w:rPr>
          <w:rFonts w:eastAsia="DengXian"/>
          <w:color w:val="auto"/>
        </w:rPr>
        <w:t xml:space="preserve">. Partnering for the people: improving the US Census Bureau's MAF/TIGER database. Photogrammetric </w:t>
      </w:r>
      <w:r w:rsidRPr="00946122">
        <w:rPr>
          <w:rFonts w:eastAsia="DengXian"/>
          <w:i/>
          <w:iCs/>
          <w:color w:val="auto"/>
        </w:rPr>
        <w:t>Engineering &amp; Remote Sensing</w:t>
      </w:r>
      <w:r w:rsidRPr="00946122">
        <w:rPr>
          <w:rFonts w:eastAsia="DengXian"/>
          <w:color w:val="auto"/>
        </w:rPr>
        <w:t xml:space="preserve">. </w:t>
      </w:r>
      <w:r w:rsidR="00E43686" w:rsidRPr="00946122">
        <w:rPr>
          <w:rFonts w:eastAsia="DengXian"/>
          <w:color w:val="auto"/>
        </w:rPr>
        <w:t xml:space="preserve">2003, </w:t>
      </w:r>
      <w:r w:rsidRPr="00946122">
        <w:rPr>
          <w:rFonts w:eastAsia="DengXian"/>
          <w:b/>
          <w:bCs/>
          <w:color w:val="auto"/>
        </w:rPr>
        <w:t>69</w:t>
      </w:r>
      <w:r w:rsidRPr="00946122">
        <w:rPr>
          <w:rFonts w:eastAsia="DengXian"/>
          <w:color w:val="auto"/>
        </w:rPr>
        <w:t>,</w:t>
      </w:r>
      <w:r w:rsidRPr="00946122">
        <w:rPr>
          <w:color w:val="auto"/>
        </w:rPr>
        <w:t xml:space="preserve"> </w:t>
      </w:r>
      <w:r w:rsidRPr="00946122">
        <w:rPr>
          <w:rFonts w:eastAsia="DengXian"/>
          <w:color w:val="auto"/>
        </w:rPr>
        <w:t>1119–1123.</w:t>
      </w:r>
    </w:p>
    <w:p w14:paraId="0DF0FC84" w14:textId="4ECE13AA" w:rsidR="00C1267A" w:rsidRPr="00946122" w:rsidRDefault="00C1267A" w:rsidP="00C1267A">
      <w:pPr>
        <w:pStyle w:val="MDPI71References"/>
        <w:rPr>
          <w:rFonts w:eastAsia="DengXian"/>
          <w:color w:val="auto"/>
        </w:rPr>
      </w:pPr>
      <w:bookmarkStart w:id="8" w:name="_Hlk180696550"/>
      <w:r w:rsidRPr="00946122">
        <w:rPr>
          <w:rFonts w:eastAsia="DengXian"/>
          <w:color w:val="auto"/>
        </w:rPr>
        <w:t>Robert</w:t>
      </w:r>
      <w:bookmarkEnd w:id="8"/>
      <w:r w:rsidRPr="00946122">
        <w:rPr>
          <w:rFonts w:eastAsia="DengXian"/>
          <w:color w:val="auto"/>
        </w:rPr>
        <w:t xml:space="preserve"> W. M. The TIGER system: Automating the geographic structure of the United States census. </w:t>
      </w:r>
      <w:r w:rsidRPr="00946122">
        <w:rPr>
          <w:rFonts w:eastAsia="DengXian"/>
          <w:i/>
          <w:iCs/>
          <w:color w:val="auto"/>
        </w:rPr>
        <w:t>G. Pub. Review</w:t>
      </w:r>
      <w:r w:rsidRPr="00946122">
        <w:rPr>
          <w:rFonts w:eastAsia="DengXian"/>
          <w:color w:val="auto"/>
        </w:rPr>
        <w:t xml:space="preserve">. </w:t>
      </w:r>
      <w:r w:rsidR="00A15E0D" w:rsidRPr="00946122">
        <w:rPr>
          <w:rFonts w:eastAsia="DengXian"/>
          <w:color w:val="auto"/>
        </w:rPr>
        <w:t xml:space="preserve">1986, </w:t>
      </w:r>
      <w:r w:rsidRPr="00946122">
        <w:rPr>
          <w:rFonts w:eastAsia="DengXian"/>
          <w:b/>
          <w:bCs/>
          <w:color w:val="auto"/>
        </w:rPr>
        <w:t>13</w:t>
      </w:r>
      <w:r w:rsidRPr="00946122">
        <w:rPr>
          <w:rFonts w:eastAsia="DengXian"/>
          <w:color w:val="auto"/>
        </w:rPr>
        <w:t xml:space="preserve">, 181–201; </w:t>
      </w:r>
      <w:hyperlink r:id="rId57" w:history="1">
        <w:r w:rsidRPr="00946122">
          <w:rPr>
            <w:rFonts w:eastAsia="Cambria"/>
            <w:color w:val="auto"/>
            <w:lang w:eastAsia="en-US"/>
          </w:rPr>
          <w:t>https://doi.org/10.10</w:t>
        </w:r>
        <w:r w:rsidRPr="00946122">
          <w:rPr>
            <w:rFonts w:eastAsia="Cambria"/>
            <w:color w:val="auto"/>
            <w:vertAlign w:val="superscript"/>
            <w:lang w:eastAsia="en-US"/>
          </w:rPr>
          <w:t>16</w:t>
        </w:r>
        <w:r w:rsidRPr="00946122">
          <w:rPr>
            <w:rFonts w:eastAsia="Cambria"/>
            <w:color w:val="auto"/>
            <w:lang w:eastAsia="en-US"/>
          </w:rPr>
          <w:t>/0277-9390(86)90003-8</w:t>
        </w:r>
      </w:hyperlink>
      <w:r w:rsidRPr="00946122">
        <w:rPr>
          <w:rFonts w:eastAsia="DengXian"/>
          <w:color w:val="auto"/>
        </w:rPr>
        <w:t>.</w:t>
      </w:r>
    </w:p>
    <w:p w14:paraId="711408C6" w14:textId="0577E864" w:rsidR="00C1267A" w:rsidRPr="00946122" w:rsidRDefault="00C1267A" w:rsidP="00C1267A">
      <w:pPr>
        <w:pStyle w:val="MDPI71References"/>
        <w:rPr>
          <w:rFonts w:eastAsia="DengXian"/>
          <w:b/>
          <w:bCs/>
          <w:color w:val="auto"/>
        </w:rPr>
      </w:pPr>
      <w:bookmarkStart w:id="9" w:name="_Hlk180696633"/>
      <w:r w:rsidRPr="00946122">
        <w:rPr>
          <w:rFonts w:eastAsia="DengXian"/>
          <w:color w:val="auto"/>
        </w:rPr>
        <w:t>Alister</w:t>
      </w:r>
      <w:bookmarkEnd w:id="9"/>
      <w:r w:rsidRPr="00946122">
        <w:rPr>
          <w:rFonts w:eastAsia="DengXian"/>
          <w:color w:val="auto"/>
        </w:rPr>
        <w:t xml:space="preserve">, D. N. Application of </w:t>
      </w:r>
      <w:r w:rsidR="00A15E0D" w:rsidRPr="00946122">
        <w:rPr>
          <w:rFonts w:eastAsia="DengXian"/>
          <w:color w:val="auto"/>
        </w:rPr>
        <w:t>GIS</w:t>
      </w:r>
      <w:r w:rsidRPr="00946122">
        <w:rPr>
          <w:rFonts w:eastAsia="DengXian"/>
          <w:color w:val="auto"/>
        </w:rPr>
        <w:t xml:space="preserve"> in the 2011 Australian census of population and housing and plans for 2016, </w:t>
      </w:r>
      <w:proofErr w:type="spellStart"/>
      <w:proofErr w:type="gramStart"/>
      <w:r w:rsidRPr="00946122">
        <w:rPr>
          <w:rFonts w:eastAsia="DengXian"/>
          <w:i/>
          <w:iCs/>
          <w:color w:val="auto"/>
        </w:rPr>
        <w:t>Geo.C.Science</w:t>
      </w:r>
      <w:proofErr w:type="spellEnd"/>
      <w:proofErr w:type="gramEnd"/>
      <w:r w:rsidR="00A15E0D" w:rsidRPr="00946122">
        <w:rPr>
          <w:rFonts w:eastAsia="DengXian"/>
          <w:b/>
          <w:bCs/>
          <w:color w:val="auto"/>
        </w:rPr>
        <w:t xml:space="preserve">, </w:t>
      </w:r>
      <w:r w:rsidR="00A15E0D" w:rsidRPr="00946122">
        <w:rPr>
          <w:rFonts w:eastAsia="DengXian"/>
          <w:color w:val="auto"/>
        </w:rPr>
        <w:t>2023,</w:t>
      </w:r>
      <w:r w:rsidRPr="00946122">
        <w:rPr>
          <w:rFonts w:eastAsia="DengXian"/>
          <w:b/>
          <w:bCs/>
          <w:color w:val="auto"/>
        </w:rPr>
        <w:t xml:space="preserve"> </w:t>
      </w:r>
      <w:hyperlink r:id="rId58" w:history="1">
        <w:r w:rsidRPr="00946122">
          <w:rPr>
            <w:rFonts w:eastAsia="DengXian"/>
            <w:color w:val="auto"/>
          </w:rPr>
          <w:t>http://2013.isiproceedings.org/Files/IPS082-P2-A.pdf</w:t>
        </w:r>
      </w:hyperlink>
      <w:r w:rsidRPr="00946122">
        <w:rPr>
          <w:rFonts w:eastAsia="DengXian"/>
          <w:color w:val="auto"/>
        </w:rPr>
        <w:t>.</w:t>
      </w:r>
    </w:p>
    <w:p w14:paraId="28A1964F" w14:textId="4A2AC8E9" w:rsidR="00C1267A" w:rsidRPr="00946122" w:rsidRDefault="00C1267A" w:rsidP="00C1267A">
      <w:pPr>
        <w:pStyle w:val="MDPI71References"/>
        <w:rPr>
          <w:rFonts w:eastAsia="DengXian"/>
          <w:color w:val="auto"/>
        </w:rPr>
      </w:pPr>
      <w:bookmarkStart w:id="10" w:name="_Hlk180696878"/>
      <w:r w:rsidRPr="00946122">
        <w:rPr>
          <w:rFonts w:eastAsia="DengXian"/>
          <w:color w:val="auto"/>
        </w:rPr>
        <w:t>UNECE</w:t>
      </w:r>
      <w:bookmarkEnd w:id="10"/>
      <w:r w:rsidRPr="00946122">
        <w:rPr>
          <w:rFonts w:eastAsia="DengXian"/>
          <w:color w:val="auto"/>
        </w:rPr>
        <w:t>. Conference of European Statisticians Recommendations for the 2020 Censuses of Population and Housing.</w:t>
      </w:r>
      <w:r w:rsidR="000D0576" w:rsidRPr="00946122">
        <w:rPr>
          <w:rFonts w:eastAsia="DengXian"/>
          <w:color w:val="auto"/>
        </w:rPr>
        <w:t xml:space="preserve"> New York and Geneva, 2015.</w:t>
      </w:r>
      <w:r w:rsidRPr="00946122">
        <w:rPr>
          <w:rFonts w:eastAsia="DengXian"/>
          <w:color w:val="auto"/>
        </w:rPr>
        <w:t xml:space="preserve"> </w:t>
      </w:r>
      <w:hyperlink r:id="rId59" w:history="1">
        <w:r w:rsidRPr="00946122">
          <w:rPr>
            <w:rFonts w:eastAsia="DengXian"/>
            <w:color w:val="auto"/>
          </w:rPr>
          <w:t>https://unece.org/statistics/publications/conference-european-statisticians-recommendations-2020-censuses-population</w:t>
        </w:r>
      </w:hyperlink>
      <w:r w:rsidRPr="00946122">
        <w:rPr>
          <w:rFonts w:eastAsia="DengXian"/>
          <w:color w:val="auto"/>
        </w:rPr>
        <w:t>.</w:t>
      </w:r>
    </w:p>
    <w:p w14:paraId="5A100A46" w14:textId="177D11C8" w:rsidR="00C1267A" w:rsidRPr="00946122" w:rsidRDefault="00C1267A" w:rsidP="00C1267A">
      <w:pPr>
        <w:pStyle w:val="MDPI71References"/>
        <w:rPr>
          <w:rFonts w:eastAsia="DengXian"/>
          <w:color w:val="auto"/>
        </w:rPr>
      </w:pPr>
      <w:bookmarkStart w:id="11" w:name="_Hlk180696993"/>
      <w:r w:rsidRPr="00946122">
        <w:rPr>
          <w:rFonts w:eastAsia="DengXian"/>
          <w:color w:val="auto"/>
        </w:rPr>
        <w:lastRenderedPageBreak/>
        <w:t>Sanga, D.</w:t>
      </w:r>
      <w:r w:rsidR="009E3A7B" w:rsidRPr="00946122">
        <w:rPr>
          <w:rFonts w:eastAsia="DengXian"/>
          <w:color w:val="auto"/>
        </w:rPr>
        <w:t>;</w:t>
      </w:r>
      <w:r w:rsidRPr="00946122">
        <w:rPr>
          <w:rFonts w:eastAsia="DengXian"/>
          <w:color w:val="auto"/>
        </w:rPr>
        <w:t xml:space="preserve"> Dosso, B</w:t>
      </w:r>
      <w:bookmarkEnd w:id="11"/>
      <w:r w:rsidRPr="00946122">
        <w:rPr>
          <w:rFonts w:eastAsia="DengXian"/>
          <w:color w:val="auto"/>
        </w:rPr>
        <w:t xml:space="preserve">. </w:t>
      </w:r>
      <w:r w:rsidR="009E3A7B" w:rsidRPr="00946122">
        <w:rPr>
          <w:rFonts w:eastAsia="DengXian"/>
          <w:color w:val="auto"/>
        </w:rPr>
        <w:t>The use of geographic information systems in African national statistical institutes/offices, United Nations Regional Workshop on Data Dissemination and Reporting Niamey</w:t>
      </w:r>
      <w:r w:rsidR="00517E6C" w:rsidRPr="00946122">
        <w:rPr>
          <w:rFonts w:eastAsia="DengXian"/>
          <w:color w:val="auto"/>
        </w:rPr>
        <w:t xml:space="preserve">, </w:t>
      </w:r>
      <w:r w:rsidR="00517E6C" w:rsidRPr="00946122">
        <w:rPr>
          <w:rFonts w:eastAsia="DengXian"/>
          <w:i/>
          <w:iCs/>
          <w:color w:val="auto"/>
        </w:rPr>
        <w:t>African Statistical Journal</w:t>
      </w:r>
      <w:r w:rsidR="00517E6C" w:rsidRPr="00946122">
        <w:rPr>
          <w:rFonts w:eastAsia="DengXian"/>
          <w:color w:val="auto"/>
        </w:rPr>
        <w:t>, 2007,</w:t>
      </w:r>
      <w:r w:rsidRPr="00946122">
        <w:rPr>
          <w:rFonts w:eastAsia="DengXian"/>
          <w:color w:val="auto"/>
        </w:rPr>
        <w:t xml:space="preserve"> </w:t>
      </w:r>
      <w:r w:rsidRPr="00946122">
        <w:rPr>
          <w:rFonts w:eastAsia="DengXian"/>
          <w:b/>
          <w:bCs/>
          <w:color w:val="auto"/>
        </w:rPr>
        <w:t>5</w:t>
      </w:r>
      <w:r w:rsidRPr="00946122">
        <w:rPr>
          <w:rFonts w:eastAsia="DengXian"/>
          <w:color w:val="auto"/>
        </w:rPr>
        <w:t>.</w:t>
      </w:r>
      <w:r w:rsidRPr="00946122">
        <w:rPr>
          <w:rFonts w:eastAsia="Cambria"/>
          <w:color w:val="auto"/>
          <w:sz w:val="24"/>
          <w:szCs w:val="24"/>
          <w:lang w:eastAsia="en-US"/>
        </w:rPr>
        <w:t xml:space="preserve"> </w:t>
      </w:r>
      <w:r w:rsidRPr="00946122">
        <w:rPr>
          <w:rFonts w:eastAsia="DengXian"/>
          <w:color w:val="auto"/>
        </w:rPr>
        <w:t>161-181.</w:t>
      </w:r>
    </w:p>
    <w:p w14:paraId="3466F466" w14:textId="6877E992" w:rsidR="00C1267A" w:rsidRPr="00946122" w:rsidRDefault="00C1267A" w:rsidP="00C1267A">
      <w:pPr>
        <w:pStyle w:val="MDPI71References"/>
        <w:rPr>
          <w:rFonts w:eastAsia="DengXian"/>
          <w:color w:val="auto"/>
        </w:rPr>
      </w:pPr>
      <w:bookmarkStart w:id="12" w:name="_Hlk180697100"/>
      <w:r w:rsidRPr="00946122">
        <w:rPr>
          <w:rFonts w:eastAsia="DengXian"/>
          <w:color w:val="auto"/>
        </w:rPr>
        <w:t>Srini, V., Adelamar</w:t>
      </w:r>
      <w:bookmarkEnd w:id="12"/>
      <w:r w:rsidRPr="00946122">
        <w:rPr>
          <w:rFonts w:eastAsia="DengXian"/>
          <w:color w:val="auto"/>
        </w:rPr>
        <w:t>, A. GIS-based Methods for Estimating Missing Poverty Rates &amp; Projecting Future Rates in Census Tracts.</w:t>
      </w:r>
      <w:r w:rsidR="001E3248" w:rsidRPr="00946122">
        <w:rPr>
          <w:rFonts w:eastAsia="DengXian"/>
          <w:color w:val="auto"/>
        </w:rPr>
        <w:t xml:space="preserve"> </w:t>
      </w:r>
      <w:r w:rsidR="001E3248" w:rsidRPr="00946122">
        <w:rPr>
          <w:rFonts w:eastAsia="DengXian"/>
          <w:i/>
          <w:iCs/>
          <w:color w:val="auto"/>
        </w:rPr>
        <w:t xml:space="preserve">Review of Economics and Finance, </w:t>
      </w:r>
      <w:r w:rsidR="001E3248" w:rsidRPr="00946122">
        <w:rPr>
          <w:rFonts w:eastAsia="DengXian"/>
          <w:color w:val="auto"/>
        </w:rPr>
        <w:t>2016,</w:t>
      </w:r>
      <w:r w:rsidRPr="00946122">
        <w:rPr>
          <w:rFonts w:eastAsia="DengXian"/>
          <w:color w:val="auto"/>
        </w:rPr>
        <w:t xml:space="preserve"> </w:t>
      </w:r>
      <w:r w:rsidR="0003175D" w:rsidRPr="00946122">
        <w:rPr>
          <w:rFonts w:eastAsia="DengXian"/>
          <w:color w:val="auto"/>
        </w:rPr>
        <w:t>3(</w:t>
      </w:r>
      <w:r w:rsidRPr="00946122">
        <w:rPr>
          <w:rFonts w:eastAsia="DengXian"/>
          <w:b/>
          <w:bCs/>
          <w:color w:val="auto"/>
        </w:rPr>
        <w:t>6</w:t>
      </w:r>
      <w:r w:rsidR="0003175D" w:rsidRPr="00946122">
        <w:rPr>
          <w:rFonts w:eastAsia="DengXian"/>
          <w:b/>
          <w:bCs/>
          <w:color w:val="auto"/>
        </w:rPr>
        <w:t>),</w:t>
      </w:r>
      <w:r w:rsidRPr="00946122">
        <w:rPr>
          <w:rFonts w:eastAsia="DengXian"/>
          <w:color w:val="auto"/>
        </w:rPr>
        <w:t xml:space="preserve"> 1923-8401.</w:t>
      </w:r>
    </w:p>
    <w:p w14:paraId="6CBAC624" w14:textId="3C3F3BFC" w:rsidR="00C1267A" w:rsidRPr="00946122" w:rsidRDefault="00C1267A" w:rsidP="00C1267A">
      <w:pPr>
        <w:pStyle w:val="MDPI71References"/>
        <w:rPr>
          <w:rFonts w:eastAsia="DengXian"/>
          <w:color w:val="auto"/>
        </w:rPr>
      </w:pPr>
      <w:bookmarkStart w:id="13" w:name="_Hlk180697177"/>
      <w:r w:rsidRPr="00946122">
        <w:rPr>
          <w:rFonts w:eastAsia="DengXian"/>
          <w:color w:val="auto"/>
        </w:rPr>
        <w:t>Okeke, O.</w:t>
      </w:r>
      <w:r w:rsidR="00CA003F" w:rsidRPr="00946122">
        <w:rPr>
          <w:rFonts w:eastAsia="DengXian"/>
          <w:color w:val="auto"/>
        </w:rPr>
        <w:t>;</w:t>
      </w:r>
      <w:r w:rsidRPr="00946122">
        <w:rPr>
          <w:rFonts w:eastAsia="DengXian"/>
          <w:color w:val="auto"/>
        </w:rPr>
        <w:t xml:space="preserve"> Okonkwo</w:t>
      </w:r>
      <w:bookmarkEnd w:id="13"/>
      <w:r w:rsidRPr="00946122">
        <w:rPr>
          <w:rFonts w:eastAsia="DengXian"/>
          <w:color w:val="auto"/>
        </w:rPr>
        <w:t>, E. Design and development of a data mining model for census analysis with geographical information system (GIS).</w:t>
      </w:r>
      <w:r w:rsidR="00CA003F" w:rsidRPr="00946122">
        <w:rPr>
          <w:rFonts w:eastAsia="DengXian"/>
          <w:color w:val="auto"/>
        </w:rPr>
        <w:t xml:space="preserve"> </w:t>
      </w:r>
      <w:r w:rsidR="00CA003F" w:rsidRPr="00946122">
        <w:rPr>
          <w:rFonts w:eastAsia="DengXian"/>
          <w:i/>
          <w:iCs/>
          <w:color w:val="auto"/>
        </w:rPr>
        <w:t>Journal of emerging technologies and innovative research,</w:t>
      </w:r>
      <w:r w:rsidRPr="00946122">
        <w:rPr>
          <w:rFonts w:eastAsia="DengXian"/>
          <w:color w:val="auto"/>
        </w:rPr>
        <w:t xml:space="preserve"> </w:t>
      </w:r>
      <w:r w:rsidR="00CA003F" w:rsidRPr="00946122">
        <w:rPr>
          <w:rFonts w:eastAsia="DengXian"/>
          <w:color w:val="auto"/>
        </w:rPr>
        <w:t xml:space="preserve">2017, </w:t>
      </w:r>
      <w:r w:rsidRPr="00946122">
        <w:rPr>
          <w:rFonts w:eastAsia="DengXian"/>
          <w:b/>
          <w:bCs/>
          <w:color w:val="auto"/>
        </w:rPr>
        <w:t>4</w:t>
      </w:r>
      <w:r w:rsidRPr="00946122">
        <w:rPr>
          <w:rFonts w:eastAsia="DengXian"/>
          <w:color w:val="auto"/>
        </w:rPr>
        <w:t>. 388-397.</w:t>
      </w:r>
    </w:p>
    <w:p w14:paraId="54505228" w14:textId="597C68D1" w:rsidR="00C1267A" w:rsidRPr="00946122" w:rsidRDefault="00C1267A" w:rsidP="00C1267A">
      <w:pPr>
        <w:pStyle w:val="MDPI71References"/>
        <w:rPr>
          <w:rFonts w:eastAsia="DengXian"/>
          <w:color w:val="auto"/>
        </w:rPr>
      </w:pPr>
      <w:bookmarkStart w:id="14" w:name="_Hlk180697291"/>
      <w:r w:rsidRPr="00946122">
        <w:rPr>
          <w:rFonts w:eastAsia="DengXian"/>
          <w:color w:val="auto"/>
        </w:rPr>
        <w:t>Claude, B.</w:t>
      </w:r>
      <w:r w:rsidR="00CA003F" w:rsidRPr="00946122">
        <w:rPr>
          <w:rFonts w:eastAsia="DengXian"/>
          <w:color w:val="auto"/>
        </w:rPr>
        <w:t xml:space="preserve">; </w:t>
      </w:r>
      <w:r w:rsidRPr="00946122">
        <w:rPr>
          <w:rFonts w:eastAsia="DengXian"/>
          <w:color w:val="auto"/>
        </w:rPr>
        <w:t>Gilles</w:t>
      </w:r>
      <w:bookmarkEnd w:id="14"/>
      <w:r w:rsidRPr="00946122">
        <w:rPr>
          <w:rFonts w:eastAsia="DengXian"/>
          <w:color w:val="auto"/>
        </w:rPr>
        <w:t xml:space="preserve">, R. </w:t>
      </w:r>
      <w:r w:rsidR="00CA003F" w:rsidRPr="00946122">
        <w:rPr>
          <w:rFonts w:eastAsia="DengXian"/>
          <w:i/>
          <w:iCs/>
          <w:color w:val="auto"/>
        </w:rPr>
        <w:t>The mapping of censuses</w:t>
      </w:r>
      <w:r w:rsidR="00CA003F" w:rsidRPr="00946122">
        <w:rPr>
          <w:rFonts w:eastAsia="DengXian"/>
          <w:color w:val="auto"/>
        </w:rPr>
        <w:t>, 1977,</w:t>
      </w:r>
      <w:r w:rsidRPr="00946122">
        <w:rPr>
          <w:rFonts w:eastAsia="DengXian"/>
          <w:color w:val="auto"/>
        </w:rPr>
        <w:t xml:space="preserve"> 119-198. </w:t>
      </w:r>
      <w:hyperlink r:id="rId60" w:history="1">
        <w:r w:rsidRPr="00946122">
          <w:rPr>
            <w:rFonts w:eastAsia="DengXian"/>
            <w:color w:val="auto"/>
          </w:rPr>
          <w:t>https://horizon.documentation.ird.fr/exl-doc/pleins_textes/divers10-09/20624.pdf</w:t>
        </w:r>
      </w:hyperlink>
      <w:r w:rsidRPr="00946122">
        <w:rPr>
          <w:rFonts w:eastAsia="DengXian"/>
          <w:color w:val="auto"/>
        </w:rPr>
        <w:t>.</w:t>
      </w:r>
    </w:p>
    <w:p w14:paraId="286CA4C5" w14:textId="23DDB636" w:rsidR="00C1267A" w:rsidRPr="00946122" w:rsidRDefault="00C1267A" w:rsidP="00C1267A">
      <w:pPr>
        <w:pStyle w:val="MDPI71References"/>
        <w:rPr>
          <w:rFonts w:eastAsia="DengXian"/>
          <w:color w:val="auto"/>
        </w:rPr>
      </w:pPr>
      <w:r w:rsidRPr="00946122">
        <w:rPr>
          <w:rFonts w:eastAsia="DengXian"/>
          <w:color w:val="auto"/>
        </w:rPr>
        <w:t>Thomson</w:t>
      </w:r>
      <w:r w:rsidR="00FB6384" w:rsidRPr="00946122">
        <w:rPr>
          <w:rFonts w:eastAsia="DengXian"/>
          <w:color w:val="auto"/>
        </w:rPr>
        <w:t xml:space="preserve">, </w:t>
      </w:r>
      <w:r w:rsidRPr="00946122">
        <w:rPr>
          <w:rFonts w:eastAsia="DengXian"/>
          <w:color w:val="auto"/>
        </w:rPr>
        <w:t>D</w:t>
      </w:r>
      <w:r w:rsidR="00FB6384" w:rsidRPr="00946122">
        <w:rPr>
          <w:rFonts w:eastAsia="DengXian"/>
          <w:color w:val="auto"/>
        </w:rPr>
        <w:t>.</w:t>
      </w:r>
      <w:r w:rsidRPr="00946122">
        <w:rPr>
          <w:rFonts w:eastAsia="DengXian"/>
          <w:color w:val="auto"/>
        </w:rPr>
        <w:t>R.</w:t>
      </w:r>
      <w:r w:rsidR="00FB6384" w:rsidRPr="00946122">
        <w:rPr>
          <w:rFonts w:eastAsia="DengXian"/>
          <w:color w:val="auto"/>
        </w:rPr>
        <w:t>;</w:t>
      </w:r>
      <w:r w:rsidRPr="00946122">
        <w:rPr>
          <w:rFonts w:eastAsia="DengXian"/>
          <w:color w:val="auto"/>
        </w:rPr>
        <w:t xml:space="preserve"> Stevens</w:t>
      </w:r>
      <w:r w:rsidR="00FB6384" w:rsidRPr="00946122">
        <w:rPr>
          <w:rFonts w:eastAsia="DengXian"/>
          <w:color w:val="auto"/>
        </w:rPr>
        <w:t>,</w:t>
      </w:r>
      <w:r w:rsidRPr="00946122">
        <w:rPr>
          <w:rFonts w:eastAsia="DengXian"/>
          <w:color w:val="auto"/>
        </w:rPr>
        <w:t xml:space="preserve"> F</w:t>
      </w:r>
      <w:r w:rsidR="00FB6384" w:rsidRPr="00946122">
        <w:rPr>
          <w:rFonts w:eastAsia="DengXian"/>
          <w:color w:val="auto"/>
        </w:rPr>
        <w:t>.</w:t>
      </w:r>
      <w:r w:rsidRPr="00946122">
        <w:rPr>
          <w:rFonts w:eastAsia="DengXian"/>
          <w:color w:val="auto"/>
        </w:rPr>
        <w:t>R</w:t>
      </w:r>
      <w:r w:rsidR="00FB6384" w:rsidRPr="00946122">
        <w:rPr>
          <w:rFonts w:eastAsia="DengXian"/>
          <w:color w:val="auto"/>
        </w:rPr>
        <w:t>.;</w:t>
      </w:r>
      <w:r w:rsidRPr="00946122">
        <w:rPr>
          <w:rFonts w:eastAsia="DengXian"/>
          <w:color w:val="auto"/>
        </w:rPr>
        <w:t xml:space="preserve"> </w:t>
      </w:r>
      <w:proofErr w:type="spellStart"/>
      <w:r w:rsidRPr="00946122">
        <w:rPr>
          <w:rFonts w:eastAsia="DengXian"/>
          <w:color w:val="auto"/>
        </w:rPr>
        <w:t>Ruktanonchai</w:t>
      </w:r>
      <w:proofErr w:type="spellEnd"/>
      <w:r w:rsidR="00FB6384" w:rsidRPr="00946122">
        <w:rPr>
          <w:rFonts w:eastAsia="DengXian"/>
          <w:color w:val="auto"/>
        </w:rPr>
        <w:t>,</w:t>
      </w:r>
      <w:r w:rsidRPr="00946122">
        <w:rPr>
          <w:rFonts w:eastAsia="DengXian"/>
          <w:color w:val="auto"/>
        </w:rPr>
        <w:t xml:space="preserve"> N</w:t>
      </w:r>
      <w:r w:rsidR="00FB6384" w:rsidRPr="00946122">
        <w:rPr>
          <w:rFonts w:eastAsia="DengXian"/>
          <w:color w:val="auto"/>
        </w:rPr>
        <w:t>.</w:t>
      </w:r>
      <w:r w:rsidRPr="00946122">
        <w:rPr>
          <w:rFonts w:eastAsia="DengXian"/>
          <w:color w:val="auto"/>
        </w:rPr>
        <w:t>W</w:t>
      </w:r>
      <w:r w:rsidR="00FB6384" w:rsidRPr="00946122">
        <w:rPr>
          <w:rFonts w:eastAsia="DengXian"/>
          <w:color w:val="auto"/>
        </w:rPr>
        <w:t>.;</w:t>
      </w:r>
      <w:r w:rsidRPr="00946122">
        <w:rPr>
          <w:rFonts w:eastAsia="DengXian"/>
          <w:color w:val="auto"/>
        </w:rPr>
        <w:t xml:space="preserve"> </w:t>
      </w:r>
      <w:proofErr w:type="spellStart"/>
      <w:r w:rsidRPr="00946122">
        <w:rPr>
          <w:rFonts w:eastAsia="DengXian"/>
          <w:color w:val="auto"/>
        </w:rPr>
        <w:t>Tatem</w:t>
      </w:r>
      <w:proofErr w:type="spellEnd"/>
      <w:r w:rsidR="00FB6384" w:rsidRPr="00946122">
        <w:rPr>
          <w:rFonts w:eastAsia="DengXian"/>
          <w:color w:val="auto"/>
        </w:rPr>
        <w:t>,</w:t>
      </w:r>
      <w:r w:rsidRPr="00946122">
        <w:rPr>
          <w:rFonts w:eastAsia="DengXian"/>
          <w:color w:val="auto"/>
        </w:rPr>
        <w:t xml:space="preserve"> A</w:t>
      </w:r>
      <w:r w:rsidR="00FB6384" w:rsidRPr="00946122">
        <w:rPr>
          <w:rFonts w:eastAsia="DengXian"/>
          <w:color w:val="auto"/>
        </w:rPr>
        <w:t>.</w:t>
      </w:r>
      <w:r w:rsidRPr="00946122">
        <w:rPr>
          <w:rFonts w:eastAsia="DengXian"/>
          <w:color w:val="auto"/>
        </w:rPr>
        <w:t>J</w:t>
      </w:r>
      <w:r w:rsidR="00FB6384" w:rsidRPr="00946122">
        <w:rPr>
          <w:rFonts w:eastAsia="DengXian"/>
          <w:color w:val="auto"/>
        </w:rPr>
        <w:t>.;</w:t>
      </w:r>
      <w:r w:rsidRPr="00946122">
        <w:rPr>
          <w:rFonts w:eastAsia="DengXian"/>
          <w:color w:val="auto"/>
        </w:rPr>
        <w:t xml:space="preserve"> Castro</w:t>
      </w:r>
      <w:r w:rsidR="00FB6384" w:rsidRPr="00946122">
        <w:rPr>
          <w:rFonts w:eastAsia="DengXian"/>
          <w:color w:val="auto"/>
        </w:rPr>
        <w:t>,</w:t>
      </w:r>
      <w:r w:rsidRPr="00946122">
        <w:rPr>
          <w:rFonts w:eastAsia="DengXian"/>
          <w:color w:val="auto"/>
        </w:rPr>
        <w:t xml:space="preserve"> M</w:t>
      </w:r>
      <w:r w:rsidR="00FB6384" w:rsidRPr="00946122">
        <w:rPr>
          <w:rFonts w:eastAsia="DengXian"/>
          <w:color w:val="auto"/>
        </w:rPr>
        <w:t>.</w:t>
      </w:r>
      <w:r w:rsidRPr="00946122">
        <w:rPr>
          <w:rFonts w:eastAsia="DengXian"/>
          <w:color w:val="auto"/>
        </w:rPr>
        <w:t>C</w:t>
      </w:r>
      <w:r w:rsidR="00FB6384" w:rsidRPr="00946122">
        <w:rPr>
          <w:rFonts w:eastAsia="DengXian"/>
          <w:color w:val="auto"/>
        </w:rPr>
        <w:t>.</w:t>
      </w:r>
      <w:r w:rsidRPr="00946122">
        <w:rPr>
          <w:rFonts w:eastAsia="DengXian"/>
          <w:color w:val="auto"/>
        </w:rPr>
        <w:t xml:space="preserve"> </w:t>
      </w:r>
      <w:proofErr w:type="spellStart"/>
      <w:r w:rsidRPr="00946122">
        <w:rPr>
          <w:rFonts w:eastAsia="DengXian"/>
          <w:color w:val="auto"/>
        </w:rPr>
        <w:t>GridSample</w:t>
      </w:r>
      <w:proofErr w:type="spellEnd"/>
      <w:r w:rsidRPr="00946122">
        <w:rPr>
          <w:rFonts w:eastAsia="DengXian"/>
          <w:color w:val="auto"/>
        </w:rPr>
        <w:t xml:space="preserve">: an R package to generate household survey primary sampling units (PSUs) from gridded population data. Int J Health </w:t>
      </w:r>
      <w:proofErr w:type="spellStart"/>
      <w:r w:rsidRPr="00946122">
        <w:rPr>
          <w:rFonts w:eastAsia="DengXian"/>
          <w:color w:val="auto"/>
        </w:rPr>
        <w:t>Geogr</w:t>
      </w:r>
      <w:proofErr w:type="spellEnd"/>
      <w:r w:rsidR="00FB6384" w:rsidRPr="00946122">
        <w:rPr>
          <w:rFonts w:eastAsia="DengXian"/>
          <w:color w:val="auto"/>
        </w:rPr>
        <w:t>, 2017,</w:t>
      </w:r>
      <w:r w:rsidRPr="00946122">
        <w:rPr>
          <w:rFonts w:eastAsia="DengXian"/>
          <w:color w:val="auto"/>
        </w:rPr>
        <w:t xml:space="preserve"> 16. https://doi. org/10.1186/s12942-017-0098-4</w:t>
      </w:r>
    </w:p>
    <w:p w14:paraId="6AF9E40B" w14:textId="662CE13A" w:rsidR="00C1267A" w:rsidRPr="00946122" w:rsidRDefault="00C1267A" w:rsidP="00C1267A">
      <w:pPr>
        <w:pStyle w:val="MDPI71References"/>
        <w:rPr>
          <w:rFonts w:eastAsia="DengXian"/>
          <w:color w:val="auto"/>
        </w:rPr>
      </w:pPr>
      <w:r w:rsidRPr="00946122">
        <w:rPr>
          <w:rFonts w:eastAsia="DengXian"/>
          <w:color w:val="auto"/>
        </w:rPr>
        <w:t>Cajka</w:t>
      </w:r>
      <w:r w:rsidR="003D328F" w:rsidRPr="00946122">
        <w:rPr>
          <w:rFonts w:eastAsia="DengXian"/>
          <w:color w:val="auto"/>
        </w:rPr>
        <w:t>,</w:t>
      </w:r>
      <w:r w:rsidRPr="00946122">
        <w:rPr>
          <w:rFonts w:eastAsia="DengXian"/>
          <w:color w:val="auto"/>
        </w:rPr>
        <w:t xml:space="preserve"> J</w:t>
      </w:r>
      <w:r w:rsidR="003D328F" w:rsidRPr="00946122">
        <w:rPr>
          <w:rFonts w:eastAsia="DengXian"/>
          <w:color w:val="auto"/>
        </w:rPr>
        <w:t>.;</w:t>
      </w:r>
      <w:r w:rsidRPr="00946122">
        <w:rPr>
          <w:rFonts w:eastAsia="DengXian"/>
          <w:color w:val="auto"/>
        </w:rPr>
        <w:t xml:space="preserve"> Amer</w:t>
      </w:r>
      <w:r w:rsidR="003D328F" w:rsidRPr="00946122">
        <w:rPr>
          <w:rFonts w:eastAsia="DengXian"/>
          <w:color w:val="auto"/>
        </w:rPr>
        <w:t>,</w:t>
      </w:r>
      <w:r w:rsidRPr="00946122">
        <w:rPr>
          <w:rFonts w:eastAsia="DengXian"/>
          <w:color w:val="auto"/>
        </w:rPr>
        <w:t xml:space="preserve"> S</w:t>
      </w:r>
      <w:r w:rsidR="003D328F" w:rsidRPr="00946122">
        <w:rPr>
          <w:rFonts w:eastAsia="DengXian"/>
          <w:color w:val="auto"/>
        </w:rPr>
        <w:t>.;</w:t>
      </w:r>
      <w:r w:rsidRPr="00946122">
        <w:rPr>
          <w:rFonts w:eastAsia="DengXian"/>
          <w:color w:val="auto"/>
        </w:rPr>
        <w:t xml:space="preserve"> Ridenhour</w:t>
      </w:r>
      <w:r w:rsidR="003D328F" w:rsidRPr="00946122">
        <w:rPr>
          <w:rFonts w:eastAsia="DengXian"/>
          <w:color w:val="auto"/>
        </w:rPr>
        <w:t>,</w:t>
      </w:r>
      <w:r w:rsidRPr="00946122">
        <w:rPr>
          <w:rFonts w:eastAsia="DengXian"/>
          <w:color w:val="auto"/>
        </w:rPr>
        <w:t xml:space="preserve"> J</w:t>
      </w:r>
      <w:r w:rsidR="003D328F" w:rsidRPr="00946122">
        <w:rPr>
          <w:rFonts w:eastAsia="DengXian"/>
          <w:color w:val="auto"/>
        </w:rPr>
        <w:t>.;</w:t>
      </w:r>
      <w:r w:rsidRPr="00946122">
        <w:rPr>
          <w:rFonts w:eastAsia="DengXian"/>
          <w:color w:val="auto"/>
        </w:rPr>
        <w:t xml:space="preserve"> Allpress</w:t>
      </w:r>
      <w:r w:rsidR="003D328F" w:rsidRPr="00946122">
        <w:rPr>
          <w:rFonts w:eastAsia="DengXian"/>
          <w:color w:val="auto"/>
        </w:rPr>
        <w:t>,</w:t>
      </w:r>
      <w:r w:rsidRPr="00946122">
        <w:rPr>
          <w:rFonts w:eastAsia="DengXian"/>
          <w:color w:val="auto"/>
        </w:rPr>
        <w:t xml:space="preserve"> J</w:t>
      </w:r>
      <w:r w:rsidR="003D328F" w:rsidRPr="00946122">
        <w:rPr>
          <w:rFonts w:eastAsia="DengXian"/>
          <w:color w:val="auto"/>
        </w:rPr>
        <w:t>.</w:t>
      </w:r>
      <w:r w:rsidRPr="00946122">
        <w:rPr>
          <w:rFonts w:eastAsia="DengXian"/>
          <w:color w:val="auto"/>
        </w:rPr>
        <w:t xml:space="preserve"> Geo-sampling in developing nations. </w:t>
      </w:r>
      <w:r w:rsidRPr="00946122">
        <w:rPr>
          <w:rFonts w:eastAsia="DengXian"/>
          <w:i/>
          <w:iCs/>
          <w:color w:val="auto"/>
        </w:rPr>
        <w:t xml:space="preserve">Int J Soc Res </w:t>
      </w:r>
      <w:proofErr w:type="spellStart"/>
      <w:r w:rsidRPr="00946122">
        <w:rPr>
          <w:rFonts w:eastAsia="DengXian"/>
          <w:i/>
          <w:iCs/>
          <w:color w:val="auto"/>
        </w:rPr>
        <w:t>Methodol</w:t>
      </w:r>
      <w:proofErr w:type="spellEnd"/>
      <w:r w:rsidR="003D328F" w:rsidRPr="00946122">
        <w:rPr>
          <w:rFonts w:eastAsia="DengXian"/>
          <w:i/>
          <w:iCs/>
          <w:color w:val="auto"/>
        </w:rPr>
        <w:t xml:space="preserve">, </w:t>
      </w:r>
      <w:proofErr w:type="gramStart"/>
      <w:r w:rsidR="003D328F" w:rsidRPr="00946122">
        <w:rPr>
          <w:rFonts w:eastAsia="DengXian"/>
          <w:color w:val="auto"/>
        </w:rPr>
        <w:t xml:space="preserve">2018, </w:t>
      </w:r>
      <w:r w:rsidRPr="00946122">
        <w:rPr>
          <w:rFonts w:eastAsia="DengXian"/>
          <w:color w:val="auto"/>
        </w:rPr>
        <w:t xml:space="preserve"> 21</w:t>
      </w:r>
      <w:proofErr w:type="gramEnd"/>
      <w:r w:rsidRPr="00946122">
        <w:rPr>
          <w:rFonts w:eastAsia="DengXian"/>
          <w:color w:val="auto"/>
        </w:rPr>
        <w:t>(6):729–746. https://doi.org/10.1080/ 13645579.2018.1484989</w:t>
      </w:r>
    </w:p>
    <w:p w14:paraId="0FAE68F8" w14:textId="56878F58" w:rsidR="00C1267A" w:rsidRPr="00946122" w:rsidRDefault="00C1267A" w:rsidP="00C1267A">
      <w:pPr>
        <w:pStyle w:val="MDPI71References"/>
        <w:rPr>
          <w:rFonts w:eastAsia="DengXian"/>
          <w:color w:val="auto"/>
        </w:rPr>
      </w:pPr>
      <w:r w:rsidRPr="00946122">
        <w:rPr>
          <w:rFonts w:eastAsia="DengXian"/>
          <w:color w:val="auto"/>
        </w:rPr>
        <w:t>Wang</w:t>
      </w:r>
      <w:r w:rsidR="005423A6" w:rsidRPr="00946122">
        <w:rPr>
          <w:rFonts w:eastAsia="DengXian"/>
          <w:color w:val="auto"/>
        </w:rPr>
        <w:t>,</w:t>
      </w:r>
      <w:r w:rsidRPr="00946122">
        <w:rPr>
          <w:rFonts w:eastAsia="DengXian"/>
          <w:color w:val="auto"/>
        </w:rPr>
        <w:t xml:space="preserve"> Y</w:t>
      </w:r>
      <w:r w:rsidR="005423A6" w:rsidRPr="00946122">
        <w:rPr>
          <w:rFonts w:eastAsia="DengXian"/>
          <w:color w:val="auto"/>
        </w:rPr>
        <w:t>.</w:t>
      </w:r>
      <w:r w:rsidRPr="00946122">
        <w:rPr>
          <w:rFonts w:eastAsia="DengXian"/>
          <w:color w:val="auto"/>
        </w:rPr>
        <w:t>J</w:t>
      </w:r>
      <w:r w:rsidR="005423A6" w:rsidRPr="00946122">
        <w:rPr>
          <w:rFonts w:eastAsia="DengXian"/>
          <w:color w:val="auto"/>
        </w:rPr>
        <w:t>.;</w:t>
      </w:r>
      <w:r w:rsidRPr="00946122">
        <w:rPr>
          <w:rFonts w:eastAsia="DengXian"/>
          <w:color w:val="auto"/>
        </w:rPr>
        <w:t xml:space="preserve"> Jiang</w:t>
      </w:r>
      <w:r w:rsidR="005423A6" w:rsidRPr="00946122">
        <w:rPr>
          <w:rFonts w:eastAsia="DengXian"/>
          <w:color w:val="auto"/>
        </w:rPr>
        <w:t>,</w:t>
      </w:r>
      <w:r w:rsidRPr="00946122">
        <w:rPr>
          <w:rFonts w:eastAsia="DengXian"/>
          <w:color w:val="auto"/>
        </w:rPr>
        <w:t xml:space="preserve"> L</w:t>
      </w:r>
      <w:r w:rsidR="005423A6" w:rsidRPr="00946122">
        <w:rPr>
          <w:rFonts w:eastAsia="DengXian"/>
          <w:color w:val="auto"/>
        </w:rPr>
        <w:t>.</w:t>
      </w:r>
      <w:r w:rsidRPr="00946122">
        <w:rPr>
          <w:rFonts w:eastAsia="DengXian"/>
          <w:color w:val="auto"/>
        </w:rPr>
        <w:t>L</w:t>
      </w:r>
      <w:r w:rsidR="005423A6" w:rsidRPr="00946122">
        <w:rPr>
          <w:rFonts w:eastAsia="DengXian"/>
          <w:color w:val="auto"/>
        </w:rPr>
        <w:t>.;</w:t>
      </w:r>
      <w:r w:rsidRPr="00946122">
        <w:rPr>
          <w:rFonts w:eastAsia="DengXian"/>
          <w:color w:val="auto"/>
        </w:rPr>
        <w:t xml:space="preserve"> </w:t>
      </w:r>
      <w:proofErr w:type="gramStart"/>
      <w:r w:rsidRPr="00946122">
        <w:rPr>
          <w:rFonts w:eastAsia="DengXian"/>
          <w:color w:val="auto"/>
        </w:rPr>
        <w:t xml:space="preserve">Qi </w:t>
      </w:r>
      <w:r w:rsidR="005423A6" w:rsidRPr="00946122">
        <w:rPr>
          <w:rFonts w:eastAsia="DengXian"/>
          <w:color w:val="auto"/>
        </w:rPr>
        <w:t>,</w:t>
      </w:r>
      <w:proofErr w:type="gramEnd"/>
      <w:r w:rsidRPr="00946122">
        <w:rPr>
          <w:rFonts w:eastAsia="DengXian"/>
          <w:color w:val="auto"/>
        </w:rPr>
        <w:t>Q</w:t>
      </w:r>
      <w:r w:rsidR="005423A6" w:rsidRPr="00946122">
        <w:rPr>
          <w:rFonts w:eastAsia="DengXian"/>
          <w:color w:val="auto"/>
        </w:rPr>
        <w:t>.</w:t>
      </w:r>
      <w:r w:rsidRPr="00946122">
        <w:rPr>
          <w:rFonts w:eastAsia="DengXian"/>
          <w:color w:val="auto"/>
        </w:rPr>
        <w:t>W</w:t>
      </w:r>
      <w:r w:rsidR="005423A6" w:rsidRPr="00946122">
        <w:rPr>
          <w:rFonts w:eastAsia="DengXian"/>
          <w:color w:val="auto"/>
        </w:rPr>
        <w:t>.;</w:t>
      </w:r>
      <w:r w:rsidRPr="00946122">
        <w:rPr>
          <w:rFonts w:eastAsia="DengXian"/>
          <w:color w:val="auto"/>
        </w:rPr>
        <w:t xml:space="preserve"> Liu</w:t>
      </w:r>
      <w:r w:rsidR="005423A6" w:rsidRPr="00946122">
        <w:rPr>
          <w:rFonts w:eastAsia="DengXian"/>
          <w:color w:val="auto"/>
        </w:rPr>
        <w:t>,</w:t>
      </w:r>
      <w:r w:rsidRPr="00946122">
        <w:rPr>
          <w:rFonts w:eastAsia="DengXian"/>
          <w:color w:val="auto"/>
        </w:rPr>
        <w:t xml:space="preserve"> Y</w:t>
      </w:r>
      <w:r w:rsidR="005423A6" w:rsidRPr="00946122">
        <w:rPr>
          <w:rFonts w:eastAsia="DengXian"/>
          <w:color w:val="auto"/>
        </w:rPr>
        <w:t>.;</w:t>
      </w:r>
      <w:r w:rsidRPr="00946122">
        <w:rPr>
          <w:rFonts w:eastAsia="DengXian"/>
          <w:color w:val="auto"/>
        </w:rPr>
        <w:t xml:space="preserve"> Wang</w:t>
      </w:r>
      <w:r w:rsidR="005423A6" w:rsidRPr="00946122">
        <w:rPr>
          <w:rFonts w:eastAsia="DengXian"/>
          <w:color w:val="auto"/>
        </w:rPr>
        <w:t>,</w:t>
      </w:r>
      <w:r w:rsidRPr="00946122">
        <w:rPr>
          <w:rFonts w:eastAsia="DengXian"/>
          <w:color w:val="auto"/>
        </w:rPr>
        <w:t xml:space="preserve"> J</w:t>
      </w:r>
      <w:r w:rsidR="005423A6" w:rsidRPr="00946122">
        <w:rPr>
          <w:rFonts w:eastAsia="DengXian"/>
          <w:color w:val="auto"/>
        </w:rPr>
        <w:t>.</w:t>
      </w:r>
      <w:r w:rsidRPr="00946122">
        <w:rPr>
          <w:rFonts w:eastAsia="DengXian"/>
          <w:color w:val="auto"/>
        </w:rPr>
        <w:t xml:space="preserve"> Remote Sensing-Guided Sampling Design with Both Good Spatial Coverage and Feature Space Coverage for Accurate Farm Field-Level Soil Mapping. </w:t>
      </w:r>
      <w:r w:rsidRPr="00946122">
        <w:rPr>
          <w:rFonts w:eastAsia="DengXian"/>
          <w:i/>
          <w:iCs/>
          <w:color w:val="auto"/>
        </w:rPr>
        <w:t>Remote Sensing</w:t>
      </w:r>
      <w:r w:rsidRPr="00946122">
        <w:rPr>
          <w:rFonts w:eastAsia="DengXian"/>
          <w:color w:val="auto"/>
        </w:rPr>
        <w:t xml:space="preserve">, </w:t>
      </w:r>
      <w:r w:rsidR="005423A6" w:rsidRPr="00946122">
        <w:rPr>
          <w:rFonts w:eastAsia="DengXian"/>
          <w:color w:val="auto"/>
        </w:rPr>
        <w:t xml:space="preserve">2019, </w:t>
      </w:r>
      <w:r w:rsidRPr="00946122">
        <w:rPr>
          <w:rFonts w:eastAsia="DengXian"/>
          <w:color w:val="auto"/>
        </w:rPr>
        <w:t xml:space="preserve">11(16): https:// doi.org/10.3390/rs11161946 </w:t>
      </w:r>
    </w:p>
    <w:p w14:paraId="30FDA605" w14:textId="6CFB9318" w:rsidR="00C1267A" w:rsidRPr="00946122" w:rsidRDefault="00C1267A" w:rsidP="00C1267A">
      <w:pPr>
        <w:pStyle w:val="MDPI71References"/>
        <w:rPr>
          <w:rFonts w:eastAsia="DengXian"/>
          <w:color w:val="auto"/>
        </w:rPr>
      </w:pPr>
      <w:r w:rsidRPr="00946122">
        <w:rPr>
          <w:rFonts w:eastAsia="DengXian"/>
          <w:color w:val="auto"/>
        </w:rPr>
        <w:t>Haynes</w:t>
      </w:r>
      <w:r w:rsidR="00915E74" w:rsidRPr="00946122">
        <w:rPr>
          <w:rFonts w:eastAsia="DengXian"/>
          <w:color w:val="auto"/>
        </w:rPr>
        <w:t>,</w:t>
      </w:r>
      <w:r w:rsidRPr="00946122">
        <w:rPr>
          <w:rFonts w:eastAsia="DengXian"/>
          <w:color w:val="auto"/>
        </w:rPr>
        <w:t xml:space="preserve"> R</w:t>
      </w:r>
      <w:r w:rsidR="00915E74" w:rsidRPr="00946122">
        <w:rPr>
          <w:rFonts w:eastAsia="DengXian"/>
          <w:color w:val="auto"/>
        </w:rPr>
        <w:t>.;</w:t>
      </w:r>
      <w:r w:rsidRPr="00946122">
        <w:rPr>
          <w:rFonts w:eastAsia="DengXian"/>
          <w:color w:val="auto"/>
        </w:rPr>
        <w:t xml:space="preserve"> Daras</w:t>
      </w:r>
      <w:r w:rsidR="00915E74" w:rsidRPr="00946122">
        <w:rPr>
          <w:rFonts w:eastAsia="DengXian"/>
          <w:color w:val="auto"/>
        </w:rPr>
        <w:t>,</w:t>
      </w:r>
      <w:r w:rsidRPr="00946122">
        <w:rPr>
          <w:rFonts w:eastAsia="DengXian"/>
          <w:color w:val="auto"/>
        </w:rPr>
        <w:t xml:space="preserve"> K</w:t>
      </w:r>
      <w:r w:rsidR="00915E74" w:rsidRPr="00946122">
        <w:rPr>
          <w:rFonts w:eastAsia="DengXian"/>
          <w:color w:val="auto"/>
        </w:rPr>
        <w:t>.;</w:t>
      </w:r>
      <w:r w:rsidRPr="00946122">
        <w:rPr>
          <w:rFonts w:eastAsia="DengXian"/>
          <w:color w:val="auto"/>
        </w:rPr>
        <w:t xml:space="preserve"> Reading</w:t>
      </w:r>
      <w:r w:rsidR="00915E74" w:rsidRPr="00946122">
        <w:rPr>
          <w:rFonts w:eastAsia="DengXian"/>
          <w:color w:val="auto"/>
        </w:rPr>
        <w:t>,</w:t>
      </w:r>
      <w:r w:rsidRPr="00946122">
        <w:rPr>
          <w:rFonts w:eastAsia="DengXian"/>
          <w:color w:val="auto"/>
        </w:rPr>
        <w:t xml:space="preserve"> R</w:t>
      </w:r>
      <w:r w:rsidR="00915E74" w:rsidRPr="00946122">
        <w:rPr>
          <w:rFonts w:eastAsia="DengXian"/>
          <w:color w:val="auto"/>
        </w:rPr>
        <w:t>.;</w:t>
      </w:r>
      <w:r w:rsidRPr="00946122">
        <w:rPr>
          <w:rFonts w:eastAsia="DengXian"/>
          <w:color w:val="auto"/>
        </w:rPr>
        <w:t xml:space="preserve"> Jones</w:t>
      </w:r>
      <w:r w:rsidR="00915E74" w:rsidRPr="00946122">
        <w:rPr>
          <w:rFonts w:eastAsia="DengXian"/>
          <w:color w:val="auto"/>
        </w:rPr>
        <w:t>,</w:t>
      </w:r>
      <w:r w:rsidRPr="00946122">
        <w:rPr>
          <w:rFonts w:eastAsia="DengXian"/>
          <w:color w:val="auto"/>
        </w:rPr>
        <w:t xml:space="preserve"> A</w:t>
      </w:r>
      <w:r w:rsidR="00915E74" w:rsidRPr="00946122">
        <w:rPr>
          <w:rFonts w:eastAsia="DengXian"/>
          <w:color w:val="auto"/>
        </w:rPr>
        <w:t>.</w:t>
      </w:r>
      <w:r w:rsidRPr="00946122">
        <w:rPr>
          <w:rFonts w:eastAsia="DengXian"/>
          <w:color w:val="auto"/>
        </w:rPr>
        <w:t xml:space="preserve"> Modifiable </w:t>
      </w:r>
      <w:proofErr w:type="spellStart"/>
      <w:r w:rsidRPr="00946122">
        <w:rPr>
          <w:rFonts w:eastAsia="DengXian"/>
          <w:color w:val="auto"/>
        </w:rPr>
        <w:t>neighbourhood</w:t>
      </w:r>
      <w:proofErr w:type="spellEnd"/>
      <w:r w:rsidRPr="00946122">
        <w:rPr>
          <w:rFonts w:eastAsia="DengXian"/>
          <w:color w:val="auto"/>
        </w:rPr>
        <w:t xml:space="preserve"> units, zone design and </w:t>
      </w:r>
      <w:proofErr w:type="gramStart"/>
      <w:r w:rsidRPr="00946122">
        <w:rPr>
          <w:rFonts w:eastAsia="DengXian"/>
          <w:color w:val="auto"/>
        </w:rPr>
        <w:t>residents</w:t>
      </w:r>
      <w:proofErr w:type="gramEnd"/>
      <w:r w:rsidRPr="00946122">
        <w:rPr>
          <w:rFonts w:eastAsia="DengXian"/>
          <w:color w:val="auto"/>
        </w:rPr>
        <w:t xml:space="preserve"> perceptions. </w:t>
      </w:r>
      <w:r w:rsidRPr="00946122">
        <w:rPr>
          <w:rFonts w:eastAsia="DengXian"/>
          <w:i/>
          <w:iCs/>
          <w:color w:val="auto"/>
        </w:rPr>
        <w:t>Health Place</w:t>
      </w:r>
      <w:r w:rsidR="00915E74" w:rsidRPr="00946122">
        <w:rPr>
          <w:rFonts w:eastAsia="DengXian"/>
          <w:color w:val="auto"/>
        </w:rPr>
        <w:t>, 2007,</w:t>
      </w:r>
      <w:r w:rsidRPr="00946122">
        <w:rPr>
          <w:rFonts w:eastAsia="DengXian"/>
          <w:color w:val="auto"/>
        </w:rPr>
        <w:t xml:space="preserve"> 13(4):812–825. https:// doi.org/10.1016/j.healthplace.2007.01.002</w:t>
      </w:r>
    </w:p>
    <w:p w14:paraId="0DD6E2F0" w14:textId="77777777" w:rsidR="00C1267A" w:rsidRPr="00946122" w:rsidRDefault="00C1267A" w:rsidP="00C1267A">
      <w:pPr>
        <w:pStyle w:val="MDPI71References"/>
        <w:rPr>
          <w:rFonts w:eastAsia="DengXian"/>
          <w:color w:val="auto"/>
        </w:rPr>
      </w:pPr>
      <w:r w:rsidRPr="00946122">
        <w:rPr>
          <w:rFonts w:eastAsia="DengXian"/>
          <w:color w:val="auto"/>
        </w:rPr>
        <w:t xml:space="preserve">Nock R, Nielsen F (2004) Statistical region merging. IEEE Trans Pattern Anal Machine Intelligence 26(11):1452–1458. </w:t>
      </w:r>
      <w:hyperlink r:id="rId61" w:history="1">
        <w:r w:rsidRPr="00946122">
          <w:rPr>
            <w:rFonts w:eastAsia="DengXian"/>
            <w:color w:val="auto"/>
          </w:rPr>
          <w:t>https://doi.org/10.1109/tpami.2004.110</w:t>
        </w:r>
      </w:hyperlink>
      <w:r w:rsidRPr="00946122">
        <w:rPr>
          <w:rFonts w:eastAsia="DengXian"/>
          <w:color w:val="auto"/>
        </w:rPr>
        <w:t xml:space="preserve"> </w:t>
      </w:r>
    </w:p>
    <w:p w14:paraId="07CCD1DB" w14:textId="1593163D" w:rsidR="00C1267A" w:rsidRPr="00946122" w:rsidRDefault="007F626C" w:rsidP="00C1267A">
      <w:pPr>
        <w:pStyle w:val="MDPI71References"/>
        <w:rPr>
          <w:rFonts w:eastAsia="DengXian"/>
          <w:color w:val="auto"/>
        </w:rPr>
      </w:pPr>
      <w:proofErr w:type="spellStart"/>
      <w:r w:rsidRPr="00946122">
        <w:rPr>
          <w:rFonts w:eastAsia="DengXian"/>
          <w:color w:val="auto"/>
        </w:rPr>
        <w:t>Yunfan</w:t>
      </w:r>
      <w:proofErr w:type="spellEnd"/>
      <w:r w:rsidRPr="00946122">
        <w:rPr>
          <w:rFonts w:eastAsia="DengXian"/>
          <w:color w:val="auto"/>
        </w:rPr>
        <w:t>, K.</w:t>
      </w:r>
      <w:r w:rsidR="00915E74" w:rsidRPr="00946122">
        <w:rPr>
          <w:rFonts w:eastAsia="DengXian"/>
          <w:color w:val="auto"/>
        </w:rPr>
        <w:t>;</w:t>
      </w:r>
      <w:r w:rsidRPr="00946122">
        <w:rPr>
          <w:rFonts w:eastAsia="DengXian"/>
          <w:color w:val="auto"/>
        </w:rPr>
        <w:t xml:space="preserve"> Amr,</w:t>
      </w:r>
      <w:r w:rsidR="00915E74" w:rsidRPr="00946122">
        <w:rPr>
          <w:rFonts w:eastAsia="DengXian"/>
          <w:color w:val="auto"/>
        </w:rPr>
        <w:t xml:space="preserve"> </w:t>
      </w:r>
      <w:r w:rsidRPr="00946122">
        <w:rPr>
          <w:rFonts w:eastAsia="DengXian"/>
          <w:color w:val="auto"/>
        </w:rPr>
        <w:t xml:space="preserve">M. EMP: </w:t>
      </w:r>
      <w:r w:rsidR="005F452B" w:rsidRPr="00946122">
        <w:rPr>
          <w:rFonts w:eastAsia="DengXian"/>
          <w:color w:val="auto"/>
        </w:rPr>
        <w:t>EMP: Max-P Regionalization with Enriched Constraints,</w:t>
      </w:r>
      <w:r w:rsidR="008B04CE" w:rsidRPr="00946122">
        <w:rPr>
          <w:rFonts w:eastAsia="DengXian"/>
          <w:color w:val="auto"/>
        </w:rPr>
        <w:t xml:space="preserve"> </w:t>
      </w:r>
      <w:r w:rsidR="005F452B" w:rsidRPr="00946122">
        <w:rPr>
          <w:rFonts w:eastAsia="DengXian"/>
          <w:color w:val="auto"/>
        </w:rPr>
        <w:t xml:space="preserve">2022 IEEE 38th International Conference on Data Engineering (ICDE), Kuala Lumpur, Malaysia, 2022, pp. 1914-1926, </w:t>
      </w:r>
      <w:proofErr w:type="spellStart"/>
      <w:r w:rsidR="005F452B" w:rsidRPr="00946122">
        <w:rPr>
          <w:rFonts w:eastAsia="DengXian"/>
          <w:color w:val="auto"/>
        </w:rPr>
        <w:t>doi</w:t>
      </w:r>
      <w:proofErr w:type="spellEnd"/>
      <w:r w:rsidR="005F452B" w:rsidRPr="00946122">
        <w:rPr>
          <w:rFonts w:eastAsia="DengXian"/>
          <w:color w:val="auto"/>
        </w:rPr>
        <w:t>: 10.1109/ICDE53745.2022.0018</w:t>
      </w:r>
    </w:p>
    <w:p w14:paraId="06881D8B" w14:textId="1F98A67A" w:rsidR="0051631B" w:rsidRPr="00946122" w:rsidRDefault="0051631B" w:rsidP="00C1267A">
      <w:pPr>
        <w:pStyle w:val="MDPI71References"/>
        <w:rPr>
          <w:rFonts w:eastAsia="DengXian"/>
          <w:color w:val="auto"/>
        </w:rPr>
      </w:pPr>
      <w:proofErr w:type="spellStart"/>
      <w:r w:rsidRPr="00946122">
        <w:rPr>
          <w:rFonts w:eastAsia="DengXian"/>
          <w:color w:val="auto"/>
        </w:rPr>
        <w:t>Hussah</w:t>
      </w:r>
      <w:proofErr w:type="spellEnd"/>
      <w:r w:rsidRPr="00946122">
        <w:rPr>
          <w:rFonts w:eastAsia="DengXian"/>
          <w:color w:val="auto"/>
        </w:rPr>
        <w:t>, A.</w:t>
      </w:r>
      <w:r w:rsidR="008B04CE" w:rsidRPr="00946122">
        <w:rPr>
          <w:rFonts w:eastAsia="DengXian"/>
          <w:color w:val="auto"/>
        </w:rPr>
        <w:t>;</w:t>
      </w:r>
      <w:r w:rsidRPr="00946122">
        <w:rPr>
          <w:rFonts w:eastAsia="DengXian"/>
          <w:color w:val="auto"/>
        </w:rPr>
        <w:t xml:space="preserve"> </w:t>
      </w:r>
      <w:proofErr w:type="spellStart"/>
      <w:r w:rsidRPr="00946122">
        <w:rPr>
          <w:rFonts w:eastAsia="DengXian"/>
          <w:color w:val="auto"/>
        </w:rPr>
        <w:t>Yongyi</w:t>
      </w:r>
      <w:proofErr w:type="spellEnd"/>
      <w:r w:rsidRPr="00946122">
        <w:rPr>
          <w:rFonts w:eastAsia="DengXian"/>
          <w:color w:val="auto"/>
        </w:rPr>
        <w:t>, L.</w:t>
      </w:r>
      <w:r w:rsidR="008B04CE" w:rsidRPr="00946122">
        <w:rPr>
          <w:rFonts w:eastAsia="DengXian"/>
          <w:color w:val="auto"/>
        </w:rPr>
        <w:t>;</w:t>
      </w:r>
      <w:r w:rsidRPr="00946122">
        <w:rPr>
          <w:rFonts w:eastAsia="DengXian"/>
          <w:color w:val="auto"/>
        </w:rPr>
        <w:t xml:space="preserve"> Amr, M. </w:t>
      </w:r>
      <w:r w:rsidR="008B04CE" w:rsidRPr="00946122">
        <w:rPr>
          <w:rFonts w:eastAsia="DengXian"/>
          <w:color w:val="auto"/>
        </w:rPr>
        <w:t>Proceedings of the 30th International Conference on Advances in Geographic Information Systems, New York, NY, USA, 01-01-2022</w:t>
      </w:r>
      <w:r w:rsidRPr="00946122">
        <w:rPr>
          <w:rFonts w:eastAsia="DengXian"/>
          <w:color w:val="auto"/>
        </w:rPr>
        <w:t xml:space="preserve">.   </w:t>
      </w:r>
      <w:proofErr w:type="spellStart"/>
      <w:r w:rsidRPr="00946122">
        <w:rPr>
          <w:rFonts w:eastAsia="DengXian"/>
          <w:color w:val="auto"/>
        </w:rPr>
        <w:t>doi</w:t>
      </w:r>
      <w:proofErr w:type="spellEnd"/>
      <w:r w:rsidRPr="00946122">
        <w:rPr>
          <w:rFonts w:eastAsia="DengXian"/>
          <w:color w:val="auto"/>
        </w:rPr>
        <w:t>: 10.1145/3557915.3561011</w:t>
      </w:r>
    </w:p>
    <w:p w14:paraId="000B451D" w14:textId="1D536C9B" w:rsidR="00C1267A" w:rsidRPr="00946122" w:rsidRDefault="00CD4795" w:rsidP="00C1267A">
      <w:pPr>
        <w:pStyle w:val="MDPI71References"/>
        <w:rPr>
          <w:rFonts w:eastAsia="DengXian"/>
          <w:color w:val="auto"/>
        </w:rPr>
      </w:pPr>
      <w:r w:rsidRPr="00946122">
        <w:rPr>
          <w:rFonts w:eastAsia="DengXian"/>
          <w:color w:val="auto"/>
        </w:rPr>
        <w:t xml:space="preserve">Cardona, </w:t>
      </w:r>
      <w:r w:rsidR="001400EB" w:rsidRPr="00946122">
        <w:rPr>
          <w:rFonts w:eastAsia="DengXian"/>
          <w:color w:val="auto"/>
        </w:rPr>
        <w:t>D.</w:t>
      </w:r>
      <w:r w:rsidRPr="00946122">
        <w:rPr>
          <w:rFonts w:eastAsia="DengXian"/>
          <w:color w:val="auto"/>
        </w:rPr>
        <w:t>;</w:t>
      </w:r>
      <w:r w:rsidR="001400EB" w:rsidRPr="00946122">
        <w:rPr>
          <w:rFonts w:eastAsia="DengXian"/>
          <w:color w:val="auto"/>
        </w:rPr>
        <w:t xml:space="preserve"> </w:t>
      </w:r>
      <w:bookmarkStart w:id="15" w:name="_Hlk181373986"/>
      <w:r w:rsidRPr="00946122">
        <w:rPr>
          <w:rFonts w:eastAsia="DengXian"/>
          <w:color w:val="auto"/>
        </w:rPr>
        <w:t>Carlos</w:t>
      </w:r>
      <w:bookmarkEnd w:id="15"/>
      <w:r w:rsidRPr="00946122">
        <w:rPr>
          <w:rFonts w:eastAsia="DengXian"/>
          <w:color w:val="auto"/>
        </w:rPr>
        <w:t xml:space="preserve">, </w:t>
      </w:r>
      <w:r w:rsidR="001400EB" w:rsidRPr="00946122">
        <w:rPr>
          <w:rFonts w:eastAsia="DengXian"/>
          <w:color w:val="auto"/>
        </w:rPr>
        <w:t>J. Design of Homogenous Territorial Units. A Methodological Proposal and Applications.</w:t>
      </w:r>
      <w:r w:rsidR="00C37028" w:rsidRPr="00946122">
        <w:rPr>
          <w:rFonts w:eastAsia="DengXian"/>
          <w:color w:val="auto"/>
        </w:rPr>
        <w:t xml:space="preserve"> </w:t>
      </w:r>
      <w:r w:rsidRPr="00946122">
        <w:rPr>
          <w:rFonts w:eastAsia="DengXian"/>
          <w:color w:val="auto"/>
        </w:rPr>
        <w:t xml:space="preserve">Report </w:t>
      </w:r>
      <w:proofErr w:type="spellStart"/>
      <w:r w:rsidRPr="00946122">
        <w:rPr>
          <w:rFonts w:eastAsia="DengXian"/>
          <w:color w:val="auto"/>
        </w:rPr>
        <w:t>Thsis</w:t>
      </w:r>
      <w:proofErr w:type="spellEnd"/>
      <w:r w:rsidRPr="00946122">
        <w:rPr>
          <w:rFonts w:eastAsia="DengXian"/>
          <w:color w:val="auto"/>
        </w:rPr>
        <w:t xml:space="preserve">, </w:t>
      </w:r>
      <w:proofErr w:type="spellStart"/>
      <w:r w:rsidR="00C37028" w:rsidRPr="00946122">
        <w:rPr>
          <w:rFonts w:eastAsia="DengXian"/>
          <w:color w:val="auto"/>
        </w:rPr>
        <w:t>Universitat</w:t>
      </w:r>
      <w:proofErr w:type="spellEnd"/>
      <w:r w:rsidR="00C37028" w:rsidRPr="00946122">
        <w:rPr>
          <w:rFonts w:eastAsia="DengXian"/>
          <w:color w:val="auto"/>
        </w:rPr>
        <w:t xml:space="preserve"> de Barcelona</w:t>
      </w:r>
      <w:r w:rsidRPr="00946122">
        <w:rPr>
          <w:rFonts w:eastAsia="DengXian"/>
          <w:color w:val="auto"/>
        </w:rPr>
        <w:t>, 2004</w:t>
      </w:r>
    </w:p>
    <w:p w14:paraId="4B67069B" w14:textId="511DB3A4" w:rsidR="00C1267A" w:rsidRPr="00946122" w:rsidRDefault="00C1267A" w:rsidP="00C1267A">
      <w:pPr>
        <w:pStyle w:val="MDPI71References"/>
        <w:rPr>
          <w:rFonts w:eastAsia="DengXian"/>
          <w:color w:val="auto"/>
        </w:rPr>
      </w:pPr>
      <w:r w:rsidRPr="00946122">
        <w:rPr>
          <w:rFonts w:eastAsia="DengXian"/>
          <w:color w:val="auto"/>
        </w:rPr>
        <w:t>Barrington</w:t>
      </w:r>
      <w:r w:rsidR="00CD4795" w:rsidRPr="00946122">
        <w:rPr>
          <w:rFonts w:eastAsia="DengXian"/>
          <w:color w:val="auto"/>
        </w:rPr>
        <w:t xml:space="preserve">, </w:t>
      </w:r>
      <w:r w:rsidRPr="00946122">
        <w:rPr>
          <w:rFonts w:eastAsia="DengXian"/>
          <w:color w:val="auto"/>
        </w:rPr>
        <w:t>L</w:t>
      </w:r>
      <w:r w:rsidR="00CD4795" w:rsidRPr="00946122">
        <w:rPr>
          <w:rFonts w:eastAsia="DengXian"/>
          <w:color w:val="auto"/>
        </w:rPr>
        <w:t>.</w:t>
      </w:r>
      <w:r w:rsidRPr="00946122">
        <w:rPr>
          <w:rFonts w:eastAsia="DengXian"/>
          <w:color w:val="auto"/>
        </w:rPr>
        <w:t>C</w:t>
      </w:r>
      <w:r w:rsidR="00CD4795" w:rsidRPr="00946122">
        <w:rPr>
          <w:rFonts w:eastAsia="DengXian"/>
          <w:color w:val="auto"/>
        </w:rPr>
        <w:t>.,</w:t>
      </w:r>
      <w:r w:rsidRPr="00946122">
        <w:rPr>
          <w:rFonts w:eastAsia="DengXian"/>
          <w:color w:val="auto"/>
        </w:rPr>
        <w:t xml:space="preserve"> Millard</w:t>
      </w:r>
      <w:r w:rsidR="00CD4795" w:rsidRPr="00946122">
        <w:rPr>
          <w:rFonts w:eastAsia="DengXian"/>
          <w:color w:val="auto"/>
        </w:rPr>
        <w:t xml:space="preserve">, </w:t>
      </w:r>
      <w:r w:rsidRPr="00946122">
        <w:rPr>
          <w:rFonts w:eastAsia="DengXian"/>
          <w:color w:val="auto"/>
        </w:rPr>
        <w:t>B</w:t>
      </w:r>
      <w:r w:rsidR="00CD4795" w:rsidRPr="00946122">
        <w:rPr>
          <w:rFonts w:eastAsia="DengXian"/>
          <w:color w:val="auto"/>
        </w:rPr>
        <w:t>.</w:t>
      </w:r>
      <w:r w:rsidRPr="00946122">
        <w:rPr>
          <w:rFonts w:eastAsia="DengXian"/>
          <w:color w:val="auto"/>
        </w:rPr>
        <w:t>A</w:t>
      </w:r>
      <w:r w:rsidR="00CD4795" w:rsidRPr="00946122">
        <w:rPr>
          <w:rFonts w:eastAsia="DengXian"/>
          <w:color w:val="auto"/>
        </w:rPr>
        <w:t>.</w:t>
      </w:r>
      <w:r w:rsidRPr="00946122">
        <w:rPr>
          <w:rFonts w:eastAsia="DengXian"/>
          <w:color w:val="auto"/>
        </w:rPr>
        <w:t xml:space="preserve"> The world’s user-generated road map is more than 80% complete. </w:t>
      </w:r>
      <w:proofErr w:type="spellStart"/>
      <w:r w:rsidRPr="00946122">
        <w:rPr>
          <w:rFonts w:eastAsia="DengXian"/>
          <w:color w:val="auto"/>
        </w:rPr>
        <w:t>PLoS</w:t>
      </w:r>
      <w:proofErr w:type="spellEnd"/>
      <w:r w:rsidRPr="00946122">
        <w:rPr>
          <w:rFonts w:eastAsia="DengXian"/>
          <w:color w:val="auto"/>
        </w:rPr>
        <w:t xml:space="preserve"> ONE</w:t>
      </w:r>
      <w:r w:rsidR="00CD4795" w:rsidRPr="00946122">
        <w:rPr>
          <w:rFonts w:eastAsia="DengXian"/>
          <w:color w:val="auto"/>
        </w:rPr>
        <w:t>, 2017</w:t>
      </w:r>
      <w:r w:rsidRPr="00946122">
        <w:rPr>
          <w:rFonts w:eastAsia="DengXian"/>
          <w:color w:val="auto"/>
        </w:rPr>
        <w:t xml:space="preserve"> 12(8). </w:t>
      </w:r>
      <w:hyperlink r:id="rId62" w:history="1">
        <w:r w:rsidRPr="00946122">
          <w:rPr>
            <w:rFonts w:eastAsia="DengXian"/>
            <w:color w:val="auto"/>
          </w:rPr>
          <w:t>https://doi.org/10.1371/journal. pone.0180698</w:t>
        </w:r>
      </w:hyperlink>
    </w:p>
    <w:p w14:paraId="4A75546E" w14:textId="3F88E11D" w:rsidR="00C1267A" w:rsidRPr="00946122" w:rsidRDefault="00C1267A" w:rsidP="00C1267A">
      <w:pPr>
        <w:pStyle w:val="MDPI71References"/>
        <w:rPr>
          <w:rFonts w:eastAsia="DengXian"/>
          <w:color w:val="auto"/>
        </w:rPr>
      </w:pPr>
      <w:r w:rsidRPr="004554B7">
        <w:rPr>
          <w:rFonts w:eastAsia="DengXian"/>
          <w:color w:val="auto"/>
        </w:rPr>
        <w:t xml:space="preserve">INSTAT-Mali. </w:t>
      </w:r>
      <w:r w:rsidR="00AB24DB" w:rsidRPr="00946122">
        <w:rPr>
          <w:rFonts w:eastAsia="DengXian"/>
          <w:color w:val="auto"/>
        </w:rPr>
        <w:t>Preliminary report of the overall result of RGPH5</w:t>
      </w:r>
      <w:r w:rsidRPr="00946122">
        <w:rPr>
          <w:rFonts w:eastAsia="DengXian"/>
          <w:color w:val="auto"/>
        </w:rPr>
        <w:t xml:space="preserve">, </w:t>
      </w:r>
      <w:hyperlink r:id="rId63" w:history="1">
        <w:r w:rsidR="00361921" w:rsidRPr="00946122">
          <w:rPr>
            <w:rStyle w:val="Hyperlink"/>
            <w:rFonts w:eastAsia="DengXian"/>
            <w:color w:val="auto"/>
            <w:u w:val="none"/>
          </w:rPr>
          <w:t>https://www.instat-mali.org/laravel-filemanager/files/shares/rgph/rapport-resultats-globaux-rgph5_rgph.pdf</w:t>
        </w:r>
      </w:hyperlink>
      <w:r w:rsidR="00361921" w:rsidRPr="00946122">
        <w:rPr>
          <w:rFonts w:eastAsia="DengXian"/>
          <w:color w:val="auto"/>
        </w:rPr>
        <w:t xml:space="preserve">. accessed on 1 </w:t>
      </w:r>
      <w:proofErr w:type="spellStart"/>
      <w:r w:rsidRPr="00946122">
        <w:rPr>
          <w:rFonts w:eastAsia="DengXian"/>
          <w:color w:val="auto"/>
        </w:rPr>
        <w:t>novembre</w:t>
      </w:r>
      <w:proofErr w:type="spellEnd"/>
      <w:r w:rsidRPr="00946122">
        <w:rPr>
          <w:rFonts w:eastAsia="DengXian"/>
          <w:color w:val="auto"/>
        </w:rPr>
        <w:t xml:space="preserve"> 202</w:t>
      </w:r>
      <w:r w:rsidR="00361921" w:rsidRPr="00946122">
        <w:rPr>
          <w:rFonts w:eastAsia="DengXian"/>
          <w:color w:val="auto"/>
        </w:rPr>
        <w:t>4</w:t>
      </w:r>
      <w:r w:rsidRPr="00946122">
        <w:rPr>
          <w:rFonts w:eastAsia="DengXian"/>
          <w:color w:val="auto"/>
        </w:rPr>
        <w:t>.</w:t>
      </w:r>
    </w:p>
    <w:p w14:paraId="1234EB90" w14:textId="71A4A831" w:rsidR="00C1267A" w:rsidRPr="00946122" w:rsidRDefault="00C1267A" w:rsidP="00C1267A">
      <w:pPr>
        <w:pStyle w:val="MDPI71References"/>
        <w:rPr>
          <w:rFonts w:eastAsia="DengXian"/>
          <w:color w:val="auto"/>
        </w:rPr>
      </w:pPr>
      <w:proofErr w:type="spellStart"/>
      <w:r w:rsidRPr="00946122">
        <w:rPr>
          <w:rFonts w:eastAsia="DengXian"/>
          <w:color w:val="auto"/>
          <w:lang w:val="fr-ML"/>
        </w:rPr>
        <w:t>Gafarou</w:t>
      </w:r>
      <w:proofErr w:type="spellEnd"/>
      <w:r w:rsidR="0015672A" w:rsidRPr="00946122">
        <w:rPr>
          <w:rFonts w:eastAsia="DengXian"/>
          <w:color w:val="auto"/>
          <w:lang w:val="fr-ML"/>
        </w:rPr>
        <w:t>,</w:t>
      </w:r>
      <w:r w:rsidRPr="00946122">
        <w:rPr>
          <w:rFonts w:eastAsia="DengXian"/>
          <w:color w:val="auto"/>
          <w:lang w:val="fr-ML"/>
        </w:rPr>
        <w:t xml:space="preserve"> </w:t>
      </w:r>
      <w:proofErr w:type="gramStart"/>
      <w:r w:rsidRPr="00946122">
        <w:rPr>
          <w:rFonts w:eastAsia="DengXian"/>
          <w:color w:val="auto"/>
          <w:lang w:val="fr-ML"/>
        </w:rPr>
        <w:t>K</w:t>
      </w:r>
      <w:r w:rsidR="0015672A" w:rsidRPr="00946122">
        <w:rPr>
          <w:rFonts w:eastAsia="DengXian"/>
          <w:color w:val="auto"/>
          <w:lang w:val="fr-ML"/>
        </w:rPr>
        <w:t>.;</w:t>
      </w:r>
      <w:proofErr w:type="gramEnd"/>
      <w:r w:rsidRPr="00946122">
        <w:rPr>
          <w:rFonts w:eastAsia="DengXian"/>
          <w:color w:val="auto"/>
          <w:lang w:val="fr-ML"/>
        </w:rPr>
        <w:t xml:space="preserve"> Yacine</w:t>
      </w:r>
      <w:r w:rsidR="0015672A" w:rsidRPr="00946122">
        <w:rPr>
          <w:rFonts w:eastAsia="DengXian"/>
          <w:color w:val="auto"/>
          <w:lang w:val="fr-ML"/>
        </w:rPr>
        <w:t>,</w:t>
      </w:r>
      <w:r w:rsidRPr="00946122">
        <w:rPr>
          <w:rFonts w:eastAsia="DengXian"/>
          <w:color w:val="auto"/>
          <w:lang w:val="fr-ML"/>
        </w:rPr>
        <w:t xml:space="preserve"> B</w:t>
      </w:r>
      <w:r w:rsidR="0015672A" w:rsidRPr="00946122">
        <w:rPr>
          <w:rFonts w:eastAsia="DengXian"/>
          <w:color w:val="auto"/>
          <w:lang w:val="fr-ML"/>
        </w:rPr>
        <w:t>. ;</w:t>
      </w:r>
      <w:r w:rsidRPr="00946122">
        <w:rPr>
          <w:rFonts w:eastAsia="DengXian"/>
          <w:color w:val="auto"/>
          <w:lang w:val="fr-ML"/>
        </w:rPr>
        <w:t xml:space="preserve"> </w:t>
      </w:r>
      <w:proofErr w:type="spellStart"/>
      <w:r w:rsidRPr="00946122">
        <w:rPr>
          <w:rFonts w:eastAsia="DengXian"/>
          <w:color w:val="auto"/>
          <w:lang w:val="fr-ML"/>
        </w:rPr>
        <w:t>Harolde</w:t>
      </w:r>
      <w:proofErr w:type="spellEnd"/>
      <w:r w:rsidR="0015672A" w:rsidRPr="00946122">
        <w:rPr>
          <w:rFonts w:eastAsia="DengXian"/>
          <w:color w:val="auto"/>
          <w:lang w:val="fr-ML"/>
        </w:rPr>
        <w:t>,</w:t>
      </w:r>
      <w:r w:rsidRPr="00946122">
        <w:rPr>
          <w:rFonts w:eastAsia="DengXian"/>
          <w:color w:val="auto"/>
          <w:lang w:val="fr-ML"/>
        </w:rPr>
        <w:t xml:space="preserve"> C</w:t>
      </w:r>
      <w:r w:rsidR="0015672A" w:rsidRPr="00946122">
        <w:rPr>
          <w:rFonts w:eastAsia="DengXian"/>
          <w:color w:val="auto"/>
          <w:lang w:val="fr-ML"/>
        </w:rPr>
        <w:t>. ;</w:t>
      </w:r>
      <w:r w:rsidRPr="00946122">
        <w:rPr>
          <w:rFonts w:eastAsia="DengXian"/>
          <w:color w:val="auto"/>
          <w:lang w:val="fr-ML"/>
        </w:rPr>
        <w:t xml:space="preserve"> Damien</w:t>
      </w:r>
      <w:r w:rsidR="0015672A" w:rsidRPr="00946122">
        <w:rPr>
          <w:rFonts w:eastAsia="DengXian"/>
          <w:color w:val="auto"/>
          <w:lang w:val="fr-ML"/>
        </w:rPr>
        <w:t>,</w:t>
      </w:r>
      <w:r w:rsidRPr="00946122">
        <w:rPr>
          <w:rFonts w:eastAsia="DengXian"/>
          <w:color w:val="auto"/>
          <w:lang w:val="fr-ML"/>
        </w:rPr>
        <w:t xml:space="preserve"> E</w:t>
      </w:r>
      <w:r w:rsidR="0015672A" w:rsidRPr="00946122">
        <w:rPr>
          <w:rFonts w:eastAsia="DengXian"/>
          <w:color w:val="auto"/>
          <w:lang w:val="fr-ML"/>
        </w:rPr>
        <w:t>. ;</w:t>
      </w:r>
      <w:r w:rsidRPr="00946122">
        <w:rPr>
          <w:rFonts w:eastAsia="DengXian"/>
          <w:color w:val="auto"/>
          <w:lang w:val="fr-ML"/>
        </w:rPr>
        <w:t xml:space="preserve"> Etienne</w:t>
      </w:r>
      <w:r w:rsidR="0015672A" w:rsidRPr="00946122">
        <w:rPr>
          <w:rFonts w:eastAsia="DengXian"/>
          <w:color w:val="auto"/>
          <w:lang w:val="fr-ML"/>
        </w:rPr>
        <w:t>,</w:t>
      </w:r>
      <w:r w:rsidRPr="00946122">
        <w:rPr>
          <w:rFonts w:eastAsia="DengXian"/>
          <w:color w:val="auto"/>
          <w:lang w:val="fr-ML"/>
        </w:rPr>
        <w:t xml:space="preserve"> L</w:t>
      </w:r>
      <w:r w:rsidR="0015672A" w:rsidRPr="00946122">
        <w:rPr>
          <w:rFonts w:eastAsia="DengXian"/>
          <w:color w:val="auto"/>
          <w:lang w:val="fr-ML"/>
        </w:rPr>
        <w:t>.</w:t>
      </w:r>
      <w:r w:rsidRPr="00946122">
        <w:rPr>
          <w:rFonts w:eastAsia="DengXian"/>
          <w:color w:val="auto"/>
          <w:lang w:val="fr-ML"/>
        </w:rPr>
        <w:t>H</w:t>
      </w:r>
      <w:r w:rsidR="0015672A" w:rsidRPr="00946122">
        <w:rPr>
          <w:rFonts w:eastAsia="DengXian"/>
          <w:color w:val="auto"/>
          <w:lang w:val="fr-ML"/>
        </w:rPr>
        <w:t>. ;</w:t>
      </w:r>
      <w:r w:rsidRPr="00946122">
        <w:rPr>
          <w:rFonts w:eastAsia="DengXian"/>
          <w:color w:val="auto"/>
          <w:lang w:val="fr-ML"/>
        </w:rPr>
        <w:t xml:space="preserve"> Mikaël</w:t>
      </w:r>
      <w:r w:rsidR="0015672A" w:rsidRPr="00946122">
        <w:rPr>
          <w:rFonts w:eastAsia="DengXian"/>
          <w:color w:val="auto"/>
          <w:lang w:val="fr-ML"/>
        </w:rPr>
        <w:t>.</w:t>
      </w:r>
      <w:r w:rsidRPr="00946122">
        <w:rPr>
          <w:rFonts w:eastAsia="DengXian"/>
          <w:color w:val="auto"/>
          <w:lang w:val="fr-ML"/>
        </w:rPr>
        <w:t xml:space="preserve"> </w:t>
      </w:r>
      <w:r w:rsidRPr="00946122">
        <w:rPr>
          <w:rFonts w:eastAsia="DengXian"/>
          <w:color w:val="auto"/>
        </w:rPr>
        <w:t>G</w:t>
      </w:r>
      <w:r w:rsidR="0015672A" w:rsidRPr="00946122">
        <w:rPr>
          <w:rFonts w:eastAsia="DengXian"/>
          <w:color w:val="auto"/>
        </w:rPr>
        <w:t xml:space="preserve">. </w:t>
      </w:r>
      <w:r w:rsidRPr="00946122">
        <w:rPr>
          <w:rFonts w:eastAsia="DengXian"/>
          <w:color w:val="auto"/>
        </w:rPr>
        <w:t xml:space="preserve">Application of deep-learning techniques to very-high-resolution satellite images supporting population censuses in developing countries. </w:t>
      </w:r>
      <w:r w:rsidRPr="00946122">
        <w:rPr>
          <w:rFonts w:eastAsia="DengXian"/>
          <w:i/>
          <w:iCs/>
          <w:color w:val="auto"/>
        </w:rPr>
        <w:t>Journal of Applied Remote Sensing</w:t>
      </w:r>
      <w:r w:rsidRPr="00946122">
        <w:rPr>
          <w:rFonts w:eastAsia="DengXian"/>
          <w:color w:val="auto"/>
        </w:rPr>
        <w:t>,</w:t>
      </w:r>
      <w:r w:rsidR="0015672A" w:rsidRPr="00946122">
        <w:rPr>
          <w:rFonts w:eastAsia="DengXian"/>
          <w:color w:val="auto"/>
        </w:rPr>
        <w:t xml:space="preserve"> 2023.</w:t>
      </w:r>
      <w:r w:rsidR="00B365C9" w:rsidRPr="00946122">
        <w:rPr>
          <w:rFonts w:eastAsia="DengXian"/>
          <w:color w:val="auto"/>
        </w:rPr>
        <w:t xml:space="preserve"> 2</w:t>
      </w:r>
      <w:r w:rsidR="0015672A" w:rsidRPr="00946122">
        <w:rPr>
          <w:rFonts w:eastAsia="DengXian"/>
          <w:color w:val="auto"/>
        </w:rPr>
        <w:t xml:space="preserve"> </w:t>
      </w:r>
      <w:r w:rsidR="00B365C9" w:rsidRPr="00946122">
        <w:rPr>
          <w:rFonts w:eastAsia="DengXian"/>
          <w:color w:val="auto"/>
        </w:rPr>
        <w:t>(</w:t>
      </w:r>
      <w:r w:rsidR="0015672A" w:rsidRPr="00946122">
        <w:rPr>
          <w:rFonts w:eastAsia="DengXian"/>
          <w:color w:val="auto"/>
        </w:rPr>
        <w:t>1</w:t>
      </w:r>
      <w:r w:rsidR="00B365C9" w:rsidRPr="00946122">
        <w:rPr>
          <w:rFonts w:eastAsia="DengXian"/>
          <w:color w:val="auto"/>
        </w:rPr>
        <w:t>7)</w:t>
      </w:r>
      <w:r w:rsidR="0015672A" w:rsidRPr="00946122">
        <w:rPr>
          <w:rFonts w:eastAsia="DengXian"/>
          <w:color w:val="auto"/>
        </w:rPr>
        <w:t>.</w:t>
      </w:r>
      <w:r w:rsidRPr="00946122">
        <w:rPr>
          <w:rFonts w:eastAsia="DengXian"/>
          <w:color w:val="auto"/>
        </w:rPr>
        <w:t xml:space="preserve"> </w:t>
      </w:r>
      <w:proofErr w:type="spellStart"/>
      <w:r w:rsidRPr="00946122">
        <w:rPr>
          <w:rFonts w:eastAsia="DengXian"/>
          <w:color w:val="auto"/>
        </w:rPr>
        <w:t>doi</w:t>
      </w:r>
      <w:proofErr w:type="spellEnd"/>
      <w:r w:rsidRPr="00946122">
        <w:rPr>
          <w:rFonts w:eastAsia="DengXian"/>
          <w:color w:val="auto"/>
        </w:rPr>
        <w:t>: 10.1117/1.jrs.17.024506</w:t>
      </w:r>
    </w:p>
    <w:p w14:paraId="133DA07F" w14:textId="3B19BA47" w:rsidR="00C1267A" w:rsidRPr="00946122" w:rsidRDefault="00C1267A" w:rsidP="00C1267A">
      <w:pPr>
        <w:pStyle w:val="MDPI71References"/>
        <w:rPr>
          <w:rFonts w:eastAsia="DengXian"/>
          <w:color w:val="auto"/>
        </w:rPr>
      </w:pPr>
      <w:r w:rsidRPr="00946122">
        <w:rPr>
          <w:rFonts w:eastAsia="DengXian"/>
          <w:color w:val="auto"/>
        </w:rPr>
        <w:t>Stefanos</w:t>
      </w:r>
      <w:r w:rsidR="00DF0AA8" w:rsidRPr="00946122">
        <w:rPr>
          <w:rFonts w:eastAsia="DengXian"/>
          <w:color w:val="auto"/>
        </w:rPr>
        <w:t>,</w:t>
      </w:r>
      <w:r w:rsidRPr="00946122">
        <w:rPr>
          <w:rFonts w:eastAsia="DengXian"/>
          <w:color w:val="auto"/>
        </w:rPr>
        <w:t xml:space="preserve"> G</w:t>
      </w:r>
      <w:r w:rsidR="00DF0AA8" w:rsidRPr="00946122">
        <w:rPr>
          <w:rFonts w:eastAsia="DengXian"/>
          <w:color w:val="auto"/>
        </w:rPr>
        <w:t>.;</w:t>
      </w:r>
      <w:r w:rsidRPr="00946122">
        <w:rPr>
          <w:rFonts w:eastAsia="DengXian"/>
          <w:color w:val="auto"/>
        </w:rPr>
        <w:t xml:space="preserve"> Sebastian</w:t>
      </w:r>
      <w:r w:rsidR="00DF0AA8" w:rsidRPr="00946122">
        <w:rPr>
          <w:rFonts w:eastAsia="DengXian"/>
          <w:color w:val="auto"/>
        </w:rPr>
        <w:t>,</w:t>
      </w:r>
      <w:r w:rsidRPr="00946122">
        <w:rPr>
          <w:rFonts w:eastAsia="DengXian"/>
          <w:color w:val="auto"/>
        </w:rPr>
        <w:t xml:space="preserve"> H</w:t>
      </w:r>
      <w:r w:rsidR="00DF0AA8" w:rsidRPr="00946122">
        <w:rPr>
          <w:rFonts w:eastAsia="DengXian"/>
          <w:color w:val="auto"/>
        </w:rPr>
        <w:t>.;</w:t>
      </w:r>
      <w:r w:rsidRPr="00946122">
        <w:rPr>
          <w:rFonts w:eastAsia="DengXian"/>
          <w:color w:val="auto"/>
        </w:rPr>
        <w:t xml:space="preserve"> Monika</w:t>
      </w:r>
      <w:r w:rsidR="00DF0AA8" w:rsidRPr="00946122">
        <w:rPr>
          <w:rFonts w:eastAsia="DengXian"/>
          <w:color w:val="auto"/>
        </w:rPr>
        <w:t>,</w:t>
      </w:r>
      <w:r w:rsidRPr="00946122">
        <w:rPr>
          <w:rFonts w:eastAsia="DengXian"/>
          <w:color w:val="auto"/>
        </w:rPr>
        <w:t xml:space="preserve"> K</w:t>
      </w:r>
      <w:r w:rsidR="00DF0AA8" w:rsidRPr="00946122">
        <w:rPr>
          <w:rFonts w:eastAsia="DengXian"/>
          <w:color w:val="auto"/>
        </w:rPr>
        <w:t>.;</w:t>
      </w:r>
      <w:r w:rsidRPr="00946122">
        <w:rPr>
          <w:rFonts w:eastAsia="DengXian"/>
          <w:color w:val="auto"/>
        </w:rPr>
        <w:t xml:space="preserve"> Catherine</w:t>
      </w:r>
      <w:r w:rsidR="00DF0AA8" w:rsidRPr="00946122">
        <w:rPr>
          <w:rFonts w:eastAsia="DengXian"/>
          <w:color w:val="auto"/>
        </w:rPr>
        <w:t>,</w:t>
      </w:r>
      <w:r w:rsidRPr="00946122">
        <w:rPr>
          <w:rFonts w:eastAsia="DengXian"/>
          <w:color w:val="auto"/>
        </w:rPr>
        <w:t xml:space="preserve"> L</w:t>
      </w:r>
      <w:r w:rsidR="00DF0AA8" w:rsidRPr="00946122">
        <w:rPr>
          <w:rFonts w:eastAsia="DengXian"/>
          <w:color w:val="auto"/>
        </w:rPr>
        <w:t>.;</w:t>
      </w:r>
      <w:r w:rsidRPr="00946122">
        <w:rPr>
          <w:rFonts w:eastAsia="DengXian"/>
          <w:color w:val="auto"/>
        </w:rPr>
        <w:t xml:space="preserve"> Yifang</w:t>
      </w:r>
      <w:r w:rsidR="00DF0AA8" w:rsidRPr="00946122">
        <w:rPr>
          <w:rFonts w:eastAsia="DengXian"/>
          <w:color w:val="auto"/>
        </w:rPr>
        <w:t>,</w:t>
      </w:r>
      <w:r w:rsidRPr="00946122">
        <w:rPr>
          <w:rFonts w:eastAsia="DengXian"/>
          <w:color w:val="auto"/>
        </w:rPr>
        <w:t xml:space="preserve"> B</w:t>
      </w:r>
      <w:r w:rsidR="00DF0AA8" w:rsidRPr="00946122">
        <w:rPr>
          <w:rFonts w:eastAsia="DengXian"/>
          <w:color w:val="auto"/>
        </w:rPr>
        <w:t xml:space="preserve">. </w:t>
      </w:r>
      <w:r w:rsidRPr="00946122">
        <w:rPr>
          <w:rFonts w:eastAsia="DengXian"/>
          <w:color w:val="auto"/>
        </w:rPr>
        <w:t>A census from heaven: Unraveling the potential of deep learning and Earth Observation for intra-urban population mapping in data scarce environments, International Journal of Applied Earth Observation and Geoinformation, 2022,</w:t>
      </w:r>
      <w:r w:rsidR="00DF0AA8" w:rsidRPr="00946122">
        <w:rPr>
          <w:rFonts w:eastAsia="DengXian"/>
          <w:color w:val="auto"/>
        </w:rPr>
        <w:t xml:space="preserve"> </w:t>
      </w:r>
      <w:r w:rsidRPr="00946122">
        <w:rPr>
          <w:rFonts w:eastAsia="DengXian"/>
          <w:color w:val="auto"/>
        </w:rPr>
        <w:t>103013,</w:t>
      </w:r>
      <w:r w:rsidR="00DF0AA8" w:rsidRPr="00946122">
        <w:rPr>
          <w:rFonts w:eastAsia="DengXian"/>
          <w:color w:val="auto"/>
        </w:rPr>
        <w:t xml:space="preserve"> 114,</w:t>
      </w:r>
      <w:r w:rsidRPr="00946122">
        <w:rPr>
          <w:rFonts w:eastAsia="DengXian"/>
          <w:color w:val="auto"/>
        </w:rPr>
        <w:t xml:space="preserve"> 1569-8432, </w:t>
      </w:r>
      <w:hyperlink r:id="rId64" w:history="1">
        <w:r w:rsidRPr="00946122">
          <w:rPr>
            <w:rFonts w:eastAsia="DengXian"/>
            <w:color w:val="auto"/>
          </w:rPr>
          <w:t>https://doi.org/10.1016/j.jag.2022.103013</w:t>
        </w:r>
      </w:hyperlink>
      <w:r w:rsidRPr="00946122">
        <w:rPr>
          <w:rFonts w:eastAsia="DengXian"/>
          <w:color w:val="auto"/>
        </w:rPr>
        <w:t>.</w:t>
      </w:r>
    </w:p>
    <w:p w14:paraId="422DC65F" w14:textId="63377DD9" w:rsidR="00BE49D6" w:rsidRPr="00946122" w:rsidRDefault="00BE49D6" w:rsidP="00C1267A">
      <w:pPr>
        <w:pStyle w:val="MDPI71References"/>
        <w:rPr>
          <w:rFonts w:eastAsia="DengXian"/>
          <w:color w:val="auto"/>
        </w:rPr>
      </w:pPr>
      <w:r w:rsidRPr="00946122">
        <w:rPr>
          <w:color w:val="auto"/>
        </w:rPr>
        <w:t>Galway</w:t>
      </w:r>
      <w:r w:rsidR="00393F47" w:rsidRPr="00946122">
        <w:rPr>
          <w:color w:val="auto"/>
        </w:rPr>
        <w:t>,</w:t>
      </w:r>
      <w:r w:rsidRPr="00946122">
        <w:rPr>
          <w:color w:val="auto"/>
        </w:rPr>
        <w:t xml:space="preserve"> L</w:t>
      </w:r>
      <w:r w:rsidR="00197ACE" w:rsidRPr="00946122">
        <w:rPr>
          <w:color w:val="auto"/>
        </w:rPr>
        <w:t>.</w:t>
      </w:r>
      <w:r w:rsidRPr="00946122">
        <w:rPr>
          <w:color w:val="auto"/>
        </w:rPr>
        <w:t>P</w:t>
      </w:r>
      <w:r w:rsidR="00197ACE" w:rsidRPr="00946122">
        <w:rPr>
          <w:color w:val="auto"/>
        </w:rPr>
        <w:t>.;</w:t>
      </w:r>
      <w:r w:rsidRPr="00946122">
        <w:rPr>
          <w:color w:val="auto"/>
        </w:rPr>
        <w:t xml:space="preserve"> Bell</w:t>
      </w:r>
      <w:r w:rsidR="00197ACE" w:rsidRPr="00946122">
        <w:rPr>
          <w:color w:val="auto"/>
        </w:rPr>
        <w:t>.</w:t>
      </w:r>
      <w:r w:rsidRPr="00946122">
        <w:rPr>
          <w:color w:val="auto"/>
        </w:rPr>
        <w:t xml:space="preserve"> N</w:t>
      </w:r>
      <w:r w:rsidR="00197ACE" w:rsidRPr="00946122">
        <w:rPr>
          <w:color w:val="auto"/>
        </w:rPr>
        <w:t>.;</w:t>
      </w:r>
      <w:r w:rsidRPr="00946122">
        <w:rPr>
          <w:color w:val="auto"/>
        </w:rPr>
        <w:t xml:space="preserve"> </w:t>
      </w:r>
      <w:proofErr w:type="spellStart"/>
      <w:r w:rsidRPr="00946122">
        <w:rPr>
          <w:color w:val="auto"/>
        </w:rPr>
        <w:t>Sae</w:t>
      </w:r>
      <w:proofErr w:type="spellEnd"/>
      <w:r w:rsidR="00197ACE" w:rsidRPr="00946122">
        <w:rPr>
          <w:color w:val="auto"/>
        </w:rPr>
        <w:t>,</w:t>
      </w:r>
      <w:r w:rsidRPr="00946122">
        <w:rPr>
          <w:color w:val="auto"/>
        </w:rPr>
        <w:t xml:space="preserve"> A</w:t>
      </w:r>
      <w:r w:rsidR="00197ACE" w:rsidRPr="00946122">
        <w:rPr>
          <w:color w:val="auto"/>
        </w:rPr>
        <w:t>.</w:t>
      </w:r>
      <w:r w:rsidRPr="00946122">
        <w:rPr>
          <w:color w:val="auto"/>
        </w:rPr>
        <w:t>S, Hagopian</w:t>
      </w:r>
      <w:r w:rsidR="00197ACE" w:rsidRPr="00946122">
        <w:rPr>
          <w:color w:val="auto"/>
        </w:rPr>
        <w:t>,</w:t>
      </w:r>
      <w:r w:rsidRPr="00946122">
        <w:rPr>
          <w:color w:val="auto"/>
        </w:rPr>
        <w:t xml:space="preserve"> </w:t>
      </w:r>
      <w:r w:rsidR="00197ACE" w:rsidRPr="00946122">
        <w:rPr>
          <w:color w:val="auto"/>
        </w:rPr>
        <w:t>A.;</w:t>
      </w:r>
      <w:r w:rsidRPr="00946122">
        <w:rPr>
          <w:color w:val="auto"/>
        </w:rPr>
        <w:t xml:space="preserve"> Burnham</w:t>
      </w:r>
      <w:r w:rsidR="00197ACE" w:rsidRPr="00946122">
        <w:rPr>
          <w:color w:val="auto"/>
        </w:rPr>
        <w:t>,</w:t>
      </w:r>
      <w:r w:rsidRPr="00946122">
        <w:rPr>
          <w:color w:val="auto"/>
        </w:rPr>
        <w:t xml:space="preserve"> </w:t>
      </w:r>
      <w:r w:rsidR="00197ACE" w:rsidRPr="00946122">
        <w:rPr>
          <w:color w:val="auto"/>
        </w:rPr>
        <w:t>G.;</w:t>
      </w:r>
      <w:r w:rsidRPr="00946122">
        <w:rPr>
          <w:color w:val="auto"/>
        </w:rPr>
        <w:t xml:space="preserve"> Flaxman</w:t>
      </w:r>
      <w:r w:rsidR="00197ACE" w:rsidRPr="00946122">
        <w:rPr>
          <w:color w:val="auto"/>
        </w:rPr>
        <w:t>,</w:t>
      </w:r>
      <w:r w:rsidRPr="00946122">
        <w:rPr>
          <w:color w:val="auto"/>
        </w:rPr>
        <w:t xml:space="preserve"> A</w:t>
      </w:r>
      <w:r w:rsidR="00C04E91" w:rsidRPr="00946122">
        <w:rPr>
          <w:color w:val="auto"/>
        </w:rPr>
        <w:t>.;</w:t>
      </w:r>
      <w:r w:rsidRPr="00946122">
        <w:rPr>
          <w:color w:val="auto"/>
        </w:rPr>
        <w:t xml:space="preserve"> </w:t>
      </w:r>
      <w:r w:rsidR="00C04E91" w:rsidRPr="00946122">
        <w:rPr>
          <w:color w:val="auto"/>
        </w:rPr>
        <w:t>Wiliam, M.W.; Julie, R.; Tim, K.T</w:t>
      </w:r>
      <w:r w:rsidRPr="00946122">
        <w:rPr>
          <w:color w:val="auto"/>
        </w:rPr>
        <w:t xml:space="preserve">. A two-stage cluster sampling method using gridded population data, a GIS, and Google Earth imagery in a population-based mortality survey in Iraq. Int J Health </w:t>
      </w:r>
      <w:proofErr w:type="spellStart"/>
      <w:r w:rsidRPr="00946122">
        <w:rPr>
          <w:color w:val="auto"/>
        </w:rPr>
        <w:t>Geogr</w:t>
      </w:r>
      <w:proofErr w:type="spellEnd"/>
      <w:r w:rsidR="00407686" w:rsidRPr="00946122">
        <w:rPr>
          <w:color w:val="auto"/>
        </w:rPr>
        <w:t>,</w:t>
      </w:r>
      <w:r w:rsidRPr="00946122">
        <w:rPr>
          <w:color w:val="auto"/>
        </w:rPr>
        <w:t xml:space="preserve"> 2012</w:t>
      </w:r>
      <w:r w:rsidR="00407686" w:rsidRPr="00946122">
        <w:rPr>
          <w:color w:val="auto"/>
        </w:rPr>
        <w:t>, 12 (2012</w:t>
      </w:r>
      <w:proofErr w:type="gramStart"/>
      <w:r w:rsidR="00407686" w:rsidRPr="00946122">
        <w:rPr>
          <w:color w:val="auto"/>
        </w:rPr>
        <w:t xml:space="preserve">) </w:t>
      </w:r>
      <w:r w:rsidRPr="00946122">
        <w:rPr>
          <w:color w:val="auto"/>
        </w:rPr>
        <w:t>.</w:t>
      </w:r>
      <w:proofErr w:type="gramEnd"/>
      <w:r w:rsidRPr="00946122">
        <w:rPr>
          <w:color w:val="auto"/>
        </w:rPr>
        <w:t xml:space="preserve"> </w:t>
      </w:r>
      <w:hyperlink r:id="rId65" w:history="1">
        <w:r w:rsidRPr="00946122">
          <w:rPr>
            <w:rStyle w:val="Hyperlink"/>
            <w:color w:val="auto"/>
            <w:u w:val="none"/>
          </w:rPr>
          <w:t>https://doi.org/10.1186/1476-072X-11-12</w:t>
        </w:r>
      </w:hyperlink>
      <w:r w:rsidRPr="00946122">
        <w:rPr>
          <w:color w:val="auto"/>
        </w:rPr>
        <w:t>.</w:t>
      </w:r>
    </w:p>
    <w:p w14:paraId="2D982940" w14:textId="708760B3" w:rsidR="00BE49D6" w:rsidRPr="00946122" w:rsidRDefault="00BE49D6" w:rsidP="00C1267A">
      <w:pPr>
        <w:pStyle w:val="MDPI71References"/>
        <w:rPr>
          <w:rFonts w:eastAsia="DengXian"/>
          <w:color w:val="auto"/>
        </w:rPr>
      </w:pPr>
      <w:r w:rsidRPr="00946122">
        <w:rPr>
          <w:color w:val="auto"/>
        </w:rPr>
        <w:t>Thomson</w:t>
      </w:r>
      <w:r w:rsidR="002B0589">
        <w:rPr>
          <w:color w:val="auto"/>
        </w:rPr>
        <w:t>,</w:t>
      </w:r>
      <w:r w:rsidRPr="00946122">
        <w:rPr>
          <w:color w:val="auto"/>
        </w:rPr>
        <w:t xml:space="preserve"> D</w:t>
      </w:r>
      <w:r w:rsidR="00393F47" w:rsidRPr="00946122">
        <w:rPr>
          <w:color w:val="auto"/>
        </w:rPr>
        <w:t>.</w:t>
      </w:r>
      <w:r w:rsidRPr="00946122">
        <w:rPr>
          <w:color w:val="auto"/>
        </w:rPr>
        <w:t>R</w:t>
      </w:r>
      <w:r w:rsidR="00393F47" w:rsidRPr="00946122">
        <w:rPr>
          <w:color w:val="auto"/>
        </w:rPr>
        <w:t>.;</w:t>
      </w:r>
      <w:r w:rsidRPr="00946122">
        <w:rPr>
          <w:color w:val="auto"/>
        </w:rPr>
        <w:t xml:space="preserve"> Hadley</w:t>
      </w:r>
      <w:r w:rsidR="00393F47" w:rsidRPr="00946122">
        <w:rPr>
          <w:color w:val="auto"/>
        </w:rPr>
        <w:t>,</w:t>
      </w:r>
      <w:r w:rsidRPr="00946122">
        <w:rPr>
          <w:color w:val="auto"/>
        </w:rPr>
        <w:t xml:space="preserve"> M</w:t>
      </w:r>
      <w:r w:rsidR="00393F47" w:rsidRPr="00946122">
        <w:rPr>
          <w:color w:val="auto"/>
        </w:rPr>
        <w:t>.</w:t>
      </w:r>
      <w:r w:rsidRPr="00946122">
        <w:rPr>
          <w:color w:val="auto"/>
        </w:rPr>
        <w:t>B</w:t>
      </w:r>
      <w:r w:rsidR="00393F47" w:rsidRPr="00946122">
        <w:rPr>
          <w:color w:val="auto"/>
        </w:rPr>
        <w:t>.;</w:t>
      </w:r>
      <w:r w:rsidRPr="00946122">
        <w:rPr>
          <w:color w:val="auto"/>
        </w:rPr>
        <w:t xml:space="preserve"> Greenough</w:t>
      </w:r>
      <w:r w:rsidR="00393F47" w:rsidRPr="00946122">
        <w:rPr>
          <w:color w:val="auto"/>
        </w:rPr>
        <w:t>,</w:t>
      </w:r>
      <w:r w:rsidRPr="00946122">
        <w:rPr>
          <w:color w:val="auto"/>
        </w:rPr>
        <w:t xml:space="preserve"> P</w:t>
      </w:r>
      <w:r w:rsidR="00393F47" w:rsidRPr="00946122">
        <w:rPr>
          <w:color w:val="auto"/>
        </w:rPr>
        <w:t>.</w:t>
      </w:r>
      <w:r w:rsidRPr="00946122">
        <w:rPr>
          <w:color w:val="auto"/>
        </w:rPr>
        <w:t>G</w:t>
      </w:r>
      <w:r w:rsidR="00393F47" w:rsidRPr="00946122">
        <w:rPr>
          <w:color w:val="auto"/>
        </w:rPr>
        <w:t>.</w:t>
      </w:r>
      <w:r w:rsidRPr="00946122">
        <w:rPr>
          <w:color w:val="auto"/>
        </w:rPr>
        <w:t xml:space="preserve">, Castro MC. Modelling strategic interventions in a population with a total fertility rate of 8.3: a </w:t>
      </w:r>
      <w:r w:rsidR="00393F47" w:rsidRPr="00946122">
        <w:rPr>
          <w:color w:val="auto"/>
        </w:rPr>
        <w:t>cross-sectional</w:t>
      </w:r>
      <w:r w:rsidRPr="00946122">
        <w:rPr>
          <w:color w:val="auto"/>
        </w:rPr>
        <w:t xml:space="preserve"> study of </w:t>
      </w:r>
      <w:proofErr w:type="spellStart"/>
      <w:r w:rsidRPr="00946122">
        <w:rPr>
          <w:color w:val="auto"/>
        </w:rPr>
        <w:t>Idjwi</w:t>
      </w:r>
      <w:proofErr w:type="spellEnd"/>
      <w:r w:rsidRPr="00946122">
        <w:rPr>
          <w:color w:val="auto"/>
        </w:rPr>
        <w:t xml:space="preserve"> Island, DRC. BMC Public Health. 2012. https://doi. org/10.1186/1471-2458-12-959 </w:t>
      </w:r>
    </w:p>
    <w:p w14:paraId="6208615E" w14:textId="2C8B9FF5" w:rsidR="00242757" w:rsidRPr="00946122" w:rsidRDefault="00242757" w:rsidP="00C1267A">
      <w:pPr>
        <w:pStyle w:val="MDPI71References"/>
        <w:rPr>
          <w:rFonts w:eastAsia="DengXian"/>
          <w:color w:val="auto"/>
        </w:rPr>
      </w:pPr>
      <w:r w:rsidRPr="00946122">
        <w:rPr>
          <w:rFonts w:eastAsia="DengXian"/>
          <w:color w:val="auto"/>
        </w:rPr>
        <w:t>Si</w:t>
      </w:r>
      <w:r w:rsidR="00A7766D" w:rsidRPr="00946122">
        <w:rPr>
          <w:rFonts w:eastAsia="DengXian"/>
          <w:color w:val="auto"/>
        </w:rPr>
        <w:t>, Y.</w:t>
      </w:r>
      <w:r w:rsidRPr="00946122">
        <w:rPr>
          <w:rFonts w:eastAsia="DengXian"/>
          <w:color w:val="auto"/>
        </w:rPr>
        <w:t xml:space="preserve">K., </w:t>
      </w:r>
      <w:proofErr w:type="spellStart"/>
      <w:r w:rsidRPr="00946122">
        <w:rPr>
          <w:rFonts w:eastAsia="DengXian"/>
          <w:color w:val="auto"/>
        </w:rPr>
        <w:t>Boukerch</w:t>
      </w:r>
      <w:proofErr w:type="spellEnd"/>
      <w:r w:rsidRPr="00946122">
        <w:rPr>
          <w:rFonts w:eastAsia="DengXian"/>
          <w:color w:val="auto"/>
        </w:rPr>
        <w:t>, I.</w:t>
      </w:r>
      <w:r w:rsidR="00A7766D" w:rsidRPr="00946122">
        <w:rPr>
          <w:rFonts w:eastAsia="DengXian"/>
          <w:color w:val="auto"/>
        </w:rPr>
        <w:t>;</w:t>
      </w:r>
      <w:r w:rsidRPr="00946122">
        <w:rPr>
          <w:rFonts w:eastAsia="DengXian"/>
          <w:color w:val="auto"/>
        </w:rPr>
        <w:t xml:space="preserve"> Hocine, I.</w:t>
      </w:r>
      <w:r w:rsidR="00A7766D" w:rsidRPr="00946122">
        <w:rPr>
          <w:rFonts w:eastAsia="DengXian"/>
          <w:color w:val="auto"/>
        </w:rPr>
        <w:t>;</w:t>
      </w:r>
      <w:r w:rsidRPr="00946122">
        <w:rPr>
          <w:rFonts w:eastAsia="DengXian"/>
          <w:color w:val="auto"/>
        </w:rPr>
        <w:t xml:space="preserve"> </w:t>
      </w:r>
      <w:proofErr w:type="spellStart"/>
      <w:r w:rsidRPr="00946122">
        <w:rPr>
          <w:rFonts w:eastAsia="DengXian"/>
          <w:color w:val="auto"/>
        </w:rPr>
        <w:t>Benabdelkader</w:t>
      </w:r>
      <w:proofErr w:type="spellEnd"/>
      <w:r w:rsidRPr="00946122">
        <w:rPr>
          <w:rFonts w:eastAsia="DengXian"/>
          <w:color w:val="auto"/>
        </w:rPr>
        <w:t xml:space="preserve">, A. </w:t>
      </w:r>
      <w:r w:rsidR="00A7766D" w:rsidRPr="00946122">
        <w:rPr>
          <w:rFonts w:eastAsia="DengXian"/>
          <w:color w:val="auto"/>
          <w:sz w:val="16"/>
          <w:szCs w:val="18"/>
        </w:rPr>
        <w:t>The setting up of a GIS for the general population and housing census</w:t>
      </w:r>
      <w:r w:rsidRPr="00946122">
        <w:rPr>
          <w:rFonts w:eastAsia="DengXian"/>
          <w:color w:val="auto"/>
        </w:rPr>
        <w:t xml:space="preserve">, Int. Arch. </w:t>
      </w:r>
      <w:proofErr w:type="spellStart"/>
      <w:r w:rsidRPr="00946122">
        <w:rPr>
          <w:rFonts w:eastAsia="DengXian"/>
          <w:color w:val="auto"/>
        </w:rPr>
        <w:t>Photogramm</w:t>
      </w:r>
      <w:proofErr w:type="spellEnd"/>
      <w:r w:rsidRPr="00946122">
        <w:rPr>
          <w:rFonts w:eastAsia="DengXian"/>
          <w:color w:val="auto"/>
        </w:rPr>
        <w:t>. Remote Sens. Spatial Inf. Sci., XLIII-B4-2021, 313–319, https://doi.org/10.5194/isprs-archives-XLIII-B4-2021-313-2021, 2021.</w:t>
      </w:r>
    </w:p>
    <w:p w14:paraId="4B15F8EC" w14:textId="440903C4" w:rsidR="005B56C7" w:rsidRPr="00151381" w:rsidRDefault="005B56C7" w:rsidP="005B56C7">
      <w:pPr>
        <w:tabs>
          <w:tab w:val="left" w:pos="2853"/>
        </w:tabs>
        <w:rPr>
          <w:color w:val="auto"/>
          <w:lang w:eastAsia="de-DE" w:bidi="en-US"/>
        </w:rPr>
      </w:pPr>
    </w:p>
    <w:sectPr w:rsidR="005B56C7" w:rsidRPr="00151381" w:rsidSect="00BA21E9">
      <w:headerReference w:type="even" r:id="rId66"/>
      <w:headerReference w:type="default" r:id="rId67"/>
      <w:footerReference w:type="even" r:id="rId68"/>
      <w:footerReference w:type="default" r:id="rId69"/>
      <w:headerReference w:type="first" r:id="rId70"/>
      <w:footerReference w:type="first" r:id="rId71"/>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32A3C" w14:textId="77777777" w:rsidR="00A62F3B" w:rsidRPr="00FC2842" w:rsidRDefault="00A62F3B">
      <w:pPr>
        <w:spacing w:line="240" w:lineRule="auto"/>
      </w:pPr>
      <w:r w:rsidRPr="00FC2842">
        <w:separator/>
      </w:r>
    </w:p>
  </w:endnote>
  <w:endnote w:type="continuationSeparator" w:id="0">
    <w:p w14:paraId="0580CE42" w14:textId="77777777" w:rsidR="00A62F3B" w:rsidRPr="00FC2842" w:rsidRDefault="00A62F3B">
      <w:pPr>
        <w:spacing w:line="240" w:lineRule="auto"/>
      </w:pPr>
      <w:r w:rsidRPr="00FC284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C321D" w14:textId="77777777" w:rsidR="00BA21E9" w:rsidRDefault="00BA2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0FF29" w14:textId="77777777" w:rsidR="00A61FBB" w:rsidRPr="00FC2842" w:rsidRDefault="00A61FBB" w:rsidP="00A61FBB">
    <w:pPr>
      <w:pStyle w:val="Foote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4DB5D" w14:textId="77777777" w:rsidR="00876999" w:rsidRPr="00FC2842" w:rsidRDefault="00876999" w:rsidP="008C3B74">
    <w:pPr>
      <w:pBdr>
        <w:top w:val="single" w:sz="4" w:space="0" w:color="000000"/>
      </w:pBdr>
      <w:tabs>
        <w:tab w:val="right" w:pos="8844"/>
      </w:tabs>
      <w:adjustRightInd w:val="0"/>
      <w:snapToGrid w:val="0"/>
      <w:spacing w:before="480" w:line="100" w:lineRule="exact"/>
      <w:jc w:val="left"/>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A73B5" w14:textId="77777777" w:rsidR="00A62F3B" w:rsidRPr="00FC2842" w:rsidRDefault="00A62F3B">
      <w:pPr>
        <w:spacing w:line="240" w:lineRule="auto"/>
      </w:pPr>
      <w:r w:rsidRPr="00FC2842">
        <w:separator/>
      </w:r>
    </w:p>
  </w:footnote>
  <w:footnote w:type="continuationSeparator" w:id="0">
    <w:p w14:paraId="7DA1A478" w14:textId="77777777" w:rsidR="00A62F3B" w:rsidRPr="00FC2842" w:rsidRDefault="00A62F3B">
      <w:pPr>
        <w:spacing w:line="240" w:lineRule="auto"/>
      </w:pPr>
      <w:r w:rsidRPr="00FC284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7F332" w14:textId="10C48B4D" w:rsidR="00A61FBB" w:rsidRPr="00FC2842" w:rsidRDefault="00BA21E9" w:rsidP="00A61FBB">
    <w:pPr>
      <w:pStyle w:val="Header"/>
      <w:pBdr>
        <w:bottom w:val="none" w:sz="0" w:space="0" w:color="auto"/>
      </w:pBdr>
    </w:pPr>
    <w:r>
      <w:rPr>
        <w:noProof/>
      </w:rPr>
      <w:pict w14:anchorId="296E8A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669141" o:spid="_x0000_s2050" type="#_x0000_t136" style="position:absolute;left:0;text-align:left;margin-left:0;margin-top:0;width:645.55pt;height:92.2pt;rotation:315;z-index:-251655168;mso-position-horizontal:center;mso-position-horizontal-relative:margin;mso-position-vertical:center;mso-position-vertical-relative:margin" o:allowincell="f" fillcolor="silver" stroked="f">
          <v:fill opacity=".5"/>
          <v:textpath style="font-family:&quot;Palatino Linotyp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80392" w14:textId="63F35B87" w:rsidR="00876999" w:rsidRPr="00FC2842" w:rsidRDefault="00BA21E9" w:rsidP="00CC22F7">
    <w:pPr>
      <w:tabs>
        <w:tab w:val="right" w:pos="10466"/>
      </w:tabs>
      <w:adjustRightInd w:val="0"/>
      <w:snapToGrid w:val="0"/>
      <w:spacing w:line="240" w:lineRule="auto"/>
      <w:rPr>
        <w:sz w:val="16"/>
      </w:rPr>
    </w:pPr>
    <w:r>
      <w:rPr>
        <w:noProof/>
      </w:rPr>
      <w:pict w14:anchorId="46D492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669142" o:spid="_x0000_s2051" type="#_x0000_t136" style="position:absolute;left:0;text-align:left;margin-left:0;margin-top:0;width:645.55pt;height:92.2pt;rotation:315;z-index:-251653120;mso-position-horizontal:center;mso-position-horizontal-relative:margin;mso-position-vertical:center;mso-position-vertical-relative:margin" o:allowincell="f" fillcolor="silver" stroked="f">
          <v:fill opacity=".5"/>
          <v:textpath style="font-family:&quot;Palatino Linotype&quot;;font-size:1pt" string="UNDER PEER REVIEW"/>
        </v:shape>
      </w:pict>
    </w:r>
    <w:r w:rsidR="008D0B70" w:rsidRPr="00FC2842">
      <w:rPr>
        <w:sz w:val="16"/>
      </w:rPr>
      <w:fldChar w:fldCharType="begin"/>
    </w:r>
    <w:r w:rsidR="008D0B70" w:rsidRPr="00FC2842">
      <w:rPr>
        <w:sz w:val="16"/>
      </w:rPr>
      <w:instrText xml:space="preserve"> PAGE   \* MERGEFORMAT </w:instrText>
    </w:r>
    <w:r w:rsidR="008D0B70" w:rsidRPr="00FC2842">
      <w:rPr>
        <w:sz w:val="16"/>
      </w:rPr>
      <w:fldChar w:fldCharType="separate"/>
    </w:r>
    <w:r w:rsidR="000D4E64" w:rsidRPr="00FC2842">
      <w:rPr>
        <w:sz w:val="16"/>
      </w:rPr>
      <w:t>5</w:t>
    </w:r>
    <w:r w:rsidR="008D0B70" w:rsidRPr="00FC2842">
      <w:rPr>
        <w:sz w:val="16"/>
      </w:rPr>
      <w:fldChar w:fldCharType="end"/>
    </w:r>
    <w:r w:rsidR="008D0B70" w:rsidRPr="00FC2842">
      <w:rPr>
        <w:sz w:val="16"/>
      </w:rPr>
      <w:t xml:space="preserve"> of </w:t>
    </w:r>
    <w:r w:rsidR="008D0B70" w:rsidRPr="00FC2842">
      <w:rPr>
        <w:sz w:val="16"/>
      </w:rPr>
      <w:fldChar w:fldCharType="begin"/>
    </w:r>
    <w:r w:rsidR="008D0B70" w:rsidRPr="00FC2842">
      <w:rPr>
        <w:sz w:val="16"/>
      </w:rPr>
      <w:instrText xml:space="preserve"> NUMPAGES   \* MERGEFORMAT </w:instrText>
    </w:r>
    <w:r w:rsidR="008D0B70" w:rsidRPr="00FC2842">
      <w:rPr>
        <w:sz w:val="16"/>
      </w:rPr>
      <w:fldChar w:fldCharType="separate"/>
    </w:r>
    <w:r w:rsidR="000D4E64" w:rsidRPr="00FC2842">
      <w:rPr>
        <w:sz w:val="16"/>
      </w:rPr>
      <w:t>5</w:t>
    </w:r>
    <w:r w:rsidR="008D0B70" w:rsidRPr="00FC2842">
      <w:rPr>
        <w:sz w:val="16"/>
      </w:rPr>
      <w:fldChar w:fldCharType="end"/>
    </w:r>
  </w:p>
  <w:p w14:paraId="056DD4E1" w14:textId="77777777" w:rsidR="00A61FBB" w:rsidRPr="00FC2842" w:rsidRDefault="00A61FBB" w:rsidP="008C3B74">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E82D8" w14:textId="5BE3C855" w:rsidR="00A61FBB" w:rsidRPr="00FC2842" w:rsidRDefault="00BA21E9" w:rsidP="008C3B74">
    <w:pPr>
      <w:pBdr>
        <w:bottom w:val="single" w:sz="4" w:space="1" w:color="000000"/>
      </w:pBdr>
      <w:adjustRightInd w:val="0"/>
      <w:snapToGrid w:val="0"/>
      <w:spacing w:line="100" w:lineRule="exact"/>
      <w:jc w:val="left"/>
    </w:pPr>
    <w:r>
      <w:rPr>
        <w:noProof/>
      </w:rPr>
      <w:pict w14:anchorId="1B13A6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669140" o:spid="_x0000_s2049" type="#_x0000_t136" style="position:absolute;margin-left:0;margin-top:0;width:645.55pt;height:92.2pt;rotation:315;z-index:-251657216;mso-position-horizontal:center;mso-position-horizontal-relative:margin;mso-position-vertical:center;mso-position-vertical-relative:margin" o:allowincell="f" fillcolor="silver" stroked="f">
          <v:fill opacity=".5"/>
          <v:textpath style="font-family:&quot;Palatino Linotyp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8F5"/>
    <w:multiLevelType w:val="hybridMultilevel"/>
    <w:tmpl w:val="0FD0F1F4"/>
    <w:lvl w:ilvl="0" w:tplc="4B96139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4437"/>
        </w:tabs>
        <w:ind w:left="443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1EB785B"/>
    <w:multiLevelType w:val="hybridMultilevel"/>
    <w:tmpl w:val="8DAEB296"/>
    <w:lvl w:ilvl="0" w:tplc="B3D4410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2A6AFA"/>
    <w:multiLevelType w:val="hybridMultilevel"/>
    <w:tmpl w:val="981CD8CE"/>
    <w:lvl w:ilvl="0" w:tplc="AABA1C5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3B155388"/>
    <w:multiLevelType w:val="hybridMultilevel"/>
    <w:tmpl w:val="0BF29476"/>
    <w:lvl w:ilvl="0" w:tplc="340C000F">
      <w:start w:val="1"/>
      <w:numFmt w:val="decimal"/>
      <w:lvlText w:val="%1."/>
      <w:lvlJc w:val="left"/>
      <w:pPr>
        <w:ind w:left="720" w:hanging="360"/>
      </w:pPr>
      <w:rPr>
        <w:rFonts w:hint="default"/>
      </w:rPr>
    </w:lvl>
    <w:lvl w:ilvl="1" w:tplc="340C0019" w:tentative="1">
      <w:start w:val="1"/>
      <w:numFmt w:val="lowerLetter"/>
      <w:lvlText w:val="%2."/>
      <w:lvlJc w:val="left"/>
      <w:pPr>
        <w:ind w:left="1440" w:hanging="360"/>
      </w:pPr>
    </w:lvl>
    <w:lvl w:ilvl="2" w:tplc="340C001B" w:tentative="1">
      <w:start w:val="1"/>
      <w:numFmt w:val="lowerRoman"/>
      <w:lvlText w:val="%3."/>
      <w:lvlJc w:val="right"/>
      <w:pPr>
        <w:ind w:left="2160" w:hanging="180"/>
      </w:pPr>
    </w:lvl>
    <w:lvl w:ilvl="3" w:tplc="340C000F" w:tentative="1">
      <w:start w:val="1"/>
      <w:numFmt w:val="decimal"/>
      <w:lvlText w:val="%4."/>
      <w:lvlJc w:val="left"/>
      <w:pPr>
        <w:ind w:left="2880" w:hanging="360"/>
      </w:pPr>
    </w:lvl>
    <w:lvl w:ilvl="4" w:tplc="340C0019" w:tentative="1">
      <w:start w:val="1"/>
      <w:numFmt w:val="lowerLetter"/>
      <w:lvlText w:val="%5."/>
      <w:lvlJc w:val="left"/>
      <w:pPr>
        <w:ind w:left="3600" w:hanging="360"/>
      </w:pPr>
    </w:lvl>
    <w:lvl w:ilvl="5" w:tplc="340C001B" w:tentative="1">
      <w:start w:val="1"/>
      <w:numFmt w:val="lowerRoman"/>
      <w:lvlText w:val="%6."/>
      <w:lvlJc w:val="right"/>
      <w:pPr>
        <w:ind w:left="4320" w:hanging="180"/>
      </w:pPr>
    </w:lvl>
    <w:lvl w:ilvl="6" w:tplc="340C000F" w:tentative="1">
      <w:start w:val="1"/>
      <w:numFmt w:val="decimal"/>
      <w:lvlText w:val="%7."/>
      <w:lvlJc w:val="left"/>
      <w:pPr>
        <w:ind w:left="5040" w:hanging="360"/>
      </w:pPr>
    </w:lvl>
    <w:lvl w:ilvl="7" w:tplc="340C0019" w:tentative="1">
      <w:start w:val="1"/>
      <w:numFmt w:val="lowerLetter"/>
      <w:lvlText w:val="%8."/>
      <w:lvlJc w:val="left"/>
      <w:pPr>
        <w:ind w:left="5760" w:hanging="360"/>
      </w:pPr>
    </w:lvl>
    <w:lvl w:ilvl="8" w:tplc="340C001B" w:tentative="1">
      <w:start w:val="1"/>
      <w:numFmt w:val="lowerRoman"/>
      <w:lvlText w:val="%9."/>
      <w:lvlJc w:val="right"/>
      <w:pPr>
        <w:ind w:left="6480" w:hanging="180"/>
      </w:pPr>
    </w:lvl>
  </w:abstractNum>
  <w:abstractNum w:abstractNumId="10" w15:restartNumberingAfterBreak="0">
    <w:nsid w:val="47BD5880"/>
    <w:multiLevelType w:val="hybridMultilevel"/>
    <w:tmpl w:val="79F089BC"/>
    <w:lvl w:ilvl="0" w:tplc="FBB609F0">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5B256721"/>
    <w:multiLevelType w:val="hybridMultilevel"/>
    <w:tmpl w:val="0650AE60"/>
    <w:lvl w:ilvl="0" w:tplc="C1C8BE9C">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2"/>
  </w:num>
  <w:num w:numId="7">
    <w:abstractNumId w:val="1"/>
  </w:num>
  <w:num w:numId="8">
    <w:abstractNumId w:val="12"/>
  </w:num>
  <w:num w:numId="9">
    <w:abstractNumId w:val="1"/>
  </w:num>
  <w:num w:numId="10">
    <w:abstractNumId w:val="12"/>
  </w:num>
  <w:num w:numId="11">
    <w:abstractNumId w:val="1"/>
  </w:num>
  <w:num w:numId="12">
    <w:abstractNumId w:val="14"/>
  </w:num>
  <w:num w:numId="13">
    <w:abstractNumId w:val="12"/>
  </w:num>
  <w:num w:numId="14">
    <w:abstractNumId w:val="1"/>
  </w:num>
  <w:num w:numId="15">
    <w:abstractNumId w:val="0"/>
  </w:num>
  <w:num w:numId="16">
    <w:abstractNumId w:val="11"/>
  </w:num>
  <w:num w:numId="17">
    <w:abstractNumId w:val="0"/>
  </w:num>
  <w:num w:numId="18">
    <w:abstractNumId w:val="12"/>
  </w:num>
  <w:num w:numId="19">
    <w:abstractNumId w:val="1"/>
  </w:num>
  <w:num w:numId="20">
    <w:abstractNumId w:val="0"/>
  </w:num>
  <w:num w:numId="21">
    <w:abstractNumId w:val="10"/>
  </w:num>
  <w:num w:numId="22">
    <w:abstractNumId w:val="3"/>
  </w:num>
  <w:num w:numId="23">
    <w:abstractNumId w:val="13"/>
  </w:num>
  <w:num w:numId="24">
    <w:abstractNumId w:val="7"/>
  </w:num>
  <w:num w:numId="25">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6">
    <w:abstractNumId w:val="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68"/>
    <w:rsid w:val="0000090C"/>
    <w:rsid w:val="00002D28"/>
    <w:rsid w:val="0000610D"/>
    <w:rsid w:val="00010D13"/>
    <w:rsid w:val="00010EA5"/>
    <w:rsid w:val="0003175D"/>
    <w:rsid w:val="00040209"/>
    <w:rsid w:val="00043ECF"/>
    <w:rsid w:val="00046329"/>
    <w:rsid w:val="00046F53"/>
    <w:rsid w:val="00047522"/>
    <w:rsid w:val="00063FF4"/>
    <w:rsid w:val="00066736"/>
    <w:rsid w:val="000805A9"/>
    <w:rsid w:val="00084875"/>
    <w:rsid w:val="000853F1"/>
    <w:rsid w:val="00090298"/>
    <w:rsid w:val="000909C6"/>
    <w:rsid w:val="00091EF3"/>
    <w:rsid w:val="00092A28"/>
    <w:rsid w:val="000966DB"/>
    <w:rsid w:val="000A15F7"/>
    <w:rsid w:val="000A4247"/>
    <w:rsid w:val="000A7A1B"/>
    <w:rsid w:val="000B5A9A"/>
    <w:rsid w:val="000B75BF"/>
    <w:rsid w:val="000C03C8"/>
    <w:rsid w:val="000C6C5C"/>
    <w:rsid w:val="000D0576"/>
    <w:rsid w:val="000D4E64"/>
    <w:rsid w:val="000E1BE8"/>
    <w:rsid w:val="000E49AC"/>
    <w:rsid w:val="000E630F"/>
    <w:rsid w:val="000F6455"/>
    <w:rsid w:val="000F7697"/>
    <w:rsid w:val="00115436"/>
    <w:rsid w:val="00121D41"/>
    <w:rsid w:val="001271D0"/>
    <w:rsid w:val="001272DC"/>
    <w:rsid w:val="00131889"/>
    <w:rsid w:val="001400EB"/>
    <w:rsid w:val="00150B35"/>
    <w:rsid w:val="00151381"/>
    <w:rsid w:val="00153291"/>
    <w:rsid w:val="001556E0"/>
    <w:rsid w:val="0015672A"/>
    <w:rsid w:val="0017198D"/>
    <w:rsid w:val="001805EE"/>
    <w:rsid w:val="00180B42"/>
    <w:rsid w:val="00194549"/>
    <w:rsid w:val="00194902"/>
    <w:rsid w:val="00196B6F"/>
    <w:rsid w:val="00197821"/>
    <w:rsid w:val="00197ACE"/>
    <w:rsid w:val="00197F6E"/>
    <w:rsid w:val="001B1B5E"/>
    <w:rsid w:val="001C540F"/>
    <w:rsid w:val="001C6094"/>
    <w:rsid w:val="001C71D3"/>
    <w:rsid w:val="001D3C0D"/>
    <w:rsid w:val="001D4C79"/>
    <w:rsid w:val="001D50F6"/>
    <w:rsid w:val="001E1F98"/>
    <w:rsid w:val="001E2AEB"/>
    <w:rsid w:val="001E3248"/>
    <w:rsid w:val="002012C5"/>
    <w:rsid w:val="00205D68"/>
    <w:rsid w:val="00210AE3"/>
    <w:rsid w:val="002158C3"/>
    <w:rsid w:val="002167FC"/>
    <w:rsid w:val="002227E0"/>
    <w:rsid w:val="002261B3"/>
    <w:rsid w:val="00226B48"/>
    <w:rsid w:val="00231239"/>
    <w:rsid w:val="0023242F"/>
    <w:rsid w:val="00232D40"/>
    <w:rsid w:val="00242757"/>
    <w:rsid w:val="00247725"/>
    <w:rsid w:val="00250C44"/>
    <w:rsid w:val="00254D4B"/>
    <w:rsid w:val="00273843"/>
    <w:rsid w:val="002738F2"/>
    <w:rsid w:val="00273916"/>
    <w:rsid w:val="00277879"/>
    <w:rsid w:val="00284770"/>
    <w:rsid w:val="00287CC0"/>
    <w:rsid w:val="002903DB"/>
    <w:rsid w:val="00291E22"/>
    <w:rsid w:val="00293CB2"/>
    <w:rsid w:val="002A0980"/>
    <w:rsid w:val="002A0FD5"/>
    <w:rsid w:val="002A1D16"/>
    <w:rsid w:val="002A1F23"/>
    <w:rsid w:val="002A323A"/>
    <w:rsid w:val="002A3B5D"/>
    <w:rsid w:val="002A532D"/>
    <w:rsid w:val="002A6FF2"/>
    <w:rsid w:val="002B0589"/>
    <w:rsid w:val="002B1D49"/>
    <w:rsid w:val="002B20A0"/>
    <w:rsid w:val="002B3193"/>
    <w:rsid w:val="002B5CA6"/>
    <w:rsid w:val="002C2303"/>
    <w:rsid w:val="002C763E"/>
    <w:rsid w:val="002D47F1"/>
    <w:rsid w:val="002D709C"/>
    <w:rsid w:val="002D7402"/>
    <w:rsid w:val="002D74F6"/>
    <w:rsid w:val="002E04C5"/>
    <w:rsid w:val="002E42AC"/>
    <w:rsid w:val="002E4323"/>
    <w:rsid w:val="002E5925"/>
    <w:rsid w:val="002E72CF"/>
    <w:rsid w:val="002F265D"/>
    <w:rsid w:val="002F3782"/>
    <w:rsid w:val="002F49EF"/>
    <w:rsid w:val="00300351"/>
    <w:rsid w:val="00314AC5"/>
    <w:rsid w:val="00315352"/>
    <w:rsid w:val="003177D7"/>
    <w:rsid w:val="00320A30"/>
    <w:rsid w:val="00324A31"/>
    <w:rsid w:val="00326141"/>
    <w:rsid w:val="00332108"/>
    <w:rsid w:val="00337EDC"/>
    <w:rsid w:val="00343F15"/>
    <w:rsid w:val="00347280"/>
    <w:rsid w:val="003509AA"/>
    <w:rsid w:val="00351E7E"/>
    <w:rsid w:val="00356254"/>
    <w:rsid w:val="0035785C"/>
    <w:rsid w:val="00360D35"/>
    <w:rsid w:val="00361921"/>
    <w:rsid w:val="003752E8"/>
    <w:rsid w:val="003822BE"/>
    <w:rsid w:val="00393F47"/>
    <w:rsid w:val="0039545E"/>
    <w:rsid w:val="003963AD"/>
    <w:rsid w:val="003A41F2"/>
    <w:rsid w:val="003B477F"/>
    <w:rsid w:val="003C51BC"/>
    <w:rsid w:val="003D2532"/>
    <w:rsid w:val="003D2FD1"/>
    <w:rsid w:val="003D328F"/>
    <w:rsid w:val="003D40DA"/>
    <w:rsid w:val="003D6988"/>
    <w:rsid w:val="003E1FBB"/>
    <w:rsid w:val="003E2DA2"/>
    <w:rsid w:val="003F525E"/>
    <w:rsid w:val="003F72D4"/>
    <w:rsid w:val="0040012C"/>
    <w:rsid w:val="00401D30"/>
    <w:rsid w:val="00405BE1"/>
    <w:rsid w:val="00407686"/>
    <w:rsid w:val="004152C2"/>
    <w:rsid w:val="00416DBB"/>
    <w:rsid w:val="00417D90"/>
    <w:rsid w:val="004203DA"/>
    <w:rsid w:val="00423210"/>
    <w:rsid w:val="00424119"/>
    <w:rsid w:val="00424EFA"/>
    <w:rsid w:val="00433653"/>
    <w:rsid w:val="00446BD9"/>
    <w:rsid w:val="00450576"/>
    <w:rsid w:val="004554B7"/>
    <w:rsid w:val="0045657B"/>
    <w:rsid w:val="00457E67"/>
    <w:rsid w:val="004606CD"/>
    <w:rsid w:val="0046151C"/>
    <w:rsid w:val="00464473"/>
    <w:rsid w:val="00466BEA"/>
    <w:rsid w:val="004734C4"/>
    <w:rsid w:val="00485795"/>
    <w:rsid w:val="004862F5"/>
    <w:rsid w:val="004879F0"/>
    <w:rsid w:val="004924FD"/>
    <w:rsid w:val="00492D7B"/>
    <w:rsid w:val="004931F9"/>
    <w:rsid w:val="004A36A5"/>
    <w:rsid w:val="004A7FD1"/>
    <w:rsid w:val="004B66A0"/>
    <w:rsid w:val="004C7F5F"/>
    <w:rsid w:val="004D4947"/>
    <w:rsid w:val="004E2FF6"/>
    <w:rsid w:val="004F4A21"/>
    <w:rsid w:val="004F4FC4"/>
    <w:rsid w:val="004F5B27"/>
    <w:rsid w:val="00503A72"/>
    <w:rsid w:val="00504470"/>
    <w:rsid w:val="005078C7"/>
    <w:rsid w:val="0051631B"/>
    <w:rsid w:val="00517E6C"/>
    <w:rsid w:val="00522B6C"/>
    <w:rsid w:val="00530020"/>
    <w:rsid w:val="00535B60"/>
    <w:rsid w:val="0054109F"/>
    <w:rsid w:val="005423A6"/>
    <w:rsid w:val="00542C30"/>
    <w:rsid w:val="00545030"/>
    <w:rsid w:val="005535CD"/>
    <w:rsid w:val="00561519"/>
    <w:rsid w:val="00563036"/>
    <w:rsid w:val="0057133A"/>
    <w:rsid w:val="005723E8"/>
    <w:rsid w:val="00574FD6"/>
    <w:rsid w:val="00575FFE"/>
    <w:rsid w:val="00583186"/>
    <w:rsid w:val="005871E5"/>
    <w:rsid w:val="0058771E"/>
    <w:rsid w:val="00590C25"/>
    <w:rsid w:val="005A146D"/>
    <w:rsid w:val="005A48AF"/>
    <w:rsid w:val="005A6E1E"/>
    <w:rsid w:val="005B0EBB"/>
    <w:rsid w:val="005B56C7"/>
    <w:rsid w:val="005C59EC"/>
    <w:rsid w:val="005D0D2F"/>
    <w:rsid w:val="005D2CE2"/>
    <w:rsid w:val="005E1686"/>
    <w:rsid w:val="005E2133"/>
    <w:rsid w:val="005E3A7A"/>
    <w:rsid w:val="005F0C85"/>
    <w:rsid w:val="005F1B0F"/>
    <w:rsid w:val="005F21D3"/>
    <w:rsid w:val="005F452B"/>
    <w:rsid w:val="005F76A6"/>
    <w:rsid w:val="006029CF"/>
    <w:rsid w:val="00606B38"/>
    <w:rsid w:val="006101D9"/>
    <w:rsid w:val="0061328B"/>
    <w:rsid w:val="00622639"/>
    <w:rsid w:val="00623223"/>
    <w:rsid w:val="00625F8F"/>
    <w:rsid w:val="00634C41"/>
    <w:rsid w:val="00642FB0"/>
    <w:rsid w:val="006452BC"/>
    <w:rsid w:val="0064720B"/>
    <w:rsid w:val="00650FAC"/>
    <w:rsid w:val="00652C6A"/>
    <w:rsid w:val="00655CEB"/>
    <w:rsid w:val="00656699"/>
    <w:rsid w:val="00665BFC"/>
    <w:rsid w:val="00666AC5"/>
    <w:rsid w:val="00673DD2"/>
    <w:rsid w:val="00674A0B"/>
    <w:rsid w:val="00677C73"/>
    <w:rsid w:val="00692393"/>
    <w:rsid w:val="006962CA"/>
    <w:rsid w:val="006A52A8"/>
    <w:rsid w:val="006A5935"/>
    <w:rsid w:val="006A665C"/>
    <w:rsid w:val="006B13AE"/>
    <w:rsid w:val="006B4CA5"/>
    <w:rsid w:val="006B5CE1"/>
    <w:rsid w:val="006B60D7"/>
    <w:rsid w:val="006B6B44"/>
    <w:rsid w:val="006C1B9B"/>
    <w:rsid w:val="006C3E6F"/>
    <w:rsid w:val="006C4354"/>
    <w:rsid w:val="006C5AA7"/>
    <w:rsid w:val="006D0211"/>
    <w:rsid w:val="006D0372"/>
    <w:rsid w:val="006D131A"/>
    <w:rsid w:val="006D7BC0"/>
    <w:rsid w:val="006E146C"/>
    <w:rsid w:val="006E489A"/>
    <w:rsid w:val="006E48D1"/>
    <w:rsid w:val="006E506C"/>
    <w:rsid w:val="006F4F95"/>
    <w:rsid w:val="006F64E2"/>
    <w:rsid w:val="006F7286"/>
    <w:rsid w:val="00703073"/>
    <w:rsid w:val="00710E93"/>
    <w:rsid w:val="007131A9"/>
    <w:rsid w:val="00713D40"/>
    <w:rsid w:val="00714852"/>
    <w:rsid w:val="00714EA9"/>
    <w:rsid w:val="007257F6"/>
    <w:rsid w:val="007337C6"/>
    <w:rsid w:val="00734BC8"/>
    <w:rsid w:val="00736457"/>
    <w:rsid w:val="007401D6"/>
    <w:rsid w:val="00752E3F"/>
    <w:rsid w:val="0077155F"/>
    <w:rsid w:val="00774130"/>
    <w:rsid w:val="00775EB9"/>
    <w:rsid w:val="00781498"/>
    <w:rsid w:val="00792F21"/>
    <w:rsid w:val="007A180E"/>
    <w:rsid w:val="007B2D7C"/>
    <w:rsid w:val="007B3113"/>
    <w:rsid w:val="007B7E44"/>
    <w:rsid w:val="007C3814"/>
    <w:rsid w:val="007D7643"/>
    <w:rsid w:val="007F23D6"/>
    <w:rsid w:val="007F626C"/>
    <w:rsid w:val="008015A5"/>
    <w:rsid w:val="008219D0"/>
    <w:rsid w:val="00824A1A"/>
    <w:rsid w:val="008322D2"/>
    <w:rsid w:val="00832CFC"/>
    <w:rsid w:val="00833D5D"/>
    <w:rsid w:val="00847B1B"/>
    <w:rsid w:val="00852874"/>
    <w:rsid w:val="0085556C"/>
    <w:rsid w:val="0086557F"/>
    <w:rsid w:val="008708DE"/>
    <w:rsid w:val="00876999"/>
    <w:rsid w:val="00885FD7"/>
    <w:rsid w:val="00887E8C"/>
    <w:rsid w:val="00892886"/>
    <w:rsid w:val="0089393C"/>
    <w:rsid w:val="008B04CE"/>
    <w:rsid w:val="008B0621"/>
    <w:rsid w:val="008B0C5D"/>
    <w:rsid w:val="008B3375"/>
    <w:rsid w:val="008B7E99"/>
    <w:rsid w:val="008C3704"/>
    <w:rsid w:val="008C3B74"/>
    <w:rsid w:val="008C3F32"/>
    <w:rsid w:val="008C730F"/>
    <w:rsid w:val="008D0B70"/>
    <w:rsid w:val="008D3718"/>
    <w:rsid w:val="008D5D73"/>
    <w:rsid w:val="008D5ED1"/>
    <w:rsid w:val="008E0D39"/>
    <w:rsid w:val="008E57A8"/>
    <w:rsid w:val="008E692D"/>
    <w:rsid w:val="008F2AA5"/>
    <w:rsid w:val="00900305"/>
    <w:rsid w:val="009029BE"/>
    <w:rsid w:val="00903822"/>
    <w:rsid w:val="0091507D"/>
    <w:rsid w:val="00915E74"/>
    <w:rsid w:val="009259E3"/>
    <w:rsid w:val="00926359"/>
    <w:rsid w:val="0093195D"/>
    <w:rsid w:val="00946122"/>
    <w:rsid w:val="00946AE8"/>
    <w:rsid w:val="00947F6E"/>
    <w:rsid w:val="009511A0"/>
    <w:rsid w:val="00953B4E"/>
    <w:rsid w:val="009656C2"/>
    <w:rsid w:val="009662D4"/>
    <w:rsid w:val="00966AC9"/>
    <w:rsid w:val="00973EEE"/>
    <w:rsid w:val="00987CED"/>
    <w:rsid w:val="009924C3"/>
    <w:rsid w:val="00993FBD"/>
    <w:rsid w:val="009963C6"/>
    <w:rsid w:val="009A2CFC"/>
    <w:rsid w:val="009A3C0D"/>
    <w:rsid w:val="009B1A78"/>
    <w:rsid w:val="009B24AE"/>
    <w:rsid w:val="009B2DD2"/>
    <w:rsid w:val="009C1836"/>
    <w:rsid w:val="009C2558"/>
    <w:rsid w:val="009C4911"/>
    <w:rsid w:val="009D494C"/>
    <w:rsid w:val="009E244A"/>
    <w:rsid w:val="009E3A7B"/>
    <w:rsid w:val="009F1417"/>
    <w:rsid w:val="009F70E6"/>
    <w:rsid w:val="00A05C0F"/>
    <w:rsid w:val="00A07E98"/>
    <w:rsid w:val="00A14DE6"/>
    <w:rsid w:val="00A15E0D"/>
    <w:rsid w:val="00A237E6"/>
    <w:rsid w:val="00A2384F"/>
    <w:rsid w:val="00A26220"/>
    <w:rsid w:val="00A32516"/>
    <w:rsid w:val="00A32D25"/>
    <w:rsid w:val="00A36026"/>
    <w:rsid w:val="00A40A2A"/>
    <w:rsid w:val="00A46B50"/>
    <w:rsid w:val="00A55AD0"/>
    <w:rsid w:val="00A55B9C"/>
    <w:rsid w:val="00A5795C"/>
    <w:rsid w:val="00A61FBB"/>
    <w:rsid w:val="00A62F3B"/>
    <w:rsid w:val="00A65576"/>
    <w:rsid w:val="00A701A1"/>
    <w:rsid w:val="00A7053B"/>
    <w:rsid w:val="00A750EC"/>
    <w:rsid w:val="00A76F48"/>
    <w:rsid w:val="00A7766D"/>
    <w:rsid w:val="00A82669"/>
    <w:rsid w:val="00A979B3"/>
    <w:rsid w:val="00AA2D76"/>
    <w:rsid w:val="00AA2DF3"/>
    <w:rsid w:val="00AB0576"/>
    <w:rsid w:val="00AB24DB"/>
    <w:rsid w:val="00AB601C"/>
    <w:rsid w:val="00AB6508"/>
    <w:rsid w:val="00AC0585"/>
    <w:rsid w:val="00AD3678"/>
    <w:rsid w:val="00AF1DE6"/>
    <w:rsid w:val="00AF20AC"/>
    <w:rsid w:val="00AF301B"/>
    <w:rsid w:val="00B02161"/>
    <w:rsid w:val="00B02C95"/>
    <w:rsid w:val="00B04A24"/>
    <w:rsid w:val="00B0584C"/>
    <w:rsid w:val="00B05B1B"/>
    <w:rsid w:val="00B11DF6"/>
    <w:rsid w:val="00B17652"/>
    <w:rsid w:val="00B26008"/>
    <w:rsid w:val="00B34A37"/>
    <w:rsid w:val="00B365C9"/>
    <w:rsid w:val="00B4537D"/>
    <w:rsid w:val="00B455A5"/>
    <w:rsid w:val="00B466E9"/>
    <w:rsid w:val="00B54FA3"/>
    <w:rsid w:val="00B61AB2"/>
    <w:rsid w:val="00B74684"/>
    <w:rsid w:val="00B84760"/>
    <w:rsid w:val="00B84CFA"/>
    <w:rsid w:val="00B85B9C"/>
    <w:rsid w:val="00B87E36"/>
    <w:rsid w:val="00B910C6"/>
    <w:rsid w:val="00B95C21"/>
    <w:rsid w:val="00BA21E9"/>
    <w:rsid w:val="00BA3CC8"/>
    <w:rsid w:val="00BA42BC"/>
    <w:rsid w:val="00BA4B38"/>
    <w:rsid w:val="00BA5C24"/>
    <w:rsid w:val="00BA75EC"/>
    <w:rsid w:val="00BB08E0"/>
    <w:rsid w:val="00BC4EFB"/>
    <w:rsid w:val="00BC7777"/>
    <w:rsid w:val="00BD3C82"/>
    <w:rsid w:val="00BE2C51"/>
    <w:rsid w:val="00BE49D6"/>
    <w:rsid w:val="00BF159C"/>
    <w:rsid w:val="00C00C95"/>
    <w:rsid w:val="00C019FF"/>
    <w:rsid w:val="00C01EF2"/>
    <w:rsid w:val="00C0439C"/>
    <w:rsid w:val="00C04E91"/>
    <w:rsid w:val="00C06CDB"/>
    <w:rsid w:val="00C1267A"/>
    <w:rsid w:val="00C15A50"/>
    <w:rsid w:val="00C20605"/>
    <w:rsid w:val="00C24A13"/>
    <w:rsid w:val="00C24BB6"/>
    <w:rsid w:val="00C260E5"/>
    <w:rsid w:val="00C2728C"/>
    <w:rsid w:val="00C336F9"/>
    <w:rsid w:val="00C345C3"/>
    <w:rsid w:val="00C36D82"/>
    <w:rsid w:val="00C37028"/>
    <w:rsid w:val="00C4132F"/>
    <w:rsid w:val="00C4520E"/>
    <w:rsid w:val="00C452DA"/>
    <w:rsid w:val="00C458A6"/>
    <w:rsid w:val="00C47ECB"/>
    <w:rsid w:val="00C52100"/>
    <w:rsid w:val="00C526F3"/>
    <w:rsid w:val="00C7301E"/>
    <w:rsid w:val="00C73EB5"/>
    <w:rsid w:val="00C76C7B"/>
    <w:rsid w:val="00C778A4"/>
    <w:rsid w:val="00C812B5"/>
    <w:rsid w:val="00C81431"/>
    <w:rsid w:val="00C83E67"/>
    <w:rsid w:val="00C8451C"/>
    <w:rsid w:val="00C87263"/>
    <w:rsid w:val="00C91519"/>
    <w:rsid w:val="00C92C79"/>
    <w:rsid w:val="00C95111"/>
    <w:rsid w:val="00C9683B"/>
    <w:rsid w:val="00CA003F"/>
    <w:rsid w:val="00CA0D2F"/>
    <w:rsid w:val="00CA446A"/>
    <w:rsid w:val="00CA665C"/>
    <w:rsid w:val="00CB2191"/>
    <w:rsid w:val="00CC091F"/>
    <w:rsid w:val="00CC22F7"/>
    <w:rsid w:val="00CC2449"/>
    <w:rsid w:val="00CC57AC"/>
    <w:rsid w:val="00CD31A7"/>
    <w:rsid w:val="00CD4795"/>
    <w:rsid w:val="00CD735E"/>
    <w:rsid w:val="00CE0CA8"/>
    <w:rsid w:val="00D119DC"/>
    <w:rsid w:val="00D14107"/>
    <w:rsid w:val="00D216F3"/>
    <w:rsid w:val="00D2222C"/>
    <w:rsid w:val="00D22FE4"/>
    <w:rsid w:val="00D25FE1"/>
    <w:rsid w:val="00D266E1"/>
    <w:rsid w:val="00D3405E"/>
    <w:rsid w:val="00D36259"/>
    <w:rsid w:val="00D36818"/>
    <w:rsid w:val="00D44E83"/>
    <w:rsid w:val="00D57A9E"/>
    <w:rsid w:val="00D606C8"/>
    <w:rsid w:val="00D61E5C"/>
    <w:rsid w:val="00D64E1A"/>
    <w:rsid w:val="00D81623"/>
    <w:rsid w:val="00D83198"/>
    <w:rsid w:val="00D85B40"/>
    <w:rsid w:val="00D90C21"/>
    <w:rsid w:val="00D97DA8"/>
    <w:rsid w:val="00DA04C9"/>
    <w:rsid w:val="00DB11E4"/>
    <w:rsid w:val="00DB34E8"/>
    <w:rsid w:val="00DC020F"/>
    <w:rsid w:val="00DC67B3"/>
    <w:rsid w:val="00DC6A19"/>
    <w:rsid w:val="00DE1791"/>
    <w:rsid w:val="00DE3C56"/>
    <w:rsid w:val="00DE4C04"/>
    <w:rsid w:val="00DF0AA8"/>
    <w:rsid w:val="00DF363A"/>
    <w:rsid w:val="00DF590A"/>
    <w:rsid w:val="00E04BA3"/>
    <w:rsid w:val="00E05C26"/>
    <w:rsid w:val="00E10A3F"/>
    <w:rsid w:val="00E11858"/>
    <w:rsid w:val="00E127A0"/>
    <w:rsid w:val="00E12D64"/>
    <w:rsid w:val="00E15404"/>
    <w:rsid w:val="00E23B67"/>
    <w:rsid w:val="00E24AF1"/>
    <w:rsid w:val="00E311ED"/>
    <w:rsid w:val="00E34F76"/>
    <w:rsid w:val="00E413AD"/>
    <w:rsid w:val="00E43686"/>
    <w:rsid w:val="00E46B9F"/>
    <w:rsid w:val="00E476AB"/>
    <w:rsid w:val="00E57FED"/>
    <w:rsid w:val="00E64DB5"/>
    <w:rsid w:val="00E71810"/>
    <w:rsid w:val="00E736F1"/>
    <w:rsid w:val="00E7498E"/>
    <w:rsid w:val="00E76EC5"/>
    <w:rsid w:val="00E831BB"/>
    <w:rsid w:val="00E85DD0"/>
    <w:rsid w:val="00E9038E"/>
    <w:rsid w:val="00E923F1"/>
    <w:rsid w:val="00E94999"/>
    <w:rsid w:val="00E96476"/>
    <w:rsid w:val="00E964A3"/>
    <w:rsid w:val="00E96B9F"/>
    <w:rsid w:val="00E97123"/>
    <w:rsid w:val="00EA4FD9"/>
    <w:rsid w:val="00EA53CA"/>
    <w:rsid w:val="00EA6E8B"/>
    <w:rsid w:val="00EC1425"/>
    <w:rsid w:val="00EC16C6"/>
    <w:rsid w:val="00EC183E"/>
    <w:rsid w:val="00EC27AD"/>
    <w:rsid w:val="00EC4050"/>
    <w:rsid w:val="00EC542A"/>
    <w:rsid w:val="00ED1D2D"/>
    <w:rsid w:val="00ED1FFF"/>
    <w:rsid w:val="00ED2F50"/>
    <w:rsid w:val="00ED7112"/>
    <w:rsid w:val="00ED7C7C"/>
    <w:rsid w:val="00EE27FB"/>
    <w:rsid w:val="00EE32AA"/>
    <w:rsid w:val="00EE54EA"/>
    <w:rsid w:val="00EE57ED"/>
    <w:rsid w:val="00EE7550"/>
    <w:rsid w:val="00EF0568"/>
    <w:rsid w:val="00EF4F1D"/>
    <w:rsid w:val="00F009C1"/>
    <w:rsid w:val="00F00EA7"/>
    <w:rsid w:val="00F02293"/>
    <w:rsid w:val="00F1330B"/>
    <w:rsid w:val="00F160F6"/>
    <w:rsid w:val="00F21185"/>
    <w:rsid w:val="00F272F2"/>
    <w:rsid w:val="00F30E14"/>
    <w:rsid w:val="00F32FAC"/>
    <w:rsid w:val="00F375D9"/>
    <w:rsid w:val="00F430A6"/>
    <w:rsid w:val="00F45FA2"/>
    <w:rsid w:val="00F47818"/>
    <w:rsid w:val="00F561FE"/>
    <w:rsid w:val="00F60615"/>
    <w:rsid w:val="00F65854"/>
    <w:rsid w:val="00F70296"/>
    <w:rsid w:val="00F82BC5"/>
    <w:rsid w:val="00F83D4F"/>
    <w:rsid w:val="00F847EA"/>
    <w:rsid w:val="00F9206C"/>
    <w:rsid w:val="00F971A7"/>
    <w:rsid w:val="00FA2B82"/>
    <w:rsid w:val="00FA694E"/>
    <w:rsid w:val="00FB15A5"/>
    <w:rsid w:val="00FB6384"/>
    <w:rsid w:val="00FC2842"/>
    <w:rsid w:val="00FC48F5"/>
    <w:rsid w:val="00FC774F"/>
    <w:rsid w:val="00FC7E27"/>
    <w:rsid w:val="00FD052E"/>
    <w:rsid w:val="00FD1D13"/>
    <w:rsid w:val="00FD344A"/>
    <w:rsid w:val="00FD5234"/>
    <w:rsid w:val="00FE1DA9"/>
    <w:rsid w:val="00FE3EBD"/>
    <w:rsid w:val="00FF5AD2"/>
    <w:rsid w:val="00FF5CE4"/>
    <w:rsid w:val="00FF7D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B15A465"/>
  <w15:chartTrackingRefBased/>
  <w15:docId w15:val="{B2626C65-5B18-40FC-A8D6-2414074C3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4AC5"/>
    <w:pPr>
      <w:spacing w:line="260" w:lineRule="atLeast"/>
      <w:jc w:val="both"/>
    </w:pPr>
    <w:rPr>
      <w:rFonts w:ascii="Palatino Linotype" w:hAnsi="Palatino Linotype"/>
      <w:color w:val="000000"/>
    </w:rPr>
  </w:style>
  <w:style w:type="paragraph" w:styleId="Heading1">
    <w:name w:val="heading 1"/>
    <w:basedOn w:val="ListParagraph"/>
    <w:next w:val="Normal"/>
    <w:link w:val="Heading1Char"/>
    <w:uiPriority w:val="2"/>
    <w:qFormat/>
    <w:rsid w:val="005F0C85"/>
    <w:pPr>
      <w:numPr>
        <w:numId w:val="25"/>
      </w:numPr>
      <w:spacing w:before="240" w:after="240" w:line="240" w:lineRule="auto"/>
      <w:contextualSpacing w:val="0"/>
      <w:jc w:val="left"/>
      <w:outlineLvl w:val="0"/>
    </w:pPr>
    <w:rPr>
      <w:rFonts w:ascii="Times New Roman" w:eastAsia="Cambria" w:hAnsi="Times New Roman"/>
      <w:b/>
      <w:color w:val="auto"/>
      <w:sz w:val="24"/>
      <w:szCs w:val="24"/>
      <w:lang w:eastAsia="en-US"/>
    </w:rPr>
  </w:style>
  <w:style w:type="paragraph" w:styleId="Heading2">
    <w:name w:val="heading 2"/>
    <w:basedOn w:val="Heading1"/>
    <w:next w:val="Normal"/>
    <w:link w:val="Heading2Char"/>
    <w:uiPriority w:val="2"/>
    <w:qFormat/>
    <w:rsid w:val="005F0C85"/>
    <w:pPr>
      <w:numPr>
        <w:ilvl w:val="1"/>
      </w:numPr>
      <w:spacing w:after="200"/>
      <w:outlineLvl w:val="1"/>
    </w:pPr>
  </w:style>
  <w:style w:type="paragraph" w:styleId="Heading3">
    <w:name w:val="heading 3"/>
    <w:basedOn w:val="Normal"/>
    <w:next w:val="Normal"/>
    <w:link w:val="Heading3Char"/>
    <w:uiPriority w:val="2"/>
    <w:qFormat/>
    <w:rsid w:val="005F0C85"/>
    <w:pPr>
      <w:keepNext/>
      <w:keepLines/>
      <w:numPr>
        <w:ilvl w:val="2"/>
        <w:numId w:val="25"/>
      </w:numPr>
      <w:tabs>
        <w:tab w:val="clear" w:pos="4437"/>
        <w:tab w:val="num" w:pos="567"/>
      </w:tabs>
      <w:spacing w:before="40" w:after="120" w:line="240" w:lineRule="auto"/>
      <w:ind w:left="567"/>
      <w:jc w:val="left"/>
      <w:outlineLvl w:val="2"/>
    </w:pPr>
    <w:rPr>
      <w:rFonts w:ascii="Times New Roman" w:eastAsiaTheme="majorEastAsia" w:hAnsi="Times New Roman" w:cstheme="majorBidi"/>
      <w:b/>
      <w:color w:val="auto"/>
      <w:sz w:val="24"/>
      <w:szCs w:val="24"/>
      <w:lang w:eastAsia="en-US"/>
    </w:rPr>
  </w:style>
  <w:style w:type="paragraph" w:styleId="Heading4">
    <w:name w:val="heading 4"/>
    <w:basedOn w:val="Heading3"/>
    <w:next w:val="Normal"/>
    <w:link w:val="Heading4Char"/>
    <w:uiPriority w:val="2"/>
    <w:qFormat/>
    <w:rsid w:val="005F0C85"/>
    <w:pPr>
      <w:numPr>
        <w:ilvl w:val="3"/>
      </w:numPr>
      <w:outlineLvl w:val="3"/>
    </w:pPr>
    <w:rPr>
      <w:iCs/>
    </w:rPr>
  </w:style>
  <w:style w:type="paragraph" w:styleId="Heading5">
    <w:name w:val="heading 5"/>
    <w:basedOn w:val="Heading4"/>
    <w:next w:val="Normal"/>
    <w:link w:val="Heading5Char"/>
    <w:uiPriority w:val="2"/>
    <w:qFormat/>
    <w:rsid w:val="005F0C8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314AC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314AC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314AC5"/>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314AC5"/>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314AC5"/>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314AC5"/>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314AC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314AC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F00EA7"/>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314AC5"/>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14AC5"/>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314AC5"/>
    <w:rPr>
      <w:rFonts w:ascii="Palatino Linotype" w:hAnsi="Palatino Linotype"/>
      <w:noProof/>
      <w:color w:val="000000"/>
      <w:szCs w:val="18"/>
    </w:rPr>
  </w:style>
  <w:style w:type="paragraph" w:styleId="Header">
    <w:name w:val="header"/>
    <w:basedOn w:val="Normal"/>
    <w:link w:val="HeaderChar"/>
    <w:uiPriority w:val="99"/>
    <w:rsid w:val="00314AC5"/>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314AC5"/>
    <w:rPr>
      <w:rFonts w:ascii="Palatino Linotype" w:hAnsi="Palatino Linotype"/>
      <w:noProof/>
      <w:color w:val="000000"/>
      <w:szCs w:val="18"/>
    </w:rPr>
  </w:style>
  <w:style w:type="paragraph" w:customStyle="1" w:styleId="MDPIheaderjournallogo">
    <w:name w:val="MDPI_header_journal_logo"/>
    <w:qFormat/>
    <w:rsid w:val="00314AC5"/>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314AC5"/>
    <w:pPr>
      <w:ind w:firstLine="0"/>
    </w:pPr>
  </w:style>
  <w:style w:type="paragraph" w:customStyle="1" w:styleId="MDPI31text">
    <w:name w:val="MDPI_3.1_text"/>
    <w:qFormat/>
    <w:rsid w:val="00674A0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314AC5"/>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314AC5"/>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314AC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314AC5"/>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B4537D"/>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B4537D"/>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314AC5"/>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314AC5"/>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314AC5"/>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A0D2F"/>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314AC5"/>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314AC5"/>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314AC5"/>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314AC5"/>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314AC5"/>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314AC5"/>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314AC5"/>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314AC5"/>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6E489A"/>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314AC5"/>
    <w:rPr>
      <w:rFonts w:cs="Tahoma"/>
      <w:szCs w:val="18"/>
    </w:rPr>
  </w:style>
  <w:style w:type="character" w:customStyle="1" w:styleId="BalloonTextChar">
    <w:name w:val="Balloon Text Char"/>
    <w:link w:val="BalloonText"/>
    <w:uiPriority w:val="99"/>
    <w:rsid w:val="00314AC5"/>
    <w:rPr>
      <w:rFonts w:ascii="Palatino Linotype" w:hAnsi="Palatino Linotype" w:cs="Tahoma"/>
      <w:noProof/>
      <w:color w:val="000000"/>
      <w:szCs w:val="18"/>
    </w:rPr>
  </w:style>
  <w:style w:type="character" w:styleId="LineNumber">
    <w:name w:val="line number"/>
    <w:uiPriority w:val="99"/>
    <w:rsid w:val="00194549"/>
    <w:rPr>
      <w:rFonts w:ascii="Palatino Linotype" w:hAnsi="Palatino Linotype"/>
      <w:sz w:val="16"/>
    </w:rPr>
  </w:style>
  <w:style w:type="table" w:customStyle="1" w:styleId="MDPI41threelinetable">
    <w:name w:val="MDPI_4.1_three_line_table"/>
    <w:basedOn w:val="TableNormal"/>
    <w:uiPriority w:val="99"/>
    <w:rsid w:val="00314AC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314AC5"/>
    <w:rPr>
      <w:color w:val="0000FF"/>
      <w:u w:val="single"/>
    </w:rPr>
  </w:style>
  <w:style w:type="character" w:styleId="UnresolvedMention">
    <w:name w:val="Unresolved Mention"/>
    <w:uiPriority w:val="99"/>
    <w:semiHidden/>
    <w:unhideWhenUsed/>
    <w:rsid w:val="004879F0"/>
    <w:rPr>
      <w:color w:val="605E5C"/>
      <w:shd w:val="clear" w:color="auto" w:fill="E1DFDD"/>
    </w:rPr>
  </w:style>
  <w:style w:type="table" w:styleId="PlainTable4">
    <w:name w:val="Plain Table 4"/>
    <w:basedOn w:val="TableNormal"/>
    <w:uiPriority w:val="44"/>
    <w:rsid w:val="009F141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314AC5"/>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314AC5"/>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314AC5"/>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E57FED"/>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314AC5"/>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314AC5"/>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314AC5"/>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D7C7C"/>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314AC5"/>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314AC5"/>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314AC5"/>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314AC5"/>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314AC5"/>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314AC5"/>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314AC5"/>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314AC5"/>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314AC5"/>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314AC5"/>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314AC5"/>
  </w:style>
  <w:style w:type="paragraph" w:styleId="Bibliography">
    <w:name w:val="Bibliography"/>
    <w:basedOn w:val="Normal"/>
    <w:next w:val="Normal"/>
    <w:uiPriority w:val="37"/>
    <w:semiHidden/>
    <w:unhideWhenUsed/>
    <w:rsid w:val="00314AC5"/>
  </w:style>
  <w:style w:type="paragraph" w:styleId="BodyText">
    <w:name w:val="Body Text"/>
    <w:link w:val="BodyTextChar"/>
    <w:rsid w:val="00314AC5"/>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314AC5"/>
    <w:rPr>
      <w:rFonts w:ascii="Palatino Linotype" w:hAnsi="Palatino Linotype"/>
      <w:color w:val="000000"/>
      <w:sz w:val="24"/>
      <w:lang w:eastAsia="de-DE"/>
    </w:rPr>
  </w:style>
  <w:style w:type="character" w:styleId="CommentReference">
    <w:name w:val="annotation reference"/>
    <w:rsid w:val="00314AC5"/>
    <w:rPr>
      <w:sz w:val="21"/>
      <w:szCs w:val="21"/>
    </w:rPr>
  </w:style>
  <w:style w:type="paragraph" w:styleId="CommentText">
    <w:name w:val="annotation text"/>
    <w:basedOn w:val="Normal"/>
    <w:link w:val="CommentTextChar"/>
    <w:rsid w:val="00314AC5"/>
  </w:style>
  <w:style w:type="character" w:customStyle="1" w:styleId="CommentTextChar">
    <w:name w:val="Comment Text Char"/>
    <w:link w:val="CommentText"/>
    <w:rsid w:val="00314AC5"/>
    <w:rPr>
      <w:rFonts w:ascii="Palatino Linotype" w:hAnsi="Palatino Linotype"/>
      <w:noProof/>
      <w:color w:val="000000"/>
    </w:rPr>
  </w:style>
  <w:style w:type="paragraph" w:styleId="CommentSubject">
    <w:name w:val="annotation subject"/>
    <w:basedOn w:val="CommentText"/>
    <w:next w:val="CommentText"/>
    <w:link w:val="CommentSubjectChar"/>
    <w:rsid w:val="00314AC5"/>
    <w:rPr>
      <w:b/>
      <w:bCs/>
    </w:rPr>
  </w:style>
  <w:style w:type="character" w:customStyle="1" w:styleId="CommentSubjectChar">
    <w:name w:val="Comment Subject Char"/>
    <w:link w:val="CommentSubject"/>
    <w:rsid w:val="00314AC5"/>
    <w:rPr>
      <w:rFonts w:ascii="Palatino Linotype" w:hAnsi="Palatino Linotype"/>
      <w:b/>
      <w:bCs/>
      <w:noProof/>
      <w:color w:val="000000"/>
    </w:rPr>
  </w:style>
  <w:style w:type="character" w:styleId="EndnoteReference">
    <w:name w:val="endnote reference"/>
    <w:rsid w:val="00314AC5"/>
    <w:rPr>
      <w:vertAlign w:val="superscript"/>
    </w:rPr>
  </w:style>
  <w:style w:type="paragraph" w:styleId="EndnoteText">
    <w:name w:val="endnote text"/>
    <w:basedOn w:val="Normal"/>
    <w:link w:val="EndnoteTextChar"/>
    <w:semiHidden/>
    <w:unhideWhenUsed/>
    <w:rsid w:val="00314AC5"/>
    <w:pPr>
      <w:spacing w:line="240" w:lineRule="auto"/>
    </w:pPr>
  </w:style>
  <w:style w:type="character" w:customStyle="1" w:styleId="EndnoteTextChar">
    <w:name w:val="Endnote Text Char"/>
    <w:link w:val="EndnoteText"/>
    <w:semiHidden/>
    <w:rsid w:val="00314AC5"/>
    <w:rPr>
      <w:rFonts w:ascii="Palatino Linotype" w:hAnsi="Palatino Linotype"/>
      <w:noProof/>
      <w:color w:val="000000"/>
    </w:rPr>
  </w:style>
  <w:style w:type="character" w:styleId="FollowedHyperlink">
    <w:name w:val="FollowedHyperlink"/>
    <w:rsid w:val="00314AC5"/>
    <w:rPr>
      <w:color w:val="954F72"/>
      <w:u w:val="single"/>
    </w:rPr>
  </w:style>
  <w:style w:type="paragraph" w:styleId="FootnoteText">
    <w:name w:val="footnote text"/>
    <w:basedOn w:val="Normal"/>
    <w:link w:val="FootnoteTextChar"/>
    <w:semiHidden/>
    <w:unhideWhenUsed/>
    <w:rsid w:val="00314AC5"/>
    <w:pPr>
      <w:spacing w:line="240" w:lineRule="auto"/>
    </w:pPr>
  </w:style>
  <w:style w:type="character" w:customStyle="1" w:styleId="FootnoteTextChar">
    <w:name w:val="Footnote Text Char"/>
    <w:link w:val="FootnoteText"/>
    <w:semiHidden/>
    <w:rsid w:val="00314AC5"/>
    <w:rPr>
      <w:rFonts w:ascii="Palatino Linotype" w:hAnsi="Palatino Linotype"/>
      <w:noProof/>
      <w:color w:val="000000"/>
    </w:rPr>
  </w:style>
  <w:style w:type="paragraph" w:styleId="NormalWeb">
    <w:name w:val="Normal (Web)"/>
    <w:basedOn w:val="Normal"/>
    <w:uiPriority w:val="99"/>
    <w:rsid w:val="00314AC5"/>
    <w:rPr>
      <w:szCs w:val="24"/>
    </w:rPr>
  </w:style>
  <w:style w:type="paragraph" w:customStyle="1" w:styleId="MsoFootnoteText0">
    <w:name w:val="MsoFootnoteText"/>
    <w:basedOn w:val="NormalWeb"/>
    <w:qFormat/>
    <w:rsid w:val="00314AC5"/>
    <w:rPr>
      <w:rFonts w:ascii="Times New Roman" w:hAnsi="Times New Roman"/>
    </w:rPr>
  </w:style>
  <w:style w:type="character" w:styleId="PageNumber">
    <w:name w:val="page number"/>
    <w:rsid w:val="00314AC5"/>
  </w:style>
  <w:style w:type="character" w:styleId="PlaceholderText">
    <w:name w:val="Placeholder Text"/>
    <w:uiPriority w:val="99"/>
    <w:semiHidden/>
    <w:rsid w:val="00314AC5"/>
    <w:rPr>
      <w:color w:val="808080"/>
    </w:rPr>
  </w:style>
  <w:style w:type="paragraph" w:customStyle="1" w:styleId="MDPI71FootNotes">
    <w:name w:val="MDPI_7.1_FootNotes"/>
    <w:qFormat/>
    <w:rsid w:val="00D22FE4"/>
    <w:pPr>
      <w:numPr>
        <w:numId w:val="21"/>
      </w:numPr>
      <w:adjustRightInd w:val="0"/>
      <w:snapToGrid w:val="0"/>
      <w:spacing w:line="228" w:lineRule="auto"/>
    </w:pPr>
    <w:rPr>
      <w:rFonts w:ascii="Palatino Linotype" w:eastAsiaTheme="minorEastAsia" w:hAnsi="Palatino Linotype"/>
      <w:noProof/>
      <w:color w:val="000000"/>
      <w:sz w:val="18"/>
    </w:rPr>
  </w:style>
  <w:style w:type="table" w:customStyle="1" w:styleId="TableGrid1">
    <w:name w:val="Table Grid1"/>
    <w:basedOn w:val="TableNormal"/>
    <w:next w:val="TableGrid"/>
    <w:uiPriority w:val="59"/>
    <w:rsid w:val="008B7E99"/>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7E99"/>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2"/>
    <w:rsid w:val="005F0C85"/>
    <w:rPr>
      <w:rFonts w:ascii="Times New Roman" w:eastAsia="Cambria" w:hAnsi="Times New Roman"/>
      <w:b/>
      <w:sz w:val="24"/>
      <w:szCs w:val="24"/>
      <w:lang w:eastAsia="en-US"/>
    </w:rPr>
  </w:style>
  <w:style w:type="character" w:customStyle="1" w:styleId="Heading2Char">
    <w:name w:val="Heading 2 Char"/>
    <w:basedOn w:val="DefaultParagraphFont"/>
    <w:link w:val="Heading2"/>
    <w:uiPriority w:val="2"/>
    <w:rsid w:val="005F0C85"/>
    <w:rPr>
      <w:rFonts w:ascii="Times New Roman" w:eastAsia="Cambria" w:hAnsi="Times New Roman"/>
      <w:b/>
      <w:sz w:val="24"/>
      <w:szCs w:val="24"/>
      <w:lang w:eastAsia="en-US"/>
    </w:rPr>
  </w:style>
  <w:style w:type="character" w:customStyle="1" w:styleId="Heading3Char">
    <w:name w:val="Heading 3 Char"/>
    <w:basedOn w:val="DefaultParagraphFont"/>
    <w:link w:val="Heading3"/>
    <w:uiPriority w:val="2"/>
    <w:rsid w:val="005F0C85"/>
    <w:rPr>
      <w:rFonts w:ascii="Times New Roman" w:eastAsiaTheme="majorEastAsia" w:hAnsi="Times New Roman" w:cstheme="majorBidi"/>
      <w:b/>
      <w:sz w:val="24"/>
      <w:szCs w:val="24"/>
      <w:lang w:eastAsia="en-US"/>
    </w:rPr>
  </w:style>
  <w:style w:type="character" w:customStyle="1" w:styleId="Heading4Char">
    <w:name w:val="Heading 4 Char"/>
    <w:basedOn w:val="DefaultParagraphFont"/>
    <w:link w:val="Heading4"/>
    <w:uiPriority w:val="2"/>
    <w:rsid w:val="005F0C85"/>
    <w:rPr>
      <w:rFonts w:ascii="Times New Roman" w:eastAsiaTheme="majorEastAsia" w:hAnsi="Times New Roman" w:cstheme="majorBidi"/>
      <w:b/>
      <w:iCs/>
      <w:sz w:val="24"/>
      <w:szCs w:val="24"/>
      <w:lang w:eastAsia="en-US"/>
    </w:rPr>
  </w:style>
  <w:style w:type="character" w:customStyle="1" w:styleId="Heading5Char">
    <w:name w:val="Heading 5 Char"/>
    <w:basedOn w:val="DefaultParagraphFont"/>
    <w:link w:val="Heading5"/>
    <w:uiPriority w:val="2"/>
    <w:rsid w:val="005F0C85"/>
    <w:rPr>
      <w:rFonts w:ascii="Times New Roman" w:eastAsiaTheme="majorEastAsia" w:hAnsi="Times New Roman" w:cstheme="majorBidi"/>
      <w:b/>
      <w:iCs/>
      <w:sz w:val="24"/>
      <w:szCs w:val="24"/>
      <w:lang w:eastAsia="en-US"/>
    </w:rPr>
  </w:style>
  <w:style w:type="numbering" w:customStyle="1" w:styleId="Headings">
    <w:name w:val="Headings"/>
    <w:uiPriority w:val="99"/>
    <w:rsid w:val="005F0C85"/>
    <w:pPr>
      <w:numPr>
        <w:numId w:val="26"/>
      </w:numPr>
    </w:pPr>
  </w:style>
  <w:style w:type="paragraph" w:styleId="ListParagraph">
    <w:name w:val="List Paragraph"/>
    <w:basedOn w:val="Normal"/>
    <w:uiPriority w:val="34"/>
    <w:qFormat/>
    <w:rsid w:val="005F0C85"/>
    <w:pPr>
      <w:ind w:left="720"/>
      <w:contextualSpacing/>
    </w:pPr>
  </w:style>
  <w:style w:type="paragraph" w:styleId="Title">
    <w:name w:val="Title"/>
    <w:basedOn w:val="Normal"/>
    <w:next w:val="Normal"/>
    <w:link w:val="TitleChar"/>
    <w:uiPriority w:val="10"/>
    <w:qFormat/>
    <w:rsid w:val="00B84CFA"/>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84CFA"/>
    <w:rPr>
      <w:rFonts w:asciiTheme="majorHAnsi" w:eastAsiaTheme="majorEastAsia" w:hAnsiTheme="majorHAnsi" w:cstheme="majorBidi"/>
      <w:spacing w:val="-10"/>
      <w:kern w:val="28"/>
      <w:sz w:val="56"/>
      <w:szCs w:val="56"/>
    </w:rPr>
  </w:style>
  <w:style w:type="numbering" w:customStyle="1" w:styleId="Headings1">
    <w:name w:val="Headings1"/>
    <w:uiPriority w:val="99"/>
    <w:rsid w:val="00B84CFA"/>
  </w:style>
  <w:style w:type="numbering" w:customStyle="1" w:styleId="Headings2">
    <w:name w:val="Headings2"/>
    <w:uiPriority w:val="99"/>
    <w:rsid w:val="00254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286922">
      <w:bodyDiv w:val="1"/>
      <w:marLeft w:val="0"/>
      <w:marRight w:val="0"/>
      <w:marTop w:val="0"/>
      <w:marBottom w:val="0"/>
      <w:divBdr>
        <w:top w:val="none" w:sz="0" w:space="0" w:color="auto"/>
        <w:left w:val="none" w:sz="0" w:space="0" w:color="auto"/>
        <w:bottom w:val="none" w:sz="0" w:space="0" w:color="auto"/>
        <w:right w:val="none" w:sz="0" w:space="0" w:color="auto"/>
      </w:divBdr>
    </w:div>
    <w:div w:id="619730153">
      <w:bodyDiv w:val="1"/>
      <w:marLeft w:val="0"/>
      <w:marRight w:val="0"/>
      <w:marTop w:val="0"/>
      <w:marBottom w:val="0"/>
      <w:divBdr>
        <w:top w:val="none" w:sz="0" w:space="0" w:color="auto"/>
        <w:left w:val="none" w:sz="0" w:space="0" w:color="auto"/>
        <w:bottom w:val="none" w:sz="0" w:space="0" w:color="auto"/>
        <w:right w:val="none" w:sz="0" w:space="0" w:color="auto"/>
      </w:divBdr>
      <w:divsChild>
        <w:div w:id="440730212">
          <w:marLeft w:val="0"/>
          <w:marRight w:val="0"/>
          <w:marTop w:val="0"/>
          <w:marBottom w:val="0"/>
          <w:divBdr>
            <w:top w:val="single" w:sz="2" w:space="0" w:color="E4E6E8"/>
            <w:left w:val="single" w:sz="2" w:space="0" w:color="E4E6E8"/>
            <w:bottom w:val="single" w:sz="2" w:space="0" w:color="E4E6E8"/>
            <w:right w:val="single" w:sz="2" w:space="0" w:color="E4E6E8"/>
          </w:divBdr>
        </w:div>
        <w:div w:id="1410535831">
          <w:marLeft w:val="0"/>
          <w:marRight w:val="0"/>
          <w:marTop w:val="0"/>
          <w:marBottom w:val="0"/>
          <w:divBdr>
            <w:top w:val="single" w:sz="2" w:space="0" w:color="E4E6E8"/>
            <w:left w:val="single" w:sz="2" w:space="0" w:color="E4E6E8"/>
            <w:bottom w:val="single" w:sz="2" w:space="0" w:color="E4E6E8"/>
            <w:right w:val="single" w:sz="2" w:space="0" w:color="E4E6E8"/>
          </w:divBdr>
          <w:divsChild>
            <w:div w:id="834031487">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1294360123">
          <w:marLeft w:val="0"/>
          <w:marRight w:val="0"/>
          <w:marTop w:val="0"/>
          <w:marBottom w:val="0"/>
          <w:divBdr>
            <w:top w:val="single" w:sz="2" w:space="0" w:color="E4E6E8"/>
            <w:left w:val="single" w:sz="2" w:space="0" w:color="E4E6E8"/>
            <w:bottom w:val="single" w:sz="2" w:space="0" w:color="E4E6E8"/>
            <w:right w:val="single" w:sz="2" w:space="0" w:color="E4E6E8"/>
          </w:divBdr>
          <w:divsChild>
            <w:div w:id="1300261230">
              <w:marLeft w:val="0"/>
              <w:marRight w:val="0"/>
              <w:marTop w:val="0"/>
              <w:marBottom w:val="0"/>
              <w:divBdr>
                <w:top w:val="single" w:sz="2" w:space="0" w:color="E4E6E8"/>
                <w:left w:val="single" w:sz="2" w:space="0" w:color="E4E6E8"/>
                <w:bottom w:val="single" w:sz="2" w:space="0" w:color="E4E6E8"/>
                <w:right w:val="single" w:sz="2" w:space="0" w:color="E4E6E8"/>
              </w:divBdr>
            </w:div>
          </w:divsChild>
        </w:div>
      </w:divsChild>
    </w:div>
    <w:div w:id="806123888">
      <w:bodyDiv w:val="1"/>
      <w:marLeft w:val="0"/>
      <w:marRight w:val="0"/>
      <w:marTop w:val="0"/>
      <w:marBottom w:val="0"/>
      <w:divBdr>
        <w:top w:val="none" w:sz="0" w:space="0" w:color="auto"/>
        <w:left w:val="none" w:sz="0" w:space="0" w:color="auto"/>
        <w:bottom w:val="none" w:sz="0" w:space="0" w:color="auto"/>
        <w:right w:val="none" w:sz="0" w:space="0" w:color="auto"/>
      </w:divBdr>
      <w:divsChild>
        <w:div w:id="1721203672">
          <w:marLeft w:val="0"/>
          <w:marRight w:val="0"/>
          <w:marTop w:val="0"/>
          <w:marBottom w:val="0"/>
          <w:divBdr>
            <w:top w:val="single" w:sz="2" w:space="0" w:color="E4E6E8"/>
            <w:left w:val="single" w:sz="2" w:space="0" w:color="E4E6E8"/>
            <w:bottom w:val="single" w:sz="2" w:space="0" w:color="E4E6E8"/>
            <w:right w:val="single" w:sz="2" w:space="0" w:color="E4E6E8"/>
          </w:divBdr>
        </w:div>
        <w:div w:id="1421027254">
          <w:marLeft w:val="0"/>
          <w:marRight w:val="0"/>
          <w:marTop w:val="0"/>
          <w:marBottom w:val="0"/>
          <w:divBdr>
            <w:top w:val="single" w:sz="2" w:space="0" w:color="E4E6E8"/>
            <w:left w:val="single" w:sz="2" w:space="0" w:color="E4E6E8"/>
            <w:bottom w:val="single" w:sz="2" w:space="0" w:color="E4E6E8"/>
            <w:right w:val="single" w:sz="2" w:space="0" w:color="E4E6E8"/>
          </w:divBdr>
          <w:divsChild>
            <w:div w:id="931621761">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722868564">
          <w:marLeft w:val="0"/>
          <w:marRight w:val="0"/>
          <w:marTop w:val="0"/>
          <w:marBottom w:val="0"/>
          <w:divBdr>
            <w:top w:val="single" w:sz="2" w:space="0" w:color="E4E6E8"/>
            <w:left w:val="single" w:sz="2" w:space="0" w:color="E4E6E8"/>
            <w:bottom w:val="single" w:sz="2" w:space="0" w:color="E4E6E8"/>
            <w:right w:val="single" w:sz="2" w:space="0" w:color="E4E6E8"/>
          </w:divBdr>
          <w:divsChild>
            <w:div w:id="285504481">
              <w:marLeft w:val="0"/>
              <w:marRight w:val="0"/>
              <w:marTop w:val="0"/>
              <w:marBottom w:val="0"/>
              <w:divBdr>
                <w:top w:val="single" w:sz="2" w:space="0" w:color="E4E6E8"/>
                <w:left w:val="single" w:sz="2" w:space="0" w:color="E4E6E8"/>
                <w:bottom w:val="single" w:sz="2" w:space="0" w:color="E4E6E8"/>
                <w:right w:val="single" w:sz="2" w:space="0" w:color="E4E6E8"/>
              </w:divBdr>
            </w:div>
          </w:divsChild>
        </w:div>
      </w:divsChild>
    </w:div>
    <w:div w:id="989135000">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image" Target="media/image23.png"/><Relationship Id="rId63" Type="http://schemas.openxmlformats.org/officeDocument/2006/relationships/hyperlink" Target="https://www.instat-mali.org/laravel-filemanager/files/shares/rgph/rapport-resultats-globaux-rgph5_rgph.pdf"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hyperlink" Target="https://catalog.ihsn.org/citations/52530" TargetMode="External"/><Relationship Id="rId58" Type="http://schemas.openxmlformats.org/officeDocument/2006/relationships/hyperlink" Target="http://2013.isiproceedings.org/Files/IPS082-P2-A.pdf"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doi.org/10.1109/tpami.2004.110" TargetMode="External"/><Relationship Id="rId19" Type="http://schemas.openxmlformats.org/officeDocument/2006/relationships/image" Target="media/image8.wmf"/><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4.png"/><Relationship Id="rId56" Type="http://schemas.openxmlformats.org/officeDocument/2006/relationships/hyperlink" Target="https://doi.org/10.5194/isprs-archives-XLIII-B4-2021-313-2021" TargetMode="External"/><Relationship Id="rId64" Type="http://schemas.openxmlformats.org/officeDocument/2006/relationships/hyperlink" Target="https://doi.org/10.1016/j.jag.2022.103013"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18356/8b8ce311-en"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0.png"/><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hyperlink" Target="https://unece.org/statistics/publications/conference-european-statisticians-recommendations-2020-censuses-population" TargetMode="External"/><Relationship Id="rId67" Type="http://schemas.openxmlformats.org/officeDocument/2006/relationships/header" Target="header2.xml"/><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hyperlink" Target="https://doi.org/10.1057/s41599-020-00670-0" TargetMode="External"/><Relationship Id="rId62" Type="http://schemas.openxmlformats.org/officeDocument/2006/relationships/hyperlink" Target="https://doi.org/10.1371/journal.%20pone.0180698"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5.png"/><Relationship Id="rId57" Type="http://schemas.openxmlformats.org/officeDocument/2006/relationships/hyperlink" Target="https://doi.org/10.1016/0277-9390(86)90003-8" TargetMode="External"/><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image" Target="media/image20.png"/><Relationship Id="rId52" Type="http://schemas.openxmlformats.org/officeDocument/2006/relationships/hyperlink" Target="https://demostaf.web.ined.fr/index.php/catalog/382" TargetMode="External"/><Relationship Id="rId60" Type="http://schemas.openxmlformats.org/officeDocument/2006/relationships/hyperlink" Target="https://horizon.documentation.ird.fr/exl-doc/pleins_textes/divers10-09/20624.pdf" TargetMode="External"/><Relationship Id="rId65" Type="http://schemas.openxmlformats.org/officeDocument/2006/relationships/hyperlink" Target="https://doi.org/10.1186/1476-072X-11-12"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5.bin"/><Relationship Id="rId34" Type="http://schemas.openxmlformats.org/officeDocument/2006/relationships/image" Target="media/image15.wmf"/><Relationship Id="rId50" Type="http://schemas.openxmlformats.org/officeDocument/2006/relationships/image" Target="media/image26.png"/><Relationship Id="rId55" Type="http://schemas.openxmlformats.org/officeDocument/2006/relationships/hyperlink" Target="https://doi.org/10.1068/a43601" TargetMode="External"/><Relationship Id="rId7" Type="http://schemas.openxmlformats.org/officeDocument/2006/relationships/endnotes" Target="endnotes.xml"/><Relationship Id="rId71"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China_Study\Writting\project_PhD\paper_final\Pre-census\Pre-censu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D9C3C-AA51-40B9-AA44-B1F79D396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Pre-census</Template>
  <TotalTime>21</TotalTime>
  <Pages>15</Pages>
  <Words>6640</Words>
  <Characters>37851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Mahamadou CAMARA</dc:creator>
  <cp:keywords/>
  <dc:description/>
  <cp:lastModifiedBy>SDI 1084</cp:lastModifiedBy>
  <cp:revision>32</cp:revision>
  <cp:lastPrinted>2025-10-07T16:57:00Z</cp:lastPrinted>
  <dcterms:created xsi:type="dcterms:W3CDTF">2025-10-07T16:55:00Z</dcterms:created>
  <dcterms:modified xsi:type="dcterms:W3CDTF">2025-10-09T07:42:00Z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7fc0414a-31c4-4ceb-87a5-6ee26cd7643a</vt:lpwstr>
  </property>
</Properties>
</file>