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118E1" w14:textId="77777777" w:rsidR="001E47C3" w:rsidRDefault="001E47C3">
      <w:pPr>
        <w:pStyle w:val="Author"/>
        <w:spacing w:line="240" w:lineRule="auto"/>
        <w:rPr>
          <w:rFonts w:ascii="Arial" w:hAnsi="Arial" w:cs="Arial"/>
          <w:bCs/>
          <w:iCs/>
          <w:kern w:val="28"/>
          <w:sz w:val="36"/>
        </w:rPr>
      </w:pPr>
      <w:r w:rsidRPr="001E47C3">
        <w:rPr>
          <w:rFonts w:ascii="Arial" w:hAnsi="Arial" w:cs="Arial"/>
          <w:bCs/>
          <w:iCs/>
          <w:kern w:val="28"/>
          <w:sz w:val="36"/>
        </w:rPr>
        <w:t xml:space="preserve">Review Article </w:t>
      </w:r>
    </w:p>
    <w:p w14:paraId="226BE5AE" w14:textId="77777777" w:rsidR="001E47C3" w:rsidRDefault="001E47C3">
      <w:pPr>
        <w:pStyle w:val="Author"/>
        <w:spacing w:line="240" w:lineRule="auto"/>
        <w:rPr>
          <w:rFonts w:ascii="Arial" w:hAnsi="Arial" w:cs="Arial"/>
          <w:bCs/>
          <w:iCs/>
          <w:kern w:val="28"/>
          <w:sz w:val="36"/>
        </w:rPr>
      </w:pPr>
    </w:p>
    <w:p w14:paraId="301C6533" w14:textId="6F4AC4C6" w:rsidR="00282B13" w:rsidRDefault="00C662AE">
      <w:pPr>
        <w:pStyle w:val="Author"/>
        <w:spacing w:line="240" w:lineRule="auto"/>
        <w:rPr>
          <w:rFonts w:ascii="Arial" w:hAnsi="Arial" w:cs="Arial"/>
          <w:bCs/>
          <w:iCs/>
          <w:kern w:val="28"/>
          <w:sz w:val="36"/>
        </w:rPr>
      </w:pPr>
      <w:r>
        <w:rPr>
          <w:rFonts w:ascii="Arial" w:hAnsi="Arial" w:cs="Arial"/>
          <w:bCs/>
          <w:iCs/>
          <w:kern w:val="28"/>
          <w:sz w:val="36"/>
        </w:rPr>
        <w:t xml:space="preserve">Career Mismatch and Psychological </w:t>
      </w:r>
      <w:bookmarkStart w:id="0" w:name="_Hlk211607288"/>
      <w:r>
        <w:rPr>
          <w:rFonts w:ascii="Arial" w:hAnsi="Arial" w:cs="Arial"/>
          <w:bCs/>
          <w:iCs/>
          <w:kern w:val="28"/>
          <w:sz w:val="36"/>
        </w:rPr>
        <w:t>Distress Among Professionals</w:t>
      </w:r>
      <w:bookmarkEnd w:id="0"/>
      <w:r>
        <w:rPr>
          <w:rFonts w:ascii="Arial" w:hAnsi="Arial" w:cs="Arial"/>
          <w:bCs/>
          <w:iCs/>
          <w:kern w:val="28"/>
          <w:sz w:val="36"/>
        </w:rPr>
        <w:t>: A Systematic Review</w:t>
      </w:r>
    </w:p>
    <w:p w14:paraId="4C633429" w14:textId="77777777" w:rsidR="00282B13" w:rsidRDefault="00282B13">
      <w:pPr>
        <w:pStyle w:val="Author"/>
        <w:spacing w:line="240" w:lineRule="auto"/>
        <w:rPr>
          <w:rFonts w:ascii="Arial" w:hAnsi="Arial" w:cs="Arial"/>
          <w:bCs/>
          <w:iCs/>
          <w:kern w:val="28"/>
          <w:sz w:val="36"/>
        </w:rPr>
      </w:pPr>
    </w:p>
    <w:p w14:paraId="3AA20CF0" w14:textId="77777777" w:rsidR="00282B13" w:rsidRDefault="00C662AE">
      <w:pPr>
        <w:pStyle w:val="AbstHead"/>
        <w:spacing w:after="0"/>
        <w:jc w:val="both"/>
        <w:rPr>
          <w:rFonts w:ascii="Arial" w:hAnsi="Arial" w:cs="Arial"/>
        </w:rPr>
      </w:pPr>
      <w:r>
        <w:rPr>
          <w:rFonts w:ascii="Arial" w:hAnsi="Arial" w:cs="Arial"/>
        </w:rPr>
        <w:t xml:space="preserve">ABSTRACT </w:t>
      </w:r>
    </w:p>
    <w:p w14:paraId="75D72562" w14:textId="77777777" w:rsidR="00282B13" w:rsidRDefault="00282B13">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82B13" w14:paraId="04E7ADD0" w14:textId="77777777">
        <w:tc>
          <w:tcPr>
            <w:tcW w:w="9576" w:type="dxa"/>
            <w:shd w:val="clear" w:color="auto" w:fill="F2F2F2"/>
          </w:tcPr>
          <w:p w14:paraId="59C20FDE" w14:textId="77777777" w:rsidR="00282B13" w:rsidRDefault="00C662AE">
            <w:pPr>
              <w:pStyle w:val="Body"/>
              <w:spacing w:after="0"/>
              <w:rPr>
                <w:rFonts w:ascii="Arial" w:eastAsia="Calibri" w:hAnsi="Arial" w:cs="Arial"/>
                <w:szCs w:val="22"/>
              </w:rPr>
            </w:pPr>
            <w:r>
              <w:rPr>
                <w:rFonts w:ascii="Arial" w:eastAsia="Calibri" w:hAnsi="Arial" w:cs="Arial"/>
                <w:szCs w:val="22"/>
              </w:rPr>
              <w:t>This systematic review aims to address several questions examining the consequences of career mismatch at the individual level, particularly on psychological distress and other psychological distress among pr</w:t>
            </w:r>
            <w:r>
              <w:rPr>
                <w:rFonts w:ascii="Arial" w:eastAsia="Calibri" w:hAnsi="Arial" w:cs="Arial"/>
                <w:szCs w:val="22"/>
              </w:rPr>
              <w:t>ofessionals. This study utilized the Preferred Reporting Items for Systematic Review and Meta-Analysis (PRISMA), where relevant studies were synthesized to explore how career mismatch influences professionals. The following eligibility criteria were employ</w:t>
            </w:r>
            <w:r>
              <w:rPr>
                <w:rFonts w:ascii="Arial" w:eastAsia="Calibri" w:hAnsi="Arial" w:cs="Arial"/>
                <w:szCs w:val="22"/>
              </w:rPr>
              <w:t>ed: (1) studies about professionals experiencing mismatch, (2) studies discussing the vertical and horizontal mismatch, and (3) 2015 to 2025 studies written in English. Out of the 30 studies assessed for review, only 10 were eligible to be included. Findin</w:t>
            </w:r>
            <w:r>
              <w:rPr>
                <w:rFonts w:ascii="Arial" w:eastAsia="Calibri" w:hAnsi="Arial" w:cs="Arial"/>
                <w:szCs w:val="22"/>
              </w:rPr>
              <w:t xml:space="preserve">gs in this review revealed that career mismatch and psychological distress are indeed linked together. This review also indicates the presence of other psychological effects brought by career mismatch, such as resilience and job attitudes. Lastly, results </w:t>
            </w:r>
            <w:r>
              <w:rPr>
                <w:rFonts w:ascii="Arial" w:eastAsia="Calibri" w:hAnsi="Arial" w:cs="Arial"/>
                <w:szCs w:val="22"/>
              </w:rPr>
              <w:t>show that a professional’s desire to work in a well-matched career is influenced by the extent to which they are satisfied with their current mismatched careers. Overall, the review reinforces the need for further research on the psychological aspects of c</w:t>
            </w:r>
            <w:r>
              <w:rPr>
                <w:rFonts w:ascii="Arial" w:eastAsia="Calibri" w:hAnsi="Arial" w:cs="Arial"/>
                <w:szCs w:val="22"/>
              </w:rPr>
              <w:t>areer mismatch and highlights implications for organizational support, mental health care providers, and future researchers.</w:t>
            </w:r>
          </w:p>
        </w:tc>
      </w:tr>
    </w:tbl>
    <w:p w14:paraId="4703C932" w14:textId="77777777" w:rsidR="00282B13" w:rsidRDefault="00282B13">
      <w:pPr>
        <w:pStyle w:val="Body"/>
        <w:spacing w:after="0"/>
        <w:rPr>
          <w:rFonts w:ascii="Arial" w:hAnsi="Arial" w:cs="Arial"/>
          <w:i/>
        </w:rPr>
      </w:pPr>
    </w:p>
    <w:p w14:paraId="774A6BB0" w14:textId="77777777" w:rsidR="00282B13" w:rsidRDefault="00C662AE">
      <w:pPr>
        <w:pStyle w:val="Body"/>
        <w:spacing w:after="0"/>
        <w:rPr>
          <w:rFonts w:ascii="Arial" w:hAnsi="Arial" w:cs="Arial"/>
          <w:i/>
        </w:rPr>
      </w:pPr>
      <w:r>
        <w:rPr>
          <w:rFonts w:ascii="Arial" w:hAnsi="Arial" w:cs="Arial"/>
          <w:i/>
        </w:rPr>
        <w:t>Keywords: Career mismatch, horizontal mismatch, vertical mismatch, psychological distress, psychological effects.</w:t>
      </w:r>
    </w:p>
    <w:p w14:paraId="7D1227AF" w14:textId="77777777" w:rsidR="00282B13" w:rsidRDefault="00282B13">
      <w:pPr>
        <w:pStyle w:val="Body"/>
        <w:spacing w:after="0"/>
        <w:rPr>
          <w:rFonts w:ascii="Arial" w:hAnsi="Arial" w:cs="Arial"/>
          <w:i/>
        </w:rPr>
      </w:pPr>
    </w:p>
    <w:p w14:paraId="3C896261" w14:textId="77777777" w:rsidR="00282B13" w:rsidRDefault="00C662AE">
      <w:pPr>
        <w:pStyle w:val="AbstHead"/>
        <w:spacing w:after="0"/>
        <w:jc w:val="both"/>
        <w:rPr>
          <w:rFonts w:ascii="Arial" w:hAnsi="Arial" w:cs="Arial"/>
        </w:rPr>
      </w:pPr>
      <w:r>
        <w:rPr>
          <w:rFonts w:ascii="Arial" w:hAnsi="Arial" w:cs="Arial"/>
        </w:rPr>
        <w:t xml:space="preserve">1. INTRODUCTION </w:t>
      </w:r>
      <w:bookmarkStart w:id="1" w:name="_GoBack"/>
      <w:bookmarkEnd w:id="1"/>
    </w:p>
    <w:p w14:paraId="7D8FFC2D" w14:textId="77777777" w:rsidR="00282B13" w:rsidRDefault="00282B13">
      <w:pPr>
        <w:pStyle w:val="AbstHead"/>
        <w:spacing w:after="0"/>
        <w:jc w:val="both"/>
        <w:rPr>
          <w:rFonts w:ascii="Arial" w:hAnsi="Arial" w:cs="Arial"/>
        </w:rPr>
      </w:pPr>
    </w:p>
    <w:p w14:paraId="17CA3B7E" w14:textId="77777777" w:rsidR="00282B13" w:rsidRDefault="00C662AE">
      <w:pPr>
        <w:pStyle w:val="Body"/>
        <w:spacing w:after="0"/>
        <w:rPr>
          <w:rFonts w:ascii="Arial" w:hAnsi="Arial" w:cs="Arial"/>
        </w:rPr>
      </w:pPr>
      <w:r>
        <w:rPr>
          <w:rFonts w:ascii="Arial" w:hAnsi="Arial" w:cs="Arial"/>
        </w:rPr>
        <w:t xml:space="preserve">The mismatch between an employee’s educational background, skills, and their jobs has been increasingly observed in the labor market, a phenomenon known as career or job mismatch. </w:t>
      </w:r>
      <w:proofErr w:type="spellStart"/>
      <w:r>
        <w:rPr>
          <w:rFonts w:ascii="Arial" w:hAnsi="Arial" w:cs="Arial"/>
        </w:rPr>
        <w:t>Velciu</w:t>
      </w:r>
      <w:proofErr w:type="spellEnd"/>
      <w:r>
        <w:rPr>
          <w:rFonts w:ascii="Arial" w:hAnsi="Arial" w:cs="Arial"/>
        </w:rPr>
        <w:t xml:space="preserve"> (2017) defined mismatch as a situation in which the</w:t>
      </w:r>
      <w:r>
        <w:rPr>
          <w:rFonts w:ascii="Arial" w:hAnsi="Arial" w:cs="Arial"/>
        </w:rPr>
        <w:t>re is an imbalance between an employee’s characteristics and their job requirements and responsibilities.</w:t>
      </w:r>
    </w:p>
    <w:p w14:paraId="44590F0A" w14:textId="77777777" w:rsidR="00282B13" w:rsidRDefault="00282B13">
      <w:pPr>
        <w:pStyle w:val="Body"/>
        <w:spacing w:after="0"/>
        <w:rPr>
          <w:rFonts w:ascii="Arial" w:hAnsi="Arial" w:cs="Arial"/>
        </w:rPr>
      </w:pPr>
    </w:p>
    <w:p w14:paraId="27A2CA4D" w14:textId="77777777" w:rsidR="00282B13" w:rsidRDefault="00C662AE">
      <w:pPr>
        <w:pStyle w:val="Body"/>
        <w:spacing w:after="0"/>
        <w:rPr>
          <w:rFonts w:ascii="Arial" w:hAnsi="Arial" w:cs="Arial"/>
        </w:rPr>
      </w:pPr>
      <w:r>
        <w:rPr>
          <w:rFonts w:ascii="Arial" w:hAnsi="Arial" w:cs="Arial"/>
        </w:rPr>
        <w:t xml:space="preserve">Mismatch is commonly characterized as vertical or horizontal. Vertical mismatch is when there is an inadequacy of skills, competencies, or education </w:t>
      </w:r>
      <w:r>
        <w:rPr>
          <w:rFonts w:ascii="Arial" w:hAnsi="Arial" w:cs="Arial"/>
        </w:rPr>
        <w:t>(</w:t>
      </w:r>
      <w:proofErr w:type="spellStart"/>
      <w:r>
        <w:rPr>
          <w:rFonts w:ascii="Arial" w:hAnsi="Arial" w:cs="Arial"/>
        </w:rPr>
        <w:t>Velciu</w:t>
      </w:r>
      <w:proofErr w:type="spellEnd"/>
      <w:r>
        <w:rPr>
          <w:rFonts w:ascii="Arial" w:hAnsi="Arial" w:cs="Arial"/>
        </w:rPr>
        <w:t>, 2017). In other words, this type of mismatch arises when an employee is either overqualified or underqualified for their job, although their educational or training background matches their career, as explained by Hirao (2024). On the contrary, ho</w:t>
      </w:r>
      <w:r>
        <w:rPr>
          <w:rFonts w:ascii="Arial" w:hAnsi="Arial" w:cs="Arial"/>
        </w:rPr>
        <w:t>rizontal mismatch is when an employee’s educational background completely differs from their actual work. Hirao (2024) also defined this type of mismatch as a situation of an appropriate academic level, but an inappropriate field of qualification.</w:t>
      </w:r>
    </w:p>
    <w:p w14:paraId="2B37B362" w14:textId="77777777" w:rsidR="00282B13" w:rsidRDefault="00282B13">
      <w:pPr>
        <w:pStyle w:val="Body"/>
        <w:spacing w:after="0"/>
        <w:rPr>
          <w:rFonts w:ascii="Arial" w:hAnsi="Arial" w:cs="Arial"/>
        </w:rPr>
      </w:pPr>
    </w:p>
    <w:p w14:paraId="12E96E0D" w14:textId="77777777" w:rsidR="00282B13" w:rsidRDefault="00C662AE">
      <w:pPr>
        <w:pStyle w:val="Body"/>
        <w:spacing w:after="0"/>
        <w:rPr>
          <w:rFonts w:ascii="Arial" w:hAnsi="Arial" w:cs="Arial"/>
        </w:rPr>
      </w:pPr>
      <w:r>
        <w:rPr>
          <w:rFonts w:ascii="Arial" w:hAnsi="Arial" w:cs="Arial"/>
        </w:rPr>
        <w:t>Kim and</w:t>
      </w:r>
      <w:r>
        <w:rPr>
          <w:rFonts w:ascii="Arial" w:hAnsi="Arial" w:cs="Arial"/>
        </w:rPr>
        <w:t xml:space="preserve"> Choi (2018) recognize this mismatch as a potential threat, stating that the demand for talented human capital has continued to rise as the accumulation and application of professional knowledge becomes a core competency among individuals. With this, profe</w:t>
      </w:r>
      <w:r>
        <w:rPr>
          <w:rFonts w:ascii="Arial" w:hAnsi="Arial" w:cs="Arial"/>
        </w:rPr>
        <w:t>ssionals often find themselves employed in careers not aligned with their education or training backgrounds. Another threat brought by mismatch, as highlighted by Somers et al. (2018), is that there is a skill shortage among employees because, they chose t</w:t>
      </w:r>
      <w:r>
        <w:rPr>
          <w:rFonts w:ascii="Arial" w:hAnsi="Arial" w:cs="Arial"/>
        </w:rPr>
        <w:t>o study courses that do not reflect the current labor demands.</w:t>
      </w:r>
    </w:p>
    <w:p w14:paraId="202FAC16" w14:textId="77777777" w:rsidR="00282B13" w:rsidRDefault="00282B13">
      <w:pPr>
        <w:pStyle w:val="Body"/>
        <w:spacing w:after="0"/>
        <w:rPr>
          <w:rFonts w:ascii="Arial" w:hAnsi="Arial" w:cs="Arial"/>
        </w:rPr>
      </w:pPr>
    </w:p>
    <w:p w14:paraId="5FE986C8" w14:textId="77777777" w:rsidR="00282B13" w:rsidRDefault="00C662AE">
      <w:pPr>
        <w:pStyle w:val="Body"/>
        <w:spacing w:after="0"/>
        <w:rPr>
          <w:rFonts w:ascii="Arial" w:hAnsi="Arial" w:cs="Arial"/>
        </w:rPr>
      </w:pPr>
      <w:r>
        <w:rPr>
          <w:rFonts w:ascii="Arial" w:hAnsi="Arial" w:cs="Arial"/>
        </w:rPr>
        <w:t>Looking into the Philippine context, vertical mismatch is evident as Angelo (2024) reported that 30% of employed Filipinos are overqualified for their jobs, while 29% lack the necessary qualif</w:t>
      </w:r>
      <w:r>
        <w:rPr>
          <w:rFonts w:ascii="Arial" w:hAnsi="Arial" w:cs="Arial"/>
        </w:rPr>
        <w:t>ications, hence considered as underqualified for their current roles. This is also observed in the result of Melchor’s (2022) study, where among the employees that participated in the survey, 38% to 39% were considered as overeducated for the level of jobs</w:t>
      </w:r>
      <w:r>
        <w:rPr>
          <w:rFonts w:ascii="Arial" w:hAnsi="Arial" w:cs="Arial"/>
        </w:rPr>
        <w:t xml:space="preserve"> they are doing.</w:t>
      </w:r>
    </w:p>
    <w:p w14:paraId="1CE488BD" w14:textId="77777777" w:rsidR="00282B13" w:rsidRDefault="00282B13">
      <w:pPr>
        <w:pStyle w:val="Body"/>
        <w:spacing w:after="0"/>
        <w:rPr>
          <w:rFonts w:ascii="Arial" w:hAnsi="Arial" w:cs="Arial"/>
        </w:rPr>
      </w:pPr>
    </w:p>
    <w:p w14:paraId="065E8B96" w14:textId="77777777" w:rsidR="00282B13" w:rsidRDefault="00C662AE">
      <w:pPr>
        <w:pStyle w:val="Body"/>
        <w:spacing w:after="0"/>
        <w:rPr>
          <w:rFonts w:ascii="Arial" w:hAnsi="Arial" w:cs="Arial"/>
        </w:rPr>
      </w:pPr>
      <w:r>
        <w:rPr>
          <w:rFonts w:ascii="Arial" w:hAnsi="Arial" w:cs="Arial"/>
        </w:rPr>
        <w:t xml:space="preserve">The presence of career mismatch is not only unique to the Philippines. Job mismatch has been globally recognized as an issue with economic and psychological implications. </w:t>
      </w:r>
      <w:proofErr w:type="spellStart"/>
      <w:r>
        <w:rPr>
          <w:rFonts w:ascii="Arial" w:hAnsi="Arial" w:cs="Arial"/>
        </w:rPr>
        <w:t>Velciu</w:t>
      </w:r>
      <w:proofErr w:type="spellEnd"/>
      <w:r>
        <w:rPr>
          <w:rFonts w:ascii="Arial" w:hAnsi="Arial" w:cs="Arial"/>
        </w:rPr>
        <w:t xml:space="preserve"> (2017) emphasized that a mismatch can significantly affect p</w:t>
      </w:r>
      <w:r>
        <w:rPr>
          <w:rFonts w:ascii="Arial" w:hAnsi="Arial" w:cs="Arial"/>
        </w:rPr>
        <w:t>roductivity when employees’ qualifications do not align with their job requirements. Similarly, Hirao (2024) found that a horizontal mismatch in Japan, where individuals work in fields unrelated to their academic training, results in inefficiencies that ex</w:t>
      </w:r>
      <w:r>
        <w:rPr>
          <w:rFonts w:ascii="Arial" w:hAnsi="Arial" w:cs="Arial"/>
        </w:rPr>
        <w:t>tend beyond the individual worker and affect the overall performance of organizations. These findings demonstrate that mismatch is indeed a global concern.</w:t>
      </w:r>
    </w:p>
    <w:p w14:paraId="741DB38F" w14:textId="77777777" w:rsidR="00282B13" w:rsidRDefault="00282B13">
      <w:pPr>
        <w:pStyle w:val="Body"/>
        <w:spacing w:after="0"/>
        <w:rPr>
          <w:rFonts w:ascii="Arial" w:hAnsi="Arial" w:cs="Arial"/>
        </w:rPr>
      </w:pPr>
    </w:p>
    <w:p w14:paraId="327E6C63" w14:textId="77777777" w:rsidR="00282B13" w:rsidRDefault="00C662AE">
      <w:pPr>
        <w:pStyle w:val="Body"/>
        <w:spacing w:after="0"/>
        <w:rPr>
          <w:rFonts w:ascii="Arial" w:hAnsi="Arial" w:cs="Arial"/>
        </w:rPr>
      </w:pPr>
      <w:r>
        <w:rPr>
          <w:rFonts w:ascii="Arial" w:hAnsi="Arial" w:cs="Arial"/>
        </w:rPr>
        <w:t>In psychology, there is a term called psychological distress, which is a state of emotional sufferi</w:t>
      </w:r>
      <w:r>
        <w:rPr>
          <w:rFonts w:ascii="Arial" w:hAnsi="Arial" w:cs="Arial"/>
        </w:rPr>
        <w:t>ng characterized by symptoms of depression and anxiety (</w:t>
      </w:r>
      <w:proofErr w:type="spellStart"/>
      <w:r>
        <w:rPr>
          <w:rFonts w:ascii="Arial" w:hAnsi="Arial" w:cs="Arial"/>
        </w:rPr>
        <w:t>Condinata</w:t>
      </w:r>
      <w:proofErr w:type="spellEnd"/>
      <w:r>
        <w:rPr>
          <w:rFonts w:ascii="Arial" w:hAnsi="Arial" w:cs="Arial"/>
        </w:rPr>
        <w:t xml:space="preserve">, </w:t>
      </w:r>
      <w:proofErr w:type="spellStart"/>
      <w:r>
        <w:rPr>
          <w:rFonts w:ascii="Arial" w:hAnsi="Arial" w:cs="Arial"/>
        </w:rPr>
        <w:t>Satiadarma</w:t>
      </w:r>
      <w:proofErr w:type="spellEnd"/>
      <w:r>
        <w:rPr>
          <w:rFonts w:ascii="Arial" w:hAnsi="Arial" w:cs="Arial"/>
        </w:rPr>
        <w:t xml:space="preserve">, and </w:t>
      </w:r>
      <w:proofErr w:type="spellStart"/>
      <w:r>
        <w:rPr>
          <w:rFonts w:ascii="Arial" w:hAnsi="Arial" w:cs="Arial"/>
        </w:rPr>
        <w:t>Suyasa</w:t>
      </w:r>
      <w:proofErr w:type="spellEnd"/>
      <w:r>
        <w:rPr>
          <w:rFonts w:ascii="Arial" w:hAnsi="Arial" w:cs="Arial"/>
        </w:rPr>
        <w:t xml:space="preserve">, 2021). Similarly, </w:t>
      </w:r>
      <w:proofErr w:type="spellStart"/>
      <w:r>
        <w:rPr>
          <w:rFonts w:ascii="Arial" w:hAnsi="Arial" w:cs="Arial"/>
        </w:rPr>
        <w:t>Viertiö</w:t>
      </w:r>
      <w:proofErr w:type="spellEnd"/>
      <w:r>
        <w:rPr>
          <w:rFonts w:ascii="Arial" w:hAnsi="Arial" w:cs="Arial"/>
        </w:rPr>
        <w:t xml:space="preserve"> et al. (2021) defined psychological distress as the nonspecific symptoms of stress, anxiety, and depression, and that high levels of it may</w:t>
      </w:r>
      <w:r>
        <w:rPr>
          <w:rFonts w:ascii="Arial" w:hAnsi="Arial" w:cs="Arial"/>
        </w:rPr>
        <w:t xml:space="preserve"> indicate an impairment of one’s mental health. When prolonged, distress can be a hindrance to productivity, motivation, and an employee's overall well-being. Therefore, exploring how career mismatch contributes to psychological distress is crucial in unde</w:t>
      </w:r>
      <w:r>
        <w:rPr>
          <w:rFonts w:ascii="Arial" w:hAnsi="Arial" w:cs="Arial"/>
        </w:rPr>
        <w:t>rstanding the experiences and feelings of professionals who experience a mismatch</w:t>
      </w:r>
    </w:p>
    <w:p w14:paraId="3710DA1F" w14:textId="77777777" w:rsidR="00282B13" w:rsidRDefault="00282B13">
      <w:pPr>
        <w:pStyle w:val="Body"/>
        <w:spacing w:after="0"/>
        <w:rPr>
          <w:rFonts w:ascii="Arial" w:hAnsi="Arial" w:cs="Arial"/>
        </w:rPr>
      </w:pPr>
    </w:p>
    <w:p w14:paraId="1C8CAE08" w14:textId="77777777" w:rsidR="00282B13" w:rsidRDefault="00C662AE">
      <w:pPr>
        <w:pStyle w:val="Body"/>
        <w:spacing w:after="0"/>
        <w:rPr>
          <w:rFonts w:ascii="Arial" w:hAnsi="Arial" w:cs="Arial"/>
          <w:sz w:val="22"/>
        </w:rPr>
      </w:pPr>
      <w:r>
        <w:rPr>
          <w:rFonts w:ascii="Arial" w:hAnsi="Arial" w:cs="Arial"/>
          <w:b/>
          <w:caps/>
          <w:sz w:val="22"/>
        </w:rPr>
        <w:t xml:space="preserve">1.1 </w:t>
      </w:r>
      <w:r>
        <w:rPr>
          <w:rFonts w:ascii="Arial" w:hAnsi="Arial" w:cs="Arial"/>
          <w:b/>
          <w:sz w:val="22"/>
        </w:rPr>
        <w:t>Research Questions</w:t>
      </w:r>
    </w:p>
    <w:p w14:paraId="5BFD296B" w14:textId="77777777" w:rsidR="00282B13" w:rsidRDefault="00282B13">
      <w:pPr>
        <w:pStyle w:val="Body"/>
        <w:spacing w:after="0"/>
        <w:rPr>
          <w:rFonts w:ascii="Arial" w:hAnsi="Arial" w:cs="Arial"/>
        </w:rPr>
      </w:pPr>
    </w:p>
    <w:p w14:paraId="1A2AD6C6" w14:textId="77777777" w:rsidR="00282B13" w:rsidRDefault="00C662AE">
      <w:pPr>
        <w:pStyle w:val="Body"/>
        <w:spacing w:after="0"/>
        <w:rPr>
          <w:rFonts w:ascii="Arial" w:hAnsi="Arial" w:cs="Arial"/>
        </w:rPr>
      </w:pPr>
      <w:r>
        <w:rPr>
          <w:rFonts w:ascii="Arial" w:hAnsi="Arial" w:cs="Arial"/>
        </w:rPr>
        <w:t>This systematic literature review (SLR) seeks to explore how career mismatch may influence psychological distress by answering the following question</w:t>
      </w:r>
      <w:r>
        <w:rPr>
          <w:rFonts w:ascii="Arial" w:hAnsi="Arial" w:cs="Arial"/>
        </w:rPr>
        <w:t>s:</w:t>
      </w:r>
    </w:p>
    <w:p w14:paraId="787E28CB" w14:textId="77777777" w:rsidR="00282B13" w:rsidRDefault="00C662AE">
      <w:pPr>
        <w:pStyle w:val="Body"/>
        <w:numPr>
          <w:ilvl w:val="0"/>
          <w:numId w:val="2"/>
        </w:numPr>
        <w:spacing w:after="0"/>
        <w:rPr>
          <w:rFonts w:ascii="Arial" w:hAnsi="Arial" w:cs="Arial"/>
        </w:rPr>
      </w:pPr>
      <w:r>
        <w:rPr>
          <w:rFonts w:ascii="Arial" w:hAnsi="Arial" w:cs="Arial"/>
        </w:rPr>
        <w:t>What is reported about the link between career mismatch and psychological distress among professionals?</w:t>
      </w:r>
    </w:p>
    <w:p w14:paraId="1AEFDCCC" w14:textId="77777777" w:rsidR="00282B13" w:rsidRDefault="00C662AE">
      <w:pPr>
        <w:pStyle w:val="Body"/>
        <w:numPr>
          <w:ilvl w:val="0"/>
          <w:numId w:val="2"/>
        </w:numPr>
        <w:spacing w:after="0"/>
        <w:rPr>
          <w:rFonts w:ascii="Arial" w:hAnsi="Arial" w:cs="Arial"/>
        </w:rPr>
      </w:pPr>
      <w:r>
        <w:rPr>
          <w:rFonts w:ascii="Arial" w:hAnsi="Arial" w:cs="Arial"/>
        </w:rPr>
        <w:t>What other psychological effects are experienced by professionals due to career mismatch?</w:t>
      </w:r>
    </w:p>
    <w:p w14:paraId="7EF64B0F" w14:textId="77777777" w:rsidR="00282B13" w:rsidRDefault="00C662AE">
      <w:pPr>
        <w:pStyle w:val="Body"/>
        <w:numPr>
          <w:ilvl w:val="0"/>
          <w:numId w:val="2"/>
        </w:numPr>
        <w:spacing w:after="0"/>
        <w:rPr>
          <w:rFonts w:ascii="Arial" w:hAnsi="Arial" w:cs="Arial"/>
        </w:rPr>
      </w:pPr>
      <w:r>
        <w:rPr>
          <w:rFonts w:ascii="Arial" w:hAnsi="Arial" w:cs="Arial"/>
        </w:rPr>
        <w:t xml:space="preserve">What is revealed about the desire of mismatched </w:t>
      </w:r>
      <w:r>
        <w:rPr>
          <w:rFonts w:ascii="Arial" w:hAnsi="Arial" w:cs="Arial"/>
        </w:rPr>
        <w:t>professionals to achieve a well-matched career?</w:t>
      </w:r>
    </w:p>
    <w:p w14:paraId="49AA6D31" w14:textId="77777777" w:rsidR="00282B13" w:rsidRDefault="00282B13">
      <w:pPr>
        <w:pStyle w:val="Body"/>
        <w:spacing w:after="0"/>
        <w:rPr>
          <w:rFonts w:ascii="Arial" w:hAnsi="Arial" w:cs="Arial"/>
        </w:rPr>
      </w:pPr>
    </w:p>
    <w:p w14:paraId="2A2BDCA0" w14:textId="77777777" w:rsidR="00282B13" w:rsidRDefault="00C662AE">
      <w:pPr>
        <w:pStyle w:val="AbstHead"/>
        <w:spacing w:after="0"/>
        <w:jc w:val="both"/>
        <w:rPr>
          <w:rFonts w:ascii="Arial" w:hAnsi="Arial" w:cs="Arial"/>
        </w:rPr>
      </w:pPr>
      <w:r>
        <w:rPr>
          <w:rFonts w:ascii="Arial" w:hAnsi="Arial" w:cs="Arial"/>
        </w:rPr>
        <w:t>2. METHODS</w:t>
      </w:r>
    </w:p>
    <w:p w14:paraId="6FBBA836" w14:textId="77777777" w:rsidR="00282B13" w:rsidRDefault="00282B13">
      <w:pPr>
        <w:pStyle w:val="Body"/>
        <w:spacing w:after="0"/>
        <w:rPr>
          <w:rFonts w:ascii="Arial" w:hAnsi="Arial" w:cs="Arial"/>
          <w:b/>
          <w:caps/>
          <w:sz w:val="22"/>
        </w:rPr>
      </w:pPr>
    </w:p>
    <w:p w14:paraId="0D310167" w14:textId="77777777" w:rsidR="00282B13" w:rsidRDefault="00C662AE">
      <w:pPr>
        <w:pStyle w:val="Body"/>
        <w:spacing w:after="0"/>
        <w:rPr>
          <w:rFonts w:ascii="Arial" w:hAnsi="Arial" w:cs="Arial"/>
        </w:rPr>
      </w:pPr>
      <w:r>
        <w:rPr>
          <w:rFonts w:ascii="Arial" w:hAnsi="Arial" w:cs="Arial"/>
        </w:rPr>
        <w:t>This SLR is conducted in alignment with the Preferred Reporting Items for Systematic reviews and Meta-Analyses (PRISMA) 2020 (Page et al., 2021). The methods section includes the eligibility crit</w:t>
      </w:r>
      <w:r>
        <w:rPr>
          <w:rFonts w:ascii="Arial" w:hAnsi="Arial" w:cs="Arial"/>
        </w:rPr>
        <w:t>eria, screening, and selection of studies to be included in this review to answer the formulated research questions.</w:t>
      </w:r>
    </w:p>
    <w:p w14:paraId="2C0F818B" w14:textId="77777777" w:rsidR="00282B13" w:rsidRDefault="00282B13">
      <w:pPr>
        <w:pStyle w:val="Body"/>
        <w:spacing w:after="0"/>
        <w:rPr>
          <w:rFonts w:ascii="Arial" w:hAnsi="Arial" w:cs="Arial"/>
        </w:rPr>
      </w:pPr>
    </w:p>
    <w:p w14:paraId="69E98304" w14:textId="77777777" w:rsidR="00282B13" w:rsidRDefault="00C662AE">
      <w:pPr>
        <w:pStyle w:val="Body"/>
        <w:spacing w:after="0"/>
        <w:rPr>
          <w:rFonts w:ascii="Arial" w:hAnsi="Arial" w:cs="Arial"/>
          <w:b/>
          <w:sz w:val="22"/>
        </w:rPr>
      </w:pPr>
      <w:r>
        <w:rPr>
          <w:rFonts w:ascii="Arial" w:hAnsi="Arial" w:cs="Arial"/>
          <w:b/>
          <w:caps/>
          <w:sz w:val="22"/>
        </w:rPr>
        <w:t xml:space="preserve">2.1 </w:t>
      </w:r>
      <w:r>
        <w:rPr>
          <w:rFonts w:ascii="Arial" w:hAnsi="Arial" w:cs="Arial"/>
          <w:b/>
          <w:sz w:val="22"/>
        </w:rPr>
        <w:t>Inclusion and Exclusion Criteria</w:t>
      </w:r>
    </w:p>
    <w:p w14:paraId="3E542245" w14:textId="77777777" w:rsidR="00282B13" w:rsidRDefault="00282B13">
      <w:pPr>
        <w:pStyle w:val="Body"/>
        <w:spacing w:after="0"/>
        <w:rPr>
          <w:rFonts w:ascii="Arial" w:hAnsi="Arial" w:cs="Arial"/>
        </w:rPr>
      </w:pPr>
    </w:p>
    <w:p w14:paraId="3CB38789" w14:textId="77777777" w:rsidR="00282B13" w:rsidRDefault="00C662AE">
      <w:pPr>
        <w:pStyle w:val="Body"/>
        <w:spacing w:after="0"/>
        <w:rPr>
          <w:rFonts w:ascii="Arial" w:hAnsi="Arial" w:cs="Arial"/>
        </w:rPr>
      </w:pPr>
      <w:r>
        <w:rPr>
          <w:rFonts w:ascii="Arial" w:hAnsi="Arial" w:cs="Arial"/>
        </w:rPr>
        <w:t xml:space="preserve">Studies were eligible for inclusion in this review if they met the following criteria: (1) studies </w:t>
      </w:r>
      <w:r>
        <w:rPr>
          <w:rFonts w:ascii="Arial" w:hAnsi="Arial" w:cs="Arial"/>
        </w:rPr>
        <w:t>about professionals experiencing mismatch, regardless of their level of education, (2) studies discussing the two types of mismatches, vertical and horizontal, (3) studies written in English, published between 2015 and 2025.</w:t>
      </w:r>
    </w:p>
    <w:p w14:paraId="4E635DC6" w14:textId="77777777" w:rsidR="00282B13" w:rsidRDefault="00282B13">
      <w:pPr>
        <w:pStyle w:val="Body"/>
        <w:spacing w:after="0"/>
        <w:rPr>
          <w:rFonts w:ascii="Arial" w:hAnsi="Arial" w:cs="Arial"/>
        </w:rPr>
      </w:pPr>
    </w:p>
    <w:p w14:paraId="551147F3" w14:textId="77777777" w:rsidR="00282B13" w:rsidRDefault="00C662AE">
      <w:pPr>
        <w:pStyle w:val="Body"/>
        <w:spacing w:after="0"/>
        <w:rPr>
          <w:rFonts w:ascii="Arial" w:hAnsi="Arial" w:cs="Arial"/>
        </w:rPr>
      </w:pPr>
      <w:r>
        <w:rPr>
          <w:rFonts w:ascii="Arial" w:hAnsi="Arial" w:cs="Arial"/>
        </w:rPr>
        <w:t>Studies and other evidence uti</w:t>
      </w:r>
      <w:r>
        <w:rPr>
          <w:rFonts w:ascii="Arial" w:hAnsi="Arial" w:cs="Arial"/>
        </w:rPr>
        <w:t xml:space="preserve">lizing qualitative, quantitative, and mixed-methods approaches were considered as long as they discuss job mismatch. Those that discuss the types of </w:t>
      </w:r>
      <w:r>
        <w:rPr>
          <w:rFonts w:ascii="Arial" w:hAnsi="Arial" w:cs="Arial"/>
        </w:rPr>
        <w:lastRenderedPageBreak/>
        <w:t xml:space="preserve">mismatch other than vertical and horizontal were excluded. Lastly, studies and literature that do not talk </w:t>
      </w:r>
      <w:r>
        <w:rPr>
          <w:rFonts w:ascii="Arial" w:hAnsi="Arial" w:cs="Arial"/>
        </w:rPr>
        <w:t>about the effects of career mismatch at an individual level were also not included.</w:t>
      </w:r>
    </w:p>
    <w:p w14:paraId="13021903" w14:textId="77777777" w:rsidR="00282B13" w:rsidRDefault="00282B13">
      <w:pPr>
        <w:pStyle w:val="Body"/>
        <w:spacing w:after="0"/>
        <w:rPr>
          <w:rFonts w:ascii="Arial" w:hAnsi="Arial" w:cs="Arial"/>
        </w:rPr>
      </w:pPr>
    </w:p>
    <w:p w14:paraId="52863280" w14:textId="77777777" w:rsidR="00282B13" w:rsidRDefault="00C662AE">
      <w:pPr>
        <w:pStyle w:val="Body"/>
        <w:spacing w:after="0"/>
        <w:rPr>
          <w:rFonts w:ascii="Arial" w:hAnsi="Arial" w:cs="Arial"/>
          <w:sz w:val="22"/>
          <w:szCs w:val="22"/>
        </w:rPr>
      </w:pPr>
      <w:r>
        <w:rPr>
          <w:rFonts w:ascii="Arial" w:hAnsi="Arial" w:cs="Arial"/>
          <w:b/>
          <w:sz w:val="22"/>
          <w:szCs w:val="22"/>
        </w:rPr>
        <w:t>2.2 Search Strategy, Screening, and Selection Process</w:t>
      </w:r>
    </w:p>
    <w:p w14:paraId="014C2B00" w14:textId="77777777" w:rsidR="00282B13" w:rsidRDefault="00282B13">
      <w:pPr>
        <w:pStyle w:val="Body"/>
        <w:spacing w:after="0"/>
        <w:rPr>
          <w:rFonts w:ascii="Arial" w:hAnsi="Arial"/>
        </w:rPr>
      </w:pPr>
    </w:p>
    <w:p w14:paraId="621A51F3" w14:textId="77777777" w:rsidR="00282B13" w:rsidRDefault="00C662AE">
      <w:pPr>
        <w:pStyle w:val="Body"/>
        <w:spacing w:after="0"/>
        <w:rPr>
          <w:rFonts w:ascii="Arial" w:hAnsi="Arial"/>
        </w:rPr>
      </w:pPr>
      <w:r>
        <w:rPr>
          <w:rFonts w:ascii="Arial" w:hAnsi="Arial"/>
        </w:rPr>
        <w:t>A systematic snowball search was conducted in Google Scholar, ResearchGate, and EBSCOhost for studies published betw</w:t>
      </w:r>
      <w:r>
        <w:rPr>
          <w:rFonts w:ascii="Arial" w:hAnsi="Arial"/>
        </w:rPr>
        <w:t>een 2015 and 2025, using a combination of the following search terms: “job mismatch psychological effects,” “job mismatch,” “career mismatch,” “horizontal mismatch,” “vertical mismatch,” “job mismatch and effects,” “career mismatch among professionals,” “c</w:t>
      </w:r>
      <w:r>
        <w:rPr>
          <w:rFonts w:ascii="Arial" w:hAnsi="Arial"/>
        </w:rPr>
        <w:t>areer mismatch and psychological effects,” “mismatch and distress,” “effects of mismatch,” and “job mismatch on mental health.”</w:t>
      </w:r>
    </w:p>
    <w:p w14:paraId="26C6C4E7" w14:textId="77777777" w:rsidR="00282B13" w:rsidRDefault="00282B13">
      <w:pPr>
        <w:pStyle w:val="Body"/>
        <w:spacing w:after="0"/>
        <w:rPr>
          <w:rFonts w:ascii="Arial" w:hAnsi="Arial"/>
        </w:rPr>
      </w:pPr>
    </w:p>
    <w:p w14:paraId="327C86E5" w14:textId="77777777" w:rsidR="00282B13" w:rsidRDefault="00C662AE">
      <w:pPr>
        <w:pStyle w:val="Body"/>
        <w:spacing w:after="0"/>
        <w:rPr>
          <w:rFonts w:ascii="Arial" w:hAnsi="Arial"/>
        </w:rPr>
      </w:pPr>
      <w:r>
        <w:rPr>
          <w:rFonts w:ascii="Arial" w:hAnsi="Arial"/>
        </w:rPr>
        <w:t>More specifically, here are some of the Boolean search strings used to look for relevant studies: "career mismatch" OR "job mis</w:t>
      </w:r>
      <w:r>
        <w:rPr>
          <w:rFonts w:ascii="Arial" w:hAnsi="Arial"/>
        </w:rPr>
        <w:t>match" OR "skill mismatch" OR "education-job mismatch" AND "psychological distress" OR "mental health" OR "stress" OR "anxiety" OR "depression" AND “professional” OR “employee”</w:t>
      </w:r>
    </w:p>
    <w:p w14:paraId="6E4FC2C6" w14:textId="77777777" w:rsidR="00282B13" w:rsidRDefault="00282B13">
      <w:pPr>
        <w:pStyle w:val="Body"/>
        <w:spacing w:after="0"/>
        <w:rPr>
          <w:rFonts w:ascii="Arial" w:hAnsi="Arial"/>
        </w:rPr>
      </w:pPr>
    </w:p>
    <w:p w14:paraId="04F01FFE" w14:textId="77777777" w:rsidR="00282B13" w:rsidRDefault="00C662AE">
      <w:pPr>
        <w:pStyle w:val="Body"/>
        <w:spacing w:after="0"/>
        <w:rPr>
          <w:rFonts w:ascii="Arial" w:hAnsi="Arial"/>
        </w:rPr>
      </w:pPr>
      <w:r>
        <w:rPr>
          <w:rFonts w:ascii="Arial" w:hAnsi="Arial"/>
        </w:rPr>
        <w:t xml:space="preserve">Although a large volume of literature came up with the initial searches, only </w:t>
      </w:r>
      <w:r>
        <w:rPr>
          <w:rFonts w:ascii="Arial" w:hAnsi="Arial"/>
        </w:rPr>
        <w:t xml:space="preserve">a few were relevant to the research topic, and duplicates were observed across the different databases. Therefore, the researcher limited the number of studies for screening to 30. Out of the 30 studies, 14 were excluded based on the eligibility criteria, </w:t>
      </w:r>
      <w:r>
        <w:rPr>
          <w:rFonts w:ascii="Arial" w:hAnsi="Arial"/>
        </w:rPr>
        <w:t>four could not be retrieved, and two were excluded after further assessment of their eligibility, resulting in 10 studies being included in the review. Among the 10 studies, three were found in EBSCOhost, six from Google Scholar, and one from ResearchGate.</w:t>
      </w:r>
    </w:p>
    <w:p w14:paraId="0B0802B5" w14:textId="77777777" w:rsidR="00282B13" w:rsidRDefault="00282B13">
      <w:pPr>
        <w:pStyle w:val="Body"/>
        <w:spacing w:after="0"/>
      </w:pPr>
    </w:p>
    <w:p w14:paraId="4D5C8C68" w14:textId="77777777" w:rsidR="00282B13" w:rsidRDefault="00C662AE">
      <w:pPr>
        <w:pStyle w:val="Body"/>
        <w:spacing w:after="0"/>
        <w:jc w:val="center"/>
      </w:pPr>
      <w:r>
        <w:rPr>
          <w:noProof/>
        </w:rPr>
        <w:drawing>
          <wp:inline distT="114300" distB="114300" distL="114300" distR="114300" wp14:anchorId="0E045976" wp14:editId="57E8BD7C">
            <wp:extent cx="3190240" cy="3568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9"/>
                    <a:srcRect t="1009" r="-420" b="2923"/>
                    <a:stretch>
                      <a:fillRect/>
                    </a:stretch>
                  </pic:blipFill>
                  <pic:spPr>
                    <a:xfrm>
                      <a:off x="0" y="0"/>
                      <a:ext cx="3190240" cy="3568700"/>
                    </a:xfrm>
                    <a:prstGeom prst="rect">
                      <a:avLst/>
                    </a:prstGeom>
                    <a:ln w="12700">
                      <a:solidFill>
                        <a:srgbClr val="000000"/>
                      </a:solidFill>
                      <a:prstDash val="solid"/>
                    </a:ln>
                  </pic:spPr>
                </pic:pic>
              </a:graphicData>
            </a:graphic>
          </wp:inline>
        </w:drawing>
      </w:r>
    </w:p>
    <w:p w14:paraId="72834386" w14:textId="77777777" w:rsidR="00282B13" w:rsidRDefault="00C662AE">
      <w:pPr>
        <w:pStyle w:val="Body"/>
        <w:spacing w:after="0"/>
        <w:jc w:val="left"/>
        <w:rPr>
          <w:rFonts w:ascii="Arial" w:hAnsi="Arial"/>
          <w:lang w:val="en-PH"/>
        </w:rPr>
      </w:pPr>
      <w:r>
        <w:rPr>
          <w:rFonts w:ascii="Arial" w:hAnsi="Arial"/>
          <w:b/>
          <w:bCs/>
          <w:lang w:val="en-PH"/>
        </w:rPr>
        <w:t xml:space="preserve">Figure 1. </w:t>
      </w:r>
      <w:r>
        <w:rPr>
          <w:rFonts w:ascii="Arial" w:hAnsi="Arial"/>
          <w:lang w:val="en-PH"/>
        </w:rPr>
        <w:t>The selection process.</w:t>
      </w:r>
    </w:p>
    <w:p w14:paraId="30C27267" w14:textId="77777777" w:rsidR="00282B13" w:rsidRDefault="00282B13">
      <w:pPr>
        <w:pStyle w:val="Body"/>
        <w:spacing w:after="0"/>
        <w:jc w:val="left"/>
        <w:rPr>
          <w:rFonts w:ascii="Arial" w:hAnsi="Arial"/>
          <w:b/>
          <w:bCs/>
          <w:lang w:val="en-PH"/>
        </w:rPr>
      </w:pPr>
    </w:p>
    <w:p w14:paraId="2EABA3AC" w14:textId="77777777" w:rsidR="00282B13" w:rsidRDefault="00C662AE">
      <w:pPr>
        <w:pStyle w:val="Body"/>
        <w:spacing w:after="0"/>
        <w:jc w:val="left"/>
        <w:rPr>
          <w:rFonts w:ascii="Arial" w:hAnsi="Arial"/>
          <w:b/>
          <w:bCs/>
          <w:lang w:val="en-PH"/>
        </w:rPr>
      </w:pPr>
      <w:r>
        <w:rPr>
          <w:rFonts w:ascii="Arial" w:hAnsi="Arial"/>
          <w:b/>
          <w:bCs/>
          <w:lang w:val="en-PH"/>
        </w:rPr>
        <w:t>Table 1. List of three articles from EBSCOhost published between 2015 and 2025.</w:t>
      </w:r>
    </w:p>
    <w:p w14:paraId="09B2D78D" w14:textId="77777777" w:rsidR="00282B13" w:rsidRDefault="00282B13">
      <w:pPr>
        <w:pStyle w:val="Body"/>
        <w:spacing w:after="0"/>
        <w:jc w:val="left"/>
        <w:rPr>
          <w:rFonts w:ascii="Arial" w:hAnsi="Arial"/>
          <w:b/>
          <w:bCs/>
          <w:lang w:val="en-PH"/>
        </w:rPr>
      </w:pPr>
    </w:p>
    <w:tbl>
      <w:tblPr>
        <w:tblW w:w="8422"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70"/>
        <w:gridCol w:w="4580"/>
        <w:gridCol w:w="922"/>
        <w:gridCol w:w="1550"/>
      </w:tblGrid>
      <w:tr w:rsidR="00282B13" w14:paraId="74AB0990" w14:textId="77777777">
        <w:trPr>
          <w:jc w:val="center"/>
        </w:trPr>
        <w:tc>
          <w:tcPr>
            <w:tcW w:w="1370" w:type="dxa"/>
            <w:tcBorders>
              <w:bottom w:val="single" w:sz="4" w:space="0" w:color="auto"/>
            </w:tcBorders>
          </w:tcPr>
          <w:p w14:paraId="2D03FC70" w14:textId="77777777" w:rsidR="00282B13" w:rsidRDefault="00C662AE">
            <w:pPr>
              <w:jc w:val="both"/>
              <w:rPr>
                <w:rFonts w:ascii="Arial" w:hAnsi="Arial"/>
                <w:b/>
                <w:bCs/>
              </w:rPr>
            </w:pPr>
            <w:r>
              <w:rPr>
                <w:rFonts w:ascii="Arial" w:hAnsi="Arial"/>
                <w:b/>
                <w:bCs/>
              </w:rPr>
              <w:lastRenderedPageBreak/>
              <w:t>Author/s</w:t>
            </w:r>
          </w:p>
        </w:tc>
        <w:tc>
          <w:tcPr>
            <w:tcW w:w="4580" w:type="dxa"/>
            <w:tcBorders>
              <w:bottom w:val="single" w:sz="4" w:space="0" w:color="auto"/>
            </w:tcBorders>
          </w:tcPr>
          <w:p w14:paraId="0CF821B8" w14:textId="77777777" w:rsidR="00282B13" w:rsidRDefault="00C662AE">
            <w:pPr>
              <w:jc w:val="both"/>
              <w:rPr>
                <w:rFonts w:ascii="Arial" w:hAnsi="Arial"/>
                <w:b/>
                <w:bCs/>
                <w:lang w:val="en-PH"/>
              </w:rPr>
            </w:pPr>
            <w:r>
              <w:rPr>
                <w:rFonts w:ascii="Arial" w:hAnsi="Arial"/>
                <w:b/>
                <w:bCs/>
                <w:lang w:val="en-PH"/>
              </w:rPr>
              <w:t>Article Title</w:t>
            </w:r>
          </w:p>
        </w:tc>
        <w:tc>
          <w:tcPr>
            <w:tcW w:w="922" w:type="dxa"/>
            <w:tcBorders>
              <w:bottom w:val="single" w:sz="4" w:space="0" w:color="auto"/>
            </w:tcBorders>
          </w:tcPr>
          <w:p w14:paraId="263238D5" w14:textId="77777777" w:rsidR="00282B13" w:rsidRDefault="00C662AE">
            <w:pPr>
              <w:jc w:val="both"/>
              <w:rPr>
                <w:rFonts w:ascii="Arial" w:hAnsi="Arial"/>
                <w:b/>
                <w:bCs/>
                <w:lang w:val="en-PH"/>
              </w:rPr>
            </w:pPr>
            <w:r>
              <w:rPr>
                <w:rFonts w:ascii="Arial" w:hAnsi="Arial"/>
                <w:b/>
                <w:bCs/>
                <w:lang w:val="en-PH"/>
              </w:rPr>
              <w:t>Year</w:t>
            </w:r>
          </w:p>
        </w:tc>
        <w:tc>
          <w:tcPr>
            <w:tcW w:w="1550" w:type="dxa"/>
            <w:tcBorders>
              <w:bottom w:val="single" w:sz="4" w:space="0" w:color="auto"/>
            </w:tcBorders>
          </w:tcPr>
          <w:p w14:paraId="6FBB0490" w14:textId="77777777" w:rsidR="00282B13" w:rsidRDefault="00C662AE">
            <w:pPr>
              <w:jc w:val="both"/>
              <w:rPr>
                <w:rFonts w:ascii="Arial" w:hAnsi="Arial"/>
                <w:b/>
                <w:bCs/>
                <w:lang w:val="en-PH"/>
              </w:rPr>
            </w:pPr>
            <w:r>
              <w:rPr>
                <w:rFonts w:ascii="Arial" w:hAnsi="Arial"/>
                <w:b/>
                <w:bCs/>
                <w:lang w:val="en-PH"/>
              </w:rPr>
              <w:t>Journal/ Publication</w:t>
            </w:r>
          </w:p>
        </w:tc>
      </w:tr>
      <w:tr w:rsidR="00282B13" w14:paraId="2E2FB993" w14:textId="77777777">
        <w:trPr>
          <w:jc w:val="center"/>
        </w:trPr>
        <w:tc>
          <w:tcPr>
            <w:tcW w:w="1370" w:type="dxa"/>
            <w:tcBorders>
              <w:top w:val="nil"/>
              <w:bottom w:val="single" w:sz="4" w:space="0" w:color="auto"/>
            </w:tcBorders>
          </w:tcPr>
          <w:p w14:paraId="609ABFE3" w14:textId="77777777" w:rsidR="00282B13" w:rsidRDefault="00C662AE">
            <w:pPr>
              <w:jc w:val="both"/>
              <w:rPr>
                <w:rFonts w:ascii="Arial" w:hAnsi="Arial" w:cs="Arial"/>
                <w:lang w:val="en-PH"/>
              </w:rPr>
            </w:pPr>
            <w:r>
              <w:rPr>
                <w:rFonts w:ascii="Arial" w:hAnsi="Arial" w:cs="Arial"/>
                <w:lang w:val="en-PH"/>
              </w:rPr>
              <w:t>Kim and Choi</w:t>
            </w:r>
          </w:p>
        </w:tc>
        <w:tc>
          <w:tcPr>
            <w:tcW w:w="4580" w:type="dxa"/>
            <w:tcBorders>
              <w:top w:val="nil"/>
              <w:bottom w:val="single" w:sz="4" w:space="0" w:color="auto"/>
            </w:tcBorders>
          </w:tcPr>
          <w:p w14:paraId="2BC05AEE" w14:textId="77777777" w:rsidR="00282B13" w:rsidRDefault="00C662AE">
            <w:pPr>
              <w:jc w:val="both"/>
              <w:rPr>
                <w:rFonts w:ascii="Arial" w:hAnsi="Arial" w:cs="Arial"/>
              </w:rPr>
            </w:pPr>
            <w:r>
              <w:rPr>
                <w:rFonts w:ascii="Arial" w:hAnsi="Arial"/>
              </w:rPr>
              <w:t>The effects of job mismatch on pay, job satisfaction, and performance</w:t>
            </w:r>
          </w:p>
        </w:tc>
        <w:tc>
          <w:tcPr>
            <w:tcW w:w="922" w:type="dxa"/>
            <w:tcBorders>
              <w:top w:val="nil"/>
              <w:bottom w:val="single" w:sz="4" w:space="0" w:color="auto"/>
            </w:tcBorders>
          </w:tcPr>
          <w:p w14:paraId="0D6D32C8" w14:textId="77777777" w:rsidR="00282B13" w:rsidRDefault="00C662AE">
            <w:pPr>
              <w:jc w:val="both"/>
              <w:rPr>
                <w:rFonts w:ascii="Arial" w:hAnsi="Arial" w:cs="Arial"/>
                <w:lang w:val="en-PH"/>
              </w:rPr>
            </w:pPr>
            <w:r>
              <w:rPr>
                <w:rFonts w:ascii="Arial" w:hAnsi="Arial" w:cs="Arial"/>
                <w:lang w:val="en-PH"/>
              </w:rPr>
              <w:t>2018</w:t>
            </w:r>
          </w:p>
        </w:tc>
        <w:tc>
          <w:tcPr>
            <w:tcW w:w="1550" w:type="dxa"/>
            <w:tcBorders>
              <w:top w:val="nil"/>
              <w:bottom w:val="single" w:sz="4" w:space="0" w:color="auto"/>
            </w:tcBorders>
          </w:tcPr>
          <w:p w14:paraId="3141DFB9" w14:textId="77777777" w:rsidR="00282B13" w:rsidRDefault="00C662AE">
            <w:pPr>
              <w:jc w:val="both"/>
              <w:rPr>
                <w:rFonts w:ascii="Arial" w:hAnsi="Arial"/>
              </w:rPr>
            </w:pPr>
            <w:r>
              <w:rPr>
                <w:rFonts w:ascii="Arial" w:hAnsi="Arial"/>
              </w:rPr>
              <w:t>Journal of Open Innovation Technology Market and Complexity</w:t>
            </w:r>
          </w:p>
          <w:p w14:paraId="47309778" w14:textId="77777777" w:rsidR="00282B13" w:rsidRDefault="00C662AE">
            <w:pPr>
              <w:jc w:val="both"/>
              <w:rPr>
                <w:rFonts w:ascii="Arial" w:hAnsi="Arial"/>
                <w:lang w:val="en-PH"/>
              </w:rPr>
            </w:pPr>
            <w:hyperlink r:id="rId10" w:history="1">
              <w:r>
                <w:rPr>
                  <w:rStyle w:val="Hyperlink"/>
                  <w:rFonts w:ascii="Arial" w:hAnsi="Arial"/>
                  <w:u w:val="none"/>
                </w:rPr>
                <w:t>https://doi.org/10.3390/joitmc4040049</w:t>
              </w:r>
            </w:hyperlink>
            <w:r>
              <w:rPr>
                <w:rFonts w:ascii="Arial" w:hAnsi="Arial"/>
                <w:lang w:val="en-PH"/>
              </w:rPr>
              <w:t xml:space="preserve"> </w:t>
            </w:r>
          </w:p>
        </w:tc>
      </w:tr>
      <w:tr w:rsidR="00282B13" w14:paraId="36B05622" w14:textId="77777777">
        <w:trPr>
          <w:jc w:val="center"/>
        </w:trPr>
        <w:tc>
          <w:tcPr>
            <w:tcW w:w="1370" w:type="dxa"/>
            <w:tcBorders>
              <w:top w:val="single" w:sz="4" w:space="0" w:color="auto"/>
              <w:bottom w:val="single" w:sz="4" w:space="0" w:color="auto"/>
            </w:tcBorders>
          </w:tcPr>
          <w:p w14:paraId="77EF1437" w14:textId="77777777" w:rsidR="00282B13" w:rsidRDefault="00C662AE">
            <w:pPr>
              <w:jc w:val="both"/>
              <w:rPr>
                <w:rFonts w:ascii="Arial" w:hAnsi="Arial"/>
              </w:rPr>
            </w:pPr>
            <w:proofErr w:type="spellStart"/>
            <w:r>
              <w:rPr>
                <w:rFonts w:ascii="Arial" w:hAnsi="Arial"/>
              </w:rPr>
              <w:t>Wardani</w:t>
            </w:r>
            <w:proofErr w:type="spellEnd"/>
            <w:r>
              <w:rPr>
                <w:rFonts w:ascii="Arial" w:hAnsi="Arial"/>
              </w:rPr>
              <w:t xml:space="preserve">, </w:t>
            </w:r>
            <w:proofErr w:type="spellStart"/>
            <w:r>
              <w:rPr>
                <w:rFonts w:ascii="Arial" w:hAnsi="Arial"/>
              </w:rPr>
              <w:t>Sekarini</w:t>
            </w:r>
            <w:proofErr w:type="spellEnd"/>
            <w:r>
              <w:rPr>
                <w:rFonts w:ascii="Arial" w:hAnsi="Arial"/>
              </w:rPr>
              <w:t xml:space="preserve">, </w:t>
            </w:r>
            <w:proofErr w:type="spellStart"/>
            <w:r>
              <w:rPr>
                <w:rFonts w:ascii="Arial" w:hAnsi="Arial"/>
              </w:rPr>
              <w:t>Syaputra</w:t>
            </w:r>
            <w:proofErr w:type="spellEnd"/>
            <w:r>
              <w:rPr>
                <w:rFonts w:ascii="Arial" w:hAnsi="Arial"/>
              </w:rPr>
              <w:t xml:space="preserve">, </w:t>
            </w:r>
            <w:proofErr w:type="spellStart"/>
            <w:r>
              <w:rPr>
                <w:rFonts w:ascii="Arial" w:hAnsi="Arial"/>
              </w:rPr>
              <w:t>Kartikawati</w:t>
            </w:r>
            <w:proofErr w:type="spellEnd"/>
            <w:r>
              <w:rPr>
                <w:rFonts w:ascii="Arial" w:hAnsi="Arial"/>
              </w:rPr>
              <w:t xml:space="preserve">, </w:t>
            </w:r>
            <w:proofErr w:type="spellStart"/>
            <w:r>
              <w:rPr>
                <w:rFonts w:ascii="Arial" w:hAnsi="Arial"/>
              </w:rPr>
              <w:t>Dawanti</w:t>
            </w:r>
            <w:proofErr w:type="spellEnd"/>
            <w:r>
              <w:rPr>
                <w:rFonts w:ascii="Arial" w:hAnsi="Arial"/>
              </w:rPr>
              <w:t xml:space="preserve">, </w:t>
            </w:r>
            <w:proofErr w:type="spellStart"/>
            <w:r>
              <w:rPr>
                <w:rFonts w:ascii="Arial" w:hAnsi="Arial"/>
              </w:rPr>
              <w:t>Mulia</w:t>
            </w:r>
            <w:proofErr w:type="spellEnd"/>
            <w:r>
              <w:rPr>
                <w:rFonts w:ascii="Arial" w:hAnsi="Arial"/>
              </w:rPr>
              <w:t>, and Malek</w:t>
            </w:r>
          </w:p>
        </w:tc>
        <w:tc>
          <w:tcPr>
            <w:tcW w:w="4580" w:type="dxa"/>
            <w:tcBorders>
              <w:top w:val="single" w:sz="4" w:space="0" w:color="auto"/>
              <w:bottom w:val="single" w:sz="4" w:space="0" w:color="auto"/>
            </w:tcBorders>
          </w:tcPr>
          <w:p w14:paraId="29E77DB0" w14:textId="77777777" w:rsidR="00282B13" w:rsidRDefault="00C662AE">
            <w:pPr>
              <w:jc w:val="both"/>
              <w:rPr>
                <w:rFonts w:ascii="Arial" w:hAnsi="Arial"/>
              </w:rPr>
            </w:pPr>
            <w:r>
              <w:rPr>
                <w:rFonts w:ascii="Arial" w:hAnsi="Arial"/>
              </w:rPr>
              <w:t xml:space="preserve">Career of horizontal education </w:t>
            </w:r>
            <w:r>
              <w:rPr>
                <w:rFonts w:ascii="Arial" w:hAnsi="Arial"/>
              </w:rPr>
              <w:t>mismatch workers: Career competency, job crafting, and work engagement</w:t>
            </w:r>
          </w:p>
        </w:tc>
        <w:tc>
          <w:tcPr>
            <w:tcW w:w="922" w:type="dxa"/>
            <w:tcBorders>
              <w:top w:val="single" w:sz="4" w:space="0" w:color="auto"/>
              <w:bottom w:val="single" w:sz="4" w:space="0" w:color="auto"/>
            </w:tcBorders>
          </w:tcPr>
          <w:p w14:paraId="30CD9E95" w14:textId="77777777" w:rsidR="00282B13" w:rsidRDefault="00C662AE">
            <w:pPr>
              <w:jc w:val="both"/>
              <w:rPr>
                <w:rFonts w:ascii="Arial" w:hAnsi="Arial"/>
                <w:lang w:val="en-PH"/>
              </w:rPr>
            </w:pPr>
            <w:r>
              <w:rPr>
                <w:rFonts w:ascii="Arial" w:hAnsi="Arial"/>
                <w:lang w:val="en-PH"/>
              </w:rPr>
              <w:t>2021</w:t>
            </w:r>
          </w:p>
        </w:tc>
        <w:tc>
          <w:tcPr>
            <w:tcW w:w="1550" w:type="dxa"/>
            <w:tcBorders>
              <w:top w:val="single" w:sz="4" w:space="0" w:color="auto"/>
              <w:bottom w:val="single" w:sz="4" w:space="0" w:color="auto"/>
            </w:tcBorders>
          </w:tcPr>
          <w:p w14:paraId="5B498535" w14:textId="77777777" w:rsidR="00282B13" w:rsidRDefault="00C662AE">
            <w:pPr>
              <w:jc w:val="both"/>
              <w:rPr>
                <w:rFonts w:ascii="Arial" w:hAnsi="Arial"/>
              </w:rPr>
            </w:pPr>
            <w:r>
              <w:rPr>
                <w:rFonts w:ascii="Arial" w:hAnsi="Arial"/>
              </w:rPr>
              <w:t>Journal of Education and Learning</w:t>
            </w:r>
          </w:p>
          <w:p w14:paraId="2E881C3F" w14:textId="77777777" w:rsidR="00282B13" w:rsidRDefault="00C662AE">
            <w:pPr>
              <w:jc w:val="both"/>
              <w:rPr>
                <w:rFonts w:ascii="Arial" w:hAnsi="Arial" w:cs="Arial"/>
                <w:lang w:val="en-PH"/>
              </w:rPr>
            </w:pPr>
            <w:hyperlink r:id="rId11" w:history="1">
              <w:r>
                <w:rPr>
                  <w:rStyle w:val="Hyperlink"/>
                  <w:rFonts w:ascii="Arial" w:hAnsi="Arial"/>
                  <w:u w:val="none"/>
                </w:rPr>
                <w:t>https://doi.org/10.11591/edulearn.v15i3.19866</w:t>
              </w:r>
            </w:hyperlink>
            <w:r>
              <w:rPr>
                <w:rFonts w:ascii="Arial" w:hAnsi="Arial"/>
                <w:lang w:val="en-PH"/>
              </w:rPr>
              <w:t xml:space="preserve"> </w:t>
            </w:r>
          </w:p>
        </w:tc>
      </w:tr>
      <w:tr w:rsidR="00282B13" w14:paraId="25E53D39" w14:textId="77777777">
        <w:trPr>
          <w:jc w:val="center"/>
        </w:trPr>
        <w:tc>
          <w:tcPr>
            <w:tcW w:w="1370" w:type="dxa"/>
            <w:tcBorders>
              <w:top w:val="single" w:sz="4" w:space="0" w:color="auto"/>
              <w:bottom w:val="single" w:sz="4" w:space="0" w:color="auto"/>
            </w:tcBorders>
          </w:tcPr>
          <w:p w14:paraId="25E52780" w14:textId="77777777" w:rsidR="00282B13" w:rsidRDefault="00C662AE">
            <w:pPr>
              <w:jc w:val="both"/>
              <w:rPr>
                <w:rFonts w:ascii="Arial" w:hAnsi="Arial"/>
              </w:rPr>
            </w:pPr>
            <w:r>
              <w:rPr>
                <w:rFonts w:ascii="Arial" w:hAnsi="Arial"/>
              </w:rPr>
              <w:t>Wen, Maani, and Dong</w:t>
            </w:r>
          </w:p>
        </w:tc>
        <w:tc>
          <w:tcPr>
            <w:tcW w:w="4580" w:type="dxa"/>
            <w:tcBorders>
              <w:top w:val="single" w:sz="4" w:space="0" w:color="auto"/>
              <w:bottom w:val="single" w:sz="4" w:space="0" w:color="auto"/>
            </w:tcBorders>
          </w:tcPr>
          <w:p w14:paraId="63292879" w14:textId="77777777" w:rsidR="00282B13" w:rsidRDefault="00C662AE">
            <w:pPr>
              <w:jc w:val="both"/>
              <w:rPr>
                <w:rFonts w:ascii="Arial" w:hAnsi="Arial"/>
              </w:rPr>
            </w:pPr>
            <w:r>
              <w:rPr>
                <w:rFonts w:ascii="Arial" w:hAnsi="Arial"/>
              </w:rPr>
              <w:t>Educational job</w:t>
            </w:r>
            <w:r>
              <w:rPr>
                <w:rFonts w:ascii="Arial" w:hAnsi="Arial"/>
              </w:rPr>
              <w:t xml:space="preserve"> mismatch, job satisfaction, on-the-job training, and employee quit </w:t>
            </w:r>
            <w:proofErr w:type="spellStart"/>
            <w:r>
              <w:rPr>
                <w:rFonts w:ascii="Arial" w:hAnsi="Arial"/>
              </w:rPr>
              <w:t>behaviour</w:t>
            </w:r>
            <w:proofErr w:type="spellEnd"/>
            <w:r>
              <w:rPr>
                <w:rFonts w:ascii="Arial" w:hAnsi="Arial"/>
              </w:rPr>
              <w:t>: a dynamic analytical approach</w:t>
            </w:r>
          </w:p>
        </w:tc>
        <w:tc>
          <w:tcPr>
            <w:tcW w:w="922" w:type="dxa"/>
            <w:tcBorders>
              <w:top w:val="single" w:sz="4" w:space="0" w:color="auto"/>
              <w:bottom w:val="single" w:sz="4" w:space="0" w:color="auto"/>
            </w:tcBorders>
          </w:tcPr>
          <w:p w14:paraId="3D029508" w14:textId="77777777" w:rsidR="00282B13" w:rsidRDefault="00C662AE">
            <w:pPr>
              <w:jc w:val="both"/>
              <w:rPr>
                <w:rFonts w:ascii="Arial" w:hAnsi="Arial"/>
                <w:lang w:val="en-PH"/>
              </w:rPr>
            </w:pPr>
            <w:r>
              <w:rPr>
                <w:rFonts w:ascii="Arial" w:hAnsi="Arial"/>
                <w:lang w:val="en-PH"/>
              </w:rPr>
              <w:t>2023</w:t>
            </w:r>
          </w:p>
        </w:tc>
        <w:tc>
          <w:tcPr>
            <w:tcW w:w="1550" w:type="dxa"/>
            <w:tcBorders>
              <w:top w:val="single" w:sz="4" w:space="0" w:color="auto"/>
              <w:bottom w:val="single" w:sz="4" w:space="0" w:color="auto"/>
            </w:tcBorders>
          </w:tcPr>
          <w:p w14:paraId="271C1D0A" w14:textId="77777777" w:rsidR="00282B13" w:rsidRDefault="00C662AE">
            <w:pPr>
              <w:jc w:val="both"/>
              <w:rPr>
                <w:rFonts w:ascii="Arial" w:hAnsi="Arial"/>
                <w:lang w:val="en-PH"/>
              </w:rPr>
            </w:pPr>
            <w:r>
              <w:rPr>
                <w:rFonts w:ascii="Arial" w:hAnsi="Arial"/>
                <w:lang w:val="en-PH"/>
              </w:rPr>
              <w:t>Applied Economics</w:t>
            </w:r>
          </w:p>
          <w:p w14:paraId="7C92C6E5" w14:textId="77777777" w:rsidR="00282B13" w:rsidRDefault="00C662AE">
            <w:pPr>
              <w:jc w:val="both"/>
              <w:rPr>
                <w:rFonts w:ascii="Arial" w:hAnsi="Arial" w:cs="Arial"/>
                <w:lang w:val="en-PH"/>
              </w:rPr>
            </w:pPr>
            <w:hyperlink r:id="rId12" w:history="1">
              <w:r>
                <w:rPr>
                  <w:rStyle w:val="Hyperlink"/>
                  <w:rFonts w:ascii="Arial" w:hAnsi="Arial"/>
                  <w:u w:val="none"/>
                  <w:lang w:val="en-PH"/>
                </w:rPr>
                <w:t>https://doi.org/10.1080/00036846.2022.2161990</w:t>
              </w:r>
            </w:hyperlink>
            <w:r>
              <w:rPr>
                <w:rFonts w:ascii="Arial" w:hAnsi="Arial"/>
                <w:lang w:val="en-PH"/>
              </w:rPr>
              <w:t xml:space="preserve"> </w:t>
            </w:r>
          </w:p>
        </w:tc>
      </w:tr>
    </w:tbl>
    <w:p w14:paraId="666A7B43" w14:textId="77777777" w:rsidR="00282B13" w:rsidRDefault="00282B13">
      <w:pPr>
        <w:pStyle w:val="Body"/>
        <w:spacing w:after="0"/>
        <w:jc w:val="left"/>
        <w:rPr>
          <w:rFonts w:ascii="Arial" w:hAnsi="Arial"/>
          <w:lang w:val="en-PH"/>
        </w:rPr>
      </w:pPr>
    </w:p>
    <w:p w14:paraId="1E07A517" w14:textId="77777777" w:rsidR="00282B13" w:rsidRDefault="00C662AE">
      <w:pPr>
        <w:pStyle w:val="Body"/>
        <w:spacing w:after="0"/>
        <w:jc w:val="left"/>
        <w:rPr>
          <w:rFonts w:ascii="Arial" w:hAnsi="Arial"/>
          <w:b/>
          <w:bCs/>
          <w:lang w:val="en-PH"/>
        </w:rPr>
      </w:pPr>
      <w:r>
        <w:rPr>
          <w:rFonts w:ascii="Arial" w:hAnsi="Arial"/>
          <w:b/>
          <w:bCs/>
          <w:lang w:val="en-PH"/>
        </w:rPr>
        <w:t>Table 2. List</w:t>
      </w:r>
      <w:r>
        <w:rPr>
          <w:rFonts w:ascii="Arial" w:hAnsi="Arial"/>
          <w:b/>
          <w:bCs/>
          <w:lang w:val="en-PH"/>
        </w:rPr>
        <w:t xml:space="preserve"> of six articles from Google Scholar published between 2015 and 2025.</w:t>
      </w:r>
    </w:p>
    <w:p w14:paraId="26551E7A" w14:textId="77777777" w:rsidR="00282B13" w:rsidRDefault="00282B13">
      <w:pPr>
        <w:pStyle w:val="Body"/>
        <w:spacing w:after="0"/>
        <w:jc w:val="left"/>
        <w:rPr>
          <w:rFonts w:ascii="Arial" w:hAnsi="Arial"/>
          <w:b/>
          <w:bCs/>
          <w:lang w:val="en-PH"/>
        </w:rPr>
      </w:pPr>
    </w:p>
    <w:tbl>
      <w:tblPr>
        <w:tblW w:w="8424"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887"/>
        <w:gridCol w:w="4072"/>
        <w:gridCol w:w="921"/>
        <w:gridCol w:w="1544"/>
      </w:tblGrid>
      <w:tr w:rsidR="00282B13" w14:paraId="496B2CA7" w14:textId="77777777">
        <w:trPr>
          <w:jc w:val="center"/>
        </w:trPr>
        <w:tc>
          <w:tcPr>
            <w:tcW w:w="1887" w:type="dxa"/>
            <w:tcBorders>
              <w:bottom w:val="single" w:sz="4" w:space="0" w:color="auto"/>
            </w:tcBorders>
          </w:tcPr>
          <w:p w14:paraId="2A7EEDDC" w14:textId="77777777" w:rsidR="00282B13" w:rsidRDefault="00C662AE">
            <w:pPr>
              <w:jc w:val="both"/>
              <w:rPr>
                <w:rFonts w:ascii="Arial" w:hAnsi="Arial"/>
                <w:b/>
                <w:bCs/>
              </w:rPr>
            </w:pPr>
            <w:r>
              <w:rPr>
                <w:rFonts w:ascii="Arial" w:hAnsi="Arial"/>
                <w:b/>
                <w:bCs/>
              </w:rPr>
              <w:t>Author/s</w:t>
            </w:r>
          </w:p>
        </w:tc>
        <w:tc>
          <w:tcPr>
            <w:tcW w:w="4072" w:type="dxa"/>
            <w:tcBorders>
              <w:bottom w:val="single" w:sz="4" w:space="0" w:color="auto"/>
            </w:tcBorders>
          </w:tcPr>
          <w:p w14:paraId="6277EBF5" w14:textId="77777777" w:rsidR="00282B13" w:rsidRDefault="00C662AE">
            <w:pPr>
              <w:jc w:val="both"/>
              <w:rPr>
                <w:rFonts w:ascii="Arial" w:hAnsi="Arial"/>
                <w:b/>
                <w:bCs/>
                <w:lang w:val="en-PH"/>
              </w:rPr>
            </w:pPr>
            <w:r>
              <w:rPr>
                <w:rFonts w:ascii="Arial" w:hAnsi="Arial"/>
                <w:b/>
                <w:bCs/>
                <w:lang w:val="en-PH"/>
              </w:rPr>
              <w:t>Article Title</w:t>
            </w:r>
          </w:p>
        </w:tc>
        <w:tc>
          <w:tcPr>
            <w:tcW w:w="921" w:type="dxa"/>
            <w:tcBorders>
              <w:bottom w:val="single" w:sz="4" w:space="0" w:color="auto"/>
            </w:tcBorders>
          </w:tcPr>
          <w:p w14:paraId="2DA40A72" w14:textId="77777777" w:rsidR="00282B13" w:rsidRDefault="00C662AE">
            <w:pPr>
              <w:jc w:val="both"/>
              <w:rPr>
                <w:rFonts w:ascii="Arial" w:hAnsi="Arial"/>
                <w:b/>
                <w:bCs/>
                <w:lang w:val="en-PH"/>
              </w:rPr>
            </w:pPr>
            <w:r>
              <w:rPr>
                <w:rFonts w:ascii="Arial" w:hAnsi="Arial"/>
                <w:b/>
                <w:bCs/>
                <w:lang w:val="en-PH"/>
              </w:rPr>
              <w:t>Year</w:t>
            </w:r>
          </w:p>
        </w:tc>
        <w:tc>
          <w:tcPr>
            <w:tcW w:w="1544" w:type="dxa"/>
            <w:tcBorders>
              <w:bottom w:val="single" w:sz="4" w:space="0" w:color="auto"/>
            </w:tcBorders>
          </w:tcPr>
          <w:p w14:paraId="0931753C" w14:textId="77777777" w:rsidR="00282B13" w:rsidRDefault="00C662AE">
            <w:pPr>
              <w:jc w:val="both"/>
              <w:rPr>
                <w:rFonts w:ascii="Arial" w:hAnsi="Arial"/>
                <w:b/>
                <w:bCs/>
                <w:lang w:val="en-PH"/>
              </w:rPr>
            </w:pPr>
            <w:r>
              <w:rPr>
                <w:rFonts w:ascii="Arial" w:hAnsi="Arial"/>
                <w:b/>
                <w:bCs/>
                <w:lang w:val="en-PH"/>
              </w:rPr>
              <w:t>Journal/ Publication</w:t>
            </w:r>
          </w:p>
        </w:tc>
      </w:tr>
      <w:tr w:rsidR="00282B13" w14:paraId="476D857F" w14:textId="77777777">
        <w:trPr>
          <w:jc w:val="center"/>
        </w:trPr>
        <w:tc>
          <w:tcPr>
            <w:tcW w:w="1887" w:type="dxa"/>
            <w:tcBorders>
              <w:top w:val="nil"/>
              <w:bottom w:val="single" w:sz="4" w:space="0" w:color="auto"/>
            </w:tcBorders>
          </w:tcPr>
          <w:p w14:paraId="2F9CE2CD" w14:textId="77777777" w:rsidR="00282B13" w:rsidRDefault="00C662AE">
            <w:pPr>
              <w:jc w:val="both"/>
              <w:rPr>
                <w:rFonts w:ascii="Arial" w:hAnsi="Arial" w:cs="Arial"/>
              </w:rPr>
            </w:pPr>
            <w:r>
              <w:rPr>
                <w:rFonts w:ascii="Arial" w:hAnsi="Arial"/>
              </w:rPr>
              <w:t xml:space="preserve">Brendler-Lindqvist, Tondel, </w:t>
            </w:r>
            <w:proofErr w:type="spellStart"/>
            <w:r>
              <w:rPr>
                <w:rFonts w:ascii="Arial" w:hAnsi="Arial"/>
              </w:rPr>
              <w:t>Helgesson</w:t>
            </w:r>
            <w:proofErr w:type="spellEnd"/>
            <w:r>
              <w:rPr>
                <w:rFonts w:ascii="Arial" w:hAnsi="Arial"/>
              </w:rPr>
              <w:t xml:space="preserve">, Nordqvist, and </w:t>
            </w:r>
            <w:proofErr w:type="spellStart"/>
            <w:r>
              <w:rPr>
                <w:rFonts w:ascii="Arial" w:hAnsi="Arial"/>
              </w:rPr>
              <w:t>Svartengren</w:t>
            </w:r>
            <w:proofErr w:type="spellEnd"/>
          </w:p>
        </w:tc>
        <w:tc>
          <w:tcPr>
            <w:tcW w:w="4072" w:type="dxa"/>
            <w:tcBorders>
              <w:top w:val="nil"/>
              <w:bottom w:val="single" w:sz="4" w:space="0" w:color="auto"/>
            </w:tcBorders>
          </w:tcPr>
          <w:p w14:paraId="30B5AE09" w14:textId="77777777" w:rsidR="00282B13" w:rsidRDefault="00C662AE">
            <w:pPr>
              <w:jc w:val="both"/>
              <w:rPr>
                <w:rFonts w:ascii="Arial" w:hAnsi="Arial" w:cs="Arial"/>
              </w:rPr>
            </w:pPr>
            <w:r>
              <w:rPr>
                <w:rFonts w:ascii="Arial" w:hAnsi="Arial"/>
              </w:rPr>
              <w:t>Overqualification at work and risk of hospitalization for psychiatric</w:t>
            </w:r>
            <w:r>
              <w:rPr>
                <w:rFonts w:ascii="Arial" w:hAnsi="Arial"/>
              </w:rPr>
              <w:t xml:space="preserve"> and somatic diseases among immigrants in Sweden – a prospective register-based study</w:t>
            </w:r>
          </w:p>
        </w:tc>
        <w:tc>
          <w:tcPr>
            <w:tcW w:w="921" w:type="dxa"/>
            <w:tcBorders>
              <w:top w:val="nil"/>
              <w:bottom w:val="single" w:sz="4" w:space="0" w:color="auto"/>
            </w:tcBorders>
          </w:tcPr>
          <w:p w14:paraId="44E267C3" w14:textId="77777777" w:rsidR="00282B13" w:rsidRDefault="00C662AE">
            <w:pPr>
              <w:jc w:val="both"/>
              <w:rPr>
                <w:rFonts w:ascii="Arial" w:hAnsi="Arial" w:cs="Arial"/>
                <w:lang w:val="en-PH"/>
              </w:rPr>
            </w:pPr>
            <w:r>
              <w:rPr>
                <w:rFonts w:ascii="Arial" w:hAnsi="Arial" w:cs="Arial"/>
                <w:lang w:val="en-PH"/>
              </w:rPr>
              <w:t>2022</w:t>
            </w:r>
          </w:p>
        </w:tc>
        <w:tc>
          <w:tcPr>
            <w:tcW w:w="1544" w:type="dxa"/>
            <w:tcBorders>
              <w:top w:val="nil"/>
              <w:bottom w:val="single" w:sz="4" w:space="0" w:color="auto"/>
            </w:tcBorders>
          </w:tcPr>
          <w:p w14:paraId="3CB36B2C" w14:textId="77777777" w:rsidR="00282B13" w:rsidRDefault="00C662AE">
            <w:pPr>
              <w:jc w:val="both"/>
              <w:rPr>
                <w:rFonts w:ascii="Arial" w:hAnsi="Arial"/>
              </w:rPr>
            </w:pPr>
            <w:r>
              <w:rPr>
                <w:rFonts w:ascii="Arial" w:hAnsi="Arial"/>
              </w:rPr>
              <w:t>Scandinavian Journal of Work Environment &amp; Health</w:t>
            </w:r>
          </w:p>
          <w:p w14:paraId="4A234DD3" w14:textId="77777777" w:rsidR="00282B13" w:rsidRDefault="00C662AE">
            <w:pPr>
              <w:jc w:val="both"/>
              <w:rPr>
                <w:rFonts w:ascii="Arial" w:hAnsi="Arial"/>
                <w:lang w:val="en-PH"/>
              </w:rPr>
            </w:pPr>
            <w:hyperlink r:id="rId13" w:history="1">
              <w:r>
                <w:rPr>
                  <w:rStyle w:val="Hyperlink"/>
                  <w:rFonts w:ascii="Arial" w:hAnsi="Arial"/>
                  <w:u w:val="none"/>
                </w:rPr>
                <w:t>https://doi.org/10.5271/sjweh.4055</w:t>
              </w:r>
            </w:hyperlink>
            <w:r>
              <w:rPr>
                <w:rFonts w:ascii="Arial" w:hAnsi="Arial"/>
                <w:lang w:val="en-PH"/>
              </w:rPr>
              <w:t xml:space="preserve"> </w:t>
            </w:r>
          </w:p>
        </w:tc>
      </w:tr>
      <w:tr w:rsidR="00282B13" w14:paraId="4ED3E6CA" w14:textId="77777777">
        <w:trPr>
          <w:jc w:val="center"/>
        </w:trPr>
        <w:tc>
          <w:tcPr>
            <w:tcW w:w="1887" w:type="dxa"/>
            <w:tcBorders>
              <w:top w:val="single" w:sz="4" w:space="0" w:color="auto"/>
              <w:bottom w:val="single" w:sz="4" w:space="0" w:color="auto"/>
            </w:tcBorders>
          </w:tcPr>
          <w:p w14:paraId="4FA73DEA" w14:textId="77777777" w:rsidR="00282B13" w:rsidRDefault="00C662AE">
            <w:pPr>
              <w:jc w:val="both"/>
              <w:rPr>
                <w:rFonts w:ascii="Arial" w:hAnsi="Arial"/>
                <w:lang w:val="en-PH"/>
              </w:rPr>
            </w:pPr>
            <w:r>
              <w:rPr>
                <w:rFonts w:ascii="Arial" w:hAnsi="Arial"/>
                <w:lang w:val="en-PH"/>
              </w:rPr>
              <w:t>Choi</w:t>
            </w:r>
          </w:p>
        </w:tc>
        <w:tc>
          <w:tcPr>
            <w:tcW w:w="4072" w:type="dxa"/>
            <w:tcBorders>
              <w:top w:val="single" w:sz="4" w:space="0" w:color="auto"/>
              <w:bottom w:val="single" w:sz="4" w:space="0" w:color="auto"/>
            </w:tcBorders>
          </w:tcPr>
          <w:p w14:paraId="5DFF1F9C" w14:textId="77777777" w:rsidR="00282B13" w:rsidRDefault="00C662AE">
            <w:pPr>
              <w:jc w:val="both"/>
              <w:rPr>
                <w:rFonts w:ascii="Arial" w:hAnsi="Arial"/>
                <w:lang w:val="en-PH"/>
              </w:rPr>
            </w:pPr>
            <w:r>
              <w:rPr>
                <w:rFonts w:ascii="Arial" w:hAnsi="Arial"/>
                <w:lang w:val="en-PH"/>
              </w:rPr>
              <w:t xml:space="preserve">Consequences of Job </w:t>
            </w:r>
            <w:r>
              <w:rPr>
                <w:rFonts w:ascii="Arial" w:hAnsi="Arial"/>
                <w:lang w:val="en-PH"/>
              </w:rPr>
              <w:t>Mismatch</w:t>
            </w:r>
          </w:p>
        </w:tc>
        <w:tc>
          <w:tcPr>
            <w:tcW w:w="921" w:type="dxa"/>
            <w:tcBorders>
              <w:top w:val="single" w:sz="4" w:space="0" w:color="auto"/>
              <w:bottom w:val="single" w:sz="4" w:space="0" w:color="auto"/>
            </w:tcBorders>
          </w:tcPr>
          <w:p w14:paraId="1F6C8934" w14:textId="77777777" w:rsidR="00282B13" w:rsidRDefault="00C662AE">
            <w:pPr>
              <w:jc w:val="both"/>
              <w:rPr>
                <w:rFonts w:ascii="Arial" w:hAnsi="Arial"/>
                <w:lang w:val="en-PH"/>
              </w:rPr>
            </w:pPr>
            <w:r>
              <w:rPr>
                <w:rFonts w:ascii="Arial" w:hAnsi="Arial"/>
                <w:lang w:val="en-PH"/>
              </w:rPr>
              <w:t>2017</w:t>
            </w:r>
          </w:p>
        </w:tc>
        <w:tc>
          <w:tcPr>
            <w:tcW w:w="1544" w:type="dxa"/>
            <w:tcBorders>
              <w:top w:val="single" w:sz="4" w:space="0" w:color="auto"/>
              <w:bottom w:val="single" w:sz="4" w:space="0" w:color="auto"/>
            </w:tcBorders>
          </w:tcPr>
          <w:p w14:paraId="21D84817" w14:textId="77777777" w:rsidR="00282B13" w:rsidRDefault="00C662AE">
            <w:pPr>
              <w:jc w:val="both"/>
              <w:rPr>
                <w:rFonts w:ascii="Arial" w:hAnsi="Arial"/>
              </w:rPr>
            </w:pPr>
            <w:r>
              <w:rPr>
                <w:rFonts w:ascii="Arial" w:hAnsi="Arial"/>
              </w:rPr>
              <w:t>Doctoral dissertation, KDI School</w:t>
            </w:r>
          </w:p>
          <w:p w14:paraId="015256AD" w14:textId="77777777" w:rsidR="00282B13" w:rsidRDefault="00C662AE">
            <w:pPr>
              <w:jc w:val="both"/>
              <w:rPr>
                <w:rFonts w:ascii="Arial" w:hAnsi="Arial" w:cs="Arial"/>
              </w:rPr>
            </w:pPr>
            <w:hyperlink r:id="rId14" w:history="1">
              <w:r>
                <w:rPr>
                  <w:rStyle w:val="Hyperlink"/>
                  <w:rFonts w:ascii="Arial" w:hAnsi="Arial"/>
                  <w:u w:val="none"/>
                </w:rPr>
                <w:t>https://archives.kdischool.ac.kr/handle/11125/32123</w:t>
              </w:r>
            </w:hyperlink>
            <w:r>
              <w:rPr>
                <w:rFonts w:ascii="Arial" w:hAnsi="Arial"/>
                <w:lang w:val="en-PH"/>
              </w:rPr>
              <w:t xml:space="preserve"> </w:t>
            </w:r>
            <w:r>
              <w:rPr>
                <w:rFonts w:ascii="Arial" w:hAnsi="Arial"/>
              </w:rPr>
              <w:t xml:space="preserve"> </w:t>
            </w:r>
          </w:p>
        </w:tc>
      </w:tr>
      <w:tr w:rsidR="00282B13" w14:paraId="0BEF3360" w14:textId="77777777">
        <w:trPr>
          <w:jc w:val="center"/>
        </w:trPr>
        <w:tc>
          <w:tcPr>
            <w:tcW w:w="1887" w:type="dxa"/>
            <w:tcBorders>
              <w:top w:val="single" w:sz="4" w:space="0" w:color="auto"/>
              <w:bottom w:val="single" w:sz="4" w:space="0" w:color="auto"/>
            </w:tcBorders>
          </w:tcPr>
          <w:p w14:paraId="3249B936" w14:textId="77777777" w:rsidR="00282B13" w:rsidRDefault="00C662AE">
            <w:pPr>
              <w:jc w:val="both"/>
              <w:rPr>
                <w:rFonts w:ascii="Arial" w:hAnsi="Arial"/>
              </w:rPr>
            </w:pPr>
            <w:r>
              <w:rPr>
                <w:rFonts w:ascii="Arial" w:hAnsi="Arial"/>
              </w:rPr>
              <w:t>Condes and Lachica</w:t>
            </w:r>
          </w:p>
        </w:tc>
        <w:tc>
          <w:tcPr>
            <w:tcW w:w="4072" w:type="dxa"/>
            <w:tcBorders>
              <w:top w:val="single" w:sz="4" w:space="0" w:color="auto"/>
              <w:bottom w:val="single" w:sz="4" w:space="0" w:color="auto"/>
            </w:tcBorders>
          </w:tcPr>
          <w:p w14:paraId="51532C26" w14:textId="77777777" w:rsidR="00282B13" w:rsidRDefault="00C662AE">
            <w:pPr>
              <w:jc w:val="both"/>
              <w:rPr>
                <w:rFonts w:ascii="Arial" w:hAnsi="Arial"/>
              </w:rPr>
            </w:pPr>
            <w:r>
              <w:rPr>
                <w:rFonts w:ascii="Arial" w:hAnsi="Arial"/>
              </w:rPr>
              <w:t>Job mismatch: The case of registered nurses in the Philippines</w:t>
            </w:r>
          </w:p>
        </w:tc>
        <w:tc>
          <w:tcPr>
            <w:tcW w:w="921" w:type="dxa"/>
            <w:tcBorders>
              <w:top w:val="single" w:sz="4" w:space="0" w:color="auto"/>
              <w:bottom w:val="single" w:sz="4" w:space="0" w:color="auto"/>
            </w:tcBorders>
          </w:tcPr>
          <w:p w14:paraId="7ED19E58" w14:textId="77777777" w:rsidR="00282B13" w:rsidRDefault="00C662AE">
            <w:pPr>
              <w:jc w:val="both"/>
              <w:rPr>
                <w:rFonts w:ascii="Arial" w:hAnsi="Arial"/>
                <w:lang w:val="en-PH"/>
              </w:rPr>
            </w:pPr>
            <w:r>
              <w:rPr>
                <w:rFonts w:ascii="Arial" w:hAnsi="Arial"/>
                <w:lang w:val="en-PH"/>
              </w:rPr>
              <w:t>2022</w:t>
            </w:r>
          </w:p>
        </w:tc>
        <w:tc>
          <w:tcPr>
            <w:tcW w:w="1544" w:type="dxa"/>
            <w:tcBorders>
              <w:top w:val="single" w:sz="4" w:space="0" w:color="auto"/>
              <w:bottom w:val="single" w:sz="4" w:space="0" w:color="auto"/>
            </w:tcBorders>
          </w:tcPr>
          <w:p w14:paraId="4AB48F6D" w14:textId="77777777" w:rsidR="00282B13" w:rsidRDefault="00C662AE">
            <w:pPr>
              <w:jc w:val="both"/>
              <w:rPr>
                <w:rFonts w:ascii="Arial" w:hAnsi="Arial" w:cs="Arial"/>
              </w:rPr>
            </w:pPr>
            <w:proofErr w:type="spellStart"/>
            <w:r>
              <w:rPr>
                <w:rFonts w:ascii="Arial" w:hAnsi="Arial"/>
              </w:rPr>
              <w:t>Zenodo</w:t>
            </w:r>
            <w:proofErr w:type="spellEnd"/>
            <w:r>
              <w:rPr>
                <w:rFonts w:ascii="Arial" w:hAnsi="Arial"/>
              </w:rPr>
              <w:t xml:space="preserve"> (CERN European Organization for Nuclear Research). </w:t>
            </w:r>
            <w:hyperlink r:id="rId15" w:history="1">
              <w:r>
                <w:rPr>
                  <w:rStyle w:val="Hyperlink"/>
                  <w:rFonts w:ascii="Arial" w:hAnsi="Arial"/>
                  <w:u w:val="none"/>
                </w:rPr>
                <w:t>https://doi.org/10.5281/zenodo.6956133</w:t>
              </w:r>
            </w:hyperlink>
            <w:r>
              <w:rPr>
                <w:rFonts w:ascii="Arial" w:hAnsi="Arial"/>
                <w:lang w:val="en-PH"/>
              </w:rPr>
              <w:t xml:space="preserve"> </w:t>
            </w:r>
            <w:r>
              <w:rPr>
                <w:rFonts w:ascii="Arial" w:hAnsi="Arial"/>
              </w:rPr>
              <w:t xml:space="preserve"> </w:t>
            </w:r>
          </w:p>
        </w:tc>
      </w:tr>
      <w:tr w:rsidR="00282B13" w14:paraId="603FA221" w14:textId="77777777">
        <w:trPr>
          <w:jc w:val="center"/>
        </w:trPr>
        <w:tc>
          <w:tcPr>
            <w:tcW w:w="1887" w:type="dxa"/>
            <w:tcBorders>
              <w:top w:val="single" w:sz="4" w:space="0" w:color="auto"/>
              <w:bottom w:val="nil"/>
            </w:tcBorders>
          </w:tcPr>
          <w:p w14:paraId="72929721" w14:textId="77777777" w:rsidR="00282B13" w:rsidRDefault="00C662AE">
            <w:pPr>
              <w:jc w:val="both"/>
              <w:rPr>
                <w:rFonts w:ascii="Arial" w:hAnsi="Arial"/>
                <w:lang w:val="en-PH"/>
              </w:rPr>
            </w:pPr>
            <w:r>
              <w:rPr>
                <w:rFonts w:ascii="Arial" w:hAnsi="Arial"/>
                <w:lang w:val="en-PH"/>
              </w:rPr>
              <w:lastRenderedPageBreak/>
              <w:t>Hirao</w:t>
            </w:r>
          </w:p>
        </w:tc>
        <w:tc>
          <w:tcPr>
            <w:tcW w:w="4072" w:type="dxa"/>
            <w:tcBorders>
              <w:top w:val="single" w:sz="4" w:space="0" w:color="auto"/>
              <w:bottom w:val="nil"/>
            </w:tcBorders>
          </w:tcPr>
          <w:p w14:paraId="7CBCC219" w14:textId="77777777" w:rsidR="00282B13" w:rsidRDefault="00C662AE">
            <w:pPr>
              <w:jc w:val="both"/>
              <w:rPr>
                <w:rFonts w:ascii="Arial" w:hAnsi="Arial"/>
              </w:rPr>
            </w:pPr>
            <w:r>
              <w:rPr>
                <w:rFonts w:ascii="Arial" w:hAnsi="Arial"/>
              </w:rPr>
              <w:t>Horizontal education-job mismatch in a medium-sized Japanese company</w:t>
            </w:r>
          </w:p>
        </w:tc>
        <w:tc>
          <w:tcPr>
            <w:tcW w:w="921" w:type="dxa"/>
            <w:tcBorders>
              <w:top w:val="single" w:sz="4" w:space="0" w:color="auto"/>
              <w:bottom w:val="nil"/>
            </w:tcBorders>
          </w:tcPr>
          <w:p w14:paraId="706F35AF" w14:textId="77777777" w:rsidR="00282B13" w:rsidRDefault="00C662AE">
            <w:pPr>
              <w:jc w:val="both"/>
              <w:rPr>
                <w:rFonts w:ascii="Arial" w:hAnsi="Arial"/>
                <w:lang w:val="en-PH"/>
              </w:rPr>
            </w:pPr>
            <w:r>
              <w:rPr>
                <w:rFonts w:ascii="Arial" w:hAnsi="Arial"/>
                <w:lang w:val="en-PH"/>
              </w:rPr>
              <w:t>2024</w:t>
            </w:r>
          </w:p>
        </w:tc>
        <w:tc>
          <w:tcPr>
            <w:tcW w:w="1544" w:type="dxa"/>
            <w:tcBorders>
              <w:top w:val="single" w:sz="4" w:space="0" w:color="auto"/>
              <w:bottom w:val="nil"/>
            </w:tcBorders>
          </w:tcPr>
          <w:p w14:paraId="756B7D79" w14:textId="77777777" w:rsidR="00282B13" w:rsidRDefault="00C662AE">
            <w:pPr>
              <w:jc w:val="both"/>
              <w:rPr>
                <w:rFonts w:ascii="Arial" w:hAnsi="Arial"/>
              </w:rPr>
            </w:pPr>
            <w:r>
              <w:rPr>
                <w:rFonts w:ascii="Arial" w:hAnsi="Arial"/>
              </w:rPr>
              <w:t xml:space="preserve">Center for Open </w:t>
            </w:r>
            <w:r>
              <w:rPr>
                <w:rFonts w:ascii="Arial" w:hAnsi="Arial"/>
              </w:rPr>
              <w:t>Science (OSF Preprints)</w:t>
            </w:r>
          </w:p>
          <w:p w14:paraId="37B97163" w14:textId="77777777" w:rsidR="00282B13" w:rsidRDefault="00C662AE">
            <w:pPr>
              <w:jc w:val="both"/>
              <w:rPr>
                <w:rFonts w:ascii="Arial" w:hAnsi="Arial" w:cs="Arial"/>
                <w:lang w:val="en-PH"/>
              </w:rPr>
            </w:pPr>
            <w:hyperlink r:id="rId16" w:history="1">
              <w:r>
                <w:rPr>
                  <w:rStyle w:val="Hyperlink"/>
                  <w:rFonts w:ascii="Arial" w:hAnsi="Arial"/>
                  <w:u w:val="none"/>
                </w:rPr>
                <w:t>https://doi.org/10.31235/osf.io/gczeh_v1</w:t>
              </w:r>
            </w:hyperlink>
            <w:r>
              <w:rPr>
                <w:rFonts w:ascii="Arial" w:hAnsi="Arial"/>
                <w:lang w:val="en-PH"/>
              </w:rPr>
              <w:t xml:space="preserve"> </w:t>
            </w:r>
          </w:p>
        </w:tc>
      </w:tr>
      <w:tr w:rsidR="00282B13" w14:paraId="73A9C9D6" w14:textId="77777777">
        <w:trPr>
          <w:jc w:val="center"/>
        </w:trPr>
        <w:tc>
          <w:tcPr>
            <w:tcW w:w="1887" w:type="dxa"/>
            <w:tcBorders>
              <w:top w:val="nil"/>
              <w:bottom w:val="single" w:sz="4" w:space="0" w:color="auto"/>
            </w:tcBorders>
          </w:tcPr>
          <w:p w14:paraId="043BAA8D" w14:textId="77777777" w:rsidR="00282B13" w:rsidRDefault="00C662AE">
            <w:pPr>
              <w:jc w:val="both"/>
              <w:rPr>
                <w:rFonts w:ascii="Arial" w:hAnsi="Arial"/>
              </w:rPr>
            </w:pPr>
            <w:r>
              <w:rPr>
                <w:rFonts w:ascii="Arial" w:hAnsi="Arial"/>
              </w:rPr>
              <w:t>Madsen and Røberg</w:t>
            </w:r>
          </w:p>
        </w:tc>
        <w:tc>
          <w:tcPr>
            <w:tcW w:w="4072" w:type="dxa"/>
            <w:tcBorders>
              <w:top w:val="nil"/>
              <w:bottom w:val="single" w:sz="4" w:space="0" w:color="auto"/>
            </w:tcBorders>
          </w:tcPr>
          <w:p w14:paraId="000A9F8B" w14:textId="77777777" w:rsidR="00282B13" w:rsidRDefault="00C662AE">
            <w:pPr>
              <w:jc w:val="both"/>
              <w:rPr>
                <w:rFonts w:ascii="Arial" w:hAnsi="Arial"/>
              </w:rPr>
            </w:pPr>
            <w:r>
              <w:rPr>
                <w:rFonts w:ascii="Arial" w:hAnsi="Arial"/>
              </w:rPr>
              <w:t xml:space="preserve">Education–occupation mismatch and long-term sickness absence: a longitudinal study of over-and under-education </w:t>
            </w:r>
            <w:r>
              <w:rPr>
                <w:rFonts w:ascii="Arial" w:hAnsi="Arial"/>
              </w:rPr>
              <w:t>using Norwegian population data, 2003–2013</w:t>
            </w:r>
          </w:p>
        </w:tc>
        <w:tc>
          <w:tcPr>
            <w:tcW w:w="921" w:type="dxa"/>
            <w:tcBorders>
              <w:top w:val="nil"/>
              <w:bottom w:val="single" w:sz="4" w:space="0" w:color="auto"/>
            </w:tcBorders>
          </w:tcPr>
          <w:p w14:paraId="32975371" w14:textId="77777777" w:rsidR="00282B13" w:rsidRDefault="00C662AE">
            <w:pPr>
              <w:jc w:val="both"/>
              <w:rPr>
                <w:rFonts w:ascii="Arial" w:hAnsi="Arial"/>
                <w:lang w:val="en-PH"/>
              </w:rPr>
            </w:pPr>
            <w:r>
              <w:rPr>
                <w:rFonts w:ascii="Arial" w:hAnsi="Arial"/>
                <w:lang w:val="en-PH"/>
              </w:rPr>
              <w:t>2021</w:t>
            </w:r>
          </w:p>
        </w:tc>
        <w:tc>
          <w:tcPr>
            <w:tcW w:w="1544" w:type="dxa"/>
            <w:tcBorders>
              <w:top w:val="nil"/>
              <w:bottom w:val="single" w:sz="4" w:space="0" w:color="auto"/>
            </w:tcBorders>
          </w:tcPr>
          <w:p w14:paraId="7268D584" w14:textId="77777777" w:rsidR="00282B13" w:rsidRDefault="00C662AE">
            <w:pPr>
              <w:jc w:val="both"/>
              <w:rPr>
                <w:rFonts w:ascii="Arial" w:hAnsi="Arial"/>
              </w:rPr>
            </w:pPr>
            <w:r>
              <w:rPr>
                <w:rFonts w:ascii="Arial" w:hAnsi="Arial"/>
              </w:rPr>
              <w:t>Journal of Education and Work</w:t>
            </w:r>
          </w:p>
          <w:p w14:paraId="3AD40AA9" w14:textId="77777777" w:rsidR="00282B13" w:rsidRDefault="00C662AE">
            <w:pPr>
              <w:jc w:val="both"/>
              <w:rPr>
                <w:rFonts w:ascii="Arial" w:hAnsi="Arial" w:cs="Arial"/>
                <w:lang w:val="en-PH"/>
              </w:rPr>
            </w:pPr>
            <w:hyperlink r:id="rId17" w:history="1">
              <w:r>
                <w:rPr>
                  <w:rStyle w:val="Hyperlink"/>
                  <w:rFonts w:ascii="Arial" w:hAnsi="Arial"/>
                  <w:u w:val="none"/>
                </w:rPr>
                <w:t>https://doi.org/10.1080/13639080.2021.1946491</w:t>
              </w:r>
            </w:hyperlink>
            <w:r>
              <w:rPr>
                <w:rFonts w:ascii="Arial" w:hAnsi="Arial"/>
                <w:lang w:val="en-PH"/>
              </w:rPr>
              <w:t xml:space="preserve"> </w:t>
            </w:r>
            <w:r>
              <w:rPr>
                <w:rFonts w:ascii="Arial" w:hAnsi="Arial"/>
              </w:rPr>
              <w:t xml:space="preserve"> </w:t>
            </w:r>
            <w:r>
              <w:rPr>
                <w:rFonts w:ascii="Arial" w:hAnsi="Arial"/>
                <w:lang w:val="en-PH"/>
              </w:rPr>
              <w:t xml:space="preserve"> </w:t>
            </w:r>
          </w:p>
        </w:tc>
      </w:tr>
      <w:tr w:rsidR="00282B13" w14:paraId="59638897" w14:textId="77777777">
        <w:trPr>
          <w:jc w:val="center"/>
        </w:trPr>
        <w:tc>
          <w:tcPr>
            <w:tcW w:w="1887" w:type="dxa"/>
            <w:tcBorders>
              <w:top w:val="single" w:sz="4" w:space="0" w:color="auto"/>
              <w:bottom w:val="single" w:sz="4" w:space="0" w:color="auto"/>
            </w:tcBorders>
          </w:tcPr>
          <w:p w14:paraId="53B10BC8" w14:textId="77777777" w:rsidR="00282B13" w:rsidRDefault="00C662AE">
            <w:pPr>
              <w:jc w:val="both"/>
              <w:rPr>
                <w:rFonts w:ascii="Arial" w:hAnsi="Arial"/>
              </w:rPr>
            </w:pPr>
            <w:r>
              <w:rPr>
                <w:rFonts w:ascii="Arial" w:hAnsi="Arial"/>
              </w:rPr>
              <w:t>Tag-</w:t>
            </w:r>
            <w:proofErr w:type="spellStart"/>
            <w:r>
              <w:rPr>
                <w:rFonts w:ascii="Arial" w:hAnsi="Arial"/>
              </w:rPr>
              <w:t>ulo</w:t>
            </w:r>
            <w:proofErr w:type="spellEnd"/>
            <w:r>
              <w:rPr>
                <w:rFonts w:ascii="Arial" w:hAnsi="Arial"/>
              </w:rPr>
              <w:t xml:space="preserve">, </w:t>
            </w:r>
            <w:proofErr w:type="spellStart"/>
            <w:r>
              <w:rPr>
                <w:rFonts w:ascii="Arial" w:hAnsi="Arial"/>
              </w:rPr>
              <w:t>Gooc</w:t>
            </w:r>
            <w:proofErr w:type="spellEnd"/>
            <w:r>
              <w:rPr>
                <w:rFonts w:ascii="Arial" w:hAnsi="Arial"/>
              </w:rPr>
              <w:t xml:space="preserve">, and </w:t>
            </w:r>
            <w:proofErr w:type="spellStart"/>
            <w:r>
              <w:rPr>
                <w:rFonts w:ascii="Arial" w:hAnsi="Arial"/>
              </w:rPr>
              <w:t>Seclot</w:t>
            </w:r>
            <w:proofErr w:type="spellEnd"/>
          </w:p>
        </w:tc>
        <w:tc>
          <w:tcPr>
            <w:tcW w:w="4072" w:type="dxa"/>
            <w:tcBorders>
              <w:top w:val="single" w:sz="4" w:space="0" w:color="auto"/>
              <w:bottom w:val="single" w:sz="4" w:space="0" w:color="auto"/>
            </w:tcBorders>
          </w:tcPr>
          <w:p w14:paraId="4A1DC701" w14:textId="77777777" w:rsidR="00282B13" w:rsidRDefault="00C662AE">
            <w:pPr>
              <w:jc w:val="both"/>
              <w:rPr>
                <w:rFonts w:ascii="Arial" w:hAnsi="Arial"/>
              </w:rPr>
            </w:pPr>
            <w:r>
              <w:rPr>
                <w:rFonts w:ascii="Arial" w:hAnsi="Arial"/>
              </w:rPr>
              <w:t>Exploring job mismatch experiences among</w:t>
            </w:r>
            <w:r>
              <w:rPr>
                <w:rFonts w:ascii="Arial" w:hAnsi="Arial"/>
              </w:rPr>
              <w:t xml:space="preserve"> licensed English teachers: a phenomenological inquiry</w:t>
            </w:r>
          </w:p>
        </w:tc>
        <w:tc>
          <w:tcPr>
            <w:tcW w:w="921" w:type="dxa"/>
            <w:tcBorders>
              <w:top w:val="single" w:sz="4" w:space="0" w:color="auto"/>
              <w:bottom w:val="single" w:sz="4" w:space="0" w:color="auto"/>
            </w:tcBorders>
          </w:tcPr>
          <w:p w14:paraId="736858E9" w14:textId="77777777" w:rsidR="00282B13" w:rsidRDefault="00C662AE">
            <w:pPr>
              <w:jc w:val="both"/>
              <w:rPr>
                <w:rFonts w:ascii="Arial" w:hAnsi="Arial"/>
                <w:lang w:val="en-PH"/>
              </w:rPr>
            </w:pPr>
            <w:r>
              <w:rPr>
                <w:rFonts w:ascii="Arial" w:hAnsi="Arial"/>
                <w:lang w:val="en-PH"/>
              </w:rPr>
              <w:t>2025</w:t>
            </w:r>
          </w:p>
        </w:tc>
        <w:tc>
          <w:tcPr>
            <w:tcW w:w="1544" w:type="dxa"/>
            <w:tcBorders>
              <w:top w:val="single" w:sz="4" w:space="0" w:color="auto"/>
              <w:bottom w:val="single" w:sz="4" w:space="0" w:color="auto"/>
            </w:tcBorders>
          </w:tcPr>
          <w:p w14:paraId="0527E3E6" w14:textId="77777777" w:rsidR="00282B13" w:rsidRDefault="00C662AE">
            <w:pPr>
              <w:jc w:val="both"/>
              <w:rPr>
                <w:rFonts w:ascii="Arial" w:hAnsi="Arial"/>
              </w:rPr>
            </w:pPr>
            <w:r>
              <w:rPr>
                <w:rFonts w:ascii="Arial" w:hAnsi="Arial"/>
              </w:rPr>
              <w:t>International Journal of Educational Innovation and Research</w:t>
            </w:r>
          </w:p>
          <w:p w14:paraId="665EAEC4" w14:textId="77777777" w:rsidR="00282B13" w:rsidRDefault="00C662AE">
            <w:pPr>
              <w:jc w:val="both"/>
              <w:rPr>
                <w:rFonts w:ascii="Arial" w:hAnsi="Arial" w:cs="Arial"/>
                <w:lang w:val="en-PH"/>
              </w:rPr>
            </w:pPr>
            <w:hyperlink r:id="rId18" w:history="1">
              <w:r>
                <w:rPr>
                  <w:rStyle w:val="Hyperlink"/>
                  <w:rFonts w:ascii="Arial" w:hAnsi="Arial"/>
                  <w:u w:val="none"/>
                </w:rPr>
                <w:t>https://doi.org/10.31949/ijeir.v4i2.14619</w:t>
              </w:r>
            </w:hyperlink>
            <w:r>
              <w:rPr>
                <w:rFonts w:ascii="Arial" w:hAnsi="Arial"/>
                <w:lang w:val="en-PH"/>
              </w:rPr>
              <w:t xml:space="preserve"> </w:t>
            </w:r>
          </w:p>
        </w:tc>
      </w:tr>
    </w:tbl>
    <w:p w14:paraId="5A7BFE91" w14:textId="77777777" w:rsidR="00282B13" w:rsidRDefault="00282B13">
      <w:pPr>
        <w:pStyle w:val="Body"/>
        <w:spacing w:after="0"/>
        <w:jc w:val="left"/>
        <w:rPr>
          <w:rFonts w:ascii="Arial" w:hAnsi="Arial"/>
          <w:lang w:val="en-PH"/>
        </w:rPr>
      </w:pPr>
    </w:p>
    <w:p w14:paraId="61E1E83A" w14:textId="77777777" w:rsidR="00282B13" w:rsidRDefault="00C662AE">
      <w:pPr>
        <w:pStyle w:val="Body"/>
        <w:spacing w:after="0"/>
        <w:jc w:val="left"/>
        <w:rPr>
          <w:rFonts w:ascii="Arial" w:hAnsi="Arial"/>
          <w:b/>
          <w:bCs/>
          <w:lang w:val="en-PH"/>
        </w:rPr>
      </w:pPr>
      <w:r>
        <w:rPr>
          <w:rFonts w:ascii="Arial" w:hAnsi="Arial"/>
          <w:b/>
          <w:bCs/>
          <w:lang w:val="en-PH"/>
        </w:rPr>
        <w:t xml:space="preserve">Table 3. List of one article </w:t>
      </w:r>
      <w:r>
        <w:rPr>
          <w:rFonts w:ascii="Arial" w:hAnsi="Arial"/>
          <w:b/>
          <w:bCs/>
          <w:lang w:val="en-PH"/>
        </w:rPr>
        <w:t>from ResearchGate published between 2015 to 2025.</w:t>
      </w:r>
    </w:p>
    <w:p w14:paraId="3296D3F6" w14:textId="77777777" w:rsidR="00282B13" w:rsidRDefault="00282B13">
      <w:pPr>
        <w:pStyle w:val="Body"/>
        <w:spacing w:after="0"/>
        <w:jc w:val="left"/>
        <w:rPr>
          <w:rFonts w:ascii="Arial" w:hAnsi="Arial"/>
          <w:b/>
          <w:bCs/>
          <w:lang w:val="en-PH"/>
        </w:rPr>
      </w:pPr>
    </w:p>
    <w:tbl>
      <w:tblPr>
        <w:tblW w:w="8422"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893"/>
        <w:gridCol w:w="4065"/>
        <w:gridCol w:w="921"/>
        <w:gridCol w:w="1543"/>
      </w:tblGrid>
      <w:tr w:rsidR="00282B13" w14:paraId="6ED5FB66" w14:textId="77777777">
        <w:trPr>
          <w:jc w:val="center"/>
        </w:trPr>
        <w:tc>
          <w:tcPr>
            <w:tcW w:w="1893" w:type="dxa"/>
            <w:tcBorders>
              <w:bottom w:val="single" w:sz="4" w:space="0" w:color="auto"/>
            </w:tcBorders>
          </w:tcPr>
          <w:p w14:paraId="5F4E4481" w14:textId="77777777" w:rsidR="00282B13" w:rsidRDefault="00C662AE">
            <w:pPr>
              <w:jc w:val="both"/>
              <w:rPr>
                <w:rFonts w:ascii="Arial" w:hAnsi="Arial"/>
                <w:b/>
                <w:bCs/>
              </w:rPr>
            </w:pPr>
            <w:r>
              <w:rPr>
                <w:rFonts w:ascii="Arial" w:hAnsi="Arial"/>
                <w:b/>
                <w:bCs/>
              </w:rPr>
              <w:t>Author/s</w:t>
            </w:r>
          </w:p>
        </w:tc>
        <w:tc>
          <w:tcPr>
            <w:tcW w:w="4065" w:type="dxa"/>
            <w:tcBorders>
              <w:bottom w:val="single" w:sz="4" w:space="0" w:color="auto"/>
            </w:tcBorders>
          </w:tcPr>
          <w:p w14:paraId="58A6F549" w14:textId="77777777" w:rsidR="00282B13" w:rsidRDefault="00C662AE">
            <w:pPr>
              <w:jc w:val="both"/>
              <w:rPr>
                <w:rFonts w:ascii="Arial" w:hAnsi="Arial"/>
                <w:b/>
                <w:bCs/>
                <w:lang w:val="en-PH"/>
              </w:rPr>
            </w:pPr>
            <w:r>
              <w:rPr>
                <w:rFonts w:ascii="Arial" w:hAnsi="Arial"/>
                <w:b/>
                <w:bCs/>
                <w:lang w:val="en-PH"/>
              </w:rPr>
              <w:t>Article Title</w:t>
            </w:r>
          </w:p>
        </w:tc>
        <w:tc>
          <w:tcPr>
            <w:tcW w:w="921" w:type="dxa"/>
            <w:tcBorders>
              <w:bottom w:val="single" w:sz="4" w:space="0" w:color="auto"/>
            </w:tcBorders>
          </w:tcPr>
          <w:p w14:paraId="181CC4FE" w14:textId="77777777" w:rsidR="00282B13" w:rsidRDefault="00C662AE">
            <w:pPr>
              <w:jc w:val="both"/>
              <w:rPr>
                <w:rFonts w:ascii="Arial" w:hAnsi="Arial"/>
                <w:b/>
                <w:bCs/>
                <w:lang w:val="en-PH"/>
              </w:rPr>
            </w:pPr>
            <w:r>
              <w:rPr>
                <w:rFonts w:ascii="Arial" w:hAnsi="Arial"/>
                <w:b/>
                <w:bCs/>
                <w:lang w:val="en-PH"/>
              </w:rPr>
              <w:t>Year</w:t>
            </w:r>
          </w:p>
        </w:tc>
        <w:tc>
          <w:tcPr>
            <w:tcW w:w="1543" w:type="dxa"/>
            <w:tcBorders>
              <w:bottom w:val="single" w:sz="4" w:space="0" w:color="auto"/>
            </w:tcBorders>
          </w:tcPr>
          <w:p w14:paraId="22BE0517" w14:textId="77777777" w:rsidR="00282B13" w:rsidRDefault="00C662AE">
            <w:pPr>
              <w:jc w:val="both"/>
              <w:rPr>
                <w:rFonts w:ascii="Arial" w:hAnsi="Arial"/>
                <w:b/>
                <w:bCs/>
                <w:lang w:val="en-PH"/>
              </w:rPr>
            </w:pPr>
            <w:r>
              <w:rPr>
                <w:rFonts w:ascii="Arial" w:hAnsi="Arial"/>
                <w:b/>
                <w:bCs/>
                <w:lang w:val="en-PH"/>
              </w:rPr>
              <w:t>Journal/ Publication</w:t>
            </w:r>
          </w:p>
        </w:tc>
      </w:tr>
      <w:tr w:rsidR="00282B13" w14:paraId="070DA7C6" w14:textId="77777777">
        <w:trPr>
          <w:jc w:val="center"/>
        </w:trPr>
        <w:tc>
          <w:tcPr>
            <w:tcW w:w="1893" w:type="dxa"/>
            <w:tcBorders>
              <w:top w:val="nil"/>
              <w:bottom w:val="single" w:sz="4" w:space="0" w:color="auto"/>
            </w:tcBorders>
          </w:tcPr>
          <w:p w14:paraId="221A732A" w14:textId="77777777" w:rsidR="00282B13" w:rsidRDefault="00C662AE">
            <w:pPr>
              <w:jc w:val="both"/>
              <w:rPr>
                <w:rFonts w:ascii="Arial" w:hAnsi="Arial" w:cs="Arial"/>
              </w:rPr>
            </w:pPr>
            <w:r>
              <w:rPr>
                <w:rFonts w:ascii="Arial" w:hAnsi="Arial"/>
              </w:rPr>
              <w:t xml:space="preserve">Weber, Ferry, and </w:t>
            </w:r>
            <w:proofErr w:type="spellStart"/>
            <w:r>
              <w:rPr>
                <w:rFonts w:ascii="Arial" w:hAnsi="Arial"/>
              </w:rPr>
              <w:t>Ichou</w:t>
            </w:r>
            <w:proofErr w:type="spellEnd"/>
          </w:p>
        </w:tc>
        <w:tc>
          <w:tcPr>
            <w:tcW w:w="4065" w:type="dxa"/>
            <w:tcBorders>
              <w:top w:val="nil"/>
              <w:bottom w:val="single" w:sz="4" w:space="0" w:color="auto"/>
            </w:tcBorders>
          </w:tcPr>
          <w:p w14:paraId="6BC0D684" w14:textId="77777777" w:rsidR="00282B13" w:rsidRDefault="00C662AE">
            <w:pPr>
              <w:jc w:val="both"/>
              <w:rPr>
                <w:rFonts w:ascii="Arial" w:hAnsi="Arial" w:cs="Arial"/>
              </w:rPr>
            </w:pPr>
            <w:r>
              <w:rPr>
                <w:rFonts w:ascii="Arial" w:hAnsi="Arial"/>
              </w:rPr>
              <w:t>Which degree for which occupation? Vertical and horizontal mismatch among immigrants, their children, and grandchildren in France.</w:t>
            </w:r>
          </w:p>
        </w:tc>
        <w:tc>
          <w:tcPr>
            <w:tcW w:w="921" w:type="dxa"/>
            <w:tcBorders>
              <w:top w:val="nil"/>
              <w:bottom w:val="single" w:sz="4" w:space="0" w:color="auto"/>
            </w:tcBorders>
          </w:tcPr>
          <w:p w14:paraId="5FF27200" w14:textId="77777777" w:rsidR="00282B13" w:rsidRDefault="00C662AE">
            <w:pPr>
              <w:jc w:val="both"/>
              <w:rPr>
                <w:rFonts w:ascii="Arial" w:hAnsi="Arial" w:cs="Arial"/>
                <w:lang w:val="en-PH"/>
              </w:rPr>
            </w:pPr>
            <w:r>
              <w:rPr>
                <w:rFonts w:ascii="Arial" w:hAnsi="Arial" w:cs="Arial"/>
                <w:lang w:val="en-PH"/>
              </w:rPr>
              <w:t>2024</w:t>
            </w:r>
          </w:p>
        </w:tc>
        <w:tc>
          <w:tcPr>
            <w:tcW w:w="1543" w:type="dxa"/>
            <w:tcBorders>
              <w:top w:val="nil"/>
              <w:bottom w:val="single" w:sz="4" w:space="0" w:color="auto"/>
            </w:tcBorders>
          </w:tcPr>
          <w:p w14:paraId="730C4124" w14:textId="77777777" w:rsidR="00282B13" w:rsidRDefault="00C662AE">
            <w:pPr>
              <w:jc w:val="both"/>
              <w:rPr>
                <w:rFonts w:ascii="Arial" w:hAnsi="Arial"/>
              </w:rPr>
            </w:pPr>
            <w:r>
              <w:rPr>
                <w:rFonts w:ascii="Arial" w:hAnsi="Arial"/>
              </w:rPr>
              <w:t>Demography</w:t>
            </w:r>
          </w:p>
          <w:p w14:paraId="382BE56F" w14:textId="77777777" w:rsidR="00282B13" w:rsidRDefault="00C662AE">
            <w:pPr>
              <w:jc w:val="both"/>
              <w:rPr>
                <w:rFonts w:ascii="Arial" w:hAnsi="Arial"/>
                <w:lang w:val="en-PH"/>
              </w:rPr>
            </w:pPr>
            <w:hyperlink r:id="rId19" w:history="1">
              <w:r>
                <w:rPr>
                  <w:rStyle w:val="Hyperlink"/>
                  <w:rFonts w:ascii="Arial" w:hAnsi="Arial"/>
                  <w:u w:val="none"/>
                </w:rPr>
                <w:t>https://doi.org/10.1215/00703370-11670148</w:t>
              </w:r>
            </w:hyperlink>
            <w:r>
              <w:rPr>
                <w:rFonts w:ascii="Arial" w:hAnsi="Arial"/>
                <w:lang w:val="en-PH"/>
              </w:rPr>
              <w:t xml:space="preserve"> </w:t>
            </w:r>
          </w:p>
        </w:tc>
      </w:tr>
    </w:tbl>
    <w:p w14:paraId="31E9FF3E" w14:textId="77777777" w:rsidR="00282B13" w:rsidRDefault="00282B13">
      <w:pPr>
        <w:pStyle w:val="Body"/>
        <w:spacing w:after="0"/>
        <w:jc w:val="left"/>
        <w:rPr>
          <w:rFonts w:ascii="Arial" w:hAnsi="Arial"/>
          <w:lang w:val="en-PH"/>
        </w:rPr>
      </w:pPr>
    </w:p>
    <w:p w14:paraId="78F1BCB8" w14:textId="77777777" w:rsidR="00282B13" w:rsidRDefault="00C662AE">
      <w:pPr>
        <w:pStyle w:val="Body"/>
        <w:spacing w:after="0"/>
        <w:rPr>
          <w:rFonts w:ascii="Arial" w:hAnsi="Arial" w:cs="Arial"/>
          <w:b/>
          <w:sz w:val="22"/>
          <w:szCs w:val="22"/>
        </w:rPr>
      </w:pPr>
      <w:r>
        <w:rPr>
          <w:rFonts w:ascii="Arial" w:hAnsi="Arial" w:cs="Arial"/>
          <w:b/>
          <w:sz w:val="22"/>
          <w:szCs w:val="22"/>
        </w:rPr>
        <w:t xml:space="preserve">2.3 Data Analysis </w:t>
      </w:r>
    </w:p>
    <w:p w14:paraId="6CE1DED2" w14:textId="77777777" w:rsidR="00282B13" w:rsidRDefault="00282B13">
      <w:pPr>
        <w:pStyle w:val="Body"/>
        <w:spacing w:after="0"/>
        <w:rPr>
          <w:rFonts w:ascii="Arial" w:hAnsi="Arial" w:cs="Arial"/>
        </w:rPr>
      </w:pPr>
    </w:p>
    <w:p w14:paraId="302E016C" w14:textId="77777777" w:rsidR="00282B13" w:rsidRDefault="00C662AE">
      <w:pPr>
        <w:pStyle w:val="Body"/>
        <w:spacing w:after="0"/>
        <w:rPr>
          <w:rFonts w:ascii="Arial" w:hAnsi="Arial" w:cs="Arial"/>
        </w:rPr>
      </w:pPr>
      <w:r>
        <w:rPr>
          <w:rFonts w:ascii="Arial" w:hAnsi="Arial" w:cs="Arial"/>
        </w:rPr>
        <w:t xml:space="preserve">Data were selected and classified into themes significant to the research questions. The tables below illustrate the </w:t>
      </w:r>
      <w:r>
        <w:rPr>
          <w:rFonts w:ascii="Arial" w:hAnsi="Arial" w:cs="Arial"/>
        </w:rPr>
        <w:t>specific articles used to answer each research question as well as the emergent themes.</w:t>
      </w:r>
    </w:p>
    <w:p w14:paraId="6FF94BB2" w14:textId="77777777" w:rsidR="00282B13" w:rsidRDefault="00282B13">
      <w:pPr>
        <w:pStyle w:val="Body"/>
        <w:spacing w:after="0"/>
        <w:rPr>
          <w:rFonts w:ascii="Arial" w:hAnsi="Arial" w:cs="Arial"/>
        </w:rPr>
      </w:pPr>
    </w:p>
    <w:p w14:paraId="49D9E619" w14:textId="77777777" w:rsidR="00282B13" w:rsidRDefault="00C662AE">
      <w:pPr>
        <w:pStyle w:val="Body"/>
        <w:spacing w:after="0"/>
        <w:rPr>
          <w:rFonts w:ascii="Arial" w:hAnsi="Arial" w:cs="Arial"/>
          <w:b/>
        </w:rPr>
      </w:pPr>
      <w:r>
        <w:rPr>
          <w:rFonts w:ascii="Arial" w:hAnsi="Arial" w:cs="Arial"/>
          <w:b/>
        </w:rPr>
        <w:t>Table 4. The link between career mismatch and psychological distress among professionals.</w:t>
      </w:r>
    </w:p>
    <w:p w14:paraId="475D1F6E" w14:textId="77777777" w:rsidR="00282B13" w:rsidRDefault="00282B13">
      <w:pPr>
        <w:pStyle w:val="Body"/>
        <w:spacing w:after="0"/>
        <w:rPr>
          <w:rFonts w:ascii="Arial" w:hAnsi="Arial" w:cs="Arial"/>
          <w:b/>
        </w:rPr>
      </w:pPr>
    </w:p>
    <w:tbl>
      <w:tblPr>
        <w:tblW w:w="8496"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944"/>
        <w:gridCol w:w="4320"/>
        <w:gridCol w:w="2232"/>
      </w:tblGrid>
      <w:tr w:rsidR="00282B13" w14:paraId="3AB5E879" w14:textId="77777777">
        <w:trPr>
          <w:trHeight w:val="14"/>
          <w:jc w:val="center"/>
        </w:trPr>
        <w:tc>
          <w:tcPr>
            <w:tcW w:w="1944" w:type="dxa"/>
            <w:tcBorders>
              <w:bottom w:val="single" w:sz="4" w:space="0" w:color="auto"/>
            </w:tcBorders>
          </w:tcPr>
          <w:p w14:paraId="5A8B8A56" w14:textId="77777777" w:rsidR="00282B13" w:rsidRDefault="00C662AE">
            <w:pPr>
              <w:jc w:val="both"/>
              <w:rPr>
                <w:rFonts w:ascii="Arial" w:hAnsi="Arial"/>
                <w:b/>
                <w:bCs/>
              </w:rPr>
            </w:pPr>
            <w:r>
              <w:rPr>
                <w:rFonts w:ascii="Arial" w:hAnsi="Arial"/>
                <w:b/>
                <w:bCs/>
              </w:rPr>
              <w:t>Author/s</w:t>
            </w:r>
          </w:p>
        </w:tc>
        <w:tc>
          <w:tcPr>
            <w:tcW w:w="4320" w:type="dxa"/>
            <w:tcBorders>
              <w:bottom w:val="single" w:sz="4" w:space="0" w:color="auto"/>
            </w:tcBorders>
          </w:tcPr>
          <w:p w14:paraId="3646FB1B" w14:textId="77777777" w:rsidR="00282B13" w:rsidRDefault="00C662AE">
            <w:pPr>
              <w:jc w:val="both"/>
              <w:rPr>
                <w:rFonts w:ascii="Arial" w:hAnsi="Arial"/>
                <w:b/>
                <w:bCs/>
              </w:rPr>
            </w:pPr>
            <w:r>
              <w:rPr>
                <w:rFonts w:ascii="Arial" w:hAnsi="Arial"/>
                <w:b/>
                <w:bCs/>
              </w:rPr>
              <w:t>Article Title</w:t>
            </w:r>
          </w:p>
        </w:tc>
        <w:tc>
          <w:tcPr>
            <w:tcW w:w="2232" w:type="dxa"/>
            <w:tcBorders>
              <w:bottom w:val="single" w:sz="4" w:space="0" w:color="auto"/>
            </w:tcBorders>
          </w:tcPr>
          <w:p w14:paraId="5C1C09EE" w14:textId="77777777" w:rsidR="00282B13" w:rsidRDefault="00C662AE">
            <w:pPr>
              <w:jc w:val="both"/>
              <w:rPr>
                <w:rFonts w:ascii="Arial" w:hAnsi="Arial"/>
                <w:b/>
                <w:bCs/>
              </w:rPr>
            </w:pPr>
            <w:r>
              <w:rPr>
                <w:rFonts w:ascii="Arial" w:hAnsi="Arial"/>
                <w:b/>
                <w:bCs/>
              </w:rPr>
              <w:t>Theme</w:t>
            </w:r>
          </w:p>
        </w:tc>
      </w:tr>
      <w:tr w:rsidR="00282B13" w14:paraId="003C7AF0" w14:textId="77777777">
        <w:trPr>
          <w:trHeight w:val="90"/>
          <w:jc w:val="center"/>
        </w:trPr>
        <w:tc>
          <w:tcPr>
            <w:tcW w:w="1944" w:type="dxa"/>
            <w:tcBorders>
              <w:top w:val="nil"/>
              <w:bottom w:val="nil"/>
            </w:tcBorders>
          </w:tcPr>
          <w:p w14:paraId="6FA42AD8" w14:textId="77777777" w:rsidR="00282B13" w:rsidRDefault="00C662AE">
            <w:pPr>
              <w:jc w:val="both"/>
              <w:rPr>
                <w:rFonts w:ascii="Arial" w:hAnsi="Arial" w:cs="Arial"/>
                <w:lang w:val="en-PH"/>
              </w:rPr>
            </w:pPr>
            <w:r>
              <w:rPr>
                <w:rFonts w:ascii="Arial" w:hAnsi="Arial" w:cs="Arial"/>
                <w:lang w:val="en-PH"/>
              </w:rPr>
              <w:t>Choi (2017)</w:t>
            </w:r>
          </w:p>
        </w:tc>
        <w:tc>
          <w:tcPr>
            <w:tcW w:w="4320" w:type="dxa"/>
            <w:tcBorders>
              <w:top w:val="nil"/>
              <w:bottom w:val="nil"/>
            </w:tcBorders>
          </w:tcPr>
          <w:p w14:paraId="080C85DA" w14:textId="77777777" w:rsidR="00282B13" w:rsidRDefault="00C662AE">
            <w:pPr>
              <w:jc w:val="both"/>
              <w:rPr>
                <w:rFonts w:ascii="Arial" w:hAnsi="Arial" w:cs="Arial"/>
              </w:rPr>
            </w:pPr>
            <w:r>
              <w:rPr>
                <w:rFonts w:ascii="Arial" w:hAnsi="Arial"/>
              </w:rPr>
              <w:t xml:space="preserve">Consequences of Job Mismatch: </w:t>
            </w:r>
            <w:r>
              <w:rPr>
                <w:rFonts w:ascii="Arial" w:hAnsi="Arial"/>
              </w:rPr>
              <w:t>Empirical Evidence from South Korea</w:t>
            </w:r>
          </w:p>
        </w:tc>
        <w:tc>
          <w:tcPr>
            <w:tcW w:w="2232" w:type="dxa"/>
            <w:vMerge w:val="restart"/>
            <w:tcBorders>
              <w:top w:val="nil"/>
              <w:bottom w:val="single" w:sz="4" w:space="0" w:color="auto"/>
            </w:tcBorders>
          </w:tcPr>
          <w:p w14:paraId="6377A687" w14:textId="77777777" w:rsidR="00282B13" w:rsidRDefault="00C662AE">
            <w:pPr>
              <w:jc w:val="both"/>
              <w:rPr>
                <w:rFonts w:ascii="Arial" w:hAnsi="Arial"/>
              </w:rPr>
            </w:pPr>
            <w:r>
              <w:rPr>
                <w:rFonts w:ascii="Arial" w:hAnsi="Arial"/>
              </w:rPr>
              <w:t>Mismatch as a Predictor of Psychological Distress</w:t>
            </w:r>
          </w:p>
        </w:tc>
      </w:tr>
      <w:tr w:rsidR="00282B13" w14:paraId="6C7FEBD2" w14:textId="77777777">
        <w:trPr>
          <w:trHeight w:val="14"/>
          <w:jc w:val="center"/>
        </w:trPr>
        <w:tc>
          <w:tcPr>
            <w:tcW w:w="1944" w:type="dxa"/>
            <w:tcBorders>
              <w:top w:val="nil"/>
              <w:bottom w:val="single" w:sz="4" w:space="0" w:color="auto"/>
            </w:tcBorders>
          </w:tcPr>
          <w:p w14:paraId="2B450043" w14:textId="77777777" w:rsidR="00282B13" w:rsidRDefault="00C662AE">
            <w:pPr>
              <w:jc w:val="both"/>
              <w:rPr>
                <w:rFonts w:ascii="Arial" w:hAnsi="Arial"/>
                <w:lang w:val="en-PH"/>
              </w:rPr>
            </w:pPr>
            <w:r>
              <w:rPr>
                <w:rFonts w:ascii="Arial" w:hAnsi="Arial"/>
                <w:lang w:val="en-PH"/>
              </w:rPr>
              <w:t>Kim &amp; Choi (2018)</w:t>
            </w:r>
          </w:p>
        </w:tc>
        <w:tc>
          <w:tcPr>
            <w:tcW w:w="4320" w:type="dxa"/>
            <w:tcBorders>
              <w:top w:val="nil"/>
              <w:bottom w:val="single" w:sz="4" w:space="0" w:color="auto"/>
            </w:tcBorders>
          </w:tcPr>
          <w:p w14:paraId="1127D13A" w14:textId="77777777" w:rsidR="00282B13" w:rsidRDefault="00C662AE">
            <w:pPr>
              <w:jc w:val="both"/>
              <w:rPr>
                <w:rFonts w:ascii="Arial" w:hAnsi="Arial"/>
              </w:rPr>
            </w:pPr>
            <w:r>
              <w:rPr>
                <w:rFonts w:ascii="Arial" w:hAnsi="Arial"/>
              </w:rPr>
              <w:t>The Effects of Job Mismatch on Pay, Job Satisfaction, and Performance</w:t>
            </w:r>
          </w:p>
        </w:tc>
        <w:tc>
          <w:tcPr>
            <w:tcW w:w="2232" w:type="dxa"/>
            <w:vMerge/>
            <w:tcBorders>
              <w:top w:val="single" w:sz="4" w:space="0" w:color="auto"/>
              <w:bottom w:val="single" w:sz="4" w:space="0" w:color="auto"/>
            </w:tcBorders>
          </w:tcPr>
          <w:p w14:paraId="3F92597D" w14:textId="77777777" w:rsidR="00282B13" w:rsidRDefault="00282B13">
            <w:pPr>
              <w:jc w:val="both"/>
              <w:rPr>
                <w:rFonts w:ascii="Arial" w:hAnsi="Arial" w:cs="Arial"/>
              </w:rPr>
            </w:pPr>
          </w:p>
        </w:tc>
      </w:tr>
      <w:tr w:rsidR="00282B13" w14:paraId="0D7A7896" w14:textId="77777777">
        <w:trPr>
          <w:trHeight w:val="14"/>
          <w:jc w:val="center"/>
        </w:trPr>
        <w:tc>
          <w:tcPr>
            <w:tcW w:w="1944" w:type="dxa"/>
            <w:tcBorders>
              <w:top w:val="single" w:sz="4" w:space="0" w:color="auto"/>
              <w:bottom w:val="nil"/>
            </w:tcBorders>
          </w:tcPr>
          <w:p w14:paraId="0286C836" w14:textId="77777777" w:rsidR="00282B13" w:rsidRDefault="00C662AE">
            <w:pPr>
              <w:jc w:val="both"/>
              <w:rPr>
                <w:rFonts w:ascii="Arial" w:hAnsi="Arial"/>
                <w:lang w:val="en-PH"/>
              </w:rPr>
            </w:pPr>
            <w:r>
              <w:rPr>
                <w:rFonts w:ascii="Arial" w:hAnsi="Arial"/>
                <w:lang w:val="en-PH"/>
              </w:rPr>
              <w:t>Condes &amp; Lachica (2022)</w:t>
            </w:r>
          </w:p>
        </w:tc>
        <w:tc>
          <w:tcPr>
            <w:tcW w:w="4320" w:type="dxa"/>
            <w:tcBorders>
              <w:top w:val="single" w:sz="4" w:space="0" w:color="auto"/>
              <w:bottom w:val="nil"/>
            </w:tcBorders>
          </w:tcPr>
          <w:p w14:paraId="07BB68E8" w14:textId="77777777" w:rsidR="00282B13" w:rsidRDefault="00C662AE">
            <w:pPr>
              <w:jc w:val="both"/>
              <w:rPr>
                <w:rFonts w:ascii="Arial" w:hAnsi="Arial"/>
              </w:rPr>
            </w:pPr>
            <w:r>
              <w:rPr>
                <w:rFonts w:ascii="Arial" w:hAnsi="Arial"/>
              </w:rPr>
              <w:t xml:space="preserve">Job Mismatch: The Case of Registered Nurses in the </w:t>
            </w:r>
            <w:r>
              <w:rPr>
                <w:rFonts w:ascii="Arial" w:hAnsi="Arial"/>
              </w:rPr>
              <w:t>Philippines</w:t>
            </w:r>
          </w:p>
        </w:tc>
        <w:tc>
          <w:tcPr>
            <w:tcW w:w="2232" w:type="dxa"/>
            <w:vMerge w:val="restart"/>
            <w:tcBorders>
              <w:top w:val="single" w:sz="4" w:space="0" w:color="auto"/>
              <w:bottom w:val="single" w:sz="4" w:space="0" w:color="auto"/>
            </w:tcBorders>
          </w:tcPr>
          <w:p w14:paraId="3BB442FB" w14:textId="77777777" w:rsidR="00282B13" w:rsidRDefault="00C662AE">
            <w:pPr>
              <w:jc w:val="both"/>
              <w:rPr>
                <w:rFonts w:ascii="Arial" w:hAnsi="Arial" w:cs="Arial"/>
              </w:rPr>
            </w:pPr>
            <w:r>
              <w:rPr>
                <w:rFonts w:ascii="Arial" w:hAnsi="Arial"/>
              </w:rPr>
              <w:t>Social Evaluation and Self-Questioning as Sources of Psychological Distress</w:t>
            </w:r>
          </w:p>
        </w:tc>
      </w:tr>
      <w:tr w:rsidR="00282B13" w14:paraId="63E83DDE" w14:textId="77777777">
        <w:trPr>
          <w:trHeight w:val="14"/>
          <w:jc w:val="center"/>
        </w:trPr>
        <w:tc>
          <w:tcPr>
            <w:tcW w:w="1944" w:type="dxa"/>
            <w:tcBorders>
              <w:top w:val="nil"/>
              <w:bottom w:val="single" w:sz="4" w:space="0" w:color="auto"/>
            </w:tcBorders>
          </w:tcPr>
          <w:p w14:paraId="2E70BBC7" w14:textId="77777777" w:rsidR="00282B13" w:rsidRDefault="00C662AE">
            <w:pPr>
              <w:jc w:val="both"/>
              <w:rPr>
                <w:rFonts w:ascii="Arial" w:hAnsi="Arial"/>
                <w:lang w:val="en-PH"/>
              </w:rPr>
            </w:pPr>
            <w:r>
              <w:rPr>
                <w:rFonts w:ascii="Arial" w:hAnsi="Arial"/>
                <w:lang w:val="en-PH"/>
              </w:rPr>
              <w:t>Tag-</w:t>
            </w:r>
            <w:proofErr w:type="spellStart"/>
            <w:r>
              <w:rPr>
                <w:rFonts w:ascii="Arial" w:hAnsi="Arial"/>
                <w:lang w:val="en-PH"/>
              </w:rPr>
              <w:t>ulo</w:t>
            </w:r>
            <w:proofErr w:type="spellEnd"/>
            <w:r>
              <w:rPr>
                <w:rFonts w:ascii="Arial" w:hAnsi="Arial"/>
                <w:lang w:val="en-PH"/>
              </w:rPr>
              <w:t xml:space="preserve">, </w:t>
            </w:r>
            <w:proofErr w:type="spellStart"/>
            <w:r>
              <w:rPr>
                <w:rFonts w:ascii="Arial" w:hAnsi="Arial"/>
                <w:lang w:val="en-PH"/>
              </w:rPr>
              <w:t>Gooc</w:t>
            </w:r>
            <w:proofErr w:type="spellEnd"/>
            <w:r>
              <w:rPr>
                <w:rFonts w:ascii="Arial" w:hAnsi="Arial"/>
                <w:lang w:val="en-PH"/>
              </w:rPr>
              <w:t xml:space="preserve">, and </w:t>
            </w:r>
            <w:proofErr w:type="spellStart"/>
            <w:r>
              <w:rPr>
                <w:rFonts w:ascii="Arial" w:hAnsi="Arial"/>
                <w:lang w:val="en-PH"/>
              </w:rPr>
              <w:t>Seclot</w:t>
            </w:r>
            <w:proofErr w:type="spellEnd"/>
            <w:r>
              <w:rPr>
                <w:rFonts w:ascii="Arial" w:hAnsi="Arial"/>
                <w:lang w:val="en-PH"/>
              </w:rPr>
              <w:t xml:space="preserve"> (2025)</w:t>
            </w:r>
          </w:p>
        </w:tc>
        <w:tc>
          <w:tcPr>
            <w:tcW w:w="4320" w:type="dxa"/>
            <w:tcBorders>
              <w:top w:val="nil"/>
              <w:bottom w:val="single" w:sz="4" w:space="0" w:color="auto"/>
            </w:tcBorders>
          </w:tcPr>
          <w:p w14:paraId="35E09E5B" w14:textId="77777777" w:rsidR="00282B13" w:rsidRDefault="00C662AE">
            <w:pPr>
              <w:jc w:val="both"/>
              <w:rPr>
                <w:rFonts w:ascii="Arial" w:hAnsi="Arial"/>
              </w:rPr>
            </w:pPr>
            <w:r>
              <w:rPr>
                <w:rFonts w:ascii="Arial" w:hAnsi="Arial"/>
              </w:rPr>
              <w:t xml:space="preserve">Exploring Job Mismatch Experiences Among Licensed </w:t>
            </w:r>
            <w:proofErr w:type="gramStart"/>
            <w:r>
              <w:rPr>
                <w:rFonts w:ascii="Arial" w:hAnsi="Arial"/>
              </w:rPr>
              <w:t>English  Teachers</w:t>
            </w:r>
            <w:proofErr w:type="gramEnd"/>
            <w:r>
              <w:rPr>
                <w:rFonts w:ascii="Arial" w:hAnsi="Arial"/>
              </w:rPr>
              <w:t>: A Phenomenological Inquiry</w:t>
            </w:r>
          </w:p>
        </w:tc>
        <w:tc>
          <w:tcPr>
            <w:tcW w:w="2232" w:type="dxa"/>
            <w:vMerge/>
            <w:tcBorders>
              <w:top w:val="single" w:sz="4" w:space="0" w:color="auto"/>
              <w:bottom w:val="single" w:sz="4" w:space="0" w:color="auto"/>
            </w:tcBorders>
          </w:tcPr>
          <w:p w14:paraId="0527D377" w14:textId="77777777" w:rsidR="00282B13" w:rsidRDefault="00282B13">
            <w:pPr>
              <w:jc w:val="both"/>
              <w:rPr>
                <w:rFonts w:ascii="Arial" w:hAnsi="Arial" w:cs="Arial"/>
              </w:rPr>
            </w:pPr>
          </w:p>
        </w:tc>
      </w:tr>
      <w:tr w:rsidR="00282B13" w14:paraId="49F41535" w14:textId="77777777">
        <w:trPr>
          <w:trHeight w:val="14"/>
          <w:jc w:val="center"/>
        </w:trPr>
        <w:tc>
          <w:tcPr>
            <w:tcW w:w="1944" w:type="dxa"/>
            <w:tcBorders>
              <w:top w:val="single" w:sz="4" w:space="0" w:color="auto"/>
              <w:bottom w:val="nil"/>
            </w:tcBorders>
          </w:tcPr>
          <w:p w14:paraId="5F9A4BFB" w14:textId="77777777" w:rsidR="00282B13" w:rsidRDefault="00C662AE">
            <w:pPr>
              <w:jc w:val="both"/>
              <w:rPr>
                <w:rFonts w:ascii="Arial" w:hAnsi="Arial"/>
                <w:lang w:val="en-PH"/>
              </w:rPr>
            </w:pPr>
            <w:r>
              <w:rPr>
                <w:rFonts w:ascii="Arial" w:hAnsi="Arial"/>
                <w:lang w:val="en-PH"/>
              </w:rPr>
              <w:t xml:space="preserve">Wardani et al. </w:t>
            </w:r>
            <w:r>
              <w:rPr>
                <w:rFonts w:ascii="Arial" w:hAnsi="Arial"/>
                <w:lang w:val="en-PH"/>
              </w:rPr>
              <w:lastRenderedPageBreak/>
              <w:t>(2021)</w:t>
            </w:r>
          </w:p>
        </w:tc>
        <w:tc>
          <w:tcPr>
            <w:tcW w:w="4320" w:type="dxa"/>
            <w:tcBorders>
              <w:top w:val="single" w:sz="4" w:space="0" w:color="auto"/>
              <w:bottom w:val="nil"/>
            </w:tcBorders>
          </w:tcPr>
          <w:p w14:paraId="3D61D053" w14:textId="77777777" w:rsidR="00282B13" w:rsidRDefault="00C662AE">
            <w:pPr>
              <w:jc w:val="both"/>
              <w:rPr>
                <w:rFonts w:ascii="Arial" w:hAnsi="Arial"/>
              </w:rPr>
            </w:pPr>
            <w:r>
              <w:rPr>
                <w:rFonts w:ascii="Arial" w:hAnsi="Arial"/>
              </w:rPr>
              <w:lastRenderedPageBreak/>
              <w:t xml:space="preserve">Career of </w:t>
            </w:r>
            <w:r>
              <w:rPr>
                <w:rFonts w:ascii="Arial" w:hAnsi="Arial"/>
              </w:rPr>
              <w:t xml:space="preserve">Horizontal Mismatch Workers: </w:t>
            </w:r>
            <w:r>
              <w:rPr>
                <w:rFonts w:ascii="Arial" w:hAnsi="Arial"/>
              </w:rPr>
              <w:lastRenderedPageBreak/>
              <w:t>Career Competency, Job Crafting, and Work Engagement</w:t>
            </w:r>
          </w:p>
        </w:tc>
        <w:tc>
          <w:tcPr>
            <w:tcW w:w="2232" w:type="dxa"/>
            <w:tcBorders>
              <w:top w:val="single" w:sz="4" w:space="0" w:color="auto"/>
              <w:bottom w:val="nil"/>
            </w:tcBorders>
          </w:tcPr>
          <w:p w14:paraId="6C81C875" w14:textId="77777777" w:rsidR="00282B13" w:rsidRDefault="00C662AE">
            <w:pPr>
              <w:jc w:val="both"/>
              <w:rPr>
                <w:rFonts w:ascii="Arial" w:hAnsi="Arial" w:cs="Arial"/>
              </w:rPr>
            </w:pPr>
            <w:r>
              <w:rPr>
                <w:rFonts w:ascii="Arial" w:hAnsi="Arial"/>
              </w:rPr>
              <w:lastRenderedPageBreak/>
              <w:t xml:space="preserve">Weak Career </w:t>
            </w:r>
            <w:r>
              <w:rPr>
                <w:rFonts w:ascii="Arial" w:hAnsi="Arial"/>
              </w:rPr>
              <w:lastRenderedPageBreak/>
              <w:t>Engagement as a Psychological Strain</w:t>
            </w:r>
          </w:p>
        </w:tc>
      </w:tr>
      <w:tr w:rsidR="00282B13" w14:paraId="28D4251F" w14:textId="77777777">
        <w:trPr>
          <w:trHeight w:val="14"/>
          <w:jc w:val="center"/>
        </w:trPr>
        <w:tc>
          <w:tcPr>
            <w:tcW w:w="1944" w:type="dxa"/>
            <w:tcBorders>
              <w:top w:val="nil"/>
              <w:bottom w:val="nil"/>
            </w:tcBorders>
          </w:tcPr>
          <w:p w14:paraId="33DE70E4" w14:textId="77777777" w:rsidR="00282B13" w:rsidRDefault="00C662AE">
            <w:pPr>
              <w:jc w:val="both"/>
              <w:rPr>
                <w:rFonts w:ascii="Arial" w:hAnsi="Arial"/>
                <w:lang w:val="en-PH"/>
              </w:rPr>
            </w:pPr>
            <w:r>
              <w:rPr>
                <w:rFonts w:ascii="Arial" w:hAnsi="Arial"/>
                <w:lang w:val="en-PH"/>
              </w:rPr>
              <w:lastRenderedPageBreak/>
              <w:t xml:space="preserve">Brendler-Lindqvist, Tondel, </w:t>
            </w:r>
            <w:proofErr w:type="spellStart"/>
            <w:r>
              <w:rPr>
                <w:rFonts w:ascii="Arial" w:hAnsi="Arial"/>
                <w:lang w:val="en-PH"/>
              </w:rPr>
              <w:t>Helgesson</w:t>
            </w:r>
            <w:proofErr w:type="spellEnd"/>
            <w:r>
              <w:rPr>
                <w:rFonts w:ascii="Arial" w:hAnsi="Arial"/>
                <w:lang w:val="en-PH"/>
              </w:rPr>
              <w:t xml:space="preserve">, Nordqvist, and </w:t>
            </w:r>
            <w:proofErr w:type="spellStart"/>
            <w:r>
              <w:rPr>
                <w:rFonts w:ascii="Arial" w:hAnsi="Arial"/>
                <w:lang w:val="en-PH"/>
              </w:rPr>
              <w:t>Svartengren</w:t>
            </w:r>
            <w:proofErr w:type="spellEnd"/>
            <w:r>
              <w:rPr>
                <w:rFonts w:ascii="Arial" w:hAnsi="Arial"/>
                <w:lang w:val="en-PH"/>
              </w:rPr>
              <w:t xml:space="preserve"> (2022)</w:t>
            </w:r>
          </w:p>
        </w:tc>
        <w:tc>
          <w:tcPr>
            <w:tcW w:w="4320" w:type="dxa"/>
            <w:tcBorders>
              <w:top w:val="nil"/>
              <w:bottom w:val="nil"/>
            </w:tcBorders>
          </w:tcPr>
          <w:p w14:paraId="779D9E1C" w14:textId="77777777" w:rsidR="00282B13" w:rsidRDefault="00C662AE">
            <w:pPr>
              <w:jc w:val="both"/>
              <w:rPr>
                <w:rFonts w:ascii="Arial" w:hAnsi="Arial"/>
              </w:rPr>
            </w:pPr>
            <w:r>
              <w:rPr>
                <w:rFonts w:ascii="Arial" w:hAnsi="Arial"/>
              </w:rPr>
              <w:t xml:space="preserve">Overqualification at Work and Risk of </w:t>
            </w:r>
            <w:r>
              <w:rPr>
                <w:rFonts w:ascii="Arial" w:hAnsi="Arial"/>
              </w:rPr>
              <w:t>Hospitalization for Psychiatric and Somatic Diseases Among Immigrants in Sweden – A Prospective Register-Based Study</w:t>
            </w:r>
          </w:p>
        </w:tc>
        <w:tc>
          <w:tcPr>
            <w:tcW w:w="2232" w:type="dxa"/>
            <w:vMerge w:val="restart"/>
            <w:tcBorders>
              <w:top w:val="nil"/>
            </w:tcBorders>
          </w:tcPr>
          <w:p w14:paraId="74C79CB8" w14:textId="77777777" w:rsidR="00282B13" w:rsidRDefault="00C662AE">
            <w:pPr>
              <w:jc w:val="both"/>
              <w:rPr>
                <w:rFonts w:ascii="Arial" w:hAnsi="Arial" w:cs="Arial"/>
              </w:rPr>
            </w:pPr>
            <w:r>
              <w:rPr>
                <w:rFonts w:ascii="Arial" w:hAnsi="Arial"/>
              </w:rPr>
              <w:t>Elevated Risks of Psychological Distress</w:t>
            </w:r>
          </w:p>
        </w:tc>
      </w:tr>
      <w:tr w:rsidR="00282B13" w14:paraId="7062D606" w14:textId="77777777">
        <w:trPr>
          <w:jc w:val="center"/>
        </w:trPr>
        <w:tc>
          <w:tcPr>
            <w:tcW w:w="1944" w:type="dxa"/>
            <w:tcBorders>
              <w:top w:val="nil"/>
              <w:bottom w:val="single" w:sz="4" w:space="0" w:color="auto"/>
            </w:tcBorders>
          </w:tcPr>
          <w:p w14:paraId="6DA0EDDA" w14:textId="77777777" w:rsidR="00282B13" w:rsidRDefault="00C662AE">
            <w:pPr>
              <w:jc w:val="both"/>
              <w:rPr>
                <w:rFonts w:ascii="Arial" w:hAnsi="Arial"/>
                <w:lang w:val="en-PH"/>
              </w:rPr>
            </w:pPr>
            <w:r>
              <w:rPr>
                <w:rFonts w:ascii="Arial" w:hAnsi="Arial"/>
                <w:lang w:val="en-PH"/>
              </w:rPr>
              <w:t>Madsen &amp; Røberg (2021)</w:t>
            </w:r>
          </w:p>
        </w:tc>
        <w:tc>
          <w:tcPr>
            <w:tcW w:w="4320" w:type="dxa"/>
            <w:tcBorders>
              <w:top w:val="nil"/>
              <w:bottom w:val="single" w:sz="4" w:space="0" w:color="auto"/>
            </w:tcBorders>
          </w:tcPr>
          <w:p w14:paraId="51D1AAFF" w14:textId="77777777" w:rsidR="00282B13" w:rsidRDefault="00C662AE">
            <w:pPr>
              <w:jc w:val="both"/>
              <w:rPr>
                <w:rFonts w:ascii="Arial" w:hAnsi="Arial"/>
              </w:rPr>
            </w:pPr>
            <w:r>
              <w:rPr>
                <w:rFonts w:ascii="Arial" w:hAnsi="Arial"/>
              </w:rPr>
              <w:t xml:space="preserve">Overqualification at Work and Risk of Hospitalization for Psychiatric and </w:t>
            </w:r>
            <w:r>
              <w:rPr>
                <w:rFonts w:ascii="Arial" w:hAnsi="Arial"/>
              </w:rPr>
              <w:t>Somatic Diseases Among Immigrants in Sweden – A Prospective Register-Based Study</w:t>
            </w:r>
          </w:p>
        </w:tc>
        <w:tc>
          <w:tcPr>
            <w:tcW w:w="2232" w:type="dxa"/>
            <w:vMerge/>
            <w:tcBorders>
              <w:bottom w:val="single" w:sz="4" w:space="0" w:color="auto"/>
            </w:tcBorders>
            <w:vAlign w:val="center"/>
          </w:tcPr>
          <w:p w14:paraId="7399DA91" w14:textId="77777777" w:rsidR="00282B13" w:rsidRDefault="00282B13">
            <w:pPr>
              <w:jc w:val="both"/>
              <w:rPr>
                <w:rFonts w:ascii="Arial" w:hAnsi="Arial" w:cs="Arial"/>
                <w:color w:val="8064A2" w:themeColor="accent4"/>
              </w:rPr>
            </w:pPr>
          </w:p>
        </w:tc>
      </w:tr>
    </w:tbl>
    <w:p w14:paraId="1AB98D02" w14:textId="77777777" w:rsidR="00282B13" w:rsidRDefault="00282B13">
      <w:pPr>
        <w:pStyle w:val="Body"/>
        <w:spacing w:after="0"/>
        <w:rPr>
          <w:rFonts w:ascii="Arial" w:hAnsi="Arial" w:cs="Arial"/>
        </w:rPr>
      </w:pPr>
    </w:p>
    <w:p w14:paraId="5B633DB2" w14:textId="77777777" w:rsidR="00282B13" w:rsidRDefault="00C662AE">
      <w:pPr>
        <w:pStyle w:val="Body"/>
        <w:spacing w:after="0"/>
        <w:rPr>
          <w:rFonts w:ascii="Arial" w:hAnsi="Arial"/>
          <w:b/>
          <w:bCs/>
        </w:rPr>
      </w:pPr>
      <w:r>
        <w:rPr>
          <w:rFonts w:ascii="Arial" w:hAnsi="Arial" w:cs="Arial"/>
          <w:b/>
          <w:bCs/>
        </w:rPr>
        <w:t xml:space="preserve">Table 5. </w:t>
      </w:r>
      <w:r>
        <w:rPr>
          <w:rFonts w:ascii="Arial" w:hAnsi="Arial"/>
          <w:b/>
          <w:bCs/>
        </w:rPr>
        <w:t>Other psychological effects experienced by professionals due to career mismatch.</w:t>
      </w:r>
    </w:p>
    <w:p w14:paraId="0942C9CE" w14:textId="77777777" w:rsidR="00282B13" w:rsidRDefault="00282B13">
      <w:pPr>
        <w:pStyle w:val="Body"/>
        <w:spacing w:after="0"/>
        <w:rPr>
          <w:rFonts w:ascii="Arial" w:hAnsi="Arial"/>
          <w:b/>
          <w:bCs/>
        </w:rPr>
      </w:pPr>
    </w:p>
    <w:tbl>
      <w:tblPr>
        <w:tblW w:w="8496"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944"/>
        <w:gridCol w:w="4320"/>
        <w:gridCol w:w="2232"/>
      </w:tblGrid>
      <w:tr w:rsidR="00282B13" w14:paraId="6389C89B" w14:textId="77777777">
        <w:trPr>
          <w:jc w:val="center"/>
        </w:trPr>
        <w:tc>
          <w:tcPr>
            <w:tcW w:w="1944" w:type="dxa"/>
            <w:tcBorders>
              <w:bottom w:val="single" w:sz="4" w:space="0" w:color="auto"/>
            </w:tcBorders>
          </w:tcPr>
          <w:p w14:paraId="6244AC24" w14:textId="77777777" w:rsidR="00282B13" w:rsidRDefault="00C662AE">
            <w:pPr>
              <w:jc w:val="both"/>
              <w:rPr>
                <w:rFonts w:ascii="Arial" w:hAnsi="Arial"/>
                <w:b/>
                <w:bCs/>
              </w:rPr>
            </w:pPr>
            <w:r>
              <w:rPr>
                <w:rFonts w:ascii="Arial" w:hAnsi="Arial"/>
                <w:b/>
                <w:bCs/>
              </w:rPr>
              <w:t>Author/s</w:t>
            </w:r>
          </w:p>
        </w:tc>
        <w:tc>
          <w:tcPr>
            <w:tcW w:w="4320" w:type="dxa"/>
            <w:tcBorders>
              <w:bottom w:val="single" w:sz="4" w:space="0" w:color="auto"/>
            </w:tcBorders>
          </w:tcPr>
          <w:p w14:paraId="7F8CC5C7" w14:textId="77777777" w:rsidR="00282B13" w:rsidRDefault="00C662AE">
            <w:pPr>
              <w:jc w:val="both"/>
              <w:rPr>
                <w:rFonts w:ascii="Arial" w:hAnsi="Arial"/>
                <w:b/>
                <w:bCs/>
              </w:rPr>
            </w:pPr>
            <w:r>
              <w:rPr>
                <w:rFonts w:ascii="Arial" w:hAnsi="Arial"/>
                <w:b/>
                <w:bCs/>
              </w:rPr>
              <w:t>Article Title</w:t>
            </w:r>
          </w:p>
        </w:tc>
        <w:tc>
          <w:tcPr>
            <w:tcW w:w="2232" w:type="dxa"/>
            <w:tcBorders>
              <w:bottom w:val="single" w:sz="4" w:space="0" w:color="auto"/>
            </w:tcBorders>
          </w:tcPr>
          <w:p w14:paraId="568C684A" w14:textId="77777777" w:rsidR="00282B13" w:rsidRDefault="00C662AE">
            <w:pPr>
              <w:jc w:val="both"/>
              <w:rPr>
                <w:rFonts w:ascii="Arial" w:hAnsi="Arial"/>
                <w:b/>
                <w:bCs/>
              </w:rPr>
            </w:pPr>
            <w:r>
              <w:rPr>
                <w:rFonts w:ascii="Arial" w:hAnsi="Arial"/>
                <w:b/>
                <w:bCs/>
              </w:rPr>
              <w:t>Theme</w:t>
            </w:r>
          </w:p>
        </w:tc>
      </w:tr>
      <w:tr w:rsidR="00282B13" w14:paraId="15E8E6F7" w14:textId="77777777">
        <w:trPr>
          <w:jc w:val="center"/>
        </w:trPr>
        <w:tc>
          <w:tcPr>
            <w:tcW w:w="1944" w:type="dxa"/>
            <w:tcBorders>
              <w:top w:val="nil"/>
              <w:bottom w:val="nil"/>
            </w:tcBorders>
          </w:tcPr>
          <w:p w14:paraId="37E1C776" w14:textId="77777777" w:rsidR="00282B13" w:rsidRDefault="00C662AE">
            <w:pPr>
              <w:jc w:val="both"/>
              <w:rPr>
                <w:rFonts w:ascii="Arial" w:hAnsi="Arial" w:cs="Arial"/>
              </w:rPr>
            </w:pPr>
            <w:r>
              <w:rPr>
                <w:rFonts w:ascii="Arial" w:hAnsi="Arial"/>
              </w:rPr>
              <w:t>Tag-</w:t>
            </w:r>
            <w:proofErr w:type="spellStart"/>
            <w:r>
              <w:rPr>
                <w:rFonts w:ascii="Arial" w:hAnsi="Arial"/>
              </w:rPr>
              <w:t>ulo</w:t>
            </w:r>
            <w:proofErr w:type="spellEnd"/>
            <w:r>
              <w:rPr>
                <w:rFonts w:ascii="Arial" w:hAnsi="Arial"/>
              </w:rPr>
              <w:t xml:space="preserve">, </w:t>
            </w:r>
            <w:proofErr w:type="spellStart"/>
            <w:r>
              <w:rPr>
                <w:rFonts w:ascii="Arial" w:hAnsi="Arial"/>
              </w:rPr>
              <w:t>Gooc</w:t>
            </w:r>
            <w:proofErr w:type="spellEnd"/>
            <w:r>
              <w:rPr>
                <w:rFonts w:ascii="Arial" w:hAnsi="Arial"/>
              </w:rPr>
              <w:t xml:space="preserve">, and </w:t>
            </w:r>
            <w:proofErr w:type="spellStart"/>
            <w:r>
              <w:rPr>
                <w:rFonts w:ascii="Arial" w:hAnsi="Arial"/>
              </w:rPr>
              <w:t>Seclot</w:t>
            </w:r>
            <w:proofErr w:type="spellEnd"/>
            <w:r>
              <w:rPr>
                <w:rFonts w:ascii="Arial" w:hAnsi="Arial"/>
              </w:rPr>
              <w:t xml:space="preserve"> (2025)</w:t>
            </w:r>
          </w:p>
        </w:tc>
        <w:tc>
          <w:tcPr>
            <w:tcW w:w="4320" w:type="dxa"/>
            <w:tcBorders>
              <w:top w:val="nil"/>
              <w:bottom w:val="nil"/>
            </w:tcBorders>
          </w:tcPr>
          <w:p w14:paraId="6BADDBF2" w14:textId="77777777" w:rsidR="00282B13" w:rsidRDefault="00C662AE">
            <w:pPr>
              <w:jc w:val="both"/>
              <w:rPr>
                <w:rFonts w:ascii="Arial" w:hAnsi="Arial" w:cs="Arial"/>
              </w:rPr>
            </w:pPr>
            <w:r>
              <w:rPr>
                <w:rFonts w:ascii="Arial" w:hAnsi="Arial"/>
              </w:rPr>
              <w:t xml:space="preserve">Exploring Job </w:t>
            </w:r>
            <w:r>
              <w:rPr>
                <w:rFonts w:ascii="Arial" w:hAnsi="Arial"/>
              </w:rPr>
              <w:t>Mismatch Experiences Among Licensed English Teachers: A Phenomenological Inquiry</w:t>
            </w:r>
          </w:p>
        </w:tc>
        <w:tc>
          <w:tcPr>
            <w:tcW w:w="2232" w:type="dxa"/>
            <w:vMerge w:val="restart"/>
            <w:tcBorders>
              <w:top w:val="nil"/>
              <w:bottom w:val="single" w:sz="4" w:space="0" w:color="auto"/>
            </w:tcBorders>
          </w:tcPr>
          <w:p w14:paraId="07DBCA34" w14:textId="77777777" w:rsidR="00282B13" w:rsidRDefault="00C662AE">
            <w:pPr>
              <w:jc w:val="both"/>
              <w:rPr>
                <w:rFonts w:ascii="Arial" w:hAnsi="Arial"/>
              </w:rPr>
            </w:pPr>
            <w:r>
              <w:rPr>
                <w:rFonts w:ascii="Arial" w:hAnsi="Arial"/>
              </w:rPr>
              <w:t>Psychological Resilience and Adaptive Coping</w:t>
            </w:r>
          </w:p>
        </w:tc>
      </w:tr>
      <w:tr w:rsidR="00282B13" w14:paraId="07C355EA" w14:textId="77777777">
        <w:trPr>
          <w:jc w:val="center"/>
        </w:trPr>
        <w:tc>
          <w:tcPr>
            <w:tcW w:w="1944" w:type="dxa"/>
            <w:tcBorders>
              <w:top w:val="nil"/>
              <w:bottom w:val="single" w:sz="4" w:space="0" w:color="auto"/>
            </w:tcBorders>
          </w:tcPr>
          <w:p w14:paraId="22F13C71" w14:textId="77777777" w:rsidR="00282B13" w:rsidRDefault="00C662AE">
            <w:pPr>
              <w:jc w:val="both"/>
              <w:rPr>
                <w:rFonts w:ascii="Arial" w:hAnsi="Arial"/>
              </w:rPr>
            </w:pPr>
            <w:r>
              <w:rPr>
                <w:rFonts w:ascii="Arial" w:hAnsi="Arial"/>
              </w:rPr>
              <w:t>Condes and Lachica (2022)</w:t>
            </w:r>
          </w:p>
        </w:tc>
        <w:tc>
          <w:tcPr>
            <w:tcW w:w="4320" w:type="dxa"/>
            <w:tcBorders>
              <w:top w:val="nil"/>
              <w:bottom w:val="single" w:sz="4" w:space="0" w:color="auto"/>
            </w:tcBorders>
          </w:tcPr>
          <w:p w14:paraId="1BA8830F" w14:textId="77777777" w:rsidR="00282B13" w:rsidRDefault="00C662AE">
            <w:pPr>
              <w:jc w:val="both"/>
              <w:rPr>
                <w:rFonts w:ascii="Arial" w:hAnsi="Arial"/>
              </w:rPr>
            </w:pPr>
            <w:r>
              <w:rPr>
                <w:rFonts w:ascii="Arial" w:hAnsi="Arial"/>
              </w:rPr>
              <w:t>Job Mismatch: The Case of Registered Nurses in the Philippines</w:t>
            </w:r>
          </w:p>
        </w:tc>
        <w:tc>
          <w:tcPr>
            <w:tcW w:w="2232" w:type="dxa"/>
            <w:vMerge/>
            <w:tcBorders>
              <w:top w:val="single" w:sz="4" w:space="0" w:color="auto"/>
              <w:bottom w:val="single" w:sz="4" w:space="0" w:color="auto"/>
            </w:tcBorders>
          </w:tcPr>
          <w:p w14:paraId="2AB89F48" w14:textId="77777777" w:rsidR="00282B13" w:rsidRDefault="00282B13">
            <w:pPr>
              <w:jc w:val="both"/>
              <w:rPr>
                <w:rFonts w:ascii="Arial" w:hAnsi="Arial" w:cs="Arial"/>
              </w:rPr>
            </w:pPr>
          </w:p>
        </w:tc>
      </w:tr>
      <w:tr w:rsidR="00282B13" w14:paraId="756F0D9E" w14:textId="77777777">
        <w:trPr>
          <w:jc w:val="center"/>
        </w:trPr>
        <w:tc>
          <w:tcPr>
            <w:tcW w:w="1944" w:type="dxa"/>
            <w:tcBorders>
              <w:top w:val="single" w:sz="4" w:space="0" w:color="auto"/>
              <w:bottom w:val="nil"/>
            </w:tcBorders>
          </w:tcPr>
          <w:p w14:paraId="6BC3B3CB" w14:textId="77777777" w:rsidR="00282B13" w:rsidRDefault="00C662AE">
            <w:pPr>
              <w:jc w:val="both"/>
              <w:rPr>
                <w:rFonts w:ascii="Arial" w:hAnsi="Arial"/>
              </w:rPr>
            </w:pPr>
            <w:r>
              <w:rPr>
                <w:rFonts w:ascii="Arial" w:hAnsi="Arial"/>
              </w:rPr>
              <w:t>Hirao (2024)</w:t>
            </w:r>
          </w:p>
        </w:tc>
        <w:tc>
          <w:tcPr>
            <w:tcW w:w="4320" w:type="dxa"/>
            <w:tcBorders>
              <w:top w:val="single" w:sz="4" w:space="0" w:color="auto"/>
              <w:bottom w:val="nil"/>
            </w:tcBorders>
          </w:tcPr>
          <w:p w14:paraId="4DD55F04" w14:textId="77777777" w:rsidR="00282B13" w:rsidRDefault="00C662AE">
            <w:pPr>
              <w:jc w:val="both"/>
              <w:rPr>
                <w:rFonts w:ascii="Arial" w:hAnsi="Arial"/>
              </w:rPr>
            </w:pPr>
            <w:r>
              <w:rPr>
                <w:rFonts w:ascii="Arial" w:hAnsi="Arial"/>
              </w:rPr>
              <w:t xml:space="preserve">Horizontal Education-Job </w:t>
            </w:r>
            <w:r>
              <w:rPr>
                <w:rFonts w:ascii="Arial" w:hAnsi="Arial"/>
              </w:rPr>
              <w:t>Mismatch in a Medium-Sized Japanese Company</w:t>
            </w:r>
          </w:p>
        </w:tc>
        <w:tc>
          <w:tcPr>
            <w:tcW w:w="2232" w:type="dxa"/>
            <w:vMerge w:val="restart"/>
            <w:tcBorders>
              <w:top w:val="single" w:sz="4" w:space="0" w:color="auto"/>
              <w:bottom w:val="single" w:sz="4" w:space="0" w:color="auto"/>
            </w:tcBorders>
          </w:tcPr>
          <w:p w14:paraId="0DAB086E" w14:textId="77777777" w:rsidR="00282B13" w:rsidRDefault="00C662AE">
            <w:pPr>
              <w:jc w:val="both"/>
              <w:rPr>
                <w:rFonts w:ascii="Arial" w:hAnsi="Arial" w:cs="Arial"/>
              </w:rPr>
            </w:pPr>
            <w:r>
              <w:t xml:space="preserve">Job Attitudes and Commitment </w:t>
            </w:r>
          </w:p>
        </w:tc>
      </w:tr>
      <w:tr w:rsidR="00282B13" w14:paraId="626CB5B0" w14:textId="77777777">
        <w:trPr>
          <w:jc w:val="center"/>
        </w:trPr>
        <w:tc>
          <w:tcPr>
            <w:tcW w:w="1944" w:type="dxa"/>
            <w:tcBorders>
              <w:top w:val="nil"/>
              <w:bottom w:val="nil"/>
            </w:tcBorders>
          </w:tcPr>
          <w:p w14:paraId="406A664D" w14:textId="77777777" w:rsidR="00282B13" w:rsidRDefault="00C662AE">
            <w:pPr>
              <w:jc w:val="both"/>
              <w:rPr>
                <w:rFonts w:ascii="Arial" w:hAnsi="Arial"/>
              </w:rPr>
            </w:pPr>
            <w:r>
              <w:rPr>
                <w:rFonts w:ascii="Arial" w:hAnsi="Arial"/>
              </w:rPr>
              <w:t>Choi (2017)</w:t>
            </w:r>
          </w:p>
        </w:tc>
        <w:tc>
          <w:tcPr>
            <w:tcW w:w="4320" w:type="dxa"/>
            <w:tcBorders>
              <w:top w:val="nil"/>
              <w:bottom w:val="nil"/>
            </w:tcBorders>
          </w:tcPr>
          <w:p w14:paraId="4CE37435" w14:textId="77777777" w:rsidR="00282B13" w:rsidRDefault="00C662AE">
            <w:pPr>
              <w:jc w:val="both"/>
              <w:rPr>
                <w:rFonts w:ascii="Arial" w:hAnsi="Arial"/>
              </w:rPr>
            </w:pPr>
            <w:r>
              <w:rPr>
                <w:rFonts w:ascii="Arial" w:hAnsi="Arial"/>
              </w:rPr>
              <w:t>Consequences of Job Mismatch: Empirical Evidence from South Korea</w:t>
            </w:r>
          </w:p>
        </w:tc>
        <w:tc>
          <w:tcPr>
            <w:tcW w:w="2232" w:type="dxa"/>
            <w:vMerge/>
            <w:tcBorders>
              <w:top w:val="single" w:sz="4" w:space="0" w:color="auto"/>
              <w:bottom w:val="single" w:sz="4" w:space="0" w:color="auto"/>
            </w:tcBorders>
          </w:tcPr>
          <w:p w14:paraId="4CEE0618" w14:textId="77777777" w:rsidR="00282B13" w:rsidRDefault="00282B13">
            <w:pPr>
              <w:jc w:val="both"/>
              <w:rPr>
                <w:rFonts w:ascii="Arial" w:hAnsi="Arial" w:cs="Arial"/>
              </w:rPr>
            </w:pPr>
          </w:p>
        </w:tc>
      </w:tr>
      <w:tr w:rsidR="00282B13" w14:paraId="3E2D0A5F" w14:textId="77777777">
        <w:trPr>
          <w:jc w:val="center"/>
        </w:trPr>
        <w:tc>
          <w:tcPr>
            <w:tcW w:w="1944" w:type="dxa"/>
            <w:tcBorders>
              <w:top w:val="nil"/>
              <w:bottom w:val="single" w:sz="4" w:space="0" w:color="auto"/>
            </w:tcBorders>
          </w:tcPr>
          <w:p w14:paraId="7F82FB26" w14:textId="77777777" w:rsidR="00282B13" w:rsidRDefault="00C662AE">
            <w:pPr>
              <w:jc w:val="both"/>
              <w:rPr>
                <w:rFonts w:ascii="Arial" w:hAnsi="Arial"/>
              </w:rPr>
            </w:pPr>
            <w:r>
              <w:rPr>
                <w:rFonts w:ascii="Arial" w:hAnsi="Arial"/>
              </w:rPr>
              <w:t xml:space="preserve">Weber, Ferry, and </w:t>
            </w:r>
            <w:proofErr w:type="spellStart"/>
            <w:r>
              <w:rPr>
                <w:rFonts w:ascii="Arial" w:hAnsi="Arial"/>
              </w:rPr>
              <w:t>Ichou</w:t>
            </w:r>
            <w:proofErr w:type="spellEnd"/>
            <w:r>
              <w:rPr>
                <w:rFonts w:ascii="Arial" w:hAnsi="Arial"/>
              </w:rPr>
              <w:t xml:space="preserve"> (2023)</w:t>
            </w:r>
          </w:p>
        </w:tc>
        <w:tc>
          <w:tcPr>
            <w:tcW w:w="4320" w:type="dxa"/>
            <w:tcBorders>
              <w:top w:val="nil"/>
              <w:bottom w:val="single" w:sz="4" w:space="0" w:color="auto"/>
            </w:tcBorders>
          </w:tcPr>
          <w:p w14:paraId="5EE9D551" w14:textId="77777777" w:rsidR="00282B13" w:rsidRDefault="00C662AE">
            <w:pPr>
              <w:jc w:val="both"/>
              <w:rPr>
                <w:rFonts w:ascii="Arial" w:hAnsi="Arial"/>
              </w:rPr>
            </w:pPr>
            <w:r>
              <w:rPr>
                <w:rFonts w:ascii="Arial" w:hAnsi="Arial"/>
              </w:rPr>
              <w:t xml:space="preserve">Which Degree for Which Occupation? Vertical and Horizontal Mismatch </w:t>
            </w:r>
            <w:r>
              <w:rPr>
                <w:rFonts w:ascii="Arial" w:hAnsi="Arial"/>
              </w:rPr>
              <w:t>Among Immigrants, Their Children, and Grandchildren in France</w:t>
            </w:r>
          </w:p>
        </w:tc>
        <w:tc>
          <w:tcPr>
            <w:tcW w:w="2232" w:type="dxa"/>
            <w:vMerge/>
            <w:tcBorders>
              <w:top w:val="single" w:sz="4" w:space="0" w:color="auto"/>
              <w:bottom w:val="single" w:sz="4" w:space="0" w:color="auto"/>
            </w:tcBorders>
          </w:tcPr>
          <w:p w14:paraId="4BA96FA6" w14:textId="77777777" w:rsidR="00282B13" w:rsidRDefault="00282B13">
            <w:pPr>
              <w:jc w:val="both"/>
              <w:rPr>
                <w:rFonts w:ascii="Arial" w:hAnsi="Arial" w:cs="Arial"/>
              </w:rPr>
            </w:pPr>
          </w:p>
        </w:tc>
      </w:tr>
      <w:tr w:rsidR="00282B13" w14:paraId="3D46CC41" w14:textId="77777777">
        <w:trPr>
          <w:jc w:val="center"/>
        </w:trPr>
        <w:tc>
          <w:tcPr>
            <w:tcW w:w="1944" w:type="dxa"/>
            <w:tcBorders>
              <w:top w:val="single" w:sz="4" w:space="0" w:color="auto"/>
              <w:bottom w:val="nil"/>
            </w:tcBorders>
          </w:tcPr>
          <w:p w14:paraId="60F3BAE6" w14:textId="77777777" w:rsidR="00282B13" w:rsidRDefault="00C662AE">
            <w:pPr>
              <w:jc w:val="both"/>
              <w:rPr>
                <w:rFonts w:ascii="Arial" w:hAnsi="Arial"/>
              </w:rPr>
            </w:pPr>
            <w:r>
              <w:rPr>
                <w:rFonts w:ascii="Arial" w:hAnsi="Arial"/>
              </w:rPr>
              <w:t>Madsen &amp; Røberg (2021)</w:t>
            </w:r>
          </w:p>
        </w:tc>
        <w:tc>
          <w:tcPr>
            <w:tcW w:w="4320" w:type="dxa"/>
            <w:tcBorders>
              <w:top w:val="single" w:sz="4" w:space="0" w:color="auto"/>
              <w:bottom w:val="nil"/>
            </w:tcBorders>
          </w:tcPr>
          <w:p w14:paraId="0155E1F9" w14:textId="77777777" w:rsidR="00282B13" w:rsidRDefault="00C662AE">
            <w:pPr>
              <w:jc w:val="both"/>
              <w:rPr>
                <w:rFonts w:ascii="Arial" w:hAnsi="Arial"/>
              </w:rPr>
            </w:pPr>
            <w:r>
              <w:rPr>
                <w:rFonts w:ascii="Arial" w:hAnsi="Arial"/>
              </w:rPr>
              <w:t>Education–Occupation Mismatch and Long-Term Sickness Absence: A Longitudinal Study of Over-</w:t>
            </w:r>
            <w:proofErr w:type="gramStart"/>
            <w:r>
              <w:rPr>
                <w:rFonts w:ascii="Arial" w:hAnsi="Arial"/>
              </w:rPr>
              <w:t>And</w:t>
            </w:r>
            <w:proofErr w:type="gramEnd"/>
            <w:r>
              <w:rPr>
                <w:rFonts w:ascii="Arial" w:hAnsi="Arial"/>
              </w:rPr>
              <w:t xml:space="preserve"> Under-Education Using Norwegian Population Data, 2003–2013</w:t>
            </w:r>
          </w:p>
        </w:tc>
        <w:tc>
          <w:tcPr>
            <w:tcW w:w="2232" w:type="dxa"/>
            <w:vMerge w:val="restart"/>
            <w:tcBorders>
              <w:top w:val="single" w:sz="4" w:space="0" w:color="auto"/>
              <w:bottom w:val="single" w:sz="4" w:space="0" w:color="auto"/>
            </w:tcBorders>
          </w:tcPr>
          <w:p w14:paraId="56CACDD2" w14:textId="77777777" w:rsidR="00282B13" w:rsidRDefault="00C662AE">
            <w:pPr>
              <w:jc w:val="both"/>
              <w:rPr>
                <w:rFonts w:ascii="Arial" w:hAnsi="Arial" w:cs="Arial"/>
              </w:rPr>
            </w:pPr>
            <w:r>
              <w:rPr>
                <w:rFonts w:ascii="Arial" w:hAnsi="Arial"/>
              </w:rPr>
              <w:t>Mismatch as a S</w:t>
            </w:r>
            <w:r>
              <w:rPr>
                <w:rFonts w:ascii="Arial" w:hAnsi="Arial"/>
              </w:rPr>
              <w:t>ource of Strain and Health Risks</w:t>
            </w:r>
          </w:p>
        </w:tc>
      </w:tr>
      <w:tr w:rsidR="00282B13" w14:paraId="0B82F933" w14:textId="77777777">
        <w:trPr>
          <w:jc w:val="center"/>
        </w:trPr>
        <w:tc>
          <w:tcPr>
            <w:tcW w:w="1944" w:type="dxa"/>
            <w:tcBorders>
              <w:top w:val="nil"/>
              <w:bottom w:val="single" w:sz="4" w:space="0" w:color="auto"/>
            </w:tcBorders>
          </w:tcPr>
          <w:p w14:paraId="6016AC2F" w14:textId="77777777" w:rsidR="00282B13" w:rsidRDefault="00C662AE">
            <w:pPr>
              <w:jc w:val="both"/>
              <w:rPr>
                <w:rFonts w:ascii="Arial" w:hAnsi="Arial"/>
              </w:rPr>
            </w:pPr>
            <w:r>
              <w:rPr>
                <w:rFonts w:ascii="Arial" w:hAnsi="Arial"/>
              </w:rPr>
              <w:t xml:space="preserve">Brendler-Lindqvist, Tondel, </w:t>
            </w:r>
            <w:proofErr w:type="spellStart"/>
            <w:r>
              <w:rPr>
                <w:rFonts w:ascii="Arial" w:hAnsi="Arial"/>
              </w:rPr>
              <w:t>Helgesson</w:t>
            </w:r>
            <w:proofErr w:type="spellEnd"/>
            <w:r>
              <w:rPr>
                <w:rFonts w:ascii="Arial" w:hAnsi="Arial"/>
              </w:rPr>
              <w:t xml:space="preserve">, Nordqvist, and </w:t>
            </w:r>
            <w:proofErr w:type="spellStart"/>
            <w:r>
              <w:rPr>
                <w:rFonts w:ascii="Arial" w:hAnsi="Arial"/>
              </w:rPr>
              <w:t>Svartengren</w:t>
            </w:r>
            <w:proofErr w:type="spellEnd"/>
            <w:r>
              <w:rPr>
                <w:rFonts w:ascii="Arial" w:hAnsi="Arial"/>
              </w:rPr>
              <w:t xml:space="preserve"> (2022)</w:t>
            </w:r>
          </w:p>
        </w:tc>
        <w:tc>
          <w:tcPr>
            <w:tcW w:w="4320" w:type="dxa"/>
            <w:tcBorders>
              <w:top w:val="nil"/>
              <w:bottom w:val="single" w:sz="4" w:space="0" w:color="auto"/>
            </w:tcBorders>
          </w:tcPr>
          <w:p w14:paraId="60D8675B" w14:textId="77777777" w:rsidR="00282B13" w:rsidRDefault="00C662AE">
            <w:pPr>
              <w:jc w:val="both"/>
              <w:rPr>
                <w:rFonts w:ascii="Arial" w:hAnsi="Arial"/>
              </w:rPr>
            </w:pPr>
            <w:r>
              <w:rPr>
                <w:rFonts w:ascii="Arial" w:hAnsi="Arial"/>
              </w:rPr>
              <w:t xml:space="preserve">Overqualification at Work and Risk of Hospitalization for Psychiatric and Somatic Diseases Among Immigrants in Sweden – A Prospective Register-Based </w:t>
            </w:r>
            <w:r>
              <w:rPr>
                <w:rFonts w:ascii="Arial" w:hAnsi="Arial"/>
              </w:rPr>
              <w:t>Study</w:t>
            </w:r>
          </w:p>
        </w:tc>
        <w:tc>
          <w:tcPr>
            <w:tcW w:w="2232" w:type="dxa"/>
            <w:vMerge/>
            <w:tcBorders>
              <w:top w:val="single" w:sz="4" w:space="0" w:color="auto"/>
              <w:bottom w:val="single" w:sz="4" w:space="0" w:color="auto"/>
            </w:tcBorders>
          </w:tcPr>
          <w:p w14:paraId="6901F78E" w14:textId="77777777" w:rsidR="00282B13" w:rsidRDefault="00282B13">
            <w:pPr>
              <w:jc w:val="both"/>
              <w:rPr>
                <w:rFonts w:ascii="Arial" w:hAnsi="Arial" w:cs="Arial"/>
                <w:color w:val="8064A2" w:themeColor="accent4"/>
              </w:rPr>
            </w:pPr>
          </w:p>
        </w:tc>
      </w:tr>
    </w:tbl>
    <w:p w14:paraId="3A9EE19C" w14:textId="77777777" w:rsidR="00282B13" w:rsidRDefault="00282B13">
      <w:pPr>
        <w:pStyle w:val="Body"/>
        <w:spacing w:after="0"/>
        <w:rPr>
          <w:rFonts w:ascii="Arial" w:hAnsi="Arial" w:cs="Arial"/>
        </w:rPr>
      </w:pPr>
    </w:p>
    <w:p w14:paraId="7C41ED78" w14:textId="77777777" w:rsidR="00282B13" w:rsidRDefault="00C662AE">
      <w:pPr>
        <w:pStyle w:val="Body"/>
        <w:spacing w:after="0"/>
        <w:rPr>
          <w:rFonts w:ascii="Arial" w:hAnsi="Arial"/>
          <w:b/>
          <w:bCs/>
        </w:rPr>
      </w:pPr>
      <w:r>
        <w:rPr>
          <w:rFonts w:ascii="Arial" w:hAnsi="Arial"/>
          <w:b/>
          <w:bCs/>
        </w:rPr>
        <w:t>Table 6. The desire of mismatched professionals for a well-matched career.</w:t>
      </w:r>
    </w:p>
    <w:p w14:paraId="083FFF98" w14:textId="77777777" w:rsidR="00282B13" w:rsidRDefault="00282B13">
      <w:pPr>
        <w:pStyle w:val="Body"/>
        <w:spacing w:after="0"/>
        <w:rPr>
          <w:rFonts w:ascii="Arial" w:hAnsi="Arial"/>
          <w:b/>
          <w:bCs/>
        </w:rPr>
      </w:pPr>
    </w:p>
    <w:tbl>
      <w:tblPr>
        <w:tblW w:w="8496"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944"/>
        <w:gridCol w:w="4320"/>
        <w:gridCol w:w="2232"/>
      </w:tblGrid>
      <w:tr w:rsidR="00282B13" w14:paraId="70B547D1" w14:textId="77777777">
        <w:trPr>
          <w:jc w:val="center"/>
        </w:trPr>
        <w:tc>
          <w:tcPr>
            <w:tcW w:w="1944" w:type="dxa"/>
            <w:tcBorders>
              <w:bottom w:val="single" w:sz="4" w:space="0" w:color="auto"/>
            </w:tcBorders>
          </w:tcPr>
          <w:p w14:paraId="1A3D2C62" w14:textId="77777777" w:rsidR="00282B13" w:rsidRDefault="00C662AE">
            <w:pPr>
              <w:jc w:val="both"/>
              <w:rPr>
                <w:rFonts w:ascii="Arial" w:hAnsi="Arial"/>
                <w:b/>
                <w:bCs/>
              </w:rPr>
            </w:pPr>
            <w:r>
              <w:rPr>
                <w:rFonts w:ascii="Arial" w:hAnsi="Arial"/>
                <w:b/>
                <w:bCs/>
              </w:rPr>
              <w:t>Author/s</w:t>
            </w:r>
          </w:p>
        </w:tc>
        <w:tc>
          <w:tcPr>
            <w:tcW w:w="4320" w:type="dxa"/>
            <w:tcBorders>
              <w:bottom w:val="single" w:sz="4" w:space="0" w:color="auto"/>
            </w:tcBorders>
          </w:tcPr>
          <w:p w14:paraId="37DC6DFD" w14:textId="77777777" w:rsidR="00282B13" w:rsidRDefault="00C662AE">
            <w:pPr>
              <w:jc w:val="both"/>
              <w:rPr>
                <w:rFonts w:ascii="Arial" w:hAnsi="Arial"/>
                <w:b/>
                <w:bCs/>
              </w:rPr>
            </w:pPr>
            <w:r>
              <w:rPr>
                <w:rFonts w:ascii="Arial" w:hAnsi="Arial"/>
                <w:b/>
                <w:bCs/>
              </w:rPr>
              <w:t>Article Title</w:t>
            </w:r>
          </w:p>
        </w:tc>
        <w:tc>
          <w:tcPr>
            <w:tcW w:w="2232" w:type="dxa"/>
            <w:tcBorders>
              <w:bottom w:val="single" w:sz="4" w:space="0" w:color="auto"/>
            </w:tcBorders>
          </w:tcPr>
          <w:p w14:paraId="1E745A34" w14:textId="77777777" w:rsidR="00282B13" w:rsidRDefault="00C662AE">
            <w:pPr>
              <w:jc w:val="both"/>
              <w:rPr>
                <w:rFonts w:ascii="Arial" w:hAnsi="Arial"/>
                <w:b/>
                <w:bCs/>
              </w:rPr>
            </w:pPr>
            <w:r>
              <w:rPr>
                <w:rFonts w:ascii="Arial" w:hAnsi="Arial"/>
                <w:b/>
                <w:bCs/>
              </w:rPr>
              <w:t>Theme</w:t>
            </w:r>
          </w:p>
        </w:tc>
      </w:tr>
      <w:tr w:rsidR="00282B13" w14:paraId="1E6739B3" w14:textId="77777777">
        <w:trPr>
          <w:jc w:val="center"/>
        </w:trPr>
        <w:tc>
          <w:tcPr>
            <w:tcW w:w="1944" w:type="dxa"/>
            <w:tcBorders>
              <w:top w:val="nil"/>
              <w:bottom w:val="nil"/>
            </w:tcBorders>
          </w:tcPr>
          <w:p w14:paraId="75910F57" w14:textId="77777777" w:rsidR="00282B13" w:rsidRDefault="00C662AE">
            <w:pPr>
              <w:jc w:val="both"/>
              <w:rPr>
                <w:rFonts w:ascii="Arial" w:hAnsi="Arial" w:cs="Arial"/>
              </w:rPr>
            </w:pPr>
            <w:r>
              <w:rPr>
                <w:rFonts w:ascii="Arial" w:hAnsi="Arial" w:cs="Arial"/>
              </w:rPr>
              <w:t>Choi (2017)</w:t>
            </w:r>
          </w:p>
        </w:tc>
        <w:tc>
          <w:tcPr>
            <w:tcW w:w="4320" w:type="dxa"/>
            <w:tcBorders>
              <w:top w:val="nil"/>
              <w:bottom w:val="nil"/>
            </w:tcBorders>
          </w:tcPr>
          <w:p w14:paraId="59066488" w14:textId="77777777" w:rsidR="00282B13" w:rsidRDefault="00C662AE">
            <w:pPr>
              <w:jc w:val="both"/>
              <w:rPr>
                <w:rFonts w:ascii="Arial" w:hAnsi="Arial" w:cs="Arial"/>
              </w:rPr>
            </w:pPr>
            <w:r>
              <w:rPr>
                <w:rFonts w:ascii="Arial" w:hAnsi="Arial"/>
              </w:rPr>
              <w:t>Consequences of Job Mismatch: Empirical Evidence from South Korea</w:t>
            </w:r>
          </w:p>
        </w:tc>
        <w:tc>
          <w:tcPr>
            <w:tcW w:w="2232" w:type="dxa"/>
            <w:vMerge w:val="restart"/>
            <w:tcBorders>
              <w:top w:val="nil"/>
            </w:tcBorders>
          </w:tcPr>
          <w:p w14:paraId="654B8CD8" w14:textId="77777777" w:rsidR="00282B13" w:rsidRDefault="00C662AE">
            <w:pPr>
              <w:jc w:val="both"/>
              <w:rPr>
                <w:rFonts w:ascii="Arial" w:hAnsi="Arial"/>
              </w:rPr>
            </w:pPr>
            <w:r>
              <w:rPr>
                <w:rFonts w:ascii="Arial" w:hAnsi="Arial"/>
              </w:rPr>
              <w:t>Desire to Seek Better Job Match</w:t>
            </w:r>
          </w:p>
        </w:tc>
      </w:tr>
      <w:tr w:rsidR="00282B13" w14:paraId="31BD1054" w14:textId="77777777">
        <w:trPr>
          <w:jc w:val="center"/>
        </w:trPr>
        <w:tc>
          <w:tcPr>
            <w:tcW w:w="1944" w:type="dxa"/>
            <w:tcBorders>
              <w:top w:val="nil"/>
              <w:bottom w:val="nil"/>
            </w:tcBorders>
          </w:tcPr>
          <w:p w14:paraId="791D4BD6" w14:textId="77777777" w:rsidR="00282B13" w:rsidRDefault="00C662AE">
            <w:pPr>
              <w:jc w:val="both"/>
              <w:rPr>
                <w:rFonts w:ascii="Arial" w:hAnsi="Arial"/>
              </w:rPr>
            </w:pPr>
            <w:r>
              <w:rPr>
                <w:rFonts w:ascii="Arial" w:hAnsi="Arial"/>
              </w:rPr>
              <w:t>Condes and Lachica (2022)</w:t>
            </w:r>
          </w:p>
        </w:tc>
        <w:tc>
          <w:tcPr>
            <w:tcW w:w="4320" w:type="dxa"/>
            <w:tcBorders>
              <w:top w:val="nil"/>
              <w:bottom w:val="nil"/>
            </w:tcBorders>
          </w:tcPr>
          <w:p w14:paraId="73F33957" w14:textId="77777777" w:rsidR="00282B13" w:rsidRDefault="00C662AE">
            <w:pPr>
              <w:jc w:val="both"/>
              <w:rPr>
                <w:rFonts w:ascii="Arial" w:hAnsi="Arial"/>
              </w:rPr>
            </w:pPr>
            <w:r>
              <w:rPr>
                <w:rFonts w:ascii="Arial" w:hAnsi="Arial"/>
              </w:rPr>
              <w:t>Condes and Lachica (2022)</w:t>
            </w:r>
          </w:p>
          <w:p w14:paraId="54EBAE53" w14:textId="77777777" w:rsidR="00282B13" w:rsidRDefault="00C662AE">
            <w:pPr>
              <w:jc w:val="both"/>
              <w:rPr>
                <w:rFonts w:ascii="Arial" w:hAnsi="Arial"/>
              </w:rPr>
            </w:pPr>
            <w:r>
              <w:rPr>
                <w:rFonts w:ascii="Arial" w:hAnsi="Arial"/>
              </w:rPr>
              <w:t>Job Mismatch: The Case of Registered Nurses in the Philippines</w:t>
            </w:r>
          </w:p>
        </w:tc>
        <w:tc>
          <w:tcPr>
            <w:tcW w:w="2232" w:type="dxa"/>
            <w:vMerge/>
          </w:tcPr>
          <w:p w14:paraId="708B7965" w14:textId="77777777" w:rsidR="00282B13" w:rsidRDefault="00282B13">
            <w:pPr>
              <w:jc w:val="both"/>
              <w:rPr>
                <w:rFonts w:ascii="Arial" w:hAnsi="Arial" w:cs="Arial"/>
              </w:rPr>
            </w:pPr>
          </w:p>
        </w:tc>
      </w:tr>
      <w:tr w:rsidR="00282B13" w14:paraId="20959BCB" w14:textId="77777777">
        <w:trPr>
          <w:jc w:val="center"/>
        </w:trPr>
        <w:tc>
          <w:tcPr>
            <w:tcW w:w="1944" w:type="dxa"/>
            <w:tcBorders>
              <w:top w:val="nil"/>
              <w:bottom w:val="single" w:sz="4" w:space="0" w:color="auto"/>
            </w:tcBorders>
          </w:tcPr>
          <w:p w14:paraId="3D282B13" w14:textId="77777777" w:rsidR="00282B13" w:rsidRDefault="00C662AE">
            <w:pPr>
              <w:jc w:val="both"/>
              <w:rPr>
                <w:rFonts w:ascii="Arial" w:hAnsi="Arial"/>
              </w:rPr>
            </w:pPr>
            <w:r>
              <w:rPr>
                <w:rFonts w:ascii="Arial" w:hAnsi="Arial"/>
              </w:rPr>
              <w:t>Wen, Maani, and Dong (2023)</w:t>
            </w:r>
          </w:p>
        </w:tc>
        <w:tc>
          <w:tcPr>
            <w:tcW w:w="4320" w:type="dxa"/>
            <w:tcBorders>
              <w:top w:val="nil"/>
              <w:bottom w:val="single" w:sz="4" w:space="0" w:color="auto"/>
            </w:tcBorders>
          </w:tcPr>
          <w:p w14:paraId="49095975" w14:textId="77777777" w:rsidR="00282B13" w:rsidRDefault="00C662AE">
            <w:pPr>
              <w:jc w:val="both"/>
              <w:rPr>
                <w:rFonts w:ascii="Arial" w:hAnsi="Arial"/>
              </w:rPr>
            </w:pPr>
            <w:r>
              <w:rPr>
                <w:rFonts w:ascii="Arial" w:hAnsi="Arial"/>
              </w:rPr>
              <w:t xml:space="preserve">Educational Job Mismatch, Job Satisfaction, On-the-Job Training, and Employee Quit </w:t>
            </w:r>
            <w:proofErr w:type="spellStart"/>
            <w:r>
              <w:rPr>
                <w:rFonts w:ascii="Arial" w:hAnsi="Arial"/>
              </w:rPr>
              <w:t>Behaviour</w:t>
            </w:r>
            <w:proofErr w:type="spellEnd"/>
            <w:r>
              <w:rPr>
                <w:rFonts w:ascii="Arial" w:hAnsi="Arial"/>
              </w:rPr>
              <w:t>: A Dynamic Analytical Approach</w:t>
            </w:r>
          </w:p>
        </w:tc>
        <w:tc>
          <w:tcPr>
            <w:tcW w:w="2232" w:type="dxa"/>
            <w:vMerge/>
            <w:tcBorders>
              <w:bottom w:val="single" w:sz="4" w:space="0" w:color="auto"/>
            </w:tcBorders>
          </w:tcPr>
          <w:p w14:paraId="06B9CA61" w14:textId="77777777" w:rsidR="00282B13" w:rsidRDefault="00282B13">
            <w:pPr>
              <w:jc w:val="both"/>
              <w:rPr>
                <w:rFonts w:ascii="Arial" w:hAnsi="Arial" w:cs="Arial"/>
              </w:rPr>
            </w:pPr>
          </w:p>
        </w:tc>
      </w:tr>
    </w:tbl>
    <w:p w14:paraId="26868933" w14:textId="77777777" w:rsidR="00282B13" w:rsidRDefault="00C662AE">
      <w:pPr>
        <w:rPr>
          <w:rFonts w:ascii="Arial" w:hAnsi="Arial" w:cs="Arial"/>
        </w:rPr>
      </w:pPr>
      <w:r>
        <w:rPr>
          <w:rFonts w:ascii="Arial" w:hAnsi="Arial" w:cs="Arial"/>
        </w:rPr>
        <w:br w:type="page"/>
      </w:r>
    </w:p>
    <w:p w14:paraId="124A23D3" w14:textId="77777777" w:rsidR="00282B13" w:rsidRDefault="00C662AE">
      <w:pPr>
        <w:pStyle w:val="Head1"/>
        <w:spacing w:after="0"/>
        <w:jc w:val="both"/>
        <w:rPr>
          <w:rFonts w:ascii="Arial" w:hAnsi="Arial" w:cs="Arial"/>
        </w:rPr>
      </w:pPr>
      <w:r>
        <w:rPr>
          <w:rFonts w:ascii="Arial" w:hAnsi="Arial" w:cs="Arial"/>
        </w:rPr>
        <w:lastRenderedPageBreak/>
        <w:t xml:space="preserve">3. </w:t>
      </w:r>
      <w:r>
        <w:rPr>
          <w:rFonts w:ascii="Arial" w:hAnsi="Arial" w:cs="Arial"/>
        </w:rPr>
        <w:t>RESULTS AND DISCUSSION</w:t>
      </w:r>
    </w:p>
    <w:p w14:paraId="414D1544" w14:textId="77777777" w:rsidR="00282B13" w:rsidRDefault="00282B13">
      <w:pPr>
        <w:pStyle w:val="Body"/>
        <w:spacing w:after="0"/>
        <w:rPr>
          <w:rFonts w:ascii="Arial" w:hAnsi="Arial" w:cs="Arial"/>
        </w:rPr>
      </w:pPr>
    </w:p>
    <w:p w14:paraId="4535B3B6" w14:textId="77777777" w:rsidR="00282B13" w:rsidRDefault="00C662AE">
      <w:pPr>
        <w:pStyle w:val="Body"/>
        <w:spacing w:after="0"/>
        <w:rPr>
          <w:rFonts w:ascii="Arial" w:hAnsi="Arial"/>
          <w:bCs/>
          <w:szCs w:val="16"/>
        </w:rPr>
      </w:pPr>
      <w:r>
        <w:rPr>
          <w:rFonts w:ascii="Arial" w:hAnsi="Arial" w:cs="Arial"/>
          <w:b/>
          <w:caps/>
          <w:sz w:val="22"/>
        </w:rPr>
        <w:t xml:space="preserve">3.1 </w:t>
      </w:r>
      <w:r>
        <w:rPr>
          <w:rFonts w:ascii="Arial" w:hAnsi="Arial" w:cs="Arial"/>
          <w:b/>
          <w:sz w:val="22"/>
        </w:rPr>
        <w:t>The link between career mismatch and psychological distress among professionals.</w:t>
      </w:r>
    </w:p>
    <w:p w14:paraId="383C1712" w14:textId="77777777" w:rsidR="00282B13" w:rsidRDefault="00282B13">
      <w:pPr>
        <w:pStyle w:val="Body"/>
        <w:spacing w:after="0"/>
        <w:rPr>
          <w:rFonts w:ascii="Arial" w:hAnsi="Arial"/>
          <w:bCs/>
          <w:szCs w:val="16"/>
        </w:rPr>
      </w:pPr>
    </w:p>
    <w:p w14:paraId="744DF217" w14:textId="77777777" w:rsidR="00282B13" w:rsidRDefault="00C662AE">
      <w:pPr>
        <w:pStyle w:val="Body"/>
        <w:spacing w:after="0"/>
        <w:rPr>
          <w:rFonts w:ascii="Arial" w:hAnsi="Arial"/>
          <w:bCs/>
          <w:szCs w:val="16"/>
        </w:rPr>
      </w:pPr>
      <w:r>
        <w:rPr>
          <w:rFonts w:ascii="Arial" w:hAnsi="Arial"/>
          <w:bCs/>
          <w:szCs w:val="16"/>
        </w:rPr>
        <w:t xml:space="preserve">The reviewed articles reveal the link between career mismatch and psychological distress among professionals. From the synthesis, four key themes </w:t>
      </w:r>
      <w:r>
        <w:rPr>
          <w:rFonts w:ascii="Arial" w:hAnsi="Arial"/>
          <w:bCs/>
          <w:szCs w:val="16"/>
        </w:rPr>
        <w:t>have emerged:</w:t>
      </w:r>
    </w:p>
    <w:p w14:paraId="6D4D536A" w14:textId="77777777" w:rsidR="00282B13" w:rsidRDefault="00282B13">
      <w:pPr>
        <w:pStyle w:val="Body"/>
        <w:spacing w:after="0"/>
        <w:rPr>
          <w:rFonts w:ascii="Arial" w:hAnsi="Arial"/>
          <w:bCs/>
          <w:szCs w:val="16"/>
        </w:rPr>
      </w:pPr>
    </w:p>
    <w:p w14:paraId="4A85FB79" w14:textId="77777777" w:rsidR="00282B13" w:rsidRDefault="00C662AE">
      <w:pPr>
        <w:pStyle w:val="Body"/>
        <w:spacing w:after="0"/>
        <w:rPr>
          <w:rFonts w:ascii="Arial" w:hAnsi="Arial"/>
          <w:bCs/>
        </w:rPr>
      </w:pPr>
      <w:r>
        <w:rPr>
          <w:rFonts w:ascii="Arial" w:hAnsi="Arial" w:cs="Arial"/>
          <w:b/>
          <w:u w:val="single"/>
        </w:rPr>
        <w:t xml:space="preserve">3.1.1 </w:t>
      </w:r>
      <w:r>
        <w:rPr>
          <w:rFonts w:ascii="Arial" w:hAnsi="Arial"/>
          <w:b/>
          <w:u w:val="single"/>
        </w:rPr>
        <w:t>Mismatch as a Predictor of Psychological Distress and Job Dissatisfaction</w:t>
      </w:r>
    </w:p>
    <w:p w14:paraId="110D3570" w14:textId="77777777" w:rsidR="00282B13" w:rsidRDefault="00282B13">
      <w:pPr>
        <w:pStyle w:val="Body"/>
        <w:spacing w:after="0"/>
        <w:rPr>
          <w:rFonts w:ascii="Arial" w:hAnsi="Arial"/>
          <w:bCs/>
        </w:rPr>
      </w:pPr>
    </w:p>
    <w:p w14:paraId="42C7D36B" w14:textId="77777777" w:rsidR="00282B13" w:rsidRDefault="00C662AE">
      <w:pPr>
        <w:pStyle w:val="Body"/>
        <w:spacing w:after="0"/>
        <w:rPr>
          <w:rFonts w:ascii="Arial" w:hAnsi="Arial"/>
          <w:bCs/>
        </w:rPr>
      </w:pPr>
      <w:r>
        <w:rPr>
          <w:rFonts w:ascii="Arial" w:hAnsi="Arial"/>
          <w:bCs/>
        </w:rPr>
        <w:t>This theme was found in Kim and Choi (2018), who view job satisfaction as an employee's positive emotional responses to their job and work experiences that refl</w:t>
      </w:r>
      <w:r>
        <w:rPr>
          <w:rFonts w:ascii="Arial" w:hAnsi="Arial"/>
          <w:bCs/>
        </w:rPr>
        <w:t>ect both emotional and cognitive evaluations. When job satisfaction is low, employees experience dissatisfaction, frustration, and negative emotional responses, which are precursors to psychological distress. Supporting this, findings in the same study pro</w:t>
      </w:r>
      <w:r>
        <w:rPr>
          <w:rFonts w:ascii="Arial" w:hAnsi="Arial"/>
          <w:bCs/>
        </w:rPr>
        <w:t xml:space="preserve">vided strong statistical evidence showing how higher job mismatch among employees negatively impacts job satisfaction at a 99% confidence level. Similarly, this theme also transpired in an older study by Choi (2017), who highlighted that vertical mismatch </w:t>
      </w:r>
      <w:r>
        <w:rPr>
          <w:rFonts w:ascii="Arial" w:hAnsi="Arial"/>
          <w:bCs/>
        </w:rPr>
        <w:t>has a significant negative relationship with job satisfaction, where overeducated and undereducated professionals are tend to report lower job satisfaction compared to those whose education matches their job requirements. Taken together, these findings ind</w:t>
      </w:r>
      <w:r>
        <w:rPr>
          <w:rFonts w:ascii="Arial" w:hAnsi="Arial"/>
          <w:bCs/>
        </w:rPr>
        <w:t>icate that career mismatch predicts psychological distress through its impact on job dissatisfaction.</w:t>
      </w:r>
    </w:p>
    <w:p w14:paraId="07067F86" w14:textId="77777777" w:rsidR="00282B13" w:rsidRDefault="00282B13">
      <w:pPr>
        <w:pStyle w:val="Body"/>
        <w:spacing w:after="0"/>
        <w:rPr>
          <w:rFonts w:ascii="Arial" w:hAnsi="Arial"/>
          <w:bCs/>
        </w:rPr>
      </w:pPr>
    </w:p>
    <w:p w14:paraId="1F56EE61" w14:textId="77777777" w:rsidR="00282B13" w:rsidRDefault="00C662AE">
      <w:pPr>
        <w:pStyle w:val="Body"/>
        <w:spacing w:after="0"/>
        <w:rPr>
          <w:rFonts w:ascii="Arial" w:hAnsi="Arial"/>
          <w:bCs/>
        </w:rPr>
      </w:pPr>
      <w:r>
        <w:rPr>
          <w:rFonts w:ascii="Arial" w:hAnsi="Arial"/>
          <w:b/>
          <w:u w:val="single"/>
        </w:rPr>
        <w:t>3.1.2 Social Evaluation and Self-Questioning as Sources of Psychological Distress</w:t>
      </w:r>
    </w:p>
    <w:p w14:paraId="6503C9A4" w14:textId="77777777" w:rsidR="00282B13" w:rsidRDefault="00282B13">
      <w:pPr>
        <w:pStyle w:val="Body"/>
        <w:spacing w:after="0"/>
        <w:rPr>
          <w:rFonts w:ascii="Arial" w:hAnsi="Arial"/>
          <w:bCs/>
        </w:rPr>
      </w:pPr>
    </w:p>
    <w:p w14:paraId="5D5B8094" w14:textId="77777777" w:rsidR="00282B13" w:rsidRDefault="00C662AE">
      <w:pPr>
        <w:pStyle w:val="Body"/>
        <w:spacing w:after="0"/>
        <w:rPr>
          <w:rFonts w:ascii="Arial" w:hAnsi="Arial"/>
          <w:bCs/>
        </w:rPr>
      </w:pPr>
      <w:r>
        <w:rPr>
          <w:rFonts w:ascii="Arial" w:hAnsi="Arial"/>
          <w:bCs/>
        </w:rPr>
        <w:t>Other people’s evaluations and judgments of mismatched professionals may cause psychological distress. This is evident in the study of Condes and Lachica (2022), where horizontally mismatched nurses experienced struggles with being judged and not understoo</w:t>
      </w:r>
      <w:r>
        <w:rPr>
          <w:rFonts w:ascii="Arial" w:hAnsi="Arial"/>
          <w:bCs/>
        </w:rPr>
        <w:t>d by other people as to why they are working in a different field. Their findings show that professionals are affected by these perceptions, which lead them to question themselves. Condes and Lachica (2022) further noted that some participants appeared sad</w:t>
      </w:r>
      <w:r>
        <w:rPr>
          <w:rFonts w:ascii="Arial" w:hAnsi="Arial"/>
          <w:bCs/>
        </w:rPr>
        <w:t xml:space="preserve"> as they narrated their experiences, hinting at signs of psychological distress. This theme is also emerged in Tag-</w:t>
      </w:r>
      <w:proofErr w:type="spellStart"/>
      <w:r>
        <w:rPr>
          <w:rFonts w:ascii="Arial" w:hAnsi="Arial"/>
          <w:bCs/>
        </w:rPr>
        <w:t>ulo</w:t>
      </w:r>
      <w:proofErr w:type="spellEnd"/>
      <w:r>
        <w:rPr>
          <w:rFonts w:ascii="Arial" w:hAnsi="Arial"/>
          <w:bCs/>
        </w:rPr>
        <w:t xml:space="preserve">, </w:t>
      </w:r>
      <w:proofErr w:type="spellStart"/>
      <w:r>
        <w:rPr>
          <w:rFonts w:ascii="Arial" w:hAnsi="Arial"/>
          <w:bCs/>
        </w:rPr>
        <w:t>Gooc</w:t>
      </w:r>
      <w:proofErr w:type="spellEnd"/>
      <w:r>
        <w:rPr>
          <w:rFonts w:ascii="Arial" w:hAnsi="Arial"/>
          <w:bCs/>
        </w:rPr>
        <w:t xml:space="preserve">, and </w:t>
      </w:r>
      <w:proofErr w:type="spellStart"/>
      <w:r>
        <w:rPr>
          <w:rFonts w:ascii="Arial" w:hAnsi="Arial"/>
          <w:bCs/>
        </w:rPr>
        <w:t>Seclot</w:t>
      </w:r>
      <w:proofErr w:type="spellEnd"/>
      <w:r>
        <w:rPr>
          <w:rFonts w:ascii="Arial" w:hAnsi="Arial"/>
          <w:bCs/>
        </w:rPr>
        <w:t xml:space="preserve"> (2025), who highlighted similar findings among horizontally mismatched licensed English teachers, where they also faced</w:t>
      </w:r>
      <w:r>
        <w:rPr>
          <w:rFonts w:ascii="Arial" w:hAnsi="Arial"/>
          <w:bCs/>
        </w:rPr>
        <w:t xml:space="preserve"> challenges due to criticism, judgment, and discrimination, which led them to feel emotionally burdened. Taken together, these findings suggest that negative social evaluation and self-questioning heighten a professional’s vulnerability to psychological di</w:t>
      </w:r>
      <w:r>
        <w:rPr>
          <w:rFonts w:ascii="Arial" w:hAnsi="Arial"/>
          <w:bCs/>
        </w:rPr>
        <w:t>stress.</w:t>
      </w:r>
    </w:p>
    <w:p w14:paraId="1A608C1A" w14:textId="77777777" w:rsidR="00282B13" w:rsidRDefault="00282B13">
      <w:pPr>
        <w:pStyle w:val="Body"/>
        <w:spacing w:after="0"/>
        <w:rPr>
          <w:rFonts w:ascii="Arial" w:hAnsi="Arial"/>
          <w:bCs/>
        </w:rPr>
      </w:pPr>
    </w:p>
    <w:p w14:paraId="04EB8F3A" w14:textId="77777777" w:rsidR="00282B13" w:rsidRDefault="00C662AE">
      <w:pPr>
        <w:pStyle w:val="Body"/>
        <w:spacing w:after="0"/>
        <w:rPr>
          <w:rFonts w:ascii="Arial" w:hAnsi="Arial"/>
          <w:bCs/>
        </w:rPr>
      </w:pPr>
      <w:r>
        <w:rPr>
          <w:rFonts w:ascii="Arial" w:hAnsi="Arial"/>
          <w:b/>
          <w:u w:val="single"/>
        </w:rPr>
        <w:t>3.1.3 Weak Career Engagement as a Psychological Strain</w:t>
      </w:r>
    </w:p>
    <w:p w14:paraId="5BE24603" w14:textId="77777777" w:rsidR="00282B13" w:rsidRDefault="00282B13">
      <w:pPr>
        <w:pStyle w:val="Body"/>
        <w:spacing w:after="0"/>
        <w:rPr>
          <w:rFonts w:ascii="Arial" w:hAnsi="Arial"/>
          <w:bCs/>
        </w:rPr>
      </w:pPr>
    </w:p>
    <w:p w14:paraId="12A4C5CC" w14:textId="77777777" w:rsidR="00282B13" w:rsidRDefault="00C662AE">
      <w:pPr>
        <w:pStyle w:val="Body"/>
        <w:spacing w:after="0"/>
        <w:rPr>
          <w:rFonts w:ascii="Arial" w:hAnsi="Arial"/>
          <w:b/>
          <w:u w:val="single"/>
        </w:rPr>
      </w:pPr>
      <w:r>
        <w:rPr>
          <w:rFonts w:ascii="Arial" w:hAnsi="Arial"/>
          <w:bCs/>
        </w:rPr>
        <w:t>This theme emerged from the findings of Wardani et al. (2021), which indicated that there is a weak career engagement among horizontally mismatched professionals. Although Wardani et al. (202</w:t>
      </w:r>
      <w:r>
        <w:rPr>
          <w:rFonts w:ascii="Arial" w:hAnsi="Arial"/>
          <w:bCs/>
        </w:rPr>
        <w:t xml:space="preserve">1) reveals a statistically insignificant relationship, there remains a positive correlation between career competency and work engagement. This stems from the challenges faced by horizontally mismatched professionals who often lack effective communication </w:t>
      </w:r>
      <w:r>
        <w:rPr>
          <w:rFonts w:ascii="Arial" w:hAnsi="Arial"/>
          <w:bCs/>
        </w:rPr>
        <w:t>skills to convey knowledge to their colleagues and struggle to fully engage in their jobs. Such struggles are reflected in poor concentration, frequent anticipation of break time, and difficulty separating personal issues from work, leading to a psychologi</w:t>
      </w:r>
      <w:r>
        <w:rPr>
          <w:rFonts w:ascii="Arial" w:hAnsi="Arial"/>
          <w:bCs/>
        </w:rPr>
        <w:t>cal strain among mismatched professionals.</w:t>
      </w:r>
      <w:r>
        <w:rPr>
          <w:rFonts w:ascii="Arial" w:hAnsi="Arial"/>
          <w:b/>
          <w:u w:val="single"/>
        </w:rPr>
        <w:br w:type="page"/>
      </w:r>
    </w:p>
    <w:p w14:paraId="5644DB61" w14:textId="77777777" w:rsidR="00282B13" w:rsidRDefault="00C662AE">
      <w:pPr>
        <w:pStyle w:val="Body"/>
        <w:spacing w:after="0"/>
        <w:rPr>
          <w:rFonts w:ascii="Arial" w:hAnsi="Arial"/>
          <w:bCs/>
        </w:rPr>
      </w:pPr>
      <w:r>
        <w:rPr>
          <w:rFonts w:ascii="Arial" w:hAnsi="Arial"/>
          <w:b/>
          <w:u w:val="single"/>
        </w:rPr>
        <w:lastRenderedPageBreak/>
        <w:t>3.1.4 Overqualification Elevates Risks for Psychological Distress</w:t>
      </w:r>
    </w:p>
    <w:p w14:paraId="2AA101E4" w14:textId="77777777" w:rsidR="00282B13" w:rsidRDefault="00282B13">
      <w:pPr>
        <w:pStyle w:val="Body"/>
        <w:spacing w:after="0"/>
        <w:rPr>
          <w:rFonts w:ascii="Arial" w:hAnsi="Arial"/>
          <w:bCs/>
          <w:szCs w:val="16"/>
        </w:rPr>
      </w:pPr>
    </w:p>
    <w:p w14:paraId="7DD23FA5" w14:textId="77777777" w:rsidR="00282B13" w:rsidRDefault="00C662AE">
      <w:pPr>
        <w:pStyle w:val="Body"/>
        <w:spacing w:after="0"/>
        <w:rPr>
          <w:rFonts w:ascii="Arial" w:hAnsi="Arial" w:cs="Arial"/>
          <w:bCs/>
          <w:szCs w:val="16"/>
        </w:rPr>
      </w:pPr>
      <w:r>
        <w:rPr>
          <w:rFonts w:ascii="Arial" w:hAnsi="Arial"/>
          <w:bCs/>
          <w:szCs w:val="16"/>
        </w:rPr>
        <w:t xml:space="preserve">Findings in the study of Brendler-Lindqvist et al. (2022) indicate that there is an elevated risk for psychological distress. Vertically </w:t>
      </w:r>
      <w:r>
        <w:rPr>
          <w:rFonts w:ascii="Arial" w:hAnsi="Arial"/>
          <w:bCs/>
          <w:szCs w:val="16"/>
        </w:rPr>
        <w:t>mismatched professionals have a significantly increased risk of hospitalization due to psychiatric, cardiovascular, or musculoskeletal conditions as compared to those who are well-matched. Overeducated professionals were also found to experience psychologi</w:t>
      </w:r>
      <w:r>
        <w:rPr>
          <w:rFonts w:ascii="Arial" w:hAnsi="Arial"/>
          <w:bCs/>
          <w:szCs w:val="16"/>
        </w:rPr>
        <w:t>cal stress due to various reasons, such as status incongruence, sense of inferiority, and perceived work-related discrimination, which results in negative consequences on mental health. In the same study, the risk for psychiatric hospitalization was simila</w:t>
      </w:r>
      <w:r>
        <w:rPr>
          <w:rFonts w:ascii="Arial" w:hAnsi="Arial"/>
          <w:bCs/>
          <w:szCs w:val="16"/>
        </w:rPr>
        <w:t>r between overeducated and undereducated professionals, which implies that working in a job below or above one’s qualifications will result in an elevated risk of psychological distress to the extent of hospitalization due to negative mental health. Simila</w:t>
      </w:r>
      <w:r>
        <w:rPr>
          <w:rFonts w:ascii="Arial" w:hAnsi="Arial"/>
          <w:bCs/>
          <w:szCs w:val="16"/>
        </w:rPr>
        <w:t>rly, findings from the study of Madsen &amp; Røberg (2021) support the study of Brendler-Lindqvist et al. (2022) by highlighting that vertical mismatch, particularly overeducation, increases the likelihood of employees taking long-term sickness absences.</w:t>
      </w:r>
    </w:p>
    <w:p w14:paraId="05E0A983" w14:textId="77777777" w:rsidR="00282B13" w:rsidRDefault="00282B13">
      <w:pPr>
        <w:pStyle w:val="Body"/>
        <w:spacing w:after="0"/>
        <w:rPr>
          <w:rFonts w:ascii="Arial" w:hAnsi="Arial" w:cs="Arial"/>
          <w:bCs/>
          <w:szCs w:val="16"/>
        </w:rPr>
      </w:pPr>
    </w:p>
    <w:p w14:paraId="16D3B0C7" w14:textId="77777777" w:rsidR="00282B13" w:rsidRDefault="00C662AE">
      <w:pPr>
        <w:pStyle w:val="Body"/>
        <w:spacing w:after="0"/>
        <w:rPr>
          <w:rFonts w:ascii="Arial" w:hAnsi="Arial"/>
          <w:b/>
          <w:sz w:val="22"/>
        </w:rPr>
      </w:pPr>
      <w:r>
        <w:rPr>
          <w:rFonts w:ascii="Arial" w:hAnsi="Arial" w:cs="Arial"/>
          <w:b/>
          <w:sz w:val="22"/>
        </w:rPr>
        <w:t xml:space="preserve">3.2 </w:t>
      </w:r>
      <w:r>
        <w:rPr>
          <w:rFonts w:ascii="Arial" w:hAnsi="Arial"/>
          <w:b/>
          <w:sz w:val="22"/>
        </w:rPr>
        <w:t>Other psychological effects experienced by professionals due to career mismatch.</w:t>
      </w:r>
    </w:p>
    <w:p w14:paraId="52317FE2" w14:textId="77777777" w:rsidR="00282B13" w:rsidRDefault="00282B13">
      <w:pPr>
        <w:pStyle w:val="Body"/>
        <w:spacing w:after="0"/>
        <w:rPr>
          <w:rFonts w:ascii="Arial" w:hAnsi="Arial"/>
          <w:bCs/>
        </w:rPr>
      </w:pPr>
    </w:p>
    <w:p w14:paraId="5003E6C7" w14:textId="77777777" w:rsidR="00282B13" w:rsidRDefault="00C662AE">
      <w:pPr>
        <w:pStyle w:val="Body"/>
        <w:spacing w:after="0"/>
        <w:rPr>
          <w:rFonts w:ascii="Arial" w:hAnsi="Arial"/>
          <w:bCs/>
        </w:rPr>
      </w:pPr>
      <w:r>
        <w:rPr>
          <w:rFonts w:ascii="Arial" w:hAnsi="Arial"/>
          <w:bCs/>
        </w:rPr>
        <w:t xml:space="preserve">Aside from psychological distress, it is important to synthesize literature to determine whether professionals experience other psychological effects due to career mismatch. </w:t>
      </w:r>
      <w:r>
        <w:rPr>
          <w:rFonts w:ascii="Arial" w:hAnsi="Arial"/>
          <w:bCs/>
        </w:rPr>
        <w:t>Among the screened articles, two key themes have emerged:</w:t>
      </w:r>
    </w:p>
    <w:p w14:paraId="40B94CCA" w14:textId="77777777" w:rsidR="00282B13" w:rsidRDefault="00282B13">
      <w:pPr>
        <w:pStyle w:val="Body"/>
        <w:spacing w:after="0"/>
        <w:rPr>
          <w:rFonts w:ascii="Arial" w:hAnsi="Arial"/>
          <w:b/>
        </w:rPr>
      </w:pPr>
    </w:p>
    <w:p w14:paraId="1FC3BBD3" w14:textId="77777777" w:rsidR="00282B13" w:rsidRDefault="00C662AE">
      <w:pPr>
        <w:pStyle w:val="Body"/>
        <w:spacing w:after="0"/>
        <w:rPr>
          <w:rFonts w:ascii="Arial" w:hAnsi="Arial" w:cs="Arial"/>
          <w:b/>
          <w:u w:val="single"/>
        </w:rPr>
      </w:pPr>
      <w:r>
        <w:rPr>
          <w:rFonts w:ascii="Arial" w:hAnsi="Arial" w:cs="Arial"/>
          <w:b/>
          <w:u w:val="single"/>
        </w:rPr>
        <w:t>3.2.1 Psychological Resilience and Adaptive Coping</w:t>
      </w:r>
    </w:p>
    <w:p w14:paraId="33094A58" w14:textId="77777777" w:rsidR="00282B13" w:rsidRDefault="00282B13">
      <w:pPr>
        <w:pStyle w:val="Body"/>
        <w:spacing w:after="0"/>
        <w:rPr>
          <w:rFonts w:ascii="Arial" w:hAnsi="Arial"/>
          <w:bCs/>
        </w:rPr>
      </w:pPr>
    </w:p>
    <w:p w14:paraId="0675F0C2" w14:textId="77777777" w:rsidR="00282B13" w:rsidRDefault="00C662AE">
      <w:pPr>
        <w:pStyle w:val="Body"/>
        <w:spacing w:after="0"/>
        <w:rPr>
          <w:rFonts w:ascii="Arial" w:hAnsi="Arial" w:cs="Arial"/>
          <w:bCs/>
        </w:rPr>
      </w:pPr>
      <w:r>
        <w:rPr>
          <w:rFonts w:ascii="Arial" w:hAnsi="Arial"/>
          <w:bCs/>
        </w:rPr>
        <w:t>When faced with challenges, mismatched professionals are still able to show resilience and showcase their capacity to adapt. This is evident in t</w:t>
      </w:r>
      <w:r>
        <w:rPr>
          <w:rFonts w:ascii="Arial" w:hAnsi="Arial"/>
          <w:bCs/>
        </w:rPr>
        <w:t>he findings of Tag-</w:t>
      </w:r>
      <w:proofErr w:type="spellStart"/>
      <w:r>
        <w:rPr>
          <w:rFonts w:ascii="Arial" w:hAnsi="Arial"/>
          <w:bCs/>
        </w:rPr>
        <w:t>ulo</w:t>
      </w:r>
      <w:proofErr w:type="spellEnd"/>
      <w:r>
        <w:rPr>
          <w:rFonts w:ascii="Arial" w:hAnsi="Arial"/>
          <w:bCs/>
        </w:rPr>
        <w:t xml:space="preserve">, </w:t>
      </w:r>
      <w:proofErr w:type="spellStart"/>
      <w:r>
        <w:rPr>
          <w:rFonts w:ascii="Arial" w:hAnsi="Arial"/>
          <w:bCs/>
        </w:rPr>
        <w:t>Gooc</w:t>
      </w:r>
      <w:proofErr w:type="spellEnd"/>
      <w:r>
        <w:rPr>
          <w:rFonts w:ascii="Arial" w:hAnsi="Arial"/>
          <w:bCs/>
        </w:rPr>
        <w:t xml:space="preserve">, and </w:t>
      </w:r>
      <w:proofErr w:type="spellStart"/>
      <w:r>
        <w:rPr>
          <w:rFonts w:ascii="Arial" w:hAnsi="Arial"/>
          <w:bCs/>
        </w:rPr>
        <w:t>Seclot</w:t>
      </w:r>
      <w:proofErr w:type="spellEnd"/>
      <w:r>
        <w:rPr>
          <w:rFonts w:ascii="Arial" w:hAnsi="Arial"/>
          <w:bCs/>
        </w:rPr>
        <w:t xml:space="preserve"> (2025), where although the participants experienced new challenges brought by horizontal mismatch, they relied on psychological resilience and cultivated a positive mindset. This is also true to the study of Condes </w:t>
      </w:r>
      <w:r>
        <w:rPr>
          <w:rFonts w:ascii="Arial" w:hAnsi="Arial"/>
          <w:bCs/>
        </w:rPr>
        <w:t>and Lachica (2022), where professionals endured a lot of challenges as they shifted careers but they were able to adapt as they learn to embrace their new careers and shift perspectives as they look for ways to look for opportunities for growth and develop</w:t>
      </w:r>
      <w:r>
        <w:rPr>
          <w:rFonts w:ascii="Arial" w:hAnsi="Arial"/>
          <w:bCs/>
        </w:rPr>
        <w:t>ment.</w:t>
      </w:r>
    </w:p>
    <w:p w14:paraId="75A1ED55" w14:textId="77777777" w:rsidR="00282B13" w:rsidRDefault="00282B13">
      <w:pPr>
        <w:pStyle w:val="Body"/>
        <w:spacing w:after="0"/>
        <w:rPr>
          <w:rFonts w:ascii="Arial" w:hAnsi="Arial" w:cs="Arial"/>
          <w:bCs/>
        </w:rPr>
      </w:pPr>
    </w:p>
    <w:p w14:paraId="601AD22F" w14:textId="77777777" w:rsidR="00282B13" w:rsidRDefault="00C662AE">
      <w:pPr>
        <w:pStyle w:val="Body"/>
        <w:spacing w:after="0"/>
        <w:rPr>
          <w:rFonts w:ascii="Arial" w:hAnsi="Arial" w:cs="Arial"/>
          <w:bCs/>
        </w:rPr>
      </w:pPr>
      <w:r>
        <w:rPr>
          <w:rFonts w:ascii="Arial" w:hAnsi="Arial" w:cs="Arial"/>
          <w:b/>
          <w:u w:val="single"/>
        </w:rPr>
        <w:t>3.2.2 Job Attitudes and Commitment</w:t>
      </w:r>
    </w:p>
    <w:p w14:paraId="7FFE3C19" w14:textId="77777777" w:rsidR="00282B13" w:rsidRDefault="00282B13">
      <w:pPr>
        <w:pStyle w:val="Body"/>
        <w:spacing w:after="0"/>
        <w:rPr>
          <w:rFonts w:ascii="Arial" w:hAnsi="Arial"/>
          <w:bCs/>
        </w:rPr>
      </w:pPr>
    </w:p>
    <w:p w14:paraId="575481EB" w14:textId="77777777" w:rsidR="00282B13" w:rsidRDefault="00C662AE">
      <w:pPr>
        <w:pStyle w:val="Body"/>
        <w:spacing w:after="0"/>
        <w:rPr>
          <w:rFonts w:ascii="Arial" w:hAnsi="Arial"/>
          <w:b/>
          <w:sz w:val="22"/>
        </w:rPr>
      </w:pPr>
      <w:r>
        <w:rPr>
          <w:rFonts w:ascii="Arial" w:hAnsi="Arial"/>
          <w:bCs/>
        </w:rPr>
        <w:t>Other psychological consequences of career mismatch are the job attitudes and commitment of professionals. This theme emerged from Hirao (2024), where it was found that horizontal mismatch negatively affects an em</w:t>
      </w:r>
      <w:r>
        <w:rPr>
          <w:rFonts w:ascii="Arial" w:hAnsi="Arial"/>
          <w:bCs/>
        </w:rPr>
        <w:t>ployee’s organizational commitment and long-term career aspirations. This means that the more horizontally mismatched an employee is, the more likely they are to be less committed and less optimistic about their future career. On the contrary, the study of</w:t>
      </w:r>
      <w:r>
        <w:rPr>
          <w:rFonts w:ascii="Arial" w:hAnsi="Arial"/>
          <w:bCs/>
        </w:rPr>
        <w:t xml:space="preserve"> Weber et al. (2023) suggests that horizontal mismatch influences job attitudes and commitment in a positive way, as professionals tend to expand their job search beyond their original field when opportunities for it are limited. On the other hand, for ver</w:t>
      </w:r>
      <w:r>
        <w:rPr>
          <w:rFonts w:ascii="Arial" w:hAnsi="Arial"/>
          <w:bCs/>
        </w:rPr>
        <w:t>tical mismatch, Choi’s (2017) study implies that overeducated professionals tend to have higher turnover rates than the undereducated, as they believe they can secure better job opportunities with the level of education and qualifications they have. In sum</w:t>
      </w:r>
      <w:r>
        <w:rPr>
          <w:rFonts w:ascii="Arial" w:hAnsi="Arial"/>
          <w:bCs/>
        </w:rPr>
        <w:t>, these findings suggest that both horizontal and vertical mismatches can either weaken or strengthen a professional’s job attitudes and commitment.</w:t>
      </w:r>
      <w:r>
        <w:rPr>
          <w:rFonts w:ascii="Arial" w:hAnsi="Arial"/>
          <w:b/>
          <w:sz w:val="22"/>
        </w:rPr>
        <w:br w:type="page"/>
      </w:r>
    </w:p>
    <w:p w14:paraId="6008F181" w14:textId="77777777" w:rsidR="00282B13" w:rsidRDefault="00C662AE">
      <w:pPr>
        <w:pStyle w:val="Body"/>
        <w:spacing w:after="0"/>
        <w:rPr>
          <w:rFonts w:ascii="Arial" w:hAnsi="Arial"/>
          <w:b/>
          <w:sz w:val="22"/>
        </w:rPr>
      </w:pPr>
      <w:r>
        <w:rPr>
          <w:rFonts w:ascii="Arial" w:hAnsi="Arial"/>
          <w:b/>
          <w:sz w:val="22"/>
        </w:rPr>
        <w:lastRenderedPageBreak/>
        <w:t>3.3 The desire of mismatched professionals for a well-matched career.</w:t>
      </w:r>
    </w:p>
    <w:p w14:paraId="5225D999" w14:textId="77777777" w:rsidR="00282B13" w:rsidRDefault="00282B13">
      <w:pPr>
        <w:pStyle w:val="Body"/>
        <w:spacing w:after="0"/>
        <w:rPr>
          <w:rFonts w:ascii="Arial" w:hAnsi="Arial"/>
        </w:rPr>
      </w:pPr>
    </w:p>
    <w:p w14:paraId="1119A677" w14:textId="77777777" w:rsidR="00282B13" w:rsidRDefault="00C662AE">
      <w:pPr>
        <w:pStyle w:val="Body"/>
        <w:spacing w:after="0"/>
        <w:rPr>
          <w:rFonts w:ascii="Arial" w:hAnsi="Arial" w:cs="Arial"/>
        </w:rPr>
      </w:pPr>
      <w:r>
        <w:rPr>
          <w:rFonts w:ascii="Arial" w:hAnsi="Arial"/>
        </w:rPr>
        <w:t>After experiencing a career mismatc</w:t>
      </w:r>
      <w:r>
        <w:rPr>
          <w:rFonts w:ascii="Arial" w:hAnsi="Arial"/>
        </w:rPr>
        <w:t>h, it is essential to see if there is a possibility of professionals expressing a desire to practice in their original field or in a well-matched career. To answer this, one theme has emerged from the selected literature:</w:t>
      </w:r>
    </w:p>
    <w:p w14:paraId="2013DB94" w14:textId="77777777" w:rsidR="00282B13" w:rsidRDefault="00282B13">
      <w:pPr>
        <w:pStyle w:val="Body"/>
        <w:spacing w:after="0"/>
        <w:rPr>
          <w:rFonts w:ascii="Arial" w:hAnsi="Arial" w:cs="Arial"/>
        </w:rPr>
      </w:pPr>
    </w:p>
    <w:p w14:paraId="34DB8705" w14:textId="77777777" w:rsidR="00282B13" w:rsidRDefault="00C662AE">
      <w:pPr>
        <w:pStyle w:val="Body"/>
        <w:spacing w:after="0"/>
        <w:rPr>
          <w:rFonts w:ascii="Arial" w:hAnsi="Arial" w:cs="Arial"/>
        </w:rPr>
      </w:pPr>
      <w:r>
        <w:rPr>
          <w:rFonts w:ascii="Arial" w:hAnsi="Arial" w:cs="Arial"/>
          <w:b/>
          <w:bCs/>
          <w:u w:val="single"/>
        </w:rPr>
        <w:t>3.3.1 Desire to Seek Better Job M</w:t>
      </w:r>
      <w:r>
        <w:rPr>
          <w:rFonts w:ascii="Arial" w:hAnsi="Arial" w:cs="Arial"/>
          <w:b/>
          <w:bCs/>
          <w:u w:val="single"/>
        </w:rPr>
        <w:t>atch</w:t>
      </w:r>
    </w:p>
    <w:p w14:paraId="64D7A4E1" w14:textId="77777777" w:rsidR="00282B13" w:rsidRDefault="00282B13">
      <w:pPr>
        <w:pStyle w:val="Body"/>
        <w:spacing w:after="0"/>
        <w:rPr>
          <w:rFonts w:ascii="Arial" w:hAnsi="Arial"/>
        </w:rPr>
      </w:pPr>
    </w:p>
    <w:p w14:paraId="3FDD3251" w14:textId="77777777" w:rsidR="00282B13" w:rsidRDefault="00C662AE">
      <w:pPr>
        <w:pStyle w:val="Body"/>
        <w:spacing w:after="0"/>
        <w:rPr>
          <w:rFonts w:ascii="Arial" w:hAnsi="Arial"/>
        </w:rPr>
      </w:pPr>
      <w:r>
        <w:rPr>
          <w:rFonts w:ascii="Arial" w:hAnsi="Arial"/>
        </w:rPr>
        <w:t>For horizontally mismatched professionals, this theme transpired in Condes and Lachica (2020) who found that mismatched professionals still want to return to their original profession in the future, if there are opportunities to do so. In the same wa</w:t>
      </w:r>
      <w:r>
        <w:rPr>
          <w:rFonts w:ascii="Arial" w:hAnsi="Arial"/>
        </w:rPr>
        <w:t>y, vertically mismatched professionals also expressed their desire to seek jobs that better match the level of skills or education they possess if they feel under- or overutilized, as reflected in the study of Choi (2017). All in all, the degree of overall</w:t>
      </w:r>
      <w:r>
        <w:rPr>
          <w:rFonts w:ascii="Arial" w:hAnsi="Arial"/>
        </w:rPr>
        <w:t xml:space="preserve"> job satisfaction and opportunities can affect decisions to remain on the job, or quit and search for a better matched employment (Wen et al., 2023).</w:t>
      </w:r>
    </w:p>
    <w:p w14:paraId="23E01A74" w14:textId="77777777" w:rsidR="00282B13" w:rsidRDefault="00282B13">
      <w:pPr>
        <w:pStyle w:val="Body"/>
        <w:spacing w:after="0"/>
        <w:rPr>
          <w:rFonts w:ascii="Arial" w:hAnsi="Arial"/>
        </w:rPr>
      </w:pPr>
    </w:p>
    <w:p w14:paraId="6763A37D" w14:textId="77777777" w:rsidR="00282B13" w:rsidRDefault="00C662AE">
      <w:pPr>
        <w:pStyle w:val="ConcHead"/>
        <w:spacing w:after="0"/>
        <w:jc w:val="both"/>
        <w:rPr>
          <w:rFonts w:ascii="Arial" w:hAnsi="Arial" w:cs="Arial"/>
        </w:rPr>
      </w:pPr>
      <w:r>
        <w:rPr>
          <w:rFonts w:ascii="Arial" w:hAnsi="Arial" w:cs="Arial"/>
        </w:rPr>
        <w:t>4. CONCLUSION</w:t>
      </w:r>
    </w:p>
    <w:p w14:paraId="7483D9F5" w14:textId="77777777" w:rsidR="00282B13" w:rsidRDefault="00282B13">
      <w:pPr>
        <w:pStyle w:val="ConcHead"/>
        <w:spacing w:after="0"/>
        <w:jc w:val="both"/>
        <w:rPr>
          <w:rFonts w:ascii="Arial" w:hAnsi="Arial" w:cs="Arial"/>
        </w:rPr>
      </w:pPr>
    </w:p>
    <w:p w14:paraId="014D8D42" w14:textId="77777777" w:rsidR="00282B13" w:rsidRDefault="00C662AE">
      <w:pPr>
        <w:pStyle w:val="Body"/>
        <w:spacing w:after="0"/>
        <w:rPr>
          <w:rFonts w:ascii="Arial" w:hAnsi="Arial"/>
        </w:rPr>
      </w:pPr>
      <w:r>
        <w:rPr>
          <w:rFonts w:ascii="Arial" w:hAnsi="Arial"/>
        </w:rPr>
        <w:t xml:space="preserve">Career mismatch has been observed in a lot of contexts and is widely experienced by a lot </w:t>
      </w:r>
      <w:r>
        <w:rPr>
          <w:rFonts w:ascii="Arial" w:hAnsi="Arial"/>
        </w:rPr>
        <w:t xml:space="preserve">of professionals. This systematic review reveals the various psychological impacts of career mismatch among professionals. First, career mismatch was revealed to predict and become a source of psychological distress, a psychological strain, and ultimately </w:t>
      </w:r>
      <w:r>
        <w:rPr>
          <w:rFonts w:ascii="Arial" w:hAnsi="Arial"/>
        </w:rPr>
        <w:t xml:space="preserve">heighten the risks of psychological distress. Other psychological effects brought by mismatch also include psychological resilience and adaptive coping, as well as varying job attitudes and commitment. With regard to the professional’s interest in working </w:t>
      </w:r>
      <w:r>
        <w:rPr>
          <w:rFonts w:ascii="Arial" w:hAnsi="Arial"/>
        </w:rPr>
        <w:t>in their matched field, it is revealed that this decision is influenced by the degree to which the mismatched professionals feel satisfied with their current careers.</w:t>
      </w:r>
    </w:p>
    <w:p w14:paraId="1730DD31" w14:textId="77777777" w:rsidR="00282B13" w:rsidRDefault="00282B13">
      <w:pPr>
        <w:pStyle w:val="Body"/>
        <w:spacing w:after="0"/>
        <w:rPr>
          <w:rFonts w:ascii="Arial" w:hAnsi="Arial"/>
        </w:rPr>
      </w:pPr>
    </w:p>
    <w:p w14:paraId="48A26DD4" w14:textId="77777777" w:rsidR="00282B13" w:rsidRDefault="00C662AE">
      <w:pPr>
        <w:pStyle w:val="Body"/>
        <w:spacing w:after="0"/>
        <w:rPr>
          <w:rFonts w:ascii="Arial" w:hAnsi="Arial"/>
        </w:rPr>
      </w:pPr>
      <w:r>
        <w:rPr>
          <w:rFonts w:ascii="Arial" w:hAnsi="Arial"/>
        </w:rPr>
        <w:t xml:space="preserve">Given the varied effects of career mismatch on psychological distress and other aspects </w:t>
      </w:r>
      <w:r>
        <w:rPr>
          <w:rFonts w:ascii="Arial" w:hAnsi="Arial"/>
        </w:rPr>
        <w:t xml:space="preserve">of a professional’s life, as synthesized from some articles, this area remains understudied. Most of the literature included in this review only briefly discusses the psychological effects of career mismatch. </w:t>
      </w:r>
    </w:p>
    <w:p w14:paraId="1A5C38DE" w14:textId="77777777" w:rsidR="00282B13" w:rsidRDefault="00282B13">
      <w:pPr>
        <w:pStyle w:val="Body"/>
        <w:spacing w:after="0"/>
        <w:rPr>
          <w:rFonts w:ascii="Arial" w:hAnsi="Arial"/>
        </w:rPr>
      </w:pPr>
    </w:p>
    <w:p w14:paraId="5EFE6C85" w14:textId="77777777" w:rsidR="00282B13" w:rsidRDefault="00C662AE">
      <w:pPr>
        <w:pStyle w:val="Body"/>
        <w:spacing w:after="0"/>
        <w:rPr>
          <w:rFonts w:ascii="Arial" w:hAnsi="Arial"/>
        </w:rPr>
      </w:pPr>
      <w:r>
        <w:rPr>
          <w:rFonts w:ascii="Arial" w:hAnsi="Arial"/>
        </w:rPr>
        <w:t>Although career mismatch has been widely stud</w:t>
      </w:r>
      <w:r>
        <w:rPr>
          <w:rFonts w:ascii="Arial" w:hAnsi="Arial"/>
        </w:rPr>
        <w:t>ied and clearly defined, as evident in the number of research and literature published, there are still gaps that persist. First, most of the existing studies that discuss career, job, education, or skill mismatch focus on its effects on a macro level. The</w:t>
      </w:r>
      <w:r>
        <w:rPr>
          <w:rFonts w:ascii="Arial" w:hAnsi="Arial"/>
        </w:rPr>
        <w:t>y tend to focus on the economic and productivity outcomes of the company, region, or country.</w:t>
      </w:r>
    </w:p>
    <w:p w14:paraId="61961C48" w14:textId="77777777" w:rsidR="00282B13" w:rsidRDefault="00282B13">
      <w:pPr>
        <w:pStyle w:val="Body"/>
        <w:spacing w:after="0"/>
        <w:rPr>
          <w:rFonts w:ascii="Arial" w:hAnsi="Arial"/>
        </w:rPr>
      </w:pPr>
    </w:p>
    <w:p w14:paraId="56C7DA8F" w14:textId="77777777" w:rsidR="00282B13" w:rsidRDefault="00C662AE">
      <w:pPr>
        <w:pStyle w:val="Body"/>
        <w:spacing w:after="0"/>
        <w:rPr>
          <w:rFonts w:ascii="Arial" w:hAnsi="Arial"/>
        </w:rPr>
      </w:pPr>
      <w:r>
        <w:rPr>
          <w:rFonts w:ascii="Arial" w:hAnsi="Arial"/>
        </w:rPr>
        <w:t>Second, while searching for studies regarding the topic, there were a few journal articles that discuss the effects of mismatch on a micro or individual level, s</w:t>
      </w:r>
      <w:r>
        <w:rPr>
          <w:rFonts w:ascii="Arial" w:hAnsi="Arial"/>
        </w:rPr>
        <w:t>uch as its psychological effects on an employee, especially on distress. This signifies that there is a limited body of research that explores career mismatch from the individual perspective, especially on mental health outcomes. Hence, this systematic rev</w:t>
      </w:r>
      <w:r>
        <w:rPr>
          <w:rFonts w:ascii="Arial" w:hAnsi="Arial"/>
        </w:rPr>
        <w:t>iew aims to address these gaps by synthesizing literature and evidence on the relationship between career mismatch and psychological distress among professionals.</w:t>
      </w:r>
    </w:p>
    <w:p w14:paraId="4C188913" w14:textId="77777777" w:rsidR="00282B13" w:rsidRDefault="00282B13">
      <w:pPr>
        <w:pStyle w:val="Body"/>
        <w:spacing w:after="0"/>
        <w:rPr>
          <w:rFonts w:ascii="Arial" w:hAnsi="Arial"/>
        </w:rPr>
      </w:pPr>
    </w:p>
    <w:p w14:paraId="644F71AC" w14:textId="77777777" w:rsidR="00282B13" w:rsidRDefault="00C662AE">
      <w:pPr>
        <w:pStyle w:val="Body"/>
        <w:spacing w:after="0"/>
        <w:rPr>
          <w:rFonts w:ascii="Arial" w:hAnsi="Arial"/>
        </w:rPr>
      </w:pPr>
      <w:r>
        <w:rPr>
          <w:rFonts w:ascii="Arial" w:hAnsi="Arial"/>
        </w:rPr>
        <w:t>Based on these findings, organizations and employers may develop support or training programs for their mismatched employees as they see fit. Educators may also use this study as a reference to guide their students and hopefully reduce the risk of mismatch</w:t>
      </w:r>
      <w:r>
        <w:rPr>
          <w:rFonts w:ascii="Arial" w:hAnsi="Arial"/>
        </w:rPr>
        <w:t xml:space="preserve"> among graduates. Mental health care providers may also consider looking at career mismatch as a possible source of psychological strain in order to provide appropriate professional support. </w:t>
      </w:r>
      <w:r>
        <w:rPr>
          <w:rFonts w:ascii="Arial" w:hAnsi="Arial"/>
        </w:rPr>
        <w:lastRenderedPageBreak/>
        <w:t>Lastly, future researchers may use this study as a guide in explo</w:t>
      </w:r>
      <w:r>
        <w:rPr>
          <w:rFonts w:ascii="Arial" w:hAnsi="Arial"/>
        </w:rPr>
        <w:t>ring related areas and the different effects of career mismatch at an individual level, thereby contributing to the body of knowledge and expanding the set of literature available on different databases. They may also use the evidence presented in the lite</w:t>
      </w:r>
      <w:r>
        <w:rPr>
          <w:rFonts w:ascii="Arial" w:hAnsi="Arial"/>
        </w:rPr>
        <w:t>rature review as a reference to support their findings in their paper.</w:t>
      </w:r>
    </w:p>
    <w:p w14:paraId="56C8B02B" w14:textId="77777777" w:rsidR="00282B13" w:rsidRDefault="00282B13">
      <w:pPr>
        <w:pStyle w:val="Body"/>
        <w:spacing w:after="0"/>
        <w:rPr>
          <w:rFonts w:ascii="Arial" w:hAnsi="Arial"/>
        </w:rPr>
      </w:pPr>
    </w:p>
    <w:p w14:paraId="36F09B55" w14:textId="77777777" w:rsidR="00282B13" w:rsidRDefault="00C662AE">
      <w:pPr>
        <w:pStyle w:val="ReferHead"/>
        <w:spacing w:after="0"/>
        <w:jc w:val="both"/>
        <w:rPr>
          <w:rFonts w:ascii="Arial" w:hAnsi="Arial" w:cs="Arial"/>
          <w:b w:val="0"/>
          <w:bCs/>
          <w:sz w:val="20"/>
          <w:szCs w:val="16"/>
        </w:rPr>
      </w:pPr>
      <w:r>
        <w:rPr>
          <w:rFonts w:ascii="Arial" w:hAnsi="Arial" w:cs="Arial"/>
        </w:rPr>
        <w:t>REFERENCES</w:t>
      </w:r>
    </w:p>
    <w:p w14:paraId="4783CE31" w14:textId="77777777" w:rsidR="00282B13" w:rsidRDefault="00282B13">
      <w:pPr>
        <w:pStyle w:val="Body"/>
        <w:spacing w:after="0"/>
      </w:pPr>
    </w:p>
    <w:p w14:paraId="2689FE20" w14:textId="77777777" w:rsidR="00282B13" w:rsidRDefault="00C662AE">
      <w:pPr>
        <w:pStyle w:val="Body"/>
        <w:numPr>
          <w:ilvl w:val="0"/>
          <w:numId w:val="3"/>
        </w:numPr>
        <w:spacing w:after="0"/>
      </w:pPr>
      <w:proofErr w:type="spellStart"/>
      <w:r>
        <w:t>Velciu</w:t>
      </w:r>
      <w:proofErr w:type="spellEnd"/>
      <w:r>
        <w:t>, M. (2017). Job mismatch–effects on work productivity. SEA–Practical Application of Science, (15), 395-398.</w:t>
      </w:r>
    </w:p>
    <w:p w14:paraId="16E6E0AD" w14:textId="77777777" w:rsidR="00282B13" w:rsidRDefault="00282B13">
      <w:pPr>
        <w:pStyle w:val="Body"/>
        <w:spacing w:after="0"/>
      </w:pPr>
    </w:p>
    <w:p w14:paraId="32461887" w14:textId="77777777" w:rsidR="00282B13" w:rsidRDefault="00C662AE">
      <w:pPr>
        <w:pStyle w:val="Body"/>
        <w:numPr>
          <w:ilvl w:val="0"/>
          <w:numId w:val="3"/>
        </w:numPr>
        <w:spacing w:after="0"/>
      </w:pPr>
      <w:r>
        <w:t xml:space="preserve">Hirao, T. (2024). Horizontal Education-Job Mismatch in </w:t>
      </w:r>
      <w:r>
        <w:t xml:space="preserve">a Medium-Sized Japanese Company. </w:t>
      </w:r>
      <w:hyperlink r:id="rId20" w:history="1">
        <w:r>
          <w:rPr>
            <w:rStyle w:val="Hyperlink"/>
          </w:rPr>
          <w:t>https://doi.org/10.31235/osf.io/gczeh_v1</w:t>
        </w:r>
      </w:hyperlink>
      <w:r>
        <w:t xml:space="preserve"> </w:t>
      </w:r>
    </w:p>
    <w:p w14:paraId="4627B80D" w14:textId="77777777" w:rsidR="00282B13" w:rsidRDefault="00282B13">
      <w:pPr>
        <w:pStyle w:val="Body"/>
        <w:spacing w:after="0"/>
      </w:pPr>
    </w:p>
    <w:p w14:paraId="7CCCAFB9" w14:textId="77777777" w:rsidR="00282B13" w:rsidRDefault="00C662AE">
      <w:pPr>
        <w:pStyle w:val="Body"/>
        <w:numPr>
          <w:ilvl w:val="0"/>
          <w:numId w:val="3"/>
        </w:numPr>
        <w:spacing w:after="0"/>
      </w:pPr>
      <w:r>
        <w:t xml:space="preserve">Kim, S. J., &amp; Choi, S. O. (2018). The effects of job mismatch on pay, job satisfaction, and performance. Journal of Open </w:t>
      </w:r>
      <w:r>
        <w:t>Innovation: Technology, Market, and Complexity, 4(4), 49.</w:t>
      </w:r>
    </w:p>
    <w:p w14:paraId="537E46B7" w14:textId="77777777" w:rsidR="00282B13" w:rsidRDefault="00282B13">
      <w:pPr>
        <w:pStyle w:val="Body"/>
        <w:spacing w:after="0"/>
      </w:pPr>
    </w:p>
    <w:p w14:paraId="2E6BB3B9" w14:textId="77777777" w:rsidR="00282B13" w:rsidRDefault="00C662AE">
      <w:pPr>
        <w:pStyle w:val="Body"/>
        <w:numPr>
          <w:ilvl w:val="0"/>
          <w:numId w:val="3"/>
        </w:numPr>
        <w:spacing w:after="0"/>
      </w:pPr>
      <w:r>
        <w:t>Somers, M. A., Cabus, S. J., Groot, W., &amp; Van Den Brink, H. M. (2018). Horizontal mismatch between employment and field of education: evidence from a systematic literature review. Journal of Econom</w:t>
      </w:r>
      <w:r>
        <w:t xml:space="preserve">ic Surveys, 33(2), 567–603. </w:t>
      </w:r>
      <w:hyperlink r:id="rId21" w:history="1">
        <w:r>
          <w:rPr>
            <w:rStyle w:val="Hyperlink"/>
          </w:rPr>
          <w:t>https://doi.org/10.1111/joes.12271</w:t>
        </w:r>
      </w:hyperlink>
      <w:r>
        <w:t xml:space="preserve"> </w:t>
      </w:r>
    </w:p>
    <w:p w14:paraId="74DA807E" w14:textId="77777777" w:rsidR="00282B13" w:rsidRDefault="00282B13">
      <w:pPr>
        <w:pStyle w:val="Body"/>
        <w:spacing w:after="0"/>
      </w:pPr>
    </w:p>
    <w:p w14:paraId="7D805C21" w14:textId="77777777" w:rsidR="00282B13" w:rsidRDefault="00C662AE">
      <w:pPr>
        <w:pStyle w:val="Body"/>
        <w:numPr>
          <w:ilvl w:val="0"/>
          <w:numId w:val="3"/>
        </w:numPr>
        <w:spacing w:after="0"/>
      </w:pPr>
      <w:r>
        <w:t xml:space="preserve">Angelo, F. A. (2024, November 4). Skills mismatch hampers Philippine economic growth, experts say. DailyGuardian. </w:t>
      </w:r>
      <w:hyperlink r:id="rId22" w:history="1">
        <w:r>
          <w:rPr>
            <w:rStyle w:val="Hyperlink"/>
          </w:rPr>
          <w:t>https://www.pids.gov.ph/details/news/in-the-news/skills-mismatch-hampers-philippine-economic-growth-experts-say</w:t>
        </w:r>
      </w:hyperlink>
      <w:r>
        <w:t xml:space="preserve"> </w:t>
      </w:r>
    </w:p>
    <w:p w14:paraId="405B4FA8" w14:textId="77777777" w:rsidR="00282B13" w:rsidRDefault="00282B13">
      <w:pPr>
        <w:pStyle w:val="Body"/>
        <w:spacing w:after="0"/>
      </w:pPr>
    </w:p>
    <w:p w14:paraId="0A0BA8A4" w14:textId="77777777" w:rsidR="00282B13" w:rsidRDefault="00C662AE">
      <w:pPr>
        <w:pStyle w:val="Body"/>
        <w:numPr>
          <w:ilvl w:val="0"/>
          <w:numId w:val="3"/>
        </w:numPr>
        <w:spacing w:after="0"/>
      </w:pPr>
      <w:r>
        <w:t>Melchor, M. M. (2022). Surveying the Ext</w:t>
      </w:r>
      <w:r>
        <w:t>ent and Wage Consequences of Education-Job Mismatches in the Philippine Labor Market. Philippine Journal of Development, 46(1), 59-86.</w:t>
      </w:r>
    </w:p>
    <w:p w14:paraId="7C514F6D" w14:textId="77777777" w:rsidR="00282B13" w:rsidRDefault="00282B13">
      <w:pPr>
        <w:pStyle w:val="Body"/>
        <w:spacing w:after="0"/>
      </w:pPr>
    </w:p>
    <w:p w14:paraId="5660FD1C" w14:textId="77777777" w:rsidR="00282B13" w:rsidRDefault="00C662AE">
      <w:pPr>
        <w:pStyle w:val="Body"/>
        <w:numPr>
          <w:ilvl w:val="0"/>
          <w:numId w:val="3"/>
        </w:numPr>
        <w:spacing w:after="0"/>
      </w:pPr>
      <w:proofErr w:type="spellStart"/>
      <w:r>
        <w:t>Condinata</w:t>
      </w:r>
      <w:proofErr w:type="spellEnd"/>
      <w:r>
        <w:t xml:space="preserve">, F., </w:t>
      </w:r>
      <w:proofErr w:type="spellStart"/>
      <w:r>
        <w:t>Satiadarma</w:t>
      </w:r>
      <w:proofErr w:type="spellEnd"/>
      <w:r>
        <w:t xml:space="preserve">, M. P., &amp; </w:t>
      </w:r>
      <w:proofErr w:type="spellStart"/>
      <w:r>
        <w:t>Suyasa</w:t>
      </w:r>
      <w:proofErr w:type="spellEnd"/>
      <w:r>
        <w:t>, P. T. Y. (2021, December). Psychological distress among emerging adults: A d</w:t>
      </w:r>
      <w:r>
        <w:t xml:space="preserve">escriptive study. In 1st </w:t>
      </w:r>
      <w:proofErr w:type="spellStart"/>
      <w:r>
        <w:t>Tarumanagara</w:t>
      </w:r>
      <w:proofErr w:type="spellEnd"/>
      <w:r>
        <w:t xml:space="preserve"> International Conference on Medicine and Health (TICMIH 2021) (pp. 195-198). Atlantis Press.</w:t>
      </w:r>
    </w:p>
    <w:p w14:paraId="61DB0664" w14:textId="77777777" w:rsidR="00282B13" w:rsidRDefault="00282B13">
      <w:pPr>
        <w:pStyle w:val="Body"/>
        <w:spacing w:after="0"/>
      </w:pPr>
    </w:p>
    <w:p w14:paraId="2A9127C2" w14:textId="77777777" w:rsidR="00282B13" w:rsidRDefault="00C662AE">
      <w:pPr>
        <w:pStyle w:val="Body"/>
        <w:numPr>
          <w:ilvl w:val="0"/>
          <w:numId w:val="3"/>
        </w:numPr>
        <w:spacing w:after="0"/>
      </w:pPr>
      <w:proofErr w:type="spellStart"/>
      <w:r>
        <w:t>Viertiö</w:t>
      </w:r>
      <w:proofErr w:type="spellEnd"/>
      <w:r>
        <w:t xml:space="preserve">, S., </w:t>
      </w:r>
      <w:proofErr w:type="spellStart"/>
      <w:r>
        <w:t>Kiviruusu</w:t>
      </w:r>
      <w:proofErr w:type="spellEnd"/>
      <w:r>
        <w:t xml:space="preserve">, O., </w:t>
      </w:r>
      <w:proofErr w:type="spellStart"/>
      <w:r>
        <w:t>Piirtola</w:t>
      </w:r>
      <w:proofErr w:type="spellEnd"/>
      <w:r>
        <w:t xml:space="preserve">, M., Kaprio, J., Korhonen, T., </w:t>
      </w:r>
      <w:proofErr w:type="spellStart"/>
      <w:r>
        <w:t>Marttunen</w:t>
      </w:r>
      <w:proofErr w:type="spellEnd"/>
      <w:r>
        <w:t xml:space="preserve">, M., &amp; </w:t>
      </w:r>
      <w:proofErr w:type="spellStart"/>
      <w:r>
        <w:t>Suvisaari</w:t>
      </w:r>
      <w:proofErr w:type="spellEnd"/>
      <w:r>
        <w:t>, J. (2021). Factors contribut</w:t>
      </w:r>
      <w:r>
        <w:t>ing to psychological distress in the working population, with a special reference to gender difference. BMC public health, 21(1), 611.</w:t>
      </w:r>
    </w:p>
    <w:p w14:paraId="1DAF19DE" w14:textId="77777777" w:rsidR="00282B13" w:rsidRDefault="00282B13">
      <w:pPr>
        <w:pStyle w:val="Body"/>
        <w:spacing w:after="0"/>
      </w:pPr>
    </w:p>
    <w:p w14:paraId="61800BB3" w14:textId="77777777" w:rsidR="00282B13" w:rsidRDefault="00C662AE">
      <w:pPr>
        <w:pStyle w:val="Body"/>
        <w:numPr>
          <w:ilvl w:val="0"/>
          <w:numId w:val="3"/>
        </w:numPr>
        <w:spacing w:after="0"/>
      </w:pPr>
      <w:r>
        <w:t>Page, M. J., Moher, D., Bossuyt, P. M., Boutron, I., Hoffmann, T. C., Mulrow, C. D., ... &amp; McKenzie, J. E. (2021). PRISM</w:t>
      </w:r>
      <w:r>
        <w:t xml:space="preserve">A 2020 explanation and elaboration: updated guidance and exemplars for reporting systematic reviews. </w:t>
      </w:r>
      <w:proofErr w:type="spellStart"/>
      <w:r>
        <w:t>bmj</w:t>
      </w:r>
      <w:proofErr w:type="spellEnd"/>
      <w:r>
        <w:t xml:space="preserve">, 372. </w:t>
      </w:r>
    </w:p>
    <w:p w14:paraId="084DB8C2" w14:textId="77777777" w:rsidR="00282B13" w:rsidRDefault="00282B13">
      <w:pPr>
        <w:pStyle w:val="Body"/>
        <w:spacing w:after="0"/>
      </w:pPr>
    </w:p>
    <w:p w14:paraId="28B59F14" w14:textId="77777777" w:rsidR="00282B13" w:rsidRDefault="00C662AE">
      <w:pPr>
        <w:pStyle w:val="Body"/>
        <w:numPr>
          <w:ilvl w:val="0"/>
          <w:numId w:val="3"/>
        </w:numPr>
        <w:spacing w:after="0"/>
      </w:pPr>
      <w:r>
        <w:t xml:space="preserve">Wardani, L. M. I., </w:t>
      </w:r>
      <w:proofErr w:type="spellStart"/>
      <w:r>
        <w:t>Sekarini</w:t>
      </w:r>
      <w:proofErr w:type="spellEnd"/>
      <w:r>
        <w:t xml:space="preserve">, D. A., </w:t>
      </w:r>
      <w:proofErr w:type="spellStart"/>
      <w:r>
        <w:t>Syaputra</w:t>
      </w:r>
      <w:proofErr w:type="spellEnd"/>
      <w:r>
        <w:t xml:space="preserve">, R. D., </w:t>
      </w:r>
      <w:proofErr w:type="spellStart"/>
      <w:r>
        <w:t>Kartikawati</w:t>
      </w:r>
      <w:proofErr w:type="spellEnd"/>
      <w:r>
        <w:t xml:space="preserve">, M. S., </w:t>
      </w:r>
      <w:proofErr w:type="spellStart"/>
      <w:r>
        <w:t>Dawanti</w:t>
      </w:r>
      <w:proofErr w:type="spellEnd"/>
      <w:r>
        <w:t>, R., Mulia, D. D. A., &amp; Malek, M. D. A. (2021). Career of hori</w:t>
      </w:r>
      <w:r>
        <w:t>zontal education mismatch workers: Career competency, job crafting, and work engagement. Journal of Education and Learning (</w:t>
      </w:r>
      <w:proofErr w:type="spellStart"/>
      <w:r>
        <w:t>EduLearn</w:t>
      </w:r>
      <w:proofErr w:type="spellEnd"/>
      <w:r>
        <w:t>), 15(3), 414-424.</w:t>
      </w:r>
    </w:p>
    <w:p w14:paraId="5AA4895F" w14:textId="77777777" w:rsidR="00282B13" w:rsidRDefault="00282B13">
      <w:pPr>
        <w:pStyle w:val="Body"/>
        <w:spacing w:after="0"/>
      </w:pPr>
    </w:p>
    <w:p w14:paraId="7536E9CF" w14:textId="77777777" w:rsidR="00282B13" w:rsidRDefault="00C662AE">
      <w:pPr>
        <w:pStyle w:val="Body"/>
        <w:numPr>
          <w:ilvl w:val="0"/>
          <w:numId w:val="3"/>
        </w:numPr>
        <w:spacing w:after="0"/>
      </w:pPr>
      <w:r>
        <w:t>Wen, L., Maani, S. A., &amp; Dong, Z. (2023). Educational job mismatch, job satisfaction, on-the-job trainin</w:t>
      </w:r>
      <w:r>
        <w:t xml:space="preserve">g, and employee quit </w:t>
      </w:r>
      <w:proofErr w:type="spellStart"/>
      <w:r>
        <w:t>behaviour</w:t>
      </w:r>
      <w:proofErr w:type="spellEnd"/>
      <w:r>
        <w:t xml:space="preserve">: a dynamic analytical approach. Applied Economics, 55(56), 6605–6626. </w:t>
      </w:r>
      <w:hyperlink r:id="rId23" w:history="1">
        <w:r>
          <w:rPr>
            <w:rStyle w:val="Hyperlink"/>
          </w:rPr>
          <w:t>https://doi-org.remotelibrary.addu.edu.ph/10.1080/00036846.2022.216</w:t>
        </w:r>
        <w:r>
          <w:rPr>
            <w:rStyle w:val="Hyperlink"/>
          </w:rPr>
          <w:t>1990</w:t>
        </w:r>
      </w:hyperlink>
      <w:r>
        <w:t xml:space="preserve">  </w:t>
      </w:r>
    </w:p>
    <w:p w14:paraId="56B4A468" w14:textId="77777777" w:rsidR="00282B13" w:rsidRDefault="00282B13">
      <w:pPr>
        <w:pStyle w:val="Body"/>
        <w:spacing w:after="0"/>
      </w:pPr>
    </w:p>
    <w:p w14:paraId="6B140D82" w14:textId="77777777" w:rsidR="00282B13" w:rsidRDefault="00C662AE">
      <w:pPr>
        <w:pStyle w:val="Body"/>
        <w:numPr>
          <w:ilvl w:val="0"/>
          <w:numId w:val="3"/>
        </w:numPr>
        <w:spacing w:after="0"/>
      </w:pPr>
      <w:r>
        <w:lastRenderedPageBreak/>
        <w:t xml:space="preserve">Brendler-Lindqvist, M., Tondel, M., Helgesson, M., Nordqvist, T., &amp; </w:t>
      </w:r>
      <w:proofErr w:type="spellStart"/>
      <w:r>
        <w:t>Svartengren</w:t>
      </w:r>
      <w:proofErr w:type="spellEnd"/>
      <w:r>
        <w:t xml:space="preserve">, M. (2022). Overqualification at work and risk of hospitalization for psychiatric and somatic diseases among immigrants in Sweden – a prospective register-based study. Scandinavian Journal of Work Environment &amp; Health, 48(8), 632–640. </w:t>
      </w:r>
      <w:hyperlink r:id="rId24" w:history="1">
        <w:r>
          <w:rPr>
            <w:rStyle w:val="Hyperlink"/>
          </w:rPr>
          <w:t>https://doi.org/10.5271/sjweh.4055</w:t>
        </w:r>
      </w:hyperlink>
      <w:r>
        <w:t xml:space="preserve"> </w:t>
      </w:r>
    </w:p>
    <w:p w14:paraId="7B572B5C" w14:textId="77777777" w:rsidR="00282B13" w:rsidRDefault="00282B13">
      <w:pPr>
        <w:pStyle w:val="Body"/>
        <w:spacing w:after="0"/>
        <w:ind w:firstLineChars="200" w:firstLine="400"/>
      </w:pPr>
    </w:p>
    <w:p w14:paraId="5A27616E" w14:textId="77777777" w:rsidR="00282B13" w:rsidRDefault="00C662AE">
      <w:pPr>
        <w:pStyle w:val="Body"/>
        <w:numPr>
          <w:ilvl w:val="0"/>
          <w:numId w:val="3"/>
        </w:numPr>
        <w:spacing w:after="0"/>
      </w:pPr>
      <w:r>
        <w:t>Choi, D. (2017). Consequences of Job Mismatch: Empirical Evidence from South Korea [Master of Development Policy, KDI School of Public Policy and Management].</w:t>
      </w:r>
    </w:p>
    <w:p w14:paraId="33D1A04A" w14:textId="77777777" w:rsidR="00282B13" w:rsidRDefault="00282B13">
      <w:pPr>
        <w:pStyle w:val="Body"/>
        <w:spacing w:after="0"/>
        <w:ind w:firstLineChars="200" w:firstLine="400"/>
      </w:pPr>
    </w:p>
    <w:p w14:paraId="0BFEFCDF" w14:textId="77777777" w:rsidR="00282B13" w:rsidRDefault="00C662AE">
      <w:pPr>
        <w:pStyle w:val="Body"/>
        <w:numPr>
          <w:ilvl w:val="0"/>
          <w:numId w:val="3"/>
        </w:numPr>
        <w:spacing w:after="0"/>
      </w:pPr>
      <w:r>
        <w:t>Condes, K. A., &amp; Lachica, T.</w:t>
      </w:r>
      <w:r>
        <w:t xml:space="preserve"> B. (2022). Job mismatch: The case of registered nurses in the Philippines. </w:t>
      </w:r>
      <w:proofErr w:type="spellStart"/>
      <w:r>
        <w:t>Zenodo</w:t>
      </w:r>
      <w:proofErr w:type="spellEnd"/>
      <w:r>
        <w:t xml:space="preserve"> (CERN European Organization for Nuclear Research). </w:t>
      </w:r>
      <w:hyperlink r:id="rId25" w:history="1">
        <w:r>
          <w:rPr>
            <w:rStyle w:val="Hyperlink"/>
          </w:rPr>
          <w:t>https://doi.org/10.5281/zenodo.6956133</w:t>
        </w:r>
      </w:hyperlink>
      <w:r>
        <w:t xml:space="preserve"> </w:t>
      </w:r>
    </w:p>
    <w:p w14:paraId="50379D26" w14:textId="77777777" w:rsidR="00282B13" w:rsidRDefault="00282B13">
      <w:pPr>
        <w:pStyle w:val="Body"/>
        <w:spacing w:after="0"/>
      </w:pPr>
    </w:p>
    <w:p w14:paraId="0094A61B" w14:textId="77777777" w:rsidR="00282B13" w:rsidRDefault="00C662AE">
      <w:pPr>
        <w:pStyle w:val="Body"/>
        <w:numPr>
          <w:ilvl w:val="0"/>
          <w:numId w:val="3"/>
        </w:numPr>
        <w:spacing w:after="0"/>
      </w:pPr>
      <w:r>
        <w:t>Madsen, A. Å., &amp; Kittelsen</w:t>
      </w:r>
      <w:r>
        <w:t xml:space="preserve"> Røberg, K. I. (2021). Education–occupation mismatch and long-term sickness absence: a longitudinal study of over-and under-education using Norwegian population data, 2003–2013. Journal of Education and Work, 34(4), 443-458.</w:t>
      </w:r>
    </w:p>
    <w:p w14:paraId="61B5117B" w14:textId="77777777" w:rsidR="00282B13" w:rsidRDefault="00282B13">
      <w:pPr>
        <w:pStyle w:val="Body"/>
        <w:spacing w:after="0"/>
        <w:ind w:firstLineChars="200" w:firstLine="400"/>
      </w:pPr>
    </w:p>
    <w:p w14:paraId="7A6C73F2" w14:textId="77777777" w:rsidR="00282B13" w:rsidRDefault="00C662AE">
      <w:pPr>
        <w:pStyle w:val="Body"/>
        <w:numPr>
          <w:ilvl w:val="0"/>
          <w:numId w:val="3"/>
        </w:numPr>
        <w:spacing w:after="0"/>
      </w:pPr>
      <w:r>
        <w:t xml:space="preserve">Tag-ulo, J., </w:t>
      </w:r>
      <w:proofErr w:type="spellStart"/>
      <w:r>
        <w:t>Gooc</w:t>
      </w:r>
      <w:proofErr w:type="spellEnd"/>
      <w:r>
        <w:t xml:space="preserve">, M. R. P., &amp; S. </w:t>
      </w:r>
      <w:proofErr w:type="spellStart"/>
      <w:r>
        <w:t>Seclot</w:t>
      </w:r>
      <w:proofErr w:type="spellEnd"/>
      <w:r>
        <w:t xml:space="preserve">, J. (2025). Exploring Job Mismatch Experiences Among Licensed English Teachers: A Phenomenological Inquiry. International Journal of Educational Innovation and Research, 4(2), 235–249. </w:t>
      </w:r>
      <w:hyperlink r:id="rId26" w:history="1">
        <w:r>
          <w:rPr>
            <w:rStyle w:val="Hyperlink"/>
          </w:rPr>
          <w:t>https://doi.org/10.31949/ijeir.v4i2.14619</w:t>
        </w:r>
      </w:hyperlink>
      <w:r>
        <w:t xml:space="preserve"> </w:t>
      </w:r>
    </w:p>
    <w:p w14:paraId="2DA91588" w14:textId="77777777" w:rsidR="00282B13" w:rsidRDefault="00282B13">
      <w:pPr>
        <w:pStyle w:val="Body"/>
        <w:spacing w:after="0"/>
      </w:pPr>
    </w:p>
    <w:p w14:paraId="4AABDDBE" w14:textId="77777777" w:rsidR="00282B13" w:rsidRDefault="00C662AE">
      <w:pPr>
        <w:pStyle w:val="Body"/>
        <w:numPr>
          <w:ilvl w:val="0"/>
          <w:numId w:val="3"/>
        </w:numPr>
        <w:spacing w:after="0"/>
      </w:pPr>
      <w:r>
        <w:t xml:space="preserve">Weber, R., Ferry, M., &amp; </w:t>
      </w:r>
      <w:proofErr w:type="spellStart"/>
      <w:r>
        <w:t>Ichou</w:t>
      </w:r>
      <w:proofErr w:type="spellEnd"/>
      <w:r>
        <w:t>, M. (2024). Which degree for which occupation? Vertical and horizontal mismatch among immigrants, their children, and grandchildren in France. Demography, 61(6), 1923-1948</w:t>
      </w:r>
      <w:r>
        <w:t>.</w:t>
      </w:r>
    </w:p>
    <w:p w14:paraId="3E66ABF9" w14:textId="77777777" w:rsidR="00282B13" w:rsidRDefault="00282B13">
      <w:pPr>
        <w:pStyle w:val="Body"/>
        <w:spacing w:after="0"/>
        <w:rPr>
          <w:rFonts w:ascii="Arial" w:hAnsi="Arial" w:cs="Arial"/>
        </w:rPr>
        <w:sectPr w:rsidR="00282B13" w:rsidSect="00A321A4">
          <w:headerReference w:type="even" r:id="rId27"/>
          <w:headerReference w:type="default" r:id="rId28"/>
          <w:footerReference w:type="even" r:id="rId29"/>
          <w:footerReference w:type="default" r:id="rId30"/>
          <w:headerReference w:type="first" r:id="rId31"/>
          <w:footerReference w:type="first" r:id="rId32"/>
          <w:type w:val="continuous"/>
          <w:pgSz w:w="12240" w:h="15840"/>
          <w:pgMar w:top="1440" w:right="2016" w:bottom="2016" w:left="2016" w:header="720" w:footer="1123" w:gutter="0"/>
          <w:cols w:space="720"/>
          <w:docGrid w:linePitch="272"/>
        </w:sectPr>
      </w:pPr>
    </w:p>
    <w:p w14:paraId="03E04328" w14:textId="77777777" w:rsidR="00282B13" w:rsidRDefault="00282B13">
      <w:pPr>
        <w:pStyle w:val="Appendix"/>
        <w:spacing w:after="0"/>
        <w:jc w:val="both"/>
        <w:rPr>
          <w:rFonts w:ascii="Arial" w:hAnsi="Arial" w:cs="Arial"/>
          <w:b w:val="0"/>
        </w:rPr>
      </w:pPr>
    </w:p>
    <w:sectPr w:rsidR="00282B13" w:rsidSect="00A321A4">
      <w:type w:val="continuous"/>
      <w:pgSz w:w="12240" w:h="15840"/>
      <w:pgMar w:top="720" w:right="1920" w:bottom="720" w:left="19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31E7D" w14:textId="77777777" w:rsidR="00C662AE" w:rsidRDefault="00C662AE">
      <w:r>
        <w:separator/>
      </w:r>
    </w:p>
  </w:endnote>
  <w:endnote w:type="continuationSeparator" w:id="0">
    <w:p w14:paraId="351E80C9" w14:textId="77777777" w:rsidR="00C662AE" w:rsidRDefault="00C66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E2716" w14:textId="77777777" w:rsidR="00D30BEA" w:rsidRDefault="00D30B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7B779" w14:textId="77777777" w:rsidR="00282B13" w:rsidRDefault="00282B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46386" w14:textId="77777777" w:rsidR="00D30BEA" w:rsidRDefault="00D30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8CDD2" w14:textId="77777777" w:rsidR="00C662AE" w:rsidRDefault="00C662AE">
      <w:r>
        <w:separator/>
      </w:r>
    </w:p>
  </w:footnote>
  <w:footnote w:type="continuationSeparator" w:id="0">
    <w:p w14:paraId="013D1914" w14:textId="77777777" w:rsidR="00C662AE" w:rsidRDefault="00C66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DD0FB" w14:textId="7F738A58" w:rsidR="00D30BEA" w:rsidRDefault="00D30BEA">
    <w:pPr>
      <w:pStyle w:val="Header"/>
    </w:pPr>
    <w:r>
      <w:rPr>
        <w:noProof/>
      </w:rPr>
      <w:pict w14:anchorId="4714AE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826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45EE6" w14:textId="542A2786" w:rsidR="00D30BEA" w:rsidRDefault="00D30BEA">
    <w:pPr>
      <w:pStyle w:val="Header"/>
    </w:pPr>
    <w:r>
      <w:rPr>
        <w:noProof/>
      </w:rPr>
      <w:pict w14:anchorId="09D1E4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826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6858E" w14:textId="568EFE9F" w:rsidR="00D30BEA" w:rsidRDefault="00D30BEA">
    <w:pPr>
      <w:pStyle w:val="Header"/>
    </w:pPr>
    <w:r>
      <w:rPr>
        <w:noProof/>
      </w:rPr>
      <w:pict w14:anchorId="3ACC9C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82687"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951975"/>
    <w:multiLevelType w:val="singleLevel"/>
    <w:tmpl w:val="89951975"/>
    <w:lvl w:ilvl="0">
      <w:start w:val="1"/>
      <w:numFmt w:val="decimal"/>
      <w:lvlText w:val="%1."/>
      <w:lvlJc w:val="left"/>
      <w:pPr>
        <w:tabs>
          <w:tab w:val="left" w:pos="425"/>
        </w:tabs>
        <w:ind w:left="425" w:hanging="425"/>
      </w:pPr>
      <w:rPr>
        <w:rFonts w:hint="default"/>
      </w:rPr>
    </w:lvl>
  </w:abstractNum>
  <w:abstractNum w:abstractNumId="1" w15:restartNumberingAfterBreak="0">
    <w:nsid w:val="1AF447FE"/>
    <w:multiLevelType w:val="multilevel"/>
    <w:tmpl w:val="1AF447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58FD"/>
    <w:rsid w:val="00086D0F"/>
    <w:rsid w:val="000A47FA"/>
    <w:rsid w:val="000A5755"/>
    <w:rsid w:val="000A65D3"/>
    <w:rsid w:val="000B1E33"/>
    <w:rsid w:val="000D689F"/>
    <w:rsid w:val="000E7B7B"/>
    <w:rsid w:val="000E7D62"/>
    <w:rsid w:val="00103357"/>
    <w:rsid w:val="00123C9F"/>
    <w:rsid w:val="00126190"/>
    <w:rsid w:val="00130F17"/>
    <w:rsid w:val="001320BF"/>
    <w:rsid w:val="00143FB5"/>
    <w:rsid w:val="00163BC4"/>
    <w:rsid w:val="00191062"/>
    <w:rsid w:val="001912AA"/>
    <w:rsid w:val="00192B72"/>
    <w:rsid w:val="001A29D8"/>
    <w:rsid w:val="001A5CAA"/>
    <w:rsid w:val="001B0427"/>
    <w:rsid w:val="001D3A51"/>
    <w:rsid w:val="001E10D2"/>
    <w:rsid w:val="001E25B4"/>
    <w:rsid w:val="001E33DE"/>
    <w:rsid w:val="001E44FE"/>
    <w:rsid w:val="001E47C3"/>
    <w:rsid w:val="00200595"/>
    <w:rsid w:val="00204835"/>
    <w:rsid w:val="00231920"/>
    <w:rsid w:val="0023195C"/>
    <w:rsid w:val="0024282C"/>
    <w:rsid w:val="002460DC"/>
    <w:rsid w:val="00250985"/>
    <w:rsid w:val="002556F6"/>
    <w:rsid w:val="00282B13"/>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04CCE"/>
    <w:rsid w:val="0041027F"/>
    <w:rsid w:val="00412475"/>
    <w:rsid w:val="00423789"/>
    <w:rsid w:val="00427A23"/>
    <w:rsid w:val="00440F43"/>
    <w:rsid w:val="00441B6F"/>
    <w:rsid w:val="00446221"/>
    <w:rsid w:val="00450E62"/>
    <w:rsid w:val="004539DB"/>
    <w:rsid w:val="00471A80"/>
    <w:rsid w:val="004D305E"/>
    <w:rsid w:val="004D4277"/>
    <w:rsid w:val="00502516"/>
    <w:rsid w:val="0050596D"/>
    <w:rsid w:val="00505F06"/>
    <w:rsid w:val="00506828"/>
    <w:rsid w:val="0052478F"/>
    <w:rsid w:val="0053056E"/>
    <w:rsid w:val="00554FDA"/>
    <w:rsid w:val="005C784C"/>
    <w:rsid w:val="005D17F6"/>
    <w:rsid w:val="005E5539"/>
    <w:rsid w:val="00602BF5"/>
    <w:rsid w:val="00617FDD"/>
    <w:rsid w:val="00633614"/>
    <w:rsid w:val="00633F68"/>
    <w:rsid w:val="00636EB2"/>
    <w:rsid w:val="006375B8"/>
    <w:rsid w:val="00656A81"/>
    <w:rsid w:val="0066510A"/>
    <w:rsid w:val="00673F9F"/>
    <w:rsid w:val="00686953"/>
    <w:rsid w:val="00687DEA"/>
    <w:rsid w:val="00687E67"/>
    <w:rsid w:val="006967F7"/>
    <w:rsid w:val="006A250C"/>
    <w:rsid w:val="006B21D3"/>
    <w:rsid w:val="006B57D0"/>
    <w:rsid w:val="006D0510"/>
    <w:rsid w:val="006D30FF"/>
    <w:rsid w:val="006D6940"/>
    <w:rsid w:val="006F11EC"/>
    <w:rsid w:val="0070082C"/>
    <w:rsid w:val="007369E6"/>
    <w:rsid w:val="00746E59"/>
    <w:rsid w:val="00754C9A"/>
    <w:rsid w:val="0075599A"/>
    <w:rsid w:val="00761D52"/>
    <w:rsid w:val="0077749E"/>
    <w:rsid w:val="00790ADA"/>
    <w:rsid w:val="00795627"/>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21A4"/>
    <w:rsid w:val="00A347C0"/>
    <w:rsid w:val="00A51431"/>
    <w:rsid w:val="00A539AD"/>
    <w:rsid w:val="00A94063"/>
    <w:rsid w:val="00AA6219"/>
    <w:rsid w:val="00AA74E0"/>
    <w:rsid w:val="00AB3409"/>
    <w:rsid w:val="00AB703F"/>
    <w:rsid w:val="00AC6BB8"/>
    <w:rsid w:val="00AE008F"/>
    <w:rsid w:val="00B01FCD"/>
    <w:rsid w:val="00B1776C"/>
    <w:rsid w:val="00B37BA7"/>
    <w:rsid w:val="00B52583"/>
    <w:rsid w:val="00B52896"/>
    <w:rsid w:val="00B771F7"/>
    <w:rsid w:val="00B95236"/>
    <w:rsid w:val="00B96BD9"/>
    <w:rsid w:val="00BA1B01"/>
    <w:rsid w:val="00BA2641"/>
    <w:rsid w:val="00BB37AA"/>
    <w:rsid w:val="00BB6FDB"/>
    <w:rsid w:val="00BC53A0"/>
    <w:rsid w:val="00BE62AD"/>
    <w:rsid w:val="00BF121F"/>
    <w:rsid w:val="00BF1F80"/>
    <w:rsid w:val="00BF58DD"/>
    <w:rsid w:val="00C166EF"/>
    <w:rsid w:val="00C17EB0"/>
    <w:rsid w:val="00C27F5F"/>
    <w:rsid w:val="00C308DE"/>
    <w:rsid w:val="00C30A0F"/>
    <w:rsid w:val="00C37E61"/>
    <w:rsid w:val="00C57BDA"/>
    <w:rsid w:val="00C662AE"/>
    <w:rsid w:val="00C70F1B"/>
    <w:rsid w:val="00C71A47"/>
    <w:rsid w:val="00C7464C"/>
    <w:rsid w:val="00C85588"/>
    <w:rsid w:val="00CD6755"/>
    <w:rsid w:val="00CD6856"/>
    <w:rsid w:val="00CE0089"/>
    <w:rsid w:val="00CE793C"/>
    <w:rsid w:val="00CF193C"/>
    <w:rsid w:val="00D173F1"/>
    <w:rsid w:val="00D30BEA"/>
    <w:rsid w:val="00D74CB0"/>
    <w:rsid w:val="00D76027"/>
    <w:rsid w:val="00D8295D"/>
    <w:rsid w:val="00DC2A65"/>
    <w:rsid w:val="00DE15F0"/>
    <w:rsid w:val="00DE5663"/>
    <w:rsid w:val="00DE78AA"/>
    <w:rsid w:val="00E053D0"/>
    <w:rsid w:val="00E15994"/>
    <w:rsid w:val="00E3114E"/>
    <w:rsid w:val="00E31A70"/>
    <w:rsid w:val="00E3460C"/>
    <w:rsid w:val="00E35B02"/>
    <w:rsid w:val="00E37900"/>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17B87A6B"/>
    <w:rsid w:val="240366A5"/>
    <w:rsid w:val="28134FE6"/>
    <w:rsid w:val="35F9691B"/>
    <w:rsid w:val="421D0D04"/>
    <w:rsid w:val="47495045"/>
    <w:rsid w:val="49C060E3"/>
    <w:rsid w:val="55155143"/>
    <w:rsid w:val="561B7151"/>
    <w:rsid w:val="67172C1B"/>
    <w:rsid w:val="6E02318F"/>
    <w:rsid w:val="6EED46FA"/>
    <w:rsid w:val="6F411953"/>
    <w:rsid w:val="72CA53E1"/>
    <w:rsid w:val="73B260DF"/>
    <w:rsid w:val="74BB1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6826B330"/>
  <w15:docId w15:val="{585C6276-48DC-42AE-B32A-CBF823497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GridLight1">
    <w:name w:val="Table Grid Light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1E4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5271/sjweh.4055" TargetMode="External"/><Relationship Id="rId18" Type="http://schemas.openxmlformats.org/officeDocument/2006/relationships/hyperlink" Target="https://doi.org/10.31949/ijeir.v4i2.14619" TargetMode="External"/><Relationship Id="rId26" Type="http://schemas.openxmlformats.org/officeDocument/2006/relationships/hyperlink" Target="https://doi.org/10.31949/ijeir.v4i2.14619" TargetMode="External"/><Relationship Id="rId3" Type="http://schemas.openxmlformats.org/officeDocument/2006/relationships/numbering" Target="numbering.xml"/><Relationship Id="rId21" Type="http://schemas.openxmlformats.org/officeDocument/2006/relationships/hyperlink" Target="https://doi.org/10.1111/joes.12271"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oi.org/10.1080/00036846.2022.2161990" TargetMode="External"/><Relationship Id="rId17" Type="http://schemas.openxmlformats.org/officeDocument/2006/relationships/hyperlink" Target="https://doi.org/10.1080/13639080.2021.1946491" TargetMode="External"/><Relationship Id="rId25" Type="http://schemas.openxmlformats.org/officeDocument/2006/relationships/hyperlink" Target="https://doi.org/10.5281/zenodo.6956133"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31235/osf.io/gczeh_v1" TargetMode="External"/><Relationship Id="rId20" Type="http://schemas.openxmlformats.org/officeDocument/2006/relationships/hyperlink" Target="https://doi.org/10.31235/osf.io/gczeh_v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591/edulearn.v15i3.19866" TargetMode="External"/><Relationship Id="rId24" Type="http://schemas.openxmlformats.org/officeDocument/2006/relationships/hyperlink" Target="https://doi.org/10.5271/sjweh.4055"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doi.org/10.5281/zenodo.6956133" TargetMode="External"/><Relationship Id="rId23" Type="http://schemas.openxmlformats.org/officeDocument/2006/relationships/hyperlink" Target="https://doi-org.remotelibrary.addu.edu.ph/10.1080/00036846.2022.2161990" TargetMode="External"/><Relationship Id="rId28" Type="http://schemas.openxmlformats.org/officeDocument/2006/relationships/header" Target="header2.xml"/><Relationship Id="rId10" Type="http://schemas.openxmlformats.org/officeDocument/2006/relationships/hyperlink" Target="https://doi.org/10.3390/joitmc4040049" TargetMode="External"/><Relationship Id="rId19" Type="http://schemas.openxmlformats.org/officeDocument/2006/relationships/hyperlink" Target="https://doi.org/10.1215/00703370-11670148" TargetMode="External"/><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archives.kdischool.ac.kr/handle/11125/32123" TargetMode="External"/><Relationship Id="rId22" Type="http://schemas.openxmlformats.org/officeDocument/2006/relationships/hyperlink" Target="https://www.pids.gov.ph/details/news/in-the-news/skills-mismatch-hampers-philippine-economic-growth-experts-say"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6C4E06-2E20-4CB6-8022-79F5E756A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TotalTime>
  <Pages>11</Pages>
  <Words>4377</Words>
  <Characters>24953</Characters>
  <Application>Microsoft Office Word</Application>
  <DocSecurity>0</DocSecurity>
  <Lines>207</Lines>
  <Paragraphs>58</Paragraphs>
  <ScaleCrop>false</ScaleCrop>
  <Company>aaaa</Company>
  <LinksUpToDate>false</LinksUpToDate>
  <CharactersWithSpaces>29272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30</cp:revision>
  <cp:lastPrinted>1999-07-06T11:00:00Z</cp:lastPrinted>
  <dcterms:created xsi:type="dcterms:W3CDTF">2014-10-25T14:34:00Z</dcterms:created>
  <dcterms:modified xsi:type="dcterms:W3CDTF">2025-10-17T12:02:00Z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1033-12.2.0.22556</vt:lpwstr>
  </property>
  <property fmtid="{D5CDD505-2E9C-101B-9397-08002B2CF9AE}" pid="3" name="ICV">
    <vt:lpwstr>C43BF696C3B14E27B65DFAD6E51E6521_12</vt:lpwstr>
  </property>
</Properties>
</file>